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eastAsia="" w:cs="Times New Roman" w:eastAsiaTheme="majorEastAsia"/>
          <w:b/>
          <w:bCs/>
          <w:color w:themeColor="text1" w:val="000000"/>
          <w:kern w:val="2"/>
          <w:sz w:val="24"/>
          <w:szCs w:val="24"/>
        </w:rPr>
      </w:pPr>
      <w:bookmarkStart w:id="0" w:name="_Hlk171491968"/>
      <w:bookmarkStart w:id="1" w:name="_Toc201687999"/>
      <w:r>
        <w:rPr>
          <w:rFonts w:cs="Times New Roman" w:ascii="Times New Roman" w:hAnsi="Times New Roman"/>
          <w:b/>
          <w:bCs/>
          <w:color w:themeColor="text1" w:val="000000"/>
          <w:sz w:val="24"/>
          <w:szCs w:val="24"/>
        </w:rPr>
        <w:t xml:space="preserve">INCIDENCE AND FACTORS ASSOCIATED WITH OCULAR HYPERTENSION AFTER INTRAVITREAL TRIAMCINOLONE INJECTION </w:t>
      </w:r>
      <w:r>
        <w:rPr>
          <w:rFonts w:eastAsia="" w:cs="Times New Roman" w:ascii="Times New Roman" w:hAnsi="Times New Roman" w:eastAsiaTheme="majorEastAsia"/>
          <w:b/>
          <w:bCs/>
          <w:color w:themeColor="text1" w:val="000000"/>
          <w:kern w:val="2"/>
          <w:sz w:val="24"/>
          <w:szCs w:val="24"/>
        </w:rPr>
        <w:t>AMONG MACULA OEDEMA PATIENTS ATTENDING KCMC 2024-2025</w:t>
      </w:r>
      <w:bookmarkEnd w:id="0"/>
    </w:p>
    <w:p>
      <w:pPr>
        <w:pStyle w:val="NormalWeb"/>
        <w:spacing w:lineRule="auto" w:line="360" w:before="280" w:after="280"/>
        <w:rPr>
          <w:rStyle w:val="Strong"/>
          <w:color w:themeColor="text1" w:val="000000"/>
        </w:rPr>
      </w:pPr>
      <w:r>
        <w:rPr>
          <w:color w:themeColor="text1" w:val="000000"/>
        </w:rPr>
      </w:r>
    </w:p>
    <w:p>
      <w:pPr>
        <w:pStyle w:val="NormalWeb"/>
        <w:spacing w:lineRule="auto" w:line="360" w:before="280" w:after="280"/>
        <w:rPr>
          <w:color w:themeColor="text1" w:val="000000"/>
        </w:rPr>
      </w:pPr>
      <w:r>
        <w:rPr>
          <w:rStyle w:val="Strong"/>
          <w:color w:themeColor="text1" w:val="000000"/>
        </w:rPr>
        <w:t>Abstract</w:t>
      </w:r>
    </w:p>
    <w:p>
      <w:pPr>
        <w:pStyle w:val="NormalWeb"/>
        <w:spacing w:lineRule="auto" w:line="360" w:before="280" w:after="280"/>
        <w:rPr>
          <w:color w:themeColor="text1" w:val="000000"/>
        </w:rPr>
      </w:pPr>
      <w:r>
        <w:rPr>
          <w:rStyle w:val="Strong"/>
          <w:color w:themeColor="text1" w:val="000000"/>
        </w:rPr>
        <w:t>Background:</w:t>
      </w:r>
      <w:r>
        <w:rPr>
          <w:color w:themeColor="text1" w:val="000000"/>
        </w:rPr>
        <w:t xml:space="preserve"> Intravitreal triamcinolone acetonide (IVTA) is an effective cor ticosteroid used in managing retinal conditions such as cystoid macular edema (CME), diabetic macular edema (DME), and retinal vein occlusion (RVO). Despite its therapeutic benefits, IVTA is known to cause ocular hypertension (OHT), which can lead to irreversible glaucomatous damage if not adequately monitored, posing a particular challenge in resource-limited settings.</w:t>
      </w:r>
    </w:p>
    <w:p>
      <w:pPr>
        <w:pStyle w:val="NormalWeb"/>
        <w:spacing w:lineRule="auto" w:line="360" w:before="280" w:after="280"/>
        <w:rPr>
          <w:color w:themeColor="text1" w:val="000000"/>
        </w:rPr>
      </w:pPr>
      <w:r>
        <w:rPr>
          <w:rStyle w:val="Strong"/>
          <w:color w:themeColor="text1" w:val="000000"/>
        </w:rPr>
        <w:t>Objectives:</w:t>
      </w:r>
      <w:r>
        <w:rPr>
          <w:color w:themeColor="text1" w:val="000000"/>
        </w:rPr>
        <w:t xml:space="preserve"> To determine the incidence, pattern, and associated risk factors of ocular hypertension following intravitreal triamcinolone injection among patients with macular edema attending the </w:t>
      </w:r>
      <w:commentRangeStart w:id="0"/>
      <w:r>
        <w:rPr>
          <w:color w:themeColor="text1" w:val="000000"/>
        </w:rPr>
        <w:t>Eye Department</w:t>
      </w:r>
      <w:r>
        <w:rPr>
          <w:color w:themeColor="text1" w:val="000000"/>
        </w:rPr>
      </w:r>
      <w:commentRangeEnd w:id="0"/>
      <w:r>
        <w:commentReference w:id="0"/>
      </w:r>
      <w:r>
        <w:rPr>
          <w:color w:themeColor="text1" w:val="000000"/>
        </w:rPr>
        <w:t xml:space="preserve"> at Kilimanjaro Christian Medical Centre (KCMC) between 2024 and 2025.</w:t>
      </w:r>
    </w:p>
    <w:p>
      <w:pPr>
        <w:pStyle w:val="NormalWeb"/>
        <w:spacing w:lineRule="auto" w:line="360" w:before="280" w:after="280"/>
        <w:rPr>
          <w:color w:themeColor="text1" w:val="000000"/>
        </w:rPr>
      </w:pPr>
      <w:r>
        <w:rPr>
          <w:rStyle w:val="Strong"/>
          <w:color w:themeColor="text1" w:val="000000"/>
        </w:rPr>
        <w:t>Methods:</w:t>
      </w:r>
      <w:r>
        <w:rPr>
          <w:color w:themeColor="text1" w:val="000000"/>
        </w:rPr>
        <w:t xml:space="preserve"> A prospective cohort study was conducted involving 110 adult patients diagnosed with macular edema and treated with a standardized 4 mg dose of IVTA. Intraocular pressure (IOP) was measured at baseline, immediately post-injection, and at 2-week and 6-week follow-up visits using an Icare tonometer. OHT was defined as IOP &gt; 21 mmHg or an increase ≥5 mmHg from baseline. Statistical analysis was performed using SPSS v25, with multivariate regression applied to identify independent predictors of OHT.</w:t>
      </w:r>
    </w:p>
    <w:p>
      <w:pPr>
        <w:pStyle w:val="NormalWeb"/>
        <w:spacing w:lineRule="auto" w:line="360" w:before="280" w:after="280"/>
        <w:rPr>
          <w:color w:themeColor="text1" w:val="000000"/>
        </w:rPr>
      </w:pPr>
      <w:r>
        <w:rPr>
          <w:rStyle w:val="Strong"/>
          <w:color w:themeColor="text1" w:val="000000"/>
        </w:rPr>
        <w:t>Results:</w:t>
      </w:r>
      <w:r>
        <w:rPr>
          <w:color w:themeColor="text1" w:val="000000"/>
        </w:rPr>
        <w:t xml:space="preserve"> The incidence of ocular hypertension was 35%. Mean IOP rose significantly from 14.59 mmHg at baseline to 28.42 mmHg immediately post-injection, decreasing to 17.75 mmHg at 2 weeks and 17.05 mmHg at 6 weeks (p &lt; 0.001). Retinal vein occlusion was the strongest independent predictor of OHT (ARR = 3.23; 95% CI: 1.10–9.54; p = 0.033).</w:t>
      </w:r>
    </w:p>
    <w:p>
      <w:pPr>
        <w:pStyle w:val="NormalWeb"/>
        <w:spacing w:lineRule="auto" w:line="360" w:before="280" w:after="280"/>
        <w:rPr>
          <w:color w:themeColor="text1" w:val="000000"/>
        </w:rPr>
      </w:pPr>
      <w:r>
        <w:rPr>
          <w:rStyle w:val="Strong"/>
          <w:color w:themeColor="text1" w:val="000000"/>
        </w:rPr>
        <w:t>Conclusion:</w:t>
      </w:r>
      <w:r>
        <w:rPr>
          <w:color w:themeColor="text1" w:val="000000"/>
        </w:rPr>
        <w:t xml:space="preserve"> IVTA is associated with a high incidence of transient and sustained OHT. Early and routine IOP monitoring, especially in RVO patients, is crucial to prevent glaucomatous complications, particularly in low-resource settings.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4096"/>
        </w:sectPr>
        <w:pStyle w:val="Normal"/>
        <w:spacing w:lineRule="auto" w:line="360"/>
        <w:rPr>
          <w:rFonts w:ascii="Times New Roman" w:hAnsi="Times New Roman" w:eastAsia="Times New Roman" w:cs="Times New Roman"/>
          <w:sz w:val="24"/>
          <w:szCs w:val="24"/>
          <w:lang w:eastAsia="en-GB"/>
        </w:rPr>
      </w:pPr>
      <w:r>
        <w:rPr>
          <w:rFonts w:eastAsia="Times New Roman" w:cs="Times New Roman" w:ascii="Times New Roman" w:hAnsi="Times New Roman"/>
          <w:b/>
          <w:bCs/>
          <w:sz w:val="24"/>
          <w:szCs w:val="24"/>
          <w:lang w:eastAsia="en-GB"/>
        </w:rPr>
        <w:t>Key words:</w:t>
      </w:r>
      <w:r>
        <w:rPr>
          <w:rFonts w:eastAsia="Times New Roman" w:cs="Times New Roman" w:ascii="Times New Roman" w:hAnsi="Times New Roman"/>
          <w:sz w:val="24"/>
          <w:szCs w:val="24"/>
          <w:lang w:eastAsia="en-GB"/>
        </w:rPr>
        <w:t xml:space="preserve"> </w:t>
      </w:r>
      <w:r>
        <w:rPr>
          <w:rFonts w:cs="Times New Roman" w:ascii="Times New Roman" w:hAnsi="Times New Roman"/>
          <w:i/>
          <w:sz w:val="24"/>
          <w:szCs w:val="24"/>
        </w:rPr>
        <w:t>Intravitreal Triamcinolone Acetonide, Ocular Hypertension, Macular Edema, Intraocular Pressur</w:t>
      </w:r>
      <w:bookmarkEnd w:id="1"/>
    </w:p>
    <w:p>
      <w:pPr>
        <w:pStyle w:val="Normal"/>
        <w:spacing w:lineRule="auto" w:line="360"/>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Background</w:t>
      </w:r>
      <w:r>
        <w:rPr>
          <w:rFonts w:cs="Times New Roman" w:ascii="Times New Roman" w:hAnsi="Times New Roman"/>
          <w:b/>
          <w:color w:themeColor="text1" w:val="000000"/>
          <w:sz w:val="24"/>
          <w:szCs w:val="24"/>
        </w:rPr>
        <w:commentReference w:id="1"/>
      </w:r>
    </w:p>
    <w:p>
      <w:pPr>
        <w:pStyle w:val="Normal"/>
        <w:spacing w:lineRule="auto" w:line="36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Intravitreal triamcinolone acetonide (IVTA) injection has been widely used to treat several intraocular neovascular, inflammatory, and edematous diseases. However, steroid-induced increase in the intraocular pressure (IOP) is one of the most widely cited side effects of IVTA injection. The amount of corticosteroid passes to the intravitreal issues after the injection, leading to a significant rise in the IOP. </w:t>
      </w:r>
      <w:r>
        <w:fldChar w:fldCharType="begin"/>
      </w:r>
      <w:r>
        <w:rPr>
          <w:sz w:val="24"/>
          <w:szCs w:val="24"/>
          <w:rFonts w:cs="Times New Roman" w:ascii="Times New Roman" w:hAnsi="Times New Roman"/>
          <w:color w:themeColor="text1" w:val="000000"/>
        </w:rPr>
        <w:instrText xml:space="preserve">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Meta-analysis","type":"article-journal","volume":"9"},"uris":["http://www.mendeley.com/documents/?uuid=58a31bbc-ca9e-4394-a501-06dccdf86613"]}],"mendeley":{"formattedCitation":"(1)","plainTextFormattedCitation":"(1)","previouslyFormattedCitation":"(Yuksel-Elgin and Elgin, 2016)"},"properties":{"noteIndex":0},"schema":"https://github.com/citation-style-language/schema/raw/master/csl-citation.json"}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w:t>
      </w:r>
    </w:p>
    <w:p>
      <w:pPr>
        <w:pStyle w:val="Normal"/>
        <w:spacing w:lineRule="auto" w:line="360" w:before="0" w:after="0"/>
        <w:jc w:val="both"/>
        <w:rPr>
          <w:rStyle w:val="Strong"/>
          <w:rFonts w:ascii="Times New Roman" w:hAnsi="Times New Roman" w:cs="Times New Roman"/>
          <w:b w:val="false"/>
          <w:color w:themeColor="text1" w:val="000000"/>
          <w:sz w:val="24"/>
          <w:szCs w:val="24"/>
        </w:rPr>
      </w:pPr>
      <w:r>
        <w:rPr>
          <w:rFonts w:cs="Times New Roman" w:ascii="Times New Roman" w:hAnsi="Times New Roman"/>
          <w:b w:val="false"/>
          <w:color w:themeColor="text1" w:val="000000"/>
          <w:sz w:val="24"/>
          <w:szCs w:val="24"/>
        </w:rPr>
      </w:r>
    </w:p>
    <w:p>
      <w:pPr>
        <w:pStyle w:val="Norma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TA, when injected into the eye, is an effective treatment for macular edema that occurs as a result of various eye conditions such as diabetic retinopathy, central retinal vein occlusion, branch retinal vein occlusion, uveitis, macular edema after cataract surgery, and age-related macular degeneration.</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(2)</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w:t>
      </w:r>
    </w:p>
    <w:p>
      <w:pPr>
        <w:pStyle w:val="Norma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jc w:val="both"/>
        <w:rPr>
          <w:rFonts w:ascii="Times New Roman" w:hAnsi="Times New Roman" w:cs="Times New Roman"/>
          <w:b/>
          <w:bCs/>
          <w:color w:themeColor="text1" w:val="000000"/>
          <w:sz w:val="24"/>
          <w:szCs w:val="24"/>
        </w:rPr>
      </w:pPr>
      <w:r>
        <w:rPr>
          <w:rFonts w:cs="Times New Roman" w:ascii="Times New Roman" w:hAnsi="Times New Roman"/>
          <w:color w:themeColor="text1" w:val="000000"/>
          <w:sz w:val="24"/>
          <w:szCs w:val="24"/>
        </w:rPr>
        <w:t xml:space="preserve">This steroid medication is widely used for treating various retinal diseases and is commercially available as an ester. </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author":[{"dropping-particle":"","family":"Sarao","given":"Valentina","non-dropping-particle":"","parse-names":false,"suffix":""},{"dropping-particle":"","family":"Veritti","given":"Daniele","non-dropping-particle":"","parse-names":false,"suffix":""},{"dropping-particle":"","family":"Boscia","given":"Francesco","non-dropping-particle":"","parse-names":false,"suffix":""},{"dropping-particle":"","family":"Lanzetta","given":"Paolo","non-dropping-particle":"","parse-names":false,"suffix":""}],"id":"ITEM-1","issued":{"date-parts":[["2014"]]},"title":"Intravitreal Steroids for the Treatment of Retinal Diseases","type":"article-journal","volume":"2014"},"uris":["http://www.mendeley.com/documents/?uuid=adc75e33-4a86-48ae-b084-cbabd8f454f8"]}],"mendeley":{"formattedCitation":"(3)","manualFormatting":"(Sarao et al., 2014)","plainTextFormattedCitation":"(3)","previouslyFormattedCitation":"(Sarao &lt;i&gt;et al.&lt;/i&gt;, 2014b)"},"properties":{"noteIndex":0},"schema":"https://github.com/citation-style-language/schema/raw/master/csl-citation.json"}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 xml:space="preserve">(Sarao </w:t>
      </w:r>
      <w:r>
        <w:rPr>
          <w:rFonts w:eastAsia="Times New Roman" w:cs="Times New Roman" w:ascii="Times New Roman" w:hAnsi="Times New Roman"/>
          <w:i/>
          <w:color w:themeColor="text1" w:val="000000"/>
          <w:sz w:val="24"/>
          <w:szCs w:val="24"/>
        </w:rPr>
        <w:t>et al.</w:t>
      </w:r>
      <w:r>
        <w:rPr>
          <w:rFonts w:eastAsia="Times New Roman" w:cs="Times New Roman" w:ascii="Times New Roman" w:hAnsi="Times New Roman"/>
          <w:color w:themeColor="text1" w:val="000000"/>
          <w:sz w:val="24"/>
          <w:szCs w:val="24"/>
        </w:rPr>
        <w:t>, 2014)</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 xml:space="preserve">This medication can cause adverse effects, including intraocular hypertension. </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{"citationItems":[{"id":"ITEM-1","itemData":{"DOI":"10.3390/biomedicines11071901","ISSN":"22279059","abstract":"Ophthalmic drug delivery to the posterior segment of the eye has been challenging due to the complex ocular anatomy. Intravitreal injection of drugs was introduced to deliver therapeutic doses in the posterior segment. Different posterior segment diseases including age-related macular degeneration, diabetic macular edema, retinal vein occlusions, uveitis, and cystoid macular edema, among others, have been historically treated with intravitreal corticosteroids injections, and more recently with intravitreal corticosteroids drug implants. Triamcinolone acetonide (TA) is the most frequently used intraocular synthetic corticosteroid. Using nanoparticle-based TA delivery systems has been proposed as an alternative to intravitreal injections in the treatment of posterior segment diseases. From these novel delivery systems, topical liposomes have been the most promising strategy. This review is oriented to exhibit triamcinolone acetonide drug evolution and its results in treating posterior segment diseases using diverse delivery platforms.","author":[{"dropping-particle":"","family":"Aceves-Franco","given":"Luis Abraham","non-dropping-particle":"","parse-names":false,"suffix":""},{"dropping-particle":"","family":"Sanchez-Aguilar","given":"Oscar Eduardo","non-dropping-particle":"","parse-names":false,"suffix":""},{"dropping-particle":"","family":"Barragan-Arias","given":"Allen Rafael","non-dropping-particle":"","parse-names":false,"suffix":""},{"dropping-particle":"","family":"Ponce-Gallegos","given":"Marco Antonio","non-dropping-particle":"","parse-names":false,"suffix":""},{"dropping-particle":"","family":"Navarro-Partida","given":"Jose","non-dropping-particle":"","parse-names":false,"suffix":""},{"dropping-particle":"","family":"Santos","given":"Arturo","non-dropping-particle":"","parse-names":false,"suffix":""}],"container-title":"Biomedicines","id":"ITEM-1","issue":"7","issued":{"date-parts":[["2023","7","1"]]},"publisher":"Multidisciplinary Digital Publishing Institute (MDPI)","title":"The Evolution of Triamcinolone Acetonide Therapeutic Use in Retinal Diseases: From Off-Label Intravitreal Injection to Advanced Nano-Drug Delivery Systems","type":"article","volume":"11"},"uris":["http://www.mendeley.com/documents/?uuid=a3483298-18ff-34fa-af43-5f586a95e80a"]}],"mendeley":{"formattedCitation":"(4)","plainTextFormattedCitation":"(4)","previouslyFormattedCitation":"(Aceves-Franco &lt;i&gt;et al.&lt;/i&gt;, 2023)"},"properties":{"noteIndex":0},"schema":"https://github.com/citation-style-language/schema/raw/master/csl-citation.json"}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(4)</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 The rise of intraocular pressure (IOP) can lead to chronic OAG in up to 52% of eyes.</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(2)</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w:t>
      </w:r>
    </w:p>
    <w:p>
      <w:pPr>
        <w:pStyle w:val="Normal"/>
        <w:spacing w:lineRule="auto" w:line="360"/>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Several doses of intravitreal triamcinolone acetonide (IVT TA) have been studied: 1, 2, 4, 5, 6, 8, 10, 20, and 25 mg have been studied. The most common dose in these investigations is 4 mg. After a 4 mg IVT TA injection, the therapeutic response and duration of action may last for about three months. </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r>
      <w:r>
        <w:rPr>
          <w:rFonts w:cs="Times New Roman" w:ascii="Times New Roman" w:hAnsi="Times New Roman"/>
          <w:color w:themeColor="text1" w:val="000000"/>
          <w:sz w:val="24"/>
          <w:szCs w:val="24"/>
        </w:rPr>
        <w:t>(5)</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cs="Times New Roman" w:ascii="Times New Roman" w:hAnsi="Times New Roman"/>
          <w:color w:themeColor="text1" w:val="000000"/>
          <w:sz w:val="24"/>
          <w:szCs w:val="24"/>
        </w:rPr>
        <w:t>.</w:t>
      </w:r>
    </w:p>
    <w:p>
      <w:pPr>
        <w:pStyle w:val="Normal"/>
        <w:spacing w:lineRule="auto" w:line="3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Long-term usage of corticosteroids has been linked to an increase in intraocular pressure. According to certain research, </w:t>
      </w:r>
      <w:commentRangeStart w:id="2"/>
      <w:r>
        <w:rPr>
          <w:rFonts w:eastAsia="Times New Roman" w:cs="Times New Roman" w:ascii="Times New Roman" w:hAnsi="Times New Roman"/>
          <w:color w:themeColor="text1" w:val="000000"/>
          <w:sz w:val="24"/>
          <w:szCs w:val="24"/>
        </w:rPr>
        <w:t>at least 35% of subjects</w:t>
      </w:r>
      <w:r>
        <w:rPr>
          <w:rFonts w:eastAsia="Times New Roman" w:cs="Times New Roman" w:ascii="Times New Roman" w:hAnsi="Times New Roman"/>
          <w:color w:themeColor="text1" w:val="000000"/>
          <w:sz w:val="24"/>
          <w:szCs w:val="24"/>
        </w:rPr>
      </w:r>
      <w:commentRangeEnd w:id="2"/>
      <w:r>
        <w:commentReference w:id="2"/>
      </w:r>
      <w:r>
        <w:rPr>
          <w:rFonts w:eastAsia="Times New Roman" w:cs="Times New Roman" w:ascii="Times New Roman" w:hAnsi="Times New Roman"/>
          <w:color w:themeColor="text1" w:val="000000"/>
          <w:sz w:val="24"/>
          <w:szCs w:val="24"/>
        </w:rPr>
        <w:t xml:space="preserve"> will have a rise in ocular pressure of more than 6 mmHg after using topical steroids for at least 4 weeks. Patients with primary open-angle glaucoma may experience this even more quickly. After quitting the drug, ocular pressure usually returns to normal in about one month. Steroids given systemically, topically, via injection locally, or by inhalation might raise intraocular pressure in those who are vulnerable.</w:t>
      </w:r>
    </w:p>
    <w:p>
      <w:pPr>
        <w:pStyle w:val="Normal"/>
        <w:spacing w:lineRule="auto" w:line="360" w:before="0" w:after="0"/>
        <w:jc w:val="both"/>
        <w:rPr>
          <w:rFonts w:ascii="Times New Roman" w:hAnsi="Times New Roman" w:eastAsia="Times New Roman" w:cs="Times New Roman"/>
          <w:color w:themeColor="text1" w:val="000000"/>
          <w:sz w:val="24"/>
          <w:szCs w:val="24"/>
        </w:rPr>
      </w:pPr>
      <w:commentRangeStart w:id="3"/>
      <w:r>
        <w:rPr>
          <w:rFonts w:eastAsia="Times New Roman" w:cs="Times New Roman" w:ascii="Times New Roman" w:hAnsi="Times New Roman"/>
          <w:color w:themeColor="text1" w:val="000000"/>
          <w:sz w:val="24"/>
          <w:szCs w:val="24"/>
        </w:rPr>
        <w:t>The exact cause of steroid-induced glaucoma</w:t>
      </w:r>
      <w:r>
        <w:rPr>
          <w:rFonts w:eastAsia="Times New Roman" w:cs="Times New Roman" w:ascii="Times New Roman" w:hAnsi="Times New Roman"/>
          <w:color w:themeColor="text1" w:val="000000"/>
          <w:sz w:val="24"/>
          <w:szCs w:val="24"/>
        </w:rPr>
      </w:r>
      <w:commentRangeEnd w:id="3"/>
      <w:r>
        <w:commentReference w:id="3"/>
      </w:r>
      <w:r>
        <w:rPr>
          <w:rFonts w:eastAsia="Times New Roman" w:cs="Times New Roman" w:ascii="Times New Roman" w:hAnsi="Times New Roman"/>
          <w:color w:themeColor="text1" w:val="000000"/>
          <w:sz w:val="24"/>
          <w:szCs w:val="24"/>
        </w:rPr>
        <w:t xml:space="preserve"> is not completely understood. It is believed that the increase in intraocular pressure is due to increased resistance to the outflow of fluid from the eye.</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(2)</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w:t>
      </w:r>
    </w:p>
    <w:p>
      <w:pPr>
        <w:pStyle w:val="NoSpacing"/>
        <w:spacing w:lineRule="auto" w:line="360"/>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Intraocular pressure rises during intravitreal injection (IVI) when the injected medicine abruptly expands the capacity of the closed vitreous cavity. IOP rises momentarily and immediately as a result of the volume effect's modification of the aqueous outflow. The cause of a persistent increase in IOP, however, is less clear. </w:t>
      </w:r>
      <w:r>
        <w:rPr>
          <w:rFonts w:eastAsia="Times New Roman" w:cs="Times New Roman" w:ascii="Times New Roman" w:hAnsi="Times New Roman"/>
          <w:color w:val="000000"/>
          <w:sz w:val="24"/>
          <w:szCs w:val="24"/>
          <w:shd w:fill="FFFF00" w:val="clear"/>
        </w:rPr>
        <w:t xml:space="preserve">Eleven </w:t>
      </w:r>
      <w:r>
        <w:rPr>
          <w:rFonts w:eastAsia="Times New Roman" w:cs="Times New Roman" w:ascii="Times New Roman" w:hAnsi="Times New Roman"/>
          <w:color w:themeColor="text1" w:val="000000"/>
          <w:sz w:val="24"/>
          <w:szCs w:val="24"/>
        </w:rPr>
        <w:t xml:space="preserve">Long-term elevations of IOP may result in reduced blood supply to the ONH and juxta-papillary retina, which would permanently harm the retinal pigment epithelium. </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 Rishabh Rathi et al., 2023)","plainTextFormattedCitation":"(6)","previouslyFormattedCitation":"(Article &lt;i&gt;et al.&lt;/i&gt;, 2023)"},"properties":{"noteIndex":0},"schema":"https://github.com/citation-style-language/schema/raw/master/csl-citation.json"}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w:t>
      </w:r>
      <w:r>
        <w:rPr>
          <w:rFonts w:cs="Times New Roman" w:ascii="Times New Roman" w:hAnsi="Times New Roman"/>
          <w:color w:themeColor="text1" w:val="000000"/>
          <w:sz w:val="24"/>
          <w:szCs w:val="24"/>
        </w:rPr>
        <w:t xml:space="preserve"> </w:t>
      </w:r>
      <w:r>
        <w:rPr>
          <w:rFonts w:eastAsia="Times New Roman" w:cs="Times New Roman" w:ascii="Times New Roman" w:hAnsi="Times New Roman"/>
          <w:color w:themeColor="text1" w:val="000000"/>
          <w:sz w:val="24"/>
          <w:szCs w:val="24"/>
        </w:rPr>
        <w:t xml:space="preserve">Rishabh Rathi </w:t>
      </w:r>
      <w:r>
        <w:rPr>
          <w:rFonts w:eastAsia="Times New Roman" w:cs="Times New Roman" w:ascii="Times New Roman" w:hAnsi="Times New Roman"/>
          <w:i/>
          <w:color w:themeColor="text1" w:val="000000"/>
          <w:sz w:val="24"/>
          <w:szCs w:val="24"/>
        </w:rPr>
        <w:t>et al.</w:t>
      </w:r>
      <w:r>
        <w:rPr>
          <w:rFonts w:eastAsia="Times New Roman" w:cs="Times New Roman" w:ascii="Times New Roman" w:hAnsi="Times New Roman"/>
          <w:color w:themeColor="text1" w:val="000000"/>
          <w:sz w:val="24"/>
          <w:szCs w:val="24"/>
        </w:rPr>
        <w:t>, 2023)</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 Intraocular pressure (IOP) should naturally rise in response to an injection of fluid into the eye. Consequently, acute IOP changes will occur immediately following the intravitreal injection; these fluctuations are connected to the technique and typically remain for a few hours.</w:t>
      </w:r>
      <w:r>
        <w:fldChar w:fldCharType="begin"/>
      </w:r>
      <w:r>
        <w:rPr>
          <w:sz w:val="24"/>
          <w:szCs w:val="24"/>
          <w:rFonts w:eastAsia="Times New Roman" w:cs="Times New Roman" w:ascii="Times New Roman" w:hAnsi="Times New Roman"/>
          <w:color w:themeColor="text1" w:val="000000"/>
        </w:rPr>
        <w:instrText xml:space="preserve">ADDIN CSL_CITATION {"citationItems":[{"id":"ITEM-1","itemData":{"DOI":"10.1038/s41598-020-70269-7","ISBN":"0123456789","ISSN":"2045-2322","author":[{"dropping-particle":"De","family":"Vries","given":"Victor A","non-dropping-particle":"","parse-names":false,"suffix":""},{"dropping-particle":"","family":"Bassil","given":"Fabiana L","non-dropping-particle":"","parse-names":false,"suffix":""},{"dropping-particle":"","family":"Ramdas","given":"Wishal D","non-dropping-particle":"","parse-names":false,"suffix":""}],"container-title":"Scientific Reports","id":"ITEM-1","issued":{"date-parts":[["2020"]]},"page":"1-10","publisher":"Nature Publishing Group UK","title":"The effects of intravitreal injections on intraocular pressure and retinal nerve fiber layer : a systematic review and meta ‑ analysis","type":"article-journal"},"uris":["http://www.mendeley.com/documents/?uuid=c3318492-2670-4cf4-8f27-c464cf45290c"]}],"mendeley":{"formattedCitation":"(7)","plainTextFormattedCitation":"(7)","previouslyFormattedCitation":"(Vries, Bassil and Ramdas, 2020)"},"properties":{"noteIndex":0},"schema":"https://github.com/citation-style-language/schema/raw/master/csl-citation.json"}</w:instrTex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separate"/>
      </w:r>
      <w:r>
        <w:rPr>
          <w:rFonts w:eastAsia="Times New Roman" w:cs="Times New Roman" w:ascii="Times New Roman" w:hAnsi="Times New Roman"/>
          <w:color w:themeColor="text1" w:val="000000"/>
          <w:sz w:val="24"/>
          <w:szCs w:val="24"/>
        </w:rPr>
        <w:t>(7)</w:t>
      </w:r>
      <w:r>
        <w:rPr>
          <w:rFonts w:eastAsia="Times New Roman" w:cs="Times New Roman" w:ascii="Times New Roman" w:hAnsi="Times New Roman"/>
          <w:color w:themeColor="text1" w:val="000000"/>
          <w:sz w:val="24"/>
          <w:szCs w:val="24"/>
        </w:rPr>
      </w:r>
      <w:r>
        <w:rPr>
          <w:sz w:val="24"/>
          <w:szCs w:val="24"/>
          <w:rFonts w:eastAsia="Times New Roman" w:cs="Times New Roman" w:ascii="Times New Roman" w:hAnsi="Times New Roman"/>
          <w:color w:themeColor="text1" w:val="000000"/>
        </w:rPr>
        <w:fldChar w:fldCharType="end"/>
      </w:r>
      <w:r>
        <w:rPr>
          <w:rFonts w:eastAsia="Times New Roman" w:cs="Times New Roman" w:ascii="Times New Roman" w:hAnsi="Times New Roman"/>
          <w:color w:themeColor="text1" w:val="000000"/>
          <w:sz w:val="24"/>
          <w:szCs w:val="24"/>
        </w:rPr>
        <w:t>.</w:t>
      </w:r>
    </w:p>
    <w:p>
      <w:pPr>
        <w:pStyle w:val="Norma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Spacing"/>
        <w:spacing w:lineRule="auto" w:line="360"/>
        <w:jc w:val="both"/>
        <w:rPr>
          <w:rFonts w:ascii="Times New Roman" w:hAnsi="Times New Roman" w:eastAsia="Calibri" w:cs="Times New Roman" w:eastAsiaTheme="minorHAnsi"/>
          <w:color w:themeColor="text1" w:val="000000"/>
          <w:sz w:val="24"/>
          <w:szCs w:val="24"/>
        </w:rPr>
      </w:pPr>
      <w:r>
        <w:rPr>
          <w:rFonts w:eastAsia="Calibri" w:cs="Times New Roman" w:ascii="Times New Roman" w:hAnsi="Times New Roman" w:eastAsiaTheme="minorHAnsi"/>
          <w:color w:themeColor="text1" w:val="000000"/>
          <w:sz w:val="24"/>
          <w:szCs w:val="24"/>
        </w:rPr>
        <w:t xml:space="preserve">At KCMC Hospital, IVTA injections are frequently used to treat various retinal diseases. However, there is a lack of comprehensive data on the occurrence and contributing factors of Ocular Hypertension </w:t>
      </w:r>
      <w:r>
        <w:rPr>
          <w:rFonts w:eastAsia="Calibri" w:cs="Times New Roman" w:ascii="Times New Roman" w:hAnsi="Times New Roman" w:eastAsiaTheme="minorHAnsi"/>
          <w:strike/>
          <w:color w:themeColor="text1" w:val="000000"/>
          <w:sz w:val="24"/>
          <w:szCs w:val="24"/>
        </w:rPr>
        <w:t>(OHT)</w:t>
      </w:r>
      <w:r>
        <w:rPr>
          <w:rFonts w:eastAsia="Calibri" w:cs="Times New Roman" w:ascii="Times New Roman" w:hAnsi="Times New Roman" w:eastAsiaTheme="minorHAnsi"/>
          <w:color w:themeColor="text1" w:val="000000"/>
          <w:sz w:val="24"/>
          <w:szCs w:val="24"/>
        </w:rPr>
        <w:t xml:space="preserve"> in diverse populations, especially in low-resource settings like Tanzania. Furthermore, our understanding of the effects of long-term repeated </w:t>
      </w:r>
      <w:commentRangeStart w:id="4"/>
      <w:r>
        <w:rPr>
          <w:rFonts w:eastAsia="Calibri" w:cs="Times New Roman" w:ascii="Times New Roman" w:hAnsi="Times New Roman" w:eastAsiaTheme="minorHAnsi"/>
          <w:color w:val="C9211E"/>
          <w:sz w:val="24"/>
          <w:szCs w:val="24"/>
        </w:rPr>
        <w:t>Triamcinolone</w:t>
      </w:r>
      <w:r>
        <w:rPr>
          <w:rFonts w:eastAsia="Calibri" w:cs="Times New Roman" w:ascii="Times New Roman" w:hAnsi="Times New Roman" w:eastAsiaTheme="minorHAnsi"/>
          <w:color w:val="C9211E"/>
          <w:sz w:val="24"/>
          <w:szCs w:val="24"/>
        </w:rPr>
      </w:r>
      <w:commentRangeEnd w:id="4"/>
      <w:r>
        <w:commentReference w:id="4"/>
      </w:r>
      <w:r>
        <w:rPr>
          <w:rFonts w:eastAsia="Calibri" w:cs="Times New Roman" w:ascii="Times New Roman" w:hAnsi="Times New Roman" w:eastAsiaTheme="minorHAnsi"/>
          <w:color w:themeColor="text1" w:val="000000"/>
          <w:sz w:val="24"/>
          <w:szCs w:val="24"/>
        </w:rPr>
        <w:t xml:space="preserve"> injections on </w:t>
      </w:r>
      <w:r>
        <w:rPr>
          <w:rFonts w:eastAsia="Calibri" w:cs="Times New Roman" w:ascii="Times New Roman" w:hAnsi="Times New Roman" w:eastAsiaTheme="minorHAnsi"/>
          <w:color w:val="C9211E"/>
          <w:sz w:val="24"/>
          <w:szCs w:val="24"/>
        </w:rPr>
        <w:t>Intraocular Pressure</w:t>
      </w:r>
      <w:r>
        <w:rPr>
          <w:rFonts w:eastAsia="Calibri" w:cs="Times New Roman" w:ascii="Times New Roman" w:hAnsi="Times New Roman" w:eastAsiaTheme="minorHAnsi"/>
          <w:color w:themeColor="text1" w:val="000000"/>
          <w:sz w:val="24"/>
          <w:szCs w:val="24"/>
        </w:rPr>
        <w:t xml:space="preserve">, particularly in diverse populations and settings, is incomplete. Additionally, the most effective monitoring and management strategies for patients at risk of OHT following </w:t>
      </w:r>
      <w:r>
        <w:rPr>
          <w:rFonts w:eastAsia="Calibri" w:cs="Times New Roman" w:ascii="Times New Roman" w:hAnsi="Times New Roman" w:eastAsiaTheme="minorHAnsi"/>
          <w:color w:val="C9211E"/>
          <w:sz w:val="24"/>
          <w:szCs w:val="24"/>
        </w:rPr>
        <w:t>Triamcinolone</w:t>
      </w:r>
      <w:r>
        <w:rPr>
          <w:rFonts w:eastAsia="Calibri" w:cs="Times New Roman" w:ascii="Times New Roman" w:hAnsi="Times New Roman" w:eastAsiaTheme="minorHAnsi"/>
          <w:color w:themeColor="text1" w:val="000000"/>
          <w:sz w:val="24"/>
          <w:szCs w:val="24"/>
        </w:rPr>
        <w:t xml:space="preserve"> injections are not well-defined, contributing to the continuation of the problem.</w:t>
      </w:r>
    </w:p>
    <w:p>
      <w:pPr>
        <w:pStyle w:val="NoSpacing"/>
        <w:spacing w:lineRule="auto" w:line="360"/>
        <w:jc w:val="both"/>
        <w:rPr>
          <w:rFonts w:ascii="Times New Roman" w:hAnsi="Times New Roman" w:eastAsia="Calibri" w:cs="Times New Roman" w:eastAsiaTheme="minorHAnsi"/>
          <w:color w:themeColor="text1" w:val="000000"/>
          <w:sz w:val="24"/>
          <w:szCs w:val="24"/>
        </w:rPr>
      </w:pPr>
      <w:r>
        <w:rPr>
          <w:rFonts w:eastAsia="Calibri" w:cs="Times New Roman" w:eastAsiaTheme="minorHAnsi" w:ascii="Times New Roman" w:hAnsi="Times New Roman"/>
          <w:color w:themeColor="text1" w:val="000000"/>
          <w:sz w:val="24"/>
          <w:szCs w:val="24"/>
        </w:rPr>
      </w:r>
    </w:p>
    <w:p>
      <w:pPr>
        <w:pStyle w:val="NoSpacing"/>
        <w:spacing w:lineRule="auto" w:line="360"/>
        <w:jc w:val="both"/>
        <w:rPr>
          <w:rFonts w:ascii="Times New Roman" w:hAnsi="Times New Roman" w:eastAsia="Calibri" w:cs="Times New Roman" w:eastAsiaTheme="minorHAnsi"/>
          <w:i/>
          <w:i/>
          <w:color w:themeColor="text1" w:val="000000"/>
          <w:sz w:val="24"/>
          <w:szCs w:val="24"/>
        </w:rPr>
      </w:pPr>
      <w:commentRangeStart w:id="5"/>
      <w:r>
        <w:rPr>
          <w:rFonts w:eastAsia="Calibri" w:cs="Times New Roman" w:ascii="Times New Roman" w:hAnsi="Times New Roman" w:eastAsiaTheme="minorHAnsi"/>
          <w:i/>
          <w:color w:themeColor="text1" w:val="000000"/>
          <w:sz w:val="24"/>
          <w:szCs w:val="24"/>
        </w:rPr>
        <w:t>Objectives</w:t>
      </w:r>
    </w:p>
    <w:p>
      <w:pPr>
        <w:pStyle w:val="NormalWeb"/>
        <w:spacing w:lineRule="auto" w:line="360" w:beforeAutospacing="0" w:before="0" w:afterAutospacing="0" w:after="0"/>
        <w:jc w:val="both"/>
        <w:rPr/>
      </w:pPr>
      <w:r>
        <w:rPr/>
        <w:t>To determine the incidence, pattern, and risk factors associated with ocular hypertension following intravitreal triamcinolone injections among macular edema patients attending Kilimanjaro Christian Medical Centre (KCMC) from 2024 to 2025.</w:t>
      </w:r>
      <w:commentRangeEnd w:id="5"/>
      <w:r>
        <w:commentReference w:id="5"/>
      </w:r>
      <w:r>
        <w:rPr/>
      </w:r>
    </w:p>
    <w:p>
      <w:pPr>
        <w:pStyle w:val="NormalWeb"/>
        <w:spacing w:lineRule="auto" w:line="360" w:beforeAutospacing="0" w:before="0" w:afterAutospacing="0" w:after="0"/>
        <w:jc w:val="both"/>
        <w:rPr/>
      </w:pPr>
      <w:r>
        <w:rPr/>
      </w:r>
    </w:p>
    <w:p>
      <w:pPr>
        <w:pStyle w:val="NormalWeb"/>
        <w:spacing w:lineRule="auto" w:line="360" w:beforeAutospacing="0" w:before="0" w:afterAutospacing="0" w:after="0"/>
        <w:jc w:val="both"/>
        <w:rPr/>
      </w:pPr>
      <w:r>
        <w:rPr>
          <w:rStyle w:val="Strong"/>
          <w:color w:themeColor="text1" w:val="000000"/>
        </w:rPr>
        <w:t>Materials and Methods</w:t>
      </w:r>
    </w:p>
    <w:p>
      <w:pPr>
        <w:pStyle w:val="NormalWeb"/>
        <w:spacing w:lineRule="auto" w:line="360" w:beforeAutospacing="0" w:before="0" w:afterAutospacing="0" w:after="0"/>
        <w:jc w:val="both"/>
        <w:rPr/>
      </w:pPr>
      <w:r>
        <w:rPr>
          <w:color w:themeColor="text1" w:val="000000"/>
        </w:rPr>
        <w:t xml:space="preserve">This was a hospital-based prospective cohort study conducted at the Kilimanjaro Christian Medical Centre's (KCMC) Eye Department from September 2024 to May 2025. The department, a zonal referral hospital located in Moshi Municipality, Kilimanjaro Region, serves over 15 million people across Northern Tanzania and handles more than 38,000 eye patients annually. It is the primary referral center for ophthalmic care in Kilimanjaro, Arusha, Tanga, and Manyara regions. The department also provides training for a range of eye care professionals and manages over 2,466 patients with diabetic retinopathy per year. The study included all adult patients diagnosed with macular edema and scheduled for intravitreal triamcinolone injection at KCMC's Eye Department during the study period. Inclusion criteria </w:t>
      </w:r>
      <w:r>
        <w:rPr>
          <w:strike/>
          <w:color w:themeColor="text1" w:val="000000"/>
        </w:rPr>
        <w:t>required patients to be</w:t>
      </w:r>
      <w:r>
        <w:rPr>
          <w:color w:themeColor="text1" w:val="000000"/>
        </w:rPr>
        <w:t xml:space="preserve"> adults </w:t>
      </w:r>
      <w:r>
        <w:rPr>
          <w:color w:themeColor="text1" w:val="000000"/>
        </w:rPr>
        <w:t xml:space="preserve">patients </w:t>
      </w:r>
      <w:r>
        <w:rPr>
          <w:color w:themeColor="text1" w:val="000000"/>
        </w:rPr>
        <w:t>with macular edema receiving triamcinolone injection, while those with previously undocumented raised intraocular pressure (IOP &gt; 21 mmHg), prior intravitreal triamcinolone injections in the same eye within six months, eyes that had undergone vitrectomy and silicone oil fill, conditions hindering reliable IOP measurement such as corneal scars, or a history of allergies or adverse drug reactions were excluded.</w:t>
      </w:r>
    </w:p>
    <w:p>
      <w:pPr>
        <w:pStyle w:val="NormalWeb"/>
        <w:spacing w:lineRule="auto" w:line="360" w:before="280" w:after="280"/>
        <w:rPr>
          <w:color w:themeColor="text1" w:val="000000"/>
        </w:rPr>
      </w:pPr>
      <w:r>
        <w:rPr>
          <w:color w:themeColor="text1" w:val="000000"/>
        </w:rPr>
        <w:t xml:space="preserve">A minimum sample size of 96 participants was used, obtained from a previous similar study conducted in India. </w:t>
      </w:r>
      <w:r>
        <w:rPr>
          <w:color w:themeColor="text1" w:val="000000"/>
        </w:rPr>
        <w:commentReference w:id="6"/>
      </w:r>
      <w:r>
        <w:rPr>
          <w:color w:themeColor="text1" w:val="000000"/>
        </w:rPr>
        <w:t xml:space="preserve">A consecutive sampling technique was </w:t>
      </w:r>
      <w:r>
        <w:rPr>
          <w:color w:themeColor="text1" w:val="000000"/>
        </w:rPr>
        <w:t xml:space="preserve">used. </w:t>
      </w:r>
      <w:r>
        <w:rPr>
          <w:color w:themeColor="text1" w:val="000000"/>
        </w:rPr>
        <w:t xml:space="preserve"> </w:t>
      </w:r>
      <w:r>
        <w:rPr>
          <w:strike/>
          <w:color w:themeColor="text1" w:val="000000"/>
        </w:rPr>
        <w:t>employed until the required sample size was reached.</w:t>
      </w:r>
      <w:r>
        <w:rPr>
          <w:color w:themeColor="text1" w:val="000000"/>
        </w:rPr>
        <w:t xml:space="preserve"> </w:t>
      </w:r>
      <w:r>
        <w:rPr>
          <w:color w:themeColor="text1" w:val="000000"/>
          <w:shd w:fill="FFFF00" w:val="clear"/>
        </w:rPr>
        <w:t>The study compared the exposed eye (receiving triamcinolone injection) with the non-injected fellow eye. T</w:t>
      </w:r>
      <w:r>
        <w:rPr>
          <w:color w:themeColor="text1" w:val="000000"/>
        </w:rPr>
        <w:t>he dependent variable was intraocular pressure change</w:t>
      </w:r>
      <w:r>
        <w:rPr>
          <w:color w:themeColor="text1" w:val="000000"/>
        </w:rPr>
        <w:t>s</w:t>
      </w:r>
      <w:r>
        <w:rPr>
          <w:color w:themeColor="text1" w:val="000000"/>
        </w:rPr>
        <w:t xml:space="preserve"> following the</w:t>
      </w:r>
      <w:r>
        <w:rPr>
          <w:color w:themeColor="text1" w:val="000000"/>
          <w:shd w:fill="FFFF00" w:val="clear"/>
        </w:rPr>
        <w:t xml:space="preserve"> </w:t>
      </w:r>
      <w:r>
        <w:rPr>
          <w:color w:themeColor="text1" w:val="000000"/>
          <w:shd w:fill="FFFF00" w:val="clear"/>
        </w:rPr>
        <w:t xml:space="preserve">intravitreal </w:t>
      </w:r>
      <w:r>
        <w:rPr>
          <w:color w:themeColor="text1" w:val="000000"/>
        </w:rPr>
        <w:t>injection. Independent variables included visual acuity, demographic data (age, sex), lens status, number of previous injections, indications for injection such as cystoid macular edema (CME), diabetic macular edema (DME), retinal vein occlusion (RVO), age-related macular degeneration (AMD), and post-uveitis conditions, history of YAG capsulotomy, panretinal photocoagulation (PRP), retinal surgery, and systemic hypertension. Data collection was performed using structured tools that gathered demographic and clinical data through interviews and physical examinations. Data were also extracted from the hospital’s electronic medical records and, when necessary, from paper records. Key information collected included lens status, previous injections, and other relevant ocular history.</w:t>
      </w:r>
    </w:p>
    <w:p>
      <w:pPr>
        <w:pStyle w:val="NormalWeb"/>
        <w:spacing w:lineRule="auto" w:line="360" w:before="280" w:after="280"/>
        <w:rPr>
          <w:color w:themeColor="text1" w:val="000000"/>
        </w:rPr>
      </w:pPr>
      <w:r>
        <w:rPr>
          <w:color w:themeColor="text1" w:val="000000"/>
        </w:rPr>
        <w:t>Patients underwent ophthalmologic examinations, including measurement of visual acuity, slit-lamp evaluation, IOP using an Icare IC100 tonometer, fundus examination, and optical coherence tomography (OCT) when needed. All procedures were conducted by a trained senior ophthalmology resident, who also administered the injections. The intravitreal triamcinolone injection was performed under aseptic conditions in a minor operating theater using topical anesthesia. The procedure included irrigation of the conjunctival fornices with 5% povidone-iodine and disinfection of the periorbital skin and lid margin with 10% povidone-iodine. Sterile drapes and a lid speculum were applied. Triamcinolone was drawn into a tuberculin syringe or 30G needle and injected through the inferotemporal or superotemporal pars plana at 3.5 mm from the limbus in pseudophakic eyes and 4 mm in phakic eyes. Firm pressure was applied to the injection site with a sterile cotton-tip applicator for at least five seconds post-injection to reduce vitreous reflux.</w:t>
      </w:r>
    </w:p>
    <w:p>
      <w:pPr>
        <w:pStyle w:val="NormalWeb"/>
        <w:spacing w:lineRule="auto" w:line="360" w:before="280" w:after="280"/>
        <w:rPr>
          <w:color w:themeColor="text1" w:val="000000"/>
        </w:rPr>
      </w:pPr>
      <w:r>
        <w:rPr>
          <w:color w:themeColor="text1" w:val="000000"/>
        </w:rPr>
        <w:t>Baseline IOP was recorded five minutes before injection, immediately after injection, and again at two and six weeks during follow-up visits. Each IOP measurement was taken three times, and the average was used for analysis. The primary outcome was the proportion of eyes developing sustained IOP elevation, defined as either an IOP &gt; 21 mmHg or an increase greater than 20% from baseline. All patient care and study procedures adhered to the Declaration of Helsinki and Good Clinical Practice principles. Ethical approval was obtained from the KCMC University Research and Ethics Committee (Ref No PG 98/2024), and written informed consent was obtained from all participants. Permission to conduct the study was granted by the Hospital Executive Director and the Head of the Ophthalmology Department.</w:t>
      </w:r>
      <w:r>
        <w:rPr>
          <w:color w:themeColor="text1" w:val="000000"/>
        </w:rPr>
        <w:commentReference w:id="7"/>
      </w:r>
    </w:p>
    <w:p>
      <w:pPr>
        <w:pStyle w:val="NormalWeb"/>
        <w:spacing w:lineRule="auto" w:line="360" w:before="280" w:after="280"/>
        <w:rPr>
          <w:color w:themeColor="text1" w:val="000000"/>
        </w:rPr>
      </w:pPr>
      <w:r>
        <w:rPr>
          <w:color w:themeColor="text1" w:val="000000"/>
        </w:rPr>
        <w:t>Data management included regular checks of the data collection tools to ensure completeness and consistency. The data were entered into SPSS Version 25 and cleaned before analysis. Descriptive statistics were generated, and the relationship between IOP and potential predictors was assessed using Pearson correlation and paired sample t-tests. Repeated-measures linear regression was used to evaluate changes in IOP over time. Variables significantly associated with IOP changes in univariate analysis were further analyzed using multivariate regression to determine independent predictors. A p-value of less than 0.05 was considered statistically significant. Patients with a prior history of glaucoma were identified based on clinical signs of glaucomatous optic neuropathy and prior use of IOP-lowering medications.</w:t>
      </w:r>
    </w:p>
    <w:p>
      <w:pPr>
        <w:pStyle w:val="NormalWeb"/>
        <w:spacing w:lineRule="auto" w:line="360" w:before="280" w:after="280"/>
        <w:rPr>
          <w:color w:themeColor="text1" w:val="000000"/>
        </w:rPr>
      </w:pPr>
      <w:r>
        <w:rPr>
          <w:color w:themeColor="text1" w:val="000000"/>
        </w:rPr>
        <w:t>Following completion of the study, the final report was submitted to the Department of Public Health at KCMC University and later prepared for publication in BMC. Copies were also delivered to the college and the KCMC Eye Department libraries for reference and academic use.</w:t>
      </w:r>
    </w:p>
    <w:p>
      <w:pPr>
        <w:pStyle w:val="Heading2"/>
        <w:spacing w:lineRule="auto" w:line="360"/>
        <w:rPr>
          <w:rFonts w:ascii="Times New Roman" w:hAnsi="Times New Roman" w:eastAsia="SimSun" w:cs="Times New Roman"/>
          <w:b/>
          <w:color w:themeColor="text1" w:val="000000"/>
          <w:sz w:val="24"/>
          <w:szCs w:val="24"/>
        </w:rPr>
      </w:pPr>
      <w:bookmarkStart w:id="2" w:name="_Toc201688042"/>
      <w:r>
        <w:rPr>
          <w:rFonts w:eastAsia="SimSun" w:cs="Times New Roman" w:ascii="Times New Roman" w:hAnsi="Times New Roman"/>
          <w:b/>
          <w:color w:themeColor="text1" w:val="000000"/>
          <w:sz w:val="24"/>
          <w:szCs w:val="24"/>
        </w:rPr>
        <w:t>Results</w:t>
      </w:r>
      <w:bookmarkEnd w:id="2"/>
    </w:p>
    <w:p>
      <w:pPr>
        <w:pStyle w:val="Normal"/>
        <w:spacing w:lineRule="auto" w:line="360" w:before="0" w:after="20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A total of 110 participants who met the inclusion criteria were included in the analysis (</w:t>
      </w:r>
      <w:r>
        <w:rPr>
          <w:rFonts w:eastAsia="SimSun" w:cs="Times New Roman" w:ascii="Times New Roman" w:hAnsi="Times New Roman"/>
          <w:b/>
          <w:color w:themeColor="text1" w:val="000000"/>
          <w:sz w:val="24"/>
          <w:szCs w:val="24"/>
        </w:rPr>
        <w:t>Table 1</w:t>
      </w:r>
      <w:r>
        <w:rPr>
          <w:rFonts w:eastAsia="SimSun" w:cs="Times New Roman" w:ascii="Times New Roman" w:hAnsi="Times New Roman"/>
          <w:color w:themeColor="text1" w:val="000000"/>
          <w:sz w:val="24"/>
          <w:szCs w:val="24"/>
        </w:rPr>
        <w:t>). The median age was 65 years (interquartile range, 56-72 years). Among the participants enrolled, 68 (61.8%) were aged more than 70 years, and 57(51.8%) were male, where most lived in urban 71(64.5%). Half of the participants were hypertensive 56(50.9%), and 64 (58.2%) had pseudophakic eyes. Additionally, 42 (38.2%) eyes had undergone YAG laser capsulotomy, and 102 (92.7%) eyes had not undergone Retinal surgery.</w:t>
      </w:r>
    </w:p>
    <w:p>
      <w:pPr>
        <w:pStyle w:val="Normal"/>
        <w:spacing w:lineRule="auto" w:line="360" w:before="240" w:after="0"/>
        <w:rPr>
          <w:rFonts w:ascii="Times New Roman" w:hAnsi="Times New Roman" w:eastAsia="SimSun" w:cs="Times New Roman"/>
          <w:b/>
          <w:bCs/>
          <w:color w:themeColor="text1" w:val="000000"/>
          <w:sz w:val="24"/>
          <w:szCs w:val="24"/>
        </w:rPr>
      </w:pPr>
      <w:bookmarkStart w:id="3" w:name="_Toc201683029"/>
      <w:r>
        <w:rPr>
          <w:rFonts w:eastAsia="SimSun" w:cs="Times New Roman" w:ascii="Times New Roman" w:hAnsi="Times New Roman"/>
          <w:b/>
          <w:bCs/>
          <w:color w:themeColor="text1" w:val="000000"/>
          <w:sz w:val="24"/>
          <w:szCs w:val="24"/>
        </w:rPr>
        <w:t xml:space="preserve">Table </w:t>
      </w:r>
      <w:r>
        <w:rPr>
          <w:rFonts w:eastAsia="SimSun" w:cs="Times New Roman" w:ascii="Times New Roman" w:hAnsi="Times New Roman"/>
          <w:b/>
          <w:bCs/>
          <w:color w:themeColor="text1" w:val="000000"/>
          <w:sz w:val="24"/>
          <w:szCs w:val="24"/>
        </w:rPr>
        <w:fldChar w:fldCharType="begin"/>
      </w:r>
      <w:r>
        <w:rPr>
          <w:sz w:val="24"/>
          <w:b/>
          <w:szCs w:val="24"/>
          <w:bCs/>
          <w:rFonts w:eastAsia="SimSun" w:cs="Times New Roman" w:ascii="Times New Roman" w:hAnsi="Times New Roman"/>
          <w:color w:themeColor="text1" w:val="000000"/>
        </w:rPr>
        <w:instrText xml:space="preserve"> SEQ Table \* ARABIC </w:instrText>
      </w:r>
      <w:r>
        <w:rPr>
          <w:sz w:val="24"/>
          <w:b/>
          <w:szCs w:val="24"/>
          <w:bCs/>
          <w:rFonts w:eastAsia="SimSun" w:cs="Times New Roman" w:ascii="Times New Roman" w:hAnsi="Times New Roman"/>
          <w:color w:themeColor="text1" w:val="000000"/>
        </w:rPr>
        <w:fldChar w:fldCharType="separate"/>
      </w:r>
      <w:r>
        <w:rPr>
          <w:sz w:val="24"/>
          <w:b/>
          <w:szCs w:val="24"/>
          <w:bCs/>
          <w:rFonts w:eastAsia="SimSun" w:cs="Times New Roman" w:ascii="Times New Roman" w:hAnsi="Times New Roman"/>
          <w:color w:themeColor="text1" w:val="000000"/>
        </w:rPr>
        <w:t>1</w:t>
      </w:r>
      <w:r>
        <w:rPr>
          <w:sz w:val="24"/>
          <w:b/>
          <w:szCs w:val="24"/>
          <w:bCs/>
          <w:rFonts w:eastAsia="SimSun" w:cs="Times New Roman" w:ascii="Times New Roman" w:hAnsi="Times New Roman"/>
          <w:color w:themeColor="text1" w:val="000000"/>
        </w:rPr>
        <w:fldChar w:fldCharType="end"/>
      </w:r>
      <w:r>
        <w:rPr>
          <w:rFonts w:eastAsia="SimSun" w:cs="Times New Roman" w:ascii="Times New Roman" w:hAnsi="Times New Roman"/>
          <w:b/>
          <w:bCs/>
          <w:color w:themeColor="text1" w:val="000000"/>
          <w:sz w:val="24"/>
          <w:szCs w:val="24"/>
        </w:rPr>
        <w:t>: Participants’ background characteristics (N=110).</w:t>
      </w:r>
      <w:bookmarkEnd w:id="3"/>
    </w:p>
    <w:tbl>
      <w:tblPr>
        <w:tblStyle w:val="TableGrid2"/>
        <w:tblW w:w="90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49"/>
        <w:gridCol w:w="2226"/>
        <w:gridCol w:w="1965"/>
      </w:tblGrid>
      <w:tr>
        <w:trPr>
          <w:trHeight w:val="267" w:hRule="atLeast"/>
        </w:trPr>
        <w:tc>
          <w:tcPr>
            <w:tcW w:w="4849" w:type="dxa"/>
            <w:tcBorders>
              <w:left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Variable</w:t>
            </w:r>
          </w:p>
        </w:tc>
        <w:tc>
          <w:tcPr>
            <w:tcW w:w="2226"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Frequency</w:t>
            </w:r>
          </w:p>
        </w:tc>
        <w:tc>
          <w:tcPr>
            <w:tcW w:w="1965"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Percentage</w:t>
            </w:r>
          </w:p>
        </w:tc>
      </w:tr>
      <w:tr>
        <w:trPr>
          <w:trHeight w:val="267" w:hRule="atLeast"/>
        </w:trPr>
        <w:tc>
          <w:tcPr>
            <w:tcW w:w="4849" w:type="dxa"/>
            <w:tcBorders>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Sex of the participant</w:t>
            </w:r>
          </w:p>
        </w:tc>
        <w:tc>
          <w:tcPr>
            <w:tcW w:w="2226"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Male</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53</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48.2</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Female</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57</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51.8</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Age of the participant</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w:t>
            </w:r>
            <w:r>
              <w:rPr>
                <w:rFonts w:eastAsia="Times New Roman" w:cs="Times New Roman" w:ascii="Times New Roman" w:hAnsi="Times New Roman"/>
                <w:color w:themeColor="text1" w:val="000000"/>
                <w:kern w:val="0"/>
                <w:sz w:val="24"/>
                <w:szCs w:val="24"/>
                <w:lang w:val="en-US" w:eastAsia="en-US" w:bidi="ar-SA"/>
              </w:rPr>
              <w:t>70</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68</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61.8</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&gt;70</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42</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38.2</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i/>
                <w:iCs/>
                <w:color w:themeColor="text1" w:val="000000"/>
                <w:kern w:val="0"/>
                <w:sz w:val="24"/>
                <w:szCs w:val="24"/>
                <w:lang w:val="en-US" w:eastAsia="en-US" w:bidi="ar-SA"/>
              </w:rPr>
              <w:t>Median (IQR)</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65(56-72)</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Residence</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Urban</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71</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64.5</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Rural</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39</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35.5</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Lens status</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Phakic</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46</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41.8</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Pseudophakic</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64</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58.2</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Hypertension</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56</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50.9</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54</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49.1</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YAG laser capsulotomy</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42</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38.2</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68</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61.8</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History of retina surgery</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8</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7.3</w:t>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102</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92.7</w:t>
            </w:r>
          </w:p>
        </w:tc>
      </w:tr>
      <w:tr>
        <w:trPr>
          <w:trHeight w:val="267" w:hRule="atLeast"/>
        </w:trPr>
        <w:tc>
          <w:tcPr>
            <w:tcW w:w="484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History of PRP</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67" w:hRule="atLeast"/>
        </w:trPr>
        <w:tc>
          <w:tcPr>
            <w:tcW w:w="484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22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w:t>
            </w:r>
          </w:p>
        </w:tc>
        <w:tc>
          <w:tcPr>
            <w:tcW w:w="196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11.8</w:t>
            </w:r>
          </w:p>
        </w:tc>
      </w:tr>
      <w:tr>
        <w:trPr>
          <w:trHeight w:val="267" w:hRule="atLeast"/>
        </w:trPr>
        <w:tc>
          <w:tcPr>
            <w:tcW w:w="4849" w:type="dxa"/>
            <w:tcBorders>
              <w:top w:val="nil"/>
              <w:left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2226"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97</w:t>
            </w:r>
          </w:p>
        </w:tc>
        <w:tc>
          <w:tcPr>
            <w:tcW w:w="1965"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88.2</w:t>
            </w:r>
            <w:bookmarkStart w:id="4" w:name="_Hlk197779636"/>
            <w:bookmarkEnd w:id="4"/>
          </w:p>
        </w:tc>
      </w:tr>
    </w:tbl>
    <w:p>
      <w:pPr>
        <w:pStyle w:val="Normal"/>
        <w:spacing w:lineRule="auto" w:line="360" w:before="0" w:after="20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Normal"/>
        <w:spacing w:lineRule="auto" w:line="360" w:before="0" w:after="20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Normal"/>
        <w:spacing w:lineRule="auto" w:line="360" w:before="0" w:after="20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Normal"/>
        <w:spacing w:lineRule="auto" w:line="360" w:before="0" w:after="20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Heading2"/>
        <w:spacing w:lineRule="auto" w:line="360"/>
        <w:rPr>
          <w:rFonts w:ascii="Times New Roman" w:hAnsi="Times New Roman" w:eastAsia="Calibri" w:cs="Times New Roman"/>
          <w:color w:themeColor="text1" w:val="000000"/>
          <w:sz w:val="24"/>
          <w:szCs w:val="24"/>
        </w:rPr>
      </w:pPr>
      <w:bookmarkStart w:id="5" w:name="_Toc201688043"/>
      <w:r>
        <w:rPr>
          <w:rFonts w:eastAsia="Calibri" w:cs="Times New Roman" w:ascii="Times New Roman" w:hAnsi="Times New Roman"/>
          <w:color w:themeColor="text1" w:val="000000"/>
          <w:sz w:val="24"/>
          <w:szCs w:val="24"/>
        </w:rPr>
        <w:t>4.1 Indication for Triamcinolone intraocular injection</w:t>
      </w:r>
      <w:bookmarkEnd w:id="5"/>
    </w:p>
    <w:p>
      <w:pPr>
        <w:pStyle w:val="Normal"/>
        <w:spacing w:lineRule="auto" w:line="360" w:before="0" w:after="20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shd w:fill="FFFFFF" w:val="clear"/>
        </w:rPr>
        <w:t>Cystoid macular edema (CME) was</w:t>
      </w:r>
      <w:r>
        <w:rPr>
          <w:rFonts w:eastAsia="SimSun" w:cs="Times New Roman" w:ascii="Times New Roman" w:hAnsi="Times New Roman"/>
          <w:color w:themeColor="text1" w:val="000000"/>
          <w:sz w:val="24"/>
          <w:szCs w:val="24"/>
        </w:rPr>
        <w:t xml:space="preserve"> the leading indication for Triamcinolone intraocular injection, followed by Diabetic macular edema (29.1%), retinal vein occlusion (9.1%), AMD (4.5%), choroidal neovascularization (2.7%) (</w:t>
      </w:r>
      <w:r>
        <w:rPr>
          <w:rFonts w:eastAsia="SimSun" w:cs="Times New Roman" w:ascii="Times New Roman" w:hAnsi="Times New Roman"/>
          <w:b/>
          <w:color w:themeColor="text1" w:val="000000"/>
          <w:sz w:val="24"/>
          <w:szCs w:val="24"/>
        </w:rPr>
        <w:t>Figure1</w:t>
      </w:r>
      <w:r>
        <w:rPr>
          <w:rFonts w:eastAsia="SimSun" w:cs="Times New Roman" w:ascii="Times New Roman" w:hAnsi="Times New Roman"/>
          <w:color w:themeColor="text1" w:val="000000"/>
          <w:sz w:val="24"/>
          <w:szCs w:val="24"/>
        </w:rPr>
        <w:t>).</w:t>
      </w:r>
    </w:p>
    <w:p>
      <w:pPr>
        <w:pStyle w:val="Normal"/>
        <w:spacing w:lineRule="auto" w:line="360" w:before="0" w:after="200"/>
        <w:rPr>
          <w:rFonts w:ascii="Times New Roman" w:hAnsi="Times New Roman" w:eastAsia="SimSun" w:cs="Times New Roman"/>
          <w:color w:themeColor="text1" w:val="000000"/>
          <w:sz w:val="24"/>
          <w:szCs w:val="24"/>
        </w:rPr>
      </w:pPr>
      <w:bookmarkStart w:id="6" w:name="_Toc171518290"/>
      <w:bookmarkEnd w:id="6"/>
      <w:r>
        <w:rPr/>
        <w:drawing>
          <wp:inline distT="0" distB="0" distL="0" distR="0">
            <wp:extent cx="5671820" cy="3448050"/>
            <wp:effectExtent l="0" t="0" r="0" b="0"/>
            <wp:docPr id="4" name="Chart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360" w:before="240" w:after="0"/>
        <w:rPr>
          <w:rFonts w:ascii="Times New Roman" w:hAnsi="Times New Roman" w:eastAsia="SimSun" w:cs="Times New Roman"/>
          <w:b/>
          <w:bCs/>
          <w:color w:themeColor="text1" w:val="000000"/>
          <w:sz w:val="24"/>
          <w:szCs w:val="24"/>
        </w:rPr>
      </w:pPr>
      <w:bookmarkStart w:id="7" w:name="_Toc201683027"/>
      <w:bookmarkStart w:id="8" w:name="_Toc171518294"/>
      <w:r>
        <w:rPr>
          <w:rFonts w:eastAsia="SimSun" w:cs="Times New Roman" w:ascii="Times New Roman" w:hAnsi="Times New Roman"/>
          <w:b/>
          <w:bCs/>
          <w:color w:themeColor="text1" w:val="000000"/>
          <w:sz w:val="24"/>
          <w:szCs w:val="24"/>
        </w:rPr>
        <w:t xml:space="preserve">Figure </w:t>
      </w:r>
      <w:r>
        <w:rPr>
          <w:rFonts w:eastAsia="SimSun" w:cs="Times New Roman" w:ascii="Times New Roman" w:hAnsi="Times New Roman"/>
          <w:b/>
          <w:bCs/>
          <w:color w:themeColor="text1" w:val="000000"/>
          <w:sz w:val="24"/>
          <w:szCs w:val="24"/>
        </w:rPr>
        <w:fldChar w:fldCharType="begin"/>
      </w:r>
      <w:r>
        <w:rPr>
          <w:sz w:val="24"/>
          <w:b/>
          <w:szCs w:val="24"/>
          <w:bCs/>
          <w:rFonts w:eastAsia="SimSun" w:cs="Times New Roman" w:ascii="Times New Roman" w:hAnsi="Times New Roman"/>
          <w:color w:themeColor="text1" w:val="000000"/>
        </w:rPr>
        <w:instrText xml:space="preserve"> SEQ Figure \* ARABIC </w:instrText>
      </w:r>
      <w:r>
        <w:rPr>
          <w:sz w:val="24"/>
          <w:b/>
          <w:szCs w:val="24"/>
          <w:bCs/>
          <w:rFonts w:eastAsia="SimSun" w:cs="Times New Roman" w:ascii="Times New Roman" w:hAnsi="Times New Roman"/>
          <w:color w:themeColor="text1" w:val="000000"/>
        </w:rPr>
        <w:fldChar w:fldCharType="separate"/>
      </w:r>
      <w:r>
        <w:rPr>
          <w:sz w:val="24"/>
          <w:b/>
          <w:szCs w:val="24"/>
          <w:bCs/>
          <w:rFonts w:eastAsia="SimSun" w:cs="Times New Roman" w:ascii="Times New Roman" w:hAnsi="Times New Roman"/>
          <w:color w:themeColor="text1" w:val="000000"/>
        </w:rPr>
        <w:t>1</w:t>
      </w:r>
      <w:r>
        <w:rPr>
          <w:sz w:val="24"/>
          <w:b/>
          <w:szCs w:val="24"/>
          <w:bCs/>
          <w:rFonts w:eastAsia="SimSun" w:cs="Times New Roman" w:ascii="Times New Roman" w:hAnsi="Times New Roman"/>
          <w:color w:themeColor="text1" w:val="000000"/>
        </w:rPr>
        <w:fldChar w:fldCharType="end"/>
      </w:r>
      <w:r>
        <w:rPr>
          <w:rFonts w:eastAsia="SimSun" w:cs="Times New Roman" w:ascii="Times New Roman" w:hAnsi="Times New Roman"/>
          <w:b/>
          <w:bCs/>
          <w:color w:themeColor="text1" w:val="000000"/>
          <w:sz w:val="24"/>
          <w:szCs w:val="24"/>
        </w:rPr>
        <w:t>:</w:t>
      </w:r>
      <w:bookmarkStart w:id="9" w:name="_Hlk198499520"/>
      <w:r>
        <w:rPr>
          <w:rFonts w:eastAsia="SimSun" w:cs="Times New Roman" w:ascii="Times New Roman" w:hAnsi="Times New Roman"/>
          <w:b/>
          <w:bCs/>
          <w:color w:themeColor="text1" w:val="000000"/>
          <w:sz w:val="24"/>
          <w:szCs w:val="24"/>
        </w:rPr>
        <w:t xml:space="preserve"> Triamcinolone </w:t>
      </w:r>
      <w:bookmarkEnd w:id="9"/>
      <w:r>
        <w:rPr>
          <w:rFonts w:eastAsia="SimSun" w:cs="Times New Roman" w:ascii="Times New Roman" w:hAnsi="Times New Roman"/>
          <w:b/>
          <w:bCs/>
          <w:color w:themeColor="text1" w:val="000000"/>
          <w:sz w:val="24"/>
          <w:szCs w:val="24"/>
        </w:rPr>
        <w:t>indication among participants (N=110).</w:t>
      </w:r>
      <w:bookmarkEnd w:id="7"/>
      <w:bookmarkEnd w:id="8"/>
    </w:p>
    <w:p>
      <w:pPr>
        <w:pStyle w:val="Normal"/>
        <w:spacing w:lineRule="auto" w:line="360" w:before="0" w:after="20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shd w:fill="FFFFFF" w:val="clear"/>
        </w:rPr>
        <w:t>Cystoid macular edema(</w:t>
      </w:r>
      <w:r>
        <w:rPr>
          <w:rFonts w:eastAsia="SimSun" w:cs="Times New Roman" w:ascii="Times New Roman" w:hAnsi="Times New Roman"/>
          <w:color w:themeColor="text1" w:val="000000"/>
          <w:sz w:val="24"/>
          <w:szCs w:val="24"/>
        </w:rPr>
        <w:t>CME</w:t>
      </w:r>
      <w:r>
        <w:rPr>
          <w:rFonts w:eastAsia="SimSun" w:cs="Times New Roman" w:ascii="Times New Roman" w:hAnsi="Times New Roman"/>
          <w:color w:themeColor="text1" w:val="000000"/>
          <w:sz w:val="24"/>
          <w:szCs w:val="24"/>
          <w:shd w:fill="FFFFFF" w:val="clear"/>
        </w:rPr>
        <w:t>), retinal vein occlusion (RVO), age-related macular degeneration (AMD), and Diabetic macular edema(DME)</w:t>
      </w:r>
    </w:p>
    <w:p>
      <w:pPr>
        <w:pStyle w:val="Heading2"/>
        <w:spacing w:lineRule="auto" w:line="360"/>
        <w:rPr>
          <w:rFonts w:ascii="Times New Roman" w:hAnsi="Times New Roman" w:eastAsia="Calibri" w:cs="Times New Roman"/>
          <w:color w:themeColor="text1" w:val="000000"/>
          <w:sz w:val="24"/>
          <w:szCs w:val="24"/>
        </w:rPr>
      </w:pPr>
      <w:bookmarkStart w:id="10" w:name="_Toc201688044"/>
      <w:r>
        <w:rPr>
          <w:rFonts w:eastAsia="Calibri" w:cs="Times New Roman" w:ascii="Times New Roman" w:hAnsi="Times New Roman"/>
          <w:color w:themeColor="text1" w:val="000000"/>
          <w:sz w:val="24"/>
          <w:szCs w:val="24"/>
        </w:rPr>
        <w:t>4.2 Incidence of Ocular hypertension</w:t>
      </w:r>
      <w:bookmarkEnd w:id="10"/>
    </w:p>
    <w:p>
      <w:pPr>
        <w:pStyle w:val="Normal"/>
        <w:spacing w:lineRule="auto" w:line="360" w:before="0" w:after="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 xml:space="preserve">The overall incidence of ocular hypertension was 35% (39/110). </w:t>
      </w:r>
    </w:p>
    <w:p>
      <w:pPr>
        <w:pStyle w:val="Normal"/>
        <w:spacing w:lineRule="auto" w:line="360" w:before="0" w:after="20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 xml:space="preserve">At each follow-up, the overall incidence of participants with intraocular pressure, immediately after injection, 2 weeks and 6 weeks’ follow-up were 108(98.2%), 37(33.6%) and 34(30.9%) respectively. Among those with immediate IOP, 4(3.7%) persisted for 2 weeks only (4/108) and 34(31.48%) persisted for 6 weeks (34/108) but among those participants whose IOP persisted for 6 weeks, the IOP of two participants were not observed within 2 weeks’ follow-up. The intraocular pressure higher than 21 mmHg were 29(26.4%) and 27(24.5%) that persisted for 2 weeks and 6 weeks’ follow-ups after injection respectively while those who had ocular hypertension more than 5 mmHg from baseline had </w:t>
      </w:r>
      <w:r>
        <w:rPr>
          <w:rFonts w:eastAsia="Calibri" w:cs="Times New Roman" w:ascii="Times New Roman" w:hAnsi="Times New Roman"/>
          <w:color w:themeColor="text1" w:val="000000"/>
          <w:sz w:val="24"/>
          <w:szCs w:val="24"/>
        </w:rPr>
        <w:t xml:space="preserve">8(7.3%) and </w:t>
      </w:r>
      <w:r>
        <w:rPr>
          <w:rFonts w:eastAsia="SimSun" w:cs="Times New Roman" w:ascii="Times New Roman" w:hAnsi="Times New Roman"/>
          <w:color w:themeColor="text1" w:val="000000"/>
          <w:sz w:val="24"/>
          <w:szCs w:val="24"/>
        </w:rPr>
        <w:t>7(7.4%) that persisted for 2 weeks and 6 weeks respectively more details in (</w:t>
      </w:r>
      <w:r>
        <w:rPr>
          <w:rFonts w:eastAsia="SimSun" w:cs="Times New Roman" w:ascii="Times New Roman" w:hAnsi="Times New Roman"/>
          <w:b/>
          <w:color w:themeColor="text1" w:val="000000"/>
          <w:sz w:val="24"/>
          <w:szCs w:val="24"/>
        </w:rPr>
        <w:t>Table 2</w:t>
      </w:r>
      <w:r>
        <w:rPr>
          <w:rFonts w:eastAsia="SimSun" w:cs="Times New Roman" w:ascii="Times New Roman" w:hAnsi="Times New Roman"/>
          <w:color w:themeColor="text1" w:val="000000"/>
          <w:sz w:val="24"/>
          <w:szCs w:val="24"/>
        </w:rPr>
        <w:t>)</w:t>
      </w:r>
    </w:p>
    <w:p>
      <w:pPr>
        <w:pStyle w:val="Caption"/>
        <w:rPr>
          <w:color w:themeColor="text1" w:val="000000"/>
          <w:szCs w:val="24"/>
        </w:rPr>
      </w:pPr>
      <w:bookmarkStart w:id="11" w:name="_Toc201683030"/>
      <w:r>
        <w:rPr>
          <w:color w:themeColor="text1" w:val="000000"/>
          <w:szCs w:val="24"/>
        </w:rPr>
        <w:t xml:space="preserve">Table </w:t>
      </w:r>
      <w:r>
        <w:rPr>
          <w:color w:themeColor="text1" w:val="000000"/>
          <w:szCs w:val="24"/>
        </w:rPr>
        <w:fldChar w:fldCharType="begin"/>
      </w:r>
      <w:r>
        <w:rPr>
          <w:szCs w:val="24"/>
          <w:color w:themeColor="text1" w:val="000000"/>
        </w:rPr>
        <w:instrText xml:space="preserve"> SEQ Table \* ARABIC </w:instrText>
      </w:r>
      <w:r>
        <w:rPr>
          <w:szCs w:val="24"/>
          <w:color w:themeColor="text1" w:val="000000"/>
        </w:rPr>
        <w:fldChar w:fldCharType="separate"/>
      </w:r>
      <w:r>
        <w:rPr>
          <w:szCs w:val="24"/>
          <w:color w:themeColor="text1" w:val="000000"/>
        </w:rPr>
        <w:t>2</w:t>
      </w:r>
      <w:r>
        <w:rPr>
          <w:szCs w:val="24"/>
          <w:color w:themeColor="text1" w:val="000000"/>
        </w:rPr>
        <w:fldChar w:fldCharType="end"/>
      </w:r>
      <w:r>
        <w:rPr>
          <w:color w:themeColor="text1" w:val="000000"/>
          <w:szCs w:val="24"/>
        </w:rPr>
        <w:t xml:space="preserve">: Distribution of IOP readings (Prior to </w:t>
      </w:r>
      <w:commentRangeStart w:id="8"/>
      <w:r>
        <w:rPr>
          <w:color w:val="FF0000"/>
          <w:szCs w:val="24"/>
        </w:rPr>
        <w:t>IOP</w:t>
      </w:r>
      <w:r>
        <w:rPr>
          <w:color w:val="FF0000"/>
          <w:szCs w:val="24"/>
        </w:rPr>
      </w:r>
      <w:commentRangeEnd w:id="8"/>
      <w:r>
        <w:commentReference w:id="8"/>
      </w:r>
      <w:r>
        <w:rPr>
          <w:color w:themeColor="text1" w:val="000000"/>
          <w:szCs w:val="24"/>
        </w:rPr>
        <w:t xml:space="preserve"> Injection to 6 Weeks   After Injection) based on raised levels (N=110)</w:t>
      </w:r>
      <w:bookmarkEnd w:id="11"/>
    </w:p>
    <w:tbl>
      <w:tblPr>
        <w:tblStyle w:val="PlainTable21"/>
        <w:tblW w:w="97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54"/>
        <w:gridCol w:w="1549"/>
        <w:gridCol w:w="2407"/>
        <w:gridCol w:w="2439"/>
      </w:tblGrid>
      <w:tr>
        <w:trPr>
          <w:trHeight w:val="366" w:hRule="atLeast"/>
          <w:cnfStyle w:val="100000000000" w:firstRow="1" w:lastRow="0" w:firstColumn="0" w:lastColumn="0" w:oddVBand="0" w:evenVBand="0" w:oddHBand="0" w:evenHBand="0" w:firstRowFirstColumn="0" w:firstRowLastColumn="0" w:lastRowFirstColumn="0" w:lastRowLastColumn="0"/>
        </w:trPr>
        <w:tc>
          <w:tcPr>
            <w:tcW w:w="33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360" w:before="0" w:after="0"/>
              <w:jc w:val="left"/>
              <w:rPr>
                <w:rFonts w:ascii="Times New Roman" w:hAnsi="Times New Roman" w:eastAsia="SimSun" w:cs="Times New Roman"/>
                <w:color w:themeColor="text1" w:val="000000"/>
                <w:sz w:val="24"/>
                <w:szCs w:val="24"/>
              </w:rPr>
            </w:pPr>
            <w:r>
              <w:rPr>
                <w:rFonts w:eastAsia="SimSun" w:cs="Times New Roman" w:ascii="Times New Roman" w:hAnsi="Times New Roman"/>
                <w:b/>
                <w:bCs/>
                <w:color w:themeColor="text1" w:val="000000"/>
                <w:kern w:val="0"/>
                <w:sz w:val="24"/>
                <w:szCs w:val="24"/>
                <w:lang w:val="en-US" w:eastAsia="en-US" w:bidi="ar-SA"/>
              </w:rPr>
            </w:r>
          </w:p>
        </w:tc>
        <w:tc>
          <w:tcPr>
            <w:tcW w:w="1549" w:type="dxa"/>
            <w:tcBorders/>
          </w:tcPr>
          <w:p>
            <w:pPr>
              <w:pStyle w:val="Normal"/>
              <w:widowControl/>
              <w:spacing w:lineRule="auto" w:line="360"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Normal IOP</w:t>
            </w:r>
          </w:p>
        </w:tc>
        <w:tc>
          <w:tcPr>
            <w:tcW w:w="2407" w:type="dxa"/>
            <w:tcBorders/>
          </w:tcPr>
          <w:p>
            <w:pPr>
              <w:pStyle w:val="Normal"/>
              <w:widowControl/>
              <w:spacing w:lineRule="auto" w:line="360"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Ocular hypertension ≥21 mmHg</w:t>
            </w:r>
          </w:p>
        </w:tc>
        <w:tc>
          <w:tcPr>
            <w:tcW w:w="2439" w:type="dxa"/>
            <w:tcBorders/>
          </w:tcPr>
          <w:p>
            <w:pPr>
              <w:pStyle w:val="Normal"/>
              <w:widowControl/>
              <w:spacing w:lineRule="auto" w:line="360"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Ocular hypertension    &gt;5 mmHg</w:t>
            </w:r>
          </w:p>
        </w:tc>
      </w:tr>
      <w:tr>
        <w:trPr>
          <w:trHeight w:val="61" w:hRule="atLeast"/>
          <w:cnfStyle w:val="000000100000" w:firstRow="0" w:lastRow="0" w:firstColumn="0" w:lastColumn="0" w:oddVBand="0" w:evenVBand="0" w:oddHBand="1" w:evenHBand="0" w:firstRowFirstColumn="0" w:firstRowLastColumn="0" w:lastRowFirstColumn="0" w:lastRowLastColumn="0"/>
        </w:trPr>
        <w:tc>
          <w:tcPr>
            <w:tcW w:w="33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360" w:before="0" w:after="0"/>
              <w:jc w:val="left"/>
              <w:rPr>
                <w:rFonts w:ascii="Times New Roman" w:hAnsi="Times New Roman" w:eastAsia="SimSun" w:cs="Times New Roman"/>
                <w:color w:themeColor="text1" w:val="000000"/>
                <w:sz w:val="24"/>
                <w:szCs w:val="24"/>
              </w:rPr>
            </w:pPr>
            <w:r>
              <w:rPr>
                <w:rFonts w:eastAsia="SimSun" w:cs="Times New Roman" w:ascii="Times New Roman" w:hAnsi="Times New Roman"/>
                <w:b/>
                <w:bCs/>
                <w:color w:themeColor="text1" w:val="000000"/>
                <w:kern w:val="0"/>
                <w:sz w:val="24"/>
                <w:szCs w:val="24"/>
                <w:lang w:val="en-US" w:eastAsia="en-US" w:bidi="ar-SA"/>
              </w:rPr>
            </w:r>
          </w:p>
        </w:tc>
        <w:tc>
          <w:tcPr>
            <w:tcW w:w="154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n (%)</w:t>
            </w:r>
          </w:p>
        </w:tc>
        <w:tc>
          <w:tcPr>
            <w:tcW w:w="2407"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n (%)</w:t>
            </w:r>
          </w:p>
        </w:tc>
        <w:tc>
          <w:tcPr>
            <w:tcW w:w="243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n (%)</w:t>
            </w:r>
          </w:p>
        </w:tc>
      </w:tr>
      <w:tr>
        <w:trPr>
          <w:trHeight w:val="323" w:hRule="atLeast"/>
        </w:trPr>
        <w:tc>
          <w:tcPr>
            <w:tcW w:w="3354"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360" w:before="0" w:after="0"/>
              <w:jc w:val="left"/>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 xml:space="preserve">Prior to </w:t>
            </w:r>
            <w:r>
              <w:rPr>
                <w:rFonts w:eastAsia="Calibri" w:cs="Times New Roman" w:ascii="Times New Roman" w:hAnsi="Times New Roman"/>
                <w:b/>
                <w:bCs/>
                <w:color w:val="FF0000"/>
                <w:kern w:val="0"/>
                <w:sz w:val="24"/>
                <w:szCs w:val="24"/>
                <w:lang w:val="en-US" w:eastAsia="en-US" w:bidi="ar-SA"/>
              </w:rPr>
              <w:t>IOP</w:t>
            </w:r>
            <w:r>
              <w:rPr>
                <w:rFonts w:eastAsia="Calibri" w:cs="Times New Roman" w:ascii="Times New Roman" w:hAnsi="Times New Roman"/>
                <w:b/>
                <w:bCs/>
                <w:color w:themeColor="text1" w:val="000000"/>
                <w:kern w:val="0"/>
                <w:sz w:val="24"/>
                <w:szCs w:val="24"/>
                <w:lang w:val="en-US" w:eastAsia="en-US" w:bidi="ar-SA"/>
              </w:rPr>
              <w:t xml:space="preserve"> Injection</w:t>
            </w:r>
          </w:p>
        </w:tc>
        <w:tc>
          <w:tcPr>
            <w:tcW w:w="1549"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110(100)</w:t>
            </w:r>
          </w:p>
        </w:tc>
        <w:tc>
          <w:tcPr>
            <w:tcW w:w="2407"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w:t>
            </w:r>
          </w:p>
        </w:tc>
        <w:tc>
          <w:tcPr>
            <w:tcW w:w="2439"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w:t>
            </w:r>
          </w:p>
        </w:tc>
      </w:tr>
      <w:tr>
        <w:trPr>
          <w:trHeight w:val="363" w:hRule="atLeast"/>
          <w:cnfStyle w:val="000000100000" w:firstRow="0" w:lastRow="0" w:firstColumn="0" w:lastColumn="0" w:oddVBand="0" w:evenVBand="0" w:oddHBand="1" w:evenHBand="0" w:firstRowFirstColumn="0" w:firstRowLastColumn="0" w:lastRowFirstColumn="0" w:lastRowLastColumn="0"/>
        </w:trPr>
        <w:tc>
          <w:tcPr>
            <w:tcW w:w="33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360" w:before="0" w:after="0"/>
              <w:jc w:val="left"/>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 xml:space="preserve">Immediate After </w:t>
            </w:r>
            <w:r>
              <w:rPr>
                <w:rFonts w:eastAsia="Calibri" w:cs="Times New Roman" w:ascii="Times New Roman" w:hAnsi="Times New Roman"/>
                <w:b/>
                <w:bCs/>
                <w:color w:val="FF0000"/>
                <w:kern w:val="0"/>
                <w:sz w:val="24"/>
                <w:szCs w:val="24"/>
                <w:lang w:val="en-US" w:eastAsia="en-US" w:bidi="ar-SA"/>
              </w:rPr>
              <w:t>IOP</w:t>
            </w:r>
            <w:r>
              <w:rPr>
                <w:rFonts w:eastAsia="Calibri" w:cs="Times New Roman" w:ascii="Times New Roman" w:hAnsi="Times New Roman"/>
                <w:b/>
                <w:bCs/>
                <w:color w:themeColor="text1" w:val="000000"/>
                <w:kern w:val="0"/>
                <w:sz w:val="24"/>
                <w:szCs w:val="24"/>
                <w:lang w:val="en-US" w:eastAsia="en-US" w:bidi="ar-SA"/>
              </w:rPr>
              <w:t xml:space="preserve"> injection</w:t>
            </w:r>
          </w:p>
        </w:tc>
        <w:tc>
          <w:tcPr>
            <w:tcW w:w="154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2(1.8)</w:t>
            </w:r>
          </w:p>
        </w:tc>
        <w:tc>
          <w:tcPr>
            <w:tcW w:w="2407"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99(90)</w:t>
            </w:r>
          </w:p>
        </w:tc>
        <w:tc>
          <w:tcPr>
            <w:tcW w:w="243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9(8.2)</w:t>
            </w:r>
          </w:p>
        </w:tc>
      </w:tr>
      <w:tr>
        <w:trPr>
          <w:trHeight w:val="333" w:hRule="atLeast"/>
        </w:trPr>
        <w:tc>
          <w:tcPr>
            <w:tcW w:w="3354"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360" w:before="0" w:after="0"/>
              <w:jc w:val="left"/>
              <w:rPr>
                <w:rFonts w:ascii="Times New Roman" w:hAnsi="Times New Roman" w:eastAsia="SimSu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IOP at 2 Weeks After Injection</w:t>
            </w:r>
          </w:p>
        </w:tc>
        <w:tc>
          <w:tcPr>
            <w:tcW w:w="1549"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73(66.4)</w:t>
            </w:r>
          </w:p>
        </w:tc>
        <w:tc>
          <w:tcPr>
            <w:tcW w:w="2407"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29(26.4)</w:t>
            </w:r>
          </w:p>
        </w:tc>
        <w:tc>
          <w:tcPr>
            <w:tcW w:w="2439" w:type="dxa"/>
            <w:tcBorders>
              <w:top w:val="nil"/>
              <w:bottom w:val="nil"/>
            </w:tcBorders>
          </w:tcPr>
          <w:p>
            <w:pPr>
              <w:pStyle w:val="Normal"/>
              <w:widowControl/>
              <w:spacing w:lineRule="auto" w:line="360"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8(7.3)</w:t>
            </w:r>
          </w:p>
        </w:tc>
      </w:tr>
      <w:tr>
        <w:trPr>
          <w:trHeight w:val="409" w:hRule="atLeast"/>
          <w:cnfStyle w:val="000000100000" w:firstRow="0" w:lastRow="0" w:firstColumn="0" w:lastColumn="0" w:oddVBand="0" w:evenVBand="0" w:oddHBand="1" w:evenHBand="0" w:firstRowFirstColumn="0" w:firstRowLastColumn="0" w:lastRowFirstColumn="0" w:lastRowLastColumn="0"/>
        </w:trPr>
        <w:tc>
          <w:tcPr>
            <w:tcW w:w="33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360" w:before="0" w:after="0"/>
              <w:jc w:val="left"/>
              <w:rPr>
                <w:rFonts w:ascii="Times New Roman" w:hAnsi="Times New Roman" w:cs="Times New Roman"/>
                <w:color w:themeColor="text1" w:val="000000"/>
                <w:sz w:val="24"/>
                <w:szCs w:val="24"/>
              </w:rPr>
            </w:pPr>
            <w:r>
              <w:rPr>
                <w:rFonts w:eastAsia="Calibri" w:cs="Times New Roman" w:ascii="Times New Roman" w:hAnsi="Times New Roman"/>
                <w:b/>
                <w:bCs/>
                <w:color w:themeColor="text1" w:val="000000"/>
                <w:kern w:val="0"/>
                <w:sz w:val="24"/>
                <w:szCs w:val="24"/>
                <w:lang w:val="en-US" w:eastAsia="en-US" w:bidi="ar-SA"/>
              </w:rPr>
              <w:t>IOP at 6 Weeks After Injection</w:t>
            </w:r>
          </w:p>
        </w:tc>
        <w:tc>
          <w:tcPr>
            <w:tcW w:w="154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76(69.1)</w:t>
            </w:r>
          </w:p>
        </w:tc>
        <w:tc>
          <w:tcPr>
            <w:tcW w:w="2407"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27(24.5)</w:t>
            </w:r>
          </w:p>
        </w:tc>
        <w:tc>
          <w:tcPr>
            <w:tcW w:w="2439" w:type="dxa"/>
            <w:tcBorders/>
          </w:tcPr>
          <w:p>
            <w:pPr>
              <w:pStyle w:val="Normal"/>
              <w:widowControl/>
              <w:spacing w:lineRule="auto" w:line="36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SimSun" w:cs="Times New Roman"/>
                <w:color w:themeColor="text1" w:val="000000"/>
                <w:sz w:val="24"/>
                <w:szCs w:val="24"/>
              </w:rPr>
            </w:pPr>
            <w:r>
              <w:rPr>
                <w:rFonts w:eastAsia="Calibri" w:cs="Times New Roman" w:ascii="Times New Roman" w:hAnsi="Times New Roman"/>
                <w:color w:themeColor="text1" w:val="000000"/>
                <w:kern w:val="0"/>
                <w:sz w:val="24"/>
                <w:szCs w:val="24"/>
                <w:lang w:val="en-US" w:eastAsia="en-US" w:bidi="ar-SA"/>
              </w:rPr>
              <w:t>7(7.4)</w:t>
            </w:r>
          </w:p>
        </w:tc>
      </w:tr>
    </w:tbl>
    <w:p>
      <w:pPr>
        <w:pStyle w:val="Normal"/>
        <w:spacing w:lineRule="auto" w:line="360" w:before="0" w:after="20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Heading2"/>
        <w:spacing w:lineRule="auto" w:line="360"/>
        <w:rPr>
          <w:rFonts w:ascii="Times New Roman" w:hAnsi="Times New Roman" w:eastAsia="Calibri" w:cs="Times New Roman"/>
          <w:color w:themeColor="text1" w:val="000000"/>
          <w:sz w:val="24"/>
          <w:szCs w:val="24"/>
        </w:rPr>
      </w:pPr>
      <w:bookmarkStart w:id="12" w:name="_Toc201688045"/>
      <w:bookmarkStart w:id="13" w:name="_Toc171521425"/>
      <w:r>
        <w:rPr>
          <w:rFonts w:eastAsia="Calibri" w:cs="Times New Roman" w:ascii="Times New Roman" w:hAnsi="Times New Roman"/>
          <w:color w:themeColor="text1" w:val="000000"/>
          <w:sz w:val="24"/>
          <w:szCs w:val="24"/>
        </w:rPr>
        <w:t>4.3 Visual acuity of an injected and fellow eye at beginning and end of the study.</w:t>
      </w:r>
      <w:bookmarkEnd w:id="12"/>
      <w:bookmarkEnd w:id="13"/>
    </w:p>
    <w:p>
      <w:pPr>
        <w:pStyle w:val="Normal"/>
        <w:spacing w:lineRule="auto" w:line="360" w:before="0" w:after="0"/>
        <w:jc w:val="both"/>
        <w:rPr>
          <w:rFonts w:ascii="Times New Roman" w:hAnsi="Times New Roman" w:eastAsia="SimSun" w:cs="Times New Roman"/>
          <w:b/>
          <w:color w:themeColor="text1" w:val="000000"/>
          <w:sz w:val="24"/>
          <w:szCs w:val="24"/>
        </w:rPr>
      </w:pPr>
      <w:r>
        <w:rPr>
          <w:rFonts w:eastAsia="SimSun" w:cs="Times New Roman" w:ascii="Times New Roman" w:hAnsi="Times New Roman"/>
          <w:color w:themeColor="text1" w:val="000000"/>
          <w:sz w:val="24"/>
          <w:szCs w:val="24"/>
        </w:rPr>
        <w:t xml:space="preserve">The mean visual acuity assessed using the logarithm of the minimum angle of resolution (logMAR) scale, for the eye receiving Triamcinolone injections was 0.198(±0.028) pre-treatment and 0.198 (±0.39) post-treatment and the different is statistically significant at P-value&lt;0.001. For the contralateral (control) eye, the mean logMAR visual acuity values were 0.29 (±0.39) before and 0.25 (±0.36) after the study period and Statistical analysis revealed that the variations in mean visual acuity from baseline to follow-up in the control eyes did not reach a level of statistical significance at p-value of =0.08 </w:t>
      </w:r>
      <w:r>
        <w:rPr>
          <w:rFonts w:eastAsia="SimSun" w:cs="Times New Roman" w:ascii="Times New Roman" w:hAnsi="Times New Roman"/>
          <w:b/>
          <w:color w:themeColor="text1" w:val="000000"/>
          <w:sz w:val="24"/>
          <w:szCs w:val="24"/>
        </w:rPr>
        <w:t>(Table 3).</w:t>
      </w:r>
    </w:p>
    <w:p>
      <w:pPr>
        <w:pStyle w:val="Caption"/>
        <w:rPr>
          <w:rFonts w:eastAsia="SimSun"/>
          <w:bCs w:val="false"/>
          <w:color w:themeColor="text1" w:val="000000"/>
          <w:szCs w:val="24"/>
        </w:rPr>
      </w:pPr>
      <w:bookmarkStart w:id="14" w:name="_Toc201683031"/>
      <w:r>
        <w:rPr>
          <w:color w:themeColor="text1" w:val="000000"/>
          <w:szCs w:val="24"/>
        </w:rPr>
        <w:t xml:space="preserve">Table </w:t>
      </w:r>
      <w:r>
        <w:rPr>
          <w:color w:themeColor="text1" w:val="000000"/>
          <w:szCs w:val="24"/>
        </w:rPr>
        <w:fldChar w:fldCharType="begin"/>
      </w:r>
      <w:r>
        <w:rPr>
          <w:szCs w:val="24"/>
          <w:color w:themeColor="text1" w:val="000000"/>
        </w:rPr>
        <w:instrText xml:space="preserve"> SEQ Table \* ARABIC </w:instrText>
      </w:r>
      <w:r>
        <w:rPr>
          <w:szCs w:val="24"/>
          <w:color w:themeColor="text1" w:val="000000"/>
        </w:rPr>
        <w:fldChar w:fldCharType="separate"/>
      </w:r>
      <w:r>
        <w:rPr>
          <w:szCs w:val="24"/>
          <w:color w:themeColor="text1" w:val="000000"/>
        </w:rPr>
        <w:t>3</w:t>
      </w:r>
      <w:r>
        <w:rPr>
          <w:szCs w:val="24"/>
          <w:color w:themeColor="text1" w:val="000000"/>
        </w:rPr>
        <w:fldChar w:fldCharType="end"/>
      </w:r>
      <w:r>
        <w:rPr>
          <w:color w:themeColor="text1" w:val="000000"/>
          <w:szCs w:val="24"/>
        </w:rPr>
        <w:t>: Mean best corrected visual acuity of injected and control eye at first visit and last visit</w:t>
      </w:r>
      <w:bookmarkEnd w:id="14"/>
      <w:r>
        <w:rPr>
          <w:color w:themeColor="text1" w:val="000000"/>
          <w:szCs w:val="24"/>
        </w:rPr>
        <w:commentReference w:id="9"/>
      </w:r>
    </w:p>
    <w:tbl>
      <w:tblPr>
        <w:tblW w:w="89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78"/>
        <w:gridCol w:w="1344"/>
        <w:gridCol w:w="1340"/>
        <w:gridCol w:w="1261"/>
        <w:gridCol w:w="880"/>
        <w:gridCol w:w="111"/>
        <w:gridCol w:w="1052"/>
        <w:gridCol w:w="1088"/>
      </w:tblGrid>
      <w:tr>
        <w:trPr>
          <w:trHeight w:val="332" w:hRule="atLeast"/>
        </w:trPr>
        <w:tc>
          <w:tcPr>
            <w:tcW w:w="1878" w:type="dxa"/>
            <w:tcBorders>
              <w:top w:val="single" w:sz="4" w:space="0" w:color="000000"/>
              <w:bottom w:val="single" w:sz="4" w:space="0" w:color="000000"/>
            </w:tcBorders>
            <w:vAlign w:val="bottom"/>
          </w:tcPr>
          <w:p>
            <w:pPr>
              <w:pStyle w:val="Norma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Variable</w:t>
            </w:r>
          </w:p>
        </w:tc>
        <w:tc>
          <w:tcPr>
            <w:tcW w:w="2684" w:type="dxa"/>
            <w:gridSpan w:val="2"/>
            <w:tcBorders>
              <w:top w:val="single" w:sz="4" w:space="0" w:color="000000"/>
              <w:bottom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Injected Eye</w:t>
            </w:r>
          </w:p>
        </w:tc>
        <w:tc>
          <w:tcPr>
            <w:tcW w:w="1261" w:type="dxa"/>
            <w:tcBorders>
              <w:top w:val="single" w:sz="4" w:space="0" w:color="000000"/>
              <w:bottom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tc>
        <w:tc>
          <w:tcPr>
            <w:tcW w:w="2043" w:type="dxa"/>
            <w:gridSpan w:val="3"/>
            <w:tcBorders>
              <w:top w:val="single" w:sz="4" w:space="0" w:color="000000"/>
              <w:bottom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Control Eye</w:t>
            </w:r>
          </w:p>
        </w:tc>
        <w:tc>
          <w:tcPr>
            <w:tcW w:w="1088" w:type="dxa"/>
            <w:tcBorders>
              <w:top w:val="single" w:sz="4" w:space="0" w:color="000000"/>
              <w:bottom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tc>
      </w:tr>
      <w:tr>
        <w:trPr>
          <w:trHeight w:val="51" w:hRule="atLeast"/>
        </w:trPr>
        <w:tc>
          <w:tcPr>
            <w:tcW w:w="1878" w:type="dxa"/>
            <w:tcBorders>
              <w:top w:val="single" w:sz="4" w:space="0" w:color="000000"/>
            </w:tcBorders>
            <w:vAlign w:val="bottom"/>
          </w:tcPr>
          <w:p>
            <w:pPr>
              <w:pStyle w:val="Norma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tc>
        <w:tc>
          <w:tcPr>
            <w:tcW w:w="1344" w:type="dxa"/>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Mean</w:t>
            </w:r>
          </w:p>
        </w:tc>
        <w:tc>
          <w:tcPr>
            <w:tcW w:w="1340" w:type="dxa"/>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SD</w:t>
            </w:r>
          </w:p>
        </w:tc>
        <w:tc>
          <w:tcPr>
            <w:tcW w:w="1261" w:type="dxa"/>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P-value</w:t>
            </w:r>
          </w:p>
        </w:tc>
        <w:tc>
          <w:tcPr>
            <w:tcW w:w="880" w:type="dxa"/>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Mean</w:t>
            </w:r>
          </w:p>
        </w:tc>
        <w:tc>
          <w:tcPr>
            <w:tcW w:w="1163" w:type="dxa"/>
            <w:gridSpan w:val="2"/>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SD</w:t>
            </w:r>
          </w:p>
        </w:tc>
        <w:tc>
          <w:tcPr>
            <w:tcW w:w="1088" w:type="dxa"/>
            <w:tcBorders>
              <w:top w:val="single" w:sz="4" w:space="0" w:color="000000"/>
            </w:tcBorders>
            <w:vAlign w:val="bottom"/>
          </w:tcPr>
          <w:p>
            <w:pPr>
              <w:pStyle w:val="Norma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P-value</w:t>
            </w:r>
          </w:p>
        </w:tc>
      </w:tr>
      <w:tr>
        <w:trPr>
          <w:trHeight w:val="59" w:hRule="atLeast"/>
        </w:trPr>
        <w:tc>
          <w:tcPr>
            <w:tcW w:w="1878" w:type="dxa"/>
            <w:tcBorders/>
            <w:vAlign w:val="bottom"/>
          </w:tcPr>
          <w:p>
            <w:pPr>
              <w:pStyle w:val="Norma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INITIALBVCA</w:t>
            </w:r>
          </w:p>
        </w:tc>
        <w:tc>
          <w:tcPr>
            <w:tcW w:w="1344" w:type="dxa"/>
            <w:tcBorders/>
            <w:vAlign w:val="bottom"/>
          </w:tcPr>
          <w:p>
            <w:pPr>
              <w:pStyle w:val="Normal"/>
              <w:spacing w:lineRule="auto" w:line="360" w:before="0" w:after="0"/>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         </w:t>
            </w:r>
            <w:r>
              <w:rPr>
                <w:rFonts w:eastAsia="Times New Roman" w:cs="Times New Roman" w:ascii="Times New Roman" w:hAnsi="Times New Roman"/>
                <w:color w:themeColor="text1" w:val="000000"/>
                <w:sz w:val="24"/>
                <w:szCs w:val="24"/>
              </w:rPr>
              <w:t>0.198</w:t>
            </w:r>
          </w:p>
        </w:tc>
        <w:tc>
          <w:tcPr>
            <w:tcW w:w="1340" w:type="dxa"/>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±.028</w:t>
            </w:r>
          </w:p>
        </w:tc>
        <w:tc>
          <w:tcPr>
            <w:tcW w:w="1261" w:type="dxa"/>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c>
        <w:tc>
          <w:tcPr>
            <w:tcW w:w="991" w:type="dxa"/>
            <w:gridSpan w:val="2"/>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15" w:name="_Hlk198499730"/>
            <w:r>
              <w:rPr>
                <w:rFonts w:eastAsia="Times New Roman" w:cs="Times New Roman" w:ascii="Times New Roman" w:hAnsi="Times New Roman"/>
                <w:color w:themeColor="text1" w:val="000000"/>
                <w:sz w:val="24"/>
                <w:szCs w:val="24"/>
              </w:rPr>
              <w:t>0.</w:t>
            </w:r>
            <w:bookmarkEnd w:id="15"/>
            <w:r>
              <w:rPr>
                <w:rFonts w:eastAsia="Times New Roman" w:cs="Times New Roman" w:ascii="Times New Roman" w:hAnsi="Times New Roman"/>
                <w:color w:themeColor="text1" w:val="000000"/>
                <w:sz w:val="24"/>
                <w:szCs w:val="24"/>
              </w:rPr>
              <w:t>29</w:t>
            </w:r>
          </w:p>
        </w:tc>
        <w:tc>
          <w:tcPr>
            <w:tcW w:w="1052" w:type="dxa"/>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16" w:name="_Hlk198499747"/>
            <w:r>
              <w:rPr>
                <w:rFonts w:eastAsia="Times New Roman" w:cs="Times New Roman" w:ascii="Times New Roman" w:hAnsi="Times New Roman"/>
                <w:color w:themeColor="text1" w:val="000000"/>
                <w:sz w:val="24"/>
                <w:szCs w:val="24"/>
              </w:rPr>
              <w:t>±0.39</w:t>
            </w:r>
            <w:bookmarkEnd w:id="16"/>
          </w:p>
        </w:tc>
        <w:tc>
          <w:tcPr>
            <w:tcW w:w="1088" w:type="dxa"/>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bookmarkStart w:id="17" w:name="_Hlk198499558"/>
            <w:bookmarkStart w:id="18" w:name="_Hlk198499558"/>
            <w:bookmarkEnd w:id="18"/>
          </w:p>
        </w:tc>
      </w:tr>
      <w:tr>
        <w:trPr>
          <w:trHeight w:val="332" w:hRule="atLeast"/>
        </w:trPr>
        <w:tc>
          <w:tcPr>
            <w:tcW w:w="1878" w:type="dxa"/>
            <w:tcBorders>
              <w:bottom w:val="single" w:sz="4" w:space="0" w:color="000000"/>
            </w:tcBorders>
            <w:vAlign w:val="bottom"/>
          </w:tcPr>
          <w:p>
            <w:pPr>
              <w:pStyle w:val="Norma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FINAL-BCVA</w:t>
            </w:r>
          </w:p>
        </w:tc>
        <w:tc>
          <w:tcPr>
            <w:tcW w:w="1344" w:type="dxa"/>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0.002</w:t>
            </w:r>
          </w:p>
        </w:tc>
        <w:tc>
          <w:tcPr>
            <w:tcW w:w="1340" w:type="dxa"/>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19" w:name="_Hlk198499622"/>
            <w:r>
              <w:rPr>
                <w:rFonts w:eastAsia="Times New Roman" w:cs="Times New Roman" w:ascii="Times New Roman" w:hAnsi="Times New Roman"/>
                <w:color w:themeColor="text1" w:val="000000"/>
                <w:sz w:val="24"/>
                <w:szCs w:val="24"/>
              </w:rPr>
              <w:t>±0.</w:t>
            </w:r>
            <w:bookmarkEnd w:id="19"/>
            <w:r>
              <w:rPr>
                <w:rFonts w:eastAsia="Times New Roman" w:cs="Times New Roman" w:ascii="Times New Roman" w:hAnsi="Times New Roman"/>
                <w:color w:themeColor="text1" w:val="000000"/>
                <w:sz w:val="24"/>
                <w:szCs w:val="24"/>
              </w:rPr>
              <w:t>037</w:t>
            </w:r>
          </w:p>
        </w:tc>
        <w:tc>
          <w:tcPr>
            <w:tcW w:w="1261" w:type="dxa"/>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&lt;0.001</w:t>
            </w:r>
          </w:p>
        </w:tc>
        <w:tc>
          <w:tcPr>
            <w:tcW w:w="991" w:type="dxa"/>
            <w:gridSpan w:val="2"/>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20" w:name="_Hlk198499698"/>
            <w:r>
              <w:rPr>
                <w:rFonts w:eastAsia="Times New Roman" w:cs="Times New Roman" w:ascii="Times New Roman" w:hAnsi="Times New Roman"/>
                <w:color w:themeColor="text1" w:val="000000"/>
                <w:sz w:val="24"/>
                <w:szCs w:val="24"/>
              </w:rPr>
              <w:t>0.2</w:t>
            </w:r>
            <w:bookmarkEnd w:id="20"/>
            <w:r>
              <w:rPr>
                <w:rFonts w:eastAsia="Times New Roman" w:cs="Times New Roman" w:ascii="Times New Roman" w:hAnsi="Times New Roman"/>
                <w:color w:themeColor="text1" w:val="000000"/>
                <w:sz w:val="24"/>
                <w:szCs w:val="24"/>
              </w:rPr>
              <w:t>5</w:t>
            </w:r>
          </w:p>
        </w:tc>
        <w:tc>
          <w:tcPr>
            <w:tcW w:w="1052" w:type="dxa"/>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21" w:name="_Hlk198499711"/>
            <w:r>
              <w:rPr>
                <w:rFonts w:eastAsia="Times New Roman" w:cs="Times New Roman" w:ascii="Times New Roman" w:hAnsi="Times New Roman"/>
                <w:color w:themeColor="text1" w:val="000000"/>
                <w:sz w:val="24"/>
                <w:szCs w:val="24"/>
              </w:rPr>
              <w:t>±0.</w:t>
            </w:r>
            <w:bookmarkEnd w:id="21"/>
            <w:r>
              <w:rPr>
                <w:rFonts w:eastAsia="Times New Roman" w:cs="Times New Roman" w:ascii="Times New Roman" w:hAnsi="Times New Roman"/>
                <w:color w:themeColor="text1" w:val="000000"/>
                <w:sz w:val="24"/>
                <w:szCs w:val="24"/>
              </w:rPr>
              <w:t>36</w:t>
            </w:r>
          </w:p>
        </w:tc>
        <w:tc>
          <w:tcPr>
            <w:tcW w:w="1088" w:type="dxa"/>
            <w:tcBorders>
              <w:bottom w:val="single" w:sz="4" w:space="0" w:color="000000"/>
            </w:tcBorders>
            <w:vAlign w:val="bottom"/>
          </w:tcPr>
          <w:p>
            <w:pPr>
              <w:pStyle w:val="Normal"/>
              <w:spacing w:lineRule="auto" w:line="360" w:before="0" w:after="0"/>
              <w:jc w:val="center"/>
              <w:rPr>
                <w:rFonts w:ascii="Times New Roman" w:hAnsi="Times New Roman" w:eastAsia="Times New Roman" w:cs="Times New Roman"/>
                <w:color w:themeColor="text1" w:val="000000"/>
                <w:sz w:val="24"/>
                <w:szCs w:val="24"/>
              </w:rPr>
            </w:pPr>
            <w:bookmarkStart w:id="22" w:name="_Hlk198499789"/>
            <w:r>
              <w:rPr>
                <w:rFonts w:eastAsia="Times New Roman" w:cs="Times New Roman" w:ascii="Times New Roman" w:hAnsi="Times New Roman"/>
                <w:color w:themeColor="text1" w:val="000000"/>
                <w:sz w:val="24"/>
                <w:szCs w:val="24"/>
              </w:rPr>
              <w:t>0.0</w:t>
            </w:r>
            <w:bookmarkEnd w:id="22"/>
            <w:r>
              <w:rPr>
                <w:rFonts w:eastAsia="Times New Roman" w:cs="Times New Roman" w:ascii="Times New Roman" w:hAnsi="Times New Roman"/>
                <w:color w:themeColor="text1" w:val="000000"/>
                <w:sz w:val="24"/>
                <w:szCs w:val="24"/>
              </w:rPr>
              <w:t>8</w:t>
            </w:r>
          </w:p>
        </w:tc>
      </w:tr>
    </w:tbl>
    <w:p>
      <w:pPr>
        <w:pStyle w:val="NoSpacing"/>
        <w:spacing w:lineRule="auto" w:line="360"/>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r>
    </w:p>
    <w:p>
      <w:pPr>
        <w:pStyle w:val="Heading2"/>
        <w:spacing w:lineRule="auto" w:line="360"/>
        <w:rPr>
          <w:rFonts w:ascii="Times New Roman" w:hAnsi="Times New Roman" w:eastAsia="SimSun" w:cs="Times New Roman"/>
          <w:color w:themeColor="text1" w:val="000000"/>
          <w:sz w:val="24"/>
          <w:szCs w:val="24"/>
        </w:rPr>
      </w:pPr>
      <w:bookmarkStart w:id="23" w:name="_Toc201688046"/>
      <w:r>
        <w:rPr>
          <w:rFonts w:eastAsia="SimSun" w:cs="Times New Roman" w:ascii="Times New Roman" w:hAnsi="Times New Roman"/>
          <w:color w:themeColor="text1" w:val="000000"/>
          <w:sz w:val="24"/>
          <w:szCs w:val="24"/>
        </w:rPr>
        <w:t>4.4 Pattern of IOP Rise after Intravitreal Bevacizumab Injections</w:t>
      </w:r>
      <w:bookmarkEnd w:id="23"/>
    </w:p>
    <w:p>
      <w:pPr>
        <w:pStyle w:val="Normal"/>
        <w:numPr>
          <w:ilvl w:val="0"/>
          <w:numId w:val="0"/>
        </w:numPr>
        <w:spacing w:lineRule="auto" w:line="360" w:before="0" w:after="0"/>
        <w:outlineLvl w:val="1"/>
        <w:rPr>
          <w:rFonts w:ascii="Times New Roman" w:hAnsi="Times New Roman" w:eastAsia="Calibri" w:cs="Times New Roman"/>
          <w:b/>
          <w:bCs/>
          <w:color w:themeColor="text1" w:val="000000"/>
          <w:sz w:val="24"/>
          <w:szCs w:val="24"/>
        </w:rPr>
      </w:pPr>
      <w:bookmarkStart w:id="24" w:name="_Toc201688047"/>
      <w:r>
        <w:rPr>
          <w:rStyle w:val="Heading3Char"/>
          <w:rFonts w:cs="Times New Roman" w:ascii="Times New Roman" w:hAnsi="Times New Roman"/>
          <w:color w:themeColor="text1" w:val="000000"/>
        </w:rPr>
        <w:t>4.4.1 Mean intraocular pressure at baseline and immediately, at 2 weeks, and 6 weeks</w:t>
      </w:r>
      <w:r>
        <w:rPr>
          <w:rFonts w:eastAsia="Calibri" w:cs="Times New Roman" w:ascii="Times New Roman" w:hAnsi="Times New Roman"/>
          <w:b/>
          <w:bCs/>
          <w:color w:themeColor="text1" w:val="000000"/>
          <w:sz w:val="24"/>
          <w:szCs w:val="24"/>
        </w:rPr>
        <w:t xml:space="preserve"> after Intravitreal injection of </w:t>
      </w:r>
      <w:bookmarkStart w:id="25" w:name="_Hlk198336724"/>
      <w:r>
        <w:rPr>
          <w:rFonts w:eastAsia="Calibri" w:cs="Times New Roman" w:ascii="Times New Roman" w:hAnsi="Times New Roman"/>
          <w:b/>
          <w:bCs/>
          <w:color w:themeColor="text1" w:val="000000"/>
          <w:sz w:val="24"/>
          <w:szCs w:val="24"/>
        </w:rPr>
        <w:t>Triamcinolone</w:t>
      </w:r>
      <w:bookmarkEnd w:id="24"/>
      <w:bookmarkEnd w:id="25"/>
    </w:p>
    <w:p>
      <w:pPr>
        <w:pStyle w:val="Normal"/>
        <w:spacing w:lineRule="auto" w:line="360" w:before="0" w:after="20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 xml:space="preserve">Significant statistical differences were observed in the mean intraocular pressure (IOP) changes after injection in both the initial and subsequent visits in the injected eye. The mean and standard deviation (SD) of intraocular pressure (IOP) before Intravitreal </w:t>
      </w:r>
      <w:r>
        <w:rPr>
          <w:rFonts w:eastAsia="SimSun" w:cs="Times New Roman" w:ascii="Times New Roman" w:hAnsi="Times New Roman"/>
          <w:bCs/>
          <w:color w:themeColor="text1" w:val="000000"/>
          <w:sz w:val="24"/>
          <w:szCs w:val="24"/>
        </w:rPr>
        <w:t>Triamcinolone</w:t>
      </w:r>
      <w:r>
        <w:rPr>
          <w:rFonts w:eastAsia="SimSun" w:cs="Times New Roman" w:ascii="Times New Roman" w:hAnsi="Times New Roman"/>
          <w:color w:themeColor="text1" w:val="000000"/>
          <w:sz w:val="24"/>
          <w:szCs w:val="24"/>
        </w:rPr>
        <w:t xml:space="preserve"> injection was 14.59 ± 2.60 mmHg, increasing to </w:t>
      </w:r>
      <w:r>
        <w:rPr>
          <w:rFonts w:eastAsia="Times New Roman" w:cs="Times New Roman" w:ascii="Times New Roman" w:hAnsi="Times New Roman"/>
          <w:color w:themeColor="text1" w:val="000000"/>
          <w:sz w:val="24"/>
          <w:szCs w:val="24"/>
        </w:rPr>
        <w:t>28.42</w:t>
      </w:r>
      <w:r>
        <w:rPr>
          <w:rFonts w:eastAsia="SimSun" w:cs="Times New Roman" w:ascii="Times New Roman" w:hAnsi="Times New Roman"/>
          <w:color w:themeColor="text1" w:val="000000"/>
          <w:sz w:val="24"/>
          <w:szCs w:val="24"/>
        </w:rPr>
        <w:t xml:space="preserve"> ± 5.31 mmHg immediately post-injection and then returning to 17.75± 4.56 mmHg on second week follow-up and slightly decreased to 17.05±4.87 on the sixth week follow-up.</w:t>
      </w:r>
    </w:p>
    <w:p>
      <w:pPr>
        <w:pStyle w:val="Normal"/>
        <w:spacing w:lineRule="auto" w:line="360" w:before="0" w:after="0"/>
        <w:jc w:val="both"/>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sz w:val="24"/>
          <w:szCs w:val="24"/>
        </w:rPr>
        <w:t>On the non-injected eye, the mean and standard deviation of intraocular pressure (IOP) changes at baseline, immediate, second week and sixth week follow-up were 13.85± 2.33mmHg, 13.45±2.18 mmHg, 13.61 ±1.36 and 12.90±1.26 respectively. However statistical significance was only observed on the sixth month (figure 2)</w:t>
      </w:r>
    </w:p>
    <w:p>
      <w:pPr>
        <w:pStyle w:val="Caption"/>
        <w:rPr>
          <w:rFonts w:eastAsia="SimSun"/>
          <w:b w:val="false"/>
          <w:bCs w:val="false"/>
          <w:color w:themeColor="text1" w:val="000000"/>
          <w:szCs w:val="24"/>
        </w:rPr>
      </w:pPr>
      <w:bookmarkStart w:id="26" w:name="_Toc171518290"/>
      <w:bookmarkStart w:id="27" w:name="_Toc201683032"/>
      <w:bookmarkEnd w:id="26"/>
      <w:r>
        <w:rPr>
          <w:color w:themeColor="text1" w:val="000000"/>
          <w:szCs w:val="24"/>
        </w:rPr>
        <w:t xml:space="preserve">Table </w:t>
      </w:r>
      <w:r>
        <w:rPr>
          <w:color w:themeColor="text1" w:val="000000"/>
          <w:szCs w:val="24"/>
        </w:rPr>
        <w:fldChar w:fldCharType="begin"/>
      </w:r>
      <w:r>
        <w:rPr>
          <w:szCs w:val="24"/>
          <w:color w:themeColor="text1" w:val="000000"/>
        </w:rPr>
        <w:instrText xml:space="preserve"> SEQ Table \* ARABIC </w:instrText>
      </w:r>
      <w:r>
        <w:rPr>
          <w:szCs w:val="24"/>
          <w:color w:themeColor="text1" w:val="000000"/>
        </w:rPr>
        <w:fldChar w:fldCharType="separate"/>
      </w:r>
      <w:r>
        <w:rPr>
          <w:szCs w:val="24"/>
          <w:color w:themeColor="text1" w:val="000000"/>
        </w:rPr>
        <w:t>4</w:t>
      </w:r>
      <w:r>
        <w:rPr>
          <w:szCs w:val="24"/>
          <w:color w:themeColor="text1" w:val="000000"/>
        </w:rPr>
        <w:fldChar w:fldCharType="end"/>
      </w:r>
      <w:r>
        <w:rPr>
          <w:color w:themeColor="text1" w:val="000000"/>
          <w:szCs w:val="24"/>
        </w:rPr>
        <w:t>: Mean IOP before and after Triamcinolone intravitreal injections of injected and fellow eye at third visit immediate after injection, 2 weeks and 6 weeks follow-up</w:t>
      </w:r>
      <w:bookmarkEnd w:id="27"/>
    </w:p>
    <w:tbl>
      <w:tblPr>
        <w:tblStyle w:val="TableGridLight1"/>
        <w:tblW w:w="9721" w:type="dxa"/>
        <w:jc w:val="left"/>
        <w:tblInd w:w="-185" w:type="dxa"/>
        <w:tblLayout w:type="fixed"/>
        <w:tblCellMar>
          <w:top w:w="0" w:type="dxa"/>
          <w:left w:w="108" w:type="dxa"/>
          <w:bottom w:w="0" w:type="dxa"/>
          <w:right w:w="108" w:type="dxa"/>
        </w:tblCellMar>
        <w:tblLook w:val="04a0" w:noHBand="0" w:noVBand="1" w:firstColumn="1" w:lastRow="0" w:lastColumn="0" w:firstRow="1"/>
      </w:tblPr>
      <w:tblGrid>
        <w:gridCol w:w="1648"/>
        <w:gridCol w:w="2169"/>
        <w:gridCol w:w="768"/>
        <w:gridCol w:w="1018"/>
        <w:gridCol w:w="2151"/>
        <w:gridCol w:w="925"/>
        <w:gridCol w:w="1041"/>
      </w:tblGrid>
      <w:tr>
        <w:trPr>
          <w:trHeight w:val="70" w:hRule="atLeast"/>
        </w:trPr>
        <w:tc>
          <w:tcPr>
            <w:tcW w:w="1648" w:type="dxa"/>
            <w:tcBorders>
              <w:top w:val="single" w:sz="4" w:space="0" w:color="000000"/>
              <w:left w:val="nil"/>
              <w:bottom w:val="single" w:sz="4" w:space="0" w:color="000000"/>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Variable</w:t>
            </w:r>
          </w:p>
        </w:tc>
        <w:tc>
          <w:tcPr>
            <w:tcW w:w="2937" w:type="dxa"/>
            <w:gridSpan w:val="2"/>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Injected Eye</w:t>
            </w:r>
          </w:p>
        </w:tc>
        <w:tc>
          <w:tcPr>
            <w:tcW w:w="1018"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P-value</w:t>
            </w:r>
          </w:p>
        </w:tc>
        <w:tc>
          <w:tcPr>
            <w:tcW w:w="3076" w:type="dxa"/>
            <w:gridSpan w:val="2"/>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Non-injected eye</w:t>
            </w:r>
          </w:p>
        </w:tc>
        <w:tc>
          <w:tcPr>
            <w:tcW w:w="1041"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P-value</w:t>
            </w:r>
          </w:p>
        </w:tc>
      </w:tr>
      <w:tr>
        <w:trPr>
          <w:trHeight w:val="70" w:hRule="atLeast"/>
        </w:trPr>
        <w:tc>
          <w:tcPr>
            <w:tcW w:w="1648" w:type="dxa"/>
            <w:tcBorders>
              <w:top w:val="single" w:sz="4" w:space="0" w:color="000000"/>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c>
          <w:tcPr>
            <w:tcW w:w="2169"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Mean(95%CI)</w:t>
            </w:r>
          </w:p>
        </w:tc>
        <w:tc>
          <w:tcPr>
            <w:tcW w:w="768"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SD</w:t>
            </w:r>
          </w:p>
        </w:tc>
        <w:tc>
          <w:tcPr>
            <w:tcW w:w="1018"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c>
          <w:tcPr>
            <w:tcW w:w="2151"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Mean (95%CI)</w:t>
            </w:r>
          </w:p>
        </w:tc>
        <w:tc>
          <w:tcPr>
            <w:tcW w:w="925" w:type="dxa"/>
            <w:tcBorders>
              <w:top w:val="single" w:sz="4" w:space="0" w:color="000000"/>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SD</w:t>
            </w:r>
          </w:p>
        </w:tc>
        <w:tc>
          <w:tcPr>
            <w:tcW w:w="1041" w:type="dxa"/>
            <w:tcBorders>
              <w:top w:val="single" w:sz="4" w:space="0" w:color="000000"/>
              <w:left w:val="nil"/>
              <w:bottom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r>
      <w:tr>
        <w:trPr>
          <w:trHeight w:val="468" w:hRule="atLeast"/>
        </w:trPr>
        <w:tc>
          <w:tcPr>
            <w:tcW w:w="1648"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IOP Baseline</w:t>
            </w:r>
          </w:p>
        </w:tc>
        <w:tc>
          <w:tcPr>
            <w:tcW w:w="2169" w:type="dxa"/>
            <w:tcBorders>
              <w:top w:val="single" w:sz="4" w:space="0" w:color="000000"/>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14.59(14.10-15.08)</w:t>
            </w:r>
          </w:p>
        </w:tc>
        <w:tc>
          <w:tcPr>
            <w:tcW w:w="768" w:type="dxa"/>
            <w:tcBorders>
              <w:top w:val="single" w:sz="4" w:space="0" w:color="000000"/>
              <w:left w:val="nil"/>
              <w:bottom w:val="nil"/>
              <w:right w:val="nil"/>
            </w:tcBorders>
          </w:tcPr>
          <w:p>
            <w:pPr>
              <w:pStyle w:val="Normal"/>
              <w:widowControl/>
              <w:spacing w:lineRule="auto" w:line="360" w:before="0" w:after="0"/>
              <w:jc w:val="lef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±2.60</w:t>
            </w:r>
          </w:p>
        </w:tc>
        <w:tc>
          <w:tcPr>
            <w:tcW w:w="1018" w:type="dxa"/>
            <w:tcBorders>
              <w:top w:val="single" w:sz="4" w:space="0" w:color="000000"/>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51" w:type="dxa"/>
            <w:tcBorders>
              <w:top w:val="single" w:sz="4" w:space="0" w:color="000000"/>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13.85(13.41-14.29)</w:t>
            </w:r>
          </w:p>
        </w:tc>
        <w:tc>
          <w:tcPr>
            <w:tcW w:w="925" w:type="dxa"/>
            <w:tcBorders>
              <w:top w:val="single" w:sz="4" w:space="0" w:color="000000"/>
              <w:left w:val="nil"/>
              <w:bottom w:val="nil"/>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±2.33</w:t>
            </w:r>
          </w:p>
        </w:tc>
        <w:tc>
          <w:tcPr>
            <w:tcW w:w="104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468" w:hRule="atLeast"/>
        </w:trPr>
        <w:tc>
          <w:tcPr>
            <w:tcW w:w="1648"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IOP Immediate</w:t>
            </w:r>
          </w:p>
        </w:tc>
        <w:tc>
          <w:tcPr>
            <w:tcW w:w="216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28.42(27.41-29.42)</w:t>
            </w:r>
          </w:p>
        </w:tc>
        <w:tc>
          <w:tcPr>
            <w:tcW w:w="768" w:type="dxa"/>
            <w:tcBorders>
              <w:top w:val="nil"/>
              <w:left w:val="nil"/>
              <w:bottom w:val="nil"/>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±5.31</w:t>
            </w:r>
          </w:p>
        </w:tc>
        <w:tc>
          <w:tcPr>
            <w:tcW w:w="1018"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&lt;0.001</w:t>
            </w:r>
          </w:p>
        </w:tc>
        <w:tc>
          <w:tcPr>
            <w:tcW w:w="215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13.45(13.04-13.87)</w:t>
            </w:r>
          </w:p>
        </w:tc>
        <w:tc>
          <w:tcPr>
            <w:tcW w:w="925" w:type="dxa"/>
            <w:tcBorders>
              <w:top w:val="nil"/>
              <w:left w:val="nil"/>
              <w:bottom w:val="nil"/>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±2.18</w:t>
            </w:r>
          </w:p>
        </w:tc>
        <w:tc>
          <w:tcPr>
            <w:tcW w:w="104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0.232</w:t>
            </w:r>
          </w:p>
        </w:tc>
      </w:tr>
      <w:tr>
        <w:trPr>
          <w:trHeight w:val="80" w:hRule="atLeast"/>
        </w:trPr>
        <w:tc>
          <w:tcPr>
            <w:tcW w:w="1648"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IOP 2 weeks</w:t>
            </w:r>
          </w:p>
        </w:tc>
        <w:tc>
          <w:tcPr>
            <w:tcW w:w="216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17.75(16.88-18.61)</w:t>
            </w:r>
          </w:p>
        </w:tc>
        <w:tc>
          <w:tcPr>
            <w:tcW w:w="768" w:type="dxa"/>
            <w:tcBorders>
              <w:top w:val="nil"/>
              <w:left w:val="nil"/>
              <w:bottom w:val="nil"/>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±4.56</w:t>
            </w:r>
          </w:p>
        </w:tc>
        <w:tc>
          <w:tcPr>
            <w:tcW w:w="1018"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&lt;0.001</w:t>
            </w:r>
          </w:p>
        </w:tc>
        <w:tc>
          <w:tcPr>
            <w:tcW w:w="215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13.61(13.35-13.87)</w:t>
            </w:r>
          </w:p>
        </w:tc>
        <w:tc>
          <w:tcPr>
            <w:tcW w:w="925" w:type="dxa"/>
            <w:tcBorders>
              <w:top w:val="nil"/>
              <w:left w:val="nil"/>
              <w:bottom w:val="nil"/>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±1.36</w:t>
            </w:r>
          </w:p>
        </w:tc>
        <w:tc>
          <w:tcPr>
            <w:tcW w:w="104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1.000</w:t>
            </w:r>
          </w:p>
        </w:tc>
      </w:tr>
      <w:tr>
        <w:trPr>
          <w:trHeight w:val="80" w:hRule="atLeast"/>
        </w:trPr>
        <w:tc>
          <w:tcPr>
            <w:tcW w:w="1648" w:type="dxa"/>
            <w:tcBorders>
              <w:top w:val="nil"/>
              <w:left w:val="nil"/>
              <w:bottom w:val="single" w:sz="4" w:space="0" w:color="000000"/>
              <w:right w:val="nil"/>
            </w:tcBorders>
          </w:tcPr>
          <w:p>
            <w:pPr>
              <w:pStyle w:val="Normal"/>
              <w:widowControl/>
              <w:spacing w:lineRule="auto" w:line="360" w:before="0" w:after="0"/>
              <w:jc w:val="both"/>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IOP 6 weeks</w:t>
            </w:r>
          </w:p>
        </w:tc>
        <w:tc>
          <w:tcPr>
            <w:tcW w:w="2169" w:type="dxa"/>
            <w:tcBorders>
              <w:top w:val="nil"/>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17.05(16.14-17.97)</w:t>
            </w:r>
          </w:p>
        </w:tc>
        <w:tc>
          <w:tcPr>
            <w:tcW w:w="768" w:type="dxa"/>
            <w:tcBorders>
              <w:top w:val="nil"/>
              <w:left w:val="nil"/>
              <w:bottom w:val="single" w:sz="4" w:space="0" w:color="000000"/>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±4.87</w:t>
            </w:r>
          </w:p>
        </w:tc>
        <w:tc>
          <w:tcPr>
            <w:tcW w:w="1018" w:type="dxa"/>
            <w:tcBorders>
              <w:top w:val="nil"/>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&lt;0.001</w:t>
            </w:r>
          </w:p>
        </w:tc>
        <w:tc>
          <w:tcPr>
            <w:tcW w:w="2151" w:type="dxa"/>
            <w:tcBorders>
              <w:top w:val="nil"/>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12.90(12.66-13.14)</w:t>
            </w:r>
          </w:p>
        </w:tc>
        <w:tc>
          <w:tcPr>
            <w:tcW w:w="925" w:type="dxa"/>
            <w:tcBorders>
              <w:top w:val="nil"/>
              <w:left w:val="nil"/>
              <w:bottom w:val="single" w:sz="4" w:space="0" w:color="000000"/>
              <w:right w:val="nil"/>
            </w:tcBorders>
          </w:tcPr>
          <w:p>
            <w:pPr>
              <w:pStyle w:val="Normal"/>
              <w:widowControl/>
              <w:spacing w:lineRule="auto" w:line="360" w:before="0" w:after="200"/>
              <w:jc w:val="left"/>
              <w:rPr>
                <w:rFonts w:ascii="Times New Roman" w:hAnsi="Times New Roman" w:eastAsia="SimSun" w:cs="Times New Roman"/>
                <w:color w:themeColor="text1" w:val="000000"/>
                <w:sz w:val="24"/>
                <w:szCs w:val="24"/>
              </w:rPr>
            </w:pPr>
            <w:r>
              <w:rPr>
                <w:rFonts w:eastAsia="SimSun" w:cs="Times New Roman" w:ascii="Times New Roman" w:hAnsi="Times New Roman"/>
                <w:color w:themeColor="text1" w:val="000000"/>
                <w:kern w:val="0"/>
                <w:sz w:val="24"/>
                <w:szCs w:val="24"/>
                <w:lang w:val="en-US" w:eastAsia="en-US" w:bidi="ar-SA"/>
              </w:rPr>
              <w:t>±1.26</w:t>
            </w:r>
          </w:p>
        </w:tc>
        <w:tc>
          <w:tcPr>
            <w:tcW w:w="1041" w:type="dxa"/>
            <w:tcBorders>
              <w:top w:val="nil"/>
              <w:left w:val="nil"/>
              <w:bottom w:val="single" w:sz="4" w:space="0" w:color="000000"/>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0.002</w:t>
            </w:r>
          </w:p>
        </w:tc>
      </w:tr>
    </w:tbl>
    <w:p>
      <w:pPr>
        <w:pStyle w:val="Normal"/>
        <w:spacing w:lineRule="auto" w:line="360" w:before="0" w:after="200"/>
        <w:jc w:val="both"/>
        <w:rPr>
          <w:rFonts w:ascii="Times New Roman" w:hAnsi="Times New Roman" w:eastAsia="SimSun" w:cs="Times New Roman"/>
          <w:i/>
          <w:i/>
          <w:iCs/>
          <w:color w:themeColor="text1" w:val="000000"/>
          <w:sz w:val="24"/>
          <w:szCs w:val="24"/>
        </w:rPr>
      </w:pPr>
      <w:r>
        <w:rPr>
          <w:rFonts w:eastAsia="SimSun" w:cs="Times New Roman" w:ascii="Times New Roman" w:hAnsi="Times New Roman"/>
          <w:b/>
          <w:bCs/>
          <w:i/>
          <w:iCs/>
          <w:color w:themeColor="text1" w:val="000000"/>
          <w:sz w:val="24"/>
          <w:szCs w:val="24"/>
        </w:rPr>
        <w:t xml:space="preserve">Abbreviations: </w:t>
      </w:r>
      <w:r>
        <w:rPr>
          <w:rFonts w:eastAsia="SimSun" w:cs="Times New Roman" w:ascii="Times New Roman" w:hAnsi="Times New Roman"/>
          <w:i/>
          <w:iCs/>
          <w:color w:themeColor="text1" w:val="000000"/>
          <w:sz w:val="24"/>
          <w:szCs w:val="24"/>
        </w:rPr>
        <w:t>IOP, Intraocular pressure; mmHg.</w:t>
      </w:r>
    </w:p>
    <w:p>
      <w:pPr>
        <w:pStyle w:val="Heading3"/>
        <w:spacing w:lineRule="auto" w:line="360"/>
        <w:rPr>
          <w:rFonts w:ascii="Times New Roman" w:hAnsi="Times New Roman" w:eastAsia="Calibri" w:cs="Times New Roman"/>
          <w:color w:themeColor="text1" w:val="000000"/>
        </w:rPr>
      </w:pPr>
      <w:bookmarkStart w:id="28" w:name="_Toc201688048"/>
      <w:r>
        <w:rPr>
          <w:rFonts w:eastAsia="Calibri" w:cs="Times New Roman" w:ascii="Times New Roman" w:hAnsi="Times New Roman"/>
          <w:color w:themeColor="text1" w:val="000000"/>
        </w:rPr>
        <w:t>4.4.2 Pattern of IOP rise after Triamcinolone injection among the study participants at IOP immediate, IOP 2 weeks, and IOP 6 weeks (N= 110)</w:t>
      </w:r>
      <w:bookmarkEnd w:id="28"/>
    </w:p>
    <w:p>
      <w:pPr>
        <w:pStyle w:val="Normal"/>
        <w:spacing w:lineRule="auto" w:line="360" w:before="0" w:after="200"/>
        <w:jc w:val="both"/>
        <w:rPr>
          <w:rFonts w:ascii="Times New Roman" w:hAnsi="Times New Roman" w:eastAsia="SimSun" w:cs="Times New Roman"/>
          <w:b/>
          <w:bCs/>
          <w:color w:themeColor="text1" w:val="000000"/>
          <w:sz w:val="24"/>
          <w:szCs w:val="24"/>
        </w:rPr>
      </w:pPr>
      <w:r>
        <w:rPr>
          <w:rFonts w:eastAsia="SimSun" w:cs="Times New Roman" w:ascii="Times New Roman" w:hAnsi="Times New Roman"/>
          <w:color w:themeColor="text1" w:val="000000"/>
          <w:sz w:val="24"/>
          <w:szCs w:val="24"/>
        </w:rPr>
        <w:t>The mean IOP in the injected eye increased rapidly, immediately after injections, it decreased gradually after two weeks and remained slightly constant to six weeks follow-up, in contrast to the non-injected eye the mean IOP remained stationary over the study period summarized in</w:t>
      </w:r>
      <w:r>
        <w:rPr>
          <w:rFonts w:eastAsia="SimSun" w:cs="Times New Roman" w:ascii="Times New Roman" w:hAnsi="Times New Roman"/>
          <w:b/>
          <w:color w:themeColor="text1" w:val="000000"/>
          <w:sz w:val="24"/>
          <w:szCs w:val="24"/>
        </w:rPr>
        <w:t xml:space="preserve"> (</w:t>
      </w:r>
      <w:r>
        <w:rPr>
          <w:rFonts w:eastAsia="SimSun" w:cs="Times New Roman" w:ascii="Times New Roman" w:hAnsi="Times New Roman"/>
          <w:b/>
          <w:bCs/>
          <w:color w:themeColor="text1" w:val="000000"/>
          <w:sz w:val="24"/>
          <w:szCs w:val="24"/>
        </w:rPr>
        <w:t>Fig 3).</w:t>
      </w:r>
      <w:bookmarkStart w:id="29" w:name="_Toc171521432"/>
    </w:p>
    <w:p>
      <w:pPr>
        <w:pStyle w:val="Normal"/>
        <w:spacing w:lineRule="auto" w:line="360" w:before="0" w:after="200"/>
        <w:jc w:val="both"/>
        <w:rPr>
          <w:rFonts w:ascii="Times New Roman" w:hAnsi="Times New Roman" w:eastAsia="SimSun" w:cs="Times New Roman"/>
          <w:iCs/>
          <w:color w:themeColor="text1" w:val="000000"/>
          <w:sz w:val="24"/>
          <w:szCs w:val="24"/>
        </w:rPr>
      </w:pPr>
      <w:r>
        <w:rPr/>
        <w:drawing>
          <wp:inline distT="0" distB="0" distL="0" distR="0">
            <wp:extent cx="6105525" cy="2800350"/>
            <wp:effectExtent l="0" t="0" r="0" b="0"/>
            <wp:docPr id="5" name="Image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Caption"/>
        <w:rPr>
          <w:rFonts w:eastAsia="SimSun"/>
          <w:b w:val="false"/>
          <w:bCs w:val="false"/>
          <w:color w:themeColor="text1" w:val="000000"/>
          <w:szCs w:val="24"/>
        </w:rPr>
      </w:pPr>
      <w:bookmarkStart w:id="30" w:name="_Toc201683028"/>
      <w:r>
        <w:rPr>
          <w:color w:themeColor="text1" w:val="000000"/>
          <w:szCs w:val="24"/>
        </w:rPr>
        <w:t xml:space="preserve">Figure </w:t>
      </w:r>
      <w:r>
        <w:rPr>
          <w:color w:themeColor="text1" w:val="000000"/>
          <w:szCs w:val="24"/>
        </w:rPr>
        <w:fldChar w:fldCharType="begin"/>
      </w:r>
      <w:r>
        <w:rPr>
          <w:szCs w:val="24"/>
          <w:color w:themeColor="text1" w:val="000000"/>
        </w:rPr>
        <w:instrText xml:space="preserve"> SEQ Figure \* ARABIC </w:instrText>
      </w:r>
      <w:r>
        <w:rPr>
          <w:szCs w:val="24"/>
          <w:color w:themeColor="text1" w:val="000000"/>
        </w:rPr>
        <w:fldChar w:fldCharType="separate"/>
      </w:r>
      <w:r>
        <w:rPr>
          <w:szCs w:val="24"/>
          <w:color w:themeColor="text1" w:val="000000"/>
        </w:rPr>
        <w:t>2</w:t>
      </w:r>
      <w:r>
        <w:rPr>
          <w:szCs w:val="24"/>
          <w:color w:themeColor="text1" w:val="000000"/>
        </w:rPr>
        <w:fldChar w:fldCharType="end"/>
      </w:r>
      <w:r>
        <w:rPr>
          <w:color w:themeColor="text1" w:val="000000"/>
          <w:szCs w:val="24"/>
        </w:rPr>
        <w:t>: Pattern IOP spike after Triamcinolone intravitreal injections among the study participants at IOP Baseline, IOP immediate, IOP 2 weeks, and IOP 6 weeks (N= 110)</w:t>
      </w:r>
      <w:bookmarkEnd w:id="30"/>
    </w:p>
    <w:p>
      <w:pPr>
        <w:pStyle w:val="Heading2"/>
        <w:spacing w:lineRule="auto" w:line="360"/>
        <w:rPr>
          <w:rFonts w:ascii="Times New Roman" w:hAnsi="Times New Roman" w:eastAsia="SimSun" w:cs="Times New Roman"/>
          <w:color w:themeColor="text1" w:val="000000"/>
          <w:sz w:val="24"/>
          <w:szCs w:val="24"/>
        </w:rPr>
      </w:pPr>
      <w:bookmarkStart w:id="31" w:name="_Toc201688049"/>
      <w:r>
        <w:rPr>
          <w:rFonts w:eastAsia="SimSun" w:cs="Times New Roman" w:ascii="Times New Roman" w:hAnsi="Times New Roman"/>
          <w:color w:themeColor="text1" w:val="000000"/>
          <w:sz w:val="24"/>
          <w:szCs w:val="24"/>
        </w:rPr>
        <w:t>4.5 Risk Factors Associated with Ocular Hypertension after Intravitreal Triamcinolone Injections</w:t>
      </w:r>
      <w:bookmarkEnd w:id="31"/>
    </w:p>
    <w:p>
      <w:pPr>
        <w:pStyle w:val="Heading3"/>
        <w:spacing w:lineRule="auto" w:line="360"/>
        <w:rPr>
          <w:rFonts w:ascii="Times New Roman" w:hAnsi="Times New Roman" w:eastAsia="Calibri" w:cs="Times New Roman"/>
          <w:color w:themeColor="text1" w:val="000000"/>
        </w:rPr>
      </w:pPr>
      <w:bookmarkStart w:id="32" w:name="_Toc201688050"/>
      <w:r>
        <w:rPr>
          <w:rFonts w:eastAsia="Calibri" w:cs="Times New Roman" w:ascii="Times New Roman" w:hAnsi="Times New Roman"/>
          <w:color w:themeColor="text1" w:val="000000"/>
        </w:rPr>
        <w:t>4.5.1 Distribution of ocular hypertension by participants’ characteristics</w:t>
      </w:r>
      <w:bookmarkEnd w:id="29"/>
      <w:r>
        <w:rPr>
          <w:rFonts w:eastAsia="Calibri" w:cs="Times New Roman" w:ascii="Times New Roman" w:hAnsi="Times New Roman"/>
          <w:color w:themeColor="text1" w:val="000000"/>
        </w:rPr>
        <w:t xml:space="preserve"> (N=110)</w:t>
      </w:r>
      <w:bookmarkEnd w:id="32"/>
    </w:p>
    <w:p>
      <w:pPr>
        <w:pStyle w:val="Normal"/>
        <w:spacing w:lineRule="auto" w:line="360" w:before="0" w:after="200"/>
        <w:jc w:val="both"/>
        <w:rPr>
          <w:rFonts w:ascii="Times New Roman" w:hAnsi="Times New Roman" w:eastAsia="SimSun" w:cs="Times New Roman"/>
          <w:b/>
          <w:bCs/>
          <w:iCs/>
          <w:color w:themeColor="text1" w:val="000000"/>
          <w:sz w:val="24"/>
          <w:szCs w:val="24"/>
          <w:shd w:fill="FFFFFF" w:val="clear"/>
        </w:rPr>
      </w:pPr>
      <w:r>
        <w:rPr>
          <w:rFonts w:eastAsia="SimSun" w:cs="Times New Roman" w:ascii="Times New Roman" w:hAnsi="Times New Roman"/>
          <w:color w:themeColor="text1" w:val="000000"/>
          <w:sz w:val="24"/>
          <w:szCs w:val="24"/>
        </w:rPr>
        <w:t xml:space="preserve">Ocular hypertension significantly differed by </w:t>
      </w:r>
      <w:r>
        <w:rPr>
          <w:rFonts w:eastAsia="SimSun" w:cs="Times New Roman" w:ascii="Times New Roman" w:hAnsi="Times New Roman"/>
          <w:i/>
          <w:iCs/>
          <w:color w:themeColor="text1" w:val="000000"/>
          <w:sz w:val="24"/>
          <w:szCs w:val="24"/>
          <w:shd w:fill="FFFFFF" w:val="clear"/>
        </w:rPr>
        <w:t xml:space="preserve">lens status </w:t>
      </w:r>
      <w:r>
        <w:rPr>
          <w:rFonts w:eastAsia="SimSun" w:cs="Times New Roman" w:ascii="Times New Roman" w:hAnsi="Times New Roman"/>
          <w:color w:themeColor="text1" w:val="000000"/>
          <w:sz w:val="24"/>
          <w:szCs w:val="24"/>
        </w:rPr>
        <w:t>(</w:t>
      </w:r>
      <w:r>
        <w:rPr>
          <w:rFonts w:eastAsia="SimSun" w:cs="Times New Roman" w:ascii="Times New Roman" w:hAnsi="Times New Roman"/>
          <w:i/>
          <w:iCs/>
          <w:color w:themeColor="text1" w:val="000000"/>
          <w:sz w:val="24"/>
          <w:szCs w:val="24"/>
          <w:shd w:fill="FFFFFF" w:val="clear"/>
        </w:rPr>
        <w:t>χ</w:t>
      </w:r>
      <w:r>
        <w:rPr>
          <w:rFonts w:eastAsia="SimSun" w:cs="Times New Roman" w:ascii="Times New Roman" w:hAnsi="Times New Roman"/>
          <w:i/>
          <w:iCs/>
          <w:color w:themeColor="text1" w:val="000000"/>
          <w:sz w:val="24"/>
          <w:szCs w:val="24"/>
          <w:shd w:fill="FFFFFF" w:val="clear"/>
          <w:vertAlign w:val="superscript"/>
        </w:rPr>
        <w:t>2</w:t>
      </w:r>
      <w:r>
        <w:rPr>
          <w:rFonts w:eastAsia="SimSun" w:cs="Times New Roman" w:ascii="Times New Roman" w:hAnsi="Times New Roman"/>
          <w:i/>
          <w:iCs/>
          <w:color w:themeColor="text1" w:val="000000"/>
          <w:sz w:val="24"/>
          <w:szCs w:val="24"/>
          <w:shd w:fill="FFFFFF" w:val="clear"/>
        </w:rPr>
        <w:t>=</w:t>
      </w:r>
      <w:r>
        <w:rPr>
          <w:rFonts w:eastAsia="Times New Roman" w:cs="Times New Roman" w:ascii="Times New Roman" w:hAnsi="Times New Roman"/>
          <w:color w:themeColor="text1" w:val="000000"/>
          <w:sz w:val="24"/>
          <w:szCs w:val="24"/>
        </w:rPr>
        <w:t>5.8489</w:t>
      </w:r>
      <w:r>
        <w:rPr>
          <w:rFonts w:eastAsia="SimSun" w:cs="Times New Roman" w:ascii="Times New Roman" w:hAnsi="Times New Roman"/>
          <w:i/>
          <w:iCs/>
          <w:color w:themeColor="text1" w:val="000000"/>
          <w:sz w:val="24"/>
          <w:szCs w:val="24"/>
          <w:shd w:fill="FFFFFF" w:val="clear"/>
        </w:rPr>
        <w:t xml:space="preserve">, P-value=0.016), </w:t>
      </w:r>
      <w:r>
        <w:rPr>
          <w:rFonts w:eastAsia="Times New Roman" w:cs="Times New Roman" w:ascii="Times New Roman" w:hAnsi="Times New Roman"/>
          <w:bCs/>
          <w:color w:themeColor="text1" w:val="000000"/>
          <w:sz w:val="24"/>
          <w:szCs w:val="24"/>
        </w:rPr>
        <w:t>history of retina surgery</w:t>
      </w:r>
      <w:r>
        <w:rPr>
          <w:rFonts w:eastAsia="SimSun" w:cs="Times New Roman" w:ascii="Times New Roman" w:hAnsi="Times New Roman"/>
          <w:color w:themeColor="text1" w:val="000000"/>
          <w:sz w:val="24"/>
          <w:szCs w:val="24"/>
        </w:rPr>
        <w:t xml:space="preserve"> (</w:t>
      </w:r>
      <w:r>
        <w:rPr>
          <w:rFonts w:eastAsia="SimSun" w:cs="Times New Roman" w:ascii="Times New Roman" w:hAnsi="Times New Roman"/>
          <w:i/>
          <w:iCs/>
          <w:color w:themeColor="text1" w:val="000000"/>
          <w:sz w:val="24"/>
          <w:szCs w:val="24"/>
          <w:shd w:fill="FFFFFF" w:val="clear"/>
        </w:rPr>
        <w:t>χ</w:t>
      </w:r>
      <w:r>
        <w:rPr>
          <w:rFonts w:eastAsia="SimSun" w:cs="Times New Roman" w:ascii="Times New Roman" w:hAnsi="Times New Roman"/>
          <w:i/>
          <w:iCs/>
          <w:color w:themeColor="text1" w:val="000000"/>
          <w:sz w:val="24"/>
          <w:szCs w:val="24"/>
          <w:shd w:fill="FFFFFF" w:val="clear"/>
          <w:vertAlign w:val="superscript"/>
        </w:rPr>
        <w:t>2</w:t>
      </w:r>
      <w:r>
        <w:rPr>
          <w:rFonts w:eastAsia="SimSun" w:cs="Times New Roman" w:ascii="Times New Roman" w:hAnsi="Times New Roman"/>
          <w:i/>
          <w:iCs/>
          <w:color w:themeColor="text1" w:val="000000"/>
          <w:sz w:val="24"/>
          <w:szCs w:val="24"/>
          <w:shd w:fill="FFFFFF" w:val="clear"/>
        </w:rPr>
        <w:t>=</w:t>
      </w:r>
      <w:r>
        <w:rPr>
          <w:rFonts w:eastAsia="Times New Roman" w:cs="Times New Roman" w:ascii="Times New Roman" w:hAnsi="Times New Roman"/>
          <w:color w:themeColor="text1" w:val="000000"/>
          <w:sz w:val="24"/>
          <w:szCs w:val="24"/>
        </w:rPr>
        <w:t>3.8596</w:t>
      </w:r>
      <w:r>
        <w:rPr>
          <w:rFonts w:eastAsia="SimSun" w:cs="Times New Roman" w:ascii="Times New Roman" w:hAnsi="Times New Roman"/>
          <w:i/>
          <w:iCs/>
          <w:color w:themeColor="text1" w:val="000000"/>
          <w:sz w:val="24"/>
          <w:szCs w:val="24"/>
          <w:shd w:fill="FFFFFF" w:val="clear"/>
        </w:rPr>
        <w:t xml:space="preserve">, </w:t>
      </w:r>
      <w:bookmarkStart w:id="33" w:name="_Hlk198339795"/>
      <w:r>
        <w:rPr>
          <w:rFonts w:eastAsia="SimSun" w:cs="Times New Roman" w:ascii="Times New Roman" w:hAnsi="Times New Roman"/>
          <w:i/>
          <w:iCs/>
          <w:color w:themeColor="text1" w:val="000000"/>
          <w:sz w:val="24"/>
          <w:szCs w:val="24"/>
          <w:shd w:fill="FFFFFF" w:val="clear"/>
        </w:rPr>
        <w:t>P-value=0.049</w:t>
      </w:r>
      <w:bookmarkEnd w:id="33"/>
      <w:r>
        <w:rPr>
          <w:rFonts w:eastAsia="SimSun" w:cs="Times New Roman" w:ascii="Times New Roman" w:hAnsi="Times New Roman"/>
          <w:i/>
          <w:iCs/>
          <w:color w:themeColor="text1" w:val="000000"/>
          <w:sz w:val="24"/>
          <w:szCs w:val="24"/>
          <w:shd w:fill="FFFFFF" w:val="clear"/>
        </w:rPr>
        <w:t>) and</w:t>
      </w:r>
      <w:r>
        <w:rPr>
          <w:rFonts w:eastAsia="SimSun" w:cs="Times New Roman" w:ascii="Times New Roman" w:hAnsi="Times New Roman"/>
          <w:b/>
          <w:bCs/>
          <w:i/>
          <w:iCs/>
          <w:color w:themeColor="text1" w:val="000000"/>
          <w:sz w:val="24"/>
          <w:szCs w:val="24"/>
          <w:shd w:fill="FFFFFF" w:val="clear"/>
        </w:rPr>
        <w:t xml:space="preserve"> </w:t>
      </w:r>
      <w:r>
        <w:rPr>
          <w:rFonts w:eastAsia="SimSun" w:cs="Times New Roman" w:ascii="Times New Roman" w:hAnsi="Times New Roman"/>
          <w:bCs/>
          <w:iCs/>
          <w:color w:themeColor="text1" w:val="000000"/>
          <w:sz w:val="24"/>
          <w:szCs w:val="24"/>
          <w:shd w:fill="FFFFFF" w:val="clear"/>
        </w:rPr>
        <w:t xml:space="preserve">retina venous occlusion </w:t>
      </w:r>
      <w:r>
        <w:rPr>
          <w:rFonts w:eastAsia="SimSun" w:cs="Times New Roman" w:ascii="Times New Roman" w:hAnsi="Times New Roman"/>
          <w:color w:themeColor="text1" w:val="000000"/>
          <w:sz w:val="24"/>
          <w:szCs w:val="24"/>
        </w:rPr>
        <w:t>(</w:t>
      </w:r>
      <w:r>
        <w:rPr>
          <w:rFonts w:eastAsia="SimSun" w:cs="Times New Roman" w:ascii="Times New Roman" w:hAnsi="Times New Roman"/>
          <w:i/>
          <w:iCs/>
          <w:color w:themeColor="text1" w:val="000000"/>
          <w:sz w:val="24"/>
          <w:szCs w:val="24"/>
          <w:shd w:fill="FFFFFF" w:val="clear"/>
        </w:rPr>
        <w:t>χ</w:t>
      </w:r>
      <w:r>
        <w:rPr>
          <w:rFonts w:eastAsia="SimSun" w:cs="Times New Roman" w:ascii="Times New Roman" w:hAnsi="Times New Roman"/>
          <w:i/>
          <w:iCs/>
          <w:color w:themeColor="text1" w:val="000000"/>
          <w:sz w:val="24"/>
          <w:szCs w:val="24"/>
          <w:shd w:fill="FFFFFF" w:val="clear"/>
          <w:vertAlign w:val="superscript"/>
        </w:rPr>
        <w:t>2</w:t>
      </w:r>
      <w:r>
        <w:rPr>
          <w:rFonts w:eastAsia="SimSun" w:cs="Times New Roman" w:ascii="Times New Roman" w:hAnsi="Times New Roman"/>
          <w:i/>
          <w:iCs/>
          <w:color w:themeColor="text1" w:val="000000"/>
          <w:sz w:val="24"/>
          <w:szCs w:val="24"/>
          <w:shd w:fill="FFFFFF" w:val="clear"/>
        </w:rPr>
        <w:t>=</w:t>
      </w:r>
      <w:r>
        <w:rPr>
          <w:rFonts w:eastAsia="Times New Roman" w:cs="Times New Roman" w:ascii="Times New Roman" w:hAnsi="Times New Roman"/>
          <w:color w:themeColor="text1" w:val="000000"/>
          <w:sz w:val="24"/>
          <w:szCs w:val="24"/>
        </w:rPr>
        <w:t>4.3591</w:t>
      </w:r>
      <w:r>
        <w:rPr>
          <w:rFonts w:eastAsia="SimSun" w:cs="Times New Roman" w:ascii="Times New Roman" w:hAnsi="Times New Roman"/>
          <w:i/>
          <w:iCs/>
          <w:color w:themeColor="text1" w:val="000000"/>
          <w:sz w:val="24"/>
          <w:szCs w:val="24"/>
          <w:shd w:fill="FFFFFF" w:val="clear"/>
        </w:rPr>
        <w:t xml:space="preserve">, P-value=0.037) and CME </w:t>
      </w:r>
      <w:r>
        <w:rPr>
          <w:rFonts w:eastAsia="SimSun" w:cs="Times New Roman" w:ascii="Times New Roman" w:hAnsi="Times New Roman"/>
          <w:color w:themeColor="text1" w:val="000000"/>
          <w:sz w:val="24"/>
          <w:szCs w:val="24"/>
        </w:rPr>
        <w:t>(</w:t>
      </w:r>
      <w:r>
        <w:rPr>
          <w:rFonts w:eastAsia="SimSun" w:cs="Times New Roman" w:ascii="Times New Roman" w:hAnsi="Times New Roman"/>
          <w:i/>
          <w:iCs/>
          <w:color w:themeColor="text1" w:val="000000"/>
          <w:sz w:val="24"/>
          <w:szCs w:val="24"/>
          <w:shd w:fill="FFFFFF" w:val="clear"/>
        </w:rPr>
        <w:t>χ</w:t>
      </w:r>
      <w:r>
        <w:rPr>
          <w:rFonts w:eastAsia="SimSun" w:cs="Times New Roman" w:ascii="Times New Roman" w:hAnsi="Times New Roman"/>
          <w:i/>
          <w:iCs/>
          <w:color w:themeColor="text1" w:val="000000"/>
          <w:sz w:val="24"/>
          <w:szCs w:val="24"/>
          <w:shd w:fill="FFFFFF" w:val="clear"/>
          <w:vertAlign w:val="superscript"/>
        </w:rPr>
        <w:t>2</w:t>
      </w:r>
      <w:r>
        <w:rPr>
          <w:rFonts w:eastAsia="SimSun" w:cs="Times New Roman" w:ascii="Times New Roman" w:hAnsi="Times New Roman"/>
          <w:i/>
          <w:iCs/>
          <w:color w:themeColor="text1" w:val="000000"/>
          <w:sz w:val="24"/>
          <w:szCs w:val="24"/>
          <w:shd w:fill="FFFFFF" w:val="clear"/>
        </w:rPr>
        <w:t>=</w:t>
      </w:r>
      <w:r>
        <w:rPr>
          <w:rFonts w:eastAsia="Times New Roman" w:cs="Times New Roman" w:ascii="Times New Roman" w:hAnsi="Times New Roman"/>
          <w:color w:themeColor="text1" w:val="000000"/>
          <w:sz w:val="24"/>
          <w:szCs w:val="24"/>
        </w:rPr>
        <w:t xml:space="preserve">6.5755, </w:t>
      </w:r>
      <w:r>
        <w:rPr>
          <w:rFonts w:eastAsia="Times New Roman" w:cs="Times New Roman" w:ascii="Times New Roman" w:hAnsi="Times New Roman"/>
          <w:iCs/>
          <w:color w:themeColor="text1" w:val="000000"/>
          <w:sz w:val="24"/>
          <w:szCs w:val="24"/>
        </w:rPr>
        <w:t xml:space="preserve">P-value=0.049. Other variables were presented in </w:t>
      </w:r>
      <w:r>
        <w:rPr>
          <w:rFonts w:eastAsia="SimSun" w:cs="Times New Roman" w:ascii="Times New Roman" w:hAnsi="Times New Roman"/>
          <w:b/>
          <w:bCs/>
          <w:iCs/>
          <w:color w:themeColor="text1" w:val="000000"/>
          <w:sz w:val="24"/>
          <w:szCs w:val="24"/>
          <w:shd w:fill="FFFFFF" w:val="clear"/>
        </w:rPr>
        <w:t>Table 5</w:t>
      </w:r>
      <w:bookmarkStart w:id="34" w:name="_Toc171518292"/>
      <w:r>
        <w:rPr>
          <w:rFonts w:eastAsia="SimSun" w:cs="Times New Roman" w:ascii="Times New Roman" w:hAnsi="Times New Roman"/>
          <w:b/>
          <w:bCs/>
          <w:iCs/>
          <w:color w:themeColor="text1" w:val="000000"/>
          <w:sz w:val="24"/>
          <w:szCs w:val="24"/>
          <w:shd w:fill="FFFFFF" w:val="clear"/>
        </w:rPr>
        <w:t>.</w:t>
      </w:r>
    </w:p>
    <w:p>
      <w:pPr>
        <w:pStyle w:val="Caption"/>
        <w:rPr>
          <w:rFonts w:eastAsia="SimSun"/>
          <w:color w:themeColor="text1" w:val="000000"/>
          <w:szCs w:val="24"/>
        </w:rPr>
      </w:pPr>
      <w:bookmarkStart w:id="35" w:name="_Toc201683033"/>
      <w:bookmarkEnd w:id="34"/>
      <w:r>
        <w:rPr>
          <w:color w:themeColor="text1" w:val="000000"/>
          <w:szCs w:val="24"/>
        </w:rPr>
        <w:t xml:space="preserve">Table </w:t>
      </w:r>
      <w:r>
        <w:rPr>
          <w:color w:themeColor="text1" w:val="000000"/>
          <w:szCs w:val="24"/>
        </w:rPr>
        <w:fldChar w:fldCharType="begin"/>
      </w:r>
      <w:r>
        <w:rPr>
          <w:szCs w:val="24"/>
          <w:color w:themeColor="text1" w:val="000000"/>
        </w:rPr>
        <w:instrText xml:space="preserve"> SEQ Table \* ARABIC </w:instrText>
      </w:r>
      <w:r>
        <w:rPr>
          <w:szCs w:val="24"/>
          <w:color w:themeColor="text1" w:val="000000"/>
        </w:rPr>
        <w:fldChar w:fldCharType="separate"/>
      </w:r>
      <w:r>
        <w:rPr>
          <w:szCs w:val="24"/>
          <w:color w:themeColor="text1" w:val="000000"/>
        </w:rPr>
        <w:t>5</w:t>
      </w:r>
      <w:r>
        <w:rPr>
          <w:szCs w:val="24"/>
          <w:color w:themeColor="text1" w:val="000000"/>
        </w:rPr>
        <w:fldChar w:fldCharType="end"/>
      </w:r>
      <w:r>
        <w:rPr>
          <w:color w:themeColor="text1" w:val="000000"/>
          <w:szCs w:val="24"/>
        </w:rPr>
        <w:t>: Distribution of ocular hypertension elevation by participants’ characteristics</w:t>
      </w:r>
      <w:bookmarkEnd w:id="35"/>
    </w:p>
    <w:tbl>
      <w:tblPr>
        <w:tblStyle w:val="TableGrid2"/>
        <w:tblW w:w="91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59"/>
        <w:gridCol w:w="1801"/>
        <w:gridCol w:w="1736"/>
        <w:gridCol w:w="1275"/>
        <w:gridCol w:w="1619"/>
      </w:tblGrid>
      <w:tr>
        <w:trPr>
          <w:trHeight w:val="257" w:hRule="atLeast"/>
        </w:trPr>
        <w:tc>
          <w:tcPr>
            <w:tcW w:w="2759" w:type="dxa"/>
            <w:tcBorders>
              <w:left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Variable</w:t>
            </w:r>
          </w:p>
        </w:tc>
        <w:tc>
          <w:tcPr>
            <w:tcW w:w="3537" w:type="dxa"/>
            <w:gridSpan w:val="2"/>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Ocular Hypertension</w:t>
            </w:r>
          </w:p>
        </w:tc>
        <w:tc>
          <w:tcPr>
            <w:tcW w:w="1275"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SimSun" w:cs="Times New Roman" w:ascii="Times New Roman" w:hAnsi="Times New Roman"/>
                <w:b/>
                <w:bCs/>
                <w:color w:themeColor="text1" w:val="000000"/>
                <w:kern w:val="0"/>
                <w:sz w:val="24"/>
                <w:szCs w:val="24"/>
                <w:shd w:fill="FFFFFF" w:val="clear"/>
                <w:lang w:val="en-US" w:eastAsia="en-US" w:bidi="ar-SA"/>
              </w:rPr>
              <w:t>χ</w:t>
            </w:r>
            <w:r>
              <w:rPr>
                <w:rFonts w:eastAsia="SimSun" w:cs="Times New Roman" w:ascii="Times New Roman" w:hAnsi="Times New Roman"/>
                <w:b/>
                <w:bCs/>
                <w:color w:themeColor="text1" w:val="000000"/>
                <w:kern w:val="0"/>
                <w:sz w:val="24"/>
                <w:szCs w:val="24"/>
                <w:shd w:fill="FFFFFF" w:val="clear"/>
                <w:vertAlign w:val="superscript"/>
                <w:lang w:val="en-US" w:eastAsia="en-US" w:bidi="ar-SA"/>
              </w:rPr>
              <w:t>2</w:t>
            </w:r>
          </w:p>
        </w:tc>
        <w:tc>
          <w:tcPr>
            <w:tcW w:w="1619"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P-value</w:t>
            </w:r>
          </w:p>
        </w:tc>
      </w:tr>
      <w:tr>
        <w:trPr>
          <w:trHeight w:val="32" w:hRule="atLeast"/>
        </w:trPr>
        <w:tc>
          <w:tcPr>
            <w:tcW w:w="2759" w:type="dxa"/>
            <w:tcBorders>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c>
          <w:tcPr>
            <w:tcW w:w="1801"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No</w:t>
            </w:r>
          </w:p>
        </w:tc>
        <w:tc>
          <w:tcPr>
            <w:tcW w:w="1736" w:type="dxa"/>
            <w:tcBorders>
              <w:left w:val="nil"/>
              <w:bottom w:val="nil"/>
              <w:right w:val="nil"/>
            </w:tcBorders>
          </w:tcPr>
          <w:p>
            <w:pPr>
              <w:pStyle w:val="Normal"/>
              <w:widowControl/>
              <w:spacing w:lineRule="auto" w:line="360" w:before="0" w:after="0"/>
              <w:jc w:val="left"/>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 xml:space="preserve">         </w:t>
            </w:r>
            <w:r>
              <w:rPr>
                <w:rFonts w:eastAsia="Times New Roman" w:cs="Times New Roman" w:ascii="Times New Roman" w:hAnsi="Times New Roman"/>
                <w:bCs/>
                <w:color w:themeColor="text1" w:val="000000"/>
                <w:kern w:val="0"/>
                <w:sz w:val="24"/>
                <w:szCs w:val="24"/>
                <w:lang w:val="en-US" w:eastAsia="en-US" w:bidi="ar-SA"/>
              </w:rPr>
              <w:t>Yes</w:t>
            </w:r>
          </w:p>
        </w:tc>
        <w:tc>
          <w:tcPr>
            <w:tcW w:w="1275"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c>
          <w:tcPr>
            <w:tcW w:w="1619"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r>
          </w:p>
        </w:tc>
      </w:tr>
      <w:tr>
        <w:trPr>
          <w:trHeight w:val="32"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801"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n (%)</w:t>
            </w:r>
          </w:p>
        </w:tc>
        <w:tc>
          <w:tcPr>
            <w:tcW w:w="1736"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n (%)</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 xml:space="preserve">Sex </w:t>
            </w:r>
          </w:p>
        </w:tc>
        <w:tc>
          <w:tcPr>
            <w:tcW w:w="1801"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Male</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40(75.5)</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13(24.5)</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1.950</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0.163</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Female</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36(63.2)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21(36.8)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Age of the participant</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w:t>
            </w:r>
            <w:r>
              <w:rPr>
                <w:rFonts w:eastAsia="Times New Roman" w:cs="Times New Roman" w:ascii="Times New Roman" w:hAnsi="Times New Roman"/>
                <w:color w:themeColor="text1" w:val="000000"/>
                <w:kern w:val="0"/>
                <w:sz w:val="24"/>
                <w:szCs w:val="24"/>
                <w:lang w:val="en-US" w:eastAsia="en-US" w:bidi="ar-SA"/>
              </w:rPr>
              <w:t>70</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49(72.1)</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16(27.9)</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0.7346</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0.391</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&gt;70</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27(64.3)</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15()35.7</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iCs/>
                <w:color w:themeColor="text1" w:val="000000"/>
                <w:sz w:val="24"/>
                <w:szCs w:val="24"/>
              </w:rPr>
            </w:pPr>
            <w:r>
              <w:rPr>
                <w:rFonts w:eastAsia="Times New Roman" w:cs="Times New Roman" w:ascii="Times New Roman" w:hAnsi="Times New Roman"/>
                <w:b/>
                <w:iCs/>
                <w:color w:themeColor="text1" w:val="000000"/>
                <w:kern w:val="0"/>
                <w:sz w:val="24"/>
                <w:szCs w:val="24"/>
                <w:lang w:val="en-US" w:eastAsia="en-US" w:bidi="ar-SA"/>
              </w:rPr>
              <w:t>Residence</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Urban</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52(73.2)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19(26.8)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1.6139</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0.204</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Rural</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24(61.5)</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15(38.5)</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kern w:val="0"/>
                <w:sz w:val="24"/>
                <w:szCs w:val="24"/>
                <w:lang w:val="en-US" w:eastAsia="en-US" w:bidi="ar-SA"/>
              </w:rPr>
              <w:t>Lens status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Phakic</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26(56.5)</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20(43.5)</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5.8489</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0.016</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Pseudophakic</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50(78.1)</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14(21.9)</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YAG laser capsulotomy</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32(76.2)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10(23.8)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1.6036</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0.205</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44(64.7)</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24(35.3)</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History of retina surgery</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8(100)</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3.8596</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0.049</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68(66.7)</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34(33.3)</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History of PRP</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12(92.3)</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1(7.7)</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3.7210</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0.054</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64(66.0)</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33(34.0)</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 xml:space="preserve">Retina Venous Occlusion    </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4(40)</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6(60)</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4.3591</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0.037</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72(72)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28(28)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CME</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49(79.0)</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13(21.0)</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6.5755</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0.010</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27(56.2)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21(43.8)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CNV</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2(66.7)</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1(33.3)</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0.0085</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0.927</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74(69.2)</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33(30.8)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 xml:space="preserve">DME </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18(56.3)</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14(43.8)</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3.4844</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0.062</w:t>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58(74.4)</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20(25.6)</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Posterior uveitis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57" w:hRule="atLeast"/>
        </w:trPr>
        <w:tc>
          <w:tcPr>
            <w:tcW w:w="2759"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801"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w:t>
            </w:r>
          </w:p>
        </w:tc>
        <w:tc>
          <w:tcPr>
            <w:tcW w:w="173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1(100.0)</w:t>
            </w:r>
          </w:p>
        </w:tc>
        <w:tc>
          <w:tcPr>
            <w:tcW w:w="1275"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2.2558</w:t>
            </w:r>
          </w:p>
        </w:tc>
        <w:tc>
          <w:tcPr>
            <w:tcW w:w="1619"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0.133</w:t>
            </w:r>
          </w:p>
        </w:tc>
      </w:tr>
      <w:tr>
        <w:trPr>
          <w:trHeight w:val="257" w:hRule="atLeast"/>
        </w:trPr>
        <w:tc>
          <w:tcPr>
            <w:tcW w:w="2759" w:type="dxa"/>
            <w:tcBorders>
              <w:top w:val="nil"/>
              <w:left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801"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76(63.7)</w:t>
            </w:r>
          </w:p>
        </w:tc>
        <w:tc>
          <w:tcPr>
            <w:tcW w:w="1736"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33(30.3)</w:t>
            </w:r>
          </w:p>
        </w:tc>
        <w:tc>
          <w:tcPr>
            <w:tcW w:w="1275"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619"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bl>
    <w:p>
      <w:pPr>
        <w:pStyle w:val="Normal"/>
        <w:spacing w:lineRule="auto" w:line="360" w:before="0" w:after="200"/>
        <w:jc w:val="both"/>
        <w:rPr>
          <w:rFonts w:ascii="Times New Roman" w:hAnsi="Times New Roman" w:eastAsia="SimSun" w:cs="Times New Roman"/>
          <w:bCs/>
          <w:color w:themeColor="text1" w:val="000000"/>
          <w:sz w:val="24"/>
          <w:szCs w:val="24"/>
        </w:rPr>
      </w:pPr>
      <w:r>
        <w:rPr>
          <w:rFonts w:eastAsia="SimSun" w:cs="Times New Roman" w:ascii="Times New Roman" w:hAnsi="Times New Roman"/>
          <w:bCs/>
          <w:color w:themeColor="text1" w:val="000000"/>
          <w:sz w:val="24"/>
          <w:szCs w:val="24"/>
        </w:rPr>
      </w:r>
    </w:p>
    <w:p>
      <w:pPr>
        <w:pStyle w:val="Heading2"/>
        <w:spacing w:lineRule="auto" w:line="360"/>
        <w:rPr>
          <w:rFonts w:ascii="Times New Roman" w:hAnsi="Times New Roman" w:eastAsia="SimSun" w:cs="Times New Roman"/>
          <w:bCs/>
          <w:color w:themeColor="text1" w:val="000000"/>
          <w:sz w:val="24"/>
          <w:szCs w:val="24"/>
        </w:rPr>
      </w:pPr>
      <w:bookmarkStart w:id="36" w:name="_Toc201688051"/>
      <w:r>
        <w:rPr>
          <w:rFonts w:eastAsia="SimSun" w:cs="Times New Roman" w:ascii="Times New Roman" w:hAnsi="Times New Roman"/>
          <w:bCs/>
          <w:color w:themeColor="text1" w:val="000000"/>
          <w:sz w:val="24"/>
          <w:szCs w:val="24"/>
        </w:rPr>
        <w:t xml:space="preserve">4.6 Multivariate analysis for risk </w:t>
      </w:r>
      <w:r>
        <w:rPr>
          <w:rFonts w:eastAsia="SimSun" w:cs="Times New Roman" w:ascii="Times New Roman" w:hAnsi="Times New Roman"/>
          <w:color w:themeColor="text1" w:val="000000"/>
          <w:sz w:val="24"/>
          <w:szCs w:val="24"/>
        </w:rPr>
        <w:t>factors associated with ocular hypertension</w:t>
      </w:r>
      <w:bookmarkEnd w:id="36"/>
      <w:r>
        <w:rPr>
          <w:rFonts w:eastAsia="SimSun" w:cs="Times New Roman" w:ascii="Times New Roman" w:hAnsi="Times New Roman"/>
          <w:bCs/>
          <w:color w:themeColor="text1" w:val="000000"/>
          <w:sz w:val="24"/>
          <w:szCs w:val="24"/>
        </w:rPr>
        <w:t xml:space="preserve"> </w:t>
      </w:r>
    </w:p>
    <w:p>
      <w:pPr>
        <w:pStyle w:val="Normal"/>
        <w:spacing w:lineRule="auto" w:line="360" w:before="0" w:afterAutospacing="1"/>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b/>
          <w:bCs/>
          <w:color w:themeColor="text1" w:val="000000"/>
          <w:sz w:val="24"/>
          <w:szCs w:val="24"/>
        </w:rPr>
        <w:t>Table 6</w:t>
      </w:r>
      <w:r>
        <w:rPr>
          <w:rFonts w:eastAsia="Times New Roman" w:cs="Times New Roman" w:ascii="Times New Roman" w:hAnsi="Times New Roman"/>
          <w:color w:themeColor="text1" w:val="000000"/>
          <w:sz w:val="24"/>
          <w:szCs w:val="24"/>
        </w:rPr>
        <w:t xml:space="preserve"> presents the factors associated with ocular hypertension. In the crude analysis, lens status, cystoid macular edema (CME), and retinal vein occlusion (RVO) were significantly associated with ocular hypertension. However, after adjusting for potential confounders, only RVO remained an independent significant predictor.</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Participants with phakic lenses had a significantly 98% higher risk of developing ocular hypertension compared to those with pseudophakic lenses (Crude Risk Ratio [CRR] = 1.98; 95% CI: 1.12–3.51;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0.018). However, after adjusting for CME, RVO, and diabetic macular edema (DME), the risk was reduced by 38% (Adjusted Risk Ratio [ARR] = 0.62; 95% CI: 0.13–3.07;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0.566), though this association was not statistically significant.</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Patients with CME initially showed a 52% lower risk of ocular hypertension (CRR = 0.48; 95% CI: 0.27–0.85;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0.013), but after adjustment for lens status, RVO, and DME, the protective effect diminished (ARR = 0.71; 95% CI: 0.11–4.65;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0.723) and lost statistical significance.</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Importantly, individuals with RVO had two times higher risk of ocular hypertension in the crude model (CRR = 2.14; 95% CI: 1.18–3.90;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0.013), and this association strengthened after adjustment, with the risk rising to over threefold (ARR = 3.23; 95% CI: 1.10–9.54;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0.033), remaining statistically significant.</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However, for patients with DME, there was a nonsignificant trend toward increased risk in both crude and adjusted analyses. The crude risk was elevated by 71% (CRR = 1.71; 95% CI: 0.99–2.95;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0.056), and after adjustment, the risk doubled (ARR = 2.40; 95% CI: 0.87–6.63; </w:t>
      </w:r>
      <w:r>
        <w:rPr>
          <w:rFonts w:eastAsia="SimSun" w:cs="Times New Roman" w:ascii="Times New Roman" w:hAnsi="Times New Roman"/>
          <w:i/>
          <w:iCs/>
          <w:color w:themeColor="text1" w:val="000000"/>
          <w:sz w:val="24"/>
          <w:szCs w:val="24"/>
        </w:rPr>
        <w:t>p</w:t>
      </w:r>
      <w:r>
        <w:rPr>
          <w:rFonts w:eastAsia="Times New Roman" w:cs="Times New Roman" w:ascii="Times New Roman" w:hAnsi="Times New Roman"/>
          <w:color w:themeColor="text1" w:val="000000"/>
          <w:sz w:val="24"/>
          <w:szCs w:val="24"/>
        </w:rPr>
        <w:t xml:space="preserve"> = 0.090), though this too did not reach statistical significance.  Additional variables assessed are detailed in </w:t>
      </w:r>
      <w:r>
        <w:rPr>
          <w:rFonts w:eastAsia="Times New Roman" w:cs="Times New Roman" w:ascii="Times New Roman" w:hAnsi="Times New Roman"/>
          <w:b/>
          <w:bCs/>
          <w:color w:themeColor="text1" w:val="000000"/>
          <w:sz w:val="24"/>
          <w:szCs w:val="24"/>
        </w:rPr>
        <w:t>Table 6</w:t>
      </w:r>
      <w:r>
        <w:rPr>
          <w:rFonts w:eastAsia="Times New Roman" w:cs="Times New Roman" w:ascii="Times New Roman" w:hAnsi="Times New Roman"/>
          <w:color w:themeColor="text1" w:val="000000"/>
          <w:sz w:val="24"/>
          <w:szCs w:val="24"/>
        </w:rPr>
        <w:t>.</w:t>
      </w:r>
    </w:p>
    <w:p>
      <w:pPr>
        <w:pStyle w:val="Normal"/>
        <w:spacing w:lineRule="auto" w:line="360" w:before="0" w:after="20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before="0" w:after="20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before="0" w:after="20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before="0" w:after="20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spacing w:lineRule="auto" w:line="360" w:before="0" w:after="20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Caption"/>
        <w:rPr>
          <w:color w:themeColor="text1" w:val="000000"/>
          <w:szCs w:val="24"/>
        </w:rPr>
      </w:pPr>
      <w:r>
        <w:rPr>
          <w:color w:themeColor="text1" w:val="000000"/>
          <w:szCs w:val="24"/>
        </w:rPr>
      </w:r>
      <w:bookmarkStart w:id="37" w:name="_Toc201683034"/>
      <w:bookmarkStart w:id="38" w:name="_Toc201683034"/>
    </w:p>
    <w:p>
      <w:pPr>
        <w:pStyle w:val="Caption"/>
        <w:rPr>
          <w:color w:themeColor="text1" w:val="000000"/>
          <w:szCs w:val="24"/>
        </w:rPr>
      </w:pPr>
      <w:r>
        <w:rPr>
          <w:color w:themeColor="text1" w:val="000000"/>
          <w:szCs w:val="24"/>
        </w:rPr>
      </w:r>
    </w:p>
    <w:p>
      <w:pPr>
        <w:pStyle w:val="Caption"/>
        <w:rPr>
          <w:rFonts w:eastAsia="SimSun"/>
          <w:b w:val="false"/>
          <w:color w:themeColor="text1" w:val="000000"/>
          <w:szCs w:val="24"/>
        </w:rPr>
      </w:pPr>
      <w:r>
        <w:rPr>
          <w:color w:themeColor="text1" w:val="000000"/>
          <w:szCs w:val="24"/>
        </w:rPr>
        <w:t xml:space="preserve">Table </w:t>
      </w:r>
      <w:r>
        <w:rPr>
          <w:color w:themeColor="text1" w:val="000000"/>
          <w:szCs w:val="24"/>
        </w:rPr>
        <w:fldChar w:fldCharType="begin"/>
      </w:r>
      <w:r>
        <w:rPr>
          <w:szCs w:val="24"/>
          <w:color w:themeColor="text1" w:val="000000"/>
        </w:rPr>
        <w:instrText xml:space="preserve"> SEQ Table \* ARABIC </w:instrText>
      </w:r>
      <w:r>
        <w:rPr>
          <w:szCs w:val="24"/>
          <w:color w:themeColor="text1" w:val="000000"/>
        </w:rPr>
        <w:fldChar w:fldCharType="separate"/>
      </w:r>
      <w:r>
        <w:rPr>
          <w:szCs w:val="24"/>
          <w:color w:themeColor="text1" w:val="000000"/>
        </w:rPr>
        <w:t>6</w:t>
      </w:r>
      <w:r>
        <w:rPr>
          <w:szCs w:val="24"/>
          <w:color w:themeColor="text1" w:val="000000"/>
        </w:rPr>
        <w:fldChar w:fldCharType="end"/>
      </w:r>
      <w:r>
        <w:rPr>
          <w:color w:themeColor="text1" w:val="000000"/>
          <w:szCs w:val="24"/>
        </w:rPr>
        <w:t>: Risk Factors Associated with Ocular Hypertension After Intravitreal Triamcinolone</w:t>
      </w:r>
      <w:bookmarkEnd w:id="38"/>
    </w:p>
    <w:tbl>
      <w:tblPr>
        <w:tblStyle w:val="TableGrid2"/>
        <w:tblW w:w="95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62"/>
        <w:gridCol w:w="1947"/>
        <w:gridCol w:w="1344"/>
        <w:gridCol w:w="2126"/>
        <w:gridCol w:w="1334"/>
      </w:tblGrid>
      <w:tr>
        <w:trPr>
          <w:trHeight w:val="215" w:hRule="atLeast"/>
        </w:trPr>
        <w:tc>
          <w:tcPr>
            <w:tcW w:w="2762" w:type="dxa"/>
            <w:tcBorders>
              <w:left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Variable</w:t>
            </w:r>
          </w:p>
        </w:tc>
        <w:tc>
          <w:tcPr>
            <w:tcW w:w="1947"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CRR (95%CI)</w:t>
            </w:r>
          </w:p>
        </w:tc>
        <w:tc>
          <w:tcPr>
            <w:tcW w:w="1344"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P-value</w:t>
            </w:r>
          </w:p>
        </w:tc>
        <w:tc>
          <w:tcPr>
            <w:tcW w:w="2126"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ARR (95%CI)</w:t>
            </w:r>
          </w:p>
        </w:tc>
        <w:tc>
          <w:tcPr>
            <w:tcW w:w="1334" w:type="dxa"/>
            <w:tcBorders>
              <w:left w:val="nil"/>
              <w:right w:val="nil"/>
            </w:tcBorders>
          </w:tcPr>
          <w:p>
            <w:pPr>
              <w:pStyle w:val="Normal"/>
              <w:widowControl/>
              <w:spacing w:lineRule="auto" w:line="36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P-value</w:t>
            </w:r>
          </w:p>
        </w:tc>
      </w:tr>
      <w:tr>
        <w:trPr>
          <w:trHeight w:val="280" w:hRule="atLeast"/>
        </w:trPr>
        <w:tc>
          <w:tcPr>
            <w:tcW w:w="2762" w:type="dxa"/>
            <w:tcBorders>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Sex</w:t>
            </w:r>
          </w:p>
        </w:tc>
        <w:tc>
          <w:tcPr>
            <w:tcW w:w="1947"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Male</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Female</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1.50(0.84-2.69)</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0.173</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Age of the participant</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w:t>
            </w:r>
            <w:r>
              <w:rPr>
                <w:rFonts w:eastAsia="Times New Roman" w:cs="Times New Roman" w:ascii="Times New Roman" w:hAnsi="Times New Roman"/>
                <w:color w:themeColor="text1" w:val="000000"/>
                <w:kern w:val="0"/>
                <w:sz w:val="24"/>
                <w:szCs w:val="24"/>
                <w:lang w:val="en-US" w:eastAsia="en-US" w:bidi="ar-SA"/>
              </w:rPr>
              <w:t>70</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left"/>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&gt;70</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1.28(0.73-2.24)</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0.390</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iCs/>
                <w:color w:themeColor="text1" w:val="000000"/>
                <w:sz w:val="24"/>
                <w:szCs w:val="24"/>
              </w:rPr>
            </w:pPr>
            <w:r>
              <w:rPr>
                <w:rFonts w:eastAsia="Times New Roman" w:cs="Times New Roman" w:ascii="Times New Roman" w:hAnsi="Times New Roman"/>
                <w:b/>
                <w:iCs/>
                <w:color w:themeColor="text1" w:val="000000"/>
                <w:kern w:val="0"/>
                <w:sz w:val="24"/>
                <w:szCs w:val="24"/>
                <w:lang w:val="en-US" w:eastAsia="en-US" w:bidi="ar-SA"/>
              </w:rPr>
              <w:t>Residence</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Urban</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510"/>
              <w:jc w:val="both"/>
              <w:rPr>
                <w:rFonts w:ascii="Times New Roman" w:hAnsi="Times New Roman" w:eastAsia="Times New Roman" w:cs="Times New Roman"/>
                <w:iCs/>
                <w:color w:themeColor="text1" w:val="000000"/>
                <w:sz w:val="24"/>
                <w:szCs w:val="24"/>
              </w:rPr>
            </w:pPr>
            <w:r>
              <w:rPr>
                <w:rFonts w:eastAsia="Times New Roman" w:cs="Times New Roman" w:ascii="Times New Roman" w:hAnsi="Times New Roman"/>
                <w:iCs/>
                <w:color w:themeColor="text1" w:val="000000"/>
                <w:kern w:val="0"/>
                <w:sz w:val="24"/>
                <w:szCs w:val="24"/>
                <w:lang w:val="en-US" w:eastAsia="en-US" w:bidi="ar-SA"/>
              </w:rPr>
              <w:t>Rural</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1.44(0.82-2.50)</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0.201</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Lens status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Phakic</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1.98(1.12-3.51)</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0.018</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0.62(0.13-3.07)</w:t>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0.566</w:t>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Pseudophakic</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YAG</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0.67(0.36-1.27)</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0.222</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History of PRP</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0.23(.03-1.53)</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0.128</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Hypertension</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1.22(0.69-2.15)</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0.489</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CME</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0.48(0.27-0.85)</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0.013</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0.71 (0.11-4.65)</w:t>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0.723</w:t>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RVO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2.14(1.18-3.90)</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0.013</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3.23(1.10-9.54)</w:t>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0.033*</w:t>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kern w:val="0"/>
                <w:sz w:val="24"/>
                <w:szCs w:val="24"/>
                <w:lang w:val="en-US" w:eastAsia="en-US" w:bidi="ar-SA"/>
              </w:rPr>
              <w:t>CNV</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1.08(.21-5.53)</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0.926</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jc w:val="both"/>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kern w:val="0"/>
                <w:sz w:val="24"/>
                <w:szCs w:val="24"/>
                <w:lang w:val="en-US" w:eastAsia="en-US" w:bidi="ar-SA"/>
              </w:rPr>
              <w:t>DME</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r>
        <w:trPr>
          <w:trHeight w:val="280" w:hRule="atLeast"/>
        </w:trPr>
        <w:tc>
          <w:tcPr>
            <w:tcW w:w="2762" w:type="dxa"/>
            <w:tcBorders>
              <w:top w:val="nil"/>
              <w:left w:val="nil"/>
              <w:bottom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Yes</w:t>
            </w:r>
          </w:p>
        </w:tc>
        <w:tc>
          <w:tcPr>
            <w:tcW w:w="1947"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1.71(0.99-2.95)</w:t>
            </w:r>
          </w:p>
        </w:tc>
        <w:tc>
          <w:tcPr>
            <w:tcW w:w="134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 xml:space="preserve">0.056  </w:t>
            </w:r>
          </w:p>
        </w:tc>
        <w:tc>
          <w:tcPr>
            <w:tcW w:w="2126"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2.40(0.87-6.63)</w:t>
            </w:r>
          </w:p>
        </w:tc>
        <w:tc>
          <w:tcPr>
            <w:tcW w:w="1334" w:type="dxa"/>
            <w:tcBorders>
              <w:top w:val="nil"/>
              <w:left w:val="nil"/>
              <w:bottom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0.090</w:t>
            </w:r>
          </w:p>
        </w:tc>
      </w:tr>
      <w:tr>
        <w:trPr>
          <w:trHeight w:val="280" w:hRule="atLeast"/>
        </w:trPr>
        <w:tc>
          <w:tcPr>
            <w:tcW w:w="2762" w:type="dxa"/>
            <w:tcBorders>
              <w:top w:val="nil"/>
              <w:left w:val="nil"/>
              <w:right w:val="nil"/>
            </w:tcBorders>
          </w:tcPr>
          <w:p>
            <w:pPr>
              <w:pStyle w:val="Normal"/>
              <w:widowControl/>
              <w:spacing w:lineRule="auto" w:line="360" w:before="0" w:after="0"/>
              <w:ind w:left="24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t>No</w:t>
            </w:r>
          </w:p>
        </w:tc>
        <w:tc>
          <w:tcPr>
            <w:tcW w:w="1947"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44"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2126"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c>
          <w:tcPr>
            <w:tcW w:w="1334" w:type="dxa"/>
            <w:tcBorders>
              <w:top w:val="nil"/>
              <w:left w:val="nil"/>
              <w:right w:val="nil"/>
            </w:tcBorders>
          </w:tcPr>
          <w:p>
            <w:pPr>
              <w:pStyle w:val="Normal"/>
              <w:widowControl/>
              <w:spacing w:lineRule="auto" w:line="360" w:before="0" w:after="0"/>
              <w:jc w:val="center"/>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ar-SA"/>
              </w:rPr>
            </w:r>
          </w:p>
        </w:tc>
      </w:tr>
    </w:tbl>
    <w:p>
      <w:pPr>
        <w:pStyle w:val="Normal"/>
        <w:spacing w:lineRule="auto" w:line="360" w:before="0" w:after="200"/>
        <w:jc w:val="both"/>
        <w:rPr>
          <w:rFonts w:ascii="Times New Roman" w:hAnsi="Times New Roman" w:eastAsia="SimSun" w:cs="Times New Roman"/>
          <w:bCs/>
          <w:color w:themeColor="text1" w:val="000000"/>
          <w:sz w:val="24"/>
          <w:szCs w:val="24"/>
        </w:rPr>
      </w:pPr>
      <w:r>
        <w:rPr>
          <w:rFonts w:eastAsia="SimSun" w:cs="Times New Roman" w:ascii="Times New Roman" w:hAnsi="Times New Roman"/>
          <w:bCs/>
          <w:color w:themeColor="text1" w:val="000000"/>
          <w:sz w:val="24"/>
          <w:szCs w:val="24"/>
        </w:rPr>
        <w:t>*Statistically significant, p &lt;0.05</w:t>
      </w:r>
      <w:bookmarkStart w:id="39" w:name="_Toc171521435"/>
      <w:bookmarkStart w:id="40" w:name="_Toc201688053"/>
    </w:p>
    <w:p>
      <w:pPr>
        <w:pStyle w:val="Normal"/>
        <w:spacing w:lineRule="auto" w:line="360" w:before="0" w:after="200"/>
        <w:jc w:val="both"/>
        <w:rPr>
          <w:rFonts w:ascii="Times New Roman" w:hAnsi="Times New Roman" w:eastAsia="SimSun" w:cs="Times New Roman"/>
          <w:bCs/>
          <w:color w:themeColor="text1" w:val="000000"/>
          <w:sz w:val="24"/>
          <w:szCs w:val="24"/>
        </w:rPr>
      </w:pPr>
      <w:r>
        <w:rPr>
          <w:rFonts w:cs="Times New Roman" w:ascii="Times New Roman" w:hAnsi="Times New Roman"/>
          <w:b/>
          <w:color w:themeColor="text1" w:val="000000"/>
          <w:sz w:val="24"/>
          <w:szCs w:val="24"/>
        </w:rPr>
        <w:t>Discussion</w:t>
      </w:r>
      <w:bookmarkEnd w:id="39"/>
      <w:bookmarkEnd w:id="40"/>
    </w:p>
    <w:p>
      <w:pPr>
        <w:pStyle w:val="Heading2"/>
        <w:spacing w:lineRule="auto" w:line="360"/>
        <w:rPr>
          <w:rFonts w:ascii="Times New Roman" w:hAnsi="Times New Roman" w:cs="Times New Roman"/>
          <w:color w:themeColor="text1" w:val="000000"/>
          <w:sz w:val="24"/>
          <w:szCs w:val="24"/>
        </w:rPr>
      </w:pPr>
      <w:bookmarkStart w:id="41" w:name="_Toc201683128"/>
      <w:bookmarkStart w:id="42" w:name="_Toc201688054"/>
      <w:r>
        <w:rPr>
          <w:rFonts w:eastAsia="Times New Roman" w:cs="Times New Roman" w:ascii="Times New Roman" w:hAnsi="Times New Roman"/>
          <w:color w:themeColor="text1" w:val="000000"/>
          <w:sz w:val="24"/>
          <w:szCs w:val="24"/>
          <w:lang w:eastAsia="en-GB"/>
        </w:rPr>
        <w:t xml:space="preserve">Intravitreal triamcinolone acetonide (IVTA) is still widely used in managing macular edema due to diabetic retinopathy, retinal vein occlusion, AMD, and uveitis. However, elevation of intraocular pressure (IOP) induced by </w:t>
      </w:r>
      <w:r>
        <w:rPr>
          <w:rFonts w:eastAsia="Times New Roman" w:cs="Times New Roman" w:ascii="Times New Roman" w:hAnsi="Times New Roman"/>
          <w:color w:val="FF0000"/>
          <w:sz w:val="24"/>
          <w:szCs w:val="24"/>
          <w:lang w:eastAsia="en-GB"/>
        </w:rPr>
        <w:t>T</w:t>
      </w:r>
      <w:r>
        <w:rPr>
          <w:rFonts w:eastAsia="Times New Roman" w:cs="Times New Roman" w:ascii="Times New Roman" w:hAnsi="Times New Roman"/>
          <w:color w:themeColor="text1" w:val="000000"/>
          <w:sz w:val="24"/>
          <w:szCs w:val="24"/>
          <w:lang w:eastAsia="en-GB"/>
        </w:rPr>
        <w:t>riamcinolone remains a significant adverse effect. This discussion evaluates the findings of this prospective study conducted at KCMC and compares them with recently published research to highlight similarities, differences, and future directions.</w:t>
      </w:r>
      <w:bookmarkEnd w:id="41"/>
      <w:bookmarkEnd w:id="42"/>
    </w:p>
    <w:p>
      <w:pPr>
        <w:pStyle w:val="Normal"/>
        <w:spacing w:lineRule="auto" w:line="360" w:beforeAutospacing="1" w:afterAutospacing="1"/>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In this study conducted at Kilimanjaro Christian Medical Centre (KCMC), the most frequent indications for intravitreal triamcinolone acetonide (IVTA) injections among macular edema patients were </w:t>
      </w:r>
      <w:r>
        <w:rPr>
          <w:rStyle w:val="Strong"/>
          <w:rFonts w:cs="Times New Roman" w:ascii="Times New Roman" w:hAnsi="Times New Roman"/>
          <w:b w:val="false"/>
          <w:color w:themeColor="text1" w:val="000000"/>
          <w:sz w:val="24"/>
          <w:szCs w:val="24"/>
        </w:rPr>
        <w:t>cystoid macular edema (CME-58.9%)</w:t>
      </w:r>
      <w:r>
        <w:rPr>
          <w:rFonts w:cs="Times New Roman" w:ascii="Times New Roman" w:hAnsi="Times New Roman"/>
          <w:color w:themeColor="text1" w:val="000000"/>
          <w:sz w:val="24"/>
          <w:szCs w:val="24"/>
        </w:rPr>
        <w:t xml:space="preserve"> and </w:t>
      </w:r>
      <w:r>
        <w:rPr>
          <w:rStyle w:val="Strong"/>
          <w:rFonts w:cs="Times New Roman" w:ascii="Times New Roman" w:hAnsi="Times New Roman"/>
          <w:b w:val="false"/>
          <w:color w:themeColor="text1" w:val="000000"/>
          <w:sz w:val="24"/>
          <w:szCs w:val="24"/>
        </w:rPr>
        <w:t>diabetic macular edema (DME-28%)</w:t>
      </w:r>
      <w:r>
        <w:rPr>
          <w:rFonts w:cs="Times New Roman" w:ascii="Times New Roman" w:hAnsi="Times New Roman"/>
          <w:color w:themeColor="text1" w:val="000000"/>
          <w:sz w:val="24"/>
          <w:szCs w:val="24"/>
        </w:rPr>
        <w:t xml:space="preserve">, followed by </w:t>
      </w:r>
      <w:r>
        <w:rPr>
          <w:rStyle w:val="Strong"/>
          <w:rFonts w:cs="Times New Roman" w:ascii="Times New Roman" w:hAnsi="Times New Roman"/>
          <w:b w:val="false"/>
          <w:color w:themeColor="text1" w:val="000000"/>
          <w:sz w:val="24"/>
          <w:szCs w:val="24"/>
        </w:rPr>
        <w:t>retinal vein occlusion (RVO-9.3%)</w:t>
      </w:r>
      <w:r>
        <w:rPr>
          <w:rFonts w:cs="Times New Roman" w:ascii="Times New Roman" w:hAnsi="Times New Roman"/>
          <w:color w:themeColor="text1" w:val="000000"/>
          <w:sz w:val="24"/>
          <w:szCs w:val="24"/>
        </w:rPr>
        <w:t xml:space="preserve">, </w:t>
      </w:r>
      <w:r>
        <w:rPr>
          <w:rStyle w:val="Strong"/>
          <w:rFonts w:cs="Times New Roman" w:ascii="Times New Roman" w:hAnsi="Times New Roman"/>
          <w:b w:val="false"/>
          <w:color w:themeColor="text1" w:val="000000"/>
          <w:sz w:val="24"/>
          <w:szCs w:val="24"/>
        </w:rPr>
        <w:t>age-related macular degeneration (AMD-3.7%)</w:t>
      </w:r>
      <w:r>
        <w:rPr>
          <w:rFonts w:cs="Times New Roman" w:ascii="Times New Roman" w:hAnsi="Times New Roman"/>
          <w:color w:themeColor="text1" w:val="000000"/>
          <w:sz w:val="24"/>
          <w:szCs w:val="24"/>
        </w:rPr>
        <w:t xml:space="preserve">, and </w:t>
      </w:r>
      <w:r>
        <w:rPr>
          <w:rStyle w:val="Strong"/>
          <w:rFonts w:cs="Times New Roman" w:ascii="Times New Roman" w:hAnsi="Times New Roman"/>
          <w:b w:val="false"/>
          <w:color w:themeColor="text1" w:val="000000"/>
          <w:sz w:val="24"/>
          <w:szCs w:val="24"/>
        </w:rPr>
        <w:t>posterior uveitis</w:t>
      </w:r>
      <w:r>
        <w:rPr>
          <w:rFonts w:cs="Times New Roman" w:ascii="Times New Roman" w:hAnsi="Times New Roman"/>
          <w:color w:themeColor="text1" w:val="000000"/>
          <w:sz w:val="24"/>
          <w:szCs w:val="24"/>
        </w:rPr>
        <w:t>. This distribution reflects the wide spectrum of posterior segment diseases for which corticosteroid therapy remains a mainstay, especially in resource-limited settings.</w:t>
      </w:r>
    </w:p>
    <w:p>
      <w:pPr>
        <w:pStyle w:val="Normal"/>
        <w:spacing w:lineRule="auto" w:line="360" w:beforeAutospacing="1" w:afterAutospacing="1"/>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CME was the leading indication in our cohort, consistent with reports from similar tertiary centers. According to </w:t>
      </w:r>
      <w:r>
        <w:fldChar w:fldCharType="begin"/>
      </w:r>
      <w:r>
        <w:rPr>
          <w:sz w:val="24"/>
          <w:szCs w:val="24"/>
          <w:rFonts w:cs="Times New Roman" w:ascii="Times New Roman" w:hAnsi="Times New Roman"/>
          <w:color w:themeColor="text1" w:val="000000"/>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w:t>
      </w:r>
      <w:r>
        <w:rPr>
          <w:rFonts w:cs="Times New Roman" w:ascii="Times New Roman" w:hAnsi="Times New Roman"/>
          <w:color w:themeColor="text1" w:val="000000"/>
          <w:sz w:val="24"/>
          <w:szCs w:val="24"/>
        </w:rPr>
        <w:commentReference w:id="10"/>
      </w:r>
      <w:r>
        <w:rPr>
          <w:rFonts w:cs="Times New Roman" w:ascii="Times New Roman" w:hAnsi="Times New Roman"/>
          <w:color w:themeColor="text1" w:val="000000"/>
          <w:sz w:val="24"/>
          <w:szCs w:val="24"/>
        </w:rPr>
        <w:t xml:space="preserve"> IVTA was predominantly used in their Turkish cohort for CME due to pseudophakia and chronic uveitis. The anti-inflammatory and anti-edematous effects of triamcinolone make them particularly effective in CME cases, especially where anti-VEGF treatment is either contraindicated or unavailable.</w:t>
      </w:r>
    </w:p>
    <w:p>
      <w:pPr>
        <w:pStyle w:val="Normal"/>
        <w:spacing w:lineRule="auto" w:line="360" w:beforeAutospacing="1" w:afterAutospacing="1"/>
        <w:jc w:val="both"/>
        <w:rPr>
          <w:rFonts w:ascii="Times New Roman" w:hAnsi="Times New Roman" w:cs="Times New Roman"/>
          <w:color w:themeColor="text1" w:val="000000"/>
          <w:sz w:val="24"/>
          <w:szCs w:val="24"/>
        </w:rPr>
      </w:pPr>
      <w:r>
        <w:rPr>
          <w:rStyle w:val="Strong"/>
          <w:rFonts w:cs="Times New Roman" w:ascii="Times New Roman" w:hAnsi="Times New Roman"/>
          <w:b w:val="false"/>
          <w:color w:themeColor="text1" w:val="000000"/>
          <w:sz w:val="24"/>
          <w:szCs w:val="24"/>
        </w:rPr>
        <w:t>DME</w:t>
      </w:r>
      <w:r>
        <w:rPr>
          <w:rFonts w:cs="Times New Roman" w:ascii="Times New Roman" w:hAnsi="Times New Roman"/>
          <w:color w:themeColor="text1" w:val="000000"/>
          <w:sz w:val="24"/>
          <w:szCs w:val="24"/>
        </w:rPr>
        <w:t>, the second most common indication at KCMC, is widely recognized as a primary target for IVTA therapy. The corticosteroid acts by inhibiting VEGF production and reducing retinal capillary permeability. In a 2023 prospective trial by</w:t>
      </w:r>
      <w:r>
        <w:fldChar w:fldCharType="begin"/>
      </w:r>
      <w:r>
        <w:rPr>
          <w:sz w:val="24"/>
          <w:szCs w:val="24"/>
          <w:rFonts w:cs="Times New Roman" w:ascii="Times New Roman" w:hAnsi="Times New Roman"/>
          <w:color w:themeColor="text1" w:val="000000"/>
        </w:rPr>
        <w:instrText xml:space="preserve">ADDIN CSL_CITATION {"citationItems":[{"id":"ITEM-1","itemData":{"DOI":"10.1111/ced.14381","ISSN":"0307-6938","abstract":"Alopecia areata (AA) is a chronic, autoimmune disorder that results in nonscarring hair loss. Analysis of the affected follicular units in acute AA and regrowing white hair showed that the disease preferentially affected the hair bulb melanocytes and differentiating cortical keratinocytes, respectively. Reports on sparing of senile white hair suggests that melanocytes in the hair follicle are favoured as the main target in the pathogenesis of AA.1, 2 The lifetime incidence of idiopathic AA (IAA) is approximately 2.1%, but there are limited data on drug‐induced AA (DIAA). 3 We report a case of DIAA associated with lansoprazole.","author":[{"dropping-particle":"","family":"Murad","given":"A","non-dropping-particle":"","parse-names":false,"suffix":""},{"dropping-particle":"","family":"Maguire","given":"J","non-dropping-particle":"","parse-names":false,"suffix":""},{"dropping-particle":"","family":"Bergfeld","given":"W","non-dropping-particle":"","parse-names":false,"suffix":""}],"container-title":"Clinical and Experimental Dermatology","id":"ITEM-1","issue":"2","issued":{"date-parts":[["2021","3","1"]]},"page":"363-366","title":"Drug‐induced alopecia areata?","type":"article-journal","volume":"46"},"uris":["http://www.mendeley.com/documents/?uuid=506b41a2-2ee6-43c9-aa1c-8ba48dfb60c0"]}],"mendeley":{"formattedCitation":"(8)","plainTextFormattedCitation":"(8)","previouslyFormattedCitation":"(Murad, Maguire and Bergfeld, 2021)"},"properties":{"noteIndex":0},"schema":"https://github.com/citation-style-language/schema/raw/master/csl-citation.json"}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(8)</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in Qatar, IVTA was administered to 97 patients with chronic DME unresponsive to anti-VEGF. Their study reported significant improvement in central macular thickness and visual acuity, supporting IVTA as a viable second-line treatment. Similarly </w:t>
      </w:r>
      <w:r>
        <w:fldChar w:fldCharType="begin"/>
      </w:r>
      <w:r>
        <w:rPr>
          <w:sz w:val="24"/>
          <w:szCs w:val="24"/>
          <w:rFonts w:cs="Times New Roman" w:ascii="Times New Roman" w:hAnsi="Times New Roman"/>
          <w:color w:themeColor="text1" w:val="000000"/>
        </w:rPr>
        <w:instrText xml:space="preserve">ADDIN CSL_CITATION {"citationItems":[{"id":"ITEM-1","itemData":{"DOI":"10.1007/s40123-025-01172-5","ISBN":"0123456789","ISSN":"2193-6528","author":[{"dropping-particle":"","family":"Silpa","given":"Sukhum","non-dropping-particle":"","parse-names":false,"suffix":""},{"dropping-particle":"","family":"Peranut","given":"Nganthavee","non-dropping-particle":"","parse-names":false,"suffix":""}],"container-title":"Ophthalmology and Therapy","id":"ITEM-1","issue":"0123456789","issued":{"date-parts":[["2025"]]},"publisher":"Springer Healthcare","title":"Revisiting the Role of Intravitreal Triamcinolone in Diabetic Macular Edema : 12 ‑ Month Outcomes after Bevacizumab Failure","type":"article-journal"},"uris":["http://www.mendeley.com/documents/?uuid=fefea817-7783-4479-b570-5b8a932c0082"]}],"mendeley":{"formattedCitation":"(9)","plainTextFormattedCitation":"(9)","previouslyFormattedCitation":"(Silpa and Peranut, 2025)"},"properties":{"noteIndex":0},"schema":"https://github.com/citation-style-language/schema/raw/master/csl-citation.json"}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(9)</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Style w:val="Strong"/>
          <w:rFonts w:cs="Times New Roman" w:ascii="Times New Roman" w:hAnsi="Times New Roman"/>
          <w:b w:val="false"/>
          <w:color w:themeColor="text1" w:val="000000"/>
          <w:sz w:val="24"/>
          <w:szCs w:val="24"/>
        </w:rPr>
        <w:t xml:space="preserve"> </w:t>
      </w:r>
      <w:r>
        <w:rPr>
          <w:rFonts w:cs="Times New Roman" w:ascii="Times New Roman" w:hAnsi="Times New Roman"/>
          <w:color w:themeColor="text1" w:val="000000"/>
          <w:sz w:val="24"/>
          <w:szCs w:val="24"/>
        </w:rPr>
        <w:t>observed that IVTA is more cost-effective than anti-VEGF agents in DME when long-term affordability is a concern, which aligns with its frequent use in our Tanzanian population.</w:t>
      </w:r>
    </w:p>
    <w:p>
      <w:pPr>
        <w:pStyle w:val="Normal"/>
        <w:spacing w:lineRule="auto" w:line="360" w:beforeAutospacing="1" w:afterAutospacing="1"/>
        <w:jc w:val="both"/>
        <w:rPr>
          <w:rFonts w:ascii="Times New Roman" w:hAnsi="Times New Roman" w:cs="Times New Roman"/>
          <w:color w:themeColor="text1" w:val="000000"/>
          <w:sz w:val="24"/>
          <w:szCs w:val="24"/>
        </w:rPr>
      </w:pPr>
      <w:r>
        <w:rPr>
          <w:rStyle w:val="Strong"/>
          <w:rFonts w:cs="Times New Roman" w:ascii="Times New Roman" w:hAnsi="Times New Roman"/>
          <w:b w:val="false"/>
          <w:color w:themeColor="text1" w:val="000000"/>
          <w:sz w:val="24"/>
          <w:szCs w:val="24"/>
        </w:rPr>
        <w:t xml:space="preserve">Retinal vein occlusion (RVO) was another major indication in our study. This corresponds with findings from </w:t>
      </w:r>
      <w:r>
        <w:fldChar w:fldCharType="begin"/>
      </w:r>
      <w:r>
        <w:rPr>
          <w:rStyle w:val="Strong"/>
          <w:sz w:val="24"/>
          <w:b w:val="false"/>
          <w:szCs w:val="24"/>
          <w:rFonts w:cs="Times New Roman" w:ascii="Times New Roman" w:hAnsi="Times New Roman"/>
          <w:color w:themeColor="text1" w:val="000000"/>
        </w:rPr>
        <w:instrText xml:space="preserve">ADDIN CSL_CITATION {"citationItems":[{"id":"ITEM-1","itemData":{"DOI":"10.1089/jop.2010.0039","ISSN":"1080-7683","abstract":"Abstract Purpose: To evaluate secondary ocular hypertension after intravitreal injection of triamcinolone acetonide (IVTA) with 2?mg/0.05?mL or 4?mg/0.1?mL for macular edema associated with retinal vein occlusion (RVO). Methods: A retrospective chart review was performed. Patients with RVO, including central RVO and branch RVO, were divided into 2 groups. Group 1 was patients who received 2?mg IVTA and group 2 received 4?mg IVTA. The dose of IVTA was dependent on individual surgeon's decision. Secondary ocular hypertension was defined as intraocular pressure (IOP) &gt;21?mmHg.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P?=?0.36). However, group 2 had a higher proportion of long-term antiglaucoma medication usage than group 1 (5.6% vs. 40.6%; Pearson chi-square, P?&lt;?0.001). Ultimately, 2.9% of patients underwent filtration surgery. Macular edema diminished and best-corrected visual acuity improved at 3 months later in both groups. Conclusions: With a similar effect on vision recovery and alleviating macular edema associated with RVO, 2?mg IVTA required a shorter duration of medical control for secondary ocular hypertension than 4?mg IVTA.","author":[{"dropping-particle":"","family":"Chuang","given":"Lan-Hsin","non-dropping-particle":"","parse-names":false,"suffix":""},{"dropping-particle":"","family":"Yeung","given":"Ling","non-dropping-particle":"","parse-names":false,"suffix":""},{"dropping-particle":"","family":"Wang","given":"Nan-Kai","non-dropping-particle":"","parse-names":false,"suffix":""},{"dropping-particle":"","family":"Chen","given":"Henry Shen-Lih","non-dropping-particle":"","parse-names":false,"suffix":""},{"dropping-particle":"","family":"Ku","given":"Wan-Chen","non-dropping-particle":"","parse-names":false,"suffix":""},{"dropping-particle":"","family":"Lai","given":"Chi-Chun","non-dropping-particle":"","parse-names":false,"suffix":""}],"container-title":"Journal of Ocular Pharmacology and Therapeutics","id":"ITEM-1","issue":"4","issued":{"date-parts":[["2010","7","24"]]},"note":"doi: 10.1089/jop.2010.0039","page":"325-328","publisher":"Mary Ann Liebert, Inc., publishers","title":"Secondary Ocular Hypertension After Intravitreal Injection with 2 mg or 4 mg of Triamcinolone in Retinal Vein Occlusion","type":"article-journal","volume":"26"},"uris":["http://www.mendeley.com/documents/?uuid=8a973a2a-c1cf-4668-9691-bfaa533af644"]}],"mendeley":{"formattedCitation":"(10)","plainTextFormattedCitation":"(10)","previouslyFormattedCitation":"(L.-H. Chuang &lt;i&gt;et al.&lt;/i&gt;, 2010)"},"properties":{"noteIndex":0},"schema":"https://github.com/citation-style-language/schema/raw/master/csl-citation.json"}</w:instrText>
      </w:r>
      <w:r>
        <w:rPr>
          <w:rStyle w:val="Strong"/>
          <w:rFonts w:cs="Times New Roman" w:ascii="Times New Roman" w:hAnsi="Times New Roman"/>
          <w:b w:val="false"/>
          <w:color w:themeColor="text1" w:val="000000"/>
          <w:sz w:val="24"/>
          <w:szCs w:val="24"/>
        </w:rPr>
      </w:r>
      <w:r>
        <w:rPr>
          <w:rStyle w:val="Strong"/>
          <w:sz w:val="24"/>
          <w:b w:val="false"/>
          <w:szCs w:val="24"/>
          <w:rFonts w:cs="Times New Roman" w:ascii="Times New Roman" w:hAnsi="Times New Roman"/>
          <w:color w:themeColor="text1" w:val="000000"/>
        </w:rPr>
        <w:fldChar w:fldCharType="separate"/>
      </w:r>
      <w:r>
        <w:rPr>
          <w:rStyle w:val="Strong"/>
          <w:rFonts w:cs="Times New Roman" w:ascii="Times New Roman" w:hAnsi="Times New Roman"/>
          <w:b w:val="false"/>
          <w:color w:themeColor="text1" w:val="000000"/>
          <w:sz w:val="24"/>
          <w:szCs w:val="24"/>
        </w:rPr>
        <w:t>(10)</w:t>
      </w:r>
      <w:r>
        <w:rPr>
          <w:rStyle w:val="Strong"/>
          <w:rFonts w:cs="Times New Roman" w:ascii="Times New Roman" w:hAnsi="Times New Roman"/>
          <w:b w:val="false"/>
          <w:color w:themeColor="text1" w:val="000000"/>
          <w:sz w:val="24"/>
          <w:szCs w:val="24"/>
        </w:rPr>
      </w:r>
      <w:r>
        <w:rPr>
          <w:rStyle w:val="Strong"/>
          <w:sz w:val="24"/>
          <w:b w:val="false"/>
          <w:szCs w:val="24"/>
          <w:rFonts w:cs="Times New Roman" w:ascii="Times New Roman" w:hAnsi="Times New Roman"/>
          <w:color w:themeColor="text1" w:val="000000"/>
        </w:rPr>
        <w:fldChar w:fldCharType="end"/>
      </w:r>
      <w:r>
        <w:rPr>
          <w:rStyle w:val="Strong"/>
          <w:rFonts w:cs="Times New Roman" w:ascii="Times New Roman" w:hAnsi="Times New Roman"/>
          <w:b w:val="false"/>
          <w:color w:themeColor="text1" w:val="000000"/>
          <w:sz w:val="24"/>
          <w:szCs w:val="24"/>
        </w:rPr>
        <w:t xml:space="preserve">, who found IVTA effective in reducing macular edema secondary to both branch and central RVO. These findings also align with those of </w:t>
      </w:r>
      <w:r>
        <w:fldChar w:fldCharType="begin"/>
      </w:r>
      <w:r>
        <w:rPr>
          <w:rStyle w:val="Strong"/>
          <w:sz w:val="24"/>
          <w:b w:val="false"/>
          <w:szCs w:val="24"/>
          <w:rFonts w:cs="Times New Roman" w:ascii="Times New Roman" w:hAnsi="Times New Roman"/>
          <w:color w:themeColor="text1" w:val="000000"/>
        </w:rPr>
        <w:instrText xml:space="preserve">ADDIN CSL_CITATION {"citationItems":[{"id":"ITEM-1","itemData":{"DOI":"10.1159/000533443","ISSN":"14230267","PMID":"37579730","abstract":"Background: The comparative safety and efficacy of different doses of intravitreal triamcinolone acetonide (IVTA) for diabetic macular edema (DME) and macular edema (ME) secondary to retinal vein occlusion (RVO) is unclear. Objectives: This meta-analysis aimed to compare the safety and efficacy of different doses of IVTA in this setting. Methods: A systematic literature search for randomized clinical trials (RCTs) was conducted on Cochrane Library, Ovid MEDLINE, and EMBASE from January 2005 to May 2022. Studies that reported on patients with DME or ME secondary to RVO that received treatment with different doses of IVTA were included. A random-effects meta-analysis was performed. Cochrane’s Risk of Bias Tool 2 was used to assess the risk of bias, and Grading of Recommendations, Assessment, Development and Evaluation (GRADE) guidelines were used to assess certainty of evidence. Results: Five RCTs reporting on 1,041 eyes at baseline were included in this meta-analysis. In eyes with ME secondary to RVO, high-dose (4 mg) IVTA achieved a significantly better change in best-corrected visual acuity (WMD = −4.75 ETDRS letters, 95% CI = [−7.73, −1.78], p = 0.002) and reduction in retinal thickness (WMD = −93.02 μm, 95% CI = [−153.23, −32.82], p = 0.002) at months 4–6 compared to low-dose (1–2 mg) IVTA. However, high-dose IVTA had a higher risk of intraocular pressure-related adverse events (RR = 2.99, 95% CI = [1.05, 8.50], p = 0.04) and cataract surgery (RR = 5.67, 95% CI = [3.09, 10.41], p &lt; 0.00001) than low-dose IVTA in eyes with ME secondary to RVO. These efficacy and safety differences in high-dose and low-dose IVTA were not observed in DME eyes. Conclusions: The RCT evidence in this setting is limited. High-dose IVTA achieved greater improvements in visual acuity and reductions in retinal thickness than low-dose IVTA at months 4–6. However, high-dose IVTA had a less favorable safety profile than low-dose IVTA. The significance of these outcomes was based on patients with ME secondary to RVO, but not DME.","author":[{"dropping-particle":"","family":"Mihalache","given":"Andrew","non-dropping-particle":"","parse-names":false,"suffix":""},{"dropping-particle":"","family":"Hatamnejad","given":"Amin","non-dropping-particle":"","parse-names":false,"suffix":""},{"dropping-particle":"","family":"Patil","given":"Nikhil S.","non-dropping-particle":"","parse-names":false,"suffix":""},{"dropping-particle":"","family":"Popovic","given":"Marko M.","non-dropping-particle":"","parse-names":false,"suffix":""},{"dropping-particle":"","family":"Kertes","given":"Peter J.","non-dropping-particle":"","parse-names":false,"suffix":""},{"dropping-particle":"","family":"Cruz-Pimentel","given":"Miguel","non-dropping-particle":"","parse-names":false,"suffix":""},{"dropping-particle":"","family":"Muni","given":"Rajeev H.","non-dropping-particle":"","parse-names":false,"suffix":""}],"container-title":"Ophthalmologica","id":"ITEM-1","issue":"1","issued":{"date-parts":[["2024"]]},"page":"19-29","title":"Intravitreal Triamcinolone Acetonide for Diabetic Macular Edema and Macular Edema Secondary to Retinal Vein Occlusion: A Meta-Analysis","type":"article-journal","volume":"247"},"uris":["http://www.mendeley.com/documents/?uuid=aa107b59-735b-408e-a637-0b30f7466c89"]}],"mendeley":{"formattedCitation":"(11)","plainTextFormattedCitation":"(11)","previouslyFormattedCitation":"(Mihalache &lt;i&gt;et al.&lt;/i&gt;, 2024)"},"properties":{"noteIndex":0},"schema":"https://github.com/citation-style-language/schema/raw/master/csl-citation.json"}</w:instrText>
      </w:r>
      <w:r>
        <w:rPr>
          <w:rStyle w:val="Strong"/>
          <w:rFonts w:cs="Times New Roman" w:ascii="Times New Roman" w:hAnsi="Times New Roman"/>
          <w:b w:val="false"/>
          <w:color w:themeColor="text1" w:val="000000"/>
          <w:sz w:val="24"/>
          <w:szCs w:val="24"/>
        </w:rPr>
      </w:r>
      <w:r>
        <w:rPr>
          <w:rStyle w:val="Strong"/>
          <w:sz w:val="24"/>
          <w:b w:val="false"/>
          <w:szCs w:val="24"/>
          <w:rFonts w:cs="Times New Roman" w:ascii="Times New Roman" w:hAnsi="Times New Roman"/>
          <w:color w:themeColor="text1" w:val="000000"/>
        </w:rPr>
        <w:fldChar w:fldCharType="separate"/>
      </w:r>
      <w:r>
        <w:rPr>
          <w:rStyle w:val="Strong"/>
          <w:rFonts w:cs="Times New Roman" w:ascii="Times New Roman" w:hAnsi="Times New Roman"/>
          <w:b w:val="false"/>
          <w:color w:themeColor="text1" w:val="000000"/>
          <w:sz w:val="24"/>
          <w:szCs w:val="24"/>
        </w:rPr>
        <w:t>(11)</w:t>
      </w:r>
      <w:r>
        <w:rPr>
          <w:rStyle w:val="Strong"/>
          <w:rFonts w:cs="Times New Roman" w:ascii="Times New Roman" w:hAnsi="Times New Roman"/>
          <w:b w:val="false"/>
          <w:color w:themeColor="text1" w:val="000000"/>
          <w:sz w:val="24"/>
          <w:szCs w:val="24"/>
        </w:rPr>
      </w:r>
      <w:r>
        <w:rPr>
          <w:rStyle w:val="Strong"/>
          <w:sz w:val="24"/>
          <w:b w:val="false"/>
          <w:szCs w:val="24"/>
          <w:rFonts w:cs="Times New Roman" w:ascii="Times New Roman" w:hAnsi="Times New Roman"/>
          <w:color w:themeColor="text1" w:val="000000"/>
        </w:rPr>
        <w:fldChar w:fldCharType="end"/>
      </w:r>
      <w:r>
        <w:rPr>
          <w:rStyle w:val="Strong"/>
          <w:rFonts w:cs="Times New Roman" w:ascii="Times New Roman" w:hAnsi="Times New Roman"/>
          <w:b w:val="false"/>
          <w:color w:themeColor="text1" w:val="000000"/>
          <w:sz w:val="24"/>
          <w:szCs w:val="24"/>
        </w:rPr>
        <w:t xml:space="preserve">, who evaluated the safety and efficacy of varying IVTA doses in patients with diabetic macular edema (DME) and macular edema secondary to RVO. Their study, conducted in Canada, emphasized that individualized dosing, particularly lower doses of IVTA, can achieve therapeutic benefits while minimizing adverse events such as OHT. In contrast, our study used a uniform 4 mg dose, which may have contributed to the higher incidence of IOP elevation observed in RVO cases. </w:t>
      </w:r>
      <w:r>
        <w:rPr>
          <w:rFonts w:cs="Times New Roman" w:ascii="Times New Roman" w:hAnsi="Times New Roman"/>
          <w:color w:themeColor="text1" w:val="000000"/>
          <w:sz w:val="24"/>
          <w:szCs w:val="24"/>
        </w:rPr>
        <w:t>This comparison underscores the importance of dose optimization, especially in resource-limited settings like Tanzania, where routine monitoring may be constrained and where a standardized approach could elevate the risk of steroid-induced complications.</w:t>
      </w:r>
    </w:p>
    <w:p>
      <w:pPr>
        <w:pStyle w:val="Normal"/>
        <w:spacing w:lineRule="auto" w:line="360" w:beforeAutospacing="1" w:afterAutospacing="1"/>
        <w:jc w:val="both"/>
        <w:rPr>
          <w:rStyle w:val="Strong"/>
          <w:rFonts w:ascii="Times New Roman" w:hAnsi="Times New Roman" w:cs="Times New Roman"/>
          <w:b w:val="false"/>
          <w:color w:themeColor="text1" w:val="000000"/>
          <w:sz w:val="24"/>
          <w:szCs w:val="24"/>
        </w:rPr>
      </w:pPr>
      <w:r>
        <w:rPr>
          <w:rStyle w:val="Strong"/>
          <w:rFonts w:cs="Times New Roman" w:ascii="Times New Roman" w:hAnsi="Times New Roman"/>
          <w:b w:val="false"/>
          <w:color w:themeColor="text1" w:val="000000"/>
          <w:sz w:val="24"/>
          <w:szCs w:val="24"/>
        </w:rPr>
        <w:t>AMD</w:t>
      </w:r>
      <w:r>
        <w:rPr>
          <w:rFonts w:cs="Times New Roman" w:ascii="Times New Roman" w:hAnsi="Times New Roman"/>
          <w:color w:themeColor="text1" w:val="000000"/>
          <w:sz w:val="24"/>
          <w:szCs w:val="24"/>
        </w:rPr>
        <w:t xml:space="preserve">, though less commonly treated with IVTA due to the dominance of anti-VEGF therapy, was also an indication in our setting. This reflects economic and accessibility challenges. In high-income countries, AMD is almost exclusively managed with monthly anti-VEGF injections; however, in low-income regions like Tanzania, IVTA remains in use due to its cost and availability. This contrasts with the findings of  </w:t>
      </w:r>
      <w:r>
        <w:fldChar w:fldCharType="begin"/>
      </w:r>
      <w:r>
        <w:rPr>
          <w:sz w:val="24"/>
          <w:szCs w:val="24"/>
          <w:rFonts w:cs="Times New Roman" w:ascii="Times New Roman" w:hAnsi="Times New Roman"/>
          <w:color w:themeColor="text1" w:val="000000"/>
        </w:rPr>
        <w:instrText xml:space="preserve">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in China, where IVTA was investigated as an adjunctive or alternative therapy in AMD patients who were either unresponsive to or unable to afford sustained anti-VEGF treatments. Their study demonstrated moderate visual improvement and edema control with IVTA, particularly in cases of wet AMD where anti-VEGF compliance was inconsistent. While both studies recognize IVTA as a secondary option,</w:t>
      </w:r>
      <w:r>
        <w:fldChar w:fldCharType="begin"/>
      </w:r>
      <w:r>
        <w:rPr>
          <w:sz w:val="24"/>
          <w:szCs w:val="24"/>
          <w:rFonts w:cs="Times New Roman" w:ascii="Times New Roman" w:hAnsi="Times New Roman"/>
          <w:color w:themeColor="text1" w:val="000000"/>
        </w:rPr>
        <w:instrText xml:space="preserve">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emphasized its role in bridging care gaps for underinsured or rural patients, mirroring the socioeconomic constraints observed in our Tanzanian cohort. Together, these studies highlight the continued relevance of IVTA in managing AMD where anti-VEGF access is limited and suggest a need for context-specific treatment strategies in resource-constrained populations.</w:t>
      </w:r>
    </w:p>
    <w:p>
      <w:pPr>
        <w:pStyle w:val="Normal"/>
        <w:spacing w:lineRule="auto" w:line="360" w:beforeAutospacing="1" w:afterAutospacing="1"/>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Lastly, posterior uveitis was one of the least represented indications for intravitreal triamcinolone acetonide (IVTA), which may reflect its lower prevalence in the study population or possible underdiagnoses in routine clinical settings. Despite its limited representation, IVTA remains a cornerstone therapy for managing non-infectious posterior uveitis, particularly where systemic immunosuppression is not feasible. This observation aligns with the findings of </w:t>
      </w:r>
      <w:r>
        <w:fldChar w:fldCharType="begin"/>
      </w:r>
      <w:r>
        <w:rPr>
          <w:sz w:val="24"/>
          <w:szCs w:val="24"/>
          <w:rFonts w:cs="Times New Roman" w:ascii="Times New Roman" w:hAnsi="Times New Roman"/>
          <w:color w:themeColor="text1" w:val="000000"/>
        </w:rPr>
        <w:instrText xml:space="preserve">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in China, who conducted a prospective evaluation of IVTA in patients with non-infectious intermediate and posterior uveitis. Their study demonstrated significant improvements in visual acuity and control of intraocular inflammation, with acceptable rates of intraocular pressure elevation. Unlike our cohort, where IVTA was used sparingly for uveitis </w:t>
      </w:r>
      <w:r>
        <w:fldChar w:fldCharType="begin"/>
      </w:r>
      <w:r>
        <w:rPr>
          <w:sz w:val="24"/>
          <w:szCs w:val="24"/>
          <w:rFonts w:cs="Times New Roman" w:ascii="Times New Roman" w:hAnsi="Times New Roman"/>
          <w:color w:themeColor="text1" w:val="000000"/>
        </w:rPr>
        <w:instrText xml:space="preserve">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employed it as a first-line local treatment, particularly for patients at risk of systemic steroid side effects. The comparison highlights differing clinical practices influenced by patient profiles and healthcare resources. While both studies affirm IVTA’s efficacy, our findings emphasize its more selective use in Tanzania, whereas work supports its broader application in structured treatment protocols for inflammatory eye disease.</w:t>
      </w:r>
    </w:p>
    <w:p>
      <w:pPr>
        <w:pStyle w:val="Normal"/>
        <w:spacing w:lineRule="auto" w:line="360" w:beforeAutospacing="1" w:afterAutospacing="1"/>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Taken together, the distribution of indications in our study mirrors that of both high-income and low-income settings, with </w:t>
      </w:r>
      <w:r>
        <w:rPr>
          <w:rStyle w:val="Strong"/>
          <w:rFonts w:eastAsia="" w:cs="Times New Roman" w:ascii="Times New Roman" w:hAnsi="Times New Roman" w:eastAsiaTheme="majorEastAsia"/>
          <w:b w:val="false"/>
          <w:color w:themeColor="text1" w:val="000000"/>
          <w:sz w:val="24"/>
          <w:szCs w:val="24"/>
        </w:rPr>
        <w:t>CME, DME, and RVO consistently ranking as leading causes</w:t>
      </w:r>
      <w:r>
        <w:rPr>
          <w:rFonts w:cs="Times New Roman" w:ascii="Times New Roman" w:hAnsi="Times New Roman"/>
          <w:color w:themeColor="text1" w:val="000000"/>
          <w:sz w:val="24"/>
          <w:szCs w:val="24"/>
        </w:rPr>
        <w:t xml:space="preserve"> for IVTA use. However, the dominance of IVTA in conditions that would otherwise be managed with anti-VEGF agents elsewhere (e.g., AMD) highlights the impact of healthcare infrastructure and drug availability on treatment decisions in Tanzania.</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In our study, the incidence of ocular hypertension (OHT) was found to be 35%, using the criteria of IOP &gt;21 mmHg or an increase of&gt;5 mmHg from baseline at 6 weeks. This aligns closely with the findings of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(5)</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who reported a pooled incidence of 32.1% in a meta-analysis, indicating that approximately one-third of patients treated with IVTA develop a significant IOP rise.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{"citationItems":[{"id":"ITEM-1","itemData":{"ISSN":"1539-2864","abstract":"Purpose: \n\nTo report the incidence and course of ocular hypertension after intravitreal injection of 2-mg triamcinolone acetonide (IVT).\n\nMethods:\n\nIn a retrospective, consecutive series, all patients receiving 2-mg IVT at a single institution between March 1, 2012, and March 1, 2017, with a minimum of 3-month follow-up were reviewed. Ocular hypertension was defined as an intraocular pressure (IOP) measurement over 24 mmHg at any follow-up visit after IVT. Patients receiving topical, periocular, or intravitreal corticosteroid other than 2-mg IVT were excluded.\n\nResults:\n\nA total of 106 eyes in 100 patients receiving at least one injection of 2-mg IVT were included. Eyes received an average of 2.9 injections (range 1–17), and average patient follow-up was 15.1 months (range 3.0–52.5 months). A total of 14 eyes (13.2%) in 14 patients developed ocular hypertension after a median of 1.5 injections (range 1–9) with an average peak IOP of 29 mmHg (range 25–38 mmHg). Overall, a total of 11 eyes (10.4%) had an IOP elevation ≥10 mmHg above baseline at any point after first IVT. In all cases of ocular hypertension, IOP was successfully managed with observation or topical IOP-lowering medication alone; no patients required surgical intervention.\n\nConclusion:\n\nOcular hypertension developed in 13.2% of eyes receiving intravitreal injection of 2-mg triamcinolone acetonide. Incidence of ocular hypertension after 2-mg IVT compares favorably with other intravitreally administered corticosteroids.","author":[{"dropping-particle":"","family":"Storey","given":"Philip P","non-dropping-particle":"","parse-names":false,"suffix":""},{"dropping-particle":"","family":"Obeid","given":"Anthony","non-dropping-particle":"","parse-names":false,"suffix":""},{"dropping-particle":"","family":"Pancholy","given":"Maitri","non-dropping-particle":"","parse-names":false,"suffix":""},{"dropping-particle":"","family":"Goodman","given":"Jake","non-dropping-particle":"","parse-names":false,"suffix":""},{"dropping-particle":"","family":"Borkar","given":"Durga","non-dropping-particle":"","parse-names":false,"suffix":""},{"dropping-particle":"","family":"Su","given":"Daniel","non-dropping-particle":"","parse-names":false,"suffix":""},{"dropping-particle":"","family":"Regillo","given":"Carl","non-dropping-particle":"","parse-names":false,"suffix":""}],"container-title":"RETINA","id":"ITEM-1","issue":"1","issued":{"date-parts":[["2020"]]},"title":"OCULAR HYPERTENSION AFTER INTRAVITREAL INJECTION OF 2-MG TRIAMCINOLONE","type":"article-journal","volume":"40"},"uris":["http://www.mendeley.com/documents/?uuid=64968ab2-2e33-436e-a8ef-b0f16fb0cba3"]}],"mendeley":{"formattedCitation":"(13)","plainTextFormattedCitation":"(13)","previouslyFormattedCitation":"(Storey &lt;i&gt;et al.&lt;/i&gt;, 2020)"},"properties":{"noteIndex":0},"schema":"https://github.com/citation-style-language/schema/raw/master/csl-citation.json"}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(13)</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Similarly, reported a 13.2% incidence with 2 mg doses and noted that most IOP elevations occurred early, although their lower dose may explain the lower incidence.</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In contrast,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{"citationItems":[{"id":"ITEM-1","itemData":{"DOI":"10.1001/jamaophthalmol.2015.1823","ISSN":"21686173","PMID":"26086920","abstract":"Importance The Standard of Care vs Corticosteroid for Retinal Vein Occlusion (SCORE) Study showed that intravitreal triamcinolone acetonide (IVTA) is effective at reducing macular edema and improving visual acuity in participants with retinal vein occlusion. Secondary analysis of the incidence, risk factors, and timing of intraocular pressure (IOP) elevation occurring after IVTA provides guidance for clinical decision making and management of patients treated with IVTA. Objective To investigate the incidence, risk factors, and time course of IOP elevation in participants in the SCORE Study. Design, Setting, and ParticipantsSecondary analysis conducted from August through December 2014 of a prospective, randomized clinical trial featuring an evaluable population conducted at 75 clinical sites. Six hundred eighty-two patients with macular edema secondary to retinal vein occlusion were enrolled in the study. The SCORE Study enrollment period ran from November 4, 2004, to February 29, 2008, with participant follow-up ending February 28, 2009. INTERVENTIONS Study participants were randomized to standard of care, 1mg of IVTA, or 4 mg of IVTA therapy and followed up for a mean (SD) of 24.7 (10.3) months. MAIN OUTCOMES AND MEASURES Intraocular pressure elevation greater than 10mmHg from baseline. Results Kaplan-Meier incidences of IOP elevation greater than 10mmHg from baseline at 36 months were 0.02 (95%CI, 0.01-0.06), 0.09 (95%CI, 0.05-0.14), and 0.45 (95%CI, 0.38-0.53) in the standard of care, 1-mg IVTA, and 4-mg IVTA groups, respectively. The rates of IOP-related events were higher for the 4-mg IVTA group compared with the other groups (P ≤ .001 for main outcome measure). Younger age, 4-mg IVTA vs 1-mg IVTA treatment, and higher baseline IOP were found to confer greater risk for IOP-related events (P &lt; .05 for all). The median number of days from time of first injection to IOP elevation greater than 10mm Hg from baseline was 34.0 and 52.5 days in participants treated with 1-mg and 4-mg IVTA, respectively. CONCLUSIONS AND RELEVANCE Intravitreal triamcinolone acetonide injection therapy, in particular the 4-mg dose, is associated with an increased risk for IOP elevation. The risk factors for an IOP-related event include higher treatment dose, younger age, and higher baseline IOP. Intraocular pressure-related events may take several months from the time of first IVTA injection to occur. Clinicians should be mindful of these risk factors when assessing the risk…","author":[{"dropping-particle":"","family":"Aref","given":"Ahmad A.","non-dropping-particle":"","parse-names":false,"suffix":""},{"dropping-particle":"","family":"Scott","given":"Ingrid U.","non-dropping-particle":"","parse-names":false,"suffix":""},{"dropping-particle":"","family":"Oden","given":"Neal L.","non-dropping-particle":"","parse-names":false,"suffix":""},{"dropping-particle":"","family":"Ip","given":"Michael S.","non-dropping-particle":"","parse-names":false,"suffix":""},{"dropping-particle":"","family":"Blodi","given":"Barbara A.","non-dropping-particle":"","parse-names":false,"suffix":""},{"dropping-particle":"","family":"Veldhuisen","given":"Paul C.","non-dropping-particle":"Van","parse-names":false,"suffix":""}],"container-title":"JAMA Ophthalmology","id":"ITEM-1","issue":"9","issued":{"date-parts":[["2015"]]},"page":"1022-1029","title":"Incidence, risk factors, and timing of elevated intraocular pressure after intravitreal triamcinolone acetonide injection for macular edema secondary to retinal vein occlusion SCORE study report 15","type":"article-journal","volume":"133"},"uris":["http://www.mendeley.com/documents/?uuid=2434a0ca-ae07-4146-a8ae-670b4be867e6"]}],"mendeley":{"formattedCitation":"(14)","plainTextFormattedCitation":"(14)","previouslyFormattedCitation":"(Aref &lt;i&gt;et al.&lt;/i&gt;, 2015)"},"properties":{"noteIndex":0},"schema":"https://github.com/citation-style-language/schema/raw/master/csl-citation.json"}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(14)</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found a significantly higher incidence of OHT 45% in patients receiving 4 mg IVTA, aligning more with this study's findings, considering the same dosage. Likewise,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(2)</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reported that 46% of patients developed IOP ≥21 mmHg post-injection. The differences between studies may be due to patient demographics, baseline ocular conditions, duration of follow-up, and definitions of OHT.</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A similar figure was reported by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10.1371/journal.pone.0317782","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id":"ITEM-1","issued":{"date-parts":[["2025"]]},"page":"1-20","title":"Efficacy of different routes of triamcinolone acetonide administration on macular edema : A systematic review and network meta- analysis","type":"article-journal"},"uris":["http://www.mendeley.com/documents/?uuid=d55e94e7-9dc8-4277-8c3e-4940842a072c"]}],"mendeley":{"formattedCitation":"(15)","manualFormatting":"(Martinez Fernandeez et al., 2024)","plainTextFormattedCitation":"(15)","previouslyFormattedCitation":"(Liu &lt;i&gt;et al.&lt;/i&gt;, 2025a)"},"properties":{"noteIndex":0},"schema":"https://github.com/citation-style-language/schema/raw/master/csl-citation.json"}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 xml:space="preserve">(Martinez Fernandeez </w:t>
      </w:r>
      <w:r>
        <w:rPr>
          <w:rFonts w:eastAsia="Times New Roman" w:cs="Times New Roman" w:ascii="Times New Roman" w:hAnsi="Times New Roman"/>
          <w:i/>
          <w:color w:themeColor="text1" w:val="000000"/>
          <w:sz w:val="24"/>
          <w:szCs w:val="24"/>
          <w:lang w:eastAsia="en-GB"/>
        </w:rPr>
        <w:t>et al.</w:t>
      </w:r>
      <w:r>
        <w:rPr>
          <w:rFonts w:eastAsia="Times New Roman" w:cs="Times New Roman" w:ascii="Times New Roman" w:hAnsi="Times New Roman"/>
          <w:color w:themeColor="text1" w:val="000000"/>
          <w:sz w:val="24"/>
          <w:szCs w:val="24"/>
          <w:lang w:eastAsia="en-GB"/>
        </w:rPr>
        <w:t>, 2024)</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in a Spanish multicenter cohort, where 36.9% of patients receiving IVTA for branch retinal vein occlusion experienced transient IOP spikes within the first 8 weeks. Importantly, their study revealed that 11.2% of cases required long-term IOP-lowering therapy, underscoring that a significant portion of early spikes can develop into chronic pressure issues if not properly managed.</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This study uniquely tracked IOP changes not only at baseline and follow-up but also </w:t>
      </w:r>
      <w:r>
        <w:rPr>
          <w:rFonts w:eastAsia="Times New Roman" w:cs="Times New Roman" w:ascii="Times New Roman" w:hAnsi="Times New Roman"/>
          <w:bCs/>
          <w:color w:themeColor="text1" w:val="000000"/>
          <w:sz w:val="24"/>
          <w:szCs w:val="24"/>
          <w:lang w:eastAsia="en-GB"/>
        </w:rPr>
        <w:t>immediately post-injection</w:t>
      </w:r>
      <w:r>
        <w:rPr>
          <w:rFonts w:eastAsia="Times New Roman" w:cs="Times New Roman" w:ascii="Times New Roman" w:hAnsi="Times New Roman"/>
          <w:color w:themeColor="text1" w:val="000000"/>
          <w:sz w:val="24"/>
          <w:szCs w:val="24"/>
          <w:lang w:eastAsia="en-GB"/>
        </w:rPr>
        <w:t xml:space="preserve">, offering insight into acute physiological responses to IVTA. This immediate spike in IOP (mean: 28.42 mmHg) was higher than reported by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Acetonide","type":"article-journal","volume":"39"},"uris":["http://www.mendeley.com/documents/?uuid=983b9c85-a997-4352-844c-a271db0bf582"]}],"mendeley":{"formattedCitation":"(6)","manualFormatting":"(Rathi et al., 2023)","plainTextFormattedCitation":"(6)","previouslyFormattedCitation":"(Article &lt;i&gt;et al.&lt;/i&gt;, 2023)"},"properties":{"noteIndex":0},"schema":"https://github.com/citation-style-language/schema/raw/master/csl-citation.json"}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 xml:space="preserve">(Rathi </w:t>
      </w:r>
      <w:r>
        <w:rPr>
          <w:rFonts w:eastAsia="Times New Roman" w:cs="Times New Roman" w:ascii="Times New Roman" w:hAnsi="Times New Roman"/>
          <w:i/>
          <w:color w:themeColor="text1" w:val="000000"/>
          <w:sz w:val="24"/>
          <w:szCs w:val="24"/>
          <w:lang w:eastAsia="en-GB"/>
        </w:rPr>
        <w:t>et al.</w:t>
      </w:r>
      <w:r>
        <w:rPr>
          <w:rFonts w:eastAsia="Times New Roman" w:cs="Times New Roman" w:ascii="Times New Roman" w:hAnsi="Times New Roman"/>
          <w:color w:themeColor="text1" w:val="000000"/>
          <w:sz w:val="24"/>
          <w:szCs w:val="24"/>
          <w:lang w:eastAsia="en-GB"/>
        </w:rPr>
        <w:t>, 2023)</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who found that 90% of patients had IOP &lt; 21 mmHg at 30 minutes post-injection. Such discrepancies could be due to variations in administration technique or pain-induced Valsalva effects, as acknowledged in our study limitations.</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The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{"citationItems":[{"id":"ITEM-1","itemData":{"DOI":"10.17925/ee.2012.08.01.42","ISSN":"17583780","abstract":"Diabetic macular oedema is a major cause of severe visual loss whose pathogenesis appears to be complex and multifactorial. For many years laser photocoagulation has been the standard of care for the treatment of this condition. Emerging pharmacologic approaches are being evaluated through randomised controlled trials. Triamcinolone acetonide has been proposed as a promising option, due to its well-known anti-inflammatory, anti-permeability and anti-angiogenic properties. Intravitreal delivery allows bypassing of the blood-retinal barrier to achieve a more concentrated dose of steroid in the vitreal cavity for a prolonged time. Intravitreal triamcinolone acetonide is effective in reducing central macular thickness and improving visual acuity, even if the duration of action is often provisional and requires repeated injections. Drug-related and injection-related side effects have been reported; the most common are induced cataract and increased intraocular pressure. To extend the duration of steroid effects and to minimise the risk of complications, alternative routes of administration and extend-release implants are being investigated. © TOUCH BRIEFINGS 2012.","author":[{"dropping-particle":"","family":"Sarao","given":"Valentina","non-dropping-particle":"","parse-names":false,"suffix":""},{"dropping-particle":"","family":"Veritti","given":"Daniele","non-dropping-particle":"","parse-names":false,"suffix":""},{"dropping-particle":"","family":"Lanzetta","given":"Paolo","non-dropping-particle":"","parse-names":false,"suffix":""}],"container-title":"European Endocrinology","id":"ITEM-1","issue":"1","issued":{"date-parts":[["2012"]]},"page":"42-47","title":"Triamcinolone acetonide for the treatment of diabetic macular oedema","type":"article-journal","volume":"8"},"uris":["http://www.mendeley.com/documents/?uuid=7a057fab-dd27-4614-85ca-9c46c3d9d50a"]}],"mendeley":{"formattedCitation":"(16)","plainTextFormattedCitation":"(16)","previouslyFormattedCitation":"(Sarao, Veritti and Lanzetta, 2012)"},"properties":{"noteIndex":0},"schema":"https://github.com/citation-style-language/schema/raw/master/csl-citation.json"}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(16)</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cs="Times New Roman" w:ascii="Times New Roman" w:hAnsi="Times New Roman"/>
          <w:color w:themeColor="text1" w:val="000000"/>
          <w:sz w:val="24"/>
          <w:szCs w:val="24"/>
        </w:rPr>
        <w:t xml:space="preserve"> reports have described IOP elevation as the most common adverse event of intravitreal TA. Mild to moderate IOP elevation was seen in 28-42% of patients, typically within the first three months following injection. This condition is usually controlled with topical agents alone. About 1% of patients require surgical treatment. Selective laser trabeculoplasty (SLT) is a treatment alternative or adjunct to medical therapy. </w:t>
      </w:r>
      <w:r>
        <w:rPr>
          <w:rFonts w:eastAsia="Times New Roman" w:cs="Times New Roman" w:ascii="Times New Roman" w:hAnsi="Times New Roman"/>
          <w:color w:themeColor="text1" w:val="000000"/>
          <w:sz w:val="24"/>
          <w:szCs w:val="24"/>
          <w:lang w:eastAsia="en-GB"/>
        </w:rPr>
        <w:t>These figures validate our local findings and support the idea that socioeconomic status or ethnicity may not significantly alter OHT risk when the same drug and dosage are used.</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These findings support the consistency of IVTA-induced OHT incidence across diverse settings, including low-resource environments such as KCMC. The 35% incidence observed in Tanzania underscores the importance of regular IOP monitoring following IVTA.</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Our study observed an </w:t>
      </w:r>
      <w:r>
        <w:rPr>
          <w:rFonts w:eastAsia="Times New Roman" w:cs="Times New Roman" w:ascii="Times New Roman" w:hAnsi="Times New Roman"/>
          <w:bCs/>
          <w:color w:themeColor="text1" w:val="000000"/>
          <w:sz w:val="24"/>
          <w:szCs w:val="24"/>
          <w:lang w:eastAsia="en-GB"/>
        </w:rPr>
        <w:t>immediate spike in IOP (mean 28.42 mmHg)</w:t>
      </w:r>
      <w:r>
        <w:rPr>
          <w:rFonts w:eastAsia="Times New Roman" w:cs="Times New Roman" w:ascii="Times New Roman" w:hAnsi="Times New Roman"/>
          <w:color w:themeColor="text1" w:val="000000"/>
          <w:sz w:val="24"/>
          <w:szCs w:val="24"/>
          <w:lang w:eastAsia="en-GB"/>
        </w:rPr>
        <w:t xml:space="preserve"> post-injection, which reduced gradually over 6 weeks. This biphasic IOP trajectory was also described by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{"citationItems":[{"id":"ITEM-1","itemData":{"DOI":"10.1111/ced.14381","ISSN":"0307-6938","abstract":"Alopecia areata (AA) is a chronic, autoimmune disorder that results in nonscarring hair loss. Analysis of the affected follicular units in acute AA and regrowing white hair showed that the disease preferentially affected the hair bulb melanocytes and differentiating cortical keratinocytes, respectively. Reports on sparing of senile white hair suggests that melanocytes in the hair follicle are favoured as the main target in the pathogenesis of AA.1, 2 The lifetime incidence of idiopathic AA (IAA) is approximately 2.1%, but there are limited data on drug‐induced AA (DIAA). 3 We report a case of DIAA associated with lansoprazole.","author":[{"dropping-particle":"","family":"Murad","given":"A","non-dropping-particle":"","parse-names":false,"suffix":""},{"dropping-particle":"","family":"Maguire","given":"J","non-dropping-particle":"","parse-names":false,"suffix":""},{"dropping-particle":"","family":"Bergfeld","given":"W","non-dropping-particle":"","parse-names":false,"suffix":""}],"container-title":"Clinical and Experimental Dermatology","id":"ITEM-1","issue":"2","issued":{"date-parts":[["2021","3","1"]]},"page":"363-366","title":"Drug‐induced alopecia areata?","type":"article-journal","volume":"46"},"uris":["http://www.mendeley.com/documents/?uuid=506b41a2-2ee6-43c9-aa1c-8ba48dfb60c0"]}],"mendeley":{"formattedCitation":"(8)","plainTextFormattedCitation":"(8)","previouslyFormattedCitation":"(Murad, Maguire and Bergfeld, 2021)"},"properties":{"noteIndex":0},"schema":"https://github.com/citation-style-language/schema/raw/master/csl-citation.json"}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(8)</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in Qatar, who documented a median IOP rise of 13.2 mmHg immediately after IVTA and a partial regression to baseline by week 8. They attributed this trend to acute vitreous volume changes followed by delayed trabecular resistance.</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This study showed that mean IOP rose significantly immediately after injection (from 14.6 mmHg to 28.4 mmHg), decreased to 17.75 mmHg at 2 weeks, and stabilized at 17.05 mmHg by 6 weeks. This biphasic pattern of an initial sharp rise followed by partial normalization is consistent with findings from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{"citationItems":[{"id":"ITEM-1","itemData":{"DOI":"10.3897/folmed.64.e61424","author":[{"dropping-particle":"","family":"Johari","given":"Mohammad Karim","non-dropping-particle":"","parse-names":false,"suffix":""},{"dropping-particle":"","family":"Askari","given":"Malihe","non-dropping-particle":"","parse-names":false,"suffix":""},{"dropping-particle":"","family":"Amini","given":"Abdulrahim","non-dropping-particle":"","parse-names":false,"suffix":""},{"dropping-particle":"","family":"Yasemi","given":"Masoud","non-dropping-particle":"","parse-names":false,"suffix":""}],"id":"ITEM-1","issue":"2","issued":{"date-parts":[["2022"]]},"page":"240-247","title":"Acute Systemic Complications of Intravitreal Bevacizumab and Triamcinolone Injections – a Comparative Study","type":"article-journal","volume":"64"},"uris":["http://www.mendeley.com/documents/?uuid=1b614a34-a079-4fb4-ad60-dfd5c38496f2"]}],"mendeley":{"formattedCitation":"(17)","plainTextFormattedCitation":"(17)","previouslyFormattedCitation":"(Johari &lt;i&gt;et al.&lt;/i&gt;, 2022)"},"properties":{"noteIndex":0},"schema":"https://github.com/citation-style-language/schema/raw/master/csl-citation.json"}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(17)</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 xml:space="preserve">and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10.2147/OPTH.S64721","author":[{"dropping-particle":"","family":"Lemos-reis","given":"Ricardo","non-dropping-particle":"","parse-names":false,"suffix":""},{"dropping-particle":"","family":"Moreira-gonçalves","given":"Nuno","non-dropping-particle":"","parse-names":false,"suffix":""},{"dropping-particle":"","family":"Melo","given":"António B","non-dropping-particle":"","parse-names":false,"suffix":""},{"dropping-particle":"","family":"Ângela","given":"M","non-dropping-particle":"","parse-names":false,"suffix":""},{"dropping-particle":"","family":"Falcão-reis","given":"Fernando M","non-dropping-particle":"","parse-names":false,"suffix":""}],"id":"ITEM-1","issued":{"date-parts":[["2022"]]},"title":"Immediate effect of intravitreal injection of bevacizumab on intraocular pressure Immediate effect of intravitreal injection of bevacizumab on intraocular pressure","type":"article-journal"},"uris":["http://www.mendeley.com/documents/?uuid=6c6d0055-a97b-4c63-9aac-c2993be500b3"]}],"mendeley":{"formattedCitation":"(18)","plainTextFormattedCitation":"(18)","previouslyFormattedCitation":"(Lemos-reis &lt;i&gt;et al.&lt;/i&gt;, 2022)"},"properties":{"noteIndex":0},"schema":"https://github.com/citation-style-language/schema/raw/master/csl-citation.json"}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(18)</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where IOP spiked immediately post-injection due to volume effect but tapered over weeks.</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Furthermore, </w:t>
      </w:r>
      <w:r>
        <w:rPr>
          <w:rFonts w:cs="Times New Roman" w:ascii="Times New Roman" w:hAnsi="Times New Roman"/>
          <w:color w:themeColor="text1" w:val="000000"/>
          <w:sz w:val="24"/>
          <w:szCs w:val="24"/>
        </w:rPr>
        <w:t xml:space="preserve">our study observed a biphasic IOP rise pattern, a sharp immediate post-injection spike (mean 28.4 mmHg), followed by a gradual decline to 17.05 mmHg at six weeks. This aligns with meta-analyses Study done by </w:t>
      </w:r>
      <w:r>
        <w:fldChar w:fldCharType="begin"/>
      </w:r>
      <w:r>
        <w:rPr>
          <w:sz w:val="24"/>
          <w:szCs w:val="24"/>
          <w:rFonts w:cs="Times New Roman" w:ascii="Times New Roman" w:hAnsi="Times New Roman"/>
          <w:color w:themeColor="text1" w:val="000000"/>
        </w:rPr>
        <w:instrText xml:space="preserve">ADDIN CSL_CITATION {"citationItems":[{"id":"ITEM-1","itemData":{"DOI":"10.1371/journal.pone.0317782","ISBN":"1288602503979","ISSN":"19326203","abstract":"There is different administration routes of triamcinolone acetonide (TA) administration for macular edema, but the efficacy ranking remains unclear. The purpose of this study is to assess the efficacy of different administration routes of TA employed in macular edema. PubMed, Medline, Embase, and Cochrane Central Register of Controlled Trials were systematically searched for published articles comparing macular edema in patients with triamcinolone acetonide in different administration. The sparse network was evaluated using a random-effects model and consistency model within the Bayesian framework, utilizing the multinma package in R. The evidence was assessed based on the Grading of Recommendations. Assessment, Development, and Evaluation (GRADE) criteria. A total of 1138 citations were identified by our search, of which 20 RCTs enrolled 892 eyes. The network showed that intravitreal triamcinolone acetonide (IVTA) was associated with a statistically significant better best corrected visual acuity (BCVA) at the 12th week compared to placebo (MD: − 0.15, 95% CI: − 0.30 to − 0.01, P &lt; 0.05), which was moderate-quality evidence. IVTA and suprachoroidal triamcinolone acetonide (SCTA) were both associated with a statistically significant reduction in central macular thickness (CMT) at the 12th week, which was moderate evidence. The probabilities of rankings and SUCRA demonstrated that sub-Tenon’s infusion of triamcinolone acetonide (STiTA) might be the worst. SCTA and IVTA were proven to be the best administration routes for improving BCVA and reducing CMT. In addition, STiTA was less advisable than other administration routes of triamcinolone acetonide according to the rankings and SUCRA.","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container-title":"PLoS ONE","id":"ITEM-1","issue":"1 January","issued":{"date-parts":[["2025"]]},"title":"Efficacy of different routes of triamcinolone acetonide administration on macular edema: A systematic review and network meta-analysis","type":"article-journal","volume":"20"},"uris":["http://www.mendeley.com/documents/?uuid=33651597-22b9-4af5-abb7-ac9708adca86"]}],"mendeley":{"formattedCitation":"(19)","plainTextFormattedCitation":"(19)","previouslyFormattedCitation":"(Liu &lt;i&gt;et al.&lt;/i&gt;, 2025b)"},"properties":{"noteIndex":0},"schema":"https://github.com/citation-style-language/schema/raw/master/csl-citation.json"}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(19)</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showing significant IOP increases at 12 and 24 weeks post-IVTA. Persistent or delayed IOP elevations emphasize the need for extended follow-up, especially in high-risk patients.</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fldChar w:fldCharType="begin"/>
      </w:r>
      <w:r>
        <w:rPr>
          <w:sz w:val="24"/>
          <w:szCs w:val="24"/>
          <w:bCs/>
          <w:rFonts w:eastAsia="Times New Roman" w:cs="Times New Roman" w:ascii="Times New Roman" w:hAnsi="Times New Roman"/>
          <w:color w:themeColor="text1" w:val="000000"/>
          <w:lang w:eastAsia="en-GB"/>
        </w:rPr>
        <w:instrText xml:space="preserve">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Meta-analysis","type":"article-journal","volume":"9"},"uris":["http://www.mendeley.com/documents/?uuid=58a31bbc-ca9e-4394-a501-06dccdf86613"]}],"mendeley":{"formattedCitation":"(1)","plainTextFormattedCitation":"(1)","previouslyFormattedCitation":"(Yuksel-Elgin and Elgin, 2016)"},"properties":{"noteIndex":0},"schema":"https://github.com/citation-style-language/schema/raw/master/csl-citation.json"}</w:instrTex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bCs/>
          <w:color w:themeColor="text1" w:val="000000"/>
          <w:sz w:val="24"/>
          <w:szCs w:val="24"/>
          <w:lang w:eastAsia="en-GB"/>
        </w:rPr>
      </w:r>
      <w:r>
        <w:rPr>
          <w:rFonts w:eastAsia="Times New Roman" w:cs="Times New Roman" w:ascii="Times New Roman" w:hAnsi="Times New Roman"/>
          <w:bCs/>
          <w:color w:themeColor="text1" w:val="000000"/>
          <w:sz w:val="24"/>
          <w:szCs w:val="24"/>
          <w:lang w:eastAsia="en-GB"/>
        </w:rPr>
        <w:t>(1)</w: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 xml:space="preserve">performed a meta-analysis and reported temporal variations in IOP spikes IOP rose to 33% at one month and declined to 8% at six months post-injection. Similarly,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(2)</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bCs/>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observed maximum IOP levels around 2.77 months post-injection, confirming a transient but significant rise.</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fldChar w:fldCharType="begin"/>
      </w:r>
      <w:r>
        <w:rPr>
          <w:sz w:val="24"/>
          <w:szCs w:val="24"/>
          <w:bCs/>
          <w:rFonts w:eastAsia="Times New Roman" w:cs="Times New Roman" w:ascii="Times New Roman" w:hAnsi="Times New Roman"/>
          <w:color w:themeColor="text1" w:val="000000"/>
          <w:lang w:eastAsia="en-GB"/>
        </w:rPr>
        <w:instrText xml:space="preserve">ADDIN CSL_CITATION {"citationItems":[{"id":"ITEM-1","itemData":{"DOI":"10.1177/24741264241275271","ISSN":"2474-1272 (Electronic)","PMID":"39539834","abstract":"Purpose: To review the available literature on the efficacy and safety of  suprachoroidal triamcinolone acetonide for the treatment of chorioretinal diseases. Methods: The results of the literature review were analyzed. Results: This review included 17 clinical studies of triamcinolone acetonide administration (6, diabetic macular edema; 1, central retinal vein occlusion [RVO]; 2, branch RVO; 7, noninfectious uveitis; 1, cystoid macular edema after cataract surgery). Overall, suprachoroidal triamcinolone acetonide was shown to be effective in decreasing macular thickness and increasing visual (VA) in cases of chorioretinal diseases. The most frequently reported adverse events were eye pain, cataract, and increased intraocular pressure. Conclusions: Except for 3 sufficiently powered trials of suprachoroidal triamcinolone acetonide for macular edema associated with noninfectious uveitis, most other studies were clinical trials with small samples. These studies found that suprachoroidal triamcinolone acetonide has a satisfactory safety and efficacy profile. Further research with sufficiently large samples is required to confirm the potential role of suprachoroidal triamcinolone acetonide in retinal diseases.","author":[{"dropping-particle":"","family":"Rahman","given":"Samra","non-dropping-particle":"","parse-names":false,"suffix":""},{"dropping-particle":"","family":"Tayyab","given":"Haroon","non-dropping-particle":"","parse-names":false,"suffix":""},{"dropping-particle":"","family":"Siddiqui","given":"M A Rehman","non-dropping-particle":"","parse-names":false,"suffix":""}],"container-title":"Journal of vitreoretinal diseases","id":"ITEM-1","issued":{"date-parts":[["2024","10"]]},"language":"eng","page":"24741264241275271","publisher-place":"United States","title":"Suprachoroidal Triamcinolone Acetonide Injection to Treat Macular Edema: A  Review.","type":"article-journal"},"uris":["http://www.mendeley.com/documents/?uuid=4452e9e8-15e8-4347-a561-0bc79efecff9"]}],"mendeley":{"formattedCitation":"(20)","plainTextFormattedCitation":"(20)","previouslyFormattedCitation":"(Rahman, Tayyab and Siddiqui, 2024)"},"properties":{"noteIndex":0},"schema":"https://github.com/citation-style-language/schema/raw/master/csl-citation.json"}</w:instrTex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bCs/>
          <w:color w:themeColor="text1" w:val="000000"/>
          <w:sz w:val="24"/>
          <w:szCs w:val="24"/>
          <w:lang w:eastAsia="en-GB"/>
        </w:rPr>
      </w:r>
      <w:r>
        <w:rPr>
          <w:rFonts w:eastAsia="Times New Roman" w:cs="Times New Roman" w:ascii="Times New Roman" w:hAnsi="Times New Roman"/>
          <w:bCs/>
          <w:color w:themeColor="text1" w:val="000000"/>
          <w:sz w:val="24"/>
          <w:szCs w:val="24"/>
          <w:lang w:eastAsia="en-GB"/>
        </w:rPr>
        <w:t>(20)</w: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in a head-to-head trial of 240 eyes, bevacizumab and IVTA in diabetic macular edema. They reported similar visual gains at 12 weeks but significantly more OHT cases in the IVTA group (27% vs. 4%). Their conclusion emphasized </w:t>
      </w:r>
      <w:r>
        <w:rPr>
          <w:rFonts w:eastAsia="Times New Roman" w:cs="Times New Roman" w:ascii="Times New Roman" w:hAnsi="Times New Roman"/>
          <w:bCs/>
          <w:color w:themeColor="text1" w:val="000000"/>
          <w:sz w:val="24"/>
          <w:szCs w:val="24"/>
          <w:lang w:eastAsia="en-GB"/>
        </w:rPr>
        <w:t>tailored treatment plans</w:t>
      </w:r>
      <w:r>
        <w:rPr>
          <w:rFonts w:eastAsia="Times New Roman" w:cs="Times New Roman" w:ascii="Times New Roman" w:hAnsi="Times New Roman"/>
          <w:color w:themeColor="text1" w:val="000000"/>
          <w:sz w:val="24"/>
          <w:szCs w:val="24"/>
          <w:lang w:eastAsia="en-GB"/>
        </w:rPr>
        <w:t xml:space="preserve"> based on economic capacity and risk profile.</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Unlike many previous retrospective studies (e.g.,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{"citationItems":[{"id":"ITEM-1","itemData":{"DOI":"10.1089/jop.2010.0039","ISSN":"10807683","PMID":"20653482","abstract":"Purpose: To evaluate secondary ocular hypertension after intravitreal injection of triamcinolone acetonide (IVTA) with 2 mg/0.05 mL or 4 mg/0.1 mL for macular edema associated with retinal vein occlusion (RVO). Methods: A retrospective chart review was performed. Patients with RVO, including central RVO and branch RVO, were divided into 2 groups. Group 1 was patients who received 2 mg IVTA and group 2 received 4 mg IVTA. The dose of IVTA was dependent on individual surgeon's decision. Secondary ocular hypertension was defined as intraocular pressure (IOP) &gt;21 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 = 0.36). However, group 2 had a higher proportion of long-term antiglaucoma medication usage than group 1 (5.6% vs. 40.6%; Pearson chi-square, P &lt; 0.001). Ultimately, 2.9% of patients underwent filtration surgery. Macular edema diminished and best-corrected visual acuity improved at 3 months later in both groups. Conclusions: With a similar effect on vision recovery and alleviating macular edema associated with RVO, 2 mg IVTA required a shorter duration of medical control for secondary ocular hypertension than 4 mg IVTA. © 2010, Mary Ann Liebert, Inc. 2010.","author":[{"dropping-particle":"","family":"Chuang","given":"Lan Hsin","non-dropping-particle":"","parse-names":false,"suffix":""},{"dropping-particle":"","family":"Yeung","given":"Ling","non-dropping-particle":"","parse-names":false,"suffix":""},{"dropping-particle":"","family":"Wang","given":"Nan Kai","non-dropping-particle":"","parse-names":false,"suffix":""},{"dropping-particle":"","family":"Chen","given":"Henry Shen Lih","non-dropping-particle":"","parse-names":false,"suffix":""},{"dropping-particle":"","family":"Ku","given":"Wan Chen","non-dropping-particle":"","parse-names":false,"suffix":""},{"dropping-particle":"","family":"Lai","given":"Chi Chun","non-dropping-particle":"","parse-names":false,"suffix":""}],"container-title":"Journal of Ocular Pharmacology and Therapeutics","id":"ITEM-1","issue":"4","issued":{"date-parts":[["2010"]]},"page":"325-328","title":"Secondary ocular hypertension after intravitreal injection with 2 mg or 4 mg of triamcinolone in retinal vein occlusion","type":"article-journal","volume":"26"},"uris":["http://www.mendeley.com/documents/?uuid=662316a3-dc6b-4e4e-8c7c-311ad9b16421"]}],"mendeley":{"formattedCitation":"(21)","plainTextFormattedCitation":"(21)","previouslyFormattedCitation":"(L. H. Chuang &lt;i&gt;et al.&lt;/i&gt;, 2010)"},"properties":{"noteIndex":0},"schema":"https://github.com/citation-style-language/schema/raw/master/csl-citation.json"}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(21)</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this study was a </w:t>
      </w:r>
      <w:r>
        <w:rPr>
          <w:rFonts w:eastAsia="Times New Roman" w:cs="Times New Roman" w:ascii="Times New Roman" w:hAnsi="Times New Roman"/>
          <w:bCs/>
          <w:color w:themeColor="text1" w:val="000000"/>
          <w:sz w:val="24"/>
          <w:szCs w:val="24"/>
          <w:lang w:eastAsia="en-GB"/>
        </w:rPr>
        <w:t>prospective cohort study</w:t>
      </w:r>
      <w:r>
        <w:rPr>
          <w:rFonts w:eastAsia="Times New Roman" w:cs="Times New Roman" w:ascii="Times New Roman" w:hAnsi="Times New Roman"/>
          <w:color w:themeColor="text1" w:val="000000"/>
          <w:sz w:val="24"/>
          <w:szCs w:val="24"/>
          <w:lang w:eastAsia="en-GB"/>
        </w:rPr>
        <w:t>, offering stronger temporal evidence for causality. Additionally, it was conducted in a real-world, resource-limited African setting, making the findings more applicable to similar contexts, where treatment monitoring may be suboptimal due to cost and access barriers.</w:t>
      </w:r>
    </w:p>
    <w:p>
      <w:pPr>
        <w:pStyle w:val="Normal"/>
        <w:spacing w:lineRule="auto" w:line="360" w:beforeAutospacing="1" w:afterAutospacing="1"/>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lang w:eastAsia="en-GB"/>
        </w:rPr>
        <w:t>However,</w:t>
      </w:r>
      <w:r>
        <w:rPr>
          <w:rFonts w:eastAsia="Times New Roman" w:cs="Times New Roman" w:ascii="Times New Roman" w:hAnsi="Times New Roman"/>
          <w:color w:val="FF0000"/>
          <w:sz w:val="24"/>
          <w:szCs w:val="24"/>
          <w:lang w:eastAsia="en-GB"/>
        </w:rPr>
        <w:t xml:space="preserve"> </w:t>
      </w:r>
      <w:r>
        <w:rPr>
          <w:rFonts w:cs="Times New Roman" w:ascii="Times New Roman" w:hAnsi="Times New Roman"/>
          <w:color w:val="FF0000"/>
          <w:sz w:val="24"/>
          <w:szCs w:val="24"/>
        </w:rPr>
        <w:t>T</w:t>
      </w:r>
      <w:r>
        <w:rPr>
          <w:rFonts w:cs="Times New Roman" w:ascii="Times New Roman" w:hAnsi="Times New Roman"/>
          <w:color w:themeColor="text1" w:val="000000"/>
          <w:sz w:val="24"/>
          <w:szCs w:val="24"/>
        </w:rPr>
        <w:t xml:space="preserve">he study done by </w:t>
      </w:r>
      <w:r>
        <w:fldChar w:fldCharType="begin"/>
      </w:r>
      <w:r>
        <w:rPr>
          <w:sz w:val="24"/>
          <w:szCs w:val="24"/>
          <w:rFonts w:cs="Times New Roman" w:ascii="Times New Roman" w:hAnsi="Times New Roman"/>
          <w:color w:themeColor="text1" w:val="000000"/>
        </w:rPr>
        <w:instrText xml:space="preserve">ADDIN CSL_CITATION {"citationItems":[{"id":"ITEM-1","itemData":{"DOI":"10.7759/cureus.77282","ISSN":"2168-8184 (Print)","PMID":"39931603","abstract":"Introduction Macular edema causes decreased vision in diseases like diabetic  retinopathy, uveitis, retinal vein occlusions and post-cataract surgery cystoid macular edema. Steroids in the depot form of triamcinolone acetonide (TA) increase the duration of action, but due to a number of complications, especially raising intraocular pressure (IOP), anti-vascular endothelial growth factor (anti-VEGF) injections are now considered the mainstay of treatment. The suprachoroidal space provides an alternate route for steroid delivery, limiting the drug to the posterior segment, hence preventing the adverse effects on the anterior segment. This study aimed to determine the safety of suprachoroidal steroids with respect to their effect on IOP. Methods This retrospective study involved patients who received suprachoroidal TA injections for macular edema: diabetic retinopathy, retinal vein occlusions, uveitis and cystoid macular edema post-cataract surgery at Layton Rahmatulla Benevolent Trust (LRBT) Free Eye Hospital, Lahore, Pakistan. Manual medical records from two years were accessed and all patients were included in the study. Patients with a history of ocular hypertension, glaucoma and steroid responsiveness had not received the injection. Crystalline steroid particles of 4 mg/0.1 mL, using an intravenous TA (K-Kort; GlaxoSmithKline, Brentford, UK), were injected into the suprachoroidal space through a 30-gauge syringe with a custom plastic sleeve from a 24-gauge branula exposing 0.1 mm of the bevel. IOP was recorded at baseline before the injection and at weeks 2, 4 and 8. Repeated measures multivariate analysis of variance (ANOVA) was used to compare IOP measurements at the different time intervals. Results A total of 61 patients were included, with 70 eyes being assessed, at a mean age of 54.2 ± 10.4 years. Baseline mean IOP was 16.41 ± 2.62 mmHg, 17.04 ± 3.09 mmHg at week 2, 16.30 ± 2.95 mmHg at week 4 and 15.73 ± 1.83 mmHg at week 8. Between baseline IOP and week 2, the mean difference was 1.11 ± 0.66 mmHg (p = 0.59), 0.26 ± 0.43 mmHg from week 2 to week 4 (p = 1.00), and 1.36 ± 0.51 mmHg from week 4 to week 8 (p = 0.51). The mean IOP decreased by 0.50 ± 0.53 mmHg (p = 1.00) from baseline by eight weeks. The differences between IOP, different causes of macular edema and age or gender were not statistically significant. Two patients (1.4%) had a temporary rise in IOP above 24 mmHg requiring ocular medication, with one having a rise above 30 mmHg. Conclus…","author":[{"dropping-particle":"","family":"Nauman","given":"Ali","non-dropping-particle":"","parse-names":false,"suffix":""},{"dropping-particle":"","family":"Iqbal","given":"Kashif","non-dropping-particle":"","parse-names":false,"suffix":""},{"dropping-particle":"","family":"Seyal","given":"Mishal","non-dropping-particle":"","parse-names":false,"suffix":""}],"container-title":"Cureus","id":"ITEM-1","issue":"1","issued":{"date-parts":[["2025","1"]]},"language":"eng","page":"e77282","publisher-place":"United States","title":"Effect of Suprachoroidal Triamcinolone Acetonide on Intraocular Pressure in  Macular Edema: A Retrospective Study.","type":"article-journal","volume":"17"},"uris":["http://www.mendeley.com/documents/?uuid=7c831d1c-6a12-4aea-88f6-775c5c46c533"]}],"mendeley":{"formattedCitation":"(22)","plainTextFormattedCitation":"(22)","previouslyFormattedCitation":"(Nauman, Iqbal and Seyal, 2025)"},"properties":{"noteIndex":0},"schema":"https://github.com/citation-style-language/schema/raw/master/csl-citation.json"}</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t>(22)</w: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t xml:space="preserve"> showed minimal IOP changes, with a peak of 17.04 mmHg at week 2 and a decline to 15.73 mmHg by week 8, and only 1.4% had transient IOP elevation. In our study revealed a sharp IOP spike to 28.42 mmHg immediately post-injection, declining to 17.05 mmHg at six weeks, with 24.5% showing elevated IOP, highlighting a more significant and clinically relevant pressure rise pattern.</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One of the major challenges in sub-Saharan Africa is lack of regular follow-up after IVTA. Our study revealed that pressure peaks mostly occur within 2 to 6 weeks an observation supported by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{"citationItems":[{"id":"ITEM-1","itemData":{"author":[{"dropping-particle":"","family":"Mingaine","given":"Mpekethu","non-dropping-particle":"","parse-names":false,"suffix":""}],"id":"ITEM-1","issue":"May","issued":{"date-parts":[["2013"]]},"title":"Intraocular Pressure Changes in Eyes Receiving Intravitreal Triamcinolone Acetonide in Kikuyu Eye Unit","type":"article-journal"},"uris":["http://www.mendeley.com/documents/?uuid=d2d537bc-b99e-4352-922f-62ca735cdf7a"]}],"mendeley":{"formattedCitation":"(23)","manualFormatting":"(Malik et al., 2023)","plainTextFormattedCitation":"(23)","previouslyFormattedCitation":"(Mingaine, 2013)"},"properties":{"noteIndex":0},"schema":"https://github.com/citation-style-language/schema/raw/master/csl-citation.json"}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 xml:space="preserve">(Malik </w:t>
      </w:r>
      <w:r>
        <w:rPr>
          <w:rFonts w:eastAsia="Times New Roman" w:cs="Times New Roman" w:ascii="Times New Roman" w:hAnsi="Times New Roman"/>
          <w:i/>
          <w:color w:themeColor="text1" w:val="000000"/>
          <w:sz w:val="24"/>
          <w:szCs w:val="24"/>
          <w:lang w:eastAsia="en-GB"/>
        </w:rPr>
        <w:t>et al.,</w:t>
      </w:r>
      <w:r>
        <w:rPr>
          <w:rFonts w:eastAsia="Times New Roman" w:cs="Times New Roman" w:ascii="Times New Roman" w:hAnsi="Times New Roman"/>
          <w:color w:themeColor="text1" w:val="000000"/>
          <w:sz w:val="24"/>
          <w:szCs w:val="24"/>
          <w:lang w:eastAsia="en-GB"/>
        </w:rPr>
        <w:t xml:space="preserve"> 2023)</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in Uganda. They found that only 58% of patients returned for their 1-month follow-up, yet 80% of those who developed glaucoma-related changes did so within that window.</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The temporal pattern of IOP changes in the current study corroborates global findings, highlighting that most cases of OHT develop within the first six weeks and tend to stabilize or regress, emphasizing the need for vigilant short-term monitoring.</w:t>
      </w:r>
    </w:p>
    <w:p>
      <w:pPr>
        <w:pStyle w:val="NormalWeb"/>
        <w:spacing w:lineRule="auto" w:line="360" w:before="280" w:after="280"/>
        <w:jc w:val="both"/>
        <w:rPr>
          <w:color w:themeColor="text1" w:val="000000"/>
        </w:rPr>
      </w:pPr>
      <w:r>
        <w:rPr>
          <w:color w:themeColor="text1" w:val="000000"/>
        </w:rPr>
        <w:t xml:space="preserve">This study identified </w:t>
      </w:r>
      <w:r>
        <w:rPr>
          <w:rStyle w:val="Strong"/>
          <w:rFonts w:eastAsia="" w:eastAsiaTheme="majorEastAsia"/>
          <w:b w:val="false"/>
          <w:color w:themeColor="text1" w:val="000000"/>
        </w:rPr>
        <w:t>retinal vein occlusion (RVO)</w:t>
      </w:r>
      <w:r>
        <w:rPr>
          <w:color w:themeColor="text1" w:val="000000"/>
        </w:rPr>
        <w:t xml:space="preserve"> as an independent and statistically significant risk factor for ocular hypertension (OHT) following intravitreal triamcinolone acetonide (IVTA) injection (Adjusted Risk Ratio [ARR] = 3.23; 95% CI: 1.10–9.54; p = 0.033). While lens status and cystoid macular edema (CME) were significant in univariate analysis, their associations lost significance after adjusting for confounders.</w:t>
      </w:r>
    </w:p>
    <w:p>
      <w:pPr>
        <w:pStyle w:val="NormalWeb"/>
        <w:spacing w:lineRule="auto" w:line="360" w:before="280" w:after="280"/>
        <w:jc w:val="both"/>
        <w:rPr>
          <w:color w:themeColor="text1" w:val="000000"/>
        </w:rPr>
      </w:pPr>
      <w:r>
        <w:rPr>
          <w:color w:themeColor="text1" w:val="000000"/>
        </w:rPr>
        <w:t xml:space="preserve">These findings closely parallel those reported by </w:t>
      </w:r>
      <w:r>
        <w:fldChar w:fldCharType="begin"/>
      </w:r>
      <w:r>
        <w:rPr>
          <w:color w:themeColor="text1" w:val="000000"/>
        </w:rPr>
        <w:instrText xml:space="preserve">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Pr>
          <w:color w:themeColor="text1" w:val="000000"/>
        </w:rPr>
      </w:r>
      <w:r>
        <w:rPr>
          <w:color w:themeColor="text1" w:val="000000"/>
        </w:rPr>
        <w:fldChar w:fldCharType="separate"/>
      </w:r>
      <w:r>
        <w:rPr>
          <w:color w:themeColor="text1" w:val="000000"/>
        </w:rPr>
        <w:t>(24)</w:t>
      </w:r>
      <w:r>
        <w:rPr>
          <w:color w:themeColor="text1" w:val="000000"/>
        </w:rPr>
      </w:r>
      <w:r>
        <w:rPr>
          <w:color w:themeColor="text1" w:val="000000"/>
        </w:rPr>
        <w:fldChar w:fldCharType="end"/>
      </w:r>
      <w:r>
        <w:rPr>
          <w:color w:themeColor="text1" w:val="000000"/>
        </w:rPr>
        <w:t xml:space="preserve"> in Turkey, who also performed </w:t>
      </w:r>
      <w:r>
        <w:rPr>
          <w:rStyle w:val="Strong"/>
          <w:rFonts w:eastAsia="" w:eastAsiaTheme="majorEastAsia"/>
          <w:b w:val="false"/>
          <w:color w:themeColor="text1" w:val="000000"/>
        </w:rPr>
        <w:t>multivariate logistic regression</w:t>
      </w:r>
      <w:r>
        <w:rPr>
          <w:color w:themeColor="text1" w:val="000000"/>
        </w:rPr>
        <w:t xml:space="preserve"> and identified </w:t>
      </w:r>
      <w:r>
        <w:rPr>
          <w:rStyle w:val="Strong"/>
          <w:rFonts w:eastAsia="" w:eastAsiaTheme="majorEastAsia"/>
          <w:b w:val="false"/>
          <w:color w:themeColor="text1" w:val="000000"/>
        </w:rPr>
        <w:t>age (p = 0.003), gender (p = 0.014), and higher baseline IOP (p = 0.022)</w:t>
      </w:r>
      <w:r>
        <w:rPr>
          <w:color w:themeColor="text1" w:val="000000"/>
        </w:rPr>
        <w:t xml:space="preserve"> as independent predictors of OHT. Notably, in their study, </w:t>
      </w:r>
      <w:r>
        <w:rPr>
          <w:rStyle w:val="Strong"/>
          <w:rFonts w:eastAsia="" w:eastAsiaTheme="majorEastAsia"/>
          <w:b w:val="false"/>
          <w:color w:themeColor="text1" w:val="000000"/>
        </w:rPr>
        <w:t>eyes that had undergone vitrectomy showed a trend toward lower risk (p = 0.054)</w:t>
      </w:r>
      <w:r>
        <w:rPr>
          <w:color w:themeColor="text1" w:val="000000"/>
        </w:rPr>
        <w:t xml:space="preserve"> a variable not assessed in the current analysis due to exclusion criteria.</w:t>
      </w:r>
    </w:p>
    <w:p>
      <w:pPr>
        <w:pStyle w:val="NormalWeb"/>
        <w:spacing w:lineRule="auto" w:line="360" w:before="280" w:after="280"/>
        <w:jc w:val="both"/>
        <w:rPr>
          <w:color w:themeColor="text1" w:val="000000"/>
        </w:rPr>
      </w:pPr>
      <w:r>
        <w:rPr>
          <w:color w:themeColor="text1" w:val="000000"/>
        </w:rPr>
        <w:t xml:space="preserve">The absence of a significant association between age or sex in our adjusted model contrasts with </w:t>
      </w:r>
      <w:r>
        <w:fldChar w:fldCharType="begin"/>
      </w:r>
      <w:r>
        <w:rPr>
          <w:color w:themeColor="text1" w:val="000000"/>
        </w:rPr>
        <w:instrText xml:space="preserve">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Pr>
          <w:color w:themeColor="text1" w:val="000000"/>
        </w:rPr>
      </w:r>
      <w:r>
        <w:rPr>
          <w:color w:themeColor="text1" w:val="000000"/>
        </w:rPr>
        <w:fldChar w:fldCharType="separate"/>
      </w:r>
      <w:r>
        <w:rPr>
          <w:color w:themeColor="text1" w:val="000000"/>
        </w:rPr>
        <w:t>(24)</w:t>
      </w:r>
      <w:r>
        <w:rPr>
          <w:color w:themeColor="text1" w:val="000000"/>
        </w:rPr>
      </w:r>
      <w:r>
        <w:rPr>
          <w:color w:themeColor="text1" w:val="000000"/>
        </w:rPr>
        <w:fldChar w:fldCharType="end"/>
      </w:r>
      <w:r>
        <w:rPr>
          <w:color w:themeColor="text1" w:val="000000"/>
        </w:rPr>
        <w:t xml:space="preserve"> findings. This discrepancy may be attributed to differences in sample size, ethnicity, and underlying disease profiles. While our study did find a borderline association with lens status in the crude model (CRR = 1.98, p = 0.018), this effect disappeared upon adjustment, suggesting a possible confounding effect from the indication (RVO or CME), which was more prevalent in certain lens groups.</w:t>
      </w:r>
    </w:p>
    <w:p>
      <w:pPr>
        <w:pStyle w:val="NormalWeb"/>
        <w:spacing w:lineRule="auto" w:line="360" w:before="280" w:after="280"/>
        <w:jc w:val="both"/>
        <w:rPr>
          <w:color w:themeColor="text1" w:val="000000"/>
        </w:rPr>
      </w:pPr>
      <w:r>
        <w:rPr>
          <w:color w:themeColor="text1" w:val="000000"/>
        </w:rPr>
        <w:t xml:space="preserve">Another divergence lies in the role of </w:t>
      </w:r>
      <w:r>
        <w:rPr>
          <w:rStyle w:val="Strong"/>
          <w:rFonts w:eastAsia="" w:eastAsiaTheme="majorEastAsia"/>
          <w:b w:val="false"/>
          <w:color w:themeColor="text1" w:val="000000"/>
        </w:rPr>
        <w:t>CME</w:t>
      </w:r>
      <w:r>
        <w:rPr>
          <w:color w:themeColor="text1" w:val="000000"/>
        </w:rPr>
        <w:t xml:space="preserve">, which showed a protective trend in our unadjusted model (CRR = 0.48; p = 0.013) but became non-significant after multivariate adjustment (ARR = 0.71; p = 0.723). This is in contrast to </w:t>
      </w:r>
      <w:r>
        <w:fldChar w:fldCharType="begin"/>
      </w:r>
      <w:r>
        <w:rPr>
          <w:color w:themeColor="text1" w:val="000000"/>
        </w:rPr>
        <w:instrText xml:space="preserve">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Pr>
          <w:color w:themeColor="text1" w:val="000000"/>
        </w:rPr>
      </w:r>
      <w:r>
        <w:rPr>
          <w:color w:themeColor="text1" w:val="000000"/>
        </w:rPr>
        <w:fldChar w:fldCharType="separate"/>
      </w:r>
      <w:r>
        <w:rPr>
          <w:color w:themeColor="text1" w:val="000000"/>
        </w:rPr>
        <w:t>(5)</w:t>
      </w:r>
      <w:r>
        <w:rPr>
          <w:color w:themeColor="text1" w:val="000000"/>
        </w:rPr>
      </w:r>
      <w:r>
        <w:rPr>
          <w:color w:themeColor="text1" w:val="000000"/>
        </w:rPr>
        <w:fldChar w:fldCharType="end"/>
      </w:r>
      <w:r>
        <w:rPr>
          <w:color w:themeColor="text1" w:val="000000"/>
        </w:rPr>
        <w:t>, who identified CME as one of the more common underlying conditions associated with steroid-induced OHT. The contradiction might be due to different disease chronicity, inflammation levels, or variability in steroid responsiveness.</w:t>
      </w:r>
    </w:p>
    <w:p>
      <w:pPr>
        <w:pStyle w:val="NormalWeb"/>
        <w:spacing w:lineRule="auto" w:line="360" w:before="280" w:after="280"/>
        <w:jc w:val="both"/>
        <w:rPr>
          <w:color w:themeColor="text1" w:val="000000"/>
        </w:rPr>
      </w:pPr>
      <w:r>
        <w:rPr>
          <w:color w:themeColor="text1" w:val="000000"/>
        </w:rPr>
        <w:t xml:space="preserve">Importantly, our finding that </w:t>
      </w:r>
      <w:r>
        <w:rPr>
          <w:rStyle w:val="Strong"/>
          <w:rFonts w:eastAsia="" w:eastAsiaTheme="majorEastAsia"/>
          <w:b w:val="false"/>
          <w:color w:themeColor="text1" w:val="000000"/>
        </w:rPr>
        <w:t>RVO independently predicted OHT</w:t>
      </w:r>
      <w:r>
        <w:rPr>
          <w:color w:themeColor="text1" w:val="000000"/>
        </w:rPr>
        <w:t xml:space="preserve"> post-IVTA highlights the need for cautious use of steroids in this subgroup. This may be related to compromised trabecular outflow from underlying ischemia and venous stasis, making the eye more susceptible to steroid-induced aqueous outflow resistance.</w:t>
      </w:r>
    </w:p>
    <w:p>
      <w:pPr>
        <w:pStyle w:val="NormalWeb"/>
        <w:spacing w:lineRule="auto" w:line="360" w:before="280" w:after="280"/>
        <w:jc w:val="both"/>
        <w:rPr>
          <w:color w:themeColor="text1" w:val="000000"/>
        </w:rPr>
      </w:pPr>
      <w:r>
        <w:rPr>
          <w:color w:themeColor="text1" w:val="000000"/>
        </w:rPr>
        <w:t xml:space="preserve">This study reaffirms the multifactorial nature of steroid-induced OHT and emphasizes the importance of considering the </w:t>
      </w:r>
      <w:r>
        <w:rPr>
          <w:rStyle w:val="Strong"/>
          <w:rFonts w:eastAsia="" w:eastAsiaTheme="majorEastAsia"/>
          <w:b w:val="false"/>
          <w:color w:themeColor="text1" w:val="000000"/>
        </w:rPr>
        <w:t>underlying retinal pathology</w:t>
      </w:r>
      <w:r>
        <w:rPr>
          <w:color w:themeColor="text1" w:val="000000"/>
        </w:rPr>
        <w:t xml:space="preserve">, especially </w:t>
      </w:r>
      <w:r>
        <w:rPr>
          <w:rStyle w:val="Strong"/>
          <w:rFonts w:eastAsia="" w:eastAsiaTheme="majorEastAsia"/>
          <w:b w:val="false"/>
          <w:color w:themeColor="text1" w:val="000000"/>
        </w:rPr>
        <w:t>RVO</w:t>
      </w:r>
      <w:r>
        <w:rPr>
          <w:b/>
          <w:color w:themeColor="text1" w:val="000000"/>
        </w:rPr>
        <w:t>,</w:t>
      </w:r>
      <w:r>
        <w:rPr>
          <w:color w:themeColor="text1" w:val="000000"/>
        </w:rPr>
        <w:t xml:space="preserve"> when assessing risk. These findings support and complement previous work by </w:t>
      </w:r>
      <w:r>
        <w:fldChar w:fldCharType="begin"/>
      </w:r>
      <w:r>
        <w:rPr>
          <w:color w:themeColor="text1" w:val="000000"/>
        </w:rPr>
        <w:instrText xml:space="preserve">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Pr>
          <w:color w:themeColor="text1" w:val="000000"/>
        </w:rPr>
      </w:r>
      <w:r>
        <w:rPr>
          <w:color w:themeColor="text1" w:val="000000"/>
        </w:rPr>
        <w:fldChar w:fldCharType="separate"/>
      </w:r>
      <w:r>
        <w:rPr>
          <w:color w:themeColor="text1" w:val="000000"/>
        </w:rPr>
        <w:t>(24)</w:t>
      </w:r>
      <w:r>
        <w:rPr>
          <w:color w:themeColor="text1" w:val="000000"/>
        </w:rPr>
      </w:r>
      <w:r>
        <w:rPr>
          <w:color w:themeColor="text1" w:val="000000"/>
        </w:rPr>
        <w:fldChar w:fldCharType="end"/>
      </w:r>
      <w:r>
        <w:rPr>
          <w:color w:themeColor="text1" w:val="000000"/>
        </w:rPr>
        <w:t xml:space="preserve"> and underscore the need for individualized risk stratification before IVTA administration.</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As our study used a standard 4 mg IVTA dose, we observed results comparable to global trends. However, recent trials advocate dose adjustments or delivery innovations.</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fldChar w:fldCharType="begin"/>
      </w:r>
      <w:r>
        <w:rPr>
          <w:sz w:val="24"/>
          <w:szCs w:val="24"/>
          <w:bCs/>
          <w:rFonts w:eastAsia="Times New Roman" w:cs="Times New Roman" w:ascii="Times New Roman" w:hAnsi="Times New Roman"/>
          <w:color w:themeColor="text1" w:val="000000"/>
          <w:lang w:eastAsia="en-GB"/>
        </w:rPr>
        <w:instrText xml:space="preserve">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Acetonide","type":"article-journal","volume":"39"},"uris":["http://www.mendeley.com/documents/?uuid=983b9c85-a997-4352-844c-a271db0bf582"]}],"mendeley":{"formattedCitation":"(6)","manualFormatting":"(Peng et al., 2024)","plainTextFormattedCitation":"(6)","previouslyFormattedCitation":"(Article &lt;i&gt;et al.&lt;/i&gt;, 2023)"},"properties":{"noteIndex":0},"schema":"https://github.com/citation-style-language/schema/raw/master/csl-citation.json"}</w:instrTex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bCs/>
          <w:color w:themeColor="text1" w:val="000000"/>
          <w:sz w:val="24"/>
          <w:szCs w:val="24"/>
          <w:lang w:eastAsia="en-GB"/>
        </w:rPr>
      </w:r>
      <w:r>
        <w:rPr>
          <w:rFonts w:eastAsia="Times New Roman" w:cs="Times New Roman" w:ascii="Times New Roman" w:hAnsi="Times New Roman"/>
          <w:bCs/>
          <w:color w:themeColor="text1" w:val="000000"/>
          <w:sz w:val="24"/>
          <w:szCs w:val="24"/>
          <w:lang w:eastAsia="en-GB"/>
        </w:rPr>
        <w:t xml:space="preserve">(Peng </w:t>
      </w:r>
      <w:r>
        <w:rPr>
          <w:rFonts w:eastAsia="Times New Roman" w:cs="Times New Roman" w:ascii="Times New Roman" w:hAnsi="Times New Roman"/>
          <w:bCs/>
          <w:i/>
          <w:color w:themeColor="text1" w:val="000000"/>
          <w:sz w:val="24"/>
          <w:szCs w:val="24"/>
          <w:lang w:eastAsia="en-GB"/>
        </w:rPr>
        <w:t>et al.</w:t>
      </w:r>
      <w:r>
        <w:rPr>
          <w:rFonts w:eastAsia="Times New Roman" w:cs="Times New Roman" w:ascii="Times New Roman" w:hAnsi="Times New Roman"/>
          <w:bCs/>
          <w:color w:themeColor="text1" w:val="000000"/>
          <w:sz w:val="24"/>
          <w:szCs w:val="24"/>
          <w:lang w:eastAsia="en-GB"/>
        </w:rPr>
        <w:t>, 2024)</w:t>
      </w:r>
      <w:r>
        <w:rPr>
          <w:rFonts w:eastAsia="Times New Roman" w:cs="Times New Roman" w:ascii="Times New Roman" w:hAnsi="Times New Roman"/>
          <w:bCs/>
          <w:color w:themeColor="text1" w:val="000000"/>
          <w:sz w:val="24"/>
          <w:szCs w:val="24"/>
          <w:lang w:eastAsia="en-GB"/>
        </w:rPr>
      </w:r>
      <w:r>
        <w:rPr>
          <w:sz w:val="24"/>
          <w:szCs w:val="24"/>
          <w:bCs/>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xml:space="preserve"> compared 2 mg vs. 4 mg doses in uveitic macular edema and found the lower dose significantly reduced IOP elevation without compromising visual outcomes. This suggests </w:t>
      </w:r>
      <w:r>
        <w:rPr>
          <w:rFonts w:eastAsia="Times New Roman" w:cs="Times New Roman" w:ascii="Times New Roman" w:hAnsi="Times New Roman"/>
          <w:bCs/>
          <w:color w:themeColor="text1" w:val="000000"/>
          <w:sz w:val="24"/>
          <w:szCs w:val="24"/>
          <w:lang w:eastAsia="en-GB"/>
        </w:rPr>
        <w:t>micro-dosing</w:t>
      </w:r>
      <w:r>
        <w:rPr>
          <w:rFonts w:eastAsia="Times New Roman" w:cs="Times New Roman" w:ascii="Times New Roman" w:hAnsi="Times New Roman"/>
          <w:color w:themeColor="text1" w:val="000000"/>
          <w:sz w:val="24"/>
          <w:szCs w:val="24"/>
          <w:lang w:eastAsia="en-GB"/>
        </w:rPr>
        <w:t xml:space="preserve"> may be optimal for high-risk patients.</w:t>
      </w:r>
    </w:p>
    <w:p>
      <w:pPr>
        <w:pStyle w:val="Normal"/>
        <w:spacing w:lineRule="auto" w:line="360" w:beforeAutospacing="1" w:afterAutospacing="1"/>
        <w:jc w:val="both"/>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Emerging drug-delivery systems, such as </w:t>
      </w:r>
      <w:r>
        <w:rPr>
          <w:rFonts w:eastAsia="Times New Roman" w:cs="Times New Roman" w:ascii="Times New Roman" w:hAnsi="Times New Roman"/>
          <w:bCs/>
          <w:color w:themeColor="text1" w:val="000000"/>
          <w:sz w:val="24"/>
          <w:szCs w:val="24"/>
          <w:lang w:eastAsia="en-GB"/>
        </w:rPr>
        <w:t>bioerodible implants</w:t>
      </w:r>
      <w:r>
        <w:rPr>
          <w:rFonts w:eastAsia="Times New Roman" w:cs="Times New Roman" w:ascii="Times New Roman" w:hAnsi="Times New Roman"/>
          <w:color w:themeColor="text1" w:val="000000"/>
          <w:sz w:val="24"/>
          <w:szCs w:val="24"/>
          <w:lang w:eastAsia="en-GB"/>
        </w:rPr>
        <w:t xml:space="preserve"> studied by </w:t>
      </w:r>
      <w:r>
        <w:fldChar w:fldCharType="begin"/>
      </w:r>
      <w:r>
        <w:rPr>
          <w:sz w:val="24"/>
          <w:szCs w:val="24"/>
          <w:rFonts w:eastAsia="Times New Roman" w:cs="Times New Roman" w:ascii="Times New Roman" w:hAnsi="Times New Roman"/>
          <w:color w:themeColor="text1" w:val="000000"/>
          <w:lang w:eastAsia="en-GB"/>
        </w:rPr>
        <w:instrText xml:space="preserve">ADDIN CSL_CITATION {"citationItems":[{"id":"ITEM-1","itemData":{"DOI":"10.4103/ijo.IJO","ISBN":"1177-5467","ISSN":"1471-2415","PMID":"10071898","abstract":"Often the literature makes assertions of medical product effects on the basis of ' p &lt; 0.05'. The underlying premise is that at this threshold, there is only a 5% probability that the observed effect would be seen by chance when in reality there is no effect. In observational studies, much more than in randomized trials, bias and confounding may undermine this premise. To test this premise, we selected three exemplar drug safety studies from literature, representing a case-control, a cohort, and a self-controlled case series design. We attempted to replicate these studies as best we could for the drugs studied in the original articles. Next, we applied the same three designs to sets of negative controls: drugs that are not believed to cause the outcome of interest. We observed how often p &lt; 0.05 when the null hypothesis is true, and we fitted distributions to the effect estimates. Using these distributions, we compute calibrated p-values that reflect the probability of observing the effect estimate under the null hypothesis, taking both random and systematic error into account. An automated analysis of scientific literature was performed to evaluate the potential impact of such a calibration. Our experiment provides evidence that the majority of observational studies would declare statistical significance when no effect is present. Empirical calibration was found to reduce spurious results to the desired 5% level. Applying these adjustments to literature suggests that at least 54% of findings with p &lt; 0.05 are not actually statistically significant and should be reevaluated.","author":[{"dropping-particle":"","family":"Balasopoulou","given":"A.","non-dropping-particle":"","parse-names":false,"suffix":""},{"dropping-particle":"","family":"Κokkinos","given":"P.","non-dropping-particle":"","parse-names":false,"suffix":""},{"dropping-particle":"","family":"Pagoulatos","given":"D.","non-dropping-particle":"","parse-names":false,"suffix":""},{"dropping-particle":"","family":"Plotas","given":"P.","non-dropping-particle":"","parse-names":false,"suffix":""},{"dropping-particle":"","family":"Makri","given":"O. E.","non-dropping-particle":"","parse-names":false,"suffix":""},{"dropping-particle":"","family":"Georgakopoulos","given":"C. D.","non-dropping-particle":"","parse-names":false,"suffix":""},{"dropping-particle":"","family":"Vantarakis","given":"A.","non-dropping-particle":"","parse-names":false,"suffix":""},{"dropping-particle":"","family":"Li","given":"Yan","non-dropping-particle":"","parse-names":false,"suffix":""},{"dropping-particle":"","family":"Liu","given":"Jia Jinghua","non-dropping-particle":"","parse-names":false,"suffix":""},{"dropping-particle":"","family":"Qi","given":"Pengcheng","non-dropping-particle":"","parse-names":false,"suffix":""},{"dropping-particle":"","family":"Rapoport","given":"Yuna","non-dropping-particle":"","parse-names":false,"suffix":""},{"dropping-particle":"","family":"Wayman","given":"Laura L.","non-dropping-particle":"","parse-names":false,"suffix":""},{"dropping-particle":"","family":"Chomsky","given":"Amy S.","non-dropping-particle":"","parse-names":false,"suffix":""},{"dropping-particle":"","family":"Joshi","given":"RajeshSubhash Subhash","non-dropping-particle":"","parse-names":false,"suffix":""},{"dropping-particle":"","family":"Press","given":"Dove","non-dropping-particle":"","parse-names":false,"suffix":""},{"dropping-particle":"","family":"Rung","given":"Lena","non-dropping-particle":"","parse-names":false,"suffix":""},{"dropping-particle":"","family":"Ademola-popoola","given":"Dupe","non-dropping-particle":"","parse-names":false,"suffix":""},{"dropping-particle":"","family":"Africa","given":"South","non-dropping-particle":"","parse-names":false,"suffix":""},{"dropping-particle":"","family":"Article","given":"Original","non-dropping-particle":"","parse-names":false,"suffix":""},{"dropping-particle":"","family":"Raj","given":"Vethakkan Bijivin","non-dropping-particle":"","parse-names":false,"suffix":""},{"dropping-particle":"","family":"Diwakar","given":"Parangimalai","non-dropping-particle":"","parse-names":false,"suffix":""},{"dropping-particle":"","family":"Kumar","given":"Madan","non-dropping-particle":"","parse-names":false,"suffix":""},{"dropping-particle":"","family":"Balaji","given":"Selvaraj","non-dropping-particle":"","parse-names":false,"suffix":""},{"dropping-particle":"","family":"Stawicki","given":"S P","non-dropping-particle":"","parse-names":false,"suffix":""},{"dropping-particle":"","family":"Chawla","given":"Bhavna","non-dropping-particle":"","parse-names":false,"suffix":""},{"dropping-particle":"","family":"Singh","given":"Rishi P. Rashmi","non-dropping-particle":"","parse-names":false,"suffix":""},{"dropping-particle":"","family":"Article","given":"Previously Published","non-dropping-particle":"","parse-names":false,"suffix":""},{"dropping-particle":"","family":"Koh","given":"Shizuka","non-dropping-particle":"","parse-names":false,"suffix":""},{"dropping-particle":"","family":"Maeda","given":"Naoyuki","non-dropping-particle":"","parse-names":false,"suffix":""},{"dropping-particle":"","family":"Ikeda","given":"Chikako","non-dropping-particle":"","parse-names":false,"suffix":""},{"dropping-particle":"","family":"Asonuma","given":"Sanae","non-dropping-particle":"","parse-names":false,"suffix":""},{"dropping-particle":"","family":"Ogawa","given":"Mai","non-dropping-particle":"","parse-names":false,"suffix":""},{"dropping-particle":"","family":"Hiraoka","given":"Takahiro","non-dropping-particle":"","parse-names":false,"suffix":""},{"dropping-particle":"","family":"Oshika","given":"Tetsuro","non-dropping-particle":"","parse-names":false,"suffix":""},{"dropping-particle":"","family":"Nishida","given":"Kohji","non-dropping-particle":"","parse-names":false,"suffix":""},{"dropping-particle":"","family":"Peng","given":"Yuting Yuan","non-dropping-particle":"","parse-names":false,"suffix":""},{"dropping-particle":"","family":"Zhang","given":"Xiongze Xiayin Xinbo","non-dropping-particle":"","parse-names":false,"suffix":""},{"dropping-particle":"","family":"Mi","given":"Lan","non-dropping-particle":"","parse-names":false,"suffix":""},{"dropping-particle":"","family":"Liu","given":"Bing","non-dropping-particle":"","parse-names":false,"suffix":""},{"dropping-particle":"","family":"Zuo","given":"Chengguo","non-dropping-particle":"","parse-names":false,"suffix":""},{"dropping-particle":"","family":"Li","given":"Miaoling Meiyan","non-dropping-particle":"","parse-names":false,"suffix":""},{"dropping-particle":"","family":"Wen","given":"Feng","non-dropping-particle":"","parse-names":false,"suffix":""},{"dropping-particle":"","family":"Arita","given":"Reiko","non-dropping-particle":"","parse-names":false,"suffix":""},{"dropping-particle":"","family":"Kawashima","given":"Motoko","non-dropping-particle":"","parse-names":false,"suffix":""},{"dropping-particle":"","family":"Ito","given":"Masataka","non-dropping-particle":"","parse-names":false,"suffix":""},{"dropping-particle":"","family":"Tsubota","given":"Kazuo","non-dropping-particle":"","parse-names":false,"suffix":""},{"dropping-particle":"","family":"Ishikawa","given":"Yuri","non-dropping-particle":"","parse-names":false,"suffix":""},{"dropping-particle":"","family":"Hashimoto","given":"Yuki","non-dropping-particle":"","parse-names":false,"suffix":""},{"dropping-particle":"","family":"Saito","given":"Wataru","non-dropping-particle":"","parse-names":false,"suffix":""},{"dropping-particle":"","family":"Ando","given":"Ryo","non-dropping-particle":"","parse-names":false,"suffix":""},{"dropping-particle":"","family":"Ishida","given":"Susumu","non-dropping-particle":"","parse-names":false,"suffix":""},{"dropping-particle":"","family":"Chang","given":"David F","non-dropping-particle":"","parse-names":false,"suffix":""},{"dropping-particle":"","family":"Donnenfeld","given":"Eric D","non-dropping-particle":"","parse-names":false,"suffix":""},{"dropping-particle":"","family":"Katz","given":"L Jay","non-dropping-particle":"","parse-names":false,"suffix":""},{"dropping-particle":"","family":"Samuelson","given":"Thomas W","non-dropping-particle":"","parse-names":false,"suffix":""},{"dropping-particle":"","family":"Giamporcaro","given":"Jane Ellen","non-dropping-particle":"","parse-names":false,"suffix":""},{"dropping-particle":"","family":"Hornbeak","given":"Dana M","non-dropping-particle":"","parse-names":false,"suffix":""},{"dropping-particle":"","family":"Solomon","given":"Kerry D","non-dropping-particle":"","parse-names":false,"suffix":""},{"dropping-particle":"","family":"Gundersen","given":"Kjell G.","non-dropping-particle":"","parse-names":false,"suffix":""},{"dropping-particle":"","family":"Potvin","given":"Rick Richard","non-dropping-particle":"","parse-names":false,"suffix":""},{"dropping-particle":"","family":"Press","given":"Dove","non-dropping-particle":"","parse-names":false,"suffix":""},{"dropping-particle":"","family":"States","given":"United","non-dropping-particle":"","parse-names":false,"suffix":""},{"dropping-particle":"","family":"Ford","given":"Lisa","non-dropping-particle":"","parse-names":false,"suffix":""},{"dropping-particle":"","family":"Goldberg","given":"Jeffrey L","non-dropping-particle":"","parse-names":false,"suffix":""},{"dropping-particle":"","family":"Selan","given":"Fred","non-dropping-particle":"","parse-names":false,"suffix":""},{"dropping-particle":"","family":"Greenberg","given":"Howard E","non-dropping-particle":"","parse-names":false,"suffix":""},{"dropping-particle":"","family":"Ru??o","given":"Miguel","non-dropping-particle":"","parse-names":false,"suffix":""},{"dropping-particle":"","family":"Andreu-Fenoll","given":"Mar??a","non-dropping-particle":"","parse-names":false,"suffix":""},{"dropping-particle":"","family":"Dolz-Marco","given":"Rosa","non-dropping-particle":"","parse-names":false,"suffix":""},{"dropping-particle":"","family":"Gallego-Pinazo","given":"Roberto","non-dropping-particle":"","parse-names":false,"suffix":""},{"dropping-particle":"","family":"Press","given":"Dove","non-dropping-particle":"","parse-names":false,"suffix":""},{"dropping-particle":"","family":"Hilgers","given":"Ralf-dieter","non-dropping-particle":"","parse-names":false,"suffix":""},{"dropping-particle":"","family":"Grisanti","given":"Salvatore","non-dropping-particle":"","parse-names":false,"suffix":""},{"dropping-particle":"","family":"Lüke","given":"Julia","non-dropping-particle":"","parse-names":false,"suffix":""},{"dropping-particle":"","family":"Lüke","given":"Matthias","non-dropping-particle":"","parse-names":false,"suffix":""},{"dropping-particle":"","family":"Press","given":"Dove","non-dropping-particle":"","parse-names":false,"suffix":""},{"dropping-particle":"","family":"You","given":"Caiyun","non-dropping-particle":"","parse-names":false,"suffix":""},{"dropping-particle":"","family":"Sahawneh","given":"Haitham F.","non-dropping-particle":"","parse-names":false,"suffix":""},{"dropping-particle":"","family":"Ma","given":"Lina","non-dropping-particle":"","parse-names":false,"suffix":""},{"dropping-particle":"","family":"Kubaisi","given":"Buraa","non-dropping-particle":"","parse-names":false,"suffix":""},{"dropping-particle":"","family":"Schmidt","given":"Alexander","non-dropping-particle":"","parse-names":false,"suffix":""},{"dropping-particle":"","family":"Foster","given":"C. Stephen","non-dropping-particle":"","parse-names":false,"suffix":""},{"dropping-particle":"","family":"Godin","given":"Morgan","non-dropping-particle":"","parse-names":false,"suffix":""},{"dropping-particle":"","family":"Gupta","given":"Preeya","non-dropping-particle":"","parse-names":false,"suffix":""},{"dropping-particle":"","family":"Roesch","given":"Karin","non-dropping-particle":"","parse-names":false,"suffix":""},{"dropping-particle":"","family":"Swedish","given":"Tristan","non-dropping-particle":"","parse-names":false,"suffix":""},{"dropping-particle":"","family":"Raskar","given":"Ramesh","non-dropping-particle":"","parse-names":false,"suffix":""},{"dropping-particle":"","family":"Rynerson","given":"James M.","non-dropping-particle":"","parse-names":false,"suffix":""},{"dropping-particle":"","family":"Perry","given":"Henry D.","non-dropping-particle":"","parse-names":false,"suffix":""},{"dropping-particle":"","family":"Ali","given":"Noora Mauwafak","non-dropping-particle":"","parse-names":false,"suffix":""},{"dropping-particle":"","family":"Hamied","given":"Furkaan M.","non-dropping-particle":"","parse-names":false,"suffix":""},{"dropping-particle":"","family":"Farhood","given":"Qasim K.","non-dropping-particle":"","parse-names":false,"suffix":""},{"dropping-particle":"","family":"Adeleye","given":"AmosO","non-dropping-particle":"","parse-names":false,"suffix":""},{"dropping-particle":"","family":"Fisher","given":"Bret L.","non-dropping-particle":"","parse-names":false,"suffix":""},{"dropping-particle":"","family":"Potvin","given":"Rick Richard","non-dropping-particle":"","parse-names":false,"suffix":""},{"dropping-particle":"","family":"Shen","given":"Chao","non-dropping-particle":"","parse-names":false,"suffix":""},{"dropping-particle":"","family":"Wang","given":"Jinghui Jingbing","non-dropping-particle":"","parse-names":false,"suffix":""},{"dropping-particle":"","family":"Wu","given":"Xiaotang Xiaohang","non-dropping-particle":"","parse-names":false,"suffix":""},{"dropping-particle":"","family":"Wang","given":"Fuchao","non-dropping-particle":"","parse-names":false,"suffix":""},{"dropping-particle":"","family":"Liu","given":"Yang","non-dropping-particle":"","parse-names":false,"suffix":""},{"dropping-particle":"","family":"Guo","given":"Xiaoying","non-dropping-particle":"","parse-names":false,"suffix":""},{"dropping-particle":"","family":"Zhang","given":"Lina","non-dropping-particle":"","parse-names":false,"suffix":""},{"dropping-particle":"","family":"Cao","given":"Yanfei","non-dropping-particle":"","parse-names":false,"suffix":""},{"dropping-particle":"","family":"Cao","given":"Xiuhua","non-dropping-particle":"","parse-names":false,"suffix":""},{"dropping-particle":"","family":"Ma","given":"Hui-Juan Hongxing","non-dropping-particle":"","parse-names":false,"suffix":""},{"dropping-particle":"","family":"Dias","given":"Diego Torres","non-dropping-particle":"","parse-names":false,"suffix":""},{"dropping-particle":"","family":"Ushida","given":"Michele","non-dropping-particle":"","parse-names":false,"suffix":""},{"dropping-particle":"","family":"Battistella","given":"Roberto","non-dropping-particle":"","parse-names":false,"suffix":""},{"dropping-particle":"","family":"Dorairaj","given":"Syril","non-dropping-particle":"","parse-names":false,"suffix":""},{"dropping-particle":"","family":"Prata","given":"Tiago Santos","non-dropping-particle":"","parse-names":false,"suffix":""},{"dropping-particle":"","family":"Skladnev","given":"NicholasV","non-dropping-particle":"","parse-names":false,"suffix":""},{"dropping-particle":"","family":"Johnstone","given":"DanielM","non-dropping-particle":"","parse-names":false,"suffix":""},{"dropping-particle":"","family":"Alarepe","given":"AbdulTaofik","non-dropping-particle":"","parse-names":false,"suffix":""},{"dropping-particle":"","family":"Balogun","given":"Modupe","non-dropping-particle":"","parse-names":false,"suffix":""},{"dropping-particle":"","family":"Okoye","given":"Obiekwe","non-dropping-particle":"","parse-names":false,"suffix":""},{"dropping-particle":"","family":"Ulaikere","given":"Mildred","non-dropping-particle":"","parse-names":false,"suffix":""},{"dropping-particle":"","family":"Oderinlo","given":"Olufemi","non-dropping-particle":"","parse-names":false,"suffix":""},{"dropping-particle":"","family":"Aiyekomogbon","given":"JoshuaO","non-dropping-particle":"","parse-names":false,"suffix":""},{"dropping-particle":"","family":"Rafindadi","given":"AbdulkadirL","non-dropping-particle":"","parse-names":false,"suffix":""},{"dropping-particle":"","family":"Seidu","given":"Mukaila A","non-dropping-particle":"","parse-names":false,"suffix":""},{"dropping-particle":"","family":"Olusanya","given":"Bolutife A","non-dropping-particle":"","parse-names":false,"suffix":""},{"dropping-particle":"","family":"Ogundipe","given":"Ayobade O","non-dropping-particle":"","parse-names":false,"suffix":""},{"dropping-particle":"","family":"Adamu","given":"MohammedD","non-dropping-particle":"","parse-names":false,"suffix":""},{"dropping-particle":"","family":"Muhammad","given":"Nasiru","non-dropping-particle":"","parse-names":false,"suffix":""},{"dropping-particle":"","family":"Nanjunda","given":"DevaajnaChinnappa","non-dropping-particle":"","parse-names":false,"suffix":""},{"dropping-particle":"","family":"Joshi","given":"RajeshSubhash Subhash","non-dropping-particle":"","parse-names":false,"suffix":""},{"dropping-particle":"","family":"Cam","given":"If","non-dropping-particle":"","parse-names":false,"suffix":""},{"dropping-particle":"","family":"Jimam","given":"Nanloh S","non-dropping-particle":"","parse-names":false,"suffix":""},{"dropping-particle":"","family":"Joseph","given":"Benjamin N","non-dropping-particle":"","parse-names":false,"suffix":""},{"dropping-particle":"","family":"Agba","given":"Dooshima C","non-dropping-particle":"","parse-names":false,"suffix":""},{"dropping-particle":"","family":"Singh","given":"Rishi P. Rashmi","non-dropping-particle":"","parse-names":false,"suffix":""},{"dropping-particle":"","family":"Lehmann","given":"Robert","non-dropping-particle":"","parse-names":false,"suffix":""},{"dropping-particle":"","family":"Martel","given":"Joseph","non-dropping-particle":"","parse-names":false,"suffix":""},{"dropping-particle":"","family":"Jong","given":"Kevin","non-dropping-particle":"","parse-names":false,"suffix":""},{"dropping-particle":"","family":"Pollack","given":"Ayala","non-dropping-particle":"","parse-names":false,"suffix":""},{"dropping-particle":"","family":"Tsorbatzoglou","given":"Alexis","non-dropping-particle":"","parse-names":false,"suffix":""},{"dropping-particle":"","family":"Staurenghi","given":"Giovanni","non-dropping-particle":"","parse-names":false,"suffix":""},{"dropping-particle":"","family":"Cervantes-Coste Cervantes","given":"Guadalupe","non-dropping-particle":"","parse-names":false,"suffix":""},{"dropping-particle":"","family":"Alpern","given":"Louis","non-dropping-particle":"","parse-names":false,"suffix":""},{"dropping-particle":"","family":"Modi","given":"Satish","non-dropping-particle":"","parse-names":false,"suffix":""},{"dropping-particle":"","family":"Svoboda","given":"Liza","non-dropping-particle":"","parse-names":false,"suffix":""},{"dropping-particle":"","family":"Adewale","given":"Adeniyi","non-dropping-particle":"","parse-names":false,"suffix":""},{"dropping-particle":"","family":"Jaffe","given":"Glenn J.","non-dropping-particle":"","parse-names":false,"suffix":""},{"dropping-particle":"","family":"Aharony","given":"Israel","non-dropping-particle":"","parse-names":false,"suffix":""},{"dropping-particle":"","family":"Michowiz","given":"Shalom","non-dropping-particle":"","parse-names":false,"suffix":""},{"dropping-particle":"","family":"Goldenberg-Cohen","given":"Nitza","non-dropping-particle":"","parse-names":false,"suffix":""},{"dropping-particle":"","family":"Santhanam","given":"Abirami","non-dropping-particle":"","parse-names":false,"suffix":""},{"dropping-particle":"","family":"Marino","given":"Gustavo K","non-dropping-particle":"","parse-names":false,"suffix":""},{"dropping-particle":"","family":"Torricelli","given":"Andre A M","non-dropping-particle":"","parse-names":false,"suffix":""},{"dropping-particle":"","family":"Wilson","given":"Samuel E Steven E","non-dropping-particle":"","parse-names":false,"suffix":""},{"dropping-particle":"","family":"Kaneko","given":"Hironori","non-dropping-particle":"","parse-names":false,"suffix":""},{"dropping-particle":"","family":"Otsuka","given":"Yuichiro","non-dropping-particle":"","parse-names":false,"suffix":""},{"dropping-particle":"","family":"Kubota","given":"Yoshihisa","non-dropping-particle":"","parse-names":false,"suffix":""},{"dropping-particle":"","family":"Wakabayashi","given":"Go","non-dropping-particle":"","parse-names":false,"suffix":""},{"dropping-particle":"","family":"Zuger","given":"Abigail","non-dropping-particle":"","parse-names":false,"suffix":""},{"dropping-particle":"","family":"Nehra","given":"Poonam","non-dropping-particle":"","parse-names":false,"suffix":""},{"dropping-particle":"","family":"Oza","given":"Vrinda","non-dropping-particle":"","parse-names":false,"suffix":""},{"dropping-particle":"","family":"Parmar","given":"Vandana","non-dropping-particle":"","parse-names":false,"suffix":""},{"dropping-particle":"","family":"Fumakiya","given":"Pooja","non-dropping-particle":"","parse-names":false,"suffix":""},{"dropping-particle":"","family":"Madsen","given":"T","non-dropping-particle":"","parse-names":false,"suffix":""},{"dropping-particle":"","family":"Bojang","given":"Ebrima","non-dropping-particle":"","parse-names":false,"suffix":""},{"dropping-particle":"","family":"Jafali","given":"James","non-dropping-particle":"","parse-names":false,"suffix":""},{"dropping-particle":"","family":"Perreten","given":"Vincent","non-dropping-particle":"","parse-names":false,"suffix":""},{"dropping-particle":"","family":"Hart","given":"John","non-dropping-particle":"","parse-names":false,"suffix":""},{"dropping-particle":"","family":"Harding-Esch","given":"Emma M.","non-dropping-particle":"","parse-names":false,"suffix":""},{"dropping-particle":"","family":"Sillah","given":"Ansumana","non-dropping-particle":"","parse-names":false,"suffix":""},{"dropping-particle":"","family":"Mabey","given":"David C. W.","non-dropping-particle":"","parse-names":false,"suffix":""},{"dropping-particle":"","family":"Holland","given":"Martin J.","non-dropping-particle":"","parse-names":false,"suffix":""},{"dropping-particle":"","family":"Bailey","given":"Robin L.","non-dropping-particle":"","parse-names":false,"suffix":""},{"dropping-particle":"","family":"Roca","given":"Anna","non-dropping-particle":"","parse-names":false,"suffix":""},{"dropping-particle":"","family":"Burr","given":"Sarah E.","non-dropping-particle":"","parse-names":false,"suffix":""},{"dropping-particle":"","family":"Lee","given":"Ji Hwan","non-dropping-particle":"","parse-names":false,"suffix":""},{"dropping-particle":"","family":"Chung","given":"Byunghoon","non-dropping-particle":"","parse-names":false,"suffix":""},{"dropping-particle":"","family":"Lee","given":"Sung Chul Seong Ae","non-dropping-particle":"","parse-names":false,"suffix":""},{"dropping-particle":"","family":"Kim","given":"Sung Soo","non-dropping-particle":"","parse-names":false,"suffix":""},{"dropping-particle":"","family":"Koh","given":"Hyoung Jun","non-dropping-particle":"","parse-names":false,"suffix":""},{"dropping-particle":"","family":"Lee","given":"Cecilia S Christopher Seungkyu","non-dropping-particle":"","parse-names":false,"suffix":""},{"dropping-particle":"","family":"Zhang","given":"Bingyu","non-dropping-particle":"","parse-names":false,"suffix":""},{"dropping-particle":"","family":"Chen","given":"Yang","non-dropping-particle":"","parse-names":false,"suffix":""},{"dropping-particle":"","family":"Qiu","given":"Meiyuan","non-dropping-particle":"","parse-names":false,"suffix":""},{"dropping-particle":"","family":"Ding","given":"Zhixiang","non-dropping-particle":"","parse-names":false,"suffix":""},{"dropping-particle":"","family":"Ali","given":"Alaa A","non-dropping-particle":"","parse-names":false,"suffix":""},{"dropping-particle":"","family":"El-Sersy","given":"TamerH","non-dropping-particle":"","parse-names":false,"suffix":""},{"dropping-particle":"","family":"Ali","given":"Mohamed A","non-dropping-particle":"","parse-names":false,"suffix":""},{"dropping-particle":"","family":"Abdelhalim","given":"Ahmed Shawkat","non-dropping-particle":"","parse-names":false,"suffix":""},{"dropping-particle":"","family":"IsHak","given":"Waguih William","non-dropping-particle":"","parse-names":false,"suffix":""},{"dropping-particle":"","family":"Lederer","given":"Sara","non-dropping-particle":"","parse-names":false,"suffix":""},{"dropping-particle":"","family":"Mandili","given":"Carla","non-dropping-particle":"","parse-names":false,"suffix":""},{"dropping-particle":"","family":"Nikravesh","given":"Rose","non-dropping-particle":"","parse-names":false,"suffix":""},{"dropping-particle":"","family":"Seligman","given":"Laurie","non-dropping-particle":"","parse-names":false,"suffix":""},{"dropping-particle":"","family":"Vasa","given":"Monisha","non-dropping-particle":"","parse-names":false,"suffix":""},{"dropping-particle":"","family":"Ogunyemi","given":"Dotun","non-dropping-particle":"","parse-names":false,"suffix":""},{"dropping-particle":"","family":"Bernstein","given":"Carol A.","non-dropping-particle":"","parse-names":false,"suffix":""},{"dropping-particle":"","family":"Abdellatif","given":"Mona K","non-dropping-particle":"","parse-names":false,"suffix":""},{"dropping-particle":"","family":"Frimmel","given":"Sonja","non-dropping-particle":"","parse-names":false,"suffix":""},{"dropping-particle":"","family":"Zandi","given":"Souska","non-dropping-particle":"","parse-names":false,"suffix":""},{"dropping-particle":"","family":"Sun","given":"Dawei","non-dropping-particle":"","parse-names":false,"suffix":""},{"dropping-particle":"","family":"Zhang","given":"Zhongyu","non-dropping-particle":"","parse-names":false,"suffix":""},{"dropping-particle":"","family":"West","given":"Colin P.","non-dropping-particle":"","parse-names":false,"suffix":""},{"dropping-particle":"","family":"Tan","given":"Angelina D","non-dropping-particle":"","parse-names":false,"suffix":""},{"dropping-particle":"","family":"Habermann","given":"Thomas M","non-dropping-particle":"","parse-names":false,"suffix":""},{"dropping-particle":"","family":"Sloan","given":"Jeff A.","non-dropping-particle":"","parse-names":false,"suffix":""},{"dropping-particle":"","family":"Shanafelt","given":"Tait D.","non-dropping-particle":"","parse-names":false,"suffix":""},{"dropping-particle":"","family":"Chen","given":"XiangWu Xuejing Xuling Xinyi","non-dropping-particle":"","parse-names":false,"suffix":""},{"dropping-particle":"","family":"Chen","given":"Kailin Kexin","non-dropping-particle":"","parse-names":false,"suffix":""},{"dropping-particle":"","family":"He","given":"Jiliang","non-dropping-particle":"","parse-names":false,"suffix":""},{"dropping-particle":"","family":"Yao","given":"Ke","non-dropping-particle":"","parse-names":false,"suffix":""},{"dropping-particle":"","family":"Silva-Miranda","given":"Mayra","non-dropping-particle":"","parse-names":false,"suffix":""},{"dropping-particle":"","family":"Arce-Paredes","given":"Patricia","non-dropping-particle":"","parse-names":false,"suffix":""},{"dropping-particle":"","family":"Rojas-Espinosa","given":"Oscar","non-dropping-particle":"","parse-names":false,"suffix":""},{"dropping-particle":"","family":"Park","given":"Chanmin","non-dropping-particle":"","parse-names":false,"suffix":""},{"dropping-particle":"","family":"Lee","given":"Yeon Jung","non-dropping-particle":"","parse-names":false,"suffix":""},{"dropping-particle":"","family":"Hong","given":"Minha","non-dropping-particle":"","parse-names":false,"suffix":""},{"dropping-particle":"","family":"Jung","given":"Chul Ho","non-dropping-particle":"","parse-names":false,"suffix":""},{"dropping-particle":"","family":"Synn","given":"Yeni","non-dropping-particle":"","parse-names":false,"suffix":""},{"dropping-particle":"","family":"Kwack","given":"Young Sook","non-dropping-particle":"","parse-names":false,"suffix":""},{"dropping-particle":"","family":"Ryu","given":"Jae Sung","non-dropping-particle":"","parse-names":false,"suffix":""},{"dropping-particle":"","family":"Park","given":"Tae Won","non-dropping-particle":"","parse-names":false,"suffix":""},{"dropping-particle":"","family":"Lee","given":"Sung Chul Seong Ae","non-dropping-particle":"","parse-names":false,"suffix":""},{"dropping-particle":"","family":"Bahn","given":"Geon Ho","non-dropping-particle":"","parse-names":false,"suffix":""},{"dropping-particle":"","family":"Chawla","given":"Bhavna","non-dropping-particle":"","parse-names":false,"suffix":""},{"dropping-particle":"","family":"Singh","given":"Rishi P. Rashmi","non-dropping-particle":"","parse-names":false,"suffix":""},{"dropping-particle":"El","family":"Sawy","given":"Ali M","non-dropping-particle":"","parse-names":false,"suffix":""},{"dropping-particle":"","family":"Hamdi","given":"Momen M","non-dropping-particle":"","parse-names":false,"suffix":""},{"dropping-particle":"","family":"Elwan","given":"Sherif S","non-dropping-particle":"","parse-names":false,"suffix":""},{"dropping-particle":"","family":"Abdalla","given":"Tarek M","non-dropping-particle":"","parse-names":false,"suffix":""},{"dropping-particle":"","family":"Elmahdy","given":"Ahmed G","non-dropping-particle":"","parse-names":false,"suffix":""},{"dropping-particle":"","family":"Such","given":"Statistics","non-dropping-particle":"","parse-names":false,"suffix":""},{"dropping-particle":"","family":"Subject","given":"Difficult","non-dropping-particle":"","parse-names":false,"suffix":""},{"dropping-particle":"","family":"Shanafelt","given":"Tait D.","non-dropping-particle":"","parse-names":false,"suffix":""},{"dropping-particle":"","family":"Boone","given":"Sonja","non-dropping-particle":"","parse-names":false,"suffix":""},{"dropping-particle":"","family":"Tan","given":"Litjen","non-dropping-particle":"","parse-names":false,"suffix":""},{"dropping-particle":"","family":"Dyrbye","given":"Lotte N. Liselotte N.","non-dropping-particle":"","parse-names":false,"suffix":""},{"dropping-particle":"","family":"Sotile","given":"Wayne","non-dropping-particle":"","parse-names":false,"suffix":""},{"dropping-particle":"V.","family":"Satele","given":"Daniel","non-dropping-particle":"","parse-names":false,"suffix":""},{"dropping-particle":"","family":"West","given":"Colin P.","non-dropping-particle":"","parse-names":false,"suffix":""},{"dropping-particle":"","family":"Sloan","given":"Jeff A.","non-dropping-particle":"","parse-names":false,"suffix":""},{"dropping-particle":"","family":"Oreskovich","given":"Michael R.","non-dropping-particle":"","parse-names":false,"suffix":""},{"dropping-particle":"","family":"Li","given":"Songfeng Shou-Ling","non-dropping-particle":"","parse-names":false,"suffix":""},{"dropping-particle":"","family":"Deng","given":"Guangda","non-dropping-particle":"","parse-names":false,"suffix":""},{"dropping-particle":"","family":"Liu","given":"Jia Jinghua","non-dropping-particle":"","parse-names":false,"suffix":""},{"dropping-particle":"","family":"Ma","given":"Yan","non-dropping-particle":"","parse-names":false,"suffix":""},{"dropping-particle":"","family":"Lu","given":"Hai","non-dropping-particle":"","parse-names":false,"suffix":""},{"dropping-particle":"","family":"Bolstad","given":"William M","non-dropping-particle":"","parse-names":false,"suffix":""},{"dropping-particle":"","family":"Zhang","given":"Shaowei","non-dropping-particle":"","parse-names":false,"suffix":""},{"dropping-particle":"","family":"Xu","given":"Haipeng","non-dropping-particle":"","parse-names":false,"suffix":""},{"dropping-particle":"","family":"Zheng","given":"Ke","non-dropping-particle":"","parse-names":false,"suffix":""},{"dropping-particle":"","family":"Zhao","given":"Jing","non-dropping-particle":"","parse-names":false,"suffix":""},{"dropping-particle":"","family":"Jian","given":"Weijun","non-dropping-particle":"","parse-names":false,"suffix":""},{"dropping-particle":"","family":"Li","given":"Miaoling Meiyan","non-dropping-particle":"","parse-names":false,"suffix":""},{"dropping-particle":"","family":"Zhou","given":"Xingtao","non-dropping-particle":"","parse-names":false,"suffix":""},{"dropping-particle":"","family":"Olitsky","given":"Scott E.","non-dropping-particle":"","parse-names":false,"suffix":""},{"dropping-particle":"","family":"Sudesh","given":"Sudha","non-dropping-particle":"","parse-names":false,"suffix":""},{"dropping-particle":"","family":"Graziano","given":"Anthony","non-dropping-particle":"","parse-names":false,"suffix":""},{"dropping-particle":"","family":"Hamblen","given":"Jessica","non-dropping-particle":"","parse-names":false,"suffix":""},{"dropping-particle":"","family":"Brooks","given":"Steven E.","non-dropping-particle":"","parse-names":false,"suffix":""},{"dropping-particle":"","family":"Shaha","given":"Steven H.","non-dropping-particle":"","parse-names":false,"suffix":""},{"dropping-particle":"","family":"Waizel","given":"Maria","non-dropping-particle":"","parse-names":false,"suffix":""},{"dropping-particle":"","family":"Todorova","given":"Margarita G.","non-dropping-particle":"","parse-names":false,"suffix":""},{"dropping-particle":"","family":"Masyk","given":"Michael","non-dropping-particle":"","parse-names":false,"suffix":""},{"dropping-particle":"","family":"Wolf","given":"Katharina","non-dropping-particle":"","parse-names":false,"suffix":""},{"dropping-particle":"","family":"Rickmann","given":"Annekatrin","non-dropping-particle":"","parse-names":false,"suffix":""},{"dropping-particle":"","family":"Helaiwa","given":"Khaled","non-dropping-particle":"","parse-names":false,"suffix":""},{"dropping-particle":"","family":"Blanke","given":"Björn R.","non-dropping-particle":"","parse-names":false,"suffix":""},{"dropping-particle":"","family":"Szurman","given":"Peter","non-dropping-particle":"","parse-names":false,"suffix":""},{"dropping-particle":"","family":"Rosdahl","given":"Jullia","non-dropping-particle":"","parse-names":false,"suffix":""},{"dropping-particle":"","family":"Goldhagen","given":"Brian","non-dropping-particle":"","parse-names":false,"suffix":""},{"dropping-particle":"","family":"Kingsolver","given":"Karen","non-dropping-particle":"","parse-names":false,"suffix":""},{"dropping-particle":"","family":"Stinnett","given":"Sandra","non-dropping-particle":"","parse-names":false,"suffix":""},{"dropping-particle":"","family":"Jung","given":"Jae Hyun","non-dropping-particle":"","parse-names":false,"suffix":""},{"dropping-particle":"","family":"Song","given":"Gwan Gyu","non-dropping-particle":"","parse-names":false,"suffix":""},{"dropping-particle":"","family":"Kim","given":"Jae-Hoon Jaeryung Hyoung","non-dropping-particle":"","parse-names":false,"suffix":""},{"dropping-particle":"","family":"Seo","given":"Young Ho","non-dropping-particle":"","parse-names":false,"suffix":""},{"dropping-particle":"","family":"Choi","given":"Sung Jae","non-dropping-particle":"","parse-names":false,"suffix":""},{"dropping-particle":"","family":"Takesue","given":"Yoshio","non-dropping-particle":"","parse-names":false,"suffix":""},{"dropping-particle":"","family":"Tsuchida","given":"Toshie","non-dropping-particle":"","parse-names":false,"suffix":""},{"dropping-particle":"","family":"Balch","given":"Charles M.","non-dropping-particle":"","parse-names":false,"suffix":""},{"dropping-particle":"V","family":"Gelfand","given":"Dmitri","non-dropping-particle":"","parse-names":false,"suffix":""},{"dropping-particle":"","family":"Podnos","given":"Yale D","non-dropping-particle":"","parse-names":false,"suffix":""},{"dropping-particle":"","family":"Carmichael","given":"Joseph C","non-dropping-particle":"","parse-names":false,"suffix":""},{"dropping-particle":"","family":"Saltzman","given":"Darin J","non-dropping-particle":"","parse-names":false,"suffix":""},{"dropping-particle":"","family":"Wilson","given":"Samuel E Steven E","non-dropping-particle":"","parse-names":false,"suffix":""},{"dropping-particle":"","family":"Williams","given":"Russell a","non-dropping-particle":"","parse-names":false,"suffix":""},{"dropping-particle":"","family":"Habiba","given":"Ume","non-dropping-particle":"","parse-names":false,"suffix":""},{"dropping-particle":"","family":"Ormsby","given":"Gail M","non-dropping-particle":"","parse-names":false,"suffix":""},{"dropping-particle":"","family":"Butt","given":"Zahid Ahmad","non-dropping-particle":"","parse-names":false,"suffix":""},{"dropping-particle":"","family":"Afghani","given":"Tayyab","non-dropping-particle":"","parse-names":false,"suffix":""},{"dropping-particle":"","family":"Asif","given":"Muhammad","non-dropping-particle":"","parse-names":false,"suffix":""},{"dropping-particle":"","family":"Article","given":"Review","non-dropping-particle":"","parse-names":false,"suffix":""},{"dropping-particle":"","family":"Terkawi","given":"AbdullahSulieman","non-dropping-particle":"","parse-names":false,"suffix":""},{"dropping-particle":"","family":"Tsang","given":"Siny","non-dropping-particle":"","parse-names":false,"suffix":""},{"dropping-particle":"","family":"Abolkhair","given":"Abdullah","non-dropping-particle":"","parse-names":false,"suffix":""},{"dropping-particle":"","family":"Alsharif","given":"Mohammed","non-dropping-particle":"","parse-names":false,"suffix":""},{"dropping-particle":"","family":"Alswiti","given":"Mousa","non-dropping-particle":"","parse-names":false,"suffix":""},{"dropping-particle":"","family":"Alsadoun","given":"Adwa","non-dropping-particle":"","parse-names":false,"suffix":""},{"dropping-particle":"","family":"AlZoraigi","given":"UsamaSaleh","non-dropping-particle":"","parse-names":false,"suffix":""},{"dropping-particle":"","family":"Aldhahri","given":"SalehF","non-dropping-particle":"","parse-names":false,"suffix":""},{"dropping-particle":"","family":"Al-Zhahrani","given":"Tariq","non-dropping-particle":"","parse-names":false,"suffix":""},{"dropping-particle":"","family":"Altirkawi","given":"KhaildAli","non-dropping-particle":"","parse-names":false,"suffix":""},{"dropping-particle":"","family":"Schuemie","given":"Martijn J.","non-dropping-particle":"","parse-names":false,"suffix":""},{"dropping-particle":"","family":"Ryan","given":"Patrick B.","non-dropping-particle":"","parse-names":false,"suffix":""},{"dropping-particle":"","family":"Dumouchel","given":"William","non-dropping-particle":"","parse-names":false,"suffix":""},{"dropping-particle":"","family":"Suchard","given":"Marc A.","non-dropping-particle":"","parse-names":false,"suffix":""},{"dropping-particle":"","family":"Madigan","given":"David","non-dropping-particle":"","parse-names":false,"suffix":""},{"dropping-particle":"","family":"Dyrbye","given":"Lotte N. Liselotte N.","non-dropping-particle":"","parse-names":false,"suffix":""},{"dropping-particle":"","family":"Freischlag","given":"Julie","non-dropping-particle":"","parse-names":false,"suffix":""},{"dropping-particle":"","family":"Kaups","given":"Krista L.","non-dropping-particle":"","parse-names":false,"suffix":""},{"dropping-particle":"","family":"Oreskovich","given":"Michael R.","non-dropping-particle":"","parse-names":false,"suffix":""},{"dropping-particle":"V.","family":"Satele","given":"Daniel","non-dropping-particle":"","parse-names":false,"suffix":""},{"dropping-particle":"","family":"Hanks","given":"John B.","non-dropping-particle":"","parse-names":false,"suffix":""},{"dropping-particle":"","family":"Sloan","given":"Jeff A.","non-dropping-particle":"","parse-names":false,"suffix":""},{"dropping-particle":"","family":"Balch","given":"Charles M.","non-dropping-particle":"","parse-names":false,"suffix":""},{"dropping-particle":"","family":"Shanafelt","given":"Tait D.","non-dropping-particle":"","parse-names":false,"suffix":""},{"dropping-particle":"","family":"García-Pérez","given":"Jorge L.","non-dropping-particle":"","parse-names":false,"suffix":""},{"dropping-particle":"","family":"Gros-Otero","given":"Juan","non-dropping-particle":"","parse-names":false,"suffix":""},{"dropping-particle":"","family":"Sánchez-Ramos","given":"Celia","non-dropping-particle":"","parse-names":false,"suffix":""},{"dropping-particle":"","family":"Blázquez","given":"Vanesa","non-dropping-particle":"","parse-names":false,"suffix":""},{"dropping-particle":"","family":"Contreras","given":"Inés","non-dropping-particle":"","parse-names":false,"suffix":""},{"dropping-particle":"","family":"Kim","given":"Jae-Hoon Jaeryung Hyoung","non-dropping-particle":"","parse-names":false,"suffix":""},{"dropping-particle":"","family":"Hwang","given":"Jeong-Min","non-dropping-particle":"","parse-names":false,"suffix":""},{"dropping-particle":"","family":"Chen","given":"XiangWu Xuejing Xuling Xinyi","non-dropping-particle":"","parse-names":false,"suffix":""},{"dropping-particle":"","family":"Meng","given":"Ying","non-dropping-particle":"","parse-names":false,"suffix":""},{"dropping-particle":"","family":"Li","given":"Jun Jianping","non-dropping-particle":"","parse-names":false,"suffix":""},{"dropping-particle":"","family":"She","given":"Hiacheng","non-dropping-particle":"","parse-names":false,"suffix":""},{"dropping-particle":"","family":"Zhao","given":"Liang","non-dropping-particle":"","parse-names":false,"suffix":""},{"dropping-particle":"","family":"Zhang","given":"Jing","non-dropping-particle":"","parse-names":false,"suffix":""},{"dropping-particle":"","family":"Peng","given":"Yuting Yuan","non-dropping-particle":"","parse-names":false,"suffix":""},{"dropping-particle":"","family":"Shang","given":"Kun","non-dropping-particle":"","parse-names":false,"suffix":""},{"dropping-particle":"","family":"Zhang","given":"Yong Yadi Yan Yimin","non-dropping-particle":"","parse-names":false,"suffix":""},{"dropping-particle":"","family":"Gu","given":"Xiaopeng","non-dropping-particle":"","parse-names":false,"suffix":""},{"dropping-particle":"","family":"Yang","given":"Wenbin","non-dropping-particle":"","parse-names":false,"suffix":""},{"dropping-particle":"","family":"Zhang","given":"Yong Yadi Yan Yimin","non-dropping-particle":"","parse-names":false,"suffix":""},{"dropping-particle":"","family":"Li","given":"Jun Jianping","non-dropping-particle":"","parse-names":false,"suffix":""},{"dropping-particle":"","family":"Qin","given":"Xianhui","non-dropping-particle":"","parse-names":false,"suffix":""},{"dropping-particle":"","family":"Wang","given":"Binyan","non-dropping-particle":"","parse-names":false,"suffix":""},{"dropping-particle":"","family":"Xu","given":"Xiping","non-dropping-particle":"","parse-names":false,"suffix":""},{"dropping-particle":"","family":"Hou","given":"Fanfan","non-dropping-particle":"","parse-names":false,"suffix":""},{"dropping-particle":"","family":"Tang","given":"Genfu","non-dropping-particle":"","parse-names":false,"suffix":""},{"dropping-particle":"","family":"Liao","given":"Rongfeng","non-dropping-particle":"","parse-names":false,"suffix":""},{"dropping-particle":"","family":"Huo","given":"Yong","non-dropping-particle":"","parse-names":false,"suffix":""},{"dropping-particle":"","family":"Yang","given":"Liu","non-dropping-particle":"","parse-names":false,"suffix":""},{"dropping-particle":"","family":"Chang","given":"Ji Woong","non-dropping-particle":"","parse-names":false,"suffix":""},{"dropping-particle":"","family":"Frings","given":"Andreas","non-dropping-particle":"","parse-names":false,"suffix":""},{"dropping-particle":"","family":"Richard","given":"Gisbert","non-dropping-particle":"","parse-names":false,"suffix":""},{"dropping-particle":"","family":"Steinberg","given":"Johannes","non-dropping-particle":"","parse-names":false,"suffix":""},{"dropping-particle":"","family":"Druchkiv","given":"Vasyl","non-dropping-particle":"","parse-names":false,"suffix":""},{"dropping-particle":"","family":"Linke","given":"Stephan Johannes","non-dropping-particle":"","parse-names":false,"suffix":""},{"dropping-particle":"","family":"Katz","given":"Toam","non-dropping-particle":"","parse-names":false,"suffix":""},{"dropping-particle":"","family":"Mendoza-Mendieta","given":"María Elena","non-dropping-particle":"","parse-names":false,"suffix":""},{"dropping-particle":"","family":"Lorenzo-Mejía","given":"Ana Aurora","non-dropping-particle":"","parse-names":false,"suffix":""},{"dropping-particle":"","family":"Gumus","given":"Koray","non-dropping-particle":"","parse-names":false,"suffix":""},{"dropping-particle":"","family":"Schuetzle","given":"Karri L.","non-dropping-particle":"","parse-names":false,"suffix":""},{"dropping-particle":"","family":"Pflugfelder","given":"Stephen C.","non-dropping-particle":"","parse-names":false,"suffix":""},{"dropping-particle":"","family":"Donahue","given":"Sean P.","non-dropping-particle":"","parse-names":false,"suffix":""},{"dropping-particle":"","family":"Arnold","given":"Robert W.","non-dropping-particle":"","parse-names":false,"suffix":""},{"dropping-particle":"","family":"Ruben","given":"James B.","non-dropping-particle":"","parse-names":false,"suffix":""},{"dropping-particle":"","family":"Yang","given":"Jee Myung","non-dropping-particle":"","parse-names":false,"suffix":""},{"dropping-particle":"","family":"Park","given":"Sang Woo","non-dropping-particle":"","parse-names":false,"suffix":""},{"dropping-particle":"","family":"Ji","given":"Yong Sok","non-dropping-particle":"","parse-names":false,"suffix":""},{"dropping-particle":"","family":"Kim","given":"Jae-Hoon Jaeryung Hyoung","non-dropping-particle":"","parse-names":false,"suffix":""},{"dropping-particle":"","family":"Yoo","given":"Chungkwon","non-dropping-particle":"","parse-names":false,"suffix":""},{"dropping-particle":"","family":"Heo","given":"Hwan","non-dropping-particle":"","parse-names":false,"suffix":""},{"dropping-particle":"","family":"Press","given":"Dove","non-dropping-particle":"","parse-names":false,"suffix":""},{"dropping-particle":"","family":"Bremond-Gignac","given":"Dominique","non-dropping-particle":"","parse-names":false,"suffix":""},{"dropping-particle":"","family":"Messaoud","given":"Riadh","non-dropping-particle":"","parse-names":false,"suffix":""},{"dropping-particle":"","family":"Lazreg","given":"Sihem","non-dropping-particle":"","parse-names":false,"suffix":""},{"dropping-particle":"","family":"Speeg-Schatz","given":"Claude","non-dropping-particle":"","parse-names":false,"suffix":""},{"dropping-particle":"","family":"Renault","given":"Didier","non-dropping-particle":"","parse-names":false,"suffix":""},{"dropping-particle":"","family":"Chiambaretta","given":"Fr??d??ric","non-dropping-particle":"","parse-names":false,"suffix":""},{"dropping-particle":"","family":"Harrtani","given":"A.","non-dropping-particle":"","parse-names":false,"suffix":""},{"dropping-particle":"","family":"Kaercher","given":"T.","non-dropping-particle":"","parse-names":false,"suffix":""},{"dropping-particle":"","family":"Khairallah","given":"M.","non-dropping-particle":"","parse-names":false,"suffix":""},{"dropping-particle":"","family":"Kocyla","given":"B.","non-dropping-particle":"","parse-names":false,"suffix":""},{"dropping-particle":"","family":"Lorenz","given":"B.","non-dropping-particle":"","parse-names":false,"suffix":""},{"dropping-particle":"","family":"Mortemousque","given":"B.","non-dropping-particle":"","parse-names":false,"suffix":""},{"dropping-particle":"","family":"Murta","given":"J.","non-dropping-particle":"","parse-names":false,"suffix":""},{"dropping-particle":"","family":"Nezzar","given":"H.","non-dropping-particle":"","parse-names":false,"suffix":""},{"dropping-particle":"","family":"Nucci","given":"P.","non-dropping-particle":"","parse-names":false,"suffix":""},{"dropping-particle":"","family":"Salgado-Borges","given":"J.","non-dropping-particle":"","parse-names":false,"suffix":""},{"dropping-particle":"","family":"Tataru","given":"C.","non-dropping-particle":"","parse-names":false,"suffix":""},{"dropping-particle":"","family":"Tatineanu","given":"M.","non-dropping-particle":"","parse-names":false,"suffix":""},{"dropping-particle":"","family":"Voinea","given":"L.","non-dropping-particle":"","parse-names":false,"suffix":""},{"dropping-particle":"","family":"Press","given":"Dove","non-dropping-particle":"","parse-names":false,"suffix":""},{"dropping-particle":"","family":"Brodie","given":"Frank L","non-dropping-particle":"","parse-names":false,"suffix":""},{"dropping-particle":"","family":"Ramirez","given":"David A","non-dropping-particle":"","parse-names":false,"suffix":""},{"dropping-particle":"","family":"Pandian","given":"Sundar","non-dropping-particle":"","parse-names":false,"suffix":""},{"dropping-particle":"De","family":"Juan","given":"Eugene","non-dropping-particle":"","parse-names":false,"suffix":""},{"dropping-particle":"","family":"Epitropoulos","given":"Alice","non-dropping-particle":"","parse-names":false,"suffix":""},{"dropping-particle":"","family":"Watson","given":"P G","non-dropping-particle":"","parse-names":false,"suffix":""},{"dropping-particle":"","family":"Nolfi","given":"Jerry","non-dropping-particle":"","parse-names":false,"suffix":""},{"dropping-particle":"","family":"Press","given":"Dove","non-dropping-particle":"","parse-names":false,"suffix":""},{"dropping-particle":"","family":"Davison","given":"James A","non-dropping-particle":"","parse-names":false,"suffix":""},{"dropping-particle":"","family":"Potvin","given":"Rick Richard","non-dropping-particle":"","parse-names":false,"suffix":""},{"dropping-particle":"","family":"Su","given":"Grace L","non-dropping-particle":"","parse-names":false,"suffix":""},{"dropping-particle":"","family":"Baughman","given":"Douglas M","non-dropping-particle":"","parse-names":false,"suffix":""},{"dropping-particle":"","family":"Lee","given":"Aaron Y","non-dropping-particle":"","parse-names":false,"suffix":""},{"dropping-particle":"","family":"Lee","given":"Cecilia S Christopher Seungkyu","non-dropping-particle":"","parse-names":false,"suffix":""},{"dropping-particle":"","family":"Pastor-idoate","given":"Salvador","non-dropping-particle":"","parse-names":false,"suffix":""},{"dropping-particle":"","family":"Rodríguez-","given":"Irene","non-dropping-particle":"","parse-names":false,"suffix":""},{"dropping-particle":"","family":"Rojas","given":"Jimena","non-dropping-particle":"","parse-names":false,"suffix":""},{"dropping-particle":"","family":"Delgado-tirado","given":"Santiago","non-dropping-particle":"","parse-names":false,"suffix":""},{"dropping-particle":"","family":"López","given":"Jose Carlos","non-dropping-particle":"","parse-names":false,"suffix":""},{"dropping-particle":"","family":"Gab-Alla","given":"Amr A.","non-dropping-particle":"","parse-names":false,"suffix":""},{"dropping-particle":"","family":"Shirakawa","given":"Rika","non-dropping-particle":"","parse-names":false,"suffix":""},{"dropping-particle":"","family":"Stroman","given":"David","non-dropping-particle":"","parse-names":false,"suffix":""},{"dropping-particle":"","family":"Mintun","given":"Keri","non-dropping-particle":"","parse-names":false,"suffix":""},{"dropping-particle":"","family":"Epstein","given":"Arthur","non-dropping-particle":"","parse-names":false,"suffix":""},{"dropping-particle":"","family":"Brimer","given":"Crystal","non-dropping-particle":"","parse-names":false,"suffix":""},{"dropping-particle":"","family":"Patel","given":"Chirag","non-dropping-particle":"","parse-names":false,"suffix":""},{"dropping-particle":"","family":"Branch","given":"James","non-dropping-particle":"","parse-names":false,"suffix":""},{"dropping-particle":"","family":"Najafi-Tagol","given":"Kathryn","non-dropping-particle":"","parse-names":false,"suffix":""},{"dropping-particle":"","family":"Wagenfeld","given":"Lars","non-dropping-particle":"","parse-names":false,"suffix":""},{"dropping-particle":"","family":"Hermsdorf","given":"Kristin","non-dropping-particle":"","parse-names":false,"suffix":""},{"dropping-particle":"","family":"Press","given":"Dove","non-dropping-particle":"","parse-names":false,"suffix":""},{"dropping-particle":"","family":"Cotrim","given":"Carina Costa","non-dropping-particle":"","parse-names":false,"suffix":""},{"dropping-particle":"","family":"Jorge","given":"Rodrigo","non-dropping-particle":"","parse-names":false,"suffix":""},{"dropping-particle":"","family":"Press","given":"Dove","non-dropping-particle":"","parse-names":false,"suffix":""},{"dropping-particle":"","family":"Wong","given":"E","non-dropping-particle":"","parse-names":false,"suffix":""},{"dropping-particle":"","family":"Morgan","given":"W","non-dropping-particle":"","parse-names":false,"suffix":""},{"dropping-particle":"","family":"Chen","given":"F","non-dropping-particle":"","parse-names":false,"suffix":""},{"dropping-particle":"","family":"Flinn","given":"Nicholas A P","non-dropping-particle":"","parse-names":false,"suffix":""},{"dropping-particle":"","family":"Nitta","given":"Koji","non-dropping-particle":"","parse-names":false,"suffix":""},{"dropping-particle":"","family":"Sugiyama","given":"Kazuhisa","non-dropping-particle":"","parse-names":false,"suffix":""},{"dropping-particle":"","family":"Wajima","given":"Ryotaro","non-dropping-particle":"","parse-names":false,"suffix":""},{"dropping-particle":"","family":"Tachibana","given":"Gaku","non-dropping-particle":"","parse-names":false,"suffix":""},{"dropping-particle":"","family":"Walker","given":"Thomas M","non-dropping-particle":"","parse-names":false,"suffix":""},{"dropping-particle":"","family":"Sager","given":"Dana","non-dropping-particle":"","parse-names":false,"suffix":""},{"dropping-particle":"","family":"Lehmann","given":"Robert","non-dropping-particle":"","parse-names":false,"suffix":""},{"dropping-particle":"","family":"Saedon","given":"Habiba","non-dropping-particle":"","parse-names":false,"suffix":""},{"dropping-particle":"","family":"Anand","given":"Astha","non-dropping-particle":"","parse-names":false,"suffix":""},{"dropping-particle":"","family":"Yang","given":"Yit C.","non-dropping-particle":"","parse-names":false,"suffix":""},{"dropping-particle":"","family":"Tai","given":"E. Shyong","non-dropping-particle":"","parse-names":false,"suffix":""},{"dropping-particle":"","family":"Irfan","given":"Muhammad","non-dropping-particle":"","parse-names":false,"suffix":""},{"dropping-particle":"","family":"Groß","given":"Dorothea","non-dropping-particle":"","parse-names":false,"suffix":""},{"dropping-particle":"","family":"Childs","given":"Marc","non-dropping-particle":"","parse-names":false,"suffix":""},{"dropping-particle":"","family":"Piaton","given":"Jean-marie","non-dropping-particle":"","parse-names":false,"suffix":""},{"dropping-particle":"","family":"Cullen","given":"James F","non-dropping-particle":"","parse-names":false,"suffix":""},{"dropping-particle":"","family":"Sood","given":"Devindra","non-dropping-particle":"","parse-names":false,"suffix":""},{"dropping-particle":"","family":"Pandey","given":"Alka","non-dropping-particle":"","parse-names":false,"suffix":""},{"dropping-particle":"","family":"Sood","given":"Rajeev","non-dropping-particle":"","parse-names":false,"suffix":""},{"dropping-particle":"","family":"Gupta","given":"Nagesh","non-dropping-particle":"","parse-names":false,"suffix":""},{"dropping-particle":"","family":"Sardana","given":"Rohit","non-dropping-particle":"","parse-names":false,"suffix":""},{"dropping-particle":"","family":"Bajaj","given":"Ravinder Kumar","non-dropping-particle":"","parse-names":false,"suffix":""},{"dropping-particle":"","family":"Nath Sood","given":"Narendra","non-dropping-particle":"","parse-names":false,"suffix":""},{"dropping-particle":"","family":"Brookes","given":"John L","non-dropping-particle":"","parse-names":false,"suffix":""},{"dropping-particle":"","family":"Venkatakrishnan","given":"Jaichandran","non-dropping-particle":"","parse-names":false,"suffix":""},{"dropping-particle":"","family":"Vijaya","given":"Lingam","non-dropping-particle":"","parse-names":false,"suffix":""},{"dropping-particle":"","family":"George","given":"Ronnie J.","non-dropping-particle":"","parse-names":false,"suffix":""},{"dropping-particle":"","family":"Maruthamuthu","given":"Thennarasu","non-dropping-particle":"","parse-names":false,"suffix":""},{"dropping-particle":"","family":"Lee","given":"Ming-yueh Yueh","non-dropping-particle":"","parse-names":false,"suffix":""},{"dropping-particle":"","family":"Hilda","given":"Tasha","non-dropping-particle":"","parse-names":false,"suffix":""},{"dropping-particle":"","family":"Ismail","given":"Mariam","non-dropping-particle":"","parse-names":false,"suffix":""},{"dropping-particle":"","family":"Goh","given":"Pik-pin","non-dropping-particle":"","parse-names":false,"suffix":""},{"dropping-particle":"","family":"Owji","given":"Naser","non-dropping-particle":"","parse-names":false,"suffix":""},{"dropping-particle":"","family":"Tehrani","given":"Mansooreh Jamshidian","non-dropping-particle":"","parse-names":false,"suffix":""},{"dropping-particle":"","family":"Yuksel","given":"Bora","non-dropping-particle":"","parse-names":false,"suffix":""},{"dropping-particle":"","family":"Binzet","given":"Menekse","non-dropping-particle":"","parse-names":false,"suffix":""},{"dropping-particle":"","family":"Uzunel","given":"Umut Duygu","non-dropping-particle":"","parse-names":false,"suffix":""},{"dropping-particle":"","family":"Kusbeci","given":"Tuncay","non-dropping-particle":"","parse-names":false,"suffix":""},{"dropping-particle":"","family":"Kushner","given":"B. H.","non-dropping-particle":"","parse-names":false,"suffix":""},{"dropping-particle":"","family":"LaQuaglia","given":"M. P.","non-dropping-particle":"","parse-names":false,"suffix":""},{"dropping-particle":"","family":"Wollner","given":"N.","non-dropping-particle":"","parse-names":false,"suffix":""},{"dropping-particle":"","family":"Meyers","given":"P. A.","non-dropping-particle":"","parse-names":false,"suffix":""},{"dropping-particle":"","family":"Lindsley","given":"K. L.","non-dropping-particle":"","parse-names":false,"suffix":""},{"dropping-particle":"","family":"Ghavimi","given":"F.","non-dropping-particle":"","parse-names":false,"suffix":""},{"dropping-particle":"","family":"Merchant","given":"T. E.","non-dropping-particle":"","parse-names":false,"suffix":""},{"dropping-particle":"","family":"Boulad","given":"F.","non-dropping-particle":"","parse-names":false,"suffix":""},{"dropping-particle":"","family":"Cheung","given":"N. K.","non-dropping-particle":"","parse-names":false,"suffix":""},{"dropping-particle":"","family":"Bonilla","given":"M. A.","non-dropping-particle":"","parse-names":false,"suffix":""},{"dropping-particle":"","family":"Crouch","given":"G.","non-dropping-particle":"","parse-names":false,"suffix":""},{"dropping-particle":"","family":"Kelleher","given":"J. F.","non-dropping-particle":"","parse-names":false,"suffix":""},{"dropping-particle":"","family":"Steinherz","given":"P. G.","non-dropping-particle":"","parse-names":false,"suffix":""},{"dropping-particle":"","family":"Gerald","given":"W. L.","non-dropping-particle":"","parse-names":false,"suffix":""},{"dropping-particle":"","family":"Maheshwari","given":"Devendra","non-dropping-particle":"","parse-names":false,"suffix":""},{"dropping-particle":"","family":"Ramakrishanan","given":"Rengappa","non-dropping-particle":"","parse-names":false,"suffix":""},{"dropping-particle":"","family":"Kader","given":"Mohideen Abdul","non-dropping-particle":"","parse-names":false,"suffix":""},{"dropping-particle":"","family":"Pawar","given":"Neelam","non-dropping-particle":"","parse-names":false,"suffix":""},{"dropping-particle":"","family":"Gupta","given":"Alpana Ankit","non-dropping-particle":"","parse-names":false,"suffix":""},{"dropping-particle":"","family":"Segev","given":"F","non-dropping-particle":"","parse-names":false,"suffix":""},{"dropping-particle":"","family":"Mor","given":"O","non-dropping-particle":"","parse-names":false,"suffix":""},{"dropping-particle":"","family":"Segev","given":"a","non-dropping-particle":"","parse-names":false,"suffix":""},{"dropping-particle":"","family":"Belkin","given":"M","non-dropping-particle":"","parse-names":false,"suffix":""},{"dropping-particle":"","family":"Assia","given":"E I","non-dropping-particle":"","parse-names":false,"suffix":""},{"dropping-particle":"","family":"Reyes","given":"Karen B","non-dropping-particle":"","parse-names":false,"suffix":""},{"dropping-particle":"","family":"Ii","given":"Andrew C Hilado","non-dropping-particle":"","parse-names":false,"suffix":""},{"dropping-particle":"","family":"Cullen","given":"James F","non-dropping-particle":"","parse-names":false,"suffix":""},{"dropping-particle":"","family":"Elsa","given":"Chris","non-dropping-particle":"","parse-names":false,"suffix":""},{"dropping-particle":"","family":"Jacob","given":"Samson","non-dropping-particle":"","parse-names":false,"suffix":""},{"dropping-particle":"","family":"Selvin","given":"Satheesh Solomon T","non-dropping-particle":"","parse-names":false,"suffix":""},{"dropping-particle":"","family":"Kuriakose","given":"Thomas","non-dropping-particle":"","parse-names":false,"suffix":""},{"dropping-particle":"","family":"Sahin","given":"Ozlem Gurses","non-dropping-particle":"","parse-names":false,"suffix":""},{"dropping-particle":"","family":"Taheri","given":"Nusret","non-dropping-particle":"","parse-names":false,"suffix":""},{"dropping-particle":"","family":"Wong","given":"Ching Lin","non-dropping-particle":"","parse-names":false,"suffix":""},{"dropping-particle":"","family":"Sendhil","given":"K. S.","non-dropping-particle":"","parse-names":false,"suffix":""},{"dropping-particle":"","family":"Karunakar","given":"T. V N","non-dropping-particle":"","parse-names":false,"suffix":""},{"dropping-particle":"","family":"Lee","given":"Ming-yueh Yueh","non-dropping-particle":"","parse-names":false,"suffix":""},{"dropping-particle":"","family":"Lingam","given":"Gopal","non-dropping-particle":"","parse-names":false,"suffix":""},{"dropping-particle":"","family":"Sharma","given":"Surabhi","non-dropping-particle":"","parse-names":false,"suffix":""},{"dropping-particle":"","family":"Tripathy","given":"Satyaswarup","non-dropping-particle":"","parse-names":false,"suffix":""},{"dropping-particle":"","family":"Rizvi","given":"Syed Ali Raza","non-dropping-particle":"","parse-names":false,"suffix":""},{"dropping-particle":"","family":"Adeolu","given":"J O","non-dropping-particle":"","parse-names":false,"suffix":""},{"dropping-particle":"","family":"Yussuf","given":"O B","non-dropping-particle":"","parse-names":false,"suffix":""},{"dropping-particle":"","family":"Popoola","given":"O A","non-dropping-particle":"","parse-names":false,"suffix":""},{"dropping-particle":"","family":"Vijaya Pai","given":"H.","non-dropping-particle":"","parse-names":false,"suffix":""},{"dropping-particle":"","family":"Shastri","given":"Divya","non-dropping-particle":"","parse-names":false,"suffix":""},{"dropping-particle":"","family":"Kamath","given":"Asha","non-dropping-particle":"","parse-names":false,"suffix":""},{"dropping-particle":"","family":"K.","given":"Pindar S.","non-dropping-particle":"","parse-names":false,"suffix":""},{"dropping-particle":"","family":"A.","given":"Wakil M.","non-dropping-particle":"","parse-names":false,"suffix":""},{"dropping-particle":"","family":"O.","given":"Coker A.","non-dropping-particle":"","parse-names":false,"suffix":""},{"dropping-particle":"","family":"W.","given":"Abdul I.","non-dropping-particle":"","parse-names":false,"suffix":""},{"dropping-particle":"","family":"Das","given":"Biman","non-dropping-particle":"","parse-names":false,"suffix":""},{"dropping-particle":"","family":"Mahadevan","given":"Rajeswari","non-dropping-particle":"","parse-names":false,"suffix":""},{"dropping-particle":"","family":"Keel","given":"Stuart","non-dropping-particle":"","parse-names":false,"suffix":""},{"dropping-particle":"","family":"Koklanis","given":"Connie","non-dropping-particle":"","parse-names":false,"suffix":""},{"dropping-particle":"","family":"Vukicevic","given":"Meri","non-dropping-particle":"","parse-names":false,"suffix":""},{"dropping-particle":"","family":"Itsiopoulos","given":"Catherine","non-dropping-particle":"","parse-names":false,"suffix":""},{"dropping-particle":"","family":"Brazionis","given":"Laima","non-dropping-particle":"","parse-names":false,"suffix":""},{"dropping-particle":"","family":"Kalappanavar","given":"N K","non-dropping-particle":"","parse-names":false,"suffix":""},{"dropping-particle":"","family":"Vinodkumar","given":"C S","non-dropping-particle":"","parse-names":false,"suffix":""},{"dropping-particle":"","family":"Campbell","given":"Robert J.","non-dropping-particle":"","parse-names":false,"suffix":""},{"dropping-particle":"","family":"El-Defrawy","given":"Sherif R.","non-dropping-particle":"","parse-names":false,"suffix":""},{"dropping-particle":"","family":"Bell","given":"Chaim M.","non-dropping-particle":"","parse-names":false,"suffix":""},{"dropping-particle":"","family":"Gill","given":"Sudeep S.","non-dropping-particle":"","parse-names":false,"suffix":""},{"dropping-particle":"","family":"Hooper","given":"Philip L.","non-dropping-particle":"","parse-names":false,"suffix":""},{"dropping-particle":"","family":"Whitehead","given":"Marlo","non-dropping-particle":"","parse-names":false,"suffix":""},{"dropping-particle":"","family":"Campbell","given":"Erica De L.P.","non-dropping-particle":"","parse-names":false,"suffix":""},{"dropping-particle":"","family":"Nesdole","given":"Robert","non-dropping-particle":"","parse-names":false,"suffix":""},{"dropping-particle":"","family":"Warder","given":"Daniel","non-dropping-particle":"","parse-names":false,"suffix":""},{"dropping-particle":"","family":"Hove","given":"Martin","non-dropping-particle":"Ten","parse-names":false,"suffix":""},{"dropping-particle":"","family":"Kiuchi","given":"Yoshiaki","non-dropping-particle":"","parse-names":false,"suffix":""},{"dropping-particle":"","family":"Yanagi","given":"Masahide","non-dropping-particle":"","parse-names":false,"suffix":""},{"dropping-particle":"","family":"Nakamura","given":"Takao","non-dropping-particle":"","parse-names":false,"suffix":""},{"dropping-particle":"","family":"Lee","given":"Elin","non-dropping-particle":"","parse-names":false,"suffix":""},{"dropping-particle":"","family":"Sanjay","given":"Srinivasan","non-dropping-particle":"","parse-names":false,"suffix":""},{"dropping-particle":"","family":"Teoh","given":"Stephen","non-dropping-particle":"","parse-names":false,"suffix":""},{"dropping-particle":"","family":"Kannan","given":"Balaji","non-dropping-particle":"","parse-names":false,"suffix":""},{"dropping-particle":"","family":"Bilgel","given":"Nazan","non-dropping-particle":"","parse-names":false,"suffix":""},{"dropping-particle":"","family":"Dimaras","given":"Helen","non-dropping-particle":"","parse-names":false,"suffix":""},{"dropping-particle":"","family":"Kimani","given":"Kahaki","non-dropping-particle":"","parse-names":false,"suffix":""},{"dropping-particle":"","family":"Dimba","given":"Elizabeth A O","non-dropping-particle":"","parse-names":false,"suffix":""},{"dropping-particle":"","family":"Gronsdahl","given":"Peggy","non-dropping-particle":"","parse-names":false,"suffix":""},{"dropping-particle":"","family":"White","given":"Abby","non-dropping-particle":"","parse-names":false,"suffix":""},{"dropping-particle":"","family":"Chan","given":"Helen S L","non-dropping-particle":"","parse-names":false,"suffix":""},{"dropping-particle":"","family":"Gallie","given":"Brenda L.","non-dropping-particle":"","parse-names":false,"suffix":""},{"dropping-particle":"","family":"Ong","given":"Keith","non-dropping-particle":"","parse-names":false,"suffix":""},{"dropping-particle":"","family":"Editorial","given":"Guest","non-dropping-particle":"","parse-names":false,"suffix":""},{"dropping-particle":"","family":"Ayanniyi","given":"Abdulkabir Ayansiji","non-dropping-particle":"","parse-names":false,"suffix":""},{"dropping-particle":"","family":"Olatunji","given":"Fatai Olasunkanmi","non-dropping-particle":"","parse-names":false,"suffix":""},{"dropping-particle":"","family":"Hassan","given":"Ramatu Yahaya","non-dropping-particle":"","parse-names":false,"suffix":""},{"dropping-particle":"","family":"Adekoya","given":"Bola Josephine","non-dropping-particle":"","parse-names":false,"suffix":""},{"dropping-particle":"","family":"Monsudi","given":"Kehinde Fasasi","non-dropping-particle":"","parse-names":false,"suffix":""},{"dropping-particle":"","family":"Jamda","given":"Abubakar Mustapha","non-dropping-particle":"","parse-names":false,"suffix":""},{"dropping-particle":"","family":"Saadani","given":"R J","non-dropping-particle":"","parse-names":false,"suffix":""},{"dropping-particle":"","family":"Machan","given":"Carolyn M","non-dropping-particle":"","parse-names":false,"suffix":""},{"dropping-particle":"","family":"Li","given":"Ling-Jun","non-dropping-particle":"","parse-names":false,"suffix":""},{"dropping-particle":"","family":"Kramer","given":"Michael","non-dropping-particle":"","parse-names":false,"suffix":""},{"dropping-particle":"","family":"Tapp","given":"Robyn J.","non-dropping-particle":"","parse-names":false,"suffix":""},{"dropping-particle":"","family":"Man","given":"Ryan E. K.","non-dropping-particle":"","parse-names":false,"suffix":""},{"dropping-particle":"","family":"Lek","given":"Ngee","non-dropping-particle":"","parse-names":false,"suffix":""},{"dropping-particle":"","family":"Cai","given":"Shirong","non-dropping-particle":"","parse-names":false,"suffix":""},{"dropping-particle":"","family":"Yap","given":"Fabian","non-dropping-particle":"","parse-names":false,"suffix":""},{"dropping-particle":"","family":"Gluckman","given":"Peter","non-dropping-particle":"","parse-names":false,"suffix":""},{"dropping-particle":"","family":"Tan","given":"Kok Hian","non-dropping-particle":"","parse-names":false,"suffix":""},{"dropping-particle":"","family":"Chong","given":"Yap Seng","non-dropping-particle":"","parse-names":false,"suffix":""},{"dropping-particle":"","family":"Koh","given":"Jia Yu","non-dropping-particle":"","parse-names":false,"suffix":""},{"dropping-particle":"","family":"Saw","given":"Seang Mei","non-dropping-particle":"","parse-names":false,"suffix":""},{"dropping-particle":"","family":"Cheung","given":"Yin Bun","non-dropping-particle":"","parse-names":false,"suffix":""},{"dropping-particle":"","family":"Wong","given":"Tien Yin","non-dropping-particle":"","parse-names":false,"suffix":""},{"dropping-particle":"","family":"Chawla","given":"P Cheena","non-dropping-particle":"","parse-names":false,"suffix":""},{"dropping-particle":"","family":"Chawla","given":"Anil","non-dropping-particle":"","parse-names":false,"suffix":""},{"dropping-particle":"","family":"Chaudhary","given":"Seema","non-dropping-particle":"","parse-names":false,"suffix":""},{"dropping-particle":"","family":"Shah","given":"Anjal M","non-dropping-particle":"","parse-names":false,"suffix":""},{"dropping-particle":"","family":"Harakuni","given":"Umesh U","non-dropping-particle":"","parse-names":false,"suffix":""},{"dropping-particle":"","family":"Nabil","given":"Karim M","non-dropping-particle":"","parse-names":false,"suffix":""},{"dropping-particle":"","family":"Khalaf","given":"Maged","non-dropping-particle":"","parse-names":false,"suffix":""},{"dropping-particle":"","family":"Mohamed","given":"Kholoud","non-dropping-particle":"","parse-names":false,"suffix":""},{"dropping-particle":"","family":"Anbar","given":"Mohamed","non-dropping-particle":"","parse-names":false,"suffix":""},{"dropping-particle":"","family":"Ammar","given":"Hatem","non-dropping-particle":"","parse-names":false,"suffix":""},{"dropping-particle":"","family":"Khalil","given":"Ahmad S","non-dropping-particle":"","parse-names":false,"suffix":""},{"dropping-particle":"","family":"Bor","given":"Ashraf","non-dropping-particle":"","parse-names":false,"suffix":""},{"dropping-particle":"","family":"Kunita","given":"Daisuke","non-dropping-particle":"","parse-names":false,"suffix":""},{"dropping-particle":"","family":"Inoue","given":"Makoto","non-dropping-particle":"","parse-names":false,"suffix":""},{"dropping-particle":"","family":"Itoh","given":"Yuji","non-dropping-particle":"","parse-names":false,"suffix":""},{"dropping-particle":"","family":"Matsuki","given":"Naoko","non-dropping-particle":"","parse-names":false,"suffix":""},{"dropping-particle":"","family":"Nagamoto","given":"Toshiyuki","non-dropping-particle":"","parse-names":false,"suffix":""},{"dropping-particle":"","family":"Hirakata","given":"Akito","non-dropping-particle":"","parse-names":false,"suffix":""},{"dropping-particle":"","family":"Raj","given":"Anuradha","non-dropping-particle":"","parse-names":false,"suffix":""},{"dropping-particle":"","family":"Dhasmana","given":"Renu","non-dropping-particle":"","parse-names":false,"suffix":""},{"dropping-particle":"","family":"Bahadur","given":"Harsh","non-dropping-particle":"","parse-names":false,"suffix":""},{"dropping-particle":"","family":"Labetoulle","given":"M","non-dropping-particle":"","parse-names":false,"suffix":""},{"dropping-particle":"","family":"Chiambaretta","given":"Fr??d??ric","non-dropping-particle":"","parse-names":false,"suffix":""},{"dropping-particle":"","family":"Shirlaw","given":"A","non-dropping-particle":"","parse-names":false,"suffix":""},{"dropping-particle":"","family":"Leaback","given":"R","non-dropping-particle":"","parse-names":false,"suffix":""},{"dropping-particle":"","family":"Baudouin","given":"C","non-dropping-particle":"","parse-names":false,"suffix":""},{"dropping-particle":"","family":"Article","given":"Original","non-dropping-particle":"","parse-names":false,"suffix":""},{"dropping-particle":"","family":"Rathi","given":"Manisha","non-dropping-particle":"","parse-names":false,"suffix":""},{"dropping-particle":"","family":"Bhatt","given":"Nikunj","non-dropping-particle":"","parse-names":false,"suffix":""},{"dropping-particle":"","family":"Dhull","given":"C S","non-dropping-particle":"","parse-names":false,"suffix":""},{"dropping-particle":"","family":"Sachdeva","given":"Sumit","non-dropping-particle":"","parse-names":false,"suffix":""},{"dropping-particle":"","family":"Phogat","given":"Jitender","non-dropping-particle":"","parse-names":false,"suffix":""},{"dropping-particle":"","family":"Chen","given":"XiangWu Xuejing Xuling Xinyi","non-dropping-particle":"","parse-names":false,"suffix":""},{"dropping-particle":"","family":"Zhao","given":"YingXi","non-dropping-particle":"","parse-names":false,"suffix":""},{"dropping-particle":"","family":"SMART","given":"","non-dropping-particle":"","parse-names":false,"suffix":""},{"dropping-particle":"","family":"Snijders","given":"Tom a B","non-dropping-particle":"","parse-names":false,"suffix":""},{"dropping-particle":"","family":"Salganik","given":"Matthew J.","non-dropping-particle":"","parse-names":false,"suffix":""},{"dropping-particle":"","family":"Gonzalez","given":"Eugenio J","non-dropping-particle":"","parse-names":false,"suffix":""},{"dropping-particle":"","family":"Foy","given":"Pierre","non-dropping-particle":"","parse-names":false,"suffix":""},{"dropping-particle":"","family":"Darrow","given":"D. H.","non-dropping-particle":"","parse-names":false,"suffix":""},{"dropping-particle":"","family":"Greene","given":"A. K.","non-dropping-particle":"","parse-names":false,"suffix":""},{"dropping-particle":"","family":"Mancini","given":"A. J.","non-dropping-particle":"","parse-names":false,"suffix":""},{"dropping-particle":"","family":"Nopper","given":"A. J.","non-dropping-particle":"","parse-names":false,"suffix":""},{"dropping-particle":"","family":"Khanna","given":"Rohit C","non-dropping-particle":"","parse-names":false,"suffix":""},{"dropping-particle":"","family":"Kaza","given":"Srivalli","non-dropping-particle":"","parse-names":false,"suffix":""},{"dropping-particle":"","family":"Palamaner Subash Shantha","given":"Ghanshyam","non-dropping-particle":"","parse-names":false,"suffix":""},{"dropping-particle":"","family":"Sangwan","given":"Virender S","non-dropping-particle":"","parse-names":false,"suffix":""},{"dropping-particle":"","family":"Tomljenovic","given":"Morana","non-dropping-particle":"","parse-names":false,"suffix":""},{"dropping-particle":"","family":"Kolaric","given":"Branko","non-dropping-particle":"","parse-names":false,"suffix":""},{"dropping-particle":"","family":"Stajduhar","given":"Dinko","non-dropping-particle":"","parse-names":false,"suffix":""},{"dropping-particle":"","family":"Tesic","given":"Vanja","non-dropping-particle":"","parse-names":false,"suffix":""},{"dropping-particle":"","family":"Jraymo","given":"","non-dropping-particle":"","parse-names":false,"suffix":""},{"dropping-particle":"","family":"Cordell","given":"H J","non-dropping-particle":"","parse-names":false,"suffix":""},{"dropping-particle":"","family":"Cunningham","given":"Tina","non-dropping-particle":"","parse-names":false,"suffix":""},{"dropping-particle":"","family":"Kilic","given":"Talip","non-dropping-particle":"","parse-names":false,"suffix":""},{"dropping-particle":"","family":"Course","given":"Inequality Analysis","non-dropping-particle":"","parse-names":false,"suffix":""},{"dropping-particle":"","family":"Jain","given":"Sandhya","non-dropping-particle":"","parse-names":false,"suffix":""},{"dropping-particle":"","family":"Gupta","given":"Alpana Ankit","non-dropping-particle":"","parse-names":false,"suffix":""},{"dropping-particle":"","family":"Jain","given":"Deshraj","non-dropping-particle":"","parse-names":false,"suffix":""},{"dropping-particle":"","family":"Eholmberg","given":"","non-dropping-particle":"","parse-names":false,"suffix":""},{"dropping-particle":"","family":"Ziemssen","given":"F.","non-dropping-particle":"","parse-names":false,"suffix":""},{"dropping-particle":"","family":"Feltgen","given":"N.","non-dropping-particle":"","parse-names":false,"suffix":""},{"dropping-particle":"","family":"Holz","given":"FG.","non-dropping-particle":"","parse-names":false,"suffix":""},{"dropping-particle":"","family":"Guthoff","given":"R.","non-dropping-particle":"","parse-names":false,"suffix":""},{"dropping-particle":"","family":"Ringwald","given":"A.","non-dropping-particle":"","parse-names":false,"suffix":""},{"dropping-particle":"","family":"Bertelmann","given":"T.","non-dropping-particle":"","parse-names":false,"suffix":""},{"dropping-particle":"","family":"Wiedon","given":"A.","non-dropping-particle":"","parse-names":false,"suffix":""},{"dropping-particle":"","family":"Korb","given":"C.","non-dropping-particle":"","parse-names":false,"suffix":""},{"dropping-particle":"","family":"Pan","given":"An Peng","non-dropping-particle":"","parse-names":false,"suffix":""},{"dropping-particle":"","family":"Wang","given":"Qin Mei","non-dropping-particle":"","parse-names":false,"suffix":""},{"dropping-particle":"","family":"Huang","given":"Fang","non-dropping-particle":"","parse-names":false,"suffix":""},{"dropping-particle":"","family":"Huang","given":"Jin Hai","non-dropping-particle":"","parse-names":false,"suffix":""},{"dropping-particle":"","family":"Bao","given":"Fang Jun","non-dropping-particle":"","parse-names":false,"suffix":""},{"dropping-particle":"","family":"Yu","given":"A. Yong","non-dropping-particle":"","parse-names":false,"suffix":""},{"dropping-particle":"","family":"Long","given":"Erping","non-dropping-particle":"","parse-names":false,"suffix":""},{"dropping-particle":"","family":"Xu","given":"Shuangjuan","non-dropping-particle":"","parse-names":false,"suffix":""},{"dropping-particle":"","family":"Liu","given":"Zhenzhen","non-dropping-particle":"","parse-names":false,"suffix":""},{"dropping-particle":"","family":"Wu","given":"Xiaotang Xiaohang","non-dropping-particle":"","parse-names":false,"suffix":""},{"dropping-particle":"","family":"Zhang","given":"Xiongze Xiayin Xinbo","non-dropping-particle":"","parse-names":false,"suffix":""},{"dropping-particle":"","family":"Wang","given":"Jinghui Jingbing","non-dropping-particle":"","parse-names":false,"suffix":""},{"dropping-particle":"","family":"Li","given":"Wangting","non-dropping-particle":"","parse-names":false,"suffix":""},{"dropping-particle":"","family":"Liu","given":"Runzhong","non-dropping-particle":"","parse-names":false,"suffix":""},{"dropping-particle":"","family":"Chen","given":"Zicong","non-dropping-particle":"","parse-names":false,"suffix":""},{"dropping-particle":"","family":"Chen","given":"Kailin Kexin","non-dropping-particle":"","parse-names":false,"suffix":""},{"dropping-particle":"","family":"Yu","given":"Tongyong","non-dropping-particle":"","parse-names":false,"suffix":""},{"dropping-particle":"","family":"Wu","given":"Dongxuan","non-dropping-particle":"","parse-names":false,"suffix":""},{"dropping-particle":"","family":"Zhao","given":"Xutu","non-dropping-particle":"","parse-names":false,"suffix":""},{"dropping-particle":"","family":"Chen","given":"Jingjing","non-dropping-particle":"","parse-names":false,"suffix":""},{"dropping-particle":"","family":"Lin","given":"Zhuoling","non-dropping-particle":"","parse-names":false,"suffix":""},{"dropping-particle":"","family":"Cao","given":"Qianzhong","non-dropping-particle":"","parse-names":false,"suffix":""},{"dropping-particle":"","family":"Lin","given":"Duoru","non-dropping-particle":"","parse-names":false,"suffix":""},{"dropping-particle":"","family":"Li","given":"Xiaoyan","non-dropping-particle":"","parse-names":false,"suffix":""},{"dropping-particle":"","family":"Cai","given":"Jingheng","non-dropping-particle":"","parse-names":false,"suffix":""},{"dropping-particle":"","family":"Lin","given":"Haotian","non-dropping-particle":"","parse-names":false,"suffix":""},{"dropping-particle":"","family":"Russo","given":"Andrea","non-dropping-particle":"","parse-names":false,"suffix":""},{"dropping-particle":"","family":"Morescalchi","given":"Francesco","non-dropping-particle":"","parse-names":false,"suffix":""},{"dropping-particle":"","family":"Costagliola","given":"Ciro","non-dropping-particle":"","parse-names":false,"suffix":""},{"dropping-particle":"","family":"Delcassi","given":"Luisa","non-dropping-particle":"","parse-names":false,"suffix":""},{"dropping-particle":"","family":"Semeraro","given":"Francesco","non-dropping-particle":"","parse-names":false,"suffix":""},{"dropping-particle":"","family":"Kalton","given":"Graham","non-dropping-particle":"","parse-names":false,"suffix":""},{"dropping-particle":"","family":"Brick","given":"J Michael","non-dropping-particle":"","parse-names":false,"suffix":""},{"dropping-particle":"","family":"Living Standards Measurement Study","given":"","non-dropping-particle":"","parse-names":false,"suffix":""},{"dropping-particle":"","family":"Mukhopadhyay","given":"Parimal","non-dropping-particle":"","parse-names":false,"suffix":""},{"dropping-particle":"","family":"Naing","given":"L","non-dropping-particle":"","parse-names":false,"suffix":""},{"dropping-particle":"","family":"Winn","given":"T","non-dropping-particle":"","parse-names":false,"suffix":""},{"dropping-particle":"","family":"Rusli","given":"B N","non-dropping-particle":"","parse-names":false,"suffix":""},{"dropping-particle":"","family":"Pu","given":"Hui","non-dropping-particle":"","parse-names":false,"suffix":""},{"dropping-particle":"","family":"Wang","given":"Yong","non-dropping-particle":"","parse-names":false,"suffix":""},{"dropping-particle":"","family":"Wei","given":"Qiang","non-dropping-particle":"","parse-names":false,"suffix":""},{"dropping-particle":"","family":"Ma","given":"Hui-Juan Hongxing","non-dropping-particle":"","parse-names":false,"suffix":""},{"dropping-particle":"","family":"Hu","given":"Pan-Pan","non-dropping-particle":"","parse-names":false,"suffix":""},{"dropping-particle":"","family":"Li","given":"Songfeng Shou-Ling","non-dropping-particle":"","parse-names":false,"suffix":""},{"dropping-particle":"","family":"Pang","given":"Hong-Bo","non-dropping-particle":"","parse-names":false,"suffix":""},{"dropping-particle":"","family":"Tian","given":"Yang-Hua","non-dropping-particle":"","parse-names":false,"suffix":""},{"dropping-particle":"","family":"Wang","given":"Kai","non-dropping-particle":"","parse-names":false,"suffix":""},{"dropping-particle":"","family":"Ochi","given":"Ryosuke","non-dropping-particle":"","parse-names":false,"suffix":""},{"dropping-particle":"","family":"Sato","given":"Bumpei","non-dropping-particle":"","parse-names":false,"suffix":""},{"dropping-particle":"","family":"Morishita","given":"Seita","non-dropping-particle":"","parse-names":false,"suffix":""},{"dropping-particle":"","family":"Imagawa","given":"Yukihiro","non-dropping-particle":"","parse-names":false,"suffix":""},{"dropping-particle":"","family":"Mimura","given":"Masashi","non-dropping-particle":"","parse-names":false,"suffix":""},{"dropping-particle":"","family":"Fukumoto","given":"Masanori","non-dropping-particle":"","parse-names":false,"suffix":""},{"dropping-particle":"","family":"Sato","given":"Takaki","non-dropping-particle":"","parse-names":false,"suffix":""},{"dropping-particle":"","family":"Kobayashi","given":"Takatoshi","non-dropping-particle":"","parse-names":false,"suffix":""},{"dropping-particle":"","family":"Kida","given":"Teruyo","non-dropping-particle":"","parse-names":false,"suffix":""},{"dropping-particle":"","family":"Ikeda","given":"Tsunehiko","non-dropping-particle":"","parse-names":false,"suffix":""},{"dropping-particle":"","family":"Khan","given":"HamzaH","non-dropping-particle":"","parse-names":false,"suffix":""},{"dropping-particle":"","family":"Khan","given":"ZarakH","non-dropping-particle":"","parse-names":false,"suffix":""},{"dropping-particle":"","family":"Zafar","given":"Bilal","non-dropping-particle":"","parse-names":false,"suffix":""},{"dropping-particle":"","family":"Malik","given":"MuhammadB","non-dropping-particle":"","parse-names":false,"suffix":""},{"dropping-particle":"","family":"Steinkuller","given":"P G","non-dropping-particle":"","parse-names":false,"suffix":""},{"dropping-particle":"","family":"Du","given":"L","non-dropping-particle":"","parse-names":false,"suffix":""},{"dropping-particle":"","family":"Gilbert","given":"C","non-dropping-particle":"","parse-names":false,"suffix":""},{"dropping-particle":"","family":"Foster","given":"A","non-dropping-particle":"","parse-names":false,"suffix":""},{"dropping-particle":"","family":"Collins","given":"M L","non-dropping-particle":"","parse-names":false,"suffix":""},{"dropping-particle":"","family":"Coats","given":"D K","non-dropping-particle":"","parse-names":false,"suffix":""},{"dropping-particle":"","family":"Colvin","given":"Hugh","non-dropping-particle":"","parse-names":false,"suffix":""},{"dropping-particle":"","family":"Mizushima","given":"Tsunekazu","non-dropping-particle":"","parse-names":false,"suffix":""},{"dropping-particle":"","family":"Eguchi","given":"Hidetoshi","non-dropping-particle":"","parse-names":false,"suffix":""},{"dropping-particle":"","family":"Takiguchi","given":"Shuji","non-dropping-particle":"","parse-names":false,"suffix":""},{"dropping-particle":"","family":"Doki","given":"Yuichiro","non-dropping-particle":"","parse-names":false,"suffix":""},{"dropping-particle":"","family":"Mori","given":"Masaki","non-dropping-particle":"","parse-names":false,"suffix":""},{"dropping-particle":"","family":"Awad","given":"NahlaMahmoud","non-dropping-particle":"","parse-names":false,"suffix":""},{"dropping-particle":"","family":"Shindy","given":"IbrahimEzzat","non-dropping-particle":"","parse-names":false,"suffix":""},{"dropping-particle":"","family":"Hossameldin","given":"Reem","non-dropping-particle":"","parse-names":false,"suffix":""},{"dropping-particle":"","family":"Graf","given":"Chris","non-dropping-particle":"","parse-names":false,"suffix":""},{"dropping-particle":"","family":"Tanna","given":"Angelo P.","non-dropping-particle":"","parse-names":false,"suffix":""},{"dropping-particle":"","family":"Rademaker","given":"Alfred W.","non-dropping-particle":"","parse-names":false,"suffix":""},{"dropping-particle":"","family":"Moraes","given":"C. Gustavo","non-dropping-particle":"de","parse-names":false,"suffix":""},{"dropping-particle":"","family":"Godfrey","given":"David G.","non-dropping-particle":"","parse-names":false,"suffix":""},{"dropping-particle":"","family":"Sarkisian","given":"Steven R.","non-dropping-particle":"","parse-names":false,"suffix":""},{"dropping-particle":"","family":"Vold","given":"Steven D.","non-dropping-particle":"","parse-names":false,"suffix":""},{"dropping-particle":"","family":"Ritch","given":"Robert","non-dropping-particle":"","parse-names":false,"suffix":""},{"dropping-particle":"","family":"Lee","given":"Raymond T","non-dropping-particle":"","parse-names":false,"suffix":""},{"dropping-particle":"","family":"Seo","given":"Bosu","non-dropping-particle":"","parse-names":false,"suffix":""},{"dropping-particle":"","family":"Hladkyj","given":"Steven","non-dropping-particle":"","parse-names":false,"suffix":""},{"dropping-particle":"","family":"Lovell","given":"Brenda L","non-dropping-particle":"","parse-names":false,"suffix":""},{"dropping-particle":"","family":"Schwartzmann","given":"Laura","non-dropping-particle":"","parse-names":false,"suffix":""},{"dropping-particle":"","family":"Wu","given":"Ming-Yue","non-dropping-particle":"","parse-names":false,"suffix":""},{"dropping-particle":"","family":"Wu","given":"Yang","non-dropping-particle":"","parse-names":false,"suffix":""},{"dropping-particle":"","family":"Zhang","given":"Yong Yadi Yan Yimin","non-dropping-particle":"","parse-names":false,"suffix":""},{"dropping-particle":"","family":"Liu","given":"Cai-Yun","non-dropping-particle":"","parse-names":false,"suffix":""},{"dropping-particle":"","family":"Deng","given":"Chun-Yan","non-dropping-particle":"","parse-names":false,"suffix":""},{"dropping-particle":"","family":"Peng","given":"Le","non-dropping-particle":"","parse-names":false,"suffix":""},{"dropping-particle":"","family":"Zhou","given":"Lan","non-dropping-particle":"","parse-names":false,"suffix":""},{"dropping-particle":"","family":"Rageh","given":"IbrahimM","non-dropping-particle":"","parse-names":false,"suffix":""},{"dropping-particle":"","family":"Sharaawy","given":"AhmedA","non-dropping-particle":"","parse-names":false,"suffix":""},{"dropping-particle":"","family":"Fouda","given":"AliI","non-dropping-particle":"","parse-names":false,"suffix":""},{"dropping-particle":"","family":"Abdelgawad","given":"EmanR","non-dropping-particle":"","parse-names":false,"suffix":""},{"dropping-particle":"","family":"Abdel Halim","given":"WalidA","non-dropping-particle":"","parse-names":false,"suffix":""},{"dropping-particle":"","family":"Sharkawy","given":"ReemA","non-dropping-particle":"","parse-names":false,"suffix":""},{"dropping-particle":"","family":"Farahat","given":"TamerE","non-dropping-particle":"","parse-names":false,"suffix":""},{"dropping-particle":"","family":"Nematallah","given":"EhabH","non-dropping-particle":"","parse-names":false,"suffix":""},{"dropping-particle":"","family":"Msaouel","given":"Pavlos","non-dropping-particle":"","parse-names":false,"suffix":""},{"dropping-particle":"","family":"Keramaris","given":"Nikolaos C","non-dropping-particle":"","parse-names":false,"suffix":""},{"dropping-particle":"","family":"Tasoulis","given":"Athanasios","non-dropping-particle":"","parse-names":false,"suffix":""},{"dropping-particle":"","family":"Kolokythas","given":"Dimitrios","non-dropping-particle":"","parse-names":false,"suffix":""},{"dropping-particle":"","family":"Syrmos","given":"Nikolaos","non-dropping-particle":"","parse-names":false,"suffix":""},{"dropping-particle":"","family":"Pararas","given":"Nikolaos","non-dropping-particle":"","parse-names":false,"suffix":""},{"dropping-particle":"","family":"Thireos","given":"Eleftherios","non-dropping-particle":"","parse-names":false,"suffix":""},{"dropping-particle":"","family":"Lionis","given":"Christos","non-dropping-particle":"","parse-names":false,"suffix":""},{"dropping-particle":"","family":"Aboulnasr","given":"TarekT","non-dropping-particle":"","parse-names":false,"suffix":""},{"dropping-particle":"","family":"Elfiky","given":"HazemM","non-dropping-particle":"","parse-names":false,"suffix":""},{"dropping-particle":"","family":"Mohamed","given":"YasserA","non-dropping-particle":"","parse-names":false,"suffix":""},{"dropping-particle":"","family":"Yoo","given":"Han Soo","non-dropping-particle":"","parse-names":false,"suffix":""},{"dropping-particle":"","family":"Park","given":"Eunjeong","non-dropping-particle":"","parse-names":false,"suffix":""},{"dropping-particle":"","family":"Rhiu","given":"Soolienah","non-dropping-particle":"","parse-names":false,"suffix":""},{"dropping-particle":"","family":"Chang","given":"Hyuk-Jae","non-dropping-particle":"","parse-names":false,"suffix":""},{"dropping-particle":"","family":"Kim","given":"Kyoungsub","non-dropping-particle":"","parse-names":false,"suffix":""},{"dropping-particle":"","family":"Yoo","given":"Joonsang","non-dropping-particle":"","parse-names":false,"suffix":""},{"dropping-particle":"","family":"Heo","given":"Ji Hoe","non-dropping-particle":"","parse-names":false,"suffix":""},{"dropping-particle":"","family":"Nam","given":"Hyo Suk","non-dropping-particle":"","parse-names":false,"suffix":""},{"dropping-particle":"","family":"Tham","given":"Clement C Y","non-dropping-particle":"","parse-names":false,"suffix":""},{"dropping-particle":"","family":"Giannakaki-Zimmermann","given":"Helena","non-dropping-particle":"","parse-names":false,"suffix":""},{"dropping-particle":"","family":"Querques","given":"Giuseppe","non-dropping-particle":"","parse-names":false,"suffix":""},{"dropping-particle":"","family":"Munch","given":"Inger Christine","non-dropping-particle":"","parse-names":false,"suffix":""},{"dropping-particle":"","family":"Shroff","given":"Daraius","non-dropping-particle":"","parse-names":false,"suffix":""},{"dropping-particle":"","family":"Sarraf","given":"David","non-dropping-particle":"","parse-names":false,"suffix":""},{"dropping-particle":"","family":"Chen","given":"XiangWu Xuejing Xuling Xinyi","non-dropping-particle":"","parse-names":false,"suffix":""},{"dropping-particle":"","family":"Cunha-Souza","given":"Eduardo","non-dropping-particle":"","parse-names":false,"suffix":""},{"dropping-particle":"","family":"Mrejen","given":"Sarah","non-dropping-particle":"","parse-names":false,"suffix":""},{"dropping-particle":"","family":"Capuano","given":"Vittorio","non-dropping-particle":"","parse-names":false,"suffix":""},{"dropping-particle":"","family":"Rodrigues","given":"Murilo W.","non-dropping-particle":"","parse-names":false,"suffix":""},{"dropping-particle":"","family":"Gupta","given":"Charu","non-dropping-particle":"","parse-names":false,"suffix":""},{"dropping-particle":"","family":"Ebneter","given":"Andreas","non-dropping-particle":"","parse-names":false,"suffix":""},{"dropping-particle":"","family":"Zinkernagel","given":"Martin S.","non-dropping-particle":"","parse-names":false,"suffix":""},{"dropping-particle":"","family":"Munk","given":"Marion R.","non-dropping-particle":"","parse-names":false,"suffix":""},{"dropping-particle":"","family":"Lee","given":"Elin","non-dropping-particle":"","parse-names":false,"suffix":""},{"dropping-particle":"","family":"Sanjay","given":"Srinivasan","non-dropping-particle":"","parse-names":false,"suffix":""},{"dropping-particle":"","family":"Sangtam","given":"Tiakumzuk","non-dropping-particle":"","parse-names":false,"suffix":""},{"dropping-particle":"V.","family":"Le","given":"Phuc","non-dropping-particle":"","parse-names":false,"suffix":""},{"dropping-particle":"","family":"Zhang","given":"Xiongze Xiayin Xinbo","non-dropping-particle":"","parse-names":false,"suffix":""},{"dropping-particle":"","family":"Francis","given":"Brian A.","non-dropping-particle":"","parse-names":false,"suffix":""},{"dropping-particle":"","family":"Varma","given":"Rohit","non-dropping-particle":"","parse-names":false,"suffix":""},{"dropping-particle":"","family":"Greenfield","given":"David S.","non-dropping-particle":"","parse-names":false,"suffix":""},{"dropping-particle":"","family":"Schuman","given":"Joel S.","non-dropping-particle":"","parse-names":false,"suffix":""},{"dropping-particle":"","family":"Loewen","given":"Nils","non-dropping-particle":"","parse-names":false,"suffix":""},{"dropping-particle":"","family":"Huang","given":"David","non-dropping-particle":"","parse-names":false,"suffix":""},{"dropping-particle":"","family":"Zhang","given":"Yong Yadi Yan Yimin","non-dropping-particle":"","parse-names":false,"suffix":""},{"dropping-particle":"","family":"Feng","given":"Xueshan","non-dropping-particle":"","parse-names":false,"suffix":""},{"dropping-particle":"","family":"Stewart","given":"William C.","non-dropping-particle":"","parse-names":false,"suffix":""},{"dropping-particle":"","family":"Adams","given":"Michelle P.","non-dropping-particle":"","parse-names":false,"suffix":""},{"dropping-particle":"","family":"Stewart","given":"Jeanette A.","non-dropping-particle":"","parse-names":false,"suffix":""},{"dropping-particle":"","family":"Nelson","given":"Lindsay A.","non-dropping-particle":"","parse-names":false,"suffix":""},{"dropping-particle":"","family":"Moore","given":"Daniel B.","non-dropping-particle":"","parse-names":false,"suffix":""},{"dropping-particle":"","family":"Beck","given":"Judy","non-dropping-particle":"","parse-names":false,"suffix":""},{"dropping-particle":"","family":"Kryscio","given":"Richard J","non-dropping-particle":"","parse-names":false,"suffix":""},{"dropping-particle":"","family":"Montero-Marín","given":"Jesús","non-dropping-particle":"","parse-names":false,"suffix":""},{"dropping-particle":"","family":"García-Campayo","given":"Javier","non-dropping-particle":"","parse-names":false,"suffix":""},{"dropping-particle":"","family":"Fajó-Pascual","given":"Marta","non-dropping-particle":"","parse-names":false,"suffix":""},{"dropping-particle":"","family":"Carrasco","given":"José Miguel","non-dropping-particle":"","parse-names":false,"suffix":""},{"dropping-particle":"","family":"Gascón","given":"Santiago","non-dropping-particle":"","parse-names":false,"suffix":""},{"dropping-particle":"","family":"Gili","given":"Margarita","non-dropping-particle":"","parse-names":false,"suffix":""},{"dropping-particle":"","family":"Mayoral-Cleries","given":"Fermín","non-dropping-particle":"","parse-names":false,"suffix":""},{"dropping-particle":"","family":"Blehm","given":"Clayton","non-dropping-particle":"","parse-names":false,"suffix":""},{"dropping-particle":"","family":"Potvin","given":"Rick Richard","non-dropping-particle":"","parse-names":false,"suffix":""},{"dropping-particle":"","family":"Press","given":"Dove","non-dropping-particle":"","parse-names":false,"suffix":""},{"dropping-particle":"","family":"Negrete","given":"Francisco Jos?? Mu??oz","non-dropping-particle":"","parse-names":false,"suffix":""},{"dropping-particle":"","family":"Lemij","given":"Hans G.","non-dropping-particle":"","parse-names":false,"suffix":""},{"dropping-particle":"","family":"Erb","given":"Carl","non-dropping-particle":"","parse-names":false,"suffix":""},{"dropping-particle":"","family":"Elagouz","given":"Mohammed","non-dropping-particle":"","parse-names":false,"suffix":""},{"dropping-particle":"","family":"Press","given":"Dove","non-dropping-particle":"","parse-names":false,"suffix":""},{"dropping-particle":"","family":"Abozaid","given":"Mortada Ahmed","non-dropping-particle":"","parse-names":false,"suffix":""},{"dropping-particle":"","family":"Mohammed","given":"Usama Ali","non-dropping-particle":"","parse-names":false,"suffix":""},{"dropping-particle":"","family":"Sahanne","given":"Sari","non-dropping-particle":"","parse-names":false,"suffix":""},{"dropping-particle":"","family":"Tuuminen","given":"Raimo","non-dropping-particle":"","parse-names":false,"suffix":""},{"dropping-particle":"","family":"Haukka","given":"Jari","non-dropping-particle":"","parse-names":false,"suffix":""},{"dropping-particle":"","family":"Loukovaara","given":"Sirpa","non-dropping-particle":"","parse-names":false,"suffix":""}],"container-title":"BMC Ophthalmology","id":"ITEM-1","issue":"1","issued":{"date-parts":[["2017"]]},"page":"1","title":"Symposium Recent advances and challenges in the management of retinoblastoma Globe ‑ saving Treatments","type":"article-journal","volume":"17"},"uris":["http://www.mendeley.com/documents/?uuid=bd17cbe1-17ac-4c51-9369-7b9f8e8b3cbd"]}],"mendeley":{"formattedCitation":"(25)","manualFormatting":"(Fernandez-Cobo  et al., 2023)","plainTextFormattedCitation":"(25)","previouslyFormattedCitation":"(Balasopoulou &lt;i&gt;et al.&lt;/i&gt;, 2017)"},"properties":{"noteIndex":0},"schema":"https://github.com/citation-style-language/schema/raw/master/csl-citation.json"}</w:instrTex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separate"/>
      </w:r>
      <w:r>
        <w:rPr>
          <w:rFonts w:eastAsia="Times New Roman" w:cs="Times New Roman" w:ascii="Times New Roman" w:hAnsi="Times New Roman"/>
          <w:color w:themeColor="text1" w:val="000000"/>
          <w:sz w:val="24"/>
          <w:szCs w:val="24"/>
          <w:lang w:eastAsia="en-GB"/>
        </w:rPr>
        <w:t>(</w:t>
      </w:r>
      <w:r>
        <w:rPr>
          <w:rFonts w:eastAsia="Times New Roman" w:cs="Times New Roman" w:ascii="Times New Roman" w:hAnsi="Times New Roman"/>
          <w:bCs/>
          <w:color w:themeColor="text1" w:val="000000"/>
          <w:sz w:val="24"/>
          <w:szCs w:val="24"/>
          <w:lang w:eastAsia="en-GB"/>
        </w:rPr>
        <w:t xml:space="preserve">Fernandez-Cobo </w:t>
      </w:r>
      <w:r>
        <w:rPr>
          <w:rFonts w:eastAsia="Times New Roman" w:cs="Times New Roman" w:ascii="Times New Roman" w:hAnsi="Times New Roman"/>
          <w:color w:themeColor="text1" w:val="000000"/>
          <w:sz w:val="24"/>
          <w:szCs w:val="24"/>
          <w:lang w:eastAsia="en-GB"/>
        </w:rPr>
        <w:t xml:space="preserve"> </w:t>
      </w:r>
      <w:r>
        <w:rPr>
          <w:rFonts w:eastAsia="Times New Roman" w:cs="Times New Roman" w:ascii="Times New Roman" w:hAnsi="Times New Roman"/>
          <w:i/>
          <w:color w:themeColor="text1" w:val="000000"/>
          <w:sz w:val="24"/>
          <w:szCs w:val="24"/>
          <w:lang w:eastAsia="en-GB"/>
        </w:rPr>
        <w:t>et al.</w:t>
      </w:r>
      <w:r>
        <w:rPr>
          <w:rFonts w:eastAsia="Times New Roman" w:cs="Times New Roman" w:ascii="Times New Roman" w:hAnsi="Times New Roman"/>
          <w:color w:themeColor="text1" w:val="000000"/>
          <w:sz w:val="24"/>
          <w:szCs w:val="24"/>
          <w:lang w:eastAsia="en-GB"/>
        </w:rPr>
        <w:t>, 2023)</w:t>
      </w:r>
      <w:r>
        <w:rPr>
          <w:rFonts w:eastAsia="Times New Roman" w:cs="Times New Roman" w:ascii="Times New Roman" w:hAnsi="Times New Roman"/>
          <w:color w:themeColor="text1" w:val="000000"/>
          <w:sz w:val="24"/>
          <w:szCs w:val="24"/>
          <w:lang w:eastAsia="en-GB"/>
        </w:rPr>
      </w:r>
      <w:r>
        <w:rPr>
          <w:sz w:val="24"/>
          <w:szCs w:val="24"/>
          <w:rFonts w:eastAsia="Times New Roman" w:cs="Times New Roman" w:ascii="Times New Roman" w:hAnsi="Times New Roman"/>
          <w:color w:themeColor="text1" w:val="000000"/>
          <w:lang w:eastAsia="en-GB"/>
        </w:rPr>
        <w:fldChar w:fldCharType="end"/>
      </w:r>
      <w:r>
        <w:rPr>
          <w:rFonts w:eastAsia="Times New Roman" w:cs="Times New Roman" w:ascii="Times New Roman" w:hAnsi="Times New Roman"/>
          <w:color w:themeColor="text1" w:val="000000"/>
          <w:sz w:val="24"/>
          <w:szCs w:val="24"/>
          <w:lang w:eastAsia="en-GB"/>
        </w:rPr>
        <w:t>, showed slow-release triamcinolone over 90 days without significant pressure rise. While not yet cost-effective for low-income settings, this technology offers a future alternative to minimize pressure-related adverse events.</w:t>
      </w:r>
    </w:p>
    <w:p>
      <w:pPr>
        <w:pStyle w:val="NoSpacing"/>
        <w:spacing w:lineRule="auto" w:line="3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bookmarkStart w:id="43" w:name="_Toc171521437"/>
      <w:bookmarkStart w:id="44" w:name="_Toc171521437"/>
    </w:p>
    <w:p>
      <w:pPr>
        <w:pStyle w:val="Heading2"/>
        <w:spacing w:lineRule="auto" w:line="360"/>
        <w:rPr>
          <w:rFonts w:ascii="Times New Roman" w:hAnsi="Times New Roman" w:cs="Times New Roman"/>
          <w:i/>
          <w:i/>
          <w:color w:themeColor="text1" w:val="000000"/>
          <w:sz w:val="24"/>
          <w:szCs w:val="24"/>
        </w:rPr>
      </w:pPr>
      <w:bookmarkStart w:id="45" w:name="_Toc171521437"/>
      <w:bookmarkStart w:id="46" w:name="_Toc201688056"/>
      <w:r>
        <w:rPr>
          <w:rFonts w:cs="Times New Roman" w:ascii="Times New Roman" w:hAnsi="Times New Roman"/>
          <w:i/>
          <w:color w:themeColor="text1" w:val="000000"/>
          <w:sz w:val="24"/>
          <w:szCs w:val="24"/>
        </w:rPr>
        <w:t>Conclusion</w:t>
      </w:r>
      <w:bookmarkEnd w:id="45"/>
      <w:bookmarkEnd w:id="46"/>
      <w:r>
        <w:rPr>
          <w:rFonts w:cs="Times New Roman" w:ascii="Times New Roman" w:hAnsi="Times New Roman"/>
          <w:i/>
          <w:color w:themeColor="text1" w:val="000000"/>
          <w:sz w:val="24"/>
          <w:szCs w:val="24"/>
        </w:rPr>
        <w:t>(s)</w:t>
      </w:r>
    </w:p>
    <w:p>
      <w:pPr>
        <w:pStyle w:val="Normal"/>
        <w:spacing w:lineRule="auto" w:line="360"/>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t xml:space="preserve">This study offers crucial information about the prevalence, trend, and risk factors of ocular hypertension in patients with macular edema at Kilimanjaro Christian Medical Center after intravitreal triamcinolone acetonide (IVTA) injections. The results showed that </w:t>
      </w:r>
      <w:r>
        <w:rPr>
          <w:rFonts w:eastAsia="Times New Roman" w:cs="Times New Roman" w:ascii="Times New Roman" w:hAnsi="Times New Roman"/>
          <w:strike/>
          <w:color w:val="000000"/>
          <w:sz w:val="24"/>
          <w:szCs w:val="24"/>
          <w:lang w:eastAsia="en-GB"/>
        </w:rPr>
        <w:t>after receiving a typical IVTA dose of 4 mg,</w:t>
      </w:r>
      <w:r>
        <w:rPr>
          <w:rFonts w:eastAsia="Times New Roman" w:cs="Times New Roman" w:ascii="Times New Roman" w:hAnsi="Times New Roman"/>
          <w:color w:themeColor="text1" w:val="000000"/>
          <w:sz w:val="24"/>
          <w:szCs w:val="24"/>
          <w:lang w:eastAsia="en-GB"/>
        </w:rPr>
        <w:t xml:space="preserve"> more than one-third of patients experienced ocular hypertension within six weeks, with the maximum intraocular pressure occurring just after injection. Retinal vein occlusion and phakic lens status were found to be important risk factors, highlighting the necessity of careful monitoring and tailored patient evaluation.The study also emphasizes how IOP elevation tends to peak early and stabilize over time, </w:t>
      </w:r>
      <w:r>
        <w:rPr>
          <w:rFonts w:eastAsia="Times New Roman" w:cs="Times New Roman" w:ascii="Times New Roman" w:hAnsi="Times New Roman"/>
          <w:color w:themeColor="text1" w:val="000000"/>
          <w:sz w:val="24"/>
          <w:szCs w:val="24"/>
          <w:lang w:eastAsia="en-GB"/>
        </w:rPr>
        <w:t xml:space="preserve">so required </w:t>
      </w:r>
      <w:r>
        <w:rPr>
          <w:rFonts w:eastAsia="Times New Roman" w:cs="Times New Roman" w:ascii="Times New Roman" w:hAnsi="Times New Roman"/>
          <w:color w:themeColor="text1" w:val="000000"/>
          <w:sz w:val="24"/>
          <w:szCs w:val="24"/>
          <w:lang w:eastAsia="en-GB"/>
        </w:rPr>
        <w:t xml:space="preserve"> </w:t>
      </w:r>
      <w:r>
        <w:rPr>
          <w:rFonts w:eastAsia="Times New Roman" w:cs="Times New Roman" w:ascii="Times New Roman" w:hAnsi="Times New Roman"/>
          <w:strike/>
          <w:color w:themeColor="text1" w:val="000000"/>
          <w:sz w:val="24"/>
          <w:szCs w:val="24"/>
          <w:lang w:eastAsia="en-GB"/>
        </w:rPr>
        <w:t xml:space="preserve">however cases with delayed beginning can go unnoticed without </w:t>
      </w:r>
      <w:r>
        <w:rPr>
          <w:rFonts w:eastAsia="Times New Roman" w:cs="Times New Roman" w:ascii="Times New Roman" w:hAnsi="Times New Roman"/>
          <w:color w:themeColor="text1" w:val="000000"/>
          <w:sz w:val="24"/>
          <w:szCs w:val="24"/>
          <w:lang w:eastAsia="en-GB"/>
        </w:rPr>
        <w:t xml:space="preserve">close monitoring. IVTA has a quantifiable risk of steroid-induced problems despite its therapeutic efficacy and cost benefits, particularly in places with limited resources where access to diagnostic equipment and follow-up care may be limited. Thus, </w:t>
      </w:r>
      <w:r>
        <w:rPr>
          <w:rFonts w:eastAsia="Times New Roman" w:cs="Times New Roman" w:ascii="Times New Roman" w:hAnsi="Times New Roman"/>
          <w:strike/>
          <w:color w:themeColor="text1" w:val="000000"/>
          <w:sz w:val="24"/>
          <w:szCs w:val="24"/>
          <w:lang w:eastAsia="en-GB"/>
        </w:rPr>
        <w:t>for safe and efficient IVTA delivery,</w:t>
      </w:r>
      <w:r>
        <w:rPr>
          <w:rFonts w:eastAsia="Times New Roman" w:cs="Times New Roman" w:ascii="Times New Roman" w:hAnsi="Times New Roman"/>
          <w:color w:themeColor="text1" w:val="000000"/>
          <w:sz w:val="24"/>
          <w:szCs w:val="24"/>
          <w:lang w:eastAsia="en-GB"/>
        </w:rPr>
        <w:t xml:space="preserve"> it is crucial to include regular intraocular pressure monitoring, risk assessment prior to injection, and patient education </w:t>
      </w:r>
      <w:r>
        <w:rPr>
          <w:rFonts w:eastAsia="Times New Roman" w:cs="Times New Roman" w:ascii="Times New Roman" w:hAnsi="Times New Roman"/>
          <w:color w:themeColor="text1" w:val="000000"/>
          <w:sz w:val="24"/>
          <w:szCs w:val="24"/>
          <w:shd w:fill="FFFF00" w:val="clear"/>
          <w:lang w:eastAsia="en-GB"/>
        </w:rPr>
        <w:t>in patients with IVTA delivery.</w:t>
      </w:r>
      <w:r>
        <w:rPr>
          <w:rFonts w:eastAsia="Times New Roman" w:cs="Times New Roman" w:ascii="Times New Roman" w:hAnsi="Times New Roman"/>
          <w:color w:themeColor="text1" w:val="000000"/>
          <w:sz w:val="24"/>
          <w:szCs w:val="24"/>
          <w:lang w:eastAsia="en-GB"/>
        </w:rPr>
        <w:t xml:space="preserve"> </w:t>
      </w:r>
      <w:r>
        <w:rPr>
          <w:rFonts w:eastAsia="Times New Roman" w:cs="Times New Roman" w:ascii="Times New Roman" w:hAnsi="Times New Roman"/>
          <w:color w:themeColor="text1" w:val="000000"/>
          <w:sz w:val="24"/>
          <w:szCs w:val="24"/>
          <w:lang w:eastAsia="en-GB"/>
        </w:rPr>
        <w:t>These results enable the creation of useful guidelines suited to low-resource ophthalmic care systems and add significant regional data to the global understanding of IVTA safety.</w:t>
      </w:r>
    </w:p>
    <w:p>
      <w:pPr>
        <w:pStyle w:val="Heading2"/>
        <w:spacing w:lineRule="auto" w:line="360"/>
        <w:rPr>
          <w:rFonts w:ascii="Times New Roman" w:hAnsi="Times New Roman" w:cs="Times New Roman"/>
          <w:i/>
          <w:i/>
          <w:color w:themeColor="text1" w:val="000000"/>
          <w:sz w:val="24"/>
          <w:szCs w:val="24"/>
        </w:rPr>
      </w:pPr>
      <w:bookmarkStart w:id="47" w:name="_Toc201688057"/>
      <w:bookmarkStart w:id="48" w:name="_Toc171521438"/>
      <w:r>
        <w:rPr>
          <w:rFonts w:cs="Times New Roman" w:ascii="Times New Roman" w:hAnsi="Times New Roman"/>
          <w:i/>
          <w:color w:themeColor="text1" w:val="000000"/>
          <w:sz w:val="24"/>
          <w:szCs w:val="24"/>
        </w:rPr>
        <w:t>Recommendations</w:t>
      </w:r>
      <w:bookmarkEnd w:id="47"/>
      <w:bookmarkEnd w:id="48"/>
    </w:p>
    <w:p>
      <w:pPr>
        <w:pStyle w:val="NormalWeb"/>
        <w:spacing w:lineRule="auto" w:line="360" w:before="280" w:after="280"/>
        <w:rPr/>
      </w:pPr>
      <w:r>
        <w:rPr>
          <w:rStyle w:val="Strong"/>
          <w:b w:val="false"/>
        </w:rPr>
        <w:t>1. Conduct thorough pre-treatment evaluations</w:t>
      </w:r>
      <w:r>
        <w:rPr/>
        <w:t xml:space="preserve"> for all patients receiving intravitreal triamcinolone acetonide, including assessment of baseline intraocular pressure, lens status, and history of retinal vascular diseases.</w:t>
      </w:r>
    </w:p>
    <w:p>
      <w:pPr>
        <w:pStyle w:val="NormalWeb"/>
        <w:spacing w:lineRule="auto" w:line="360" w:before="280" w:after="280"/>
        <w:rPr/>
      </w:pPr>
      <w:r>
        <w:rPr/>
        <w:t xml:space="preserve">2. </w:t>
      </w:r>
      <w:r>
        <w:rPr>
          <w:rStyle w:val="Strong"/>
          <w:b w:val="false"/>
        </w:rPr>
        <w:t>Implement standardized follow-up protocols</w:t>
      </w:r>
      <w:r>
        <w:rPr/>
        <w:t xml:space="preserve"> with intraocular pressure (IOP) monitoring at baseline, 1 week, and up to 6-8 weeks’ post-injection, especially for high-risk patients.</w:t>
      </w:r>
    </w:p>
    <w:p>
      <w:pPr>
        <w:pStyle w:val="NormalWeb"/>
        <w:spacing w:lineRule="auto" w:line="360" w:before="280" w:after="280"/>
        <w:rPr/>
      </w:pPr>
      <w:r>
        <w:rPr/>
        <w:t xml:space="preserve">3. </w:t>
      </w:r>
      <w:r>
        <w:rPr>
          <w:rStyle w:val="Strong"/>
          <w:b w:val="false"/>
        </w:rPr>
        <w:t>Consider alternative treatments or lower steroid doses</w:t>
      </w:r>
      <w:r>
        <w:rPr/>
        <w:t xml:space="preserve"> for patients at higher risk of ocular hypertension; prophylactic IOP lowering medications may also be appropriate.</w:t>
      </w:r>
    </w:p>
    <w:p>
      <w:pPr>
        <w:pStyle w:val="NormalWeb"/>
        <w:spacing w:lineRule="auto" w:line="360" w:before="280" w:after="280"/>
        <w:rPr/>
      </w:pPr>
      <w:r>
        <w:rPr/>
        <w:t xml:space="preserve">4. </w:t>
      </w:r>
      <w:r>
        <w:rPr>
          <w:rStyle w:val="Strong"/>
          <w:b w:val="false"/>
        </w:rPr>
        <w:t>Enhance patient education and equip eye care units</w:t>
      </w:r>
      <w:r>
        <w:rPr/>
        <w:t xml:space="preserve"> with reliable tonometry tools and ongoing staff training to ensure early detection and management of complications.</w:t>
      </w:r>
    </w:p>
    <w:p>
      <w:pPr>
        <w:pStyle w:val="Normal"/>
        <w:spacing w:lineRule="auto" w:line="360"/>
        <w:rPr/>
      </w:pPr>
      <w:r>
        <w:rPr/>
      </w:r>
    </w:p>
    <w:p>
      <w:pPr>
        <w:pStyle w:val="Normal"/>
        <w:spacing w:lineRule="auto" w:line="360"/>
        <w:rPr>
          <w:rFonts w:ascii="Times New Roman" w:hAnsi="Times New Roman" w:eastAsia="Times New Roman" w:cs="Times New Roman"/>
          <w:color w:themeColor="text1" w:val="000000"/>
          <w:sz w:val="24"/>
          <w:szCs w:val="24"/>
          <w:lang w:eastAsia="en-GB"/>
        </w:rPr>
      </w:pPr>
      <w:r>
        <w:rPr>
          <w:rFonts w:eastAsia="Times New Roman" w:cs="Times New Roman" w:ascii="Times New Roman" w:hAnsi="Times New Roman"/>
          <w:color w:themeColor="text1" w:val="000000"/>
          <w:sz w:val="24"/>
          <w:szCs w:val="24"/>
          <w:lang w:eastAsia="en-GB"/>
        </w:rPr>
      </w:r>
      <w:bookmarkStart w:id="49" w:name="_Toc162525689"/>
      <w:bookmarkStart w:id="50" w:name="_Toc133575170"/>
      <w:bookmarkStart w:id="51" w:name="_Toc104993264"/>
      <w:bookmarkStart w:id="52" w:name="_Toc103910637"/>
      <w:bookmarkStart w:id="53" w:name="_GoBack"/>
      <w:bookmarkStart w:id="54" w:name="_Toc162525689"/>
      <w:bookmarkStart w:id="55" w:name="_Toc133575170"/>
      <w:bookmarkStart w:id="56" w:name="_Toc104993264"/>
      <w:bookmarkStart w:id="57" w:name="_Toc103910637"/>
      <w:bookmarkStart w:id="58" w:name="_GoBack"/>
      <w:bookmarkEnd w:id="54"/>
      <w:bookmarkEnd w:id="55"/>
      <w:bookmarkEnd w:id="56"/>
      <w:bookmarkEnd w:id="57"/>
      <w:bookmarkEnd w:id="58"/>
    </w:p>
    <w:p>
      <w:pPr>
        <w:pStyle w:val="Heading1"/>
        <w:jc w:val="left"/>
        <w:rPr>
          <w:color w:themeColor="text1" w:val="000000"/>
        </w:rPr>
      </w:pPr>
      <w:bookmarkStart w:id="59" w:name="_Toc201688058"/>
      <w:r>
        <w:rPr>
          <w:color w:themeColor="text1" w:val="000000"/>
        </w:rPr>
        <w:t>References</w:t>
      </w:r>
      <w:bookmarkEnd w:id="59"/>
    </w:p>
    <w:p>
      <w:pPr>
        <w:pStyle w:val="Normal"/>
        <w:widowControl w:val="false"/>
        <w:spacing w:lineRule="auto" w:line="360" w:before="0" w:after="0"/>
        <w:ind w:hanging="640" w:left="640"/>
        <w:rPr>
          <w:rFonts w:ascii="Times New Roman" w:hAnsi="Times New Roman" w:cs="Times New Roman"/>
          <w:sz w:val="24"/>
          <w:szCs w:val="24"/>
        </w:rPr>
      </w:pPr>
      <w:r>
        <w:fldChar w:fldCharType="begin"/>
      </w:r>
      <w:r>
        <w:rPr>
          <w:sz w:val="24"/>
          <w:szCs w:val="24"/>
          <w:rFonts w:cs="Times New Roman" w:ascii="Times New Roman" w:hAnsi="Times New Roman"/>
          <w:color w:themeColor="text1" w:val="000000"/>
        </w:rPr>
        <w:instrText xml:space="preserve">ADDIN Mendeley Bibliography CSL_BIBLIOGRAPHY</w:instrText>
      </w:r>
      <w:r>
        <w:rPr>
          <w:rFonts w:cs="Times New Roman" w:ascii="Times New Roman" w:hAnsi="Times New Roman"/>
          <w:color w:themeColor="text1" w:val="000000"/>
          <w:sz w:val="24"/>
          <w:szCs w:val="24"/>
        </w:rPr>
      </w:r>
      <w:r>
        <w:rPr>
          <w:sz w:val="24"/>
          <w:szCs w:val="24"/>
          <w:rFonts w:cs="Times New Roman" w:ascii="Times New Roman" w:hAnsi="Times New Roman"/>
          <w:color w:themeColor="text1" w:val="000000"/>
        </w:rPr>
        <w:fldChar w:fldCharType="separate"/>
      </w:r>
      <w:r>
        <w:rPr>
          <w:rFonts w:cs="Times New Roman" w:ascii="Times New Roman" w:hAnsi="Times New Roman"/>
          <w:color w:themeColor="text1" w:val="000000"/>
          <w:sz w:val="24"/>
          <w:szCs w:val="24"/>
        </w:rPr>
      </w:r>
      <w:r>
        <w:rPr>
          <w:rFonts w:cs="Times New Roman" w:ascii="Times New Roman" w:hAnsi="Times New Roman"/>
          <w:sz w:val="24"/>
          <w:szCs w:val="24"/>
        </w:rPr>
        <w:t>1.</w:t>
        <w:tab/>
        <w:t xml:space="preserve">Yuksel-Elgin C, Elgin C. Intraocular pressure elevation after intravitreal triamcinolone acetonide injection: A Meta-analysis. Int J Ophthalmol. 2016;9(1):139–44.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w:t>
        <w:tab/>
        <w:t xml:space="preserve">KARAKAHYA RH, KALAYCI D, KARAKURT A. Ocular Hypertension and Glaucoma after Intravitreal Injection of Triamcinolone Acetonide. Middle Black Sea J Heal Sci. 2018;4(1):24–30.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3.</w:t>
        <w:tab/>
        <w:t xml:space="preserve">Sarao V, Veritti D, Boscia F, Lanzetta P. Intravitreal Steroids for the Treatment of Retinal Diseases. 2014;2014.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4.</w:t>
        <w:tab/>
        <w:t xml:space="preserve">Aceves-Franco LA, Sanchez-Aguilar OE, Barragan-Arias AR, Ponce-Gallegos MA, Navarro-Partida J, Santos A. The Evolution of Triamcinolone Acetonide Therapeutic Use in Retinal Diseases: From Off-Label Intravitreal Injection to Advanced Nano-Drug Delivery Systems. Vol. 11, Biomedicines. Multidisciplinary Digital Publishing Institute (MDPI); 2023.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5.</w:t>
        <w:tab/>
        <w:t xml:space="preserve">Kiddee W, Trope GE, Sheng L, Beltran-Agullo L, Smith M, Strungaru MH, et al. Intraocular Pressure Monitoring Post Intravitreal Steroids: A Systematic Review. Surv Ophthalmol. 2013;58(4):291–310.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6.</w:t>
        <w:tab/>
        <w:t xml:space="preserve">Article O, Rathi R, Patel S, Jain A, Jaiswal K, Nema N. Intraocular Pressure Elevation Following Intra- Vitreal Injection of Bevacizumab , Ranibizumab and Triamcinolone Acetonide. 2023;39(3):190–5.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7.</w:t>
        <w:tab/>
        <w:t xml:space="preserve">Vries VA De, Bassil FL, Ramdas WD. The effects of intravitreal injections on intraocular pressure and retinal nerve fiber layer : a systematic review and meta </w:t>
        <w:noBreakHyphen/>
        <w:t xml:space="preserve"> analysis. Sci Rep [Internet]. 2020;1–10. Available from: https://doi.org/10.1038/s41598-020-70269-7</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8.</w:t>
        <w:tab/>
        <w:t>Murad A, Maguire J, Bergfeld W. Drug‐induced alopecia areata? Clin Exp Dermatol [Internet]. 2021 Mar 1;46(2):363–6. Available from: https://doi.org/10.1111/ced.14381</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9.</w:t>
        <w:tab/>
        <w:t xml:space="preserve">Silpa S, Peranut N. Revisiting the Role of Intravitreal Triamcinolone in Diabetic Macular Edema : 12 </w:t>
        <w:noBreakHyphen/>
        <w:t xml:space="preserve"> Month Outcomes after Bevacizumab Failure. Ophthalmol Ther [Internet]. 2025;(0123456789). Available from: https://doi.org/10.1007/s40123-025-01172-5</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10.</w:t>
        <w:tab/>
        <w:t>Chuang LH, Yeung L, Wang NK, Chen HSL, Ku WC, Lai CC. Secondary Ocular Hypertension After Intravitreal Injection with 2 mg or 4 mg of Triamcinolone in Retinal Vein Occlusion. J Ocul Pharmacol Ther [Internet]. 2010 Jul 24;26(4):325–8. Available from: https://doi.org/10.1089/jop.2010.0039</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11.</w:t>
        <w:tab/>
        <w:t xml:space="preserve">Mihalache A, Hatamnejad A, Patil NS, Popovic MM, Kertes PJ, Cruz-Pimentel M, et al. Intravitreal Triamcinolone Acetonide for Diabetic Macular Edema and Macular Edema Secondary to Retinal Vein Occlusion: A Meta-Analysis. Ophthalmologica. 2024;247(1):19–29.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12.</w:t>
        <w:tab/>
        <w:t>Yang F, Hu R. Efficacy and safety of intravitreal conbercept and triamcinolone acetonide for wet age-related macular degeneration in China: a meta-analysis. Int Ophthalmol [Internet]. 2024;44(1):424. Available from: https://doi.org/10.1007/s10792-024-03346-9</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13.</w:t>
        <w:tab/>
        <w:t>Storey PP, Obeid A, Pancholy M, Goodman J, Borkar D, Su D, et al. OCULAR HYPERTENSION AFTER INTRAVITREAL INJECTION OF 2-MG TRIAMCINOLONE. RETINA [Internet]. 2020;40(1). Available from: https://journals.lww.com/retinajournal/fulltext/2020/01000/ocular_hypertension_after_intravitreal_injection.9.aspx</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14.</w:t>
        <w:tab/>
        <w:t xml:space="preserve">Aref AA, Scott IU, Oden NL, Ip MS, Blodi BA, Van Veldhuisen PC. Incidence, risk factors, and timing of elevated intraocular pressure after intravitreal triamcinolone acetonide injection for macular edema secondary to retinal vein occlusion SCORE study report 15. JAMA Ophthalmol. 2015;133(9):1022–9.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15.</w:t>
        <w:tab/>
        <w:t xml:space="preserve">Liu K, Yi J, Xu J, Zhong L, Su N. Efficacy of different routes of triamcinolone acetonide administration on macular edema : A systematic review and network meta- analysis. 2025;1–20.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16.</w:t>
        <w:tab/>
        <w:t xml:space="preserve">Sarao V, Veritti D, Lanzetta P. Triamcinolone acetonide for the treatment of diabetic macular oedema. Eur Endocrinol. 2012;8(1):42–7.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17.</w:t>
        <w:tab/>
        <w:t xml:space="preserve">Johari MK, Askari M, Amini A, Yasemi M. Acute Systemic Complications of Intravitreal Bevacizumab and Triamcinolone Injections – a Comparative Study. 2022;64(2):240–7.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18.</w:t>
        <w:tab/>
        <w:t>Lemos-reis R, Moreira-gonçalves N, Melo AB, Ângela M, Falcão-reis FM. Immediate effect of intravitreal injection of bevacizumab on intraocular pressure Immediate effect of intravitreal injection of bevacizumab on intraocular pressure. 2022; Available from: https://doi.org/10.2147/OPTH.S64721</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19.</w:t>
        <w:tab/>
        <w:t xml:space="preserve">Liu K, Yi J, Xu J, Zhong L, Su N. Efficacy of different routes of triamcinolone acetonide administration on macular edema: A systematic review and network meta-analysis. PLoS One. 2025;20(1 January).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20.</w:t>
        <w:tab/>
        <w:t xml:space="preserve">Rahman S, Tayyab H, Siddiqui MAR. Suprachoroidal Triamcinolone Acetonide Injection to Treat Macular Edema: A  Review. J Vitreoretin Dis. 2024 Oct;24741264241275270.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21.</w:t>
        <w:tab/>
        <w:t xml:space="preserve">Chuang LH, Yeung L, Wang NK, Chen HSL, Ku WC, Lai CC. Secondary ocular hypertension after intravitreal injection with 2 mg or 4 mg of triamcinolone in retinal vein occlusion. J Ocul Pharmacol Ther. 2010;26(4):325–8.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22.</w:t>
        <w:tab/>
        <w:t xml:space="preserve">Nauman A, Iqbal K, Seyal M. Effect of Suprachoroidal Triamcinolone Acetonide on Intraocular Pressure in  Macular Edema: A Retrospective Study. Cureus. 2025 Jan;17(1):e77282.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23.</w:t>
        <w:tab/>
        <w:t xml:space="preserve">Mingaine M. Intraocular Pressure Changes in Eyes Receiving Intravitreal Triamcinolone Acetonide in Kikuyu Eye Unit. 2013;(May). </w:t>
      </w:r>
    </w:p>
    <w:p>
      <w:pPr>
        <w:pStyle w:val="Normal"/>
        <w:widowControl w:val="false"/>
        <w:spacing w:lineRule="auto" w:line="360" w:before="0" w:after="0"/>
        <w:ind w:hanging="640" w:left="640"/>
        <w:rPr>
          <w:rFonts w:ascii="Times New Roman" w:hAnsi="Times New Roman" w:cs="Times New Roman"/>
          <w:sz w:val="24"/>
          <w:szCs w:val="24"/>
        </w:rPr>
      </w:pPr>
      <w:r>
        <w:rPr>
          <w:rFonts w:cs="Times New Roman" w:ascii="Times New Roman" w:hAnsi="Times New Roman"/>
          <w:sz w:val="24"/>
          <w:szCs w:val="24"/>
        </w:rPr>
        <w:t>24.</w:t>
        <w:tab/>
        <w:t xml:space="preserve">Sonmez K, Ozturk F. Complications of intravitreal triamcinolone acetonide for macular edema and predictive factors for intraocular pressure elevation. Int J Ophthalmol. 2012;5(6):719–25. </w:t>
      </w:r>
    </w:p>
    <w:p>
      <w:pPr>
        <w:pStyle w:val="Normal"/>
        <w:widowControl w:val="false"/>
        <w:spacing w:lineRule="auto" w:line="360" w:before="0" w:after="0"/>
        <w:ind w:hanging="640" w:left="640"/>
        <w:rPr>
          <w:rFonts w:ascii="Times New Roman" w:hAnsi="Times New Roman" w:cs="Times New Roman"/>
          <w:sz w:val="24"/>
        </w:rPr>
      </w:pPr>
      <w:r>
        <w:rPr>
          <w:rFonts w:cs="Times New Roman" w:ascii="Times New Roman" w:hAnsi="Times New Roman"/>
          <w:sz w:val="24"/>
          <w:szCs w:val="24"/>
        </w:rPr>
        <w:t>25.</w:t>
        <w:tab/>
        <w:t xml:space="preserve">Balasopoulou A, Κokkinos P, Pagoulatos D, Plotas P, Makri OE, Georgakopoulos CD, et al. Symposium Recent advances and challenges in the management of retinoblastoma Globe </w:t>
        <w:noBreakHyphen/>
        <w:t xml:space="preserve"> saving Treatments. BMC Ophthalmol. 2017;17(1):1. </w:t>
      </w:r>
    </w:p>
    <w:p>
      <w:pPr>
        <w:pStyle w:val="Normal"/>
        <w:spacing w:lineRule="auto" w:line="360"/>
        <w:rPr>
          <w:rFonts w:ascii="Times New Roman" w:hAnsi="Times New Roman" w:cs="Times New Roman"/>
          <w:color w:themeColor="text1" w:val="000000"/>
          <w:sz w:val="24"/>
          <w:szCs w:val="24"/>
        </w:rPr>
      </w:pPr>
      <w:r/>
      <w:r>
        <w:rPr>
          <w:sz w:val="24"/>
          <w:szCs w:val="24"/>
          <w:rFonts w:cs="Times New Roman" w:ascii="Times New Roman" w:hAnsi="Times New Roman"/>
          <w:color w:themeColor="text1" w:val="000000"/>
        </w:rPr>
        <w:fldChar w:fldCharType="end"/>
      </w:r>
      <w:r>
        <w:rPr>
          <w:rFonts w:cs="Times New Roman" w:ascii="Times New Roman" w:hAnsi="Times New Roman"/>
          <w:color w:themeColor="text1" w:val="000000"/>
          <w:sz w:val="24"/>
          <w:szCs w:val="24"/>
        </w:rPr>
      </w:r>
      <w:r>
        <w:br w:type="page"/>
      </w:r>
    </w:p>
    <w:p>
      <w:pPr>
        <w:pStyle w:val="Normal"/>
        <w:spacing w:lineRule="auto" w:line="360" w:before="0" w:after="160"/>
        <w:rPr>
          <w:rFonts w:ascii="Times New Roman" w:hAnsi="Times New Roman" w:eastAsia="Times New Roman" w:cs="Times New Roman"/>
          <w:sz w:val="24"/>
          <w:szCs w:val="24"/>
          <w:lang w:eastAsia="en-GB"/>
        </w:rPr>
      </w:pPr>
      <w:r>
        <w:rPr>
          <w:rFonts w:eastAsia="Times New Roman" w:cs="Times New Roman" w:ascii="Times New Roman" w:hAnsi="Times New Roman"/>
          <w:sz w:val="24"/>
          <w:szCs w:val="24"/>
          <w:lang w:eastAsia="en-GB"/>
        </w:rPr>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sz w:val="24"/>
          <w:szCs w:val="24"/>
          <w:lang w:eastAsia="en-GB"/>
        </w:rPr>
      </w:r>
      <w:bookmarkStart w:id="60" w:name="_Toc162525689"/>
      <w:bookmarkStart w:id="61" w:name="_Toc133575170"/>
      <w:bookmarkStart w:id="62" w:name="_Toc104993264"/>
      <w:bookmarkStart w:id="63" w:name="_Toc103910637"/>
      <w:bookmarkStart w:id="64" w:name="_Toc162525689"/>
      <w:bookmarkStart w:id="65" w:name="_Toc133575170"/>
      <w:bookmarkStart w:id="66" w:name="_Toc104993264"/>
      <w:bookmarkStart w:id="67" w:name="_Toc103910637"/>
      <w:bookmarkEnd w:id="64"/>
      <w:bookmarkEnd w:id="65"/>
      <w:bookmarkEnd w:id="66"/>
      <w:bookmarkEnd w:id="67"/>
      <w:r>
        <w:br w:type="page"/>
      </w:r>
    </w:p>
    <w:p>
      <w:pPr>
        <w:pStyle w:val="Normal"/>
        <w:spacing w:lineRule="auto" w:line="360" w:before="0" w:after="200"/>
        <w:rPr>
          <w:rFonts w:ascii="Times New Roman" w:hAnsi="Times New Roman" w:eastAsia="SimSun" w:cs="Times New Roman"/>
          <w:sz w:val="24"/>
          <w:szCs w:val="24"/>
        </w:rPr>
      </w:pPr>
      <w:r>
        <w:rPr>
          <w:rFonts w:eastAsia="SimSun" w:cs="Times New Roman" w:ascii="Times New Roman" w:hAnsi="Times New Roman"/>
          <w:sz w:val="24"/>
          <w:szCs w:val="24"/>
        </w:rPr>
      </w:r>
    </w:p>
    <w:p>
      <w:pPr>
        <w:pStyle w:val="Normal"/>
        <w:spacing w:lineRule="auto" w:line="360" w:before="240" w:after="0"/>
        <w:rPr>
          <w:rFonts w:ascii="Times New Roman" w:hAnsi="Times New Roman" w:eastAsia="SimSun" w:cs="Times New Roman"/>
          <w:b/>
          <w:bCs/>
          <w:sz w:val="24"/>
          <w:szCs w:val="24"/>
        </w:rPr>
      </w:pPr>
      <w:r>
        <w:rPr>
          <w:rFonts w:eastAsia="SimSun" w:cs="Times New Roman" w:ascii="Times New Roman" w:hAnsi="Times New Roman"/>
          <w:b/>
          <w:bCs/>
          <w:sz w:val="24"/>
          <w:szCs w:val="24"/>
        </w:rPr>
      </w:r>
    </w:p>
    <w:p>
      <w:pPr>
        <w:pStyle w:val="Normal"/>
        <w:spacing w:lineRule="auto" w:line="360" w:before="0" w:after="200"/>
        <w:rPr>
          <w:rFonts w:ascii="Times New Roman" w:hAnsi="Times New Roman" w:eastAsia="SimSun" w:cs="Times New Roman"/>
          <w:sz w:val="24"/>
          <w:szCs w:val="24"/>
        </w:rPr>
      </w:pPr>
      <w:r>
        <w:rPr>
          <w:rFonts w:eastAsia="SimSun" w:cs="Times New Roman" w:ascii="Times New Roman" w:hAnsi="Times New Roman"/>
          <w:sz w:val="24"/>
          <w:szCs w:val="24"/>
        </w:rPr>
      </w:r>
    </w:p>
    <w:p>
      <w:pPr>
        <w:pStyle w:val="Normal"/>
        <w:spacing w:lineRule="auto" w:line="36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Heading1"/>
        <w:jc w:val="left"/>
        <w:rPr/>
      </w:pPr>
      <w:r>
        <w:rPr/>
      </w:r>
    </w:p>
    <w:p>
      <w:pPr>
        <w:pStyle w:val="NormalWeb"/>
        <w:spacing w:lineRule="auto" w:line="360" w:before="280" w:after="280"/>
        <w:rPr/>
      </w:pPr>
      <w:r>
        <w:rPr/>
      </w:r>
    </w:p>
    <w:sectPr>
      <w:headerReference w:type="default" r:id="rId10"/>
      <w:headerReference w:type="first" r:id="rId11"/>
      <w:footerReference w:type="default" r:id="rId12"/>
      <w:footerReference w:type="first" r:id="rId13"/>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6-02-20T10:27:41Z" w:initials="">
    <w:p>
      <w:pPr>
        <w:overflowPunct w:val="false"/>
        <w:spacing w:before="0" w:after="0" w:lineRule="auto" w:line="240"/>
        <w:rPr/>
      </w:pPr>
      <w:r>
        <w:rPr>
          <w:rFonts w:ascii="Liberation Serif" w:hAnsi="Liberation Serif" w:eastAsia="DejaVu Sans" w:cs="Noto Sans Arabic"/>
          <w:sz w:val="24"/>
          <w:szCs w:val="24"/>
          <w:lang w:val="en-US" w:eastAsia="en-US" w:bidi="en-US"/>
        </w:rPr>
        <w:t>Ophthalmology</w:t>
      </w:r>
    </w:p>
  </w:comment>
  <w:comment w:id="1" w:author="Unknown Author" w:date="2026-02-20T10:36:15Z" w:initials="">
    <w:p>
      <w:pPr>
        <w:overflowPunct w:val="false"/>
        <w:spacing w:before="0" w:after="0" w:lineRule="auto" w:line="240"/>
        <w:rPr/>
      </w:pPr>
      <w:r>
        <w:rPr>
          <w:rFonts w:ascii="Liberation Serif" w:hAnsi="Liberation Serif" w:eastAsia="DejaVu Sans" w:cs="Noto Sans Arabic"/>
          <w:sz w:val="24"/>
          <w:szCs w:val="24"/>
          <w:lang w:val="en-US" w:eastAsia="en-US" w:bidi="en-US"/>
        </w:rPr>
        <w:t>The introduction part is good.</w:t>
      </w:r>
    </w:p>
    <w:p>
      <w:pPr>
        <w:overflowPunct w:val="false"/>
        <w:spacing w:before="0" w:after="0" w:lineRule="auto" w:line="240"/>
        <w:rPr/>
      </w:pPr>
      <w:r>
        <w:rPr>
          <w:rFonts w:ascii="Liberation Serif" w:hAnsi="Liberation Serif" w:eastAsia="DejaVu Sans" w:cs="Noto Sans Arabic"/>
          <w:sz w:val="24"/>
          <w:szCs w:val="24"/>
          <w:lang w:val="en-US" w:eastAsia="en-US" w:bidi="en-US"/>
        </w:rPr>
        <w:t xml:space="preserve">However, please try to include 3-4 paragraphs and include the objectives in it. </w:t>
      </w:r>
    </w:p>
  </w:comment>
  <w:comment w:id="2" w:author="Unknown Author" w:date="2026-02-20T10:31:02Z" w:initials="">
    <w:p>
      <w:pPr>
        <w:overflowPunct w:val="false"/>
        <w:spacing w:before="0" w:after="0" w:lineRule="auto" w:line="240"/>
        <w:rPr/>
      </w:pPr>
      <w:r>
        <w:rPr>
          <w:rFonts w:ascii="Liberation Serif" w:hAnsi="Liberation Serif" w:eastAsia="DejaVu Sans" w:cs="Noto Sans Arabic"/>
          <w:sz w:val="24"/>
          <w:szCs w:val="24"/>
          <w:lang w:val="en-US" w:eastAsia="en-US" w:bidi="en-US"/>
        </w:rPr>
        <w:t>Please include other literature which shows increase or decrease in IOP as the finding in this literature is similar to your study</w:t>
      </w:r>
    </w:p>
  </w:comment>
  <w:comment w:id="3" w:author="Unknown Author" w:date="2026-02-20T10:32:58Z" w:initials="">
    <w:p>
      <w:pPr>
        <w:overflowPunct w:val="false"/>
        <w:spacing w:before="0" w:after="0" w:lineRule="auto" w:line="240"/>
        <w:rPr/>
      </w:pPr>
      <w:r>
        <w:rPr>
          <w:rFonts w:ascii="Liberation Serif" w:hAnsi="Liberation Serif" w:eastAsia="DejaVu Sans" w:cs="Noto Sans Arabic"/>
          <w:sz w:val="24"/>
          <w:szCs w:val="24"/>
          <w:lang w:val="en-US" w:eastAsia="en-US" w:bidi="en-US"/>
        </w:rPr>
        <w:t xml:space="preserve">There are different theories which are available in books, inlcude them </w:t>
      </w:r>
    </w:p>
  </w:comment>
  <w:comment w:id="4" w:author="Unknown Author" w:date="2026-02-20T10:34:53Z" w:initials="">
    <w:p>
      <w:pPr>
        <w:overflowPunct w:val="false"/>
        <w:spacing w:before="0" w:after="0" w:lineRule="auto" w:line="240"/>
        <w:rPr/>
      </w:pPr>
      <w:r>
        <w:rPr>
          <w:rFonts w:ascii="Liberation Serif" w:hAnsi="Liberation Serif" w:eastAsia="DejaVu Sans" w:cs="Noto Sans Arabic"/>
          <w:sz w:val="24"/>
          <w:szCs w:val="24"/>
          <w:lang w:val="en-US" w:eastAsia="en-US" w:bidi="en-US"/>
        </w:rPr>
        <w:t>Write in lower case the red marked ones</w:t>
      </w:r>
    </w:p>
  </w:comment>
  <w:comment w:id="5" w:author="Unknown Author" w:date="2026-02-20T10:37:21Z" w:initials="">
    <w:p>
      <w:pPr>
        <w:overflowPunct w:val="false"/>
        <w:spacing w:before="0" w:after="0" w:lineRule="auto" w:line="240"/>
        <w:rPr/>
      </w:pPr>
      <w:r>
        <w:rPr>
          <w:rFonts w:ascii="Liberation Serif" w:hAnsi="Liberation Serif" w:eastAsia="DejaVu Sans" w:cs="Noto Sans Arabic"/>
          <w:sz w:val="24"/>
          <w:szCs w:val="24"/>
          <w:lang w:val="en-US" w:eastAsia="en-US" w:bidi="en-US"/>
        </w:rPr>
        <w:t>Include in the last paragraph of the background</w:t>
      </w:r>
    </w:p>
  </w:comment>
  <w:comment w:id="6" w:author="Unknown Author" w:date="2026-02-20T10:39:54Z" w:initials="">
    <w:p>
      <w:pPr>
        <w:overflowPunct w:val="false"/>
        <w:spacing w:before="0" w:after="0" w:lineRule="auto" w:line="240"/>
        <w:rPr/>
      </w:pPr>
      <w:r>
        <w:rPr>
          <w:rFonts w:ascii="Liberation Serif" w:hAnsi="Liberation Serif" w:eastAsia="DejaVu Sans" w:cs="Noto Sans Arabic"/>
          <w:sz w:val="24"/>
          <w:szCs w:val="24"/>
          <w:lang w:val="en-US" w:eastAsia="en-US" w:bidi="en-US"/>
        </w:rPr>
        <w:t>Quote the literarture</w:t>
      </w:r>
    </w:p>
  </w:comment>
  <w:comment w:id="7" w:author="Unknown Author" w:date="2026-02-20T11:47:52Z" w:initials="">
    <w:p>
      <w:pPr>
        <w:overflowPunct w:val="false"/>
        <w:spacing w:before="0" w:after="0" w:lineRule="auto" w:line="240"/>
        <w:rPr/>
      </w:pPr>
      <w:r>
        <w:rPr>
          <w:rFonts w:ascii="Liberation Serif" w:hAnsi="Liberation Serif" w:eastAsia="DejaVu Sans" w:cs="Noto Sans Arabic"/>
          <w:sz w:val="24"/>
          <w:szCs w:val="24"/>
          <w:lang w:val="en-US" w:eastAsia="en-US" w:bidi="en-US"/>
        </w:rPr>
        <w:t>How did u manage patients with high IOP, mention it as well.</w:t>
      </w:r>
    </w:p>
  </w:comment>
  <w:comment w:id="8" w:author="Unknown Author" w:date="2026-02-20T11:24:24Z" w:initials="">
    <w:p>
      <w:pPr>
        <w:overflowPunct w:val="false"/>
        <w:spacing w:before="0" w:after="0" w:lineRule="auto" w:line="240"/>
        <w:rPr/>
      </w:pPr>
      <w:r>
        <w:rPr>
          <w:rFonts w:ascii="Liberation Serif" w:hAnsi="Liberation Serif" w:eastAsia="DejaVu Sans" w:cs="Noto Sans Arabic"/>
          <w:sz w:val="24"/>
          <w:szCs w:val="24"/>
          <w:lang w:val="en-US" w:eastAsia="en-US" w:bidi="en-US"/>
        </w:rPr>
        <w:t>IVTA correct them</w:t>
      </w:r>
    </w:p>
  </w:comment>
  <w:comment w:id="9" w:author="Unknown Author" w:date="2026-02-20T11:28:04Z" w:initials="">
    <w:p>
      <w:pPr>
        <w:overflowPunct w:val="false"/>
        <w:spacing w:before="0" w:after="0" w:lineRule="auto" w:line="240"/>
        <w:rPr/>
      </w:pPr>
      <w:r>
        <w:rPr>
          <w:rFonts w:ascii="Liberation Serif" w:hAnsi="Liberation Serif" w:eastAsia="DejaVu Sans" w:cs="Noto Sans Arabic"/>
          <w:sz w:val="24"/>
          <w:szCs w:val="24"/>
          <w:lang w:val="en-US" w:eastAsia="en-US" w:bidi="en-US"/>
        </w:rPr>
        <w:t>Is it necessary to take the control eye for VA as it not significant.</w:t>
      </w:r>
    </w:p>
    <w:p>
      <w:pPr>
        <w:overflowPunct w:val="false"/>
        <w:spacing w:before="0" w:after="0" w:lineRule="auto" w:line="240"/>
        <w:rPr/>
      </w:pPr>
      <w:r>
        <w:rPr>
          <w:rFonts w:ascii="Liberation Serif" w:hAnsi="Liberation Serif" w:eastAsia="DejaVu Sans" w:cs="Noto Sans Arabic"/>
          <w:sz w:val="24"/>
          <w:szCs w:val="24"/>
          <w:lang w:val="en-US" w:eastAsia="en-US" w:bidi="en-US"/>
        </w:rPr>
        <w:t>It is well and good to include the injected eyes only</w:t>
      </w:r>
    </w:p>
  </w:comment>
  <w:comment w:id="10" w:author="Unknown Author" w:date="2026-02-20T11:32:39Z" w:initials="">
    <w:p>
      <w:pPr>
        <w:overflowPunct w:val="false"/>
        <w:spacing w:before="0" w:after="0" w:lineRule="auto" w:line="240"/>
        <w:rPr/>
      </w:pPr>
      <w:r>
        <w:rPr>
          <w:rFonts w:ascii="Liberation Serif" w:hAnsi="Liberation Serif" w:eastAsia="DejaVu Sans" w:cs="Noto Sans Arabic"/>
          <w:sz w:val="24"/>
          <w:szCs w:val="24"/>
          <w:lang w:val="en-US" w:eastAsia="en-US" w:bidi="en-US"/>
        </w:rPr>
        <w:t>Quote</w:t>
      </w:r>
    </w:p>
    <w:p>
      <w:pPr>
        <w:overflowPunct w:val="false"/>
        <w:spacing w:before="0" w:after="0" w:lineRule="auto" w:line="240"/>
        <w:rPr/>
      </w:pPr>
      <w:r>
        <w:rPr>
          <w:rFonts w:ascii="Liberation Serif" w:hAnsi="Liberation Serif" w:eastAsia="DejaVu Sans" w:cs="Noto Sans Arabic"/>
          <w:sz w:val="24"/>
          <w:szCs w:val="24"/>
          <w:lang w:val="en-US" w:eastAsia="en-US" w:bidi="en-US"/>
        </w:rPr>
        <w:t>Better to quote after the sentence, please this include below literature as well.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1184"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1184"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1184"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silver" stroked="f" o:allowincell="f" style="position:absolute;margin-left:-52.1pt;margin-top:178.35pt;width:535.25pt;height:74.1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pict>
        <v:shape id="shape_0" adj="10800" fillcolor="silver" stroked="f" o:allowincell="f" style="position:absolute;margin-left:-33.65pt;margin-top:286.85pt;width:535.25pt;height:74.1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pict>
        <v:shape id="shape_0" adj="10800" fillcolor="silver" stroked="f" o:allowincell="f" style="position:absolute;margin-left:-33.65pt;margin-top:286.85pt;width:535.25pt;height:74.1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pict>
        <v:shape id="shape_0" adj="10800" fillcolor="silver" stroked="f" o:allowincell="f" style="position:absolute;margin-left:-42pt;margin-top:311.8pt;width:535.25pt;height:74.1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14"/>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03285e"/>
    <w:pPr>
      <w:spacing w:lineRule="auto" w:line="360" w:before="0" w:after="0"/>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ef6979"/>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Heading3Char"/>
    <w:uiPriority w:val="9"/>
    <w:semiHidden/>
    <w:unhideWhenUsed/>
    <w:qFormat/>
    <w:rsid w:val="00ef6979"/>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3285e"/>
    <w:rPr>
      <w:rFonts w:ascii="Times New Roman" w:hAnsi="Times New Roman" w:cs="Times New Roman"/>
      <w:b/>
      <w:sz w:val="24"/>
      <w:szCs w:val="24"/>
      <w:lang w:val="en-US"/>
    </w:rPr>
  </w:style>
  <w:style w:type="character" w:styleId="Strong">
    <w:name w:val="Strong"/>
    <w:basedOn w:val="DefaultParagraphFont"/>
    <w:uiPriority w:val="22"/>
    <w:qFormat/>
    <w:rsid w:val="0003285e"/>
    <w:rPr>
      <w:b/>
      <w:bCs/>
    </w:rPr>
  </w:style>
  <w:style w:type="character" w:styleId="NoSpacingChar" w:customStyle="1">
    <w:name w:val="No Spacing Char"/>
    <w:basedOn w:val="DefaultParagraphFont"/>
    <w:link w:val="NoSpacing"/>
    <w:uiPriority w:val="1"/>
    <w:qFormat/>
    <w:rsid w:val="00620cf1"/>
    <w:rPr>
      <w:rFonts w:eastAsia="" w:eastAsiaTheme="minorEastAsia"/>
      <w:lang w:val="en-US" w:eastAsia="zh-CN"/>
    </w:rPr>
  </w:style>
  <w:style w:type="character" w:styleId="Heading2Char" w:customStyle="1">
    <w:name w:val="Heading 2 Char"/>
    <w:basedOn w:val="DefaultParagraphFont"/>
    <w:link w:val="Heading2"/>
    <w:uiPriority w:val="9"/>
    <w:qFormat/>
    <w:rsid w:val="00ef6979"/>
    <w:rPr>
      <w:rFonts w:ascii="Calibri Light" w:hAnsi="Calibri Light" w:eastAsia="" w:cs="" w:asciiTheme="majorHAnsi" w:cstheme="majorBidi" w:eastAsiaTheme="majorEastAsia" w:hAnsiTheme="majorHAnsi"/>
      <w:color w:themeColor="accent1" w:themeShade="bf" w:val="2E74B5"/>
      <w:sz w:val="26"/>
      <w:szCs w:val="26"/>
    </w:rPr>
  </w:style>
  <w:style w:type="character" w:styleId="Heading3Char" w:customStyle="1">
    <w:name w:val="Heading 3 Char"/>
    <w:basedOn w:val="DefaultParagraphFont"/>
    <w:link w:val="Heading3"/>
    <w:uiPriority w:val="9"/>
    <w:qFormat/>
    <w:rsid w:val="00ef6979"/>
    <w:rPr>
      <w:rFonts w:ascii="Calibri Light" w:hAnsi="Calibri Light" w:eastAsia="" w:cs="" w:asciiTheme="majorHAnsi" w:cstheme="majorBidi" w:eastAsiaTheme="majorEastAsia" w:hAnsiTheme="majorHAnsi"/>
      <w:color w:themeColor="accent1" w:themeShade="7f" w:val="1F4D78"/>
      <w:sz w:val="24"/>
      <w:szCs w:val="24"/>
    </w:rPr>
  </w:style>
  <w:style w:type="character" w:styleId="Hyperlink">
    <w:name w:val="Hyperlink"/>
    <w:basedOn w:val="DefaultParagraphFont"/>
    <w:uiPriority w:val="99"/>
    <w:unhideWhenUsed/>
    <w:rsid w:val="004e4ab0"/>
    <w:rPr>
      <w:color w:themeColor="hyperlink" w:val="0563C1"/>
      <w:u w:val="single"/>
    </w:rPr>
  </w:style>
  <w:style w:type="character" w:styleId="HeaderChar" w:customStyle="1">
    <w:name w:val="Header Char"/>
    <w:basedOn w:val="DefaultParagraphFont"/>
    <w:link w:val="Header"/>
    <w:uiPriority w:val="99"/>
    <w:qFormat/>
    <w:rsid w:val="00be574d"/>
    <w:rPr>
      <w:rFonts w:ascii="Times New Roman" w:hAnsi="Times New Roman" w:eastAsia="" w:eastAsiaTheme="minorEastAsia"/>
      <w:sz w:val="24"/>
      <w:lang w:val="en-US"/>
    </w:rPr>
  </w:style>
  <w:style w:type="character" w:styleId="FooterChar" w:customStyle="1">
    <w:name w:val="Footer Char"/>
    <w:basedOn w:val="DefaultParagraphFont"/>
    <w:link w:val="Footer"/>
    <w:uiPriority w:val="99"/>
    <w:qFormat/>
    <w:rsid w:val="00be574d"/>
    <w:rPr>
      <w:rFonts w:ascii="Times New Roman" w:hAnsi="Times New Roman" w:eastAsia="" w:eastAsiaTheme="minorEastAsia"/>
      <w:sz w:val="24"/>
      <w:lang w:val="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ef6979"/>
    <w:pPr>
      <w:spacing w:lineRule="auto" w:line="360" w:before="0" w:after="0"/>
    </w:pPr>
    <w:rPr>
      <w:rFonts w:ascii="Times New Roman" w:hAnsi="Times New Roman" w:eastAsia="" w:cs="Times New Roman" w:eastAsiaTheme="minorEastAsia"/>
      <w:b/>
      <w:bCs/>
      <w:sz w:val="24"/>
      <w:szCs w:val="18"/>
      <w:lang w:val="en-US" w:eastAsia="zh-CN"/>
    </w:rPr>
  </w:style>
  <w:style w:type="paragraph" w:styleId="Index">
    <w:name w:val="Index"/>
    <w:basedOn w:val="Normal"/>
    <w:qFormat/>
    <w:pPr>
      <w:suppressLineNumbers/>
    </w:pPr>
    <w:rPr>
      <w:rFonts w:cs="Noto Sans Devanagari"/>
    </w:rPr>
  </w:style>
  <w:style w:type="paragraph" w:styleId="NormalWeb">
    <w:name w:val="Normal (Web)"/>
    <w:basedOn w:val="Normal"/>
    <w:uiPriority w:val="99"/>
    <w:unhideWhenUsed/>
    <w:qFormat/>
    <w:rsid w:val="0003285e"/>
    <w:pPr>
      <w:spacing w:lineRule="auto" w:line="240" w:beforeAutospacing="1" w:afterAutospacing="1"/>
    </w:pPr>
    <w:rPr>
      <w:rFonts w:ascii="Times New Roman" w:hAnsi="Times New Roman" w:eastAsia="Times New Roman" w:cs="Times New Roman"/>
      <w:sz w:val="24"/>
      <w:szCs w:val="24"/>
      <w:lang w:val="en-US"/>
    </w:rPr>
  </w:style>
  <w:style w:type="paragraph" w:styleId="NoSpacing">
    <w:name w:val="No Spacing"/>
    <w:link w:val="NoSpacingChar"/>
    <w:uiPriority w:val="1"/>
    <w:qFormat/>
    <w:rsid w:val="00620cf1"/>
    <w:pPr>
      <w:widowControl/>
      <w:bidi w:val="0"/>
      <w:spacing w:lineRule="auto" w:line="240" w:before="0" w:after="0"/>
      <w:jc w:val="left"/>
    </w:pPr>
    <w:rPr>
      <w:rFonts w:eastAsia="" w:eastAsiaTheme="minorEastAsia" w:ascii="Calibri" w:hAnsi="Calibri" w:cs=""/>
      <w:color w:val="auto"/>
      <w:kern w:val="0"/>
      <w:sz w:val="22"/>
      <w:szCs w:val="22"/>
      <w:lang w:val="en-US" w:eastAsia="zh-CN"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be574d"/>
    <w:pPr>
      <w:tabs>
        <w:tab w:val="clear" w:pos="720"/>
        <w:tab w:val="center" w:pos="4680" w:leader="none"/>
        <w:tab w:val="right" w:pos="9360" w:leader="none"/>
      </w:tabs>
      <w:spacing w:lineRule="auto" w:line="240" w:before="0" w:after="0"/>
    </w:pPr>
    <w:rPr>
      <w:rFonts w:ascii="Times New Roman" w:hAnsi="Times New Roman" w:eastAsia="" w:eastAsiaTheme="minorEastAsia"/>
      <w:sz w:val="24"/>
      <w:lang w:val="en-US"/>
    </w:rPr>
  </w:style>
  <w:style w:type="paragraph" w:styleId="Footer">
    <w:name w:val="Footer"/>
    <w:basedOn w:val="Normal"/>
    <w:link w:val="FooterChar"/>
    <w:uiPriority w:val="99"/>
    <w:unhideWhenUsed/>
    <w:rsid w:val="00be574d"/>
    <w:pPr>
      <w:tabs>
        <w:tab w:val="clear" w:pos="720"/>
        <w:tab w:val="center" w:pos="4680" w:leader="none"/>
        <w:tab w:val="right" w:pos="9360" w:leader="none"/>
      </w:tabs>
      <w:spacing w:lineRule="auto" w:line="240" w:before="0" w:after="0"/>
    </w:pPr>
    <w:rPr>
      <w:rFonts w:ascii="Times New Roman" w:hAnsi="Times New Roman" w:eastAsia="" w:eastAsiaTheme="minorEastAsia"/>
      <w:sz w:val="24"/>
      <w:lang w:val="en-US"/>
    </w:rPr>
  </w:style>
  <w:style w:type="paragraph" w:styleId="HeaderLeft">
    <w:name w:val="Header Left"/>
    <w:basedOn w:val="Header"/>
    <w:qFormat/>
    <w:pPr/>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Light1">
    <w:name w:val="Table Grid Light1"/>
    <w:basedOn w:val="TableNormal"/>
    <w:uiPriority w:val="40"/>
    <w:rsid w:val="00ef6979"/>
    <w:pPr>
      <w:spacing w:after="0" w:line="240" w:lineRule="auto"/>
    </w:pPr>
    <w:rPr>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PlainTable21">
    <w:name w:val="Plain Table 21"/>
    <w:basedOn w:val="TableNormal"/>
    <w:uiPriority w:val="42"/>
    <w:rsid w:val="00ef6979"/>
    <w:pPr>
      <w:spacing w:after="0" w:line="240" w:lineRule="auto"/>
    </w:pPr>
    <w:rPr>
      <w:lang w:val="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TableGrid2">
    <w:name w:val="Table Grid2"/>
    <w:basedOn w:val="TableNormal"/>
    <w:uiPriority w:val="59"/>
    <w:rsid w:val="00ef697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ef69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Percentage</c:v>
                </c:pt>
              </c:strCache>
            </c:strRef>
          </c:tx>
          <c:spPr>
            <a:gradFill>
              <a:gsLst>
                <a:gs pos="0">
                  <a:srgbClr val="71a6da"/>
                </a:gs>
                <a:gs pos="50000">
                  <a:srgbClr val="549ada"/>
                </a:gs>
                <a:gs pos="100000">
                  <a:srgbClr val="448ac9"/>
                </a:gs>
              </a:gsLst>
              <a:lin ang="5400000"/>
            </a:gradFill>
            <a:ln w="0">
              <a:noFill/>
            </a:ln>
          </c:spPr>
          <c:invertIfNegative val="0"/>
          <c:dPt>
            <c:idx val="0"/>
            <c:invertIfNegative val="0"/>
            <c:spPr>
              <a:gradFill>
                <a:gsLst>
                  <a:gs pos="0">
                    <a:srgbClr val="71a6da"/>
                  </a:gs>
                  <a:gs pos="50000">
                    <a:srgbClr val="549ada"/>
                  </a:gs>
                  <a:gs pos="100000">
                    <a:srgbClr val="448ac9"/>
                  </a:gs>
                </a:gsLst>
                <a:lin ang="5400000"/>
              </a:gradFill>
              <a:ln w="0">
                <a:noFill/>
              </a:ln>
            </c:spPr>
          </c:dPt>
          <c:dPt>
            <c:idx val="1"/>
            <c:invertIfNegative val="0"/>
            <c:spPr>
              <a:gradFill>
                <a:gsLst>
                  <a:gs pos="0">
                    <a:srgbClr val="71a6da"/>
                  </a:gs>
                  <a:gs pos="50000">
                    <a:srgbClr val="549ada"/>
                  </a:gs>
                  <a:gs pos="100000">
                    <a:srgbClr val="448ac9"/>
                  </a:gs>
                </a:gsLst>
                <a:lin ang="5400000"/>
              </a:gradFill>
              <a:ln w="0">
                <a:noFill/>
              </a:ln>
            </c:spPr>
          </c:dPt>
          <c:dPt>
            <c:idx val="2"/>
            <c:invertIfNegative val="0"/>
            <c:spPr>
              <a:gradFill>
                <a:gsLst>
                  <a:gs pos="0">
                    <a:srgbClr val="71a6da"/>
                  </a:gs>
                  <a:gs pos="50000">
                    <a:srgbClr val="549ada"/>
                  </a:gs>
                  <a:gs pos="100000">
                    <a:srgbClr val="448ac9"/>
                  </a:gs>
                </a:gsLst>
                <a:lin ang="5400000"/>
              </a:gradFill>
              <a:ln w="0">
                <a:noFill/>
              </a:ln>
            </c:spPr>
          </c:dPt>
          <c:dPt>
            <c:idx val="3"/>
            <c:invertIfNegative val="0"/>
            <c:spPr>
              <a:gradFill>
                <a:gsLst>
                  <a:gs pos="0">
                    <a:srgbClr val="71a6da"/>
                  </a:gs>
                  <a:gs pos="50000">
                    <a:srgbClr val="549ada"/>
                  </a:gs>
                  <a:gs pos="100000">
                    <a:srgbClr val="448ac9"/>
                  </a:gs>
                </a:gsLst>
                <a:lin ang="5400000"/>
              </a:gradFill>
              <a:ln w="0">
                <a:noFill/>
              </a:ln>
            </c:spPr>
          </c:dPt>
          <c:dLbls>
            <c:numFmt formatCode="General" sourceLinked="0"/>
            <c:dLbl>
              <c:idx val="0"/>
              <c:txPr>
                <a:bodyPr wrap="square"/>
                <a:lstStyle/>
                <a:p>
                  <a:pPr>
                    <a:defRPr b="0" sz="900" spc="-1" strike="noStrike">
                      <a:solidFill>
                        <a:srgbClr val="000000"/>
                      </a:solidFill>
                      <a:latin typeface="Calibri"/>
                    </a:defRPr>
                  </a:pPr>
                </a:p>
              </c:txPr>
              <c:tx>
                <c:rich>
                  <a:bodyPr/>
                  <a:p>
                    <a:r>
                      <a:rPr b="0" sz="900" spc="-1" strike="noStrike">
                        <a:solidFill>
                          <a:srgbClr val="000000"/>
                        </a:solidFill>
                        <a:latin typeface="Calibri"/>
                      </a:rPr>
                      <a:t>58.9%</a:t>
                    </a:r>
                  </a:p>
                </c:rich>
              </c:tx>
              <c:dLblPos val="outEnd"/>
              <c:showLegendKey val="0"/>
              <c:showVal val="0"/>
              <c:showCatName val="0"/>
              <c:showSerName val="0"/>
              <c:showPercent val="0"/>
              <c:separator>; </c:separator>
            </c:dLbl>
            <c:dLbl>
              <c:idx val="1"/>
              <c:txPr>
                <a:bodyPr wrap="square"/>
                <a:lstStyle/>
                <a:p>
                  <a:pPr>
                    <a:defRPr b="0" sz="900" spc="-1" strike="noStrike">
                      <a:solidFill>
                        <a:srgbClr val="000000"/>
                      </a:solidFill>
                      <a:latin typeface="Calibri"/>
                    </a:defRPr>
                  </a:pPr>
                </a:p>
              </c:txPr>
              <c:tx>
                <c:rich>
                  <a:bodyPr/>
                  <a:p>
                    <a:r>
                      <a:rPr b="0" sz="900" spc="-1" strike="noStrike">
                        <a:solidFill>
                          <a:srgbClr val="000000"/>
                        </a:solidFill>
                        <a:latin typeface="Calibri"/>
                      </a:rPr>
                      <a:t>9.3%</a:t>
                    </a:r>
                  </a:p>
                </c:rich>
              </c:tx>
              <c:dLblPos val="outEnd"/>
              <c:showLegendKey val="0"/>
              <c:showVal val="0"/>
              <c:showCatName val="0"/>
              <c:showSerName val="0"/>
              <c:showPercent val="0"/>
              <c:separator>; </c:separator>
            </c:dLbl>
            <c:dLbl>
              <c:idx val="2"/>
              <c:txPr>
                <a:bodyPr wrap="square"/>
                <a:lstStyle/>
                <a:p>
                  <a:pPr>
                    <a:defRPr b="0" sz="900" spc="-1" strike="noStrike">
                      <a:solidFill>
                        <a:srgbClr val="000000"/>
                      </a:solidFill>
                      <a:latin typeface="Calibri"/>
                    </a:defRPr>
                  </a:pPr>
                </a:p>
              </c:txPr>
              <c:tx>
                <c:rich>
                  <a:bodyPr/>
                  <a:p>
                    <a:r>
                      <a:rPr b="0" sz="900" spc="-1" strike="noStrike">
                        <a:solidFill>
                          <a:srgbClr val="000000"/>
                        </a:solidFill>
                        <a:latin typeface="Calibri"/>
                      </a:rPr>
                      <a:t>3.7%</a:t>
                    </a:r>
                  </a:p>
                </c:rich>
              </c:tx>
              <c:dLblPos val="outEnd"/>
              <c:showLegendKey val="0"/>
              <c:showVal val="0"/>
              <c:showCatName val="0"/>
              <c:showSerName val="0"/>
              <c:showPercent val="0"/>
              <c:separator>; </c:separator>
            </c:dLbl>
            <c:dLbl>
              <c:idx val="3"/>
              <c:txPr>
                <a:bodyPr wrap="square"/>
                <a:lstStyle/>
                <a:p>
                  <a:pPr>
                    <a:defRPr b="0" sz="900" spc="-1" strike="noStrike">
                      <a:solidFill>
                        <a:srgbClr val="000000"/>
                      </a:solidFill>
                      <a:latin typeface="Calibri"/>
                    </a:defRPr>
                  </a:pPr>
                </a:p>
              </c:txPr>
              <c:tx>
                <c:rich>
                  <a:bodyPr/>
                  <a:p>
                    <a:r>
                      <a:rPr b="0" sz="900" spc="-1" strike="noStrike">
                        <a:solidFill>
                          <a:srgbClr val="000000"/>
                        </a:solidFill>
                        <a:latin typeface="Calibri"/>
                      </a:rPr>
                      <a:t>28%</a:t>
                    </a:r>
                  </a:p>
                </c:rich>
              </c:tx>
              <c:dLblPos val="outEnd"/>
              <c:showLegendKey val="0"/>
              <c:showVal val="0"/>
              <c:showCatName val="0"/>
              <c:showSerName val="0"/>
              <c:showPercent val="0"/>
              <c:separator>; </c:separator>
            </c:dLbl>
            <c:txPr>
              <a:bodyPr wrap="square"/>
              <a:lstStyle/>
              <a:p>
                <a:pPr>
                  <a:defRPr b="0" sz="900" spc="-1" strike="noStrike">
                    <a:solidFill>
                      <a:srgbClr val="000000"/>
                    </a:solidFill>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CME</c:v>
                </c:pt>
                <c:pt idx="1">
                  <c:v>RVO</c:v>
                </c:pt>
                <c:pt idx="2">
                  <c:v>AMD</c:v>
                </c:pt>
                <c:pt idx="3">
                  <c:v>DME</c:v>
                </c:pt>
              </c:strCache>
            </c:strRef>
          </c:cat>
          <c:val>
            <c:numRef>
              <c:f>0</c:f>
              <c:numCache>
                <c:formatCode>General</c:formatCode>
                <c:ptCount val="4"/>
                <c:pt idx="0">
                  <c:v>58.9</c:v>
                </c:pt>
                <c:pt idx="1">
                  <c:v>9.3</c:v>
                </c:pt>
                <c:pt idx="2">
                  <c:v>3.7</c:v>
                </c:pt>
                <c:pt idx="3">
                  <c:v>28</c:v>
                </c:pt>
              </c:numCache>
            </c:numRef>
          </c:val>
        </c:ser>
        <c:gapWidth val="100"/>
        <c:overlap val="-24"/>
        <c:axId val="80291244"/>
        <c:axId val="30640143"/>
      </c:barChart>
      <c:catAx>
        <c:axId val="80291244"/>
        <c:scaling>
          <c:orientation val="minMax"/>
        </c:scaling>
        <c:delete val="0"/>
        <c:axPos val="b"/>
        <c:title>
          <c:tx>
            <c:rich>
              <a:bodyPr rot="0"/>
              <a:lstStyle/>
              <a:p>
                <a:pPr>
                  <a:defRPr b="1" lang="en-US" sz="900" spc="-1" strike="noStrike">
                    <a:solidFill>
                      <a:srgbClr val="000000"/>
                    </a:solidFill>
                    <a:latin typeface="Calibri"/>
                  </a:defRPr>
                </a:pPr>
                <a:r>
                  <a:rPr b="1" lang="en-US" sz="900" spc="-1" strike="noStrike">
                    <a:solidFill>
                      <a:srgbClr val="000000"/>
                    </a:solidFill>
                    <a:latin typeface="Calibri"/>
                  </a:rPr>
                  <a:t>Triamcinolone indication 
</a:t>
                </a:r>
              </a:p>
            </c:rich>
          </c:tx>
          <c:overlay val="0"/>
          <c:spPr>
            <a:noFill/>
            <a:ln w="0">
              <a:noFill/>
            </a:ln>
          </c:spPr>
        </c:title>
        <c:numFmt formatCode="General" sourceLinked="0"/>
        <c:majorTickMark val="none"/>
        <c:minorTickMark val="none"/>
        <c:tickLblPos val="nextTo"/>
        <c:spPr>
          <a:ln w="9360">
            <a:solidFill>
              <a:srgbClr val="e0e5eb"/>
            </a:solidFill>
            <a:round/>
          </a:ln>
        </c:spPr>
        <c:txPr>
          <a:bodyPr/>
          <a:lstStyle/>
          <a:p>
            <a:pPr>
              <a:defRPr b="0" sz="900" spc="-1" strike="noStrike">
                <a:solidFill>
                  <a:srgbClr val="000000"/>
                </a:solidFill>
                <a:latin typeface="Calibri"/>
              </a:defRPr>
            </a:pPr>
          </a:p>
        </c:txPr>
        <c:crossAx val="30640143"/>
        <c:crosses val="autoZero"/>
        <c:auto val="1"/>
        <c:lblAlgn val="ctr"/>
        <c:lblOffset val="100"/>
        <c:noMultiLvlLbl val="0"/>
      </c:catAx>
      <c:valAx>
        <c:axId val="30640143"/>
        <c:scaling>
          <c:orientation val="minMax"/>
        </c:scaling>
        <c:delete val="0"/>
        <c:axPos val="l"/>
        <c:majorGridlines>
          <c:spPr>
            <a:ln w="9360">
              <a:solidFill>
                <a:srgbClr val="e0e5eb"/>
              </a:solidFill>
              <a:round/>
            </a:ln>
          </c:spPr>
        </c:majorGridlines>
        <c:title>
          <c:tx>
            <c:rich>
              <a:bodyPr rot="-5400000"/>
              <a:lstStyle/>
              <a:p>
                <a:pPr>
                  <a:defRPr b="1" lang="en-US" sz="900" spc="-1" strike="noStrike">
                    <a:solidFill>
                      <a:srgbClr val="000000"/>
                    </a:solidFill>
                    <a:latin typeface="Calibri"/>
                  </a:defRPr>
                </a:pPr>
                <a:r>
                  <a:rPr b="1" lang="en-US" sz="900" spc="-1" strike="noStrike">
                    <a:solidFill>
                      <a:srgbClr val="000000"/>
                    </a:solidFill>
                    <a:latin typeface="Calibri"/>
                  </a:rPr>
                  <a:t>Percentage</a:t>
                </a:r>
              </a:p>
            </c:rich>
          </c:tx>
          <c:overlay val="0"/>
          <c:spPr>
            <a:noFill/>
            <a:ln w="0">
              <a:noFill/>
            </a:ln>
          </c:spPr>
        </c:title>
        <c:numFmt formatCode="General" sourceLinked="0"/>
        <c:majorTickMark val="none"/>
        <c:minorTickMark val="none"/>
        <c:tickLblPos val="nextTo"/>
        <c:spPr>
          <a:ln w="6480">
            <a:noFill/>
          </a:ln>
        </c:spPr>
        <c:txPr>
          <a:bodyPr/>
          <a:lstStyle/>
          <a:p>
            <a:pPr>
              <a:defRPr b="0" sz="900" spc="-1" strike="noStrike">
                <a:solidFill>
                  <a:srgbClr val="000000"/>
                </a:solidFill>
                <a:latin typeface="Calibri"/>
              </a:defRPr>
            </a:pPr>
          </a:p>
        </c:txPr>
        <c:crossAx val="80291244"/>
        <c:crosses val="autoZero"/>
        <c:crossBetween val="between"/>
      </c:valAx>
      <c:spPr>
        <a:noFill/>
        <a:ln w="0">
          <a:noFill/>
        </a:ln>
      </c:spPr>
    </c:plotArea>
    <c:plotVisOnly val="1"/>
    <c:dispBlanksAs val="gap"/>
  </c:chart>
  <c:spPr>
    <a:solidFill>
      <a:srgbClr val="ffffff"/>
    </a:solidFill>
    <a:ln w="9360">
      <a:solidFill>
        <a:srgbClr val="e0e5eb"/>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Injected Eye</c:v>
                </c:pt>
              </c:strCache>
            </c:strRef>
          </c:tx>
          <c:spPr>
            <a:solidFill>
              <a:srgbClr val="5b9bd5"/>
            </a:solidFill>
            <a:ln cap="rnd" w="28440">
              <a:solidFill>
                <a:srgbClr val="5b9bd5"/>
              </a:solidFill>
              <a:round/>
            </a:ln>
          </c:spPr>
          <c:marker>
            <c:symbol val="circle"/>
            <c:size val="5"/>
            <c:spPr>
              <a:solidFill>
                <a:srgbClr val="5b9bd5"/>
              </a:solidFill>
            </c:spPr>
          </c:marker>
          <c:dLbls>
            <c:txPr>
              <a:bodyPr wrap="square"/>
              <a:lstStyle/>
              <a:p>
                <a:pPr>
                  <a:defRPr b="0" sz="1100" spc="-1" strike="noStrike">
                    <a:solidFill>
                      <a:srgbClr val="000000"/>
                    </a:solidFill>
                    <a:latin typeface="Calibri"/>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IOP Baseline</c:v>
                </c:pt>
                <c:pt idx="1">
                  <c:v>IOP Immediate</c:v>
                </c:pt>
                <c:pt idx="2">
                  <c:v>IOP 2 weeks</c:v>
                </c:pt>
                <c:pt idx="3">
                  <c:v>IOP 6 weeks</c:v>
                </c:pt>
              </c:strCache>
            </c:strRef>
          </c:cat>
          <c:val>
            <c:numRef>
              <c:f>0</c:f>
              <c:numCache>
                <c:formatCode>General</c:formatCode>
                <c:ptCount val="4"/>
                <c:pt idx="0">
                  <c:v>14.59</c:v>
                </c:pt>
                <c:pt idx="1">
                  <c:v>28.42</c:v>
                </c:pt>
                <c:pt idx="2">
                  <c:v>17.75</c:v>
                </c:pt>
                <c:pt idx="3">
                  <c:v>17.05</c:v>
                </c:pt>
              </c:numCache>
            </c:numRef>
          </c:val>
          <c:smooth val="0"/>
        </c:ser>
        <c:ser>
          <c:idx val="1"/>
          <c:order val="1"/>
          <c:tx>
            <c:strRef>
              <c:f>label 1</c:f>
              <c:strCache>
                <c:ptCount val="1"/>
                <c:pt idx="0">
                  <c:v>Non-injected eye</c:v>
                </c:pt>
              </c:strCache>
            </c:strRef>
          </c:tx>
          <c:spPr>
            <a:solidFill>
              <a:srgbClr val="ed7d31"/>
            </a:solidFill>
            <a:ln cap="rnd" w="28440">
              <a:solidFill>
                <a:srgbClr val="ed7d31"/>
              </a:solidFill>
              <a:round/>
            </a:ln>
          </c:spPr>
          <c:marker>
            <c:symbol val="circle"/>
            <c:size val="5"/>
            <c:spPr>
              <a:solidFill>
                <a:srgbClr val="ed7d31"/>
              </a:solidFill>
            </c:spPr>
          </c:marker>
          <c:dLbls>
            <c:txPr>
              <a:bodyPr wrap="square"/>
              <a:lstStyle/>
              <a:p>
                <a:pPr>
                  <a:defRPr b="0" sz="1100" spc="-1" strike="noStrike">
                    <a:solidFill>
                      <a:srgbClr val="000000"/>
                    </a:solidFill>
                    <a:latin typeface="Calibri"/>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IOP Baseline</c:v>
                </c:pt>
                <c:pt idx="1">
                  <c:v>IOP Immediate</c:v>
                </c:pt>
                <c:pt idx="2">
                  <c:v>IOP 2 weeks</c:v>
                </c:pt>
                <c:pt idx="3">
                  <c:v>IOP 6 weeks</c:v>
                </c:pt>
              </c:strCache>
            </c:strRef>
          </c:cat>
          <c:val>
            <c:numRef>
              <c:f>1</c:f>
              <c:numCache>
                <c:formatCode>General</c:formatCode>
                <c:ptCount val="4"/>
                <c:pt idx="0">
                  <c:v>13.85</c:v>
                </c:pt>
                <c:pt idx="1">
                  <c:v>13.45</c:v>
                </c:pt>
                <c:pt idx="2">
                  <c:v>13.61</c:v>
                </c:pt>
                <c:pt idx="3">
                  <c:v>12.9</c:v>
                </c:pt>
              </c:numCache>
            </c:numRef>
          </c:val>
          <c:smooth val="0"/>
        </c:ser>
        <c:hiLowLines>
          <c:spPr>
            <a:ln w="0">
              <a:noFill/>
            </a:ln>
          </c:spPr>
        </c:hiLowLines>
        <c:marker val="1"/>
        <c:axId val="15392544"/>
        <c:axId val="44645987"/>
      </c:lineChart>
      <c:catAx>
        <c:axId val="15392544"/>
        <c:scaling>
          <c:orientation val="minMax"/>
        </c:scaling>
        <c:delete val="0"/>
        <c:axPos val="b"/>
        <c:title>
          <c:tx>
            <c:rich>
              <a:bodyPr rot="0"/>
              <a:lstStyle/>
              <a:p>
                <a:pPr>
                  <a:defRPr b="1" lang="en-US" sz="1100" spc="-1" strike="noStrike">
                    <a:solidFill>
                      <a:srgbClr val="595959"/>
                    </a:solidFill>
                    <a:latin typeface="Calibri"/>
                  </a:defRPr>
                </a:pPr>
                <a:r>
                  <a:rPr b="1" lang="en-US" sz="1100" spc="-1" strike="noStrike">
                    <a:solidFill>
                      <a:srgbClr val="595959"/>
                    </a:solidFill>
                    <a:latin typeface="Calibri"/>
                  </a:rPr>
                  <a:t>follow-up time</a:t>
                </a:r>
              </a:p>
            </c:rich>
          </c:tx>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1100" spc="-1" strike="noStrike">
                <a:solidFill>
                  <a:srgbClr val="595959"/>
                </a:solidFill>
                <a:latin typeface="Calibri"/>
              </a:defRPr>
            </a:pPr>
          </a:p>
        </c:txPr>
        <c:crossAx val="44645987"/>
        <c:crosses val="autoZero"/>
        <c:auto val="1"/>
        <c:lblAlgn val="ctr"/>
        <c:lblOffset val="100"/>
        <c:noMultiLvlLbl val="0"/>
      </c:catAx>
      <c:valAx>
        <c:axId val="44645987"/>
        <c:scaling>
          <c:orientation val="minMax"/>
        </c:scaling>
        <c:delete val="0"/>
        <c:axPos val="l"/>
        <c:majorGridlines>
          <c:spPr>
            <a:ln w="9360">
              <a:solidFill>
                <a:srgbClr val="d9d9d9"/>
              </a:solidFill>
              <a:round/>
            </a:ln>
          </c:spPr>
        </c:majorGridlines>
        <c:title>
          <c:tx>
            <c:rich>
              <a:bodyPr rot="-5400000"/>
              <a:lstStyle/>
              <a:p>
                <a:pPr>
                  <a:defRPr b="1" lang="en-US" sz="1100" spc="-1" strike="noStrike">
                    <a:solidFill>
                      <a:srgbClr val="595959"/>
                    </a:solidFill>
                    <a:latin typeface="Calibri"/>
                  </a:defRPr>
                </a:pPr>
                <a:r>
                  <a:rPr b="1" lang="en-US" sz="1100" spc="-1" strike="noStrike">
                    <a:solidFill>
                      <a:srgbClr val="595959"/>
                    </a:solidFill>
                    <a:latin typeface="Calibri"/>
                  </a:rPr>
                  <a:t>IOP in mmHg</a:t>
                </a:r>
              </a:p>
            </c:rich>
          </c:tx>
          <c:overlay val="0"/>
          <c:spPr>
            <a:noFill/>
            <a:ln w="0">
              <a:noFill/>
            </a:ln>
          </c:spPr>
        </c:title>
        <c:numFmt formatCode="General" sourceLinked="0"/>
        <c:majorTickMark val="none"/>
        <c:minorTickMark val="none"/>
        <c:tickLblPos val="nextTo"/>
        <c:spPr>
          <a:ln w="6480">
            <a:noFill/>
          </a:ln>
        </c:spPr>
        <c:txPr>
          <a:bodyPr/>
          <a:lstStyle/>
          <a:p>
            <a:pPr>
              <a:defRPr b="1" sz="1100" spc="-1" strike="noStrike">
                <a:solidFill>
                  <a:srgbClr val="595959"/>
                </a:solidFill>
                <a:latin typeface="Calibri"/>
              </a:defRPr>
            </a:pPr>
          </a:p>
        </c:txPr>
        <c:crossAx val="15392544"/>
        <c:crosses val="autoZero"/>
        <c:crossBetween val="between"/>
      </c:valAx>
      <c:spPr>
        <a:noFill/>
        <a:ln w="0">
          <a:noFill/>
        </a:ln>
      </c:spPr>
    </c:plotArea>
    <c:legend>
      <c:legendPos val="b"/>
      <c:overlay val="0"/>
      <c:spPr>
        <a:noFill/>
        <a:ln w="0">
          <a:noFill/>
        </a:ln>
      </c:spPr>
      <c:txPr>
        <a:bodyPr/>
        <a:lstStyle/>
        <a:p>
          <a:pPr>
            <a:defRPr b="1" sz="11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BA5B-2BF0-466E-9CB9-B2B78191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Application>LibreOffice/24.2.7.2$Linux_X86_64 LibreOffice_project/420$Build-2</Application>
  <AppVersion>15.0000</AppVersion>
  <Pages>26</Pages>
  <Words>6342</Words>
  <Characters>37661</Characters>
  <CharactersWithSpaces>43590</CharactersWithSpaces>
  <Paragraphs>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2025-07-01T13:27:00Z</dcterms:created>
  <dc:creator>user</dc:creator>
  <dc:description/>
  <dc:language>en-US</dc:language>
  <cp:lastModifiedBy/>
  <dcterms:modified xsi:type="dcterms:W3CDTF">2026-02-20T11:48:19Z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a006dfb0-e98f-4de9-ba22-820a5ccb3325</vt:lpwstr>
  </property>
  <property fmtid="{D5CDD505-2E9C-101B-9397-08002B2CF9AE}" pid="3" name="Mendeley Citation Style_1">
    <vt:lpwstr>http://www.zotero.org/styles/vancouver</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http://www.zotero.org/styles/american-sociological-association</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http://www.zotero.org/styles/harvard-cite-them-right</vt:lpwstr>
  </property>
  <property fmtid="{D5CDD505-2E9C-101B-9397-08002B2CF9AE}" pid="9" name="Mendeley Recent Style Id 4_1">
    <vt:lpwstr>http://www.zotero.org/styles/harvard1</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Political Science Association</vt:lpwstr>
  </property>
  <property fmtid="{D5CDD505-2E9C-101B-9397-08002B2CF9AE}" pid="16" name="Mendeley Recent Style Name 1_1">
    <vt:lpwstr>American Sociological Association 6th/7th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Cite Them Right 12th edition - Harvard</vt:lpwstr>
  </property>
  <property fmtid="{D5CDD505-2E9C-101B-9397-08002B2CF9AE}" pid="19" name="Mendeley Recent Style Name 4_1">
    <vt:lpwstr>Harvard reference format 1 (deprecated)</vt:lpwstr>
  </property>
  <property fmtid="{D5CDD505-2E9C-101B-9397-08002B2CF9AE}" pid="20" name="Mendeley Recent Style Name 5_1">
    <vt:lpwstr>IEEE</vt:lpwstr>
  </property>
  <property fmtid="{D5CDD505-2E9C-101B-9397-08002B2CF9AE}" pid="21" name="Mendeley Recent Style Name 6_1">
    <vt:lpwstr>Modern Humanities Research Association, 4th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8f30cded-2659-3bd4-85ef-5f825169de81</vt:lpwstr>
  </property>
</Properties>
</file>