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3DAF" w14:textId="55B01AD1" w:rsidR="00BB2642" w:rsidRDefault="00BB2642" w:rsidP="009628B5">
      <w:pPr>
        <w:spacing w:line="360" w:lineRule="auto"/>
        <w:rPr>
          <w:rFonts w:ascii="Arial" w:hAnsi="Arial" w:cs="Arial"/>
          <w:b/>
          <w:bCs/>
          <w:sz w:val="22"/>
          <w:szCs w:val="22"/>
        </w:rPr>
      </w:pPr>
      <w:r w:rsidRPr="00FD2E66">
        <w:rPr>
          <w:rFonts w:ascii="Arial" w:hAnsi="Arial" w:cs="Arial"/>
          <w:b/>
          <w:bCs/>
          <w:sz w:val="22"/>
          <w:szCs w:val="22"/>
        </w:rPr>
        <w:t>Effect of Dietary Supplementation of Mushroom (</w:t>
      </w:r>
      <w:r w:rsidRPr="00FD2E66">
        <w:rPr>
          <w:rFonts w:ascii="Arial" w:hAnsi="Arial" w:cs="Arial"/>
          <w:b/>
          <w:bCs/>
          <w:i/>
          <w:iCs/>
          <w:sz w:val="22"/>
          <w:szCs w:val="22"/>
        </w:rPr>
        <w:t>Agaricus bisporus)</w:t>
      </w:r>
      <w:r w:rsidRPr="00FD2E66">
        <w:rPr>
          <w:rFonts w:ascii="Arial" w:hAnsi="Arial" w:cs="Arial"/>
          <w:b/>
          <w:bCs/>
          <w:sz w:val="22"/>
          <w:szCs w:val="22"/>
        </w:rPr>
        <w:t xml:space="preserve"> Fruiting Body Waste Powder on Growth Performance, Nutrient Utilization and Feed Cost Economics of Broiler Chicken</w:t>
      </w:r>
    </w:p>
    <w:p w14:paraId="6001A375" w14:textId="77777777" w:rsidR="009628B5" w:rsidRPr="003D4161" w:rsidRDefault="009628B5" w:rsidP="009628B5">
      <w:pPr>
        <w:spacing w:line="360" w:lineRule="auto"/>
        <w:rPr>
          <w:rFonts w:ascii="Arial" w:hAnsi="Arial" w:cs="Arial"/>
          <w:i/>
        </w:rPr>
      </w:pPr>
    </w:p>
    <w:p w14:paraId="10680592" w14:textId="77777777" w:rsidR="00BB2642" w:rsidRPr="00D8727F" w:rsidRDefault="00BB2642" w:rsidP="00D8727F">
      <w:pPr>
        <w:spacing w:line="360" w:lineRule="auto"/>
        <w:rPr>
          <w:rFonts w:ascii="Arial" w:hAnsi="Arial" w:cs="Arial"/>
          <w:b/>
          <w:bCs/>
          <w:sz w:val="22"/>
          <w:szCs w:val="22"/>
        </w:rPr>
      </w:pPr>
      <w:r w:rsidRPr="00D8727F">
        <w:rPr>
          <w:rFonts w:ascii="Arial" w:hAnsi="Arial" w:cs="Arial"/>
          <w:b/>
          <w:bCs/>
          <w:sz w:val="22"/>
          <w:szCs w:val="22"/>
        </w:rPr>
        <w:t>ABSTRACT</w:t>
      </w:r>
    </w:p>
    <w:p w14:paraId="01AA5EDA" w14:textId="0BED2C1C" w:rsidR="00BB2642" w:rsidRPr="003D4161" w:rsidRDefault="00BB2642" w:rsidP="00733078">
      <w:pPr>
        <w:pBdr>
          <w:top w:val="single" w:sz="4" w:space="1" w:color="auto"/>
          <w:left w:val="single" w:sz="4" w:space="4" w:color="auto"/>
          <w:bottom w:val="single" w:sz="4" w:space="0" w:color="auto"/>
          <w:right w:val="single" w:sz="4" w:space="0" w:color="auto"/>
        </w:pBdr>
        <w:spacing w:line="360" w:lineRule="auto"/>
        <w:jc w:val="both"/>
        <w:rPr>
          <w:rFonts w:ascii="Arial" w:hAnsi="Arial" w:cs="Arial"/>
          <w:sz w:val="20"/>
          <w:szCs w:val="20"/>
        </w:rPr>
      </w:pPr>
      <w:r w:rsidRPr="003D4161">
        <w:rPr>
          <w:rFonts w:ascii="Arial" w:eastAsia="Calibri" w:hAnsi="Arial" w:cs="Arial"/>
          <w:sz w:val="20"/>
          <w:szCs w:val="20"/>
        </w:rPr>
        <w:t xml:space="preserve">A feeding trial was carried out in </w:t>
      </w:r>
      <w:commentRangeStart w:id="0"/>
      <w:r w:rsidRPr="003D4161">
        <w:rPr>
          <w:rFonts w:ascii="Arial" w:eastAsia="Calibri" w:hAnsi="Arial" w:cs="Arial"/>
          <w:sz w:val="20"/>
          <w:szCs w:val="20"/>
        </w:rPr>
        <w:t xml:space="preserve">Instructional Poultry Farm (IPF), Nagla, College of Veterinary and Animal Sciences, G.B. Pant University of Agriculture and Technology, </w:t>
      </w:r>
      <w:proofErr w:type="spellStart"/>
      <w:r w:rsidRPr="003D4161">
        <w:rPr>
          <w:rFonts w:ascii="Arial" w:eastAsia="Calibri" w:hAnsi="Arial" w:cs="Arial"/>
          <w:sz w:val="20"/>
          <w:szCs w:val="20"/>
        </w:rPr>
        <w:t>Pantnagar</w:t>
      </w:r>
      <w:proofErr w:type="spellEnd"/>
      <w:r w:rsidRPr="003D4161">
        <w:rPr>
          <w:rFonts w:ascii="Arial" w:eastAsia="Calibri" w:hAnsi="Arial" w:cs="Arial"/>
          <w:sz w:val="20"/>
          <w:szCs w:val="20"/>
        </w:rPr>
        <w:t>, during May, 2025 to June, 2025 (42 days),</w:t>
      </w:r>
      <w:commentRangeEnd w:id="0"/>
      <w:r w:rsidR="00A370B0">
        <w:rPr>
          <w:rStyle w:val="CommentReference"/>
        </w:rPr>
        <w:commentReference w:id="0"/>
      </w:r>
      <w:r w:rsidRPr="003D4161">
        <w:rPr>
          <w:rFonts w:ascii="Arial" w:eastAsia="Calibri" w:hAnsi="Arial" w:cs="Arial"/>
          <w:sz w:val="20"/>
          <w:szCs w:val="20"/>
        </w:rPr>
        <w:t xml:space="preserve"> to evaluate the effect of dietary supplementation of mushroom </w:t>
      </w:r>
      <w:r w:rsidRPr="003D4161">
        <w:rPr>
          <w:rFonts w:ascii="Arial" w:eastAsia="Calibri" w:hAnsi="Arial" w:cs="Arial"/>
          <w:i/>
          <w:iCs/>
          <w:sz w:val="20"/>
          <w:szCs w:val="20"/>
        </w:rPr>
        <w:t>(Agaricus bisporus)</w:t>
      </w:r>
      <w:r w:rsidRPr="003D4161">
        <w:rPr>
          <w:rFonts w:ascii="Arial" w:eastAsia="Calibri" w:hAnsi="Arial" w:cs="Arial"/>
          <w:sz w:val="20"/>
          <w:szCs w:val="20"/>
        </w:rPr>
        <w:t xml:space="preserve"> fruiting body waste powder on growth performance, nutrient utilization and feed cost economics of broiler chicken. </w:t>
      </w:r>
      <w:commentRangeStart w:id="1"/>
      <w:r w:rsidRPr="003D4161">
        <w:rPr>
          <w:rFonts w:ascii="Arial" w:eastAsia="Calibri" w:hAnsi="Arial" w:cs="Arial"/>
          <w:sz w:val="20"/>
          <w:szCs w:val="20"/>
        </w:rPr>
        <w:t xml:space="preserve">In the feeding trial, </w:t>
      </w:r>
      <w:commentRangeEnd w:id="1"/>
      <w:r w:rsidR="00E87D35">
        <w:rPr>
          <w:rStyle w:val="CommentReference"/>
        </w:rPr>
        <w:commentReference w:id="1"/>
      </w:r>
      <w:r w:rsidRPr="003D4161">
        <w:rPr>
          <w:rFonts w:ascii="Arial" w:eastAsia="Calibri" w:hAnsi="Arial" w:cs="Arial"/>
          <w:sz w:val="20"/>
          <w:szCs w:val="20"/>
        </w:rPr>
        <w:t>a</w:t>
      </w:r>
      <w:r w:rsidR="00E87D35">
        <w:rPr>
          <w:rFonts w:ascii="Arial" w:eastAsia="Calibri" w:hAnsi="Arial" w:cs="Arial"/>
          <w:sz w:val="20"/>
          <w:szCs w:val="20"/>
        </w:rPr>
        <w:t xml:space="preserve"> </w:t>
      </w:r>
      <w:commentRangeStart w:id="2"/>
      <w:proofErr w:type="spellStart"/>
      <w:r w:rsidR="00E87D35">
        <w:rPr>
          <w:rFonts w:ascii="Arial" w:eastAsia="Calibri" w:hAnsi="Arial" w:cs="Arial"/>
          <w:sz w:val="20"/>
          <w:szCs w:val="20"/>
        </w:rPr>
        <w:t>A</w:t>
      </w:r>
      <w:proofErr w:type="spellEnd"/>
      <w:r w:rsidRPr="003D4161">
        <w:rPr>
          <w:rFonts w:ascii="Arial" w:eastAsia="Calibri" w:hAnsi="Arial" w:cs="Arial"/>
          <w:sz w:val="20"/>
          <w:szCs w:val="20"/>
        </w:rPr>
        <w:t xml:space="preserve"> total of 120-day-old broiler chicks </w:t>
      </w:r>
      <w:commentRangeEnd w:id="2"/>
      <w:r w:rsidR="00E87D35">
        <w:rPr>
          <w:rStyle w:val="CommentReference"/>
        </w:rPr>
        <w:commentReference w:id="2"/>
      </w:r>
      <w:r w:rsidRPr="003D4161">
        <w:rPr>
          <w:rFonts w:ascii="Arial" w:eastAsia="Calibri" w:hAnsi="Arial" w:cs="Arial"/>
          <w:sz w:val="20"/>
          <w:szCs w:val="20"/>
        </w:rPr>
        <w:t xml:space="preserve">were randomly distributed in a Completely Randomized Design into four treatment groups, with 30 chicks per treatment and three replicates of ten chicks each. T1 group served as control in which standard diet without any supplementation was fed, while T2, T3 and T4 treatment groups were supplemented with </w:t>
      </w:r>
      <w:commentRangeStart w:id="3"/>
      <w:r w:rsidRPr="003D4161">
        <w:rPr>
          <w:rFonts w:ascii="Arial" w:eastAsia="Calibri" w:hAnsi="Arial" w:cs="Arial"/>
          <w:sz w:val="20"/>
          <w:szCs w:val="20"/>
        </w:rPr>
        <w:t>1%, 2% and 3%</w:t>
      </w:r>
      <w:commentRangeEnd w:id="3"/>
      <w:r w:rsidR="004554D0">
        <w:rPr>
          <w:rStyle w:val="CommentReference"/>
        </w:rPr>
        <w:commentReference w:id="3"/>
      </w:r>
      <w:r w:rsidRPr="003D4161">
        <w:rPr>
          <w:rFonts w:ascii="Arial" w:eastAsia="Calibri" w:hAnsi="Arial" w:cs="Arial"/>
          <w:sz w:val="20"/>
          <w:szCs w:val="20"/>
        </w:rPr>
        <w:t xml:space="preserve"> mushroom fruiting body powder, respectively. Body weight, feed intake, feed conversion ratio and performance index were recorded weekly. Metabolism trial was conducted to assess nutrient utilization. Feed cost economics were also calculated. Dietary supplementation of mushroom fruiting body waste powder significantly </w:t>
      </w:r>
      <w:commentRangeStart w:id="4"/>
      <w:r w:rsidRPr="003D4161">
        <w:rPr>
          <w:rFonts w:ascii="Arial" w:eastAsia="Calibri" w:hAnsi="Arial" w:cs="Arial"/>
          <w:sz w:val="20"/>
          <w:szCs w:val="20"/>
        </w:rPr>
        <w:t xml:space="preserve">(P &lt; .05) </w:t>
      </w:r>
      <w:commentRangeEnd w:id="4"/>
      <w:r w:rsidR="004554D0">
        <w:rPr>
          <w:rStyle w:val="CommentReference"/>
        </w:rPr>
        <w:commentReference w:id="4"/>
      </w:r>
      <w:r w:rsidRPr="003D4161">
        <w:rPr>
          <w:rFonts w:ascii="Arial" w:eastAsia="Calibri" w:hAnsi="Arial" w:cs="Arial"/>
          <w:sz w:val="20"/>
          <w:szCs w:val="20"/>
        </w:rPr>
        <w:t>influenced growth performance, nutrient utilization and economics of broiler chickens. Birds fed 2.0% mushroom fruiting body waste powder exhibited significantly higher body weight gain, improved feed conversion ratio, and the highest performance index compared to other treatments (P &lt; 0.05</w:t>
      </w:r>
      <w:r w:rsidRPr="003D4161">
        <w:rPr>
          <w:rFonts w:ascii="Arial" w:eastAsia="Calibri" w:hAnsi="Arial" w:cs="Arial"/>
          <w:color w:val="000000" w:themeColor="text1"/>
          <w:sz w:val="20"/>
          <w:szCs w:val="20"/>
        </w:rPr>
        <w:t xml:space="preserve">). Dry matter and crude protein digestibility were also significantly improved (P &lt; 0.05) in mushroom fruiting body waste supplemented groups. </w:t>
      </w:r>
      <w:commentRangeStart w:id="5"/>
      <w:r w:rsidRPr="003D4161">
        <w:rPr>
          <w:rFonts w:ascii="Arial" w:hAnsi="Arial" w:cs="Arial"/>
          <w:color w:val="000000" w:themeColor="text1"/>
          <w:sz w:val="20"/>
          <w:szCs w:val="20"/>
        </w:rPr>
        <w:t>Overall, T3 and T4 emerged as the most economical treatment, as it recorded the lowest cost per kilogram body weight gain along with significantly higher net profit.</w:t>
      </w:r>
      <w:commentRangeEnd w:id="5"/>
      <w:r w:rsidR="004554D0">
        <w:rPr>
          <w:rStyle w:val="CommentReference"/>
        </w:rPr>
        <w:commentReference w:id="5"/>
      </w:r>
      <w:r w:rsidRPr="003D4161">
        <w:rPr>
          <w:rFonts w:ascii="Arial" w:eastAsia="Calibri" w:hAnsi="Arial" w:cs="Arial"/>
          <w:sz w:val="20"/>
          <w:szCs w:val="20"/>
        </w:rPr>
        <w:t xml:space="preserve"> Dietary supplementation of mushroom fruiting body waste powder at 2.0% inclusion level improved growth performance, nutrient utilization, and economics of Broiler chicks, suggesting its potential as a safe and sustainable phytogenic feed additive in broiler production.</w:t>
      </w:r>
    </w:p>
    <w:p w14:paraId="6CB5C471" w14:textId="3DB72C2F" w:rsidR="00BB2642" w:rsidRPr="00733078" w:rsidRDefault="003E7F37" w:rsidP="00BB2642">
      <w:pPr>
        <w:spacing w:line="360" w:lineRule="auto"/>
        <w:jc w:val="both"/>
        <w:rPr>
          <w:rFonts w:ascii="Arial" w:hAnsi="Arial" w:cs="Arial"/>
          <w:sz w:val="20"/>
          <w:szCs w:val="20"/>
        </w:rPr>
      </w:pPr>
      <w:r w:rsidRPr="00733078">
        <w:rPr>
          <w:rFonts w:ascii="Arial" w:hAnsi="Arial" w:cs="Arial"/>
          <w:sz w:val="20"/>
          <w:szCs w:val="20"/>
        </w:rPr>
        <w:t>K</w:t>
      </w:r>
      <w:r w:rsidR="00BB2642" w:rsidRPr="00733078">
        <w:rPr>
          <w:rFonts w:ascii="Arial" w:hAnsi="Arial" w:cs="Arial"/>
          <w:sz w:val="20"/>
          <w:szCs w:val="20"/>
        </w:rPr>
        <w:t>eywords</w:t>
      </w:r>
      <w:r w:rsidR="00BB2642" w:rsidRPr="00733078">
        <w:rPr>
          <w:rFonts w:ascii="Arial" w:hAnsi="Arial" w:cs="Arial"/>
          <w:i/>
          <w:iCs/>
          <w:sz w:val="20"/>
          <w:szCs w:val="20"/>
        </w:rPr>
        <w:t>: mushroom fruiting body; broiler chicken; feed conversion ratio; growth performance; nutrient utilisation</w:t>
      </w:r>
    </w:p>
    <w:p w14:paraId="00686B6D" w14:textId="47FD03B1" w:rsidR="00B841A5" w:rsidRPr="00B91EAC" w:rsidRDefault="005F166B" w:rsidP="000004F3">
      <w:pPr>
        <w:spacing w:line="360" w:lineRule="auto"/>
        <w:jc w:val="both"/>
        <w:rPr>
          <w:rFonts w:ascii="Arial" w:hAnsi="Arial" w:cs="Arial"/>
          <w:b/>
          <w:bCs/>
          <w:sz w:val="22"/>
          <w:szCs w:val="22"/>
        </w:rPr>
      </w:pPr>
      <w:r w:rsidRPr="00B91EAC">
        <w:rPr>
          <w:rFonts w:ascii="Arial" w:hAnsi="Arial" w:cs="Arial"/>
          <w:b/>
          <w:bCs/>
          <w:sz w:val="22"/>
          <w:szCs w:val="22"/>
        </w:rPr>
        <w:t>1.</w:t>
      </w:r>
      <w:r w:rsidR="005C1A6D" w:rsidRPr="00B91EAC">
        <w:rPr>
          <w:rFonts w:ascii="Arial" w:hAnsi="Arial" w:cs="Arial"/>
          <w:b/>
          <w:bCs/>
          <w:sz w:val="22"/>
          <w:szCs w:val="22"/>
        </w:rPr>
        <w:t xml:space="preserve">  </w:t>
      </w:r>
      <w:r w:rsidR="00086028" w:rsidRPr="00B91EAC">
        <w:rPr>
          <w:rFonts w:ascii="Arial" w:hAnsi="Arial" w:cs="Arial"/>
          <w:b/>
          <w:bCs/>
          <w:sz w:val="22"/>
          <w:szCs w:val="22"/>
        </w:rPr>
        <w:t>INTRODUCTION</w:t>
      </w:r>
    </w:p>
    <w:p w14:paraId="75696FF0" w14:textId="183C50CD" w:rsidR="00CB1850" w:rsidRPr="003D4161" w:rsidRDefault="00086028" w:rsidP="000004F3">
      <w:pPr>
        <w:spacing w:line="360" w:lineRule="auto"/>
        <w:jc w:val="both"/>
        <w:rPr>
          <w:rFonts w:ascii="Arial" w:hAnsi="Arial" w:cs="Arial"/>
          <w:sz w:val="20"/>
          <w:szCs w:val="20"/>
        </w:rPr>
      </w:pPr>
      <w:commentRangeStart w:id="6"/>
      <w:r w:rsidRPr="003D4161">
        <w:rPr>
          <w:rFonts w:ascii="Arial" w:hAnsi="Arial" w:cs="Arial"/>
          <w:sz w:val="20"/>
          <w:szCs w:val="20"/>
        </w:rPr>
        <w:t xml:space="preserve">The poultry industry in India represents a major pillar of the national food and agricultural economy, contributing significantly to the production of chicken meat, table eggs, and associated value-added products. Over the last few decades, the sector has experienced remarkable growth supported by favourable government policies, market liberalization, and rapid socioeconomic development. Increasing urbanization, expansion of the middle-class population, and changing dietary preferences have collectively increased the demand for high-quality animal protein. Simultaneously, the adoption of advanced production technologies, including improved housing systems, scientific feeding practices, genetic improvement programmes, and precision farm management, has enhanced productivity and efficiency. Growing consumer awareness regarding food safety, sustainability, and human health has </w:t>
      </w:r>
      <w:r w:rsidRPr="003D4161">
        <w:rPr>
          <w:rFonts w:ascii="Arial" w:hAnsi="Arial" w:cs="Arial"/>
          <w:sz w:val="20"/>
          <w:szCs w:val="20"/>
        </w:rPr>
        <w:lastRenderedPageBreak/>
        <w:t>further increased interest in organic, antibiotic-free, and free-range poultry products. These developments indicate that the Indian poultry sector is strategically positioned for continued expansion, driven by evolving dietary habits, increasing per capita consumption, and national priorities focused on food and nutritional security</w:t>
      </w:r>
      <w:r w:rsidR="00CB1850" w:rsidRPr="003D4161">
        <w:rPr>
          <w:rFonts w:ascii="Arial" w:hAnsi="Arial" w:cs="Arial"/>
          <w:sz w:val="20"/>
          <w:szCs w:val="20"/>
        </w:rPr>
        <w:t>.</w:t>
      </w:r>
      <w:commentRangeEnd w:id="6"/>
      <w:r w:rsidR="009B271B">
        <w:rPr>
          <w:rStyle w:val="CommentReference"/>
        </w:rPr>
        <w:commentReference w:id="6"/>
      </w:r>
    </w:p>
    <w:p w14:paraId="7A554043" w14:textId="0C13F9F9" w:rsidR="00086028" w:rsidRPr="003D4161" w:rsidRDefault="00086028" w:rsidP="00BB2642">
      <w:pPr>
        <w:spacing w:line="360" w:lineRule="auto"/>
        <w:jc w:val="both"/>
        <w:rPr>
          <w:rFonts w:ascii="Arial" w:hAnsi="Arial" w:cs="Arial"/>
          <w:sz w:val="20"/>
          <w:szCs w:val="20"/>
        </w:rPr>
      </w:pPr>
      <w:commentRangeStart w:id="7"/>
      <w:r w:rsidRPr="003D4161">
        <w:rPr>
          <w:rFonts w:ascii="Arial" w:hAnsi="Arial" w:cs="Arial"/>
          <w:sz w:val="20"/>
          <w:szCs w:val="20"/>
        </w:rPr>
        <w:t>Among the agricultural subsectors in India, poultry production is recognized as one of the fastest expanding enterprises. While crop production has increased only modestly at approximately 1.5–2% annually, egg and broiler production has exhibited growth rates of 8–10% per year (DAHD, 2023 Annual Report). This rapid rise has been associated with increasing disposable income, a gradual shift towards protein-rich diets, expanding urban markets, and improvements in management and biosecurity measures. However, the projected increase in India’s population to nearly 1,639 million by 2050 (Ram and Ram, 2021) is expected to exert tremendous pressure on poultry production systems. The current per capita intake of poultry meat and eggs remains substantially below recommended nutritional standards, indicating the necessity for intensification. Estimates suggest that a fivefold expansion of the layer industry and a tenfold increase in broiler production will be required to meet future demand. Achieving this scale of growth is highly dependent on the availability and affordability of feed ingredients, as feed cost represents the largest share of poultry production expenditure. Currently, more than 90% of the approximately 28 million tonnes of poultry feed is produced by organized feed mills, with the remainder supplied by the unorganized sector. Projections indicate that poultry feed demand could rise to nearly 77 million tonnes by 2050, which may place further strain on conventional feed resources. Additional challenges arise due to the diversion of key feed ingredients such as maize and soybean meal towards human consumption and export markets. These constraints highlight the urgent need to identify economical, nutritionally efficient and locally available alternative feed resources, while simultaneously improving feed utilization efficiency.</w:t>
      </w:r>
      <w:commentRangeEnd w:id="7"/>
      <w:r w:rsidR="00F55724">
        <w:rPr>
          <w:rStyle w:val="CommentReference"/>
        </w:rPr>
        <w:commentReference w:id="7"/>
      </w:r>
    </w:p>
    <w:p w14:paraId="338F3EDB"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Globally, the long-term dependence of poultry production systems on sub-therapeutic antibiotics for growth promotion and disease prevention has faced increasing scrutiny due to the rapid rise of antimicrobial resistance. This issue is now recognized as a major public health threat and has resulted in regulatory restrictions and bans on antibiotic growth promoters in several countries. Consequently, there is an increasing demand for safe, natural, and effective alternatives that can maintain productivity without compromising human health. Various feed additives including essential oils, </w:t>
      </w:r>
      <w:proofErr w:type="spellStart"/>
      <w:r w:rsidRPr="003D4161">
        <w:rPr>
          <w:rFonts w:ascii="Arial" w:hAnsi="Arial" w:cs="Arial"/>
          <w:sz w:val="20"/>
          <w:szCs w:val="20"/>
        </w:rPr>
        <w:t>phytobiotics</w:t>
      </w:r>
      <w:proofErr w:type="spellEnd"/>
      <w:r w:rsidRPr="003D4161">
        <w:rPr>
          <w:rFonts w:ascii="Arial" w:hAnsi="Arial" w:cs="Arial"/>
          <w:sz w:val="20"/>
          <w:szCs w:val="20"/>
        </w:rPr>
        <w:t xml:space="preserve">, enzymes, probiotics, and prebiotics have been investigated as alternatives, with variable degrees of success. Among these, medicinal mushrooms have gained increasing attention due to their documented immunomodulatory, antioxidant, antimicrobial, and growth-promoting properties (Fard </w:t>
      </w:r>
      <w:r w:rsidRPr="003D4161">
        <w:rPr>
          <w:rFonts w:ascii="Arial" w:hAnsi="Arial" w:cs="Arial"/>
          <w:i/>
          <w:iCs/>
          <w:sz w:val="20"/>
          <w:szCs w:val="20"/>
        </w:rPr>
        <w:t>et al.,</w:t>
      </w:r>
      <w:r w:rsidRPr="003D4161">
        <w:rPr>
          <w:rFonts w:ascii="Arial" w:hAnsi="Arial" w:cs="Arial"/>
          <w:sz w:val="20"/>
          <w:szCs w:val="20"/>
        </w:rPr>
        <w:t xml:space="preserve"> 2014).</w:t>
      </w:r>
    </w:p>
    <w:p w14:paraId="196B1C6C"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Among cultivated mushroom species, </w:t>
      </w:r>
      <w:commentRangeStart w:id="9"/>
      <w:r w:rsidRPr="003D4161">
        <w:rPr>
          <w:rFonts w:ascii="Arial" w:hAnsi="Arial" w:cs="Arial"/>
          <w:sz w:val="20"/>
          <w:szCs w:val="20"/>
        </w:rPr>
        <w:t xml:space="preserve">button mushroom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bisporus</w:t>
      </w:r>
      <w:proofErr w:type="spellEnd"/>
      <w:r w:rsidRPr="003D4161">
        <w:rPr>
          <w:rFonts w:ascii="Arial" w:hAnsi="Arial" w:cs="Arial"/>
          <w:i/>
          <w:iCs/>
          <w:sz w:val="20"/>
          <w:szCs w:val="20"/>
        </w:rPr>
        <w:t>)</w:t>
      </w:r>
      <w:r w:rsidRPr="003D4161">
        <w:rPr>
          <w:rFonts w:ascii="Arial" w:hAnsi="Arial" w:cs="Arial"/>
          <w:sz w:val="20"/>
          <w:szCs w:val="20"/>
        </w:rPr>
        <w:t xml:space="preserve">, </w:t>
      </w:r>
      <w:commentRangeEnd w:id="9"/>
      <w:r w:rsidR="007031B6">
        <w:rPr>
          <w:rStyle w:val="CommentReference"/>
        </w:rPr>
        <w:commentReference w:id="9"/>
      </w:r>
      <w:r w:rsidRPr="003D4161">
        <w:rPr>
          <w:rFonts w:ascii="Arial" w:hAnsi="Arial" w:cs="Arial"/>
          <w:sz w:val="20"/>
          <w:szCs w:val="20"/>
        </w:rPr>
        <w:t xml:space="preserve">oyster mushroom </w:t>
      </w:r>
      <w:r w:rsidRPr="003D4161">
        <w:rPr>
          <w:rFonts w:ascii="Arial" w:hAnsi="Arial" w:cs="Arial"/>
          <w:i/>
          <w:iCs/>
          <w:sz w:val="20"/>
          <w:szCs w:val="20"/>
        </w:rPr>
        <w:t>(</w:t>
      </w:r>
      <w:proofErr w:type="spellStart"/>
      <w:r w:rsidRPr="003D4161">
        <w:rPr>
          <w:rFonts w:ascii="Arial" w:hAnsi="Arial" w:cs="Arial"/>
          <w:i/>
          <w:iCs/>
          <w:sz w:val="20"/>
          <w:szCs w:val="20"/>
        </w:rPr>
        <w:t>Pleurotus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ostreatus</w:t>
      </w:r>
      <w:proofErr w:type="spellEnd"/>
      <w:r w:rsidRPr="003D4161">
        <w:rPr>
          <w:rFonts w:ascii="Arial" w:hAnsi="Arial" w:cs="Arial"/>
          <w:i/>
          <w:iCs/>
          <w:sz w:val="20"/>
          <w:szCs w:val="20"/>
        </w:rPr>
        <w:t>)</w:t>
      </w:r>
      <w:r w:rsidRPr="003D4161">
        <w:rPr>
          <w:rFonts w:ascii="Arial" w:hAnsi="Arial" w:cs="Arial"/>
          <w:sz w:val="20"/>
          <w:szCs w:val="20"/>
        </w:rPr>
        <w:t xml:space="preserve">, and paddy straw mushroom </w:t>
      </w:r>
      <w:r w:rsidRPr="003D4161">
        <w:rPr>
          <w:rFonts w:ascii="Arial" w:hAnsi="Arial" w:cs="Arial"/>
          <w:i/>
          <w:iCs/>
          <w:sz w:val="20"/>
          <w:szCs w:val="20"/>
        </w:rPr>
        <w:t>(</w:t>
      </w:r>
      <w:proofErr w:type="spellStart"/>
      <w:r w:rsidRPr="003D4161">
        <w:rPr>
          <w:rFonts w:ascii="Arial" w:hAnsi="Arial" w:cs="Arial"/>
          <w:i/>
          <w:iCs/>
          <w:sz w:val="20"/>
          <w:szCs w:val="20"/>
        </w:rPr>
        <w:t>Volvariella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volvacea</w:t>
      </w:r>
      <w:proofErr w:type="spellEnd"/>
      <w:r w:rsidRPr="003D4161">
        <w:rPr>
          <w:rFonts w:ascii="Arial" w:hAnsi="Arial" w:cs="Arial"/>
          <w:i/>
          <w:iCs/>
          <w:sz w:val="20"/>
          <w:szCs w:val="20"/>
        </w:rPr>
        <w:t>)</w:t>
      </w:r>
      <w:r w:rsidRPr="003D4161">
        <w:rPr>
          <w:rFonts w:ascii="Arial" w:hAnsi="Arial" w:cs="Arial"/>
          <w:sz w:val="20"/>
          <w:szCs w:val="20"/>
        </w:rPr>
        <w:t xml:space="preserve"> are widely produced and utilized in India and globally. </w:t>
      </w:r>
      <w:commentRangeStart w:id="10"/>
      <w:r w:rsidRPr="003D4161">
        <w:rPr>
          <w:rFonts w:ascii="Arial" w:hAnsi="Arial" w:cs="Arial"/>
          <w:i/>
          <w:iCs/>
          <w:sz w:val="20"/>
          <w:szCs w:val="20"/>
        </w:rPr>
        <w:t>Agaricus bisporus</w:t>
      </w:r>
      <w:r w:rsidRPr="003D4161">
        <w:rPr>
          <w:rFonts w:ascii="Arial" w:hAnsi="Arial" w:cs="Arial"/>
          <w:sz w:val="20"/>
          <w:szCs w:val="20"/>
        </w:rPr>
        <w:t xml:space="preserve"> is among the most extensively cultivated and studied species, valued for both its nutritional quality and potential therapeutic properties</w:t>
      </w:r>
      <w:commentRangeEnd w:id="10"/>
      <w:r w:rsidR="00417402">
        <w:rPr>
          <w:rStyle w:val="CommentReference"/>
        </w:rPr>
        <w:commentReference w:id="10"/>
      </w:r>
      <w:r w:rsidRPr="003D4161">
        <w:rPr>
          <w:rFonts w:ascii="Arial" w:hAnsi="Arial" w:cs="Arial"/>
          <w:sz w:val="20"/>
          <w:szCs w:val="20"/>
        </w:rPr>
        <w:t xml:space="preserve">. Mushrooms contain a wide range of biologically active compounds, including polysaccharides, β-glucans, phenolic compounds, terpenoids, sterols, and peptides. These compounds are present in both fruiting bodies </w:t>
      </w:r>
      <w:r w:rsidRPr="003D4161">
        <w:rPr>
          <w:rFonts w:ascii="Arial" w:hAnsi="Arial" w:cs="Arial"/>
          <w:sz w:val="20"/>
          <w:szCs w:val="20"/>
        </w:rPr>
        <w:lastRenderedPageBreak/>
        <w:t xml:space="preserve">and mycelial structures. Mushroom polysaccharides, particularly β-glucans, have been reported to stimulate cytokine production, improve immune organ development, and modulate both innate and adaptive immune responses (Yin </w:t>
      </w:r>
      <w:r w:rsidRPr="003D4161">
        <w:rPr>
          <w:rFonts w:ascii="Arial" w:hAnsi="Arial" w:cs="Arial"/>
          <w:i/>
          <w:iCs/>
          <w:sz w:val="20"/>
          <w:szCs w:val="20"/>
        </w:rPr>
        <w:t>et al.,</w:t>
      </w:r>
      <w:r w:rsidRPr="003D4161">
        <w:rPr>
          <w:rFonts w:ascii="Arial" w:hAnsi="Arial" w:cs="Arial"/>
          <w:sz w:val="20"/>
          <w:szCs w:val="20"/>
        </w:rPr>
        <w:t xml:space="preserve"> 2010; Yan </w:t>
      </w:r>
      <w:r w:rsidRPr="003D4161">
        <w:rPr>
          <w:rFonts w:ascii="Arial" w:hAnsi="Arial" w:cs="Arial"/>
          <w:i/>
          <w:iCs/>
          <w:sz w:val="20"/>
          <w:szCs w:val="20"/>
        </w:rPr>
        <w:t>et al.,</w:t>
      </w:r>
      <w:r w:rsidRPr="003D4161">
        <w:rPr>
          <w:rFonts w:ascii="Arial" w:hAnsi="Arial" w:cs="Arial"/>
          <w:sz w:val="20"/>
          <w:szCs w:val="20"/>
        </w:rPr>
        <w:t xml:space="preserve"> 2014). Such findings support the potential of mushrooms as natural growth promoters and immunostimulants in poultry feeding systems.</w:t>
      </w:r>
    </w:p>
    <w:p w14:paraId="3D2E0BF0"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The global shortage of feedstuffs for animal production has intensified in the post-COVID-19 period due to disruptions in crop production, harvesting, transportation, and international trade. In this context, the use of agro-industrial by-products, including mushroom waste, has received increasing attention. Mushroom waste comprises spent mushroom substrate, stalks, peelings, and rejected fruiting bodies, and represents an abundant but underutilized resource. Previous studies have reported that mushroom by-products contain appreciable levels of proteins, vitamins, minerals, polysaccharides, and antioxidants, and their utilization can offer an environmentally sustainable waste disposal strategy by reducing pollution associated with agro-industrial residues (Roy and Fahim, 2019; </w:t>
      </w:r>
      <w:proofErr w:type="spellStart"/>
      <w:r w:rsidRPr="003D4161">
        <w:rPr>
          <w:rFonts w:ascii="Arial" w:hAnsi="Arial" w:cs="Arial"/>
          <w:sz w:val="20"/>
          <w:szCs w:val="20"/>
        </w:rPr>
        <w:t>Mutlag</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2017; </w:t>
      </w:r>
      <w:proofErr w:type="spellStart"/>
      <w:r w:rsidRPr="003D4161">
        <w:rPr>
          <w:rFonts w:ascii="Arial" w:hAnsi="Arial" w:cs="Arial"/>
          <w:sz w:val="20"/>
          <w:szCs w:val="20"/>
        </w:rPr>
        <w:t>Pourhossein</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2015). In addition, mushroom-derived supplements have demonstrated several pharmacological activities including antioxidant, antimicrobial, hepatoprotective, and immunostimulatory effects (Zhang </w:t>
      </w:r>
      <w:r w:rsidRPr="003D4161">
        <w:rPr>
          <w:rFonts w:ascii="Arial" w:hAnsi="Arial" w:cs="Arial"/>
          <w:i/>
          <w:iCs/>
          <w:sz w:val="20"/>
          <w:szCs w:val="20"/>
        </w:rPr>
        <w:t>et al.,</w:t>
      </w:r>
      <w:r w:rsidRPr="003D4161">
        <w:rPr>
          <w:rFonts w:ascii="Arial" w:hAnsi="Arial" w:cs="Arial"/>
          <w:sz w:val="20"/>
          <w:szCs w:val="20"/>
        </w:rPr>
        <w:t xml:space="preserve"> 2015),</w:t>
      </w:r>
      <w:r w:rsidRPr="003D4161">
        <w:rPr>
          <w:rFonts w:ascii="Arial" w:hAnsi="Arial" w:cs="Arial"/>
          <w:b/>
          <w:bCs/>
          <w:sz w:val="20"/>
          <w:szCs w:val="20"/>
        </w:rPr>
        <w:t xml:space="preserve"> </w:t>
      </w:r>
      <w:r w:rsidRPr="003D4161">
        <w:rPr>
          <w:rFonts w:ascii="Arial" w:hAnsi="Arial" w:cs="Arial"/>
          <w:sz w:val="20"/>
          <w:szCs w:val="20"/>
        </w:rPr>
        <w:t>indicating their suitability as functional feed additives.</w:t>
      </w:r>
    </w:p>
    <w:p w14:paraId="2A8CD293" w14:textId="77777777" w:rsidR="00086028"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 xml:space="preserve">Empirical evidence in poultry nutrition suggests that mushroom polysaccharides can enhance immune competence, improve organ function, and support overall growth performance and productivity (Guo </w:t>
      </w:r>
      <w:r w:rsidRPr="003D4161">
        <w:rPr>
          <w:rFonts w:ascii="Arial" w:hAnsi="Arial" w:cs="Arial"/>
          <w:i/>
          <w:iCs/>
          <w:sz w:val="20"/>
          <w:szCs w:val="20"/>
        </w:rPr>
        <w:t>et al.,</w:t>
      </w:r>
      <w:r w:rsidRPr="003D4161">
        <w:rPr>
          <w:rFonts w:ascii="Arial" w:hAnsi="Arial" w:cs="Arial"/>
          <w:sz w:val="20"/>
          <w:szCs w:val="20"/>
        </w:rPr>
        <w:t xml:space="preserve"> 2003; Al-Kalifa, 2015). Despite these promising findings, research investigating the inclusion of mushroom waste in poultry feed remains limited, and significant knowledge gaps exist regarding its influence on growth performance, feed efficiency, health biomarkers, immune responses, carcass traits, and meat quality. Considering the comprehensive nutritional profile of mushrooms, which includes carbohydrates, dietary fibre, high-quality proteins, essential amino acids, B-complex vitamins, and minerals (</w:t>
      </w:r>
      <w:proofErr w:type="spellStart"/>
      <w:r w:rsidRPr="003D4161">
        <w:rPr>
          <w:rFonts w:ascii="Arial" w:hAnsi="Arial" w:cs="Arial"/>
          <w:sz w:val="20"/>
          <w:szCs w:val="20"/>
        </w:rPr>
        <w:t>Smiderle</w:t>
      </w:r>
      <w:proofErr w:type="spellEnd"/>
      <w:r w:rsidRPr="003D4161">
        <w:rPr>
          <w:rFonts w:ascii="Arial" w:hAnsi="Arial" w:cs="Arial"/>
          <w:sz w:val="20"/>
          <w:szCs w:val="20"/>
        </w:rPr>
        <w:t xml:space="preserve"> </w:t>
      </w:r>
      <w:r w:rsidRPr="003D4161">
        <w:rPr>
          <w:rFonts w:ascii="Arial" w:hAnsi="Arial" w:cs="Arial"/>
          <w:i/>
          <w:iCs/>
          <w:sz w:val="20"/>
          <w:szCs w:val="20"/>
        </w:rPr>
        <w:t>et al.,</w:t>
      </w:r>
      <w:r w:rsidRPr="003D4161">
        <w:rPr>
          <w:rFonts w:ascii="Arial" w:hAnsi="Arial" w:cs="Arial"/>
          <w:sz w:val="20"/>
          <w:szCs w:val="20"/>
        </w:rPr>
        <w:t xml:space="preserve"> 2008; Kim </w:t>
      </w:r>
      <w:r w:rsidRPr="003D4161">
        <w:rPr>
          <w:rFonts w:ascii="Arial" w:hAnsi="Arial" w:cs="Arial"/>
          <w:i/>
          <w:iCs/>
          <w:sz w:val="20"/>
          <w:szCs w:val="20"/>
        </w:rPr>
        <w:t>et al.,</w:t>
      </w:r>
      <w:r w:rsidRPr="003D4161">
        <w:rPr>
          <w:rFonts w:ascii="Arial" w:hAnsi="Arial" w:cs="Arial"/>
          <w:sz w:val="20"/>
          <w:szCs w:val="20"/>
        </w:rPr>
        <w:t xml:space="preserve"> 2009), their application as alternative feed resources holds strong potential. Furthermore, mushrooms are recognized as rich sources of vitamin E and selenium, which contribute to antioxidant defence mechanisms (Bederska </w:t>
      </w:r>
      <w:r w:rsidRPr="003D4161">
        <w:rPr>
          <w:rFonts w:ascii="Arial" w:hAnsi="Arial" w:cs="Arial"/>
          <w:i/>
          <w:iCs/>
          <w:sz w:val="20"/>
          <w:szCs w:val="20"/>
        </w:rPr>
        <w:t>et al.,</w:t>
      </w:r>
      <w:r w:rsidRPr="003D4161">
        <w:rPr>
          <w:rFonts w:ascii="Arial" w:hAnsi="Arial" w:cs="Arial"/>
          <w:sz w:val="20"/>
          <w:szCs w:val="20"/>
        </w:rPr>
        <w:t xml:space="preserve"> 2017). Certain species, such as </w:t>
      </w:r>
      <w:r w:rsidRPr="003D4161">
        <w:rPr>
          <w:rFonts w:ascii="Arial" w:hAnsi="Arial" w:cs="Arial"/>
          <w:i/>
          <w:iCs/>
          <w:sz w:val="20"/>
          <w:szCs w:val="20"/>
        </w:rPr>
        <w:t xml:space="preserve">Cordyceps </w:t>
      </w:r>
      <w:proofErr w:type="spellStart"/>
      <w:r w:rsidRPr="003D4161">
        <w:rPr>
          <w:rFonts w:ascii="Arial" w:hAnsi="Arial" w:cs="Arial"/>
          <w:i/>
          <w:iCs/>
          <w:sz w:val="20"/>
          <w:szCs w:val="20"/>
        </w:rPr>
        <w:t>sobolifera</w:t>
      </w:r>
      <w:proofErr w:type="spellEnd"/>
      <w:r w:rsidRPr="003D4161">
        <w:rPr>
          <w:rFonts w:ascii="Arial" w:hAnsi="Arial" w:cs="Arial"/>
          <w:sz w:val="20"/>
          <w:szCs w:val="20"/>
        </w:rPr>
        <w:t xml:space="preserve"> (Ascomycetes), have also been reported to possess strong antioxidant activity (Lin </w:t>
      </w:r>
      <w:r w:rsidRPr="003D4161">
        <w:rPr>
          <w:rFonts w:ascii="Arial" w:hAnsi="Arial" w:cs="Arial"/>
          <w:i/>
          <w:iCs/>
          <w:sz w:val="20"/>
          <w:szCs w:val="20"/>
        </w:rPr>
        <w:t>et al.,</w:t>
      </w:r>
      <w:r w:rsidRPr="003D4161">
        <w:rPr>
          <w:rFonts w:ascii="Arial" w:hAnsi="Arial" w:cs="Arial"/>
          <w:sz w:val="20"/>
          <w:szCs w:val="20"/>
        </w:rPr>
        <w:t xml:space="preserve"> 2018),</w:t>
      </w:r>
      <w:r w:rsidRPr="003D4161">
        <w:rPr>
          <w:rFonts w:ascii="Arial" w:hAnsi="Arial" w:cs="Arial"/>
          <w:b/>
          <w:bCs/>
          <w:sz w:val="20"/>
          <w:szCs w:val="20"/>
        </w:rPr>
        <w:t xml:space="preserve"> </w:t>
      </w:r>
      <w:r w:rsidRPr="003D4161">
        <w:rPr>
          <w:rFonts w:ascii="Arial" w:hAnsi="Arial" w:cs="Arial"/>
          <w:sz w:val="20"/>
          <w:szCs w:val="20"/>
        </w:rPr>
        <w:t>suggesting that mushroom-based supplements may play a role in mitigating oxidative stress under intensive poultry production systems.</w:t>
      </w:r>
    </w:p>
    <w:p w14:paraId="5D5752DE" w14:textId="0AA2E580" w:rsidR="001A72E0" w:rsidRPr="003D4161" w:rsidRDefault="00086028" w:rsidP="00BB2642">
      <w:pPr>
        <w:spacing w:line="360" w:lineRule="auto"/>
        <w:jc w:val="both"/>
        <w:rPr>
          <w:rFonts w:ascii="Arial" w:hAnsi="Arial" w:cs="Arial"/>
          <w:sz w:val="20"/>
          <w:szCs w:val="20"/>
        </w:rPr>
      </w:pPr>
      <w:r w:rsidRPr="003D4161">
        <w:rPr>
          <w:rFonts w:ascii="Arial" w:hAnsi="Arial" w:cs="Arial"/>
          <w:sz w:val="20"/>
          <w:szCs w:val="20"/>
        </w:rPr>
        <w:t>Given the increasing competition for feed resources between humans and livestock in the post-pandemic era, the identification of low-cost, locally available, nutritionally valuable, and environmentally sustainable alternative feed resources is essential. Mushroom waste, being a by-product of a rapidly expanding agro-industry, fits this profile and warrants systematic scientific evaluation. Its potential to improve poultry performance, enhance feed utilization, and support physiological health may represent an important advancement for both commercial and small-scale poultry production systems.</w:t>
      </w:r>
    </w:p>
    <w:p w14:paraId="7CB0C310" w14:textId="36AD692D" w:rsidR="00625E9D" w:rsidRPr="00E6213B" w:rsidRDefault="00652F73" w:rsidP="000004F3">
      <w:pPr>
        <w:pStyle w:val="AbstHead"/>
        <w:spacing w:after="0" w:line="360" w:lineRule="auto"/>
        <w:jc w:val="both"/>
        <w:rPr>
          <w:rFonts w:ascii="Arial" w:hAnsi="Arial" w:cs="Arial"/>
          <w:szCs w:val="22"/>
        </w:rPr>
      </w:pPr>
      <w:r w:rsidRPr="00E6213B">
        <w:rPr>
          <w:rFonts w:ascii="Arial" w:hAnsi="Arial" w:cs="Arial"/>
          <w:szCs w:val="22"/>
        </w:rPr>
        <w:t xml:space="preserve">2. </w:t>
      </w:r>
      <w:r w:rsidR="00625E9D" w:rsidRPr="00E6213B">
        <w:rPr>
          <w:rFonts w:ascii="Arial" w:hAnsi="Arial" w:cs="Arial"/>
          <w:szCs w:val="22"/>
        </w:rPr>
        <w:t>mATERIAL meTHOD</w:t>
      </w:r>
    </w:p>
    <w:p w14:paraId="562BD6D9" w14:textId="42C6145C" w:rsidR="00625E9D" w:rsidRPr="008A2349" w:rsidRDefault="00652F73" w:rsidP="000004F3">
      <w:pPr>
        <w:spacing w:line="360" w:lineRule="auto"/>
        <w:rPr>
          <w:rFonts w:ascii="Arial" w:hAnsi="Arial" w:cs="Arial"/>
          <w:b/>
          <w:bCs/>
          <w:sz w:val="22"/>
          <w:szCs w:val="22"/>
        </w:rPr>
      </w:pPr>
      <w:r w:rsidRPr="008A2349">
        <w:rPr>
          <w:rFonts w:ascii="Arial" w:hAnsi="Arial" w:cs="Arial"/>
          <w:b/>
          <w:bCs/>
          <w:sz w:val="22"/>
          <w:szCs w:val="22"/>
        </w:rPr>
        <w:t xml:space="preserve">2.1 </w:t>
      </w:r>
      <w:r w:rsidR="00625E9D" w:rsidRPr="008A2349">
        <w:rPr>
          <w:rFonts w:ascii="Arial" w:hAnsi="Arial" w:cs="Arial"/>
          <w:b/>
          <w:bCs/>
          <w:sz w:val="22"/>
          <w:szCs w:val="22"/>
        </w:rPr>
        <w:t>Experimental Birds and Design</w:t>
      </w:r>
    </w:p>
    <w:p w14:paraId="5D991C24" w14:textId="6C267695" w:rsidR="005F5937" w:rsidRPr="003D4161" w:rsidRDefault="005F5937" w:rsidP="009C4E01">
      <w:pPr>
        <w:spacing w:line="360" w:lineRule="auto"/>
        <w:jc w:val="both"/>
        <w:rPr>
          <w:rFonts w:ascii="Arial" w:hAnsi="Arial" w:cs="Arial"/>
          <w:color w:val="000000" w:themeColor="text1"/>
          <w:sz w:val="20"/>
          <w:szCs w:val="20"/>
          <w:lang w:val="en-US"/>
        </w:rPr>
      </w:pPr>
      <w:commentRangeStart w:id="11"/>
      <w:r w:rsidRPr="003D4161">
        <w:rPr>
          <w:rFonts w:ascii="Arial" w:hAnsi="Arial" w:cs="Arial"/>
          <w:color w:val="000000" w:themeColor="text1"/>
          <w:sz w:val="20"/>
          <w:szCs w:val="20"/>
          <w:lang w:val="en-US"/>
        </w:rPr>
        <w:t xml:space="preserve">A feeding trial was conducted during May to July 2025 (42 days). For the feeding trial, </w:t>
      </w:r>
      <w:commentRangeStart w:id="12"/>
      <w:r w:rsidR="002A1ADE" w:rsidRPr="003D4161">
        <w:rPr>
          <w:rFonts w:ascii="Arial" w:hAnsi="Arial" w:cs="Arial"/>
          <w:color w:val="000000" w:themeColor="text1"/>
          <w:sz w:val="20"/>
          <w:szCs w:val="20"/>
          <w:lang w:val="en-US"/>
        </w:rPr>
        <w:t>120-day-old</w:t>
      </w:r>
      <w:r w:rsidRPr="003D4161">
        <w:rPr>
          <w:rFonts w:ascii="Arial" w:hAnsi="Arial" w:cs="Arial"/>
          <w:color w:val="000000" w:themeColor="text1"/>
          <w:sz w:val="20"/>
          <w:szCs w:val="20"/>
          <w:lang w:val="en-US"/>
        </w:rPr>
        <w:t xml:space="preserve"> </w:t>
      </w:r>
      <w:commentRangeEnd w:id="12"/>
      <w:r w:rsidR="00F55724">
        <w:rPr>
          <w:rStyle w:val="CommentReference"/>
        </w:rPr>
        <w:commentReference w:id="12"/>
      </w:r>
      <w:r w:rsidRPr="003D4161">
        <w:rPr>
          <w:rFonts w:ascii="Arial" w:hAnsi="Arial" w:cs="Arial"/>
          <w:color w:val="000000" w:themeColor="text1"/>
          <w:sz w:val="20"/>
          <w:szCs w:val="20"/>
          <w:lang w:val="en-US"/>
        </w:rPr>
        <w:t xml:space="preserve">broiler chicks were procured and reared at the Instructional Poultry Farm. All the birds were individually </w:t>
      </w:r>
      <w:r w:rsidRPr="003D4161">
        <w:rPr>
          <w:rFonts w:ascii="Arial" w:hAnsi="Arial" w:cs="Arial"/>
          <w:color w:val="000000" w:themeColor="text1"/>
          <w:sz w:val="20"/>
          <w:szCs w:val="20"/>
          <w:lang w:val="en-US"/>
        </w:rPr>
        <w:lastRenderedPageBreak/>
        <w:t xml:space="preserve">weighed and were randomly allocated into four different treatment groups, each with three replicates of ten broiler chicks. </w:t>
      </w:r>
      <w:commentRangeEnd w:id="11"/>
      <w:r w:rsidR="00F55724">
        <w:rPr>
          <w:rStyle w:val="CommentReference"/>
        </w:rPr>
        <w:commentReference w:id="11"/>
      </w:r>
      <w:r w:rsidRPr="003D4161">
        <w:rPr>
          <w:rFonts w:ascii="Arial" w:hAnsi="Arial" w:cs="Arial"/>
          <w:color w:val="000000" w:themeColor="text1"/>
          <w:sz w:val="20"/>
          <w:szCs w:val="20"/>
          <w:lang w:val="en-US"/>
        </w:rPr>
        <w:t>The first group served as the</w:t>
      </w:r>
      <w:r w:rsidR="00B33D78" w:rsidRPr="003D4161">
        <w:rPr>
          <w:rFonts w:ascii="Arial" w:hAnsi="Arial" w:cs="Arial"/>
          <w:color w:val="000000" w:themeColor="text1"/>
          <w:sz w:val="20"/>
          <w:szCs w:val="20"/>
          <w:lang w:val="en-US"/>
        </w:rPr>
        <w:t xml:space="preserve"> (</w:t>
      </w:r>
      <w:r w:rsidRPr="003D4161">
        <w:rPr>
          <w:rFonts w:ascii="Arial" w:hAnsi="Arial" w:cs="Arial"/>
          <w:color w:val="000000" w:themeColor="text1"/>
          <w:sz w:val="20"/>
          <w:szCs w:val="20"/>
          <w:lang w:val="en-US"/>
        </w:rPr>
        <w:t>control</w:t>
      </w:r>
      <w:r w:rsidR="00B33D78" w:rsidRPr="003D4161">
        <w:rPr>
          <w:rFonts w:ascii="Arial" w:hAnsi="Arial" w:cs="Arial"/>
          <w:color w:val="000000" w:themeColor="text1"/>
          <w:sz w:val="20"/>
          <w:szCs w:val="20"/>
          <w:lang w:val="en-US"/>
        </w:rPr>
        <w:t>)</w:t>
      </w:r>
      <w:r w:rsidRPr="003D4161">
        <w:rPr>
          <w:rFonts w:ascii="Arial" w:hAnsi="Arial" w:cs="Arial"/>
          <w:color w:val="000000" w:themeColor="text1"/>
          <w:sz w:val="20"/>
          <w:szCs w:val="20"/>
          <w:lang w:val="en-US"/>
        </w:rPr>
        <w:t>, in which a standard diet as per BIS (2007) without any supplementation was fed. In treatment groups T2, T3, and T4, standard diets incorporated with 1%, 2%, and 3% mushroom fruiting body waste powder, respectively, were fed. Daily feed intake, body weight gain, and the effect of dietary treatments on nutrient utilization were recorded. A metabolic trial was conducted during the last week of the feeding trial.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365"/>
        <w:gridCol w:w="2504"/>
        <w:gridCol w:w="3944"/>
      </w:tblGrid>
      <w:tr w:rsidR="005F5937" w:rsidRPr="003D4161" w14:paraId="0CAC91F9" w14:textId="77777777" w:rsidTr="003D4161">
        <w:tc>
          <w:tcPr>
            <w:tcW w:w="672" w:type="pct"/>
            <w:tcBorders>
              <w:top w:val="single" w:sz="4" w:space="0" w:color="auto"/>
              <w:bottom w:val="single" w:sz="4" w:space="0" w:color="auto"/>
            </w:tcBorders>
            <w:hideMark/>
          </w:tcPr>
          <w:p w14:paraId="6024CDE4"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Treatment</w:t>
            </w:r>
          </w:p>
        </w:tc>
        <w:tc>
          <w:tcPr>
            <w:tcW w:w="756" w:type="pct"/>
            <w:tcBorders>
              <w:top w:val="single" w:sz="4" w:space="0" w:color="auto"/>
              <w:bottom w:val="single" w:sz="4" w:space="0" w:color="auto"/>
            </w:tcBorders>
            <w:hideMark/>
          </w:tcPr>
          <w:p w14:paraId="7EFB8754"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No. of Birds</w:t>
            </w:r>
          </w:p>
        </w:tc>
        <w:tc>
          <w:tcPr>
            <w:tcW w:w="1387" w:type="pct"/>
            <w:tcBorders>
              <w:top w:val="single" w:sz="4" w:space="0" w:color="auto"/>
              <w:bottom w:val="single" w:sz="4" w:space="0" w:color="auto"/>
            </w:tcBorders>
            <w:hideMark/>
          </w:tcPr>
          <w:p w14:paraId="1283AA1D"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No. of Replicates</w:t>
            </w:r>
          </w:p>
        </w:tc>
        <w:tc>
          <w:tcPr>
            <w:tcW w:w="2185" w:type="pct"/>
            <w:tcBorders>
              <w:top w:val="single" w:sz="4" w:space="0" w:color="auto"/>
              <w:bottom w:val="single" w:sz="4" w:space="0" w:color="auto"/>
            </w:tcBorders>
            <w:hideMark/>
          </w:tcPr>
          <w:p w14:paraId="6021D31B"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Treatment Details</w:t>
            </w:r>
          </w:p>
        </w:tc>
      </w:tr>
      <w:tr w:rsidR="005F5937" w:rsidRPr="003D4161" w14:paraId="239780EB" w14:textId="77777777" w:rsidTr="003D4161">
        <w:tc>
          <w:tcPr>
            <w:tcW w:w="672" w:type="pct"/>
            <w:tcBorders>
              <w:top w:val="single" w:sz="4" w:space="0" w:color="auto"/>
            </w:tcBorders>
            <w:hideMark/>
          </w:tcPr>
          <w:p w14:paraId="5368A4CB"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₁</w:t>
            </w:r>
          </w:p>
        </w:tc>
        <w:tc>
          <w:tcPr>
            <w:tcW w:w="756" w:type="pct"/>
            <w:tcBorders>
              <w:top w:val="single" w:sz="4" w:space="0" w:color="auto"/>
            </w:tcBorders>
            <w:hideMark/>
          </w:tcPr>
          <w:p w14:paraId="7086E772"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tcBorders>
              <w:top w:val="single" w:sz="4" w:space="0" w:color="auto"/>
            </w:tcBorders>
            <w:hideMark/>
          </w:tcPr>
          <w:p w14:paraId="0269E93E"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tcBorders>
              <w:top w:val="single" w:sz="4" w:space="0" w:color="auto"/>
            </w:tcBorders>
            <w:hideMark/>
          </w:tcPr>
          <w:p w14:paraId="3425A77F"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Control (Standard ration)</w:t>
            </w:r>
          </w:p>
        </w:tc>
      </w:tr>
      <w:tr w:rsidR="005F5937" w:rsidRPr="003D4161" w14:paraId="52AF42CB" w14:textId="77777777" w:rsidTr="003D4161">
        <w:tc>
          <w:tcPr>
            <w:tcW w:w="672" w:type="pct"/>
            <w:hideMark/>
          </w:tcPr>
          <w:p w14:paraId="06397052"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₂</w:t>
            </w:r>
          </w:p>
        </w:tc>
        <w:tc>
          <w:tcPr>
            <w:tcW w:w="756" w:type="pct"/>
            <w:hideMark/>
          </w:tcPr>
          <w:p w14:paraId="6496AF10"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03C6D846"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7E63B8A3"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1.0% Mushroom fruiting body waste powder</w:t>
            </w:r>
          </w:p>
        </w:tc>
      </w:tr>
      <w:tr w:rsidR="005F5937" w:rsidRPr="003D4161" w14:paraId="145B8736" w14:textId="77777777" w:rsidTr="003D4161">
        <w:tc>
          <w:tcPr>
            <w:tcW w:w="672" w:type="pct"/>
            <w:hideMark/>
          </w:tcPr>
          <w:p w14:paraId="28A25012"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₃</w:t>
            </w:r>
          </w:p>
        </w:tc>
        <w:tc>
          <w:tcPr>
            <w:tcW w:w="756" w:type="pct"/>
            <w:hideMark/>
          </w:tcPr>
          <w:p w14:paraId="75E692B6"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29973798"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293C9637"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2.0% Mushroom fruiting body waste powder</w:t>
            </w:r>
          </w:p>
        </w:tc>
      </w:tr>
      <w:tr w:rsidR="005F5937" w:rsidRPr="003D4161" w14:paraId="7902E9A9" w14:textId="77777777" w:rsidTr="003D4161">
        <w:tc>
          <w:tcPr>
            <w:tcW w:w="672" w:type="pct"/>
            <w:hideMark/>
          </w:tcPr>
          <w:p w14:paraId="165EE42F" w14:textId="77777777" w:rsidR="005F5937" w:rsidRPr="003D4161" w:rsidRDefault="005F5937" w:rsidP="00AC5A90">
            <w:pPr>
              <w:spacing w:after="160" w:line="276" w:lineRule="auto"/>
              <w:jc w:val="center"/>
              <w:rPr>
                <w:rFonts w:ascii="Arial" w:hAnsi="Arial" w:cs="Arial"/>
                <w:b/>
                <w:color w:val="000000" w:themeColor="text1"/>
                <w:sz w:val="20"/>
                <w:szCs w:val="20"/>
              </w:rPr>
            </w:pPr>
            <w:r w:rsidRPr="003D4161">
              <w:rPr>
                <w:rFonts w:ascii="Arial" w:hAnsi="Arial" w:cs="Arial"/>
                <w:b/>
                <w:color w:val="000000" w:themeColor="text1"/>
                <w:sz w:val="20"/>
                <w:szCs w:val="20"/>
              </w:rPr>
              <w:t>T</w:t>
            </w:r>
            <w:r w:rsidRPr="003D4161">
              <w:rPr>
                <w:rFonts w:ascii="Cambria Math" w:hAnsi="Cambria Math" w:cs="Cambria Math"/>
                <w:b/>
                <w:color w:val="000000" w:themeColor="text1"/>
                <w:sz w:val="20"/>
                <w:szCs w:val="20"/>
              </w:rPr>
              <w:t>₄</w:t>
            </w:r>
          </w:p>
        </w:tc>
        <w:tc>
          <w:tcPr>
            <w:tcW w:w="756" w:type="pct"/>
            <w:hideMark/>
          </w:tcPr>
          <w:p w14:paraId="51649014"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30</w:t>
            </w:r>
          </w:p>
        </w:tc>
        <w:tc>
          <w:tcPr>
            <w:tcW w:w="1387" w:type="pct"/>
            <w:hideMark/>
          </w:tcPr>
          <w:p w14:paraId="19F8212A"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3 replicates (10 birds per replicate)</w:t>
            </w:r>
          </w:p>
        </w:tc>
        <w:tc>
          <w:tcPr>
            <w:tcW w:w="2185" w:type="pct"/>
            <w:hideMark/>
          </w:tcPr>
          <w:p w14:paraId="5F1D1030" w14:textId="77777777" w:rsidR="005F5937" w:rsidRPr="003D4161" w:rsidRDefault="005F5937" w:rsidP="00AC5A90">
            <w:pPr>
              <w:spacing w:after="160" w:line="276" w:lineRule="auto"/>
              <w:jc w:val="center"/>
              <w:rPr>
                <w:rFonts w:ascii="Arial" w:hAnsi="Arial" w:cs="Arial"/>
                <w:color w:val="000000" w:themeColor="text1"/>
                <w:sz w:val="20"/>
                <w:szCs w:val="20"/>
              </w:rPr>
            </w:pPr>
            <w:r w:rsidRPr="003D4161">
              <w:rPr>
                <w:rFonts w:ascii="Arial" w:hAnsi="Arial" w:cs="Arial"/>
                <w:color w:val="000000" w:themeColor="text1"/>
                <w:sz w:val="20"/>
                <w:szCs w:val="20"/>
              </w:rPr>
              <w:t>Standard ration supplemented with 3.0% Mushroom fruiting body waste powder</w:t>
            </w:r>
          </w:p>
        </w:tc>
      </w:tr>
      <w:tr w:rsidR="005F5937" w:rsidRPr="003D4161" w14:paraId="50DC5238" w14:textId="77777777" w:rsidTr="003D4161">
        <w:tc>
          <w:tcPr>
            <w:tcW w:w="672" w:type="pct"/>
            <w:hideMark/>
          </w:tcPr>
          <w:p w14:paraId="7FCAEBA1"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Total</w:t>
            </w:r>
          </w:p>
        </w:tc>
        <w:tc>
          <w:tcPr>
            <w:tcW w:w="756" w:type="pct"/>
            <w:hideMark/>
          </w:tcPr>
          <w:p w14:paraId="26BE8DC7" w14:textId="77777777" w:rsidR="005F5937" w:rsidRPr="003D4161" w:rsidRDefault="005F5937" w:rsidP="00AC5A90">
            <w:pPr>
              <w:spacing w:after="160" w:line="276" w:lineRule="auto"/>
              <w:jc w:val="center"/>
              <w:rPr>
                <w:rFonts w:ascii="Arial" w:hAnsi="Arial" w:cs="Arial"/>
                <w:b/>
                <w:bCs/>
                <w:color w:val="000000" w:themeColor="text1"/>
                <w:sz w:val="20"/>
                <w:szCs w:val="20"/>
              </w:rPr>
            </w:pPr>
            <w:r w:rsidRPr="003D4161">
              <w:rPr>
                <w:rFonts w:ascii="Arial" w:hAnsi="Arial" w:cs="Arial"/>
                <w:b/>
                <w:bCs/>
                <w:color w:val="000000" w:themeColor="text1"/>
                <w:sz w:val="20"/>
                <w:szCs w:val="20"/>
              </w:rPr>
              <w:t>120</w:t>
            </w:r>
          </w:p>
        </w:tc>
        <w:tc>
          <w:tcPr>
            <w:tcW w:w="1387" w:type="pct"/>
            <w:hideMark/>
          </w:tcPr>
          <w:p w14:paraId="7751E2BB" w14:textId="77777777" w:rsidR="005F5937" w:rsidRPr="003D4161" w:rsidRDefault="005F5937" w:rsidP="00AC5A90">
            <w:pPr>
              <w:spacing w:after="160" w:line="276" w:lineRule="auto"/>
              <w:jc w:val="center"/>
              <w:rPr>
                <w:rFonts w:ascii="Arial" w:hAnsi="Arial" w:cs="Arial"/>
                <w:b/>
                <w:bCs/>
                <w:color w:val="000000" w:themeColor="text1"/>
                <w:sz w:val="20"/>
                <w:szCs w:val="20"/>
              </w:rPr>
            </w:pPr>
          </w:p>
        </w:tc>
        <w:tc>
          <w:tcPr>
            <w:tcW w:w="2185" w:type="pct"/>
            <w:noWrap/>
            <w:hideMark/>
          </w:tcPr>
          <w:p w14:paraId="1B741F2A" w14:textId="77777777" w:rsidR="005F5937" w:rsidRPr="003D4161" w:rsidRDefault="005F5937" w:rsidP="00AC5A90">
            <w:pPr>
              <w:spacing w:after="160" w:line="276" w:lineRule="auto"/>
              <w:jc w:val="center"/>
              <w:rPr>
                <w:rFonts w:ascii="Arial" w:hAnsi="Arial" w:cs="Arial"/>
                <w:color w:val="000000" w:themeColor="text1"/>
                <w:sz w:val="20"/>
                <w:szCs w:val="20"/>
              </w:rPr>
            </w:pPr>
          </w:p>
        </w:tc>
      </w:tr>
    </w:tbl>
    <w:p w14:paraId="2F4AFE85" w14:textId="77777777" w:rsidR="005F5937" w:rsidRPr="003D4161" w:rsidRDefault="005F5937" w:rsidP="000004F3">
      <w:pPr>
        <w:spacing w:line="360" w:lineRule="auto"/>
        <w:jc w:val="both"/>
        <w:rPr>
          <w:rFonts w:ascii="Arial" w:hAnsi="Arial" w:cs="Arial"/>
          <w:color w:val="000000" w:themeColor="text1"/>
          <w:sz w:val="20"/>
          <w:szCs w:val="20"/>
          <w:lang w:val="en-US"/>
        </w:rPr>
      </w:pPr>
    </w:p>
    <w:p w14:paraId="03D8980B" w14:textId="46888070" w:rsidR="005F5937" w:rsidRPr="003068E2" w:rsidRDefault="003068E2" w:rsidP="000004F3">
      <w:pPr>
        <w:spacing w:line="360" w:lineRule="auto"/>
        <w:jc w:val="both"/>
        <w:rPr>
          <w:rFonts w:ascii="Arial" w:hAnsi="Arial" w:cs="Arial"/>
          <w:b/>
          <w:bCs/>
          <w:sz w:val="22"/>
          <w:szCs w:val="22"/>
        </w:rPr>
      </w:pPr>
      <w:r w:rsidRPr="003068E2">
        <w:rPr>
          <w:rFonts w:ascii="Arial" w:hAnsi="Arial" w:cs="Arial"/>
          <w:b/>
          <w:bCs/>
          <w:sz w:val="22"/>
          <w:szCs w:val="22"/>
        </w:rPr>
        <w:t xml:space="preserve">2.2 </w:t>
      </w:r>
      <w:r w:rsidR="005F5937" w:rsidRPr="003068E2">
        <w:rPr>
          <w:rFonts w:ascii="Arial" w:hAnsi="Arial" w:cs="Arial"/>
          <w:b/>
          <w:bCs/>
          <w:sz w:val="22"/>
          <w:szCs w:val="22"/>
        </w:rPr>
        <w:t xml:space="preserve">Collection and processing of mushroom </w:t>
      </w:r>
      <w:r w:rsidR="005F5937" w:rsidRPr="003068E2">
        <w:rPr>
          <w:rFonts w:ascii="Arial" w:hAnsi="Arial" w:cs="Arial"/>
          <w:b/>
          <w:bCs/>
          <w:i/>
          <w:iCs/>
          <w:sz w:val="22"/>
          <w:szCs w:val="22"/>
        </w:rPr>
        <w:t>(Agaricus bisporus)</w:t>
      </w:r>
      <w:r w:rsidR="005F5937" w:rsidRPr="003068E2">
        <w:rPr>
          <w:rFonts w:ascii="Arial" w:hAnsi="Arial" w:cs="Arial"/>
          <w:b/>
          <w:bCs/>
          <w:sz w:val="22"/>
          <w:szCs w:val="22"/>
        </w:rPr>
        <w:t xml:space="preserve"> fruiting body waste</w:t>
      </w:r>
    </w:p>
    <w:p w14:paraId="7CEB533E" w14:textId="6F4206A6" w:rsidR="00652F73" w:rsidRDefault="005F5937" w:rsidP="00652F73">
      <w:pPr>
        <w:spacing w:line="360" w:lineRule="auto"/>
        <w:jc w:val="both"/>
        <w:rPr>
          <w:rFonts w:ascii="Arial" w:hAnsi="Arial" w:cs="Arial"/>
          <w:sz w:val="20"/>
          <w:szCs w:val="20"/>
        </w:rPr>
      </w:pPr>
      <w:r w:rsidRPr="003D4161">
        <w:rPr>
          <w:rFonts w:ascii="Arial" w:hAnsi="Arial" w:cs="Arial"/>
          <w:sz w:val="20"/>
          <w:szCs w:val="20"/>
        </w:rPr>
        <w:t xml:space="preserve">Mushroom fruiting body waste were collected from </w:t>
      </w:r>
      <w:proofErr w:type="spellStart"/>
      <w:r w:rsidRPr="003D4161">
        <w:rPr>
          <w:rFonts w:ascii="Arial" w:hAnsi="Arial" w:cs="Arial"/>
          <w:sz w:val="20"/>
          <w:szCs w:val="20"/>
        </w:rPr>
        <w:t>Halduchaur</w:t>
      </w:r>
      <w:proofErr w:type="spellEnd"/>
      <w:r w:rsidRPr="003D4161">
        <w:rPr>
          <w:rFonts w:ascii="Arial" w:hAnsi="Arial" w:cs="Arial"/>
          <w:sz w:val="20"/>
          <w:szCs w:val="20"/>
        </w:rPr>
        <w:t xml:space="preserve">, Nainital, Uttarakhand, </w:t>
      </w:r>
      <w:commentRangeStart w:id="13"/>
      <w:r w:rsidRPr="003D4161">
        <w:rPr>
          <w:rFonts w:ascii="Arial" w:hAnsi="Arial" w:cs="Arial"/>
          <w:sz w:val="20"/>
          <w:szCs w:val="20"/>
        </w:rPr>
        <w:t xml:space="preserve">.Mushroom fruiting body waste </w:t>
      </w:r>
      <w:commentRangeEnd w:id="13"/>
      <w:r w:rsidR="00F55724">
        <w:rPr>
          <w:rStyle w:val="CommentReference"/>
        </w:rPr>
        <w:commentReference w:id="13"/>
      </w:r>
      <w:r w:rsidRPr="003D4161">
        <w:rPr>
          <w:rFonts w:ascii="Arial" w:hAnsi="Arial" w:cs="Arial"/>
          <w:sz w:val="20"/>
          <w:szCs w:val="20"/>
        </w:rPr>
        <w:t>were shade-dried in a well-ventilated area for 5–6 days to minimize nutrient loss, followed by oven drying at 60 °C for 4–6 h</w:t>
      </w:r>
      <w:r w:rsidR="0008226F" w:rsidRPr="003D4161">
        <w:rPr>
          <w:rFonts w:ascii="Arial" w:hAnsi="Arial" w:cs="Arial"/>
          <w:sz w:val="20"/>
          <w:szCs w:val="20"/>
        </w:rPr>
        <w:t>rs</w:t>
      </w:r>
      <w:r w:rsidRPr="003D4161">
        <w:rPr>
          <w:rFonts w:ascii="Arial" w:hAnsi="Arial" w:cs="Arial"/>
          <w:sz w:val="20"/>
          <w:szCs w:val="20"/>
        </w:rPr>
        <w:t xml:space="preserve">, and then ground into a fine powder using an electric grinder (Willey mill). The prepared </w:t>
      </w:r>
      <w:r w:rsidR="0008226F" w:rsidRPr="003D4161">
        <w:rPr>
          <w:rFonts w:ascii="Arial" w:hAnsi="Arial" w:cs="Arial"/>
          <w:sz w:val="20"/>
          <w:szCs w:val="20"/>
        </w:rPr>
        <w:t xml:space="preserve">mushroom </w:t>
      </w:r>
      <w:r w:rsidRPr="003D4161">
        <w:rPr>
          <w:rFonts w:ascii="Arial" w:hAnsi="Arial" w:cs="Arial"/>
          <w:sz w:val="20"/>
          <w:szCs w:val="20"/>
        </w:rPr>
        <w:t xml:space="preserve">powder </w:t>
      </w:r>
      <w:r w:rsidR="0008226F" w:rsidRPr="003D4161">
        <w:rPr>
          <w:rFonts w:ascii="Arial" w:hAnsi="Arial" w:cs="Arial"/>
          <w:sz w:val="20"/>
          <w:szCs w:val="20"/>
        </w:rPr>
        <w:t>was</w:t>
      </w:r>
      <w:r w:rsidRPr="003D4161">
        <w:rPr>
          <w:rFonts w:ascii="Arial" w:hAnsi="Arial" w:cs="Arial"/>
          <w:sz w:val="20"/>
          <w:szCs w:val="20"/>
        </w:rPr>
        <w:t xml:space="preserve"> stored in airtight polythene bags at room temperature until </w:t>
      </w:r>
      <w:r w:rsidR="0008226F" w:rsidRPr="003D4161">
        <w:rPr>
          <w:rFonts w:ascii="Arial" w:hAnsi="Arial" w:cs="Arial"/>
          <w:sz w:val="20"/>
          <w:szCs w:val="20"/>
        </w:rPr>
        <w:t xml:space="preserve">supplementation </w:t>
      </w:r>
      <w:r w:rsidRPr="003D4161">
        <w:rPr>
          <w:rFonts w:ascii="Arial" w:hAnsi="Arial" w:cs="Arial"/>
          <w:sz w:val="20"/>
          <w:szCs w:val="20"/>
        </w:rPr>
        <w:t xml:space="preserve">into the experimental diets of </w:t>
      </w:r>
      <w:r w:rsidR="0008226F" w:rsidRPr="003D4161">
        <w:rPr>
          <w:rFonts w:ascii="Arial" w:hAnsi="Arial" w:cs="Arial"/>
          <w:sz w:val="20"/>
          <w:szCs w:val="20"/>
        </w:rPr>
        <w:t>Broiler chicks</w:t>
      </w:r>
      <w:r w:rsidRPr="003D4161">
        <w:rPr>
          <w:rFonts w:ascii="Arial" w:hAnsi="Arial" w:cs="Arial"/>
          <w:sz w:val="20"/>
          <w:szCs w:val="20"/>
        </w:rPr>
        <w:t>.</w:t>
      </w:r>
    </w:p>
    <w:p w14:paraId="36747CC2" w14:textId="77777777" w:rsidR="00430ECD" w:rsidRDefault="00430ECD" w:rsidP="00652F73">
      <w:pPr>
        <w:spacing w:line="360" w:lineRule="auto"/>
        <w:jc w:val="both"/>
        <w:rPr>
          <w:rFonts w:ascii="Arial" w:hAnsi="Arial" w:cs="Arial"/>
          <w:sz w:val="20"/>
          <w:szCs w:val="20"/>
        </w:rPr>
      </w:pPr>
    </w:p>
    <w:p w14:paraId="3562110E" w14:textId="2FD17D7B" w:rsidR="00430ECD" w:rsidRPr="003D4161" w:rsidRDefault="00430ECD" w:rsidP="00652F73">
      <w:pPr>
        <w:spacing w:line="360" w:lineRule="auto"/>
        <w:jc w:val="both"/>
        <w:rPr>
          <w:rFonts w:ascii="Arial" w:hAnsi="Arial" w:cs="Arial"/>
          <w:sz w:val="20"/>
          <w:szCs w:val="20"/>
        </w:rPr>
      </w:pPr>
      <w:r w:rsidRPr="003D4161">
        <w:rPr>
          <w:rFonts w:ascii="Arial" w:hAnsi="Arial" w:cs="Arial"/>
          <w:noProof/>
          <w:sz w:val="20"/>
          <w:szCs w:val="20"/>
          <w:lang w:val="en-GB" w:eastAsia="en-GB"/>
        </w:rPr>
        <w:drawing>
          <wp:anchor distT="0" distB="0" distL="114300" distR="114300" simplePos="0" relativeHeight="251673600" behindDoc="0" locked="0" layoutInCell="1" allowOverlap="1" wp14:anchorId="0E22768B" wp14:editId="73C800C0">
            <wp:simplePos x="0" y="0"/>
            <wp:positionH relativeFrom="margin">
              <wp:posOffset>4005943</wp:posOffset>
            </wp:positionH>
            <wp:positionV relativeFrom="paragraph">
              <wp:posOffset>0</wp:posOffset>
            </wp:positionV>
            <wp:extent cx="1835393" cy="1664335"/>
            <wp:effectExtent l="0" t="0" r="0" b="0"/>
            <wp:wrapNone/>
            <wp:docPr id="1093235181" name="Picture 10">
              <a:extLst xmlns:a="http://schemas.openxmlformats.org/drawingml/2006/main">
                <a:ext uri="{FF2B5EF4-FFF2-40B4-BE49-F238E27FC236}">
                  <a16:creationId xmlns:a16="http://schemas.microsoft.com/office/drawing/2014/main" id="{6DF12F40-4BF5-EB6D-C09B-3619A64FD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DF12F40-4BF5-EB6D-C09B-3619A64FD18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5393" cy="1664335"/>
                    </a:xfrm>
                    <a:prstGeom prst="rect">
                      <a:avLst/>
                    </a:prstGeom>
                  </pic:spPr>
                </pic:pic>
              </a:graphicData>
            </a:graphic>
            <wp14:sizeRelH relativeFrom="margin">
              <wp14:pctWidth>0</wp14:pctWidth>
            </wp14:sizeRelH>
            <wp14:sizeRelV relativeFrom="margin">
              <wp14:pctHeight>0</wp14:pctHeight>
            </wp14:sizeRelV>
          </wp:anchor>
        </w:drawing>
      </w:r>
      <w:r w:rsidRPr="003D4161">
        <w:rPr>
          <w:rFonts w:ascii="Arial" w:hAnsi="Arial" w:cs="Arial"/>
          <w:noProof/>
          <w:sz w:val="20"/>
          <w:szCs w:val="20"/>
          <w:lang w:val="en-GB" w:eastAsia="en-GB"/>
        </w:rPr>
        <w:drawing>
          <wp:anchor distT="0" distB="0" distL="114300" distR="114300" simplePos="0" relativeHeight="251671552" behindDoc="0" locked="0" layoutInCell="1" allowOverlap="1" wp14:anchorId="10933BB2" wp14:editId="66E408EE">
            <wp:simplePos x="0" y="0"/>
            <wp:positionH relativeFrom="margin">
              <wp:align>center</wp:align>
            </wp:positionH>
            <wp:positionV relativeFrom="paragraph">
              <wp:posOffset>7257</wp:posOffset>
            </wp:positionV>
            <wp:extent cx="1828165" cy="1644015"/>
            <wp:effectExtent l="0" t="0" r="635" b="0"/>
            <wp:wrapNone/>
            <wp:docPr id="2074226427" name="Picture 8">
              <a:extLst xmlns:a="http://schemas.openxmlformats.org/drawingml/2006/main">
                <a:ext uri="{FF2B5EF4-FFF2-40B4-BE49-F238E27FC236}">
                  <a16:creationId xmlns:a16="http://schemas.microsoft.com/office/drawing/2014/main" id="{0328299A-1BFC-41FF-048E-69753AE31F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328299A-1BFC-41FF-048E-69753AE31FB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165" cy="1644015"/>
                    </a:xfrm>
                    <a:prstGeom prst="rect">
                      <a:avLst/>
                    </a:prstGeom>
                  </pic:spPr>
                </pic:pic>
              </a:graphicData>
            </a:graphic>
            <wp14:sizeRelH relativeFrom="margin">
              <wp14:pctWidth>0</wp14:pctWidth>
            </wp14:sizeRelH>
            <wp14:sizeRelV relativeFrom="margin">
              <wp14:pctHeight>0</wp14:pctHeight>
            </wp14:sizeRelV>
          </wp:anchor>
        </w:drawing>
      </w:r>
      <w:r w:rsidRPr="003D4161">
        <w:rPr>
          <w:rFonts w:ascii="Arial" w:hAnsi="Arial" w:cs="Arial"/>
          <w:noProof/>
          <w:sz w:val="20"/>
          <w:szCs w:val="20"/>
          <w:lang w:val="en-GB" w:eastAsia="en-GB"/>
        </w:rPr>
        <w:drawing>
          <wp:inline distT="0" distB="0" distL="0" distR="0" wp14:anchorId="184B32F2" wp14:editId="3DA7178A">
            <wp:extent cx="1765069" cy="1664335"/>
            <wp:effectExtent l="0" t="0" r="6985" b="0"/>
            <wp:docPr id="1164721064" name="Content Placeholder 4">
              <a:extLst xmlns:a="http://schemas.openxmlformats.org/drawingml/2006/main">
                <a:ext uri="{FF2B5EF4-FFF2-40B4-BE49-F238E27FC236}">
                  <a16:creationId xmlns:a16="http://schemas.microsoft.com/office/drawing/2014/main" id="{16B37F67-6439-EC0D-D3E8-3011BA5AC75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6B37F67-6439-EC0D-D3E8-3011BA5AC757}"/>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3814" cy="1710298"/>
                    </a:xfrm>
                    <a:prstGeom prst="rect">
                      <a:avLst/>
                    </a:prstGeom>
                  </pic:spPr>
                </pic:pic>
              </a:graphicData>
            </a:graphic>
          </wp:inline>
        </w:drawing>
      </w:r>
    </w:p>
    <w:p w14:paraId="0283CE62" w14:textId="77777777" w:rsidR="00430ECD" w:rsidRPr="003D4161" w:rsidRDefault="00430ECD" w:rsidP="00430ECD">
      <w:pPr>
        <w:spacing w:line="360" w:lineRule="auto"/>
        <w:jc w:val="center"/>
        <w:rPr>
          <w:rFonts w:ascii="Arial" w:hAnsi="Arial" w:cs="Arial"/>
          <w:b/>
          <w:bCs/>
          <w:sz w:val="20"/>
          <w:szCs w:val="20"/>
        </w:rPr>
      </w:pPr>
      <w:r w:rsidRPr="003D4161">
        <w:rPr>
          <w:rFonts w:ascii="Arial" w:hAnsi="Arial" w:cs="Arial"/>
          <w:b/>
          <w:bCs/>
          <w:sz w:val="20"/>
          <w:szCs w:val="20"/>
        </w:rPr>
        <w:t>Image 1. Preparation of Mushroom fruiting body waste powder</w:t>
      </w:r>
    </w:p>
    <w:p w14:paraId="1DB3D094" w14:textId="1EF336E1" w:rsidR="0008226F" w:rsidRPr="00BA10D5" w:rsidRDefault="00BA10D5" w:rsidP="000004F3">
      <w:pPr>
        <w:spacing w:line="360" w:lineRule="auto"/>
        <w:jc w:val="both"/>
        <w:rPr>
          <w:rFonts w:ascii="Arial" w:hAnsi="Arial" w:cs="Arial"/>
          <w:sz w:val="22"/>
          <w:szCs w:val="22"/>
        </w:rPr>
      </w:pPr>
      <w:r w:rsidRPr="00BA10D5">
        <w:rPr>
          <w:rFonts w:ascii="Arial" w:hAnsi="Arial" w:cs="Arial"/>
          <w:b/>
          <w:bCs/>
          <w:sz w:val="22"/>
          <w:szCs w:val="22"/>
        </w:rPr>
        <w:t>2.3</w:t>
      </w:r>
      <w:r w:rsidR="005F5937" w:rsidRPr="00BA10D5">
        <w:rPr>
          <w:rFonts w:ascii="Arial" w:hAnsi="Arial" w:cs="Arial"/>
          <w:b/>
          <w:bCs/>
          <w:sz w:val="22"/>
          <w:szCs w:val="22"/>
        </w:rPr>
        <w:t xml:space="preserve"> </w:t>
      </w:r>
      <w:r w:rsidR="0008226F" w:rsidRPr="00BA10D5">
        <w:rPr>
          <w:rFonts w:ascii="Arial" w:hAnsi="Arial" w:cs="Arial"/>
          <w:b/>
          <w:bCs/>
          <w:sz w:val="22"/>
          <w:szCs w:val="22"/>
        </w:rPr>
        <w:t>Formulation and Composition of Experimental Diets</w:t>
      </w:r>
    </w:p>
    <w:p w14:paraId="34AF270D" w14:textId="1FAA7F80" w:rsidR="0008226F" w:rsidRPr="003D4161" w:rsidRDefault="0008226F" w:rsidP="00652F73">
      <w:pPr>
        <w:spacing w:line="360" w:lineRule="auto"/>
        <w:jc w:val="both"/>
        <w:rPr>
          <w:rFonts w:ascii="Arial" w:hAnsi="Arial" w:cs="Arial"/>
          <w:color w:val="000000" w:themeColor="text1"/>
          <w:sz w:val="20"/>
          <w:szCs w:val="20"/>
          <w:lang w:val="en-US"/>
        </w:rPr>
      </w:pPr>
      <w:r w:rsidRPr="003D4161">
        <w:rPr>
          <w:rFonts w:ascii="Arial" w:hAnsi="Arial" w:cs="Arial"/>
          <w:color w:val="000000" w:themeColor="text1"/>
          <w:sz w:val="20"/>
          <w:szCs w:val="20"/>
          <w:lang w:val="en-US"/>
        </w:rPr>
        <w:lastRenderedPageBreak/>
        <w:t xml:space="preserve">Three types of basal diets, namely broiler pre-starter (0-7 days), starter (7-21 days), and finisher diets (21-45 days), were prepared to meet the nutrient requirements of broiler birds as per </w:t>
      </w:r>
      <w:r w:rsidRPr="003D4161">
        <w:rPr>
          <w:rFonts w:ascii="Arial" w:hAnsi="Arial" w:cs="Arial"/>
          <w:bCs/>
          <w:color w:val="000000" w:themeColor="text1"/>
          <w:sz w:val="20"/>
          <w:szCs w:val="20"/>
          <w:lang w:val="en-US"/>
        </w:rPr>
        <w:t>BIS (2007)</w:t>
      </w:r>
      <w:r w:rsidRPr="003D4161">
        <w:rPr>
          <w:rFonts w:ascii="Arial" w:hAnsi="Arial" w:cs="Arial"/>
          <w:color w:val="000000" w:themeColor="text1"/>
          <w:sz w:val="20"/>
          <w:szCs w:val="20"/>
          <w:lang w:val="en-US"/>
        </w:rPr>
        <w:t xml:space="preserve"> specifications.</w:t>
      </w:r>
    </w:p>
    <w:p w14:paraId="74C67D98" w14:textId="794AA957" w:rsidR="009C4E01" w:rsidRPr="0010789F" w:rsidRDefault="009C4E01" w:rsidP="0010789F">
      <w:pPr>
        <w:spacing w:line="360" w:lineRule="auto"/>
        <w:rPr>
          <w:rFonts w:ascii="Arial" w:hAnsi="Arial" w:cs="Arial"/>
          <w:b/>
          <w:bCs/>
          <w:sz w:val="22"/>
          <w:szCs w:val="22"/>
        </w:rPr>
      </w:pPr>
      <w:r w:rsidRPr="0010789F">
        <w:rPr>
          <w:rFonts w:ascii="Arial" w:hAnsi="Arial" w:cs="Arial"/>
          <w:b/>
          <w:bCs/>
          <w:sz w:val="22"/>
          <w:szCs w:val="22"/>
        </w:rPr>
        <w:t xml:space="preserve">Table 1. Ingredient composition (Kg/100Kg) of broiler chicks (pre-starter, starter and </w:t>
      </w:r>
      <w:r w:rsidR="0010789F">
        <w:rPr>
          <w:rFonts w:ascii="Arial" w:hAnsi="Arial" w:cs="Arial"/>
          <w:b/>
          <w:bCs/>
          <w:sz w:val="22"/>
          <w:szCs w:val="22"/>
        </w:rPr>
        <w:t xml:space="preserve">     </w:t>
      </w:r>
      <w:r w:rsidRPr="0010789F">
        <w:rPr>
          <w:rFonts w:ascii="Arial" w:hAnsi="Arial" w:cs="Arial"/>
          <w:b/>
          <w:bCs/>
          <w:sz w:val="22"/>
          <w:szCs w:val="22"/>
        </w:rPr>
        <w:t>finisher)</w:t>
      </w:r>
      <w:r w:rsidR="0010789F" w:rsidRPr="0010789F">
        <w:rPr>
          <w:rFonts w:ascii="Arial" w:hAnsi="Arial" w:cs="Arial"/>
          <w:b/>
          <w:bCs/>
          <w:sz w:val="22"/>
          <w:szCs w:val="22"/>
        </w:rPr>
        <w:t xml:space="preserve"> </w:t>
      </w:r>
      <w:r w:rsidRPr="0010789F">
        <w:rPr>
          <w:rFonts w:ascii="Arial" w:hAnsi="Arial" w:cs="Arial"/>
          <w:b/>
          <w:bCs/>
          <w:sz w:val="22"/>
          <w:szCs w:val="22"/>
        </w:rPr>
        <w:t>basal diets</w:t>
      </w:r>
    </w:p>
    <w:tbl>
      <w:tblPr>
        <w:tblStyle w:val="TableGrid"/>
        <w:tblpPr w:leftFromText="180" w:rightFromText="180" w:vertAnchor="text" w:horzAnchor="margin" w:tblpXSpec="center" w:tblpY="73"/>
        <w:tblOverlap w:val="never"/>
        <w:tblW w:w="578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2198"/>
        <w:gridCol w:w="2255"/>
        <w:gridCol w:w="2065"/>
      </w:tblGrid>
      <w:tr w:rsidR="009C4E01" w:rsidRPr="003D4161" w14:paraId="742F244F" w14:textId="77777777" w:rsidTr="0047177E">
        <w:trPr>
          <w:trHeight w:val="620"/>
        </w:trPr>
        <w:tc>
          <w:tcPr>
            <w:tcW w:w="1878" w:type="pct"/>
            <w:tcBorders>
              <w:top w:val="single" w:sz="4" w:space="0" w:color="auto"/>
              <w:bottom w:val="single" w:sz="4" w:space="0" w:color="auto"/>
            </w:tcBorders>
            <w:hideMark/>
          </w:tcPr>
          <w:p w14:paraId="7DCD1897"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Ingredients</w:t>
            </w:r>
          </w:p>
        </w:tc>
        <w:tc>
          <w:tcPr>
            <w:tcW w:w="1053" w:type="pct"/>
            <w:tcBorders>
              <w:top w:val="single" w:sz="4" w:space="0" w:color="auto"/>
              <w:bottom w:val="single" w:sz="4" w:space="0" w:color="auto"/>
            </w:tcBorders>
            <w:hideMark/>
          </w:tcPr>
          <w:p w14:paraId="40355A1B"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Pre-starter Ration (0-7 days) Kg</w:t>
            </w:r>
          </w:p>
        </w:tc>
        <w:tc>
          <w:tcPr>
            <w:tcW w:w="1080" w:type="pct"/>
            <w:tcBorders>
              <w:top w:val="single" w:sz="4" w:space="0" w:color="auto"/>
              <w:bottom w:val="single" w:sz="4" w:space="0" w:color="auto"/>
            </w:tcBorders>
            <w:hideMark/>
          </w:tcPr>
          <w:p w14:paraId="59CEA462"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 xml:space="preserve">Starter Ration </w:t>
            </w:r>
          </w:p>
          <w:p w14:paraId="678536FD"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(7-21 days) Kg</w:t>
            </w:r>
          </w:p>
        </w:tc>
        <w:tc>
          <w:tcPr>
            <w:tcW w:w="989" w:type="pct"/>
            <w:tcBorders>
              <w:top w:val="single" w:sz="4" w:space="0" w:color="auto"/>
              <w:bottom w:val="single" w:sz="4" w:space="0" w:color="auto"/>
            </w:tcBorders>
            <w:hideMark/>
          </w:tcPr>
          <w:p w14:paraId="7C9B7D9E"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Finisher Ration (21-45 days) Kg</w:t>
            </w:r>
          </w:p>
        </w:tc>
      </w:tr>
      <w:tr w:rsidR="009C4E01" w:rsidRPr="003D4161" w14:paraId="49E0CC78" w14:textId="77777777" w:rsidTr="0047177E">
        <w:trPr>
          <w:trHeight w:val="347"/>
        </w:trPr>
        <w:tc>
          <w:tcPr>
            <w:tcW w:w="1878" w:type="pct"/>
            <w:tcBorders>
              <w:top w:val="single" w:sz="4" w:space="0" w:color="auto"/>
            </w:tcBorders>
            <w:hideMark/>
          </w:tcPr>
          <w:p w14:paraId="4F90EC1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Yellow Maize</w:t>
            </w:r>
          </w:p>
        </w:tc>
        <w:tc>
          <w:tcPr>
            <w:tcW w:w="1053" w:type="pct"/>
            <w:tcBorders>
              <w:top w:val="single" w:sz="4" w:space="0" w:color="auto"/>
            </w:tcBorders>
            <w:vAlign w:val="bottom"/>
            <w:hideMark/>
          </w:tcPr>
          <w:p w14:paraId="05BE6F9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56.5</w:t>
            </w:r>
          </w:p>
        </w:tc>
        <w:tc>
          <w:tcPr>
            <w:tcW w:w="1080" w:type="pct"/>
            <w:tcBorders>
              <w:top w:val="single" w:sz="4" w:space="0" w:color="auto"/>
            </w:tcBorders>
            <w:vAlign w:val="bottom"/>
            <w:hideMark/>
          </w:tcPr>
          <w:p w14:paraId="75CC055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57</w:t>
            </w:r>
          </w:p>
        </w:tc>
        <w:tc>
          <w:tcPr>
            <w:tcW w:w="989" w:type="pct"/>
            <w:tcBorders>
              <w:top w:val="single" w:sz="4" w:space="0" w:color="auto"/>
            </w:tcBorders>
            <w:vAlign w:val="bottom"/>
            <w:hideMark/>
          </w:tcPr>
          <w:p w14:paraId="2EF6B74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60</w:t>
            </w:r>
          </w:p>
        </w:tc>
      </w:tr>
      <w:tr w:rsidR="009C4E01" w:rsidRPr="003D4161" w14:paraId="66071FC7" w14:textId="77777777" w:rsidTr="0047177E">
        <w:trPr>
          <w:trHeight w:val="347"/>
        </w:trPr>
        <w:tc>
          <w:tcPr>
            <w:tcW w:w="1878" w:type="pct"/>
            <w:hideMark/>
          </w:tcPr>
          <w:p w14:paraId="5010F69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De-oiled Rice Polish</w:t>
            </w:r>
          </w:p>
        </w:tc>
        <w:tc>
          <w:tcPr>
            <w:tcW w:w="1053" w:type="pct"/>
            <w:vAlign w:val="bottom"/>
            <w:hideMark/>
          </w:tcPr>
          <w:p w14:paraId="35D1581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4</w:t>
            </w:r>
          </w:p>
        </w:tc>
        <w:tc>
          <w:tcPr>
            <w:tcW w:w="1080" w:type="pct"/>
            <w:vAlign w:val="bottom"/>
            <w:hideMark/>
          </w:tcPr>
          <w:p w14:paraId="3B2C9A7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w:t>
            </w:r>
          </w:p>
        </w:tc>
        <w:tc>
          <w:tcPr>
            <w:tcW w:w="989" w:type="pct"/>
            <w:vAlign w:val="bottom"/>
            <w:hideMark/>
          </w:tcPr>
          <w:p w14:paraId="392F48C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5</w:t>
            </w:r>
          </w:p>
        </w:tc>
      </w:tr>
      <w:tr w:rsidR="009C4E01" w:rsidRPr="003D4161" w14:paraId="2A013CAE" w14:textId="77777777" w:rsidTr="0047177E">
        <w:trPr>
          <w:trHeight w:val="359"/>
        </w:trPr>
        <w:tc>
          <w:tcPr>
            <w:tcW w:w="1878" w:type="pct"/>
            <w:hideMark/>
          </w:tcPr>
          <w:p w14:paraId="3A5B055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De-oiled Soybean Meal</w:t>
            </w:r>
          </w:p>
        </w:tc>
        <w:tc>
          <w:tcPr>
            <w:tcW w:w="1053" w:type="pct"/>
            <w:vAlign w:val="bottom"/>
            <w:hideMark/>
          </w:tcPr>
          <w:p w14:paraId="50E796BE"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22.225</w:t>
            </w:r>
          </w:p>
        </w:tc>
        <w:tc>
          <w:tcPr>
            <w:tcW w:w="1080" w:type="pct"/>
            <w:vAlign w:val="bottom"/>
            <w:hideMark/>
          </w:tcPr>
          <w:p w14:paraId="5F8ED83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22.500</w:t>
            </w:r>
          </w:p>
        </w:tc>
        <w:tc>
          <w:tcPr>
            <w:tcW w:w="989" w:type="pct"/>
            <w:vAlign w:val="bottom"/>
            <w:hideMark/>
          </w:tcPr>
          <w:p w14:paraId="0609334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17.1</w:t>
            </w:r>
          </w:p>
        </w:tc>
      </w:tr>
      <w:tr w:rsidR="009C4E01" w:rsidRPr="003D4161" w14:paraId="529BB500" w14:textId="77777777" w:rsidTr="0047177E">
        <w:trPr>
          <w:trHeight w:val="518"/>
        </w:trPr>
        <w:tc>
          <w:tcPr>
            <w:tcW w:w="1878" w:type="pct"/>
            <w:hideMark/>
          </w:tcPr>
          <w:p w14:paraId="0C81ABC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Groundnut Cake (Solvent Extracted)</w:t>
            </w:r>
          </w:p>
        </w:tc>
        <w:tc>
          <w:tcPr>
            <w:tcW w:w="1053" w:type="pct"/>
            <w:vAlign w:val="bottom"/>
            <w:hideMark/>
          </w:tcPr>
          <w:p w14:paraId="65A8304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14</w:t>
            </w:r>
          </w:p>
        </w:tc>
        <w:tc>
          <w:tcPr>
            <w:tcW w:w="1080" w:type="pct"/>
            <w:vAlign w:val="bottom"/>
            <w:hideMark/>
          </w:tcPr>
          <w:p w14:paraId="00513A7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10.725</w:t>
            </w:r>
          </w:p>
        </w:tc>
        <w:tc>
          <w:tcPr>
            <w:tcW w:w="989" w:type="pct"/>
            <w:vAlign w:val="bottom"/>
            <w:hideMark/>
          </w:tcPr>
          <w:p w14:paraId="473B8CF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11.1</w:t>
            </w:r>
          </w:p>
        </w:tc>
      </w:tr>
      <w:tr w:rsidR="009C4E01" w:rsidRPr="003D4161" w14:paraId="1F4D8EBA" w14:textId="77777777" w:rsidTr="0047177E">
        <w:trPr>
          <w:trHeight w:val="257"/>
        </w:trPr>
        <w:tc>
          <w:tcPr>
            <w:tcW w:w="1878" w:type="pct"/>
            <w:hideMark/>
          </w:tcPr>
          <w:p w14:paraId="3A7B9DF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Vegetable Oil</w:t>
            </w:r>
          </w:p>
        </w:tc>
        <w:tc>
          <w:tcPr>
            <w:tcW w:w="1053" w:type="pct"/>
            <w:vAlign w:val="bottom"/>
            <w:hideMark/>
          </w:tcPr>
          <w:p w14:paraId="3368B65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1080" w:type="pct"/>
            <w:vAlign w:val="bottom"/>
            <w:hideMark/>
          </w:tcPr>
          <w:p w14:paraId="53283A1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2.5</w:t>
            </w:r>
          </w:p>
        </w:tc>
        <w:tc>
          <w:tcPr>
            <w:tcW w:w="989" w:type="pct"/>
            <w:vAlign w:val="bottom"/>
            <w:hideMark/>
          </w:tcPr>
          <w:p w14:paraId="4949625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4</w:t>
            </w:r>
          </w:p>
        </w:tc>
      </w:tr>
      <w:tr w:rsidR="009C4E01" w:rsidRPr="003D4161" w14:paraId="183B8DAB" w14:textId="77777777" w:rsidTr="0047177E">
        <w:trPr>
          <w:trHeight w:val="431"/>
        </w:trPr>
        <w:tc>
          <w:tcPr>
            <w:tcW w:w="1878" w:type="pct"/>
            <w:hideMark/>
          </w:tcPr>
          <w:p w14:paraId="7D692C1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Di-Calcium Phosphate</w:t>
            </w:r>
          </w:p>
        </w:tc>
        <w:tc>
          <w:tcPr>
            <w:tcW w:w="1053" w:type="pct"/>
            <w:vAlign w:val="bottom"/>
            <w:hideMark/>
          </w:tcPr>
          <w:p w14:paraId="46CE5DB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1080" w:type="pct"/>
            <w:vAlign w:val="bottom"/>
            <w:hideMark/>
          </w:tcPr>
          <w:p w14:paraId="75EE98E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w:t>
            </w:r>
          </w:p>
        </w:tc>
        <w:tc>
          <w:tcPr>
            <w:tcW w:w="989" w:type="pct"/>
            <w:vAlign w:val="bottom"/>
            <w:hideMark/>
          </w:tcPr>
          <w:p w14:paraId="5D6C210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1.4</w:t>
            </w:r>
          </w:p>
        </w:tc>
      </w:tr>
      <w:tr w:rsidR="009C4E01" w:rsidRPr="003D4161" w14:paraId="2D6A71C4" w14:textId="77777777" w:rsidTr="0047177E">
        <w:trPr>
          <w:trHeight w:val="300"/>
        </w:trPr>
        <w:tc>
          <w:tcPr>
            <w:tcW w:w="1878" w:type="pct"/>
            <w:hideMark/>
          </w:tcPr>
          <w:p w14:paraId="3FB68C3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Lysine</w:t>
            </w:r>
          </w:p>
        </w:tc>
        <w:tc>
          <w:tcPr>
            <w:tcW w:w="1053" w:type="pct"/>
            <w:vAlign w:val="bottom"/>
            <w:hideMark/>
          </w:tcPr>
          <w:p w14:paraId="592E3BE6"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c>
          <w:tcPr>
            <w:tcW w:w="1080" w:type="pct"/>
            <w:vAlign w:val="bottom"/>
            <w:hideMark/>
          </w:tcPr>
          <w:p w14:paraId="5DBCD48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c>
          <w:tcPr>
            <w:tcW w:w="989" w:type="pct"/>
            <w:vAlign w:val="bottom"/>
            <w:hideMark/>
          </w:tcPr>
          <w:p w14:paraId="3032F19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w:t>
            </w:r>
          </w:p>
        </w:tc>
      </w:tr>
      <w:tr w:rsidR="009C4E01" w:rsidRPr="003D4161" w14:paraId="08C3D502" w14:textId="77777777" w:rsidTr="0047177E">
        <w:trPr>
          <w:trHeight w:val="392"/>
        </w:trPr>
        <w:tc>
          <w:tcPr>
            <w:tcW w:w="1878" w:type="pct"/>
            <w:hideMark/>
          </w:tcPr>
          <w:p w14:paraId="679B2C1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DL-Methionine</w:t>
            </w:r>
          </w:p>
        </w:tc>
        <w:tc>
          <w:tcPr>
            <w:tcW w:w="1053" w:type="pct"/>
            <w:vAlign w:val="bottom"/>
            <w:hideMark/>
          </w:tcPr>
          <w:p w14:paraId="46F8526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1080" w:type="pct"/>
            <w:vAlign w:val="bottom"/>
            <w:hideMark/>
          </w:tcPr>
          <w:p w14:paraId="3F7E8C5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989" w:type="pct"/>
            <w:vAlign w:val="bottom"/>
            <w:hideMark/>
          </w:tcPr>
          <w:p w14:paraId="74DACBA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r>
      <w:tr w:rsidR="009C4E01" w:rsidRPr="003D4161" w14:paraId="03CD8AEE" w14:textId="77777777" w:rsidTr="0047177E">
        <w:trPr>
          <w:trHeight w:val="329"/>
        </w:trPr>
        <w:tc>
          <w:tcPr>
            <w:tcW w:w="1878" w:type="pct"/>
            <w:hideMark/>
          </w:tcPr>
          <w:p w14:paraId="5BCF73A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Choline Chloride</w:t>
            </w:r>
          </w:p>
        </w:tc>
        <w:tc>
          <w:tcPr>
            <w:tcW w:w="1053" w:type="pct"/>
            <w:vAlign w:val="bottom"/>
            <w:hideMark/>
          </w:tcPr>
          <w:p w14:paraId="4093F9C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1080" w:type="pct"/>
            <w:vAlign w:val="bottom"/>
            <w:hideMark/>
          </w:tcPr>
          <w:p w14:paraId="07E103CF"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989" w:type="pct"/>
            <w:vAlign w:val="bottom"/>
            <w:hideMark/>
          </w:tcPr>
          <w:p w14:paraId="5E5BD37F"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r>
      <w:tr w:rsidR="009C4E01" w:rsidRPr="003D4161" w14:paraId="2FD0920F" w14:textId="77777777" w:rsidTr="0047177E">
        <w:trPr>
          <w:trHeight w:val="440"/>
        </w:trPr>
        <w:tc>
          <w:tcPr>
            <w:tcW w:w="1878" w:type="pct"/>
            <w:hideMark/>
          </w:tcPr>
          <w:p w14:paraId="7F576D20" w14:textId="77777777" w:rsidR="009C4E01" w:rsidRPr="003D4161" w:rsidRDefault="009C4E01" w:rsidP="003D4161">
            <w:pPr>
              <w:spacing w:after="160" w:line="276" w:lineRule="auto"/>
              <w:rPr>
                <w:rFonts w:ascii="Arial" w:hAnsi="Arial" w:cs="Arial"/>
                <w:color w:val="000000" w:themeColor="text1"/>
                <w:sz w:val="20"/>
                <w:szCs w:val="20"/>
              </w:rPr>
            </w:pPr>
            <w:proofErr w:type="spellStart"/>
            <w:r w:rsidRPr="003D4161">
              <w:rPr>
                <w:rFonts w:ascii="Arial" w:hAnsi="Arial" w:cs="Arial"/>
                <w:color w:val="000000" w:themeColor="text1"/>
                <w:sz w:val="20"/>
                <w:szCs w:val="20"/>
              </w:rPr>
              <w:t>Hepatocare</w:t>
            </w:r>
            <w:proofErr w:type="spellEnd"/>
          </w:p>
        </w:tc>
        <w:tc>
          <w:tcPr>
            <w:tcW w:w="1053" w:type="pct"/>
            <w:vAlign w:val="bottom"/>
            <w:hideMark/>
          </w:tcPr>
          <w:p w14:paraId="58026C52"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c>
          <w:tcPr>
            <w:tcW w:w="1080" w:type="pct"/>
            <w:vAlign w:val="bottom"/>
            <w:hideMark/>
          </w:tcPr>
          <w:p w14:paraId="70025DD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c>
          <w:tcPr>
            <w:tcW w:w="989" w:type="pct"/>
            <w:vAlign w:val="bottom"/>
            <w:hideMark/>
          </w:tcPr>
          <w:p w14:paraId="25D67844"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0.1</w:t>
            </w:r>
          </w:p>
        </w:tc>
      </w:tr>
      <w:tr w:rsidR="009C4E01" w:rsidRPr="003D4161" w14:paraId="54BF6E29" w14:textId="77777777" w:rsidTr="0047177E">
        <w:trPr>
          <w:trHeight w:val="266"/>
        </w:trPr>
        <w:tc>
          <w:tcPr>
            <w:tcW w:w="1878" w:type="pct"/>
            <w:hideMark/>
          </w:tcPr>
          <w:p w14:paraId="6F801C9E"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Common Salt</w:t>
            </w:r>
          </w:p>
        </w:tc>
        <w:tc>
          <w:tcPr>
            <w:tcW w:w="1053" w:type="pct"/>
            <w:vAlign w:val="bottom"/>
            <w:hideMark/>
          </w:tcPr>
          <w:p w14:paraId="20D6CB1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1080" w:type="pct"/>
            <w:vAlign w:val="bottom"/>
            <w:hideMark/>
          </w:tcPr>
          <w:p w14:paraId="6B3913C7"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c>
          <w:tcPr>
            <w:tcW w:w="989" w:type="pct"/>
            <w:vAlign w:val="bottom"/>
            <w:hideMark/>
          </w:tcPr>
          <w:p w14:paraId="07B8B9E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0.3</w:t>
            </w:r>
          </w:p>
        </w:tc>
      </w:tr>
      <w:tr w:rsidR="009C4E01" w:rsidRPr="003D4161" w14:paraId="7DF7166B" w14:textId="77777777" w:rsidTr="0047177E">
        <w:trPr>
          <w:trHeight w:val="359"/>
        </w:trPr>
        <w:tc>
          <w:tcPr>
            <w:tcW w:w="1878" w:type="pct"/>
            <w:hideMark/>
          </w:tcPr>
          <w:p w14:paraId="4EF2060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Mineral Mixture</w:t>
            </w:r>
          </w:p>
        </w:tc>
        <w:tc>
          <w:tcPr>
            <w:tcW w:w="1053" w:type="pct"/>
            <w:vAlign w:val="bottom"/>
            <w:hideMark/>
          </w:tcPr>
          <w:p w14:paraId="35DEA41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c>
          <w:tcPr>
            <w:tcW w:w="1080" w:type="pct"/>
            <w:vAlign w:val="bottom"/>
            <w:hideMark/>
          </w:tcPr>
          <w:p w14:paraId="394A0D3A"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c>
          <w:tcPr>
            <w:tcW w:w="989" w:type="pct"/>
            <w:vAlign w:val="bottom"/>
            <w:hideMark/>
          </w:tcPr>
          <w:p w14:paraId="68EA421C"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0.25</w:t>
            </w:r>
          </w:p>
        </w:tc>
      </w:tr>
      <w:tr w:rsidR="009C4E01" w:rsidRPr="003D4161" w14:paraId="2F48467F" w14:textId="77777777" w:rsidTr="0047177E">
        <w:trPr>
          <w:trHeight w:val="377"/>
        </w:trPr>
        <w:tc>
          <w:tcPr>
            <w:tcW w:w="1878" w:type="pct"/>
            <w:hideMark/>
          </w:tcPr>
          <w:p w14:paraId="0B23F671"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Vitamin Premix</w:t>
            </w:r>
          </w:p>
        </w:tc>
        <w:tc>
          <w:tcPr>
            <w:tcW w:w="1053" w:type="pct"/>
            <w:vAlign w:val="bottom"/>
            <w:hideMark/>
          </w:tcPr>
          <w:p w14:paraId="7DB2125B"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c>
          <w:tcPr>
            <w:tcW w:w="1080" w:type="pct"/>
            <w:vAlign w:val="bottom"/>
            <w:hideMark/>
          </w:tcPr>
          <w:p w14:paraId="33772DF0"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c>
          <w:tcPr>
            <w:tcW w:w="989" w:type="pct"/>
            <w:vAlign w:val="bottom"/>
            <w:hideMark/>
          </w:tcPr>
          <w:p w14:paraId="7E2A13D8"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0.025</w:t>
            </w:r>
          </w:p>
        </w:tc>
      </w:tr>
      <w:tr w:rsidR="009C4E01" w:rsidRPr="003D4161" w14:paraId="6A6FCC3E" w14:textId="77777777" w:rsidTr="0047177E">
        <w:trPr>
          <w:trHeight w:val="413"/>
        </w:trPr>
        <w:tc>
          <w:tcPr>
            <w:tcW w:w="1878" w:type="pct"/>
            <w:tcBorders>
              <w:bottom w:val="single" w:sz="4" w:space="0" w:color="auto"/>
            </w:tcBorders>
            <w:hideMark/>
          </w:tcPr>
          <w:p w14:paraId="02C547E3"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Coccidiostat</w:t>
            </w:r>
          </w:p>
        </w:tc>
        <w:tc>
          <w:tcPr>
            <w:tcW w:w="1053" w:type="pct"/>
            <w:tcBorders>
              <w:bottom w:val="single" w:sz="4" w:space="0" w:color="auto"/>
            </w:tcBorders>
            <w:vAlign w:val="bottom"/>
            <w:hideMark/>
          </w:tcPr>
          <w:p w14:paraId="65638975"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1080" w:type="pct"/>
            <w:tcBorders>
              <w:bottom w:val="single" w:sz="4" w:space="0" w:color="auto"/>
            </w:tcBorders>
            <w:vAlign w:val="bottom"/>
            <w:hideMark/>
          </w:tcPr>
          <w:p w14:paraId="369D3DF9"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c>
          <w:tcPr>
            <w:tcW w:w="989" w:type="pct"/>
            <w:tcBorders>
              <w:bottom w:val="single" w:sz="4" w:space="0" w:color="auto"/>
            </w:tcBorders>
            <w:vAlign w:val="bottom"/>
            <w:hideMark/>
          </w:tcPr>
          <w:p w14:paraId="495F5C96"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0.05</w:t>
            </w:r>
          </w:p>
        </w:tc>
      </w:tr>
      <w:tr w:rsidR="009C4E01" w:rsidRPr="003D4161" w14:paraId="3E58FDD2" w14:textId="77777777" w:rsidTr="0047177E">
        <w:trPr>
          <w:trHeight w:val="300"/>
        </w:trPr>
        <w:tc>
          <w:tcPr>
            <w:tcW w:w="1878" w:type="pct"/>
            <w:tcBorders>
              <w:top w:val="single" w:sz="4" w:space="0" w:color="auto"/>
              <w:bottom w:val="single" w:sz="4" w:space="0" w:color="auto"/>
            </w:tcBorders>
            <w:hideMark/>
          </w:tcPr>
          <w:p w14:paraId="5DFB59FD" w14:textId="77777777" w:rsidR="009C4E01" w:rsidRPr="003D4161" w:rsidRDefault="009C4E01" w:rsidP="003D4161">
            <w:pPr>
              <w:spacing w:after="160" w:line="276" w:lineRule="auto"/>
              <w:rPr>
                <w:rFonts w:ascii="Arial" w:hAnsi="Arial" w:cs="Arial"/>
                <w:color w:val="000000" w:themeColor="text1"/>
                <w:sz w:val="20"/>
                <w:szCs w:val="20"/>
              </w:rPr>
            </w:pPr>
            <w:r w:rsidRPr="003D4161">
              <w:rPr>
                <w:rFonts w:ascii="Arial" w:hAnsi="Arial" w:cs="Arial"/>
                <w:color w:val="000000" w:themeColor="text1"/>
                <w:sz w:val="20"/>
                <w:szCs w:val="20"/>
              </w:rPr>
              <w:t>Total</w:t>
            </w:r>
          </w:p>
        </w:tc>
        <w:tc>
          <w:tcPr>
            <w:tcW w:w="1053" w:type="pct"/>
            <w:tcBorders>
              <w:top w:val="single" w:sz="4" w:space="0" w:color="auto"/>
              <w:bottom w:val="single" w:sz="4" w:space="0" w:color="auto"/>
            </w:tcBorders>
            <w:hideMark/>
          </w:tcPr>
          <w:p w14:paraId="0EB8153B"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c>
          <w:tcPr>
            <w:tcW w:w="1080" w:type="pct"/>
            <w:tcBorders>
              <w:top w:val="single" w:sz="4" w:space="0" w:color="auto"/>
              <w:bottom w:val="single" w:sz="4" w:space="0" w:color="auto"/>
            </w:tcBorders>
            <w:hideMark/>
          </w:tcPr>
          <w:p w14:paraId="47133580"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c>
          <w:tcPr>
            <w:tcW w:w="989" w:type="pct"/>
            <w:tcBorders>
              <w:top w:val="single" w:sz="4" w:space="0" w:color="auto"/>
              <w:bottom w:val="single" w:sz="4" w:space="0" w:color="auto"/>
            </w:tcBorders>
            <w:hideMark/>
          </w:tcPr>
          <w:p w14:paraId="46F84AC3" w14:textId="77777777" w:rsidR="009C4E01" w:rsidRPr="003D4161" w:rsidRDefault="009C4E01" w:rsidP="003D4161">
            <w:pPr>
              <w:spacing w:after="160" w:line="276" w:lineRule="auto"/>
              <w:rPr>
                <w:rFonts w:ascii="Arial" w:hAnsi="Arial" w:cs="Arial"/>
                <w:b/>
                <w:bCs/>
                <w:color w:val="000000" w:themeColor="text1"/>
                <w:sz w:val="20"/>
                <w:szCs w:val="20"/>
              </w:rPr>
            </w:pPr>
            <w:r w:rsidRPr="003D4161">
              <w:rPr>
                <w:rFonts w:ascii="Arial" w:hAnsi="Arial" w:cs="Arial"/>
                <w:b/>
                <w:bCs/>
                <w:color w:val="000000" w:themeColor="text1"/>
                <w:sz w:val="20"/>
                <w:szCs w:val="20"/>
              </w:rPr>
              <w:t>100</w:t>
            </w:r>
          </w:p>
        </w:tc>
      </w:tr>
    </w:tbl>
    <w:p w14:paraId="400FF582" w14:textId="77777777" w:rsidR="00AC5A90" w:rsidRPr="003D4161" w:rsidRDefault="00AC5A90" w:rsidP="000004F3">
      <w:pPr>
        <w:spacing w:line="360" w:lineRule="auto"/>
        <w:jc w:val="both"/>
        <w:rPr>
          <w:rFonts w:ascii="Arial" w:hAnsi="Arial" w:cs="Arial"/>
          <w:b/>
          <w:bCs/>
          <w:sz w:val="20"/>
          <w:szCs w:val="20"/>
        </w:rPr>
      </w:pPr>
    </w:p>
    <w:p w14:paraId="659E964D" w14:textId="1EA7A7BD" w:rsidR="00D51E79" w:rsidRPr="007C5BF5" w:rsidRDefault="00D51E79" w:rsidP="007C5BF5">
      <w:pPr>
        <w:pStyle w:val="NoSpacing"/>
        <w:rPr>
          <w:rFonts w:ascii="Arial" w:hAnsi="Arial" w:cs="Arial"/>
          <w:b/>
          <w:bCs/>
          <w:sz w:val="22"/>
          <w:szCs w:val="22"/>
        </w:rPr>
      </w:pPr>
      <w:r w:rsidRPr="007C5BF5">
        <w:rPr>
          <w:rFonts w:ascii="Arial" w:hAnsi="Arial" w:cs="Arial"/>
          <w:b/>
          <w:bCs/>
          <w:sz w:val="22"/>
          <w:szCs w:val="22"/>
        </w:rPr>
        <w:t xml:space="preserve">Table </w:t>
      </w:r>
      <w:r w:rsidR="00E013AA" w:rsidRPr="007C5BF5">
        <w:rPr>
          <w:rFonts w:ascii="Arial" w:hAnsi="Arial" w:cs="Arial"/>
          <w:b/>
          <w:bCs/>
          <w:sz w:val="22"/>
          <w:szCs w:val="22"/>
        </w:rPr>
        <w:t>2</w:t>
      </w:r>
      <w:r w:rsidRPr="007C5BF5">
        <w:rPr>
          <w:rFonts w:ascii="Arial" w:hAnsi="Arial" w:cs="Arial"/>
          <w:b/>
          <w:bCs/>
          <w:sz w:val="22"/>
          <w:szCs w:val="22"/>
        </w:rPr>
        <w:t xml:space="preserve">. Chemical composition (% dry matter basis) of </w:t>
      </w:r>
      <w:r w:rsidR="00E013AA" w:rsidRPr="007C5BF5">
        <w:rPr>
          <w:rFonts w:ascii="Arial" w:hAnsi="Arial" w:cs="Arial"/>
          <w:b/>
          <w:bCs/>
          <w:sz w:val="22"/>
          <w:szCs w:val="22"/>
        </w:rPr>
        <w:t xml:space="preserve">basal diet for broiler pre-             starter, starter and finisher </w:t>
      </w:r>
    </w:p>
    <w:tbl>
      <w:tblPr>
        <w:tblW w:w="10530" w:type="dxa"/>
        <w:tblInd w:w="-810" w:type="dxa"/>
        <w:tblLook w:val="04A0" w:firstRow="1" w:lastRow="0" w:firstColumn="1" w:lastColumn="0" w:noHBand="0" w:noVBand="1"/>
      </w:tblPr>
      <w:tblGrid>
        <w:gridCol w:w="3960"/>
        <w:gridCol w:w="2160"/>
        <w:gridCol w:w="2155"/>
        <w:gridCol w:w="2255"/>
      </w:tblGrid>
      <w:tr w:rsidR="003D4161" w:rsidRPr="003D4161" w14:paraId="04A79C94" w14:textId="77777777" w:rsidTr="0047177E">
        <w:trPr>
          <w:trHeight w:val="290"/>
        </w:trPr>
        <w:tc>
          <w:tcPr>
            <w:tcW w:w="3960" w:type="dxa"/>
            <w:tcBorders>
              <w:top w:val="single" w:sz="4" w:space="0" w:color="auto"/>
              <w:bottom w:val="single" w:sz="4" w:space="0" w:color="auto"/>
            </w:tcBorders>
            <w:noWrap/>
            <w:vAlign w:val="bottom"/>
            <w:hideMark/>
          </w:tcPr>
          <w:p w14:paraId="40910338"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Nutrients (%)</w:t>
            </w:r>
          </w:p>
        </w:tc>
        <w:tc>
          <w:tcPr>
            <w:tcW w:w="2160" w:type="dxa"/>
            <w:tcBorders>
              <w:top w:val="single" w:sz="4" w:space="0" w:color="auto"/>
              <w:bottom w:val="single" w:sz="4" w:space="0" w:color="auto"/>
            </w:tcBorders>
            <w:noWrap/>
            <w:vAlign w:val="bottom"/>
            <w:hideMark/>
          </w:tcPr>
          <w:p w14:paraId="16355E67" w14:textId="47F66A5C"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Pre-starter</w:t>
            </w:r>
          </w:p>
          <w:p w14:paraId="18734DD7"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(0-7 days)</w:t>
            </w:r>
          </w:p>
        </w:tc>
        <w:tc>
          <w:tcPr>
            <w:tcW w:w="2155" w:type="dxa"/>
            <w:tcBorders>
              <w:top w:val="single" w:sz="4" w:space="0" w:color="auto"/>
              <w:bottom w:val="single" w:sz="4" w:space="0" w:color="auto"/>
            </w:tcBorders>
            <w:noWrap/>
            <w:vAlign w:val="bottom"/>
            <w:hideMark/>
          </w:tcPr>
          <w:p w14:paraId="1A7E0255" w14:textId="535B213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Starter</w:t>
            </w:r>
          </w:p>
          <w:p w14:paraId="6F2C2675"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(7-21 days)</w:t>
            </w:r>
          </w:p>
        </w:tc>
        <w:tc>
          <w:tcPr>
            <w:tcW w:w="2255" w:type="dxa"/>
            <w:tcBorders>
              <w:top w:val="single" w:sz="4" w:space="0" w:color="auto"/>
              <w:bottom w:val="single" w:sz="4" w:space="0" w:color="auto"/>
            </w:tcBorders>
            <w:noWrap/>
            <w:vAlign w:val="bottom"/>
            <w:hideMark/>
          </w:tcPr>
          <w:p w14:paraId="0BCC3D75" w14:textId="77777777"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Finisher</w:t>
            </w:r>
          </w:p>
          <w:p w14:paraId="355E7B29" w14:textId="6A1613FE" w:rsidR="003D4161" w:rsidRPr="003D4161" w:rsidRDefault="003D4161" w:rsidP="003D4161">
            <w:pPr>
              <w:spacing w:after="0" w:line="240" w:lineRule="auto"/>
              <w:rPr>
                <w:rFonts w:ascii="Arial" w:eastAsia="Times New Roman" w:hAnsi="Arial" w:cs="Arial"/>
                <w:b/>
                <w:bCs/>
                <w:color w:val="000000"/>
                <w:kern w:val="0"/>
                <w:sz w:val="20"/>
                <w:szCs w:val="20"/>
                <w:lang w:eastAsia="en-IN"/>
                <w14:ligatures w14:val="none"/>
              </w:rPr>
            </w:pPr>
            <w:r w:rsidRPr="003D4161">
              <w:rPr>
                <w:rFonts w:ascii="Arial" w:eastAsia="Times New Roman" w:hAnsi="Arial" w:cs="Arial"/>
                <w:b/>
                <w:bCs/>
                <w:color w:val="000000"/>
                <w:kern w:val="0"/>
                <w:sz w:val="20"/>
                <w:szCs w:val="20"/>
                <w:lang w:eastAsia="en-IN"/>
                <w14:ligatures w14:val="none"/>
              </w:rPr>
              <w:t>(21-42 days)</w:t>
            </w:r>
          </w:p>
        </w:tc>
      </w:tr>
      <w:tr w:rsidR="003D4161" w:rsidRPr="003D4161" w14:paraId="5E7EE26C" w14:textId="77777777" w:rsidTr="0047177E">
        <w:trPr>
          <w:trHeight w:val="290"/>
        </w:trPr>
        <w:tc>
          <w:tcPr>
            <w:tcW w:w="3960" w:type="dxa"/>
            <w:tcBorders>
              <w:top w:val="single" w:sz="4" w:space="0" w:color="auto"/>
            </w:tcBorders>
            <w:noWrap/>
            <w:vAlign w:val="bottom"/>
            <w:hideMark/>
          </w:tcPr>
          <w:p w14:paraId="2D2E949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Organic matter</w:t>
            </w:r>
          </w:p>
        </w:tc>
        <w:tc>
          <w:tcPr>
            <w:tcW w:w="2160" w:type="dxa"/>
            <w:tcBorders>
              <w:top w:val="single" w:sz="4" w:space="0" w:color="auto"/>
            </w:tcBorders>
            <w:noWrap/>
            <w:vAlign w:val="bottom"/>
            <w:hideMark/>
          </w:tcPr>
          <w:p w14:paraId="6F07088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93.43</w:t>
            </w:r>
          </w:p>
        </w:tc>
        <w:tc>
          <w:tcPr>
            <w:tcW w:w="2155" w:type="dxa"/>
            <w:tcBorders>
              <w:top w:val="single" w:sz="4" w:space="0" w:color="auto"/>
            </w:tcBorders>
            <w:noWrap/>
            <w:vAlign w:val="bottom"/>
            <w:hideMark/>
          </w:tcPr>
          <w:p w14:paraId="7BDEC1D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93.37</w:t>
            </w:r>
          </w:p>
        </w:tc>
        <w:tc>
          <w:tcPr>
            <w:tcW w:w="2255" w:type="dxa"/>
            <w:tcBorders>
              <w:top w:val="single" w:sz="4" w:space="0" w:color="auto"/>
            </w:tcBorders>
            <w:noWrap/>
            <w:vAlign w:val="bottom"/>
            <w:hideMark/>
          </w:tcPr>
          <w:p w14:paraId="2BBF21C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93.22</w:t>
            </w:r>
          </w:p>
        </w:tc>
      </w:tr>
      <w:tr w:rsidR="003D4161" w:rsidRPr="003D4161" w14:paraId="2D7F659A" w14:textId="77777777" w:rsidTr="0047177E">
        <w:trPr>
          <w:trHeight w:val="290"/>
        </w:trPr>
        <w:tc>
          <w:tcPr>
            <w:tcW w:w="3960" w:type="dxa"/>
            <w:noWrap/>
            <w:vAlign w:val="bottom"/>
            <w:hideMark/>
          </w:tcPr>
          <w:p w14:paraId="44C125F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Crude protein</w:t>
            </w:r>
          </w:p>
        </w:tc>
        <w:tc>
          <w:tcPr>
            <w:tcW w:w="2160" w:type="dxa"/>
            <w:noWrap/>
            <w:vAlign w:val="bottom"/>
            <w:hideMark/>
          </w:tcPr>
          <w:p w14:paraId="40DB7C8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23.09</w:t>
            </w:r>
          </w:p>
        </w:tc>
        <w:tc>
          <w:tcPr>
            <w:tcW w:w="2155" w:type="dxa"/>
            <w:noWrap/>
            <w:vAlign w:val="bottom"/>
            <w:hideMark/>
          </w:tcPr>
          <w:p w14:paraId="3F453F87"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21.92</w:t>
            </w:r>
          </w:p>
        </w:tc>
        <w:tc>
          <w:tcPr>
            <w:tcW w:w="2255" w:type="dxa"/>
            <w:noWrap/>
            <w:vAlign w:val="bottom"/>
            <w:hideMark/>
          </w:tcPr>
          <w:p w14:paraId="5EA2FAE1"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19.85</w:t>
            </w:r>
          </w:p>
        </w:tc>
      </w:tr>
      <w:tr w:rsidR="003D4161" w:rsidRPr="003D4161" w14:paraId="6ECFC35D" w14:textId="77777777" w:rsidTr="0047177E">
        <w:trPr>
          <w:trHeight w:val="290"/>
        </w:trPr>
        <w:tc>
          <w:tcPr>
            <w:tcW w:w="3960" w:type="dxa"/>
            <w:noWrap/>
            <w:vAlign w:val="bottom"/>
            <w:hideMark/>
          </w:tcPr>
          <w:p w14:paraId="0B6992F3"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Ether extract</w:t>
            </w:r>
          </w:p>
        </w:tc>
        <w:tc>
          <w:tcPr>
            <w:tcW w:w="2160" w:type="dxa"/>
            <w:noWrap/>
            <w:vAlign w:val="bottom"/>
            <w:hideMark/>
          </w:tcPr>
          <w:p w14:paraId="6C372B1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3.23</w:t>
            </w:r>
          </w:p>
        </w:tc>
        <w:tc>
          <w:tcPr>
            <w:tcW w:w="2155" w:type="dxa"/>
            <w:noWrap/>
            <w:vAlign w:val="bottom"/>
            <w:hideMark/>
          </w:tcPr>
          <w:p w14:paraId="1B7E42F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3.75</w:t>
            </w:r>
          </w:p>
        </w:tc>
        <w:tc>
          <w:tcPr>
            <w:tcW w:w="2255" w:type="dxa"/>
            <w:noWrap/>
            <w:vAlign w:val="bottom"/>
            <w:hideMark/>
          </w:tcPr>
          <w:p w14:paraId="55DBDD90"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4.32</w:t>
            </w:r>
          </w:p>
        </w:tc>
      </w:tr>
      <w:tr w:rsidR="003D4161" w:rsidRPr="003D4161" w14:paraId="7E14120F" w14:textId="77777777" w:rsidTr="0047177E">
        <w:trPr>
          <w:trHeight w:val="290"/>
        </w:trPr>
        <w:tc>
          <w:tcPr>
            <w:tcW w:w="3960" w:type="dxa"/>
            <w:noWrap/>
            <w:vAlign w:val="bottom"/>
            <w:hideMark/>
          </w:tcPr>
          <w:p w14:paraId="3386AFC3"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Crude fibre</w:t>
            </w:r>
          </w:p>
        </w:tc>
        <w:tc>
          <w:tcPr>
            <w:tcW w:w="2160" w:type="dxa"/>
            <w:noWrap/>
            <w:vAlign w:val="bottom"/>
            <w:hideMark/>
          </w:tcPr>
          <w:p w14:paraId="511191B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4.15</w:t>
            </w:r>
          </w:p>
        </w:tc>
        <w:tc>
          <w:tcPr>
            <w:tcW w:w="2155" w:type="dxa"/>
            <w:noWrap/>
            <w:vAlign w:val="bottom"/>
            <w:hideMark/>
          </w:tcPr>
          <w:p w14:paraId="2A113849"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4.28</w:t>
            </w:r>
          </w:p>
        </w:tc>
        <w:tc>
          <w:tcPr>
            <w:tcW w:w="2255" w:type="dxa"/>
            <w:noWrap/>
            <w:vAlign w:val="bottom"/>
            <w:hideMark/>
          </w:tcPr>
          <w:p w14:paraId="71A9119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4.36</w:t>
            </w:r>
          </w:p>
        </w:tc>
      </w:tr>
      <w:tr w:rsidR="003D4161" w:rsidRPr="003D4161" w14:paraId="3979BF50" w14:textId="77777777" w:rsidTr="0047177E">
        <w:trPr>
          <w:trHeight w:val="290"/>
        </w:trPr>
        <w:tc>
          <w:tcPr>
            <w:tcW w:w="3960" w:type="dxa"/>
            <w:noWrap/>
            <w:vAlign w:val="bottom"/>
            <w:hideMark/>
          </w:tcPr>
          <w:p w14:paraId="6305CBB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Total ash</w:t>
            </w:r>
          </w:p>
        </w:tc>
        <w:tc>
          <w:tcPr>
            <w:tcW w:w="2160" w:type="dxa"/>
            <w:noWrap/>
            <w:vAlign w:val="bottom"/>
            <w:hideMark/>
          </w:tcPr>
          <w:p w14:paraId="706659CA"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6.26</w:t>
            </w:r>
          </w:p>
        </w:tc>
        <w:tc>
          <w:tcPr>
            <w:tcW w:w="2155" w:type="dxa"/>
            <w:noWrap/>
            <w:vAlign w:val="bottom"/>
            <w:hideMark/>
          </w:tcPr>
          <w:p w14:paraId="218FA0CE"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7.04</w:t>
            </w:r>
          </w:p>
        </w:tc>
        <w:tc>
          <w:tcPr>
            <w:tcW w:w="2255" w:type="dxa"/>
            <w:noWrap/>
            <w:vAlign w:val="bottom"/>
            <w:hideMark/>
          </w:tcPr>
          <w:p w14:paraId="1E18D39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7.67</w:t>
            </w:r>
          </w:p>
        </w:tc>
      </w:tr>
      <w:tr w:rsidR="003D4161" w:rsidRPr="003D4161" w14:paraId="08AAB6A4" w14:textId="77777777" w:rsidTr="0047177E">
        <w:trPr>
          <w:trHeight w:val="290"/>
        </w:trPr>
        <w:tc>
          <w:tcPr>
            <w:tcW w:w="3960" w:type="dxa"/>
            <w:noWrap/>
            <w:vAlign w:val="bottom"/>
            <w:hideMark/>
          </w:tcPr>
          <w:p w14:paraId="0EAD452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Acid insoluble ash</w:t>
            </w:r>
          </w:p>
        </w:tc>
        <w:tc>
          <w:tcPr>
            <w:tcW w:w="2160" w:type="dxa"/>
            <w:noWrap/>
            <w:vAlign w:val="bottom"/>
            <w:hideMark/>
          </w:tcPr>
          <w:p w14:paraId="28425131"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2.35</w:t>
            </w:r>
          </w:p>
        </w:tc>
        <w:tc>
          <w:tcPr>
            <w:tcW w:w="2155" w:type="dxa"/>
            <w:noWrap/>
            <w:vAlign w:val="bottom"/>
            <w:hideMark/>
          </w:tcPr>
          <w:p w14:paraId="133199D9"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2.38</w:t>
            </w:r>
          </w:p>
        </w:tc>
        <w:tc>
          <w:tcPr>
            <w:tcW w:w="2255" w:type="dxa"/>
            <w:noWrap/>
            <w:vAlign w:val="bottom"/>
            <w:hideMark/>
          </w:tcPr>
          <w:p w14:paraId="70E7D38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2.43</w:t>
            </w:r>
          </w:p>
        </w:tc>
      </w:tr>
      <w:tr w:rsidR="003D4161" w:rsidRPr="003D4161" w14:paraId="15AC6927" w14:textId="77777777" w:rsidTr="0047177E">
        <w:trPr>
          <w:trHeight w:val="290"/>
        </w:trPr>
        <w:tc>
          <w:tcPr>
            <w:tcW w:w="3960" w:type="dxa"/>
            <w:noWrap/>
            <w:vAlign w:val="bottom"/>
            <w:hideMark/>
          </w:tcPr>
          <w:p w14:paraId="182D67E7"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Nitrogen-free extract</w:t>
            </w:r>
          </w:p>
        </w:tc>
        <w:tc>
          <w:tcPr>
            <w:tcW w:w="2160" w:type="dxa"/>
            <w:noWrap/>
            <w:vAlign w:val="bottom"/>
            <w:hideMark/>
          </w:tcPr>
          <w:p w14:paraId="20F7D6D8"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67.17</w:t>
            </w:r>
          </w:p>
        </w:tc>
        <w:tc>
          <w:tcPr>
            <w:tcW w:w="2155" w:type="dxa"/>
            <w:noWrap/>
            <w:vAlign w:val="bottom"/>
            <w:hideMark/>
          </w:tcPr>
          <w:p w14:paraId="5EF9F2B6"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67.67</w:t>
            </w:r>
          </w:p>
        </w:tc>
        <w:tc>
          <w:tcPr>
            <w:tcW w:w="2255" w:type="dxa"/>
            <w:noWrap/>
            <w:vAlign w:val="bottom"/>
            <w:hideMark/>
          </w:tcPr>
          <w:p w14:paraId="35E10C94"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69.04</w:t>
            </w:r>
          </w:p>
        </w:tc>
      </w:tr>
      <w:tr w:rsidR="003D4161" w:rsidRPr="003D4161" w14:paraId="03035695" w14:textId="77777777" w:rsidTr="0047177E">
        <w:trPr>
          <w:trHeight w:val="290"/>
        </w:trPr>
        <w:tc>
          <w:tcPr>
            <w:tcW w:w="3960" w:type="dxa"/>
            <w:noWrap/>
            <w:vAlign w:val="bottom"/>
            <w:hideMark/>
          </w:tcPr>
          <w:p w14:paraId="124AB96A"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Total carbohydrate</w:t>
            </w:r>
          </w:p>
        </w:tc>
        <w:tc>
          <w:tcPr>
            <w:tcW w:w="2160" w:type="dxa"/>
            <w:noWrap/>
            <w:vAlign w:val="bottom"/>
            <w:hideMark/>
          </w:tcPr>
          <w:p w14:paraId="57B7CC7B"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71.32</w:t>
            </w:r>
          </w:p>
        </w:tc>
        <w:tc>
          <w:tcPr>
            <w:tcW w:w="2155" w:type="dxa"/>
            <w:noWrap/>
            <w:vAlign w:val="bottom"/>
            <w:hideMark/>
          </w:tcPr>
          <w:p w14:paraId="412C74A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71.95</w:t>
            </w:r>
          </w:p>
        </w:tc>
        <w:tc>
          <w:tcPr>
            <w:tcW w:w="2255" w:type="dxa"/>
            <w:noWrap/>
            <w:vAlign w:val="bottom"/>
            <w:hideMark/>
          </w:tcPr>
          <w:p w14:paraId="61833E8B"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73.4</w:t>
            </w:r>
          </w:p>
        </w:tc>
      </w:tr>
      <w:tr w:rsidR="003D4161" w:rsidRPr="003D4161" w14:paraId="6734FD5F" w14:textId="77777777" w:rsidTr="0047177E">
        <w:trPr>
          <w:trHeight w:val="290"/>
        </w:trPr>
        <w:tc>
          <w:tcPr>
            <w:tcW w:w="3960" w:type="dxa"/>
            <w:tcBorders>
              <w:bottom w:val="single" w:sz="4" w:space="0" w:color="auto"/>
            </w:tcBorders>
            <w:noWrap/>
            <w:vAlign w:val="bottom"/>
            <w:hideMark/>
          </w:tcPr>
          <w:p w14:paraId="321D3DD0"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ME (Kcal/kg, calculated)</w:t>
            </w:r>
          </w:p>
        </w:tc>
        <w:tc>
          <w:tcPr>
            <w:tcW w:w="2160" w:type="dxa"/>
            <w:tcBorders>
              <w:bottom w:val="single" w:sz="4" w:space="0" w:color="auto"/>
            </w:tcBorders>
            <w:noWrap/>
            <w:vAlign w:val="bottom"/>
            <w:hideMark/>
          </w:tcPr>
          <w:p w14:paraId="26D92A6F"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3022.35</w:t>
            </w:r>
          </w:p>
        </w:tc>
        <w:tc>
          <w:tcPr>
            <w:tcW w:w="2155" w:type="dxa"/>
            <w:tcBorders>
              <w:bottom w:val="single" w:sz="4" w:space="0" w:color="auto"/>
            </w:tcBorders>
            <w:noWrap/>
            <w:vAlign w:val="bottom"/>
            <w:hideMark/>
          </w:tcPr>
          <w:p w14:paraId="743DB4F2"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3096.3</w:t>
            </w:r>
          </w:p>
        </w:tc>
        <w:tc>
          <w:tcPr>
            <w:tcW w:w="2255" w:type="dxa"/>
            <w:tcBorders>
              <w:bottom w:val="single" w:sz="4" w:space="0" w:color="auto"/>
            </w:tcBorders>
            <w:noWrap/>
            <w:vAlign w:val="bottom"/>
            <w:hideMark/>
          </w:tcPr>
          <w:p w14:paraId="7E5392D5" w14:textId="77777777" w:rsidR="003D4161" w:rsidRPr="003D4161" w:rsidRDefault="003D4161" w:rsidP="003D4161">
            <w:pPr>
              <w:spacing w:after="0" w:line="240" w:lineRule="auto"/>
              <w:rPr>
                <w:rFonts w:ascii="Arial" w:eastAsia="Times New Roman" w:hAnsi="Arial" w:cs="Arial"/>
                <w:color w:val="000000"/>
                <w:kern w:val="0"/>
                <w:sz w:val="20"/>
                <w:szCs w:val="20"/>
                <w:lang w:eastAsia="en-IN"/>
                <w14:ligatures w14:val="none"/>
              </w:rPr>
            </w:pPr>
            <w:r w:rsidRPr="003D4161">
              <w:rPr>
                <w:rFonts w:ascii="Arial" w:eastAsia="Times New Roman" w:hAnsi="Arial" w:cs="Arial"/>
                <w:color w:val="000000"/>
                <w:kern w:val="0"/>
                <w:sz w:val="20"/>
                <w:szCs w:val="20"/>
                <w:lang w:eastAsia="en-IN"/>
                <w14:ligatures w14:val="none"/>
              </w:rPr>
              <w:t>3182.9</w:t>
            </w:r>
          </w:p>
        </w:tc>
      </w:tr>
    </w:tbl>
    <w:p w14:paraId="76E9196C" w14:textId="77777777" w:rsidR="003D4161" w:rsidRPr="0047177E" w:rsidRDefault="003D4161" w:rsidP="007C5BF5">
      <w:pPr>
        <w:spacing w:before="120" w:after="120" w:line="240" w:lineRule="auto"/>
        <w:rPr>
          <w:rFonts w:ascii="Arial" w:hAnsi="Arial" w:cs="Arial"/>
          <w:b/>
          <w:sz w:val="22"/>
          <w:szCs w:val="22"/>
        </w:rPr>
      </w:pPr>
    </w:p>
    <w:p w14:paraId="6781445C" w14:textId="77777777" w:rsidR="003D4161" w:rsidRPr="007C5BF5" w:rsidRDefault="003D4161" w:rsidP="007C5BF5">
      <w:pPr>
        <w:pStyle w:val="NoSpacing"/>
        <w:rPr>
          <w:rFonts w:ascii="Arial" w:hAnsi="Arial" w:cs="Arial"/>
          <w:b/>
          <w:bCs/>
          <w:sz w:val="22"/>
          <w:szCs w:val="22"/>
        </w:rPr>
      </w:pPr>
      <w:r w:rsidRPr="007C5BF5">
        <w:rPr>
          <w:rFonts w:ascii="Arial" w:hAnsi="Arial" w:cs="Arial"/>
          <w:b/>
          <w:bCs/>
          <w:sz w:val="22"/>
          <w:szCs w:val="22"/>
        </w:rPr>
        <w:t>Table 3. Chemical composition (% dry matter basis) of mushroom (</w:t>
      </w:r>
      <w:r w:rsidRPr="007C5BF5">
        <w:rPr>
          <w:rFonts w:ascii="Arial" w:hAnsi="Arial" w:cs="Arial"/>
          <w:b/>
          <w:bCs/>
          <w:i/>
          <w:sz w:val="22"/>
          <w:szCs w:val="22"/>
        </w:rPr>
        <w:t>Agaricus bisporus</w:t>
      </w:r>
      <w:r w:rsidRPr="007C5BF5">
        <w:rPr>
          <w:rFonts w:ascii="Arial" w:hAnsi="Arial" w:cs="Arial"/>
          <w:b/>
          <w:bCs/>
          <w:sz w:val="22"/>
          <w:szCs w:val="22"/>
        </w:rPr>
        <w:t>) fruiting body waste</w:t>
      </w:r>
    </w:p>
    <w:tbl>
      <w:tblPr>
        <w:tblW w:w="5449" w:type="pct"/>
        <w:jc w:val="center"/>
        <w:tblLook w:val="04A0" w:firstRow="1" w:lastRow="0" w:firstColumn="1" w:lastColumn="0" w:noHBand="0" w:noVBand="1"/>
      </w:tblPr>
      <w:tblGrid>
        <w:gridCol w:w="5703"/>
        <w:gridCol w:w="4134"/>
      </w:tblGrid>
      <w:tr w:rsidR="003D4161" w:rsidRPr="003D4161" w14:paraId="5ABB955D" w14:textId="77777777" w:rsidTr="003D4161">
        <w:trPr>
          <w:trHeight w:val="288"/>
          <w:jc w:val="center"/>
        </w:trPr>
        <w:tc>
          <w:tcPr>
            <w:tcW w:w="2899" w:type="pct"/>
            <w:tcBorders>
              <w:top w:val="single" w:sz="4" w:space="0" w:color="auto"/>
              <w:bottom w:val="single" w:sz="4" w:space="0" w:color="auto"/>
            </w:tcBorders>
            <w:noWrap/>
            <w:vAlign w:val="bottom"/>
            <w:hideMark/>
          </w:tcPr>
          <w:p w14:paraId="65286EA3" w14:textId="77777777" w:rsidR="003D4161" w:rsidRPr="003D4161" w:rsidRDefault="003D4161" w:rsidP="003D4161">
            <w:pPr>
              <w:spacing w:before="120" w:after="120" w:line="240"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Nutrients (%)</w:t>
            </w:r>
          </w:p>
        </w:tc>
        <w:tc>
          <w:tcPr>
            <w:tcW w:w="2101" w:type="pct"/>
            <w:tcBorders>
              <w:top w:val="single" w:sz="4" w:space="0" w:color="auto"/>
              <w:bottom w:val="single" w:sz="4" w:space="0" w:color="auto"/>
            </w:tcBorders>
            <w:noWrap/>
            <w:vAlign w:val="bottom"/>
            <w:hideMark/>
          </w:tcPr>
          <w:p w14:paraId="5B294EA9" w14:textId="77777777" w:rsidR="003D4161" w:rsidRPr="003D4161" w:rsidRDefault="003D4161" w:rsidP="003D4161">
            <w:pPr>
              <w:spacing w:before="120" w:after="120" w:line="240"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Mushroom Waste</w:t>
            </w:r>
          </w:p>
        </w:tc>
      </w:tr>
      <w:tr w:rsidR="003D4161" w:rsidRPr="003D4161" w14:paraId="32F57CD8" w14:textId="77777777" w:rsidTr="003D4161">
        <w:trPr>
          <w:trHeight w:val="288"/>
          <w:jc w:val="center"/>
        </w:trPr>
        <w:tc>
          <w:tcPr>
            <w:tcW w:w="2899" w:type="pct"/>
            <w:noWrap/>
            <w:vAlign w:val="bottom"/>
            <w:hideMark/>
          </w:tcPr>
          <w:p w14:paraId="695E072B"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Crude Protein</w:t>
            </w:r>
          </w:p>
        </w:tc>
        <w:tc>
          <w:tcPr>
            <w:tcW w:w="2101" w:type="pct"/>
            <w:noWrap/>
            <w:vAlign w:val="bottom"/>
            <w:hideMark/>
          </w:tcPr>
          <w:p w14:paraId="5745FC86"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13.2</w:t>
            </w:r>
          </w:p>
        </w:tc>
      </w:tr>
      <w:tr w:rsidR="003D4161" w:rsidRPr="003D4161" w14:paraId="3A8D3E7C" w14:textId="77777777" w:rsidTr="003D4161">
        <w:trPr>
          <w:trHeight w:val="288"/>
          <w:jc w:val="center"/>
        </w:trPr>
        <w:tc>
          <w:tcPr>
            <w:tcW w:w="2899" w:type="pct"/>
            <w:noWrap/>
            <w:vAlign w:val="bottom"/>
            <w:hideMark/>
          </w:tcPr>
          <w:p w14:paraId="0EC32DFC"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Ether Extract</w:t>
            </w:r>
          </w:p>
        </w:tc>
        <w:tc>
          <w:tcPr>
            <w:tcW w:w="2101" w:type="pct"/>
            <w:noWrap/>
            <w:vAlign w:val="bottom"/>
            <w:hideMark/>
          </w:tcPr>
          <w:p w14:paraId="70C7C2E8"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2.7</w:t>
            </w:r>
          </w:p>
        </w:tc>
      </w:tr>
      <w:tr w:rsidR="003D4161" w:rsidRPr="003D4161" w14:paraId="123ABDEA" w14:textId="77777777" w:rsidTr="003D4161">
        <w:trPr>
          <w:trHeight w:val="288"/>
          <w:jc w:val="center"/>
        </w:trPr>
        <w:tc>
          <w:tcPr>
            <w:tcW w:w="2899" w:type="pct"/>
            <w:noWrap/>
            <w:vAlign w:val="bottom"/>
            <w:hideMark/>
          </w:tcPr>
          <w:p w14:paraId="57A2ECCB"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Crude Fibre</w:t>
            </w:r>
          </w:p>
        </w:tc>
        <w:tc>
          <w:tcPr>
            <w:tcW w:w="2101" w:type="pct"/>
            <w:noWrap/>
            <w:vAlign w:val="bottom"/>
            <w:hideMark/>
          </w:tcPr>
          <w:p w14:paraId="2063081B"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10.5</w:t>
            </w:r>
          </w:p>
        </w:tc>
      </w:tr>
      <w:tr w:rsidR="003D4161" w:rsidRPr="003D4161" w14:paraId="35352556" w14:textId="77777777" w:rsidTr="003D4161">
        <w:trPr>
          <w:trHeight w:val="288"/>
          <w:jc w:val="center"/>
        </w:trPr>
        <w:tc>
          <w:tcPr>
            <w:tcW w:w="2899" w:type="pct"/>
            <w:noWrap/>
            <w:vAlign w:val="bottom"/>
            <w:hideMark/>
          </w:tcPr>
          <w:p w14:paraId="72948622"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Total Ash</w:t>
            </w:r>
          </w:p>
        </w:tc>
        <w:tc>
          <w:tcPr>
            <w:tcW w:w="2101" w:type="pct"/>
            <w:noWrap/>
            <w:vAlign w:val="bottom"/>
            <w:hideMark/>
          </w:tcPr>
          <w:p w14:paraId="46EAB52C"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11.6</w:t>
            </w:r>
          </w:p>
        </w:tc>
      </w:tr>
      <w:tr w:rsidR="003D4161" w:rsidRPr="003D4161" w14:paraId="662CAD39" w14:textId="77777777" w:rsidTr="003D4161">
        <w:trPr>
          <w:trHeight w:val="288"/>
          <w:jc w:val="center"/>
        </w:trPr>
        <w:tc>
          <w:tcPr>
            <w:tcW w:w="2899" w:type="pct"/>
            <w:tcBorders>
              <w:bottom w:val="single" w:sz="4" w:space="0" w:color="auto"/>
            </w:tcBorders>
            <w:noWrap/>
            <w:vAlign w:val="bottom"/>
            <w:hideMark/>
          </w:tcPr>
          <w:p w14:paraId="52E6319A" w14:textId="77777777" w:rsidR="003D4161" w:rsidRPr="003D4161" w:rsidRDefault="003D4161" w:rsidP="003D4161">
            <w:pPr>
              <w:spacing w:before="120" w:after="120" w:line="240" w:lineRule="auto"/>
              <w:rPr>
                <w:rFonts w:ascii="Arial" w:eastAsia="Times New Roman" w:hAnsi="Arial" w:cs="Arial"/>
                <w:bCs/>
                <w:color w:val="000000"/>
                <w:sz w:val="20"/>
                <w:szCs w:val="20"/>
              </w:rPr>
            </w:pPr>
            <w:r w:rsidRPr="003D4161">
              <w:rPr>
                <w:rFonts w:ascii="Arial" w:eastAsia="Times New Roman" w:hAnsi="Arial" w:cs="Arial"/>
                <w:bCs/>
                <w:color w:val="000000"/>
                <w:sz w:val="20"/>
                <w:szCs w:val="20"/>
              </w:rPr>
              <w:t>Nitrogen Free Extract</w:t>
            </w:r>
          </w:p>
        </w:tc>
        <w:tc>
          <w:tcPr>
            <w:tcW w:w="2101" w:type="pct"/>
            <w:tcBorders>
              <w:bottom w:val="single" w:sz="4" w:space="0" w:color="auto"/>
            </w:tcBorders>
            <w:noWrap/>
            <w:vAlign w:val="bottom"/>
            <w:hideMark/>
          </w:tcPr>
          <w:p w14:paraId="6409C738" w14:textId="77777777" w:rsidR="003D4161" w:rsidRPr="003D4161" w:rsidRDefault="003D4161" w:rsidP="003D4161">
            <w:pPr>
              <w:spacing w:before="120" w:after="120" w:line="240" w:lineRule="auto"/>
              <w:rPr>
                <w:rFonts w:ascii="Arial" w:eastAsia="Times New Roman" w:hAnsi="Arial" w:cs="Arial"/>
                <w:color w:val="000000"/>
                <w:sz w:val="20"/>
                <w:szCs w:val="20"/>
              </w:rPr>
            </w:pPr>
            <w:r w:rsidRPr="003D4161">
              <w:rPr>
                <w:rFonts w:ascii="Arial" w:eastAsia="Times New Roman" w:hAnsi="Arial" w:cs="Arial"/>
                <w:color w:val="000000"/>
                <w:sz w:val="20"/>
                <w:szCs w:val="20"/>
              </w:rPr>
              <w:t>62</w:t>
            </w:r>
          </w:p>
        </w:tc>
      </w:tr>
    </w:tbl>
    <w:p w14:paraId="760EBD0E" w14:textId="77777777" w:rsidR="003D4161" w:rsidRPr="003D4161" w:rsidRDefault="003D4161" w:rsidP="000004F3">
      <w:pPr>
        <w:spacing w:line="360" w:lineRule="auto"/>
        <w:jc w:val="both"/>
        <w:rPr>
          <w:rFonts w:ascii="Arial" w:hAnsi="Arial" w:cs="Arial"/>
          <w:b/>
          <w:bCs/>
          <w:sz w:val="20"/>
          <w:szCs w:val="20"/>
        </w:rPr>
      </w:pPr>
    </w:p>
    <w:p w14:paraId="6CD5F8F4" w14:textId="71C03719" w:rsidR="0008226F" w:rsidRPr="00DA6706" w:rsidRDefault="00652F73" w:rsidP="00DA6706">
      <w:pPr>
        <w:spacing w:line="360" w:lineRule="auto"/>
        <w:rPr>
          <w:rFonts w:ascii="Arial" w:hAnsi="Arial" w:cs="Arial"/>
          <w:b/>
          <w:bCs/>
          <w:sz w:val="22"/>
          <w:szCs w:val="22"/>
        </w:rPr>
      </w:pPr>
      <w:r w:rsidRPr="00DA6706">
        <w:rPr>
          <w:rFonts w:ascii="Arial" w:hAnsi="Arial" w:cs="Arial"/>
          <w:b/>
          <w:bCs/>
          <w:sz w:val="22"/>
          <w:szCs w:val="22"/>
        </w:rPr>
        <w:t>3</w:t>
      </w:r>
      <w:r w:rsidR="00987EF0" w:rsidRPr="00DA6706">
        <w:rPr>
          <w:rFonts w:ascii="Arial" w:hAnsi="Arial" w:cs="Arial"/>
          <w:b/>
          <w:bCs/>
          <w:sz w:val="22"/>
          <w:szCs w:val="22"/>
        </w:rPr>
        <w:t xml:space="preserve">. </w:t>
      </w:r>
      <w:r w:rsidR="0008226F" w:rsidRPr="00DA6706">
        <w:rPr>
          <w:rFonts w:ascii="Arial" w:hAnsi="Arial" w:cs="Arial"/>
          <w:b/>
          <w:bCs/>
          <w:sz w:val="22"/>
          <w:szCs w:val="22"/>
        </w:rPr>
        <w:t>Production Parameters</w:t>
      </w:r>
    </w:p>
    <w:p w14:paraId="7B5204B8" w14:textId="351140E3"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3.1 </w:t>
      </w:r>
      <w:r w:rsidR="0008226F" w:rsidRPr="00DA6706">
        <w:rPr>
          <w:rFonts w:ascii="Arial" w:hAnsi="Arial" w:cs="Arial"/>
          <w:b/>
          <w:bCs/>
          <w:sz w:val="22"/>
          <w:szCs w:val="22"/>
        </w:rPr>
        <w:t>Feed intake</w:t>
      </w:r>
    </w:p>
    <w:p w14:paraId="583CA875" w14:textId="46F1F314"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Feed offered to each treatment group was recorded daily, and fresh feed was supplied each morning at 07:00 h. </w:t>
      </w:r>
      <w:commentRangeStart w:id="14"/>
      <w:r w:rsidRPr="003D4161">
        <w:rPr>
          <w:rFonts w:ascii="Arial" w:hAnsi="Arial" w:cs="Arial"/>
          <w:sz w:val="20"/>
          <w:szCs w:val="20"/>
        </w:rPr>
        <w:t>Feed refusals from each replicate were collected and weighed on a weekly basis</w:t>
      </w:r>
      <w:commentRangeEnd w:id="14"/>
      <w:r w:rsidR="00B40434">
        <w:rPr>
          <w:rStyle w:val="CommentReference"/>
        </w:rPr>
        <w:commentReference w:id="14"/>
      </w:r>
      <w:r w:rsidRPr="003D4161">
        <w:rPr>
          <w:rFonts w:ascii="Arial" w:hAnsi="Arial" w:cs="Arial"/>
          <w:sz w:val="20"/>
          <w:szCs w:val="20"/>
        </w:rPr>
        <w:t>. Weekly feed intake was calculated by subtracting the quantity of residual feed from the total feed offered during the corresponding period. Feed intake was expressed as grams per bird per week by dividing the total weekly feed intake by the number of birds in each replicate.</w:t>
      </w:r>
    </w:p>
    <w:p w14:paraId="2A176DDE" w14:textId="395345BE"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3.2 </w:t>
      </w:r>
      <w:r w:rsidR="0008226F" w:rsidRPr="00DA6706">
        <w:rPr>
          <w:rFonts w:ascii="Arial" w:hAnsi="Arial" w:cs="Arial"/>
          <w:b/>
          <w:bCs/>
          <w:sz w:val="22"/>
          <w:szCs w:val="22"/>
        </w:rPr>
        <w:t>Body weight gain</w:t>
      </w:r>
    </w:p>
    <w:p w14:paraId="7A4F74D3" w14:textId="507C45F5"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Growth performance was assessed by recording individual body weights of Broiler chicks at the beginning of the experiment and subsequently at weekly intervals using a digital electronic balance. Weekly body weight gain was calculated as the difference between successive body weight recordings, while overall body weight gain was determined from the difference between initial and final body weights at the end of the experimental period.</w:t>
      </w:r>
    </w:p>
    <w:p w14:paraId="5541C8D9" w14:textId="704DA301"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3.3 </w:t>
      </w:r>
      <w:r w:rsidR="0008226F" w:rsidRPr="00DA6706">
        <w:rPr>
          <w:rFonts w:ascii="Arial" w:hAnsi="Arial" w:cs="Arial"/>
          <w:b/>
          <w:bCs/>
          <w:sz w:val="22"/>
          <w:szCs w:val="22"/>
        </w:rPr>
        <w:t>Feed conversion ratio</w:t>
      </w:r>
    </w:p>
    <w:p w14:paraId="57C312F5" w14:textId="77777777"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Feed conversion ratio (FCR) was calculated as the ratio of feed consumed (kg) to body weight gain (kg) for each replicate during different phases of the experiment.</w:t>
      </w:r>
    </w:p>
    <w:p w14:paraId="35519BFE" w14:textId="6BDADAB1"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FCR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 xml:space="preserve">Feed consumed </m:t>
              </m:r>
            </m:num>
            <m:den>
              <m:r>
                <w:rPr>
                  <w:rFonts w:ascii="Cambria Math" w:eastAsiaTheme="minorEastAsia" w:hAnsi="Cambria Math" w:cs="Arial"/>
                  <w:sz w:val="20"/>
                  <w:szCs w:val="20"/>
                </w:rPr>
                <m:t>Weight gain</m:t>
              </m:r>
            </m:den>
          </m:f>
        </m:oMath>
      </m:oMathPara>
    </w:p>
    <w:p w14:paraId="16DA1E4A" w14:textId="5398EF0E"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t xml:space="preserve">3.4 </w:t>
      </w:r>
      <w:r w:rsidR="0008226F" w:rsidRPr="00DA6706">
        <w:rPr>
          <w:rFonts w:ascii="Arial" w:hAnsi="Arial" w:cs="Arial"/>
          <w:b/>
          <w:bCs/>
          <w:sz w:val="22"/>
          <w:szCs w:val="22"/>
        </w:rPr>
        <w:t>Performance index</w:t>
      </w:r>
    </w:p>
    <w:p w14:paraId="48C8CD81" w14:textId="4E50C32F"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The performance index (PI) for </w:t>
      </w:r>
      <w:r w:rsidR="00DB6CF5" w:rsidRPr="003D4161">
        <w:rPr>
          <w:rFonts w:ascii="Arial" w:hAnsi="Arial" w:cs="Arial"/>
          <w:sz w:val="20"/>
          <w:szCs w:val="20"/>
        </w:rPr>
        <w:t>Broiler chicks</w:t>
      </w:r>
      <w:r w:rsidRPr="003D4161">
        <w:rPr>
          <w:rFonts w:ascii="Arial" w:hAnsi="Arial" w:cs="Arial"/>
          <w:sz w:val="20"/>
          <w:szCs w:val="20"/>
        </w:rPr>
        <w:t xml:space="preserve"> during different growth phases was calculated according to the formula proposed by Bird (1995).</w:t>
      </w:r>
    </w:p>
    <w:p w14:paraId="3AAA6C46" w14:textId="6AC03C6C"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Performance index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 xml:space="preserve">Body weight gain (g) </m:t>
              </m:r>
            </m:num>
            <m:den>
              <m:r>
                <w:rPr>
                  <w:rFonts w:ascii="Cambria Math" w:eastAsiaTheme="minorEastAsia" w:hAnsi="Cambria Math" w:cs="Arial"/>
                  <w:sz w:val="20"/>
                  <w:szCs w:val="20"/>
                </w:rPr>
                <m:t>FCR</m:t>
              </m:r>
            </m:den>
          </m:f>
        </m:oMath>
      </m:oMathPara>
    </w:p>
    <w:p w14:paraId="37089059" w14:textId="2A0C6281" w:rsidR="0008226F" w:rsidRPr="00DA6706" w:rsidRDefault="00652F73" w:rsidP="000004F3">
      <w:pPr>
        <w:spacing w:line="360" w:lineRule="auto"/>
        <w:jc w:val="both"/>
        <w:rPr>
          <w:rFonts w:ascii="Arial" w:hAnsi="Arial" w:cs="Arial"/>
          <w:b/>
          <w:bCs/>
          <w:sz w:val="22"/>
          <w:szCs w:val="22"/>
        </w:rPr>
      </w:pPr>
      <w:r w:rsidRPr="00DA6706">
        <w:rPr>
          <w:rFonts w:ascii="Arial" w:hAnsi="Arial" w:cs="Arial"/>
          <w:b/>
          <w:bCs/>
          <w:sz w:val="22"/>
          <w:szCs w:val="22"/>
        </w:rPr>
        <w:lastRenderedPageBreak/>
        <w:t xml:space="preserve">3.5 </w:t>
      </w:r>
      <w:r w:rsidR="0008226F" w:rsidRPr="00DA6706">
        <w:rPr>
          <w:rFonts w:ascii="Arial" w:hAnsi="Arial" w:cs="Arial"/>
          <w:b/>
          <w:bCs/>
          <w:sz w:val="22"/>
          <w:szCs w:val="22"/>
        </w:rPr>
        <w:t>Metabolic Trial and Nutrient Utilization</w:t>
      </w:r>
    </w:p>
    <w:p w14:paraId="5E9674C8" w14:textId="15735E76"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 xml:space="preserve">To evaluate nutrient utilization, a seven-day metabolic trial was conducted during the sixth week of the feeding experiment. </w:t>
      </w:r>
      <w:commentRangeStart w:id="15"/>
      <w:r w:rsidR="00DB6CF5" w:rsidRPr="003D4161">
        <w:rPr>
          <w:rFonts w:ascii="Arial" w:hAnsi="Arial" w:cs="Arial"/>
          <w:sz w:val="20"/>
          <w:szCs w:val="20"/>
        </w:rPr>
        <w:t>Twelve</w:t>
      </w:r>
      <w:r w:rsidRPr="003D4161">
        <w:rPr>
          <w:rFonts w:ascii="Arial" w:hAnsi="Arial" w:cs="Arial"/>
          <w:sz w:val="20"/>
          <w:szCs w:val="20"/>
        </w:rPr>
        <w:t xml:space="preserve"> birds (t</w:t>
      </w:r>
      <w:r w:rsidR="00DB6CF5" w:rsidRPr="003D4161">
        <w:rPr>
          <w:rFonts w:ascii="Arial" w:hAnsi="Arial" w:cs="Arial"/>
          <w:sz w:val="20"/>
          <w:szCs w:val="20"/>
        </w:rPr>
        <w:t>hree</w:t>
      </w:r>
      <w:r w:rsidRPr="003D4161">
        <w:rPr>
          <w:rFonts w:ascii="Arial" w:hAnsi="Arial" w:cs="Arial"/>
          <w:sz w:val="20"/>
          <w:szCs w:val="20"/>
        </w:rPr>
        <w:t xml:space="preserve"> birds per treatment) were randomly selected and housed individually in metabolic cages</w:t>
      </w:r>
      <w:commentRangeEnd w:id="15"/>
      <w:r w:rsidR="007053A4">
        <w:rPr>
          <w:rStyle w:val="CommentReference"/>
        </w:rPr>
        <w:commentReference w:id="15"/>
      </w:r>
      <w:r w:rsidRPr="003D4161">
        <w:rPr>
          <w:rFonts w:ascii="Arial" w:hAnsi="Arial" w:cs="Arial"/>
          <w:sz w:val="20"/>
          <w:szCs w:val="20"/>
        </w:rPr>
        <w:t>. The trial consisted of a four-day adaptation period followed by a three-day collection period. Faecal trays were lined with polythene sheets to facilitate complete and uncontaminated excreta collection.</w:t>
      </w:r>
    </w:p>
    <w:p w14:paraId="4D0AFD50" w14:textId="77777777" w:rsidR="0008226F" w:rsidRPr="003D4161" w:rsidRDefault="0008226F" w:rsidP="00652F73">
      <w:pPr>
        <w:spacing w:line="360" w:lineRule="auto"/>
        <w:jc w:val="both"/>
        <w:rPr>
          <w:rFonts w:ascii="Arial" w:hAnsi="Arial" w:cs="Arial"/>
          <w:sz w:val="20"/>
          <w:szCs w:val="20"/>
        </w:rPr>
      </w:pPr>
      <w:r w:rsidRPr="003D4161">
        <w:rPr>
          <w:rFonts w:ascii="Arial" w:hAnsi="Arial" w:cs="Arial"/>
          <w:sz w:val="20"/>
          <w:szCs w:val="20"/>
        </w:rPr>
        <w:t>During the collection period, a measured quantity of feed was offered daily, and feed residues were weighed the following morning at a fixed time. Excreta voided by each bird were collected and weighed daily. Representative samples of feed and excreta were dried in a hot-air oven, ground, and analysed for proximate principles, including dry matter, ether extract, crude fibre, nitrogen-free extract, and total ash on a dry matter basis following AOAC (2023) procedures. For nitrogen estimation, fresh excreta samples were preserved with a few drops of 25% sulphuric acid (v/v) in airtight containers and analysed on a wet matter basis.</w:t>
      </w:r>
    </w:p>
    <w:p w14:paraId="341A37A8" w14:textId="4604A1E0" w:rsidR="0008226F" w:rsidRPr="003D4161" w:rsidRDefault="0008226F" w:rsidP="00E35CE1">
      <w:pPr>
        <w:spacing w:line="360" w:lineRule="auto"/>
        <w:ind w:firstLine="567"/>
        <w:jc w:val="both"/>
        <w:rPr>
          <w:rFonts w:ascii="Arial" w:eastAsiaTheme="minorEastAsia" w:hAnsi="Arial" w:cs="Arial"/>
          <w:sz w:val="20"/>
          <w:szCs w:val="20"/>
        </w:rPr>
      </w:pPr>
      <m:oMathPara>
        <m:oMath>
          <m:r>
            <m:rPr>
              <m:sty m:val="p"/>
            </m:rPr>
            <w:rPr>
              <w:rFonts w:ascii="Cambria Math" w:eastAsiaTheme="minorEastAsia" w:hAnsi="Cambria Math" w:cs="Arial"/>
              <w:sz w:val="20"/>
              <w:szCs w:val="20"/>
            </w:rPr>
            <m:t xml:space="preserve">Nutrient utilization </m:t>
          </m:r>
          <m:d>
            <m:dPr>
              <m:ctrlPr>
                <w:rPr>
                  <w:rFonts w:ascii="Cambria Math" w:eastAsiaTheme="minorEastAsia" w:hAnsi="Cambria Math" w:cs="Arial"/>
                  <w:sz w:val="20"/>
                  <w:szCs w:val="20"/>
                </w:rPr>
              </m:ctrlPr>
            </m:dPr>
            <m:e>
              <m:r>
                <m:rPr>
                  <m:sty m:val="p"/>
                </m:rPr>
                <w:rPr>
                  <w:rFonts w:ascii="Cambria Math" w:eastAsiaTheme="minorEastAsia" w:hAnsi="Cambria Math" w:cs="Arial"/>
                  <w:sz w:val="20"/>
                  <w:szCs w:val="20"/>
                </w:rPr>
                <m:t>%</m:t>
              </m:r>
            </m:e>
          </m:d>
          <m:r>
            <m:rPr>
              <m:sty m:val="p"/>
            </m:rP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Nutrient intake in feed - Nutrient loss in excreta</m:t>
              </m:r>
            </m:num>
            <m:den>
              <m:r>
                <w:rPr>
                  <w:rFonts w:ascii="Cambria Math" w:eastAsiaTheme="minorEastAsia" w:hAnsi="Cambria Math" w:cs="Arial"/>
                  <w:sz w:val="20"/>
                  <w:szCs w:val="20"/>
                </w:rPr>
                <m:t>Nutrient intake in feed</m:t>
              </m:r>
            </m:den>
          </m:f>
          <m:r>
            <w:rPr>
              <w:rFonts w:ascii="Cambria Math" w:eastAsiaTheme="minorEastAsia" w:hAnsi="Cambria Math" w:cs="Arial"/>
              <w:sz w:val="20"/>
              <w:szCs w:val="20"/>
            </w:rPr>
            <m:t>x 100</m:t>
          </m:r>
        </m:oMath>
      </m:oMathPara>
    </w:p>
    <w:p w14:paraId="081878A8" w14:textId="4AA7D87A" w:rsidR="00B841A5" w:rsidRPr="00DA6706" w:rsidRDefault="00DA6706" w:rsidP="000004F3">
      <w:pPr>
        <w:spacing w:line="360" w:lineRule="auto"/>
        <w:rPr>
          <w:rFonts w:ascii="Arial" w:hAnsi="Arial" w:cs="Arial"/>
          <w:b/>
          <w:bCs/>
          <w:sz w:val="22"/>
          <w:szCs w:val="22"/>
        </w:rPr>
      </w:pPr>
      <w:r>
        <w:rPr>
          <w:rFonts w:ascii="Arial" w:hAnsi="Arial" w:cs="Arial"/>
          <w:b/>
          <w:bCs/>
          <w:sz w:val="22"/>
          <w:szCs w:val="22"/>
        </w:rPr>
        <w:t>4</w:t>
      </w:r>
      <w:r w:rsidR="007E5DF3" w:rsidRPr="00DA6706">
        <w:rPr>
          <w:rFonts w:ascii="Arial" w:hAnsi="Arial" w:cs="Arial"/>
          <w:b/>
          <w:bCs/>
          <w:sz w:val="22"/>
          <w:szCs w:val="22"/>
        </w:rPr>
        <w:t xml:space="preserve">. </w:t>
      </w:r>
      <w:r w:rsidR="00B841A5" w:rsidRPr="00DA6706">
        <w:rPr>
          <w:rFonts w:ascii="Arial" w:hAnsi="Arial" w:cs="Arial"/>
          <w:b/>
          <w:bCs/>
          <w:sz w:val="22"/>
          <w:szCs w:val="22"/>
        </w:rPr>
        <w:t>RESULTS AND DISCUSSION</w:t>
      </w:r>
    </w:p>
    <w:p w14:paraId="2DD9797C" w14:textId="5A11486B" w:rsidR="00B841A5" w:rsidRPr="00E913C4" w:rsidRDefault="00E913C4" w:rsidP="000004F3">
      <w:pPr>
        <w:spacing w:line="360" w:lineRule="auto"/>
        <w:rPr>
          <w:rFonts w:ascii="Arial" w:hAnsi="Arial" w:cs="Arial"/>
          <w:b/>
          <w:bCs/>
          <w:sz w:val="22"/>
          <w:szCs w:val="22"/>
        </w:rPr>
      </w:pPr>
      <w:r w:rsidRPr="00E913C4">
        <w:rPr>
          <w:rFonts w:ascii="Arial" w:hAnsi="Arial" w:cs="Arial"/>
          <w:b/>
          <w:bCs/>
          <w:sz w:val="22"/>
          <w:szCs w:val="22"/>
        </w:rPr>
        <w:t xml:space="preserve">4.1 </w:t>
      </w:r>
      <w:commentRangeStart w:id="16"/>
      <w:r w:rsidR="00B841A5" w:rsidRPr="00E913C4">
        <w:rPr>
          <w:rFonts w:ascii="Arial" w:hAnsi="Arial" w:cs="Arial"/>
          <w:b/>
          <w:bCs/>
          <w:sz w:val="22"/>
          <w:szCs w:val="22"/>
        </w:rPr>
        <w:t>Growth performance</w:t>
      </w:r>
      <w:commentRangeEnd w:id="16"/>
      <w:r w:rsidR="0033687F">
        <w:rPr>
          <w:rStyle w:val="CommentReference"/>
        </w:rPr>
        <w:commentReference w:id="16"/>
      </w:r>
    </w:p>
    <w:p w14:paraId="0B164339" w14:textId="46CD0959" w:rsidR="00B841A5"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During the starter phase (0–21 days), there was no significant (</w:t>
      </w:r>
      <w:r w:rsidR="00DB6CF5" w:rsidRPr="003D4161">
        <w:rPr>
          <w:rFonts w:ascii="Arial" w:hAnsi="Arial" w:cs="Arial"/>
          <w:sz w:val="20"/>
          <w:szCs w:val="20"/>
        </w:rPr>
        <w:t>P</w:t>
      </w:r>
      <w:r w:rsidR="008414C5" w:rsidRPr="003D4161">
        <w:rPr>
          <w:rFonts w:ascii="Arial" w:hAnsi="Arial" w:cs="Arial"/>
          <w:sz w:val="20"/>
          <w:szCs w:val="20"/>
        </w:rPr>
        <w:t xml:space="preserve"> </w:t>
      </w:r>
      <w:r w:rsidRPr="003D4161">
        <w:rPr>
          <w:rFonts w:ascii="Arial" w:hAnsi="Arial" w:cs="Arial"/>
          <w:sz w:val="20"/>
          <w:szCs w:val="20"/>
        </w:rPr>
        <w:t>&gt;</w:t>
      </w:r>
      <w:r w:rsidR="008414C5" w:rsidRPr="003D4161">
        <w:rPr>
          <w:rFonts w:ascii="Arial" w:hAnsi="Arial" w:cs="Arial"/>
          <w:sz w:val="20"/>
          <w:szCs w:val="20"/>
        </w:rPr>
        <w:t xml:space="preserve"> </w:t>
      </w:r>
      <w:r w:rsidRPr="003D4161">
        <w:rPr>
          <w:rFonts w:ascii="Arial" w:hAnsi="Arial" w:cs="Arial"/>
          <w:sz w:val="20"/>
          <w:szCs w:val="20"/>
        </w:rPr>
        <w:t>0.05) difference in final body weight, body weight gain, feed intake and feed conversion ratio among treatment groups. However, performance index differed significantly (</w:t>
      </w:r>
      <w:r w:rsidR="00DB6CF5" w:rsidRPr="003D4161">
        <w:rPr>
          <w:rFonts w:ascii="Arial" w:hAnsi="Arial" w:cs="Arial"/>
          <w:sz w:val="20"/>
          <w:szCs w:val="20"/>
        </w:rPr>
        <w:t xml:space="preserve">P </w:t>
      </w:r>
      <w:r w:rsidRPr="003D4161">
        <w:rPr>
          <w:rFonts w:ascii="Arial" w:hAnsi="Arial" w:cs="Arial"/>
          <w:sz w:val="20"/>
          <w:szCs w:val="20"/>
        </w:rPr>
        <w:t>&lt;</w:t>
      </w:r>
      <w:r w:rsidR="00DB6CF5" w:rsidRPr="003D4161">
        <w:rPr>
          <w:rFonts w:ascii="Arial" w:hAnsi="Arial" w:cs="Arial"/>
          <w:sz w:val="20"/>
          <w:szCs w:val="20"/>
        </w:rPr>
        <w:t xml:space="preserve"> </w:t>
      </w:r>
      <w:r w:rsidRPr="003D4161">
        <w:rPr>
          <w:rFonts w:ascii="Arial" w:hAnsi="Arial" w:cs="Arial"/>
          <w:sz w:val="20"/>
          <w:szCs w:val="20"/>
        </w:rPr>
        <w:t xml:space="preserve">0.001), with highest value recorded in T3 followed by T4 and T2, while lowest value was observed in control group. </w:t>
      </w:r>
      <w:commentRangeStart w:id="17"/>
      <w:r w:rsidRPr="003D4161">
        <w:rPr>
          <w:rFonts w:ascii="Arial" w:hAnsi="Arial" w:cs="Arial"/>
          <w:sz w:val="20"/>
          <w:szCs w:val="20"/>
        </w:rPr>
        <w:t>Similar improvement in performance index with mushroom supplementation has been reported earlier, which may be due to improved nutrient utilization and better gut environment.</w:t>
      </w:r>
      <w:commentRangeEnd w:id="17"/>
      <w:r w:rsidR="003D7174">
        <w:rPr>
          <w:rStyle w:val="CommentReference"/>
        </w:rPr>
        <w:commentReference w:id="17"/>
      </w:r>
    </w:p>
    <w:p w14:paraId="701D8585" w14:textId="3FAE0580" w:rsidR="00B841A5"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During finisher phase (21–42 days), body weight gain increased significantly (</w:t>
      </w:r>
      <w:r w:rsidR="00DB6CF5" w:rsidRPr="003D4161">
        <w:rPr>
          <w:rFonts w:ascii="Arial" w:hAnsi="Arial" w:cs="Arial"/>
          <w:sz w:val="20"/>
          <w:szCs w:val="20"/>
        </w:rPr>
        <w:t>P</w:t>
      </w:r>
      <w:r w:rsidR="008414C5" w:rsidRPr="003D4161">
        <w:rPr>
          <w:rFonts w:ascii="Arial" w:hAnsi="Arial" w:cs="Arial"/>
          <w:sz w:val="20"/>
          <w:szCs w:val="20"/>
        </w:rPr>
        <w:t xml:space="preserve"> </w:t>
      </w:r>
      <w:r w:rsidRPr="003D4161">
        <w:rPr>
          <w:rFonts w:ascii="Arial" w:hAnsi="Arial" w:cs="Arial"/>
          <w:sz w:val="20"/>
          <w:szCs w:val="20"/>
        </w:rPr>
        <w:t>&lt;</w:t>
      </w:r>
      <w:r w:rsidR="008414C5" w:rsidRPr="003D4161">
        <w:rPr>
          <w:rFonts w:ascii="Arial" w:hAnsi="Arial" w:cs="Arial"/>
          <w:sz w:val="20"/>
          <w:szCs w:val="20"/>
        </w:rPr>
        <w:t xml:space="preserve"> </w:t>
      </w:r>
      <w:r w:rsidRPr="003D4161">
        <w:rPr>
          <w:rFonts w:ascii="Arial" w:hAnsi="Arial" w:cs="Arial"/>
          <w:sz w:val="20"/>
          <w:szCs w:val="20"/>
        </w:rPr>
        <w:t>0.05) in T3 and T4 compared to control. Feed intake did not differ significantly (</w:t>
      </w:r>
      <w:r w:rsidR="00936C46" w:rsidRPr="003D4161">
        <w:rPr>
          <w:rFonts w:ascii="Arial" w:hAnsi="Arial" w:cs="Arial"/>
          <w:sz w:val="20"/>
          <w:szCs w:val="20"/>
        </w:rPr>
        <w:t xml:space="preserve">P </w:t>
      </w:r>
      <w:r w:rsidRPr="003D4161">
        <w:rPr>
          <w:rFonts w:ascii="Arial" w:hAnsi="Arial" w:cs="Arial"/>
          <w:sz w:val="20"/>
          <w:szCs w:val="20"/>
        </w:rPr>
        <w:t>&gt;</w:t>
      </w:r>
      <w:r w:rsidR="00936C46" w:rsidRPr="003D4161">
        <w:rPr>
          <w:rFonts w:ascii="Arial" w:hAnsi="Arial" w:cs="Arial"/>
          <w:sz w:val="20"/>
          <w:szCs w:val="20"/>
        </w:rPr>
        <w:t xml:space="preserve"> </w:t>
      </w:r>
      <w:r w:rsidRPr="003D4161">
        <w:rPr>
          <w:rFonts w:ascii="Arial" w:hAnsi="Arial" w:cs="Arial"/>
          <w:sz w:val="20"/>
          <w:szCs w:val="20"/>
        </w:rPr>
        <w:t>0.05) among treatments. Feed conversion ratio improved significantly (</w:t>
      </w:r>
      <w:r w:rsidR="00936C46" w:rsidRPr="003D4161">
        <w:rPr>
          <w:rFonts w:ascii="Arial" w:hAnsi="Arial" w:cs="Arial"/>
          <w:sz w:val="20"/>
          <w:szCs w:val="20"/>
        </w:rPr>
        <w:t xml:space="preserve">P </w:t>
      </w:r>
      <w:r w:rsidRPr="003D4161">
        <w:rPr>
          <w:rFonts w:ascii="Arial" w:hAnsi="Arial" w:cs="Arial"/>
          <w:sz w:val="20"/>
          <w:szCs w:val="20"/>
        </w:rPr>
        <w:t>&lt;</w:t>
      </w:r>
      <w:r w:rsidR="00936C46" w:rsidRPr="003D4161">
        <w:rPr>
          <w:rFonts w:ascii="Arial" w:hAnsi="Arial" w:cs="Arial"/>
          <w:sz w:val="20"/>
          <w:szCs w:val="20"/>
        </w:rPr>
        <w:t xml:space="preserve"> </w:t>
      </w:r>
      <w:r w:rsidRPr="003D4161">
        <w:rPr>
          <w:rFonts w:ascii="Arial" w:hAnsi="Arial" w:cs="Arial"/>
          <w:sz w:val="20"/>
          <w:szCs w:val="20"/>
        </w:rPr>
        <w:t xml:space="preserve">0.05) </w:t>
      </w:r>
      <w:commentRangeStart w:id="18"/>
      <w:r w:rsidRPr="003D4161">
        <w:rPr>
          <w:rFonts w:ascii="Arial" w:hAnsi="Arial" w:cs="Arial"/>
          <w:sz w:val="20"/>
          <w:szCs w:val="20"/>
        </w:rPr>
        <w:t>with best value in T3</w:t>
      </w:r>
      <w:commentRangeEnd w:id="18"/>
      <w:r w:rsidR="003D7174">
        <w:rPr>
          <w:rStyle w:val="CommentReference"/>
        </w:rPr>
        <w:commentReference w:id="18"/>
      </w:r>
      <w:r w:rsidRPr="003D4161">
        <w:rPr>
          <w:rFonts w:ascii="Arial" w:hAnsi="Arial" w:cs="Arial"/>
          <w:sz w:val="20"/>
          <w:szCs w:val="20"/>
        </w:rPr>
        <w:t xml:space="preserve">, indicating improved feed efficiency at 2% mushroom waste supplementation. </w:t>
      </w:r>
      <w:commentRangeStart w:id="19"/>
      <w:r w:rsidRPr="003D4161">
        <w:rPr>
          <w:rFonts w:ascii="Arial" w:hAnsi="Arial" w:cs="Arial"/>
          <w:sz w:val="20"/>
          <w:szCs w:val="20"/>
        </w:rPr>
        <w:t>These results are in agreement with earlier reports where inclusion of mushroom by-products improved growth performance and feed conversion efficiency in broiler chickens, which may be attributed to the presence of bioactive polysaccharides and antioxidant compounds that enhance intestinal health and nutrient absorption.</w:t>
      </w:r>
      <w:commentRangeEnd w:id="19"/>
      <w:r w:rsidR="003D7174">
        <w:rPr>
          <w:rStyle w:val="CommentReference"/>
        </w:rPr>
        <w:commentReference w:id="19"/>
      </w:r>
    </w:p>
    <w:p w14:paraId="11813438" w14:textId="7848D101" w:rsidR="008060F1" w:rsidRPr="003D4161" w:rsidRDefault="00B841A5" w:rsidP="00E913C4">
      <w:pPr>
        <w:spacing w:line="360" w:lineRule="auto"/>
        <w:jc w:val="both"/>
        <w:rPr>
          <w:rFonts w:ascii="Arial" w:hAnsi="Arial" w:cs="Arial"/>
          <w:sz w:val="20"/>
          <w:szCs w:val="20"/>
        </w:rPr>
      </w:pPr>
      <w:r w:rsidRPr="003D4161">
        <w:rPr>
          <w:rFonts w:ascii="Arial" w:hAnsi="Arial" w:cs="Arial"/>
          <w:sz w:val="20"/>
          <w:szCs w:val="20"/>
        </w:rPr>
        <w:t>Overall (0–42 days), final body weight and cumulative body weight gain were significantly higher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0.05) in T3 and T4 compared to</w:t>
      </w:r>
      <w:r w:rsidR="00C07322" w:rsidRPr="003D4161">
        <w:rPr>
          <w:rFonts w:ascii="Arial" w:hAnsi="Arial" w:cs="Arial"/>
          <w:sz w:val="20"/>
          <w:szCs w:val="20"/>
        </w:rPr>
        <w:t xml:space="preserve"> T1</w:t>
      </w:r>
      <w:r w:rsidRPr="003D4161">
        <w:rPr>
          <w:rFonts w:ascii="Arial" w:hAnsi="Arial" w:cs="Arial"/>
          <w:sz w:val="20"/>
          <w:szCs w:val="20"/>
        </w:rPr>
        <w:t xml:space="preserve"> </w:t>
      </w:r>
      <w:r w:rsidR="00C07322" w:rsidRPr="003D4161">
        <w:rPr>
          <w:rFonts w:ascii="Arial" w:hAnsi="Arial" w:cs="Arial"/>
          <w:sz w:val="20"/>
          <w:szCs w:val="20"/>
        </w:rPr>
        <w:t>(</w:t>
      </w:r>
      <w:r w:rsidRPr="003D4161">
        <w:rPr>
          <w:rFonts w:ascii="Arial" w:hAnsi="Arial" w:cs="Arial"/>
          <w:sz w:val="20"/>
          <w:szCs w:val="20"/>
        </w:rPr>
        <w:t>control</w:t>
      </w:r>
      <w:r w:rsidR="00C07322" w:rsidRPr="003D4161">
        <w:rPr>
          <w:rFonts w:ascii="Arial" w:hAnsi="Arial" w:cs="Arial"/>
          <w:sz w:val="20"/>
          <w:szCs w:val="20"/>
        </w:rPr>
        <w:t>)</w:t>
      </w:r>
      <w:r w:rsidR="009922D2" w:rsidRPr="003D4161">
        <w:rPr>
          <w:rFonts w:ascii="Arial" w:hAnsi="Arial" w:cs="Arial"/>
          <w:sz w:val="20"/>
          <w:szCs w:val="20"/>
        </w:rPr>
        <w:t>.</w:t>
      </w:r>
      <w:r w:rsidRPr="003D4161">
        <w:rPr>
          <w:rFonts w:ascii="Arial" w:hAnsi="Arial" w:cs="Arial"/>
          <w:sz w:val="20"/>
          <w:szCs w:val="20"/>
        </w:rPr>
        <w:t xml:space="preserve"> </w:t>
      </w:r>
      <w:commentRangeStart w:id="20"/>
      <w:r w:rsidRPr="003D4161">
        <w:rPr>
          <w:rFonts w:ascii="Arial" w:hAnsi="Arial" w:cs="Arial"/>
          <w:sz w:val="20"/>
          <w:szCs w:val="20"/>
        </w:rPr>
        <w:t>Feed intake remained similar among treatments</w:t>
      </w:r>
      <w:commentRangeEnd w:id="20"/>
      <w:r w:rsidR="003D7174">
        <w:rPr>
          <w:rStyle w:val="CommentReference"/>
        </w:rPr>
        <w:commentReference w:id="20"/>
      </w:r>
      <w:r w:rsidRPr="003D4161">
        <w:rPr>
          <w:rFonts w:ascii="Arial" w:hAnsi="Arial" w:cs="Arial"/>
          <w:sz w:val="20"/>
          <w:szCs w:val="20"/>
        </w:rPr>
        <w:t>. Feed conversion ratio improved significantly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 xml:space="preserve">0.05), </w:t>
      </w:r>
      <w:commentRangeStart w:id="21"/>
      <w:r w:rsidRPr="003D4161">
        <w:rPr>
          <w:rFonts w:ascii="Arial" w:hAnsi="Arial" w:cs="Arial"/>
          <w:sz w:val="20"/>
          <w:szCs w:val="20"/>
        </w:rPr>
        <w:t xml:space="preserve">with best value recorded in T3. </w:t>
      </w:r>
      <w:commentRangeEnd w:id="21"/>
      <w:r w:rsidR="003D7174">
        <w:rPr>
          <w:rStyle w:val="CommentReference"/>
        </w:rPr>
        <w:commentReference w:id="21"/>
      </w:r>
      <w:r w:rsidRPr="003D4161">
        <w:rPr>
          <w:rFonts w:ascii="Arial" w:hAnsi="Arial" w:cs="Arial"/>
          <w:sz w:val="20"/>
          <w:szCs w:val="20"/>
        </w:rPr>
        <w:t>Performance index differed significantly (</w:t>
      </w:r>
      <w:r w:rsidR="00FE455B" w:rsidRPr="003D4161">
        <w:rPr>
          <w:rFonts w:ascii="Arial" w:hAnsi="Arial" w:cs="Arial"/>
          <w:sz w:val="20"/>
          <w:szCs w:val="20"/>
        </w:rPr>
        <w:t xml:space="preserve">P </w:t>
      </w:r>
      <w:r w:rsidRPr="003D4161">
        <w:rPr>
          <w:rFonts w:ascii="Arial" w:hAnsi="Arial" w:cs="Arial"/>
          <w:sz w:val="20"/>
          <w:szCs w:val="20"/>
        </w:rPr>
        <w:t>&lt;</w:t>
      </w:r>
      <w:r w:rsidR="00FE455B" w:rsidRPr="003D4161">
        <w:rPr>
          <w:rFonts w:ascii="Arial" w:hAnsi="Arial" w:cs="Arial"/>
          <w:sz w:val="20"/>
          <w:szCs w:val="20"/>
        </w:rPr>
        <w:t xml:space="preserve"> </w:t>
      </w:r>
      <w:r w:rsidRPr="003D4161">
        <w:rPr>
          <w:rFonts w:ascii="Arial" w:hAnsi="Arial" w:cs="Arial"/>
          <w:sz w:val="20"/>
          <w:szCs w:val="20"/>
        </w:rPr>
        <w:t>0.001) and was highest in T3. These findings indicate that supplementation of mushroom fruiting body waste powder at moderate inclusion level (2%) improves broiler growth performance without affecting feed intake.</w:t>
      </w:r>
    </w:p>
    <w:p w14:paraId="03470E6F" w14:textId="68C951EC" w:rsidR="003B2F40" w:rsidRPr="003D4161" w:rsidRDefault="003B2F40" w:rsidP="00E913C4">
      <w:pPr>
        <w:spacing w:before="120" w:after="120" w:line="360" w:lineRule="auto"/>
        <w:jc w:val="both"/>
        <w:rPr>
          <w:rFonts w:ascii="Arial" w:hAnsi="Arial" w:cs="Arial"/>
          <w:sz w:val="20"/>
          <w:szCs w:val="20"/>
        </w:rPr>
      </w:pPr>
      <w:r w:rsidRPr="003D4161">
        <w:rPr>
          <w:rFonts w:ascii="Arial" w:hAnsi="Arial" w:cs="Arial"/>
          <w:sz w:val="20"/>
          <w:szCs w:val="20"/>
        </w:rPr>
        <w:lastRenderedPageBreak/>
        <w:t xml:space="preserve">The present findings are in agreement with the observations of </w:t>
      </w:r>
      <w:proofErr w:type="spellStart"/>
      <w:r w:rsidRPr="003D4161">
        <w:rPr>
          <w:rFonts w:ascii="Arial" w:hAnsi="Arial" w:cs="Arial"/>
          <w:bCs/>
          <w:sz w:val="20"/>
          <w:szCs w:val="20"/>
        </w:rPr>
        <w:t>Giannenas</w:t>
      </w:r>
      <w:proofErr w:type="spellEnd"/>
      <w:r w:rsidRPr="003D4161">
        <w:rPr>
          <w:rFonts w:ascii="Arial" w:hAnsi="Arial" w:cs="Arial"/>
          <w:bCs/>
          <w:i/>
          <w:sz w:val="20"/>
          <w:szCs w:val="20"/>
        </w:rPr>
        <w:t xml:space="preserve"> et al. </w:t>
      </w:r>
      <w:r w:rsidRPr="003D4161">
        <w:rPr>
          <w:rFonts w:ascii="Arial" w:hAnsi="Arial" w:cs="Arial"/>
          <w:bCs/>
          <w:sz w:val="20"/>
          <w:szCs w:val="20"/>
        </w:rPr>
        <w:t>(2011),</w:t>
      </w:r>
      <w:r w:rsidRPr="003D4161">
        <w:rPr>
          <w:rFonts w:ascii="Arial" w:hAnsi="Arial" w:cs="Arial"/>
          <w:sz w:val="20"/>
          <w:szCs w:val="20"/>
        </w:rPr>
        <w:t xml:space="preserve"> who reported that dietary inclusion of </w:t>
      </w:r>
      <w:r w:rsidRPr="003D4161">
        <w:rPr>
          <w:rFonts w:ascii="Arial" w:hAnsi="Arial" w:cs="Arial"/>
          <w:i/>
          <w:sz w:val="20"/>
          <w:szCs w:val="20"/>
        </w:rPr>
        <w:t xml:space="preserve">Agaricus bisporus </w:t>
      </w:r>
      <w:r w:rsidRPr="003D4161">
        <w:rPr>
          <w:rFonts w:ascii="Arial" w:hAnsi="Arial" w:cs="Arial"/>
          <w:sz w:val="20"/>
          <w:szCs w:val="20"/>
        </w:rPr>
        <w:t xml:space="preserve">significantly (P &lt; 0.05) enhanced body weight gain in turkey poults. Comparable results were documented by Shamsi </w:t>
      </w:r>
      <w:r w:rsidRPr="003D4161">
        <w:rPr>
          <w:rFonts w:ascii="Arial" w:hAnsi="Arial" w:cs="Arial"/>
          <w:i/>
          <w:sz w:val="20"/>
          <w:szCs w:val="20"/>
        </w:rPr>
        <w:t xml:space="preserve">et al. </w:t>
      </w:r>
      <w:r w:rsidRPr="003D4161">
        <w:rPr>
          <w:rFonts w:ascii="Arial" w:hAnsi="Arial" w:cs="Arial"/>
          <w:sz w:val="20"/>
          <w:szCs w:val="20"/>
        </w:rPr>
        <w:t xml:space="preserve">(2015), who observed improved weight gain in broiler chickens fed diets supplemented with </w:t>
      </w:r>
      <w:r w:rsidRPr="003D4161">
        <w:rPr>
          <w:rFonts w:ascii="Arial" w:hAnsi="Arial" w:cs="Arial"/>
          <w:i/>
          <w:sz w:val="20"/>
          <w:szCs w:val="20"/>
        </w:rPr>
        <w:t xml:space="preserve">Agaricus bisporus </w:t>
      </w:r>
      <w:r w:rsidRPr="003D4161">
        <w:rPr>
          <w:rFonts w:ascii="Arial" w:hAnsi="Arial" w:cs="Arial"/>
          <w:sz w:val="20"/>
          <w:szCs w:val="20"/>
        </w:rPr>
        <w:t xml:space="preserve">in combination with flavophospholipol. Similarly, </w:t>
      </w:r>
      <w:r w:rsidRPr="003D4161">
        <w:rPr>
          <w:rFonts w:ascii="Arial" w:hAnsi="Arial" w:cs="Arial"/>
          <w:bCs/>
          <w:sz w:val="20"/>
          <w:szCs w:val="20"/>
        </w:rPr>
        <w:t xml:space="preserve">Shang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demonstrated a significant increase (P &lt; 0.01) in average daily gain of broilers when Hericium caput medusae mushroom was incorporated into the diet. Similarly, </w:t>
      </w:r>
      <w:r w:rsidRPr="003D4161">
        <w:rPr>
          <w:rFonts w:ascii="Arial" w:hAnsi="Arial" w:cs="Arial"/>
          <w:bCs/>
          <w:sz w:val="20"/>
          <w:szCs w:val="20"/>
        </w:rPr>
        <w:t xml:space="preserve">Qaisrani </w:t>
      </w:r>
      <w:r w:rsidRPr="003D4161">
        <w:rPr>
          <w:rFonts w:ascii="Arial" w:hAnsi="Arial" w:cs="Arial"/>
          <w:bCs/>
          <w:i/>
          <w:sz w:val="20"/>
          <w:szCs w:val="20"/>
        </w:rPr>
        <w:t xml:space="preserve">et al. </w:t>
      </w:r>
      <w:r w:rsidRPr="003D4161">
        <w:rPr>
          <w:rFonts w:ascii="Arial" w:hAnsi="Arial" w:cs="Arial"/>
          <w:bCs/>
          <w:sz w:val="20"/>
          <w:szCs w:val="20"/>
        </w:rPr>
        <w:t>(2021)</w:t>
      </w:r>
      <w:r w:rsidRPr="003D4161">
        <w:rPr>
          <w:rFonts w:ascii="Arial" w:hAnsi="Arial" w:cs="Arial"/>
          <w:sz w:val="20"/>
          <w:szCs w:val="20"/>
        </w:rPr>
        <w:t xml:space="preserve"> investigated mushroom spent substrate supplementation in broilers chicks. As a </w:t>
      </w:r>
      <w:r w:rsidR="00652F73" w:rsidRPr="003D4161">
        <w:rPr>
          <w:rFonts w:ascii="Arial" w:hAnsi="Arial" w:cs="Arial"/>
          <w:sz w:val="20"/>
          <w:szCs w:val="20"/>
        </w:rPr>
        <w:t>result,</w:t>
      </w:r>
      <w:r w:rsidRPr="003D4161">
        <w:rPr>
          <w:rFonts w:ascii="Arial" w:hAnsi="Arial" w:cs="Arial"/>
          <w:sz w:val="20"/>
          <w:szCs w:val="20"/>
        </w:rPr>
        <w:t xml:space="preserve"> growth performance was improved, with higher body weight gain and lower feed conversion ratio recorded in birds receiving mushroom spent substrate. Comparable results were observed from the study conducted by </w:t>
      </w:r>
      <w:proofErr w:type="spellStart"/>
      <w:r w:rsidRPr="003D4161">
        <w:rPr>
          <w:rFonts w:ascii="Arial" w:hAnsi="Arial" w:cs="Arial"/>
          <w:bCs/>
          <w:sz w:val="20"/>
          <w:szCs w:val="20"/>
        </w:rPr>
        <w:t>Rebh</w:t>
      </w:r>
      <w:proofErr w:type="spellEnd"/>
      <w:r w:rsidRPr="003D4161">
        <w:rPr>
          <w:rFonts w:ascii="Arial" w:hAnsi="Arial" w:cs="Arial"/>
          <w:bCs/>
          <w:sz w:val="20"/>
          <w:szCs w:val="20"/>
        </w:rPr>
        <w:t xml:space="preserve"> </w:t>
      </w:r>
      <w:r w:rsidRPr="003D4161">
        <w:rPr>
          <w:rFonts w:ascii="Arial" w:hAnsi="Arial" w:cs="Arial"/>
          <w:bCs/>
          <w:i/>
          <w:sz w:val="20"/>
          <w:szCs w:val="20"/>
        </w:rPr>
        <w:t xml:space="preserve">et al. </w:t>
      </w:r>
      <w:r w:rsidRPr="003D4161">
        <w:rPr>
          <w:rFonts w:ascii="Arial" w:hAnsi="Arial" w:cs="Arial"/>
          <w:bCs/>
          <w:sz w:val="20"/>
          <w:szCs w:val="20"/>
        </w:rPr>
        <w:t>(2023),</w:t>
      </w:r>
      <w:r w:rsidRPr="003D4161">
        <w:rPr>
          <w:rFonts w:ascii="Arial" w:hAnsi="Arial" w:cs="Arial"/>
          <w:b/>
          <w:sz w:val="20"/>
          <w:szCs w:val="20"/>
        </w:rPr>
        <w:t xml:space="preserve"> </w:t>
      </w:r>
      <w:r w:rsidRPr="003D4161">
        <w:rPr>
          <w:rFonts w:ascii="Arial" w:hAnsi="Arial" w:cs="Arial"/>
          <w:sz w:val="20"/>
          <w:szCs w:val="20"/>
        </w:rPr>
        <w:t xml:space="preserve">who evaluated a combination of oyster mushroom </w:t>
      </w:r>
      <w:r w:rsidRPr="003D4161">
        <w:rPr>
          <w:rFonts w:ascii="Arial" w:hAnsi="Arial" w:cs="Arial"/>
          <w:i/>
          <w:sz w:val="20"/>
          <w:szCs w:val="20"/>
        </w:rPr>
        <w:t>(</w:t>
      </w:r>
      <w:proofErr w:type="spellStart"/>
      <w:r w:rsidRPr="003D4161">
        <w:rPr>
          <w:rFonts w:ascii="Arial" w:hAnsi="Arial" w:cs="Arial"/>
          <w:i/>
          <w:sz w:val="20"/>
          <w:szCs w:val="20"/>
        </w:rPr>
        <w:t>Pleurotus</w:t>
      </w:r>
      <w:proofErr w:type="spellEnd"/>
      <w:r w:rsidRPr="003D4161">
        <w:rPr>
          <w:rFonts w:ascii="Arial" w:hAnsi="Arial" w:cs="Arial"/>
          <w:i/>
          <w:sz w:val="20"/>
          <w:szCs w:val="20"/>
        </w:rPr>
        <w:t xml:space="preserve"> </w:t>
      </w:r>
      <w:proofErr w:type="spellStart"/>
      <w:r w:rsidRPr="003D4161">
        <w:rPr>
          <w:rFonts w:ascii="Arial" w:hAnsi="Arial" w:cs="Arial"/>
          <w:i/>
          <w:sz w:val="20"/>
          <w:szCs w:val="20"/>
        </w:rPr>
        <w:t>ostreatus</w:t>
      </w:r>
      <w:proofErr w:type="spellEnd"/>
      <w:r w:rsidRPr="003D4161">
        <w:rPr>
          <w:rFonts w:ascii="Arial" w:hAnsi="Arial" w:cs="Arial"/>
          <w:i/>
          <w:sz w:val="20"/>
          <w:szCs w:val="20"/>
        </w:rPr>
        <w:t>)</w:t>
      </w:r>
      <w:r w:rsidRPr="003D4161">
        <w:rPr>
          <w:rFonts w:ascii="Arial" w:hAnsi="Arial" w:cs="Arial"/>
          <w:sz w:val="20"/>
          <w:szCs w:val="20"/>
        </w:rPr>
        <w:t xml:space="preserve"> and beta-glucan as a </w:t>
      </w:r>
      <w:proofErr w:type="spellStart"/>
      <w:r w:rsidRPr="003D4161">
        <w:rPr>
          <w:rFonts w:ascii="Arial" w:hAnsi="Arial" w:cs="Arial"/>
          <w:sz w:val="20"/>
          <w:szCs w:val="20"/>
        </w:rPr>
        <w:t>synbiotic</w:t>
      </w:r>
      <w:proofErr w:type="spellEnd"/>
      <w:r w:rsidRPr="003D4161">
        <w:rPr>
          <w:rFonts w:ascii="Arial" w:hAnsi="Arial" w:cs="Arial"/>
          <w:sz w:val="20"/>
          <w:szCs w:val="20"/>
        </w:rPr>
        <w:t xml:space="preserve"> supplement for broilers under heat stress. The supplemented groups showed significant (P &lt; 0.05) improvements in body weight, weight gain, feed conversion efficiency, and survivability.</w:t>
      </w:r>
      <w:r w:rsidR="00A94483">
        <w:rPr>
          <w:rStyle w:val="CommentReference"/>
        </w:rPr>
        <w:commentReference w:id="22"/>
      </w:r>
    </w:p>
    <w:p w14:paraId="38135258" w14:textId="435F2876" w:rsidR="008060F1" w:rsidRPr="003D4161" w:rsidRDefault="003B2F40" w:rsidP="00E913C4">
      <w:pPr>
        <w:spacing w:before="120" w:after="120" w:line="360" w:lineRule="auto"/>
        <w:jc w:val="both"/>
        <w:rPr>
          <w:rFonts w:ascii="Arial" w:hAnsi="Arial" w:cs="Arial"/>
          <w:sz w:val="20"/>
          <w:szCs w:val="20"/>
        </w:rPr>
      </w:pPr>
      <w:commentRangeStart w:id="23"/>
      <w:r w:rsidRPr="003D4161">
        <w:rPr>
          <w:rFonts w:ascii="Arial" w:hAnsi="Arial" w:cs="Arial"/>
          <w:sz w:val="20"/>
          <w:szCs w:val="20"/>
        </w:rPr>
        <w:t xml:space="preserve">In contrast, </w:t>
      </w:r>
      <w:proofErr w:type="spellStart"/>
      <w:r w:rsidRPr="003D4161">
        <w:rPr>
          <w:rFonts w:ascii="Arial" w:hAnsi="Arial" w:cs="Arial"/>
          <w:bCs/>
          <w:sz w:val="20"/>
          <w:szCs w:val="20"/>
        </w:rPr>
        <w:t>Giannenas</w:t>
      </w:r>
      <w:proofErr w:type="spellEnd"/>
      <w:r w:rsidRPr="003D4161">
        <w:rPr>
          <w:rFonts w:ascii="Arial" w:hAnsi="Arial" w:cs="Arial"/>
          <w:bCs/>
          <w:sz w:val="20"/>
          <w:szCs w:val="20"/>
        </w:rPr>
        <w:t xml:space="preserve"> </w:t>
      </w:r>
      <w:r w:rsidRPr="003D4161">
        <w:rPr>
          <w:rFonts w:ascii="Arial" w:hAnsi="Arial" w:cs="Arial"/>
          <w:bCs/>
          <w:i/>
          <w:sz w:val="20"/>
          <w:szCs w:val="20"/>
        </w:rPr>
        <w:t xml:space="preserve">et al. </w:t>
      </w:r>
      <w:r w:rsidRPr="003D4161">
        <w:rPr>
          <w:rFonts w:ascii="Arial" w:hAnsi="Arial" w:cs="Arial"/>
          <w:bCs/>
          <w:sz w:val="20"/>
          <w:szCs w:val="20"/>
        </w:rPr>
        <w:t xml:space="preserve">(2010) and Natsir </w:t>
      </w:r>
      <w:r w:rsidRPr="003D4161">
        <w:rPr>
          <w:rFonts w:ascii="Arial" w:hAnsi="Arial" w:cs="Arial"/>
          <w:bCs/>
          <w:i/>
          <w:sz w:val="20"/>
          <w:szCs w:val="20"/>
        </w:rPr>
        <w:t xml:space="preserve">et al. </w:t>
      </w:r>
      <w:r w:rsidRPr="003D4161">
        <w:rPr>
          <w:rFonts w:ascii="Arial" w:hAnsi="Arial" w:cs="Arial"/>
          <w:bCs/>
          <w:sz w:val="20"/>
          <w:szCs w:val="20"/>
        </w:rPr>
        <w:t>(2020)</w:t>
      </w:r>
      <w:r w:rsidRPr="003D4161">
        <w:rPr>
          <w:rFonts w:ascii="Arial" w:hAnsi="Arial" w:cs="Arial"/>
          <w:sz w:val="20"/>
          <w:szCs w:val="20"/>
        </w:rPr>
        <w:t xml:space="preserve"> reported that supplementation of </w:t>
      </w:r>
      <w:r w:rsidRPr="003D4161">
        <w:rPr>
          <w:rFonts w:ascii="Arial" w:hAnsi="Arial" w:cs="Arial"/>
          <w:i/>
          <w:sz w:val="20"/>
          <w:szCs w:val="20"/>
        </w:rPr>
        <w:t xml:space="preserve">Agaricus bisporus </w:t>
      </w:r>
      <w:r w:rsidRPr="003D4161">
        <w:rPr>
          <w:rFonts w:ascii="Arial" w:hAnsi="Arial" w:cs="Arial"/>
          <w:sz w:val="20"/>
          <w:szCs w:val="20"/>
        </w:rPr>
        <w:t xml:space="preserve">in broiler diets did not influence body weight, with birds maintaining comparable weights throughout the experimental period. Supporting these findings, </w:t>
      </w:r>
      <w:proofErr w:type="spellStart"/>
      <w:r w:rsidRPr="003D4161">
        <w:rPr>
          <w:rFonts w:ascii="Arial" w:hAnsi="Arial" w:cs="Arial"/>
          <w:sz w:val="20"/>
          <w:szCs w:val="20"/>
        </w:rPr>
        <w:t>Maheri</w:t>
      </w:r>
      <w:proofErr w:type="spellEnd"/>
      <w:r w:rsidRPr="003D4161">
        <w:rPr>
          <w:rFonts w:ascii="Arial" w:hAnsi="Arial" w:cs="Arial"/>
          <w:sz w:val="20"/>
          <w:szCs w:val="20"/>
        </w:rPr>
        <w:t xml:space="preserve"> </w:t>
      </w:r>
      <w:r w:rsidRPr="003D4161">
        <w:rPr>
          <w:rFonts w:ascii="Arial" w:hAnsi="Arial" w:cs="Arial"/>
          <w:i/>
          <w:sz w:val="20"/>
          <w:szCs w:val="20"/>
        </w:rPr>
        <w:t xml:space="preserve">et al. </w:t>
      </w:r>
      <w:r w:rsidRPr="003D4161">
        <w:rPr>
          <w:rFonts w:ascii="Arial" w:hAnsi="Arial" w:cs="Arial"/>
          <w:sz w:val="20"/>
          <w:szCs w:val="20"/>
        </w:rPr>
        <w:t xml:space="preserve">(2017) observed no significant effect on weight gain in Japanese quail fed mushroom-based dietary treatments. Likewise, </w:t>
      </w:r>
      <w:r w:rsidRPr="003D4161">
        <w:rPr>
          <w:rFonts w:ascii="Arial" w:hAnsi="Arial" w:cs="Arial"/>
          <w:bCs/>
          <w:sz w:val="20"/>
          <w:szCs w:val="20"/>
        </w:rPr>
        <w:t xml:space="preserve">Mahfuz </w:t>
      </w:r>
      <w:r w:rsidRPr="003D4161">
        <w:rPr>
          <w:rFonts w:ascii="Arial" w:hAnsi="Arial" w:cs="Arial"/>
          <w:bCs/>
          <w:i/>
          <w:sz w:val="20"/>
          <w:szCs w:val="20"/>
        </w:rPr>
        <w:t xml:space="preserve">et al. </w:t>
      </w:r>
      <w:r w:rsidRPr="003D4161">
        <w:rPr>
          <w:rFonts w:ascii="Arial" w:hAnsi="Arial" w:cs="Arial"/>
          <w:bCs/>
          <w:sz w:val="20"/>
          <w:szCs w:val="20"/>
        </w:rPr>
        <w:t>(2019)</w:t>
      </w:r>
      <w:r w:rsidRPr="003D4161">
        <w:rPr>
          <w:rFonts w:ascii="Arial" w:hAnsi="Arial" w:cs="Arial"/>
          <w:sz w:val="20"/>
          <w:szCs w:val="20"/>
        </w:rPr>
        <w:t xml:space="preserve"> found no significant variation in live body weight during the experimental period in laying hens receiving diets containing </w:t>
      </w:r>
      <w:proofErr w:type="spellStart"/>
      <w:r w:rsidRPr="003D4161">
        <w:rPr>
          <w:rFonts w:ascii="Arial" w:hAnsi="Arial" w:cs="Arial"/>
          <w:i/>
          <w:sz w:val="20"/>
          <w:szCs w:val="20"/>
        </w:rPr>
        <w:t>Flammulina</w:t>
      </w:r>
      <w:proofErr w:type="spellEnd"/>
      <w:r w:rsidRPr="003D4161">
        <w:rPr>
          <w:rFonts w:ascii="Arial" w:hAnsi="Arial" w:cs="Arial"/>
          <w:i/>
          <w:sz w:val="20"/>
          <w:szCs w:val="20"/>
        </w:rPr>
        <w:t xml:space="preserve"> </w:t>
      </w:r>
      <w:proofErr w:type="spellStart"/>
      <w:r w:rsidRPr="003D4161">
        <w:rPr>
          <w:rFonts w:ascii="Arial" w:hAnsi="Arial" w:cs="Arial"/>
          <w:i/>
          <w:sz w:val="20"/>
          <w:szCs w:val="20"/>
        </w:rPr>
        <w:t>velutipes</w:t>
      </w:r>
      <w:proofErr w:type="spellEnd"/>
      <w:r w:rsidRPr="003D4161">
        <w:rPr>
          <w:rFonts w:ascii="Arial" w:hAnsi="Arial" w:cs="Arial"/>
          <w:sz w:val="20"/>
          <w:szCs w:val="20"/>
        </w:rPr>
        <w:t xml:space="preserve"> stem waste. </w:t>
      </w:r>
      <w:r w:rsidRPr="003D4161">
        <w:rPr>
          <w:rFonts w:ascii="Arial" w:hAnsi="Arial" w:cs="Arial"/>
          <w:bCs/>
          <w:sz w:val="20"/>
          <w:szCs w:val="20"/>
        </w:rPr>
        <w:t>Prasad (2022)</w:t>
      </w:r>
      <w:r w:rsidRPr="003D4161">
        <w:rPr>
          <w:rFonts w:ascii="Arial" w:hAnsi="Arial" w:cs="Arial"/>
          <w:b/>
          <w:sz w:val="20"/>
          <w:szCs w:val="20"/>
        </w:rPr>
        <w:t xml:space="preserve"> </w:t>
      </w:r>
      <w:r w:rsidRPr="003D4161">
        <w:rPr>
          <w:rFonts w:ascii="Arial" w:hAnsi="Arial" w:cs="Arial"/>
          <w:sz w:val="20"/>
          <w:szCs w:val="20"/>
        </w:rPr>
        <w:t xml:space="preserve">also reported non-significant (P &gt; 0.05) differences in body weight gain of Rhode Island Red laying hens when mushroom waste was used to partially replace </w:t>
      </w:r>
      <w:proofErr w:type="spellStart"/>
      <w:r w:rsidRPr="003D4161">
        <w:rPr>
          <w:rFonts w:ascii="Arial" w:hAnsi="Arial" w:cs="Arial"/>
          <w:sz w:val="20"/>
          <w:szCs w:val="20"/>
        </w:rPr>
        <w:t>deoiled</w:t>
      </w:r>
      <w:proofErr w:type="spellEnd"/>
      <w:r w:rsidRPr="003D4161">
        <w:rPr>
          <w:rFonts w:ascii="Arial" w:hAnsi="Arial" w:cs="Arial"/>
          <w:sz w:val="20"/>
          <w:szCs w:val="20"/>
        </w:rPr>
        <w:t xml:space="preserve"> rice bran. Furthermore, </w:t>
      </w:r>
      <w:r w:rsidRPr="003D4161">
        <w:rPr>
          <w:rFonts w:ascii="Arial" w:hAnsi="Arial" w:cs="Arial"/>
          <w:bCs/>
          <w:sz w:val="20"/>
          <w:szCs w:val="20"/>
        </w:rPr>
        <w:t xml:space="preserve">Yousefi </w:t>
      </w:r>
      <w:r w:rsidRPr="003D4161">
        <w:rPr>
          <w:rFonts w:ascii="Arial" w:hAnsi="Arial" w:cs="Arial"/>
          <w:bCs/>
          <w:i/>
          <w:sz w:val="20"/>
          <w:szCs w:val="20"/>
        </w:rPr>
        <w:t xml:space="preserve">et al. </w:t>
      </w:r>
      <w:r w:rsidRPr="003D4161">
        <w:rPr>
          <w:rFonts w:ascii="Arial" w:hAnsi="Arial" w:cs="Arial"/>
          <w:bCs/>
          <w:sz w:val="20"/>
          <w:szCs w:val="20"/>
        </w:rPr>
        <w:t xml:space="preserve">(2022) </w:t>
      </w:r>
      <w:r w:rsidRPr="003D4161">
        <w:rPr>
          <w:rFonts w:ascii="Arial" w:hAnsi="Arial" w:cs="Arial"/>
          <w:sz w:val="20"/>
          <w:szCs w:val="20"/>
        </w:rPr>
        <w:t xml:space="preserve">noted that incorporation of </w:t>
      </w:r>
      <w:r w:rsidRPr="003D4161">
        <w:rPr>
          <w:rFonts w:ascii="Arial" w:hAnsi="Arial" w:cs="Arial"/>
          <w:i/>
          <w:sz w:val="20"/>
          <w:szCs w:val="20"/>
        </w:rPr>
        <w:t xml:space="preserve">Agaricus bisporus </w:t>
      </w:r>
      <w:r w:rsidRPr="003D4161">
        <w:rPr>
          <w:rFonts w:ascii="Arial" w:hAnsi="Arial" w:cs="Arial"/>
          <w:sz w:val="20"/>
          <w:szCs w:val="20"/>
        </w:rPr>
        <w:t>substrate in the diets of growing lambs did not alter average daily gain or body weight across treatment groups.</w:t>
      </w:r>
      <w:commentRangeEnd w:id="23"/>
      <w:r w:rsidR="003D7174">
        <w:rPr>
          <w:rStyle w:val="CommentReference"/>
        </w:rPr>
        <w:commentReference w:id="23"/>
      </w:r>
      <w:r w:rsidR="00A94483">
        <w:rPr>
          <w:rFonts w:ascii="Arial" w:hAnsi="Arial" w:cs="Arial"/>
          <w:sz w:val="20"/>
          <w:szCs w:val="20"/>
        </w:rPr>
        <w:t xml:space="preserve"> </w:t>
      </w:r>
    </w:p>
    <w:p w14:paraId="07B61148"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4.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0 to 21 days</w:t>
      </w:r>
    </w:p>
    <w:tbl>
      <w:tblPr>
        <w:tblW w:w="5890" w:type="pct"/>
        <w:jc w:val="center"/>
        <w:tblLayout w:type="fixed"/>
        <w:tblLook w:val="04A0" w:firstRow="1" w:lastRow="0" w:firstColumn="1" w:lastColumn="0" w:noHBand="0" w:noVBand="1"/>
      </w:tblPr>
      <w:tblGrid>
        <w:gridCol w:w="2435"/>
        <w:gridCol w:w="1703"/>
        <w:gridCol w:w="1893"/>
        <w:gridCol w:w="1712"/>
        <w:gridCol w:w="1803"/>
        <w:gridCol w:w="1087"/>
      </w:tblGrid>
      <w:tr w:rsidR="00E35CE1" w:rsidRPr="003D4161" w14:paraId="68E435E3" w14:textId="77777777" w:rsidTr="00E87D35">
        <w:trPr>
          <w:trHeight w:val="269"/>
          <w:jc w:val="center"/>
        </w:trPr>
        <w:tc>
          <w:tcPr>
            <w:tcW w:w="1145" w:type="pct"/>
            <w:vMerge w:val="restart"/>
            <w:tcBorders>
              <w:top w:val="single" w:sz="4" w:space="0" w:color="auto"/>
              <w:bottom w:val="single" w:sz="4" w:space="0" w:color="auto"/>
            </w:tcBorders>
            <w:noWrap/>
            <w:vAlign w:val="center"/>
            <w:hideMark/>
          </w:tcPr>
          <w:p w14:paraId="6EC1BE4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344" w:type="pct"/>
            <w:gridSpan w:val="4"/>
            <w:tcBorders>
              <w:top w:val="single" w:sz="4" w:space="0" w:color="auto"/>
              <w:bottom w:val="single" w:sz="4" w:space="0" w:color="auto"/>
            </w:tcBorders>
            <w:noWrap/>
            <w:vAlign w:val="center"/>
            <w:hideMark/>
          </w:tcPr>
          <w:p w14:paraId="19ACF8A5"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511" w:type="pct"/>
            <w:vMerge w:val="restart"/>
            <w:tcBorders>
              <w:top w:val="single" w:sz="4" w:space="0" w:color="auto"/>
              <w:bottom w:val="single" w:sz="4" w:space="0" w:color="auto"/>
            </w:tcBorders>
            <w:noWrap/>
            <w:vAlign w:val="center"/>
            <w:hideMark/>
          </w:tcPr>
          <w:p w14:paraId="1BCB7F6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BC724E4" w14:textId="77777777" w:rsidTr="00E87D35">
        <w:trPr>
          <w:trHeight w:val="80"/>
          <w:jc w:val="center"/>
        </w:trPr>
        <w:tc>
          <w:tcPr>
            <w:tcW w:w="1145" w:type="pct"/>
            <w:vMerge/>
            <w:tcBorders>
              <w:top w:val="single" w:sz="4" w:space="0" w:color="auto"/>
              <w:bottom w:val="single" w:sz="4" w:space="0" w:color="auto"/>
            </w:tcBorders>
            <w:noWrap/>
            <w:vAlign w:val="center"/>
            <w:hideMark/>
          </w:tcPr>
          <w:p w14:paraId="15F435A3"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01" w:type="pct"/>
            <w:tcBorders>
              <w:top w:val="single" w:sz="4" w:space="0" w:color="auto"/>
              <w:bottom w:val="single" w:sz="4" w:space="0" w:color="auto"/>
            </w:tcBorders>
            <w:noWrap/>
            <w:vAlign w:val="center"/>
            <w:hideMark/>
          </w:tcPr>
          <w:p w14:paraId="54BA5E7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90" w:type="pct"/>
            <w:tcBorders>
              <w:top w:val="single" w:sz="4" w:space="0" w:color="auto"/>
              <w:bottom w:val="single" w:sz="4" w:space="0" w:color="auto"/>
            </w:tcBorders>
            <w:noWrap/>
            <w:vAlign w:val="center"/>
            <w:hideMark/>
          </w:tcPr>
          <w:p w14:paraId="0CC6FA89"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05" w:type="pct"/>
            <w:tcBorders>
              <w:top w:val="single" w:sz="4" w:space="0" w:color="auto"/>
              <w:bottom w:val="single" w:sz="4" w:space="0" w:color="auto"/>
            </w:tcBorders>
            <w:noWrap/>
            <w:vAlign w:val="center"/>
            <w:hideMark/>
          </w:tcPr>
          <w:p w14:paraId="4886248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48" w:type="pct"/>
            <w:tcBorders>
              <w:top w:val="single" w:sz="4" w:space="0" w:color="auto"/>
              <w:bottom w:val="single" w:sz="4" w:space="0" w:color="auto"/>
            </w:tcBorders>
            <w:noWrap/>
            <w:vAlign w:val="center"/>
            <w:hideMark/>
          </w:tcPr>
          <w:p w14:paraId="5D34F35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511" w:type="pct"/>
            <w:vMerge/>
            <w:tcBorders>
              <w:top w:val="single" w:sz="4" w:space="0" w:color="auto"/>
              <w:bottom w:val="single" w:sz="4" w:space="0" w:color="auto"/>
            </w:tcBorders>
            <w:noWrap/>
            <w:vAlign w:val="center"/>
            <w:hideMark/>
          </w:tcPr>
          <w:p w14:paraId="53681A56"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547ED5D6" w14:textId="77777777" w:rsidTr="00E87D35">
        <w:trPr>
          <w:trHeight w:val="312"/>
          <w:jc w:val="center"/>
        </w:trPr>
        <w:tc>
          <w:tcPr>
            <w:tcW w:w="1145" w:type="pct"/>
            <w:tcBorders>
              <w:top w:val="single" w:sz="4" w:space="0" w:color="auto"/>
              <w:bottom w:val="single" w:sz="4" w:space="0" w:color="auto"/>
            </w:tcBorders>
            <w:noWrap/>
            <w:hideMark/>
          </w:tcPr>
          <w:p w14:paraId="01DF1BE5"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01" w:type="pct"/>
            <w:tcBorders>
              <w:top w:val="single" w:sz="4" w:space="0" w:color="auto"/>
              <w:bottom w:val="single" w:sz="4" w:space="0" w:color="auto"/>
            </w:tcBorders>
            <w:noWrap/>
            <w:hideMark/>
          </w:tcPr>
          <w:p w14:paraId="673DC43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890" w:type="pct"/>
            <w:tcBorders>
              <w:top w:val="single" w:sz="4" w:space="0" w:color="auto"/>
              <w:bottom w:val="single" w:sz="4" w:space="0" w:color="auto"/>
            </w:tcBorders>
            <w:noWrap/>
            <w:hideMark/>
          </w:tcPr>
          <w:p w14:paraId="479DF37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805" w:type="pct"/>
            <w:tcBorders>
              <w:top w:val="single" w:sz="4" w:space="0" w:color="auto"/>
              <w:bottom w:val="single" w:sz="4" w:space="0" w:color="auto"/>
            </w:tcBorders>
            <w:noWrap/>
            <w:hideMark/>
          </w:tcPr>
          <w:p w14:paraId="1190DEA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848" w:type="pct"/>
            <w:tcBorders>
              <w:top w:val="single" w:sz="4" w:space="0" w:color="auto"/>
              <w:bottom w:val="single" w:sz="4" w:space="0" w:color="auto"/>
            </w:tcBorders>
            <w:noWrap/>
            <w:hideMark/>
          </w:tcPr>
          <w:p w14:paraId="7DBAE477"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±0.74</w:t>
            </w:r>
          </w:p>
        </w:tc>
        <w:tc>
          <w:tcPr>
            <w:tcW w:w="511" w:type="pct"/>
            <w:tcBorders>
              <w:top w:val="single" w:sz="4" w:space="0" w:color="auto"/>
              <w:bottom w:val="single" w:sz="4" w:space="0" w:color="auto"/>
            </w:tcBorders>
            <w:noWrap/>
            <w:hideMark/>
          </w:tcPr>
          <w:p w14:paraId="05DB98B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13D0CE65" w14:textId="77777777" w:rsidTr="00E87D35">
        <w:trPr>
          <w:trHeight w:val="312"/>
          <w:jc w:val="center"/>
        </w:trPr>
        <w:tc>
          <w:tcPr>
            <w:tcW w:w="1145" w:type="pct"/>
            <w:tcBorders>
              <w:top w:val="single" w:sz="4" w:space="0" w:color="auto"/>
              <w:bottom w:val="single" w:sz="4" w:space="0" w:color="auto"/>
            </w:tcBorders>
            <w:noWrap/>
            <w:hideMark/>
          </w:tcPr>
          <w:p w14:paraId="20DE4A69"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01" w:type="pct"/>
            <w:tcBorders>
              <w:top w:val="single" w:sz="4" w:space="0" w:color="auto"/>
              <w:bottom w:val="single" w:sz="4" w:space="0" w:color="auto"/>
            </w:tcBorders>
            <w:noWrap/>
            <w:hideMark/>
          </w:tcPr>
          <w:p w14:paraId="0AD965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643.82 ± 5.92</w:t>
            </w:r>
          </w:p>
        </w:tc>
        <w:tc>
          <w:tcPr>
            <w:tcW w:w="890" w:type="pct"/>
            <w:tcBorders>
              <w:top w:val="single" w:sz="4" w:space="0" w:color="auto"/>
              <w:bottom w:val="single" w:sz="4" w:space="0" w:color="auto"/>
            </w:tcBorders>
            <w:noWrap/>
            <w:hideMark/>
          </w:tcPr>
          <w:p w14:paraId="5119B00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653.05 ± 6.31</w:t>
            </w:r>
          </w:p>
        </w:tc>
        <w:tc>
          <w:tcPr>
            <w:tcW w:w="805" w:type="pct"/>
            <w:tcBorders>
              <w:top w:val="single" w:sz="4" w:space="0" w:color="auto"/>
              <w:bottom w:val="single" w:sz="4" w:space="0" w:color="auto"/>
            </w:tcBorders>
            <w:noWrap/>
            <w:hideMark/>
          </w:tcPr>
          <w:p w14:paraId="61830CA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665.32 ± 6.06</w:t>
            </w:r>
          </w:p>
        </w:tc>
        <w:tc>
          <w:tcPr>
            <w:tcW w:w="848" w:type="pct"/>
            <w:tcBorders>
              <w:top w:val="single" w:sz="4" w:space="0" w:color="auto"/>
              <w:bottom w:val="single" w:sz="4" w:space="0" w:color="auto"/>
            </w:tcBorders>
            <w:noWrap/>
            <w:hideMark/>
          </w:tcPr>
          <w:p w14:paraId="7B8861A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660.27 ± 6.75</w:t>
            </w:r>
          </w:p>
        </w:tc>
        <w:tc>
          <w:tcPr>
            <w:tcW w:w="511" w:type="pct"/>
            <w:tcBorders>
              <w:top w:val="single" w:sz="4" w:space="0" w:color="auto"/>
              <w:bottom w:val="single" w:sz="4" w:space="0" w:color="auto"/>
            </w:tcBorders>
            <w:noWrap/>
            <w:hideMark/>
          </w:tcPr>
          <w:p w14:paraId="3A16B2A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0.163</w:t>
            </w:r>
          </w:p>
        </w:tc>
      </w:tr>
      <w:tr w:rsidR="00E35CE1" w:rsidRPr="003D4161" w14:paraId="2C7D928E" w14:textId="77777777" w:rsidTr="00E87D35">
        <w:trPr>
          <w:trHeight w:val="312"/>
          <w:jc w:val="center"/>
        </w:trPr>
        <w:tc>
          <w:tcPr>
            <w:tcW w:w="1145" w:type="pct"/>
            <w:tcBorders>
              <w:top w:val="single" w:sz="4" w:space="0" w:color="auto"/>
              <w:bottom w:val="single" w:sz="4" w:space="0" w:color="auto"/>
            </w:tcBorders>
            <w:noWrap/>
            <w:hideMark/>
          </w:tcPr>
          <w:p w14:paraId="4C8AB9BB"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Weight gain (g)</w:t>
            </w:r>
          </w:p>
        </w:tc>
        <w:tc>
          <w:tcPr>
            <w:tcW w:w="801" w:type="pct"/>
            <w:tcBorders>
              <w:top w:val="single" w:sz="4" w:space="0" w:color="auto"/>
              <w:bottom w:val="single" w:sz="4" w:space="0" w:color="auto"/>
            </w:tcBorders>
            <w:noWrap/>
            <w:hideMark/>
          </w:tcPr>
          <w:p w14:paraId="010407E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593.73 ± 5.95</w:t>
            </w:r>
          </w:p>
        </w:tc>
        <w:tc>
          <w:tcPr>
            <w:tcW w:w="890" w:type="pct"/>
            <w:tcBorders>
              <w:top w:val="single" w:sz="4" w:space="0" w:color="auto"/>
              <w:bottom w:val="single" w:sz="4" w:space="0" w:color="auto"/>
            </w:tcBorders>
            <w:noWrap/>
            <w:hideMark/>
          </w:tcPr>
          <w:p w14:paraId="12AF57D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602.63 ± 5.55</w:t>
            </w:r>
          </w:p>
        </w:tc>
        <w:tc>
          <w:tcPr>
            <w:tcW w:w="805" w:type="pct"/>
            <w:tcBorders>
              <w:top w:val="single" w:sz="4" w:space="0" w:color="auto"/>
              <w:bottom w:val="single" w:sz="4" w:space="0" w:color="auto"/>
            </w:tcBorders>
            <w:noWrap/>
            <w:hideMark/>
          </w:tcPr>
          <w:p w14:paraId="6BC9E52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614.72 ± 5.63</w:t>
            </w:r>
          </w:p>
        </w:tc>
        <w:tc>
          <w:tcPr>
            <w:tcW w:w="848" w:type="pct"/>
            <w:tcBorders>
              <w:top w:val="single" w:sz="4" w:space="0" w:color="auto"/>
              <w:bottom w:val="single" w:sz="4" w:space="0" w:color="auto"/>
            </w:tcBorders>
            <w:noWrap/>
            <w:hideMark/>
          </w:tcPr>
          <w:p w14:paraId="3B687C1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609.84 ± 6.02</w:t>
            </w:r>
          </w:p>
        </w:tc>
        <w:tc>
          <w:tcPr>
            <w:tcW w:w="511" w:type="pct"/>
            <w:tcBorders>
              <w:top w:val="single" w:sz="4" w:space="0" w:color="auto"/>
              <w:bottom w:val="single" w:sz="4" w:space="0" w:color="auto"/>
            </w:tcBorders>
            <w:noWrap/>
            <w:hideMark/>
          </w:tcPr>
          <w:p w14:paraId="326D771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0.135</w:t>
            </w:r>
          </w:p>
        </w:tc>
      </w:tr>
      <w:tr w:rsidR="00E35CE1" w:rsidRPr="003D4161" w14:paraId="541D5794" w14:textId="77777777" w:rsidTr="00E87D35">
        <w:trPr>
          <w:trHeight w:val="312"/>
          <w:jc w:val="center"/>
        </w:trPr>
        <w:tc>
          <w:tcPr>
            <w:tcW w:w="1145" w:type="pct"/>
            <w:tcBorders>
              <w:top w:val="single" w:sz="4" w:space="0" w:color="auto"/>
              <w:bottom w:val="single" w:sz="4" w:space="0" w:color="auto"/>
            </w:tcBorders>
            <w:noWrap/>
            <w:hideMark/>
          </w:tcPr>
          <w:p w14:paraId="686C2115"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intake (g)</w:t>
            </w:r>
          </w:p>
        </w:tc>
        <w:tc>
          <w:tcPr>
            <w:tcW w:w="801" w:type="pct"/>
            <w:tcBorders>
              <w:top w:val="single" w:sz="4" w:space="0" w:color="auto"/>
              <w:bottom w:val="single" w:sz="4" w:space="0" w:color="auto"/>
            </w:tcBorders>
            <w:noWrap/>
            <w:hideMark/>
          </w:tcPr>
          <w:p w14:paraId="173E181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900.29 ± 15.46</w:t>
            </w:r>
          </w:p>
        </w:tc>
        <w:tc>
          <w:tcPr>
            <w:tcW w:w="890" w:type="pct"/>
            <w:tcBorders>
              <w:top w:val="single" w:sz="4" w:space="0" w:color="auto"/>
              <w:bottom w:val="single" w:sz="4" w:space="0" w:color="auto"/>
            </w:tcBorders>
            <w:noWrap/>
            <w:hideMark/>
          </w:tcPr>
          <w:p w14:paraId="4430098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902.86 ± 13.02</w:t>
            </w:r>
          </w:p>
        </w:tc>
        <w:tc>
          <w:tcPr>
            <w:tcW w:w="805" w:type="pct"/>
            <w:tcBorders>
              <w:top w:val="single" w:sz="4" w:space="0" w:color="auto"/>
              <w:bottom w:val="single" w:sz="4" w:space="0" w:color="auto"/>
            </w:tcBorders>
            <w:noWrap/>
            <w:hideMark/>
          </w:tcPr>
          <w:p w14:paraId="01EB00C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905.08 ± 12.72</w:t>
            </w:r>
          </w:p>
        </w:tc>
        <w:tc>
          <w:tcPr>
            <w:tcW w:w="848" w:type="pct"/>
            <w:tcBorders>
              <w:top w:val="single" w:sz="4" w:space="0" w:color="auto"/>
              <w:bottom w:val="single" w:sz="4" w:space="0" w:color="auto"/>
            </w:tcBorders>
            <w:noWrap/>
            <w:hideMark/>
          </w:tcPr>
          <w:p w14:paraId="2F8884C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907.78 ± 16.30</w:t>
            </w:r>
          </w:p>
        </w:tc>
        <w:tc>
          <w:tcPr>
            <w:tcW w:w="511" w:type="pct"/>
            <w:tcBorders>
              <w:top w:val="single" w:sz="4" w:space="0" w:color="auto"/>
              <w:bottom w:val="single" w:sz="4" w:space="0" w:color="auto"/>
            </w:tcBorders>
            <w:noWrap/>
            <w:hideMark/>
          </w:tcPr>
          <w:p w14:paraId="235A23D5"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0.985</w:t>
            </w:r>
          </w:p>
        </w:tc>
      </w:tr>
      <w:tr w:rsidR="00E35CE1" w:rsidRPr="003D4161" w14:paraId="0CBF569B" w14:textId="77777777" w:rsidTr="00E87D35">
        <w:trPr>
          <w:trHeight w:val="312"/>
          <w:jc w:val="center"/>
        </w:trPr>
        <w:tc>
          <w:tcPr>
            <w:tcW w:w="1145" w:type="pct"/>
            <w:tcBorders>
              <w:top w:val="single" w:sz="4" w:space="0" w:color="auto"/>
              <w:bottom w:val="single" w:sz="4" w:space="0" w:color="auto"/>
            </w:tcBorders>
            <w:noWrap/>
            <w:hideMark/>
          </w:tcPr>
          <w:p w14:paraId="04B5A14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01" w:type="pct"/>
            <w:tcBorders>
              <w:top w:val="single" w:sz="4" w:space="0" w:color="auto"/>
              <w:bottom w:val="single" w:sz="4" w:space="0" w:color="auto"/>
            </w:tcBorders>
            <w:noWrap/>
            <w:hideMark/>
          </w:tcPr>
          <w:p w14:paraId="46F8284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1.51 ± 0.010</w:t>
            </w:r>
          </w:p>
        </w:tc>
        <w:tc>
          <w:tcPr>
            <w:tcW w:w="890" w:type="pct"/>
            <w:tcBorders>
              <w:top w:val="single" w:sz="4" w:space="0" w:color="auto"/>
              <w:bottom w:val="single" w:sz="4" w:space="0" w:color="auto"/>
            </w:tcBorders>
            <w:noWrap/>
            <w:hideMark/>
          </w:tcPr>
          <w:p w14:paraId="392F358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1.49 ± 0.008</w:t>
            </w:r>
          </w:p>
        </w:tc>
        <w:tc>
          <w:tcPr>
            <w:tcW w:w="805" w:type="pct"/>
            <w:tcBorders>
              <w:top w:val="single" w:sz="4" w:space="0" w:color="auto"/>
              <w:bottom w:val="single" w:sz="4" w:space="0" w:color="auto"/>
            </w:tcBorders>
            <w:noWrap/>
            <w:hideMark/>
          </w:tcPr>
          <w:p w14:paraId="6325DCF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1.47 ± 0.007</w:t>
            </w:r>
          </w:p>
        </w:tc>
        <w:tc>
          <w:tcPr>
            <w:tcW w:w="848" w:type="pct"/>
            <w:tcBorders>
              <w:top w:val="single" w:sz="4" w:space="0" w:color="auto"/>
              <w:bottom w:val="single" w:sz="4" w:space="0" w:color="auto"/>
            </w:tcBorders>
            <w:noWrap/>
            <w:hideMark/>
          </w:tcPr>
          <w:p w14:paraId="3E9B479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1.48 ± 0.012</w:t>
            </w:r>
          </w:p>
        </w:tc>
        <w:tc>
          <w:tcPr>
            <w:tcW w:w="511" w:type="pct"/>
            <w:tcBorders>
              <w:top w:val="single" w:sz="4" w:space="0" w:color="auto"/>
              <w:bottom w:val="single" w:sz="4" w:space="0" w:color="auto"/>
            </w:tcBorders>
            <w:noWrap/>
            <w:hideMark/>
          </w:tcPr>
          <w:p w14:paraId="66169E2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0.068</w:t>
            </w:r>
          </w:p>
        </w:tc>
      </w:tr>
      <w:tr w:rsidR="00E35CE1" w:rsidRPr="003D4161" w14:paraId="1A4CE89C" w14:textId="77777777" w:rsidTr="00E87D35">
        <w:trPr>
          <w:trHeight w:val="312"/>
          <w:jc w:val="center"/>
        </w:trPr>
        <w:tc>
          <w:tcPr>
            <w:tcW w:w="1145" w:type="pct"/>
            <w:tcBorders>
              <w:top w:val="single" w:sz="4" w:space="0" w:color="auto"/>
              <w:bottom w:val="single" w:sz="4" w:space="0" w:color="auto"/>
            </w:tcBorders>
            <w:noWrap/>
            <w:hideMark/>
          </w:tcPr>
          <w:p w14:paraId="236A3082" w14:textId="77777777" w:rsidR="00E35CE1" w:rsidRPr="003D4161" w:rsidRDefault="00E35CE1" w:rsidP="003D4161">
            <w:pPr>
              <w:spacing w:before="120" w:after="120" w:line="276" w:lineRule="auto"/>
              <w:rPr>
                <w:rFonts w:ascii="Arial" w:eastAsia="Times New Roman" w:hAnsi="Arial" w:cs="Arial"/>
                <w:b/>
                <w:sz w:val="20"/>
                <w:szCs w:val="20"/>
              </w:rPr>
            </w:pPr>
            <w:r w:rsidRPr="003D4161">
              <w:rPr>
                <w:rFonts w:ascii="Arial" w:eastAsia="Times New Roman" w:hAnsi="Arial" w:cs="Arial"/>
                <w:b/>
                <w:sz w:val="20"/>
                <w:szCs w:val="20"/>
              </w:rPr>
              <w:t>Performance index*</w:t>
            </w:r>
          </w:p>
        </w:tc>
        <w:tc>
          <w:tcPr>
            <w:tcW w:w="801" w:type="pct"/>
            <w:tcBorders>
              <w:top w:val="single" w:sz="4" w:space="0" w:color="auto"/>
              <w:bottom w:val="single" w:sz="4" w:space="0" w:color="auto"/>
            </w:tcBorders>
            <w:noWrap/>
            <w:hideMark/>
          </w:tcPr>
          <w:p w14:paraId="3BD3A78B"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396.44 ± 1.14</w:t>
            </w:r>
            <w:r w:rsidRPr="003D4161">
              <w:rPr>
                <w:rFonts w:ascii="Arial" w:hAnsi="Arial" w:cs="Arial"/>
                <w:sz w:val="20"/>
                <w:szCs w:val="20"/>
                <w:vertAlign w:val="superscript"/>
              </w:rPr>
              <w:t>a</w:t>
            </w:r>
          </w:p>
        </w:tc>
        <w:tc>
          <w:tcPr>
            <w:tcW w:w="890" w:type="pct"/>
            <w:tcBorders>
              <w:top w:val="single" w:sz="4" w:space="0" w:color="auto"/>
              <w:bottom w:val="single" w:sz="4" w:space="0" w:color="auto"/>
            </w:tcBorders>
            <w:noWrap/>
            <w:hideMark/>
          </w:tcPr>
          <w:p w14:paraId="41CF61CD"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407.21 ± 1.73</w:t>
            </w:r>
            <w:r w:rsidRPr="003D4161">
              <w:rPr>
                <w:rFonts w:ascii="Arial" w:hAnsi="Arial" w:cs="Arial"/>
                <w:sz w:val="20"/>
                <w:szCs w:val="20"/>
                <w:vertAlign w:val="superscript"/>
              </w:rPr>
              <w:t>b</w:t>
            </w:r>
          </w:p>
        </w:tc>
        <w:tc>
          <w:tcPr>
            <w:tcW w:w="805" w:type="pct"/>
            <w:tcBorders>
              <w:top w:val="single" w:sz="4" w:space="0" w:color="auto"/>
              <w:bottom w:val="single" w:sz="4" w:space="0" w:color="auto"/>
            </w:tcBorders>
            <w:noWrap/>
            <w:hideMark/>
          </w:tcPr>
          <w:p w14:paraId="4BE7DB4D"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423.46 ± 1.83</w:t>
            </w:r>
            <w:r w:rsidRPr="003D4161">
              <w:rPr>
                <w:rFonts w:ascii="Arial" w:hAnsi="Arial" w:cs="Arial"/>
                <w:sz w:val="20"/>
                <w:szCs w:val="20"/>
                <w:vertAlign w:val="superscript"/>
              </w:rPr>
              <w:t>d</w:t>
            </w:r>
          </w:p>
        </w:tc>
        <w:tc>
          <w:tcPr>
            <w:tcW w:w="848" w:type="pct"/>
            <w:tcBorders>
              <w:top w:val="single" w:sz="4" w:space="0" w:color="auto"/>
              <w:bottom w:val="single" w:sz="4" w:space="0" w:color="auto"/>
            </w:tcBorders>
            <w:noWrap/>
            <w:hideMark/>
          </w:tcPr>
          <w:p w14:paraId="18D4ED0B"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hAnsi="Arial" w:cs="Arial"/>
                <w:sz w:val="20"/>
                <w:szCs w:val="20"/>
              </w:rPr>
              <w:t>414.75 ± 0.58</w:t>
            </w:r>
            <w:r w:rsidRPr="003D4161">
              <w:rPr>
                <w:rFonts w:ascii="Arial" w:hAnsi="Arial" w:cs="Arial"/>
                <w:sz w:val="20"/>
                <w:szCs w:val="20"/>
                <w:vertAlign w:val="superscript"/>
              </w:rPr>
              <w:t>c</w:t>
            </w:r>
          </w:p>
        </w:tc>
        <w:tc>
          <w:tcPr>
            <w:tcW w:w="511" w:type="pct"/>
            <w:tcBorders>
              <w:top w:val="single" w:sz="4" w:space="0" w:color="auto"/>
              <w:bottom w:val="single" w:sz="4" w:space="0" w:color="auto"/>
            </w:tcBorders>
            <w:noWrap/>
            <w:hideMark/>
          </w:tcPr>
          <w:p w14:paraId="3B969131" w14:textId="77777777" w:rsidR="00E35CE1" w:rsidRPr="003D4161" w:rsidRDefault="00E35CE1" w:rsidP="003D4161">
            <w:pPr>
              <w:spacing w:before="120" w:after="12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13845A0D"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Mean values bearing different alphabets (a, b, c and d) in superscript in a row differ significantly, *(P &lt; 0.05)</w:t>
      </w:r>
    </w:p>
    <w:p w14:paraId="577F7319"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T1: -Basal diet, T2: -Basal diet + 1% Mushroom fruiting body waste, T3: -Basal diet + 2% Mushroom fruiting body waste, T</w:t>
      </w:r>
      <w:proofErr w:type="gramStart"/>
      <w:r w:rsidRPr="002A1205">
        <w:rPr>
          <w:rFonts w:ascii="Arial" w:hAnsi="Arial" w:cs="Arial"/>
          <w:sz w:val="18"/>
          <w:szCs w:val="18"/>
        </w:rPr>
        <w:t>4:-</w:t>
      </w:r>
      <w:proofErr w:type="gramEnd"/>
      <w:r w:rsidRPr="002A1205">
        <w:rPr>
          <w:rFonts w:ascii="Arial" w:hAnsi="Arial" w:cs="Arial"/>
          <w:sz w:val="18"/>
          <w:szCs w:val="18"/>
        </w:rPr>
        <w:t>Basal diet + 3% Mushroom fruiting body waste</w:t>
      </w:r>
    </w:p>
    <w:p w14:paraId="4F6F5FC5"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lastRenderedPageBreak/>
        <w:t xml:space="preserve">Table 5.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21 to 42 days</w:t>
      </w:r>
    </w:p>
    <w:tbl>
      <w:tblPr>
        <w:tblW w:w="5933" w:type="pct"/>
        <w:jc w:val="center"/>
        <w:tblLayout w:type="fixed"/>
        <w:tblLook w:val="04A0" w:firstRow="1" w:lastRow="0" w:firstColumn="1" w:lastColumn="0" w:noHBand="0" w:noVBand="1"/>
      </w:tblPr>
      <w:tblGrid>
        <w:gridCol w:w="2430"/>
        <w:gridCol w:w="1801"/>
        <w:gridCol w:w="1799"/>
        <w:gridCol w:w="1799"/>
        <w:gridCol w:w="1891"/>
        <w:gridCol w:w="990"/>
      </w:tblGrid>
      <w:tr w:rsidR="00E35CE1" w:rsidRPr="003D4161" w14:paraId="501AC380" w14:textId="77777777" w:rsidTr="00E87D35">
        <w:trPr>
          <w:trHeight w:val="288"/>
          <w:jc w:val="center"/>
        </w:trPr>
        <w:tc>
          <w:tcPr>
            <w:tcW w:w="1134" w:type="pct"/>
            <w:vMerge w:val="restart"/>
            <w:tcBorders>
              <w:top w:val="single" w:sz="4" w:space="0" w:color="auto"/>
              <w:bottom w:val="single" w:sz="4" w:space="0" w:color="auto"/>
            </w:tcBorders>
            <w:noWrap/>
            <w:vAlign w:val="center"/>
          </w:tcPr>
          <w:p w14:paraId="7EB9F2A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403" w:type="pct"/>
            <w:gridSpan w:val="4"/>
            <w:tcBorders>
              <w:top w:val="single" w:sz="4" w:space="0" w:color="auto"/>
              <w:bottom w:val="single" w:sz="4" w:space="0" w:color="auto"/>
            </w:tcBorders>
            <w:noWrap/>
            <w:vAlign w:val="center"/>
          </w:tcPr>
          <w:p w14:paraId="3E9F4564" w14:textId="77777777" w:rsidR="00E35CE1" w:rsidRPr="003D4161" w:rsidRDefault="00E35CE1" w:rsidP="003D4161">
            <w:pPr>
              <w:spacing w:before="80" w:after="8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62" w:type="pct"/>
            <w:vMerge w:val="restart"/>
            <w:tcBorders>
              <w:top w:val="single" w:sz="4" w:space="0" w:color="auto"/>
              <w:bottom w:val="single" w:sz="4" w:space="0" w:color="auto"/>
            </w:tcBorders>
            <w:noWrap/>
            <w:vAlign w:val="center"/>
          </w:tcPr>
          <w:p w14:paraId="7F35DAE0"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796B815" w14:textId="77777777" w:rsidTr="00E87D35">
        <w:trPr>
          <w:trHeight w:val="300"/>
          <w:jc w:val="center"/>
        </w:trPr>
        <w:tc>
          <w:tcPr>
            <w:tcW w:w="1134" w:type="pct"/>
            <w:vMerge/>
            <w:tcBorders>
              <w:top w:val="single" w:sz="4" w:space="0" w:color="auto"/>
              <w:bottom w:val="single" w:sz="4" w:space="0" w:color="auto"/>
            </w:tcBorders>
            <w:noWrap/>
            <w:vAlign w:val="center"/>
          </w:tcPr>
          <w:p w14:paraId="2DCAF6B8" w14:textId="77777777" w:rsidR="00E35CE1" w:rsidRPr="003D4161" w:rsidRDefault="00E35CE1" w:rsidP="003D4161">
            <w:pPr>
              <w:spacing w:before="80" w:after="80" w:line="276" w:lineRule="auto"/>
              <w:rPr>
                <w:rFonts w:ascii="Arial" w:eastAsia="Times New Roman" w:hAnsi="Arial" w:cs="Arial"/>
                <w:b/>
                <w:color w:val="000000"/>
                <w:sz w:val="20"/>
                <w:szCs w:val="20"/>
              </w:rPr>
            </w:pPr>
          </w:p>
        </w:tc>
        <w:tc>
          <w:tcPr>
            <w:tcW w:w="841" w:type="pct"/>
            <w:tcBorders>
              <w:top w:val="single" w:sz="4" w:space="0" w:color="auto"/>
              <w:bottom w:val="single" w:sz="4" w:space="0" w:color="auto"/>
            </w:tcBorders>
            <w:noWrap/>
            <w:vAlign w:val="center"/>
          </w:tcPr>
          <w:p w14:paraId="5E67B5E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40" w:type="pct"/>
            <w:tcBorders>
              <w:top w:val="single" w:sz="4" w:space="0" w:color="auto"/>
              <w:bottom w:val="single" w:sz="4" w:space="0" w:color="auto"/>
            </w:tcBorders>
            <w:noWrap/>
            <w:vAlign w:val="center"/>
          </w:tcPr>
          <w:p w14:paraId="4BBB311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40" w:type="pct"/>
            <w:tcBorders>
              <w:top w:val="single" w:sz="4" w:space="0" w:color="auto"/>
              <w:bottom w:val="single" w:sz="4" w:space="0" w:color="auto"/>
            </w:tcBorders>
            <w:noWrap/>
            <w:vAlign w:val="center"/>
          </w:tcPr>
          <w:p w14:paraId="67564F8F"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83" w:type="pct"/>
            <w:tcBorders>
              <w:top w:val="single" w:sz="4" w:space="0" w:color="auto"/>
              <w:bottom w:val="single" w:sz="4" w:space="0" w:color="auto"/>
            </w:tcBorders>
            <w:noWrap/>
            <w:vAlign w:val="center"/>
          </w:tcPr>
          <w:p w14:paraId="753720D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62" w:type="pct"/>
            <w:vMerge/>
            <w:tcBorders>
              <w:top w:val="single" w:sz="4" w:space="0" w:color="auto"/>
              <w:bottom w:val="single" w:sz="4" w:space="0" w:color="auto"/>
            </w:tcBorders>
            <w:noWrap/>
            <w:vAlign w:val="center"/>
          </w:tcPr>
          <w:p w14:paraId="5EF4275B" w14:textId="77777777" w:rsidR="00E35CE1" w:rsidRPr="003D4161" w:rsidRDefault="00E35CE1" w:rsidP="003D4161">
            <w:pPr>
              <w:spacing w:before="80" w:after="80" w:line="276" w:lineRule="auto"/>
              <w:rPr>
                <w:rFonts w:ascii="Arial" w:eastAsia="Times New Roman" w:hAnsi="Arial" w:cs="Arial"/>
                <w:b/>
                <w:color w:val="000000"/>
                <w:sz w:val="20"/>
                <w:szCs w:val="20"/>
              </w:rPr>
            </w:pPr>
          </w:p>
        </w:tc>
      </w:tr>
      <w:tr w:rsidR="00E35CE1" w:rsidRPr="003D4161" w14:paraId="2555D4AA" w14:textId="77777777" w:rsidTr="00E87D35">
        <w:trPr>
          <w:trHeight w:val="312"/>
          <w:jc w:val="center"/>
        </w:trPr>
        <w:tc>
          <w:tcPr>
            <w:tcW w:w="1134" w:type="pct"/>
            <w:tcBorders>
              <w:top w:val="single" w:sz="4" w:space="0" w:color="auto"/>
              <w:bottom w:val="single" w:sz="4" w:space="0" w:color="auto"/>
            </w:tcBorders>
            <w:noWrap/>
          </w:tcPr>
          <w:p w14:paraId="4C20D84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41" w:type="pct"/>
            <w:tcBorders>
              <w:top w:val="single" w:sz="4" w:space="0" w:color="auto"/>
              <w:bottom w:val="single" w:sz="4" w:space="0" w:color="auto"/>
            </w:tcBorders>
            <w:noWrap/>
          </w:tcPr>
          <w:p w14:paraId="231686D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643.82 ± 5.92</w:t>
            </w:r>
          </w:p>
        </w:tc>
        <w:tc>
          <w:tcPr>
            <w:tcW w:w="840" w:type="pct"/>
            <w:tcBorders>
              <w:top w:val="single" w:sz="4" w:space="0" w:color="auto"/>
              <w:bottom w:val="single" w:sz="4" w:space="0" w:color="auto"/>
            </w:tcBorders>
            <w:noWrap/>
          </w:tcPr>
          <w:p w14:paraId="323FDEE4"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653.05 ± 6.31</w:t>
            </w:r>
          </w:p>
        </w:tc>
        <w:tc>
          <w:tcPr>
            <w:tcW w:w="840" w:type="pct"/>
            <w:tcBorders>
              <w:top w:val="single" w:sz="4" w:space="0" w:color="auto"/>
              <w:bottom w:val="single" w:sz="4" w:space="0" w:color="auto"/>
            </w:tcBorders>
            <w:noWrap/>
          </w:tcPr>
          <w:p w14:paraId="5756A32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665.32 ± 6.06</w:t>
            </w:r>
          </w:p>
        </w:tc>
        <w:tc>
          <w:tcPr>
            <w:tcW w:w="883" w:type="pct"/>
            <w:tcBorders>
              <w:top w:val="single" w:sz="4" w:space="0" w:color="auto"/>
              <w:bottom w:val="single" w:sz="4" w:space="0" w:color="auto"/>
            </w:tcBorders>
            <w:noWrap/>
          </w:tcPr>
          <w:p w14:paraId="31BEC0B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660.27 ± 6.75</w:t>
            </w:r>
          </w:p>
        </w:tc>
        <w:tc>
          <w:tcPr>
            <w:tcW w:w="462" w:type="pct"/>
            <w:tcBorders>
              <w:top w:val="single" w:sz="4" w:space="0" w:color="auto"/>
              <w:bottom w:val="single" w:sz="4" w:space="0" w:color="auto"/>
            </w:tcBorders>
            <w:noWrap/>
          </w:tcPr>
          <w:p w14:paraId="7DF46F1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0.163</w:t>
            </w:r>
          </w:p>
        </w:tc>
      </w:tr>
      <w:tr w:rsidR="00E35CE1" w:rsidRPr="003D4161" w14:paraId="0C048A87" w14:textId="77777777" w:rsidTr="00E87D35">
        <w:trPr>
          <w:trHeight w:val="341"/>
          <w:jc w:val="center"/>
        </w:trPr>
        <w:tc>
          <w:tcPr>
            <w:tcW w:w="1134" w:type="pct"/>
            <w:tcBorders>
              <w:top w:val="single" w:sz="4" w:space="0" w:color="auto"/>
              <w:bottom w:val="single" w:sz="4" w:space="0" w:color="auto"/>
            </w:tcBorders>
            <w:noWrap/>
          </w:tcPr>
          <w:p w14:paraId="68CC506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41" w:type="pct"/>
            <w:tcBorders>
              <w:top w:val="single" w:sz="4" w:space="0" w:color="auto"/>
              <w:bottom w:val="single" w:sz="4" w:space="0" w:color="auto"/>
            </w:tcBorders>
            <w:noWrap/>
          </w:tcPr>
          <w:p w14:paraId="013566A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±10.56</w:t>
            </w:r>
            <w:r w:rsidRPr="003D4161">
              <w:rPr>
                <w:rFonts w:ascii="Arial" w:eastAsia="Times New Roman" w:hAnsi="Arial" w:cs="Arial"/>
                <w:color w:val="000000"/>
                <w:sz w:val="20"/>
                <w:szCs w:val="20"/>
                <w:vertAlign w:val="superscript"/>
              </w:rPr>
              <w:t>a</w:t>
            </w:r>
          </w:p>
        </w:tc>
        <w:tc>
          <w:tcPr>
            <w:tcW w:w="840" w:type="pct"/>
            <w:tcBorders>
              <w:top w:val="single" w:sz="4" w:space="0" w:color="auto"/>
              <w:bottom w:val="single" w:sz="4" w:space="0" w:color="auto"/>
            </w:tcBorders>
            <w:noWrap/>
          </w:tcPr>
          <w:p w14:paraId="78B0937F"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r w:rsidRPr="003D4161">
              <w:rPr>
                <w:rFonts w:ascii="Arial" w:eastAsia="Times New Roman" w:hAnsi="Arial" w:cs="Arial"/>
                <w:color w:val="000000"/>
                <w:sz w:val="20"/>
                <w:szCs w:val="20"/>
                <w:vertAlign w:val="superscript"/>
              </w:rPr>
              <w:t>ab</w:t>
            </w:r>
          </w:p>
        </w:tc>
        <w:tc>
          <w:tcPr>
            <w:tcW w:w="840" w:type="pct"/>
            <w:tcBorders>
              <w:top w:val="single" w:sz="4" w:space="0" w:color="auto"/>
              <w:bottom w:val="single" w:sz="4" w:space="0" w:color="auto"/>
            </w:tcBorders>
            <w:noWrap/>
          </w:tcPr>
          <w:p w14:paraId="291766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r w:rsidRPr="003D4161">
              <w:rPr>
                <w:rFonts w:ascii="Arial" w:eastAsia="Times New Roman" w:hAnsi="Arial" w:cs="Arial"/>
                <w:color w:val="000000"/>
                <w:sz w:val="20"/>
                <w:szCs w:val="20"/>
                <w:vertAlign w:val="superscript"/>
              </w:rPr>
              <w:t>b</w:t>
            </w:r>
          </w:p>
        </w:tc>
        <w:tc>
          <w:tcPr>
            <w:tcW w:w="883" w:type="pct"/>
            <w:tcBorders>
              <w:top w:val="single" w:sz="4" w:space="0" w:color="auto"/>
              <w:bottom w:val="single" w:sz="4" w:space="0" w:color="auto"/>
            </w:tcBorders>
            <w:noWrap/>
          </w:tcPr>
          <w:p w14:paraId="01B5A9B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tcPr>
          <w:p w14:paraId="313CFEB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90A1745" w14:textId="77777777" w:rsidTr="00E87D35">
        <w:trPr>
          <w:trHeight w:val="312"/>
          <w:jc w:val="center"/>
        </w:trPr>
        <w:tc>
          <w:tcPr>
            <w:tcW w:w="1134" w:type="pct"/>
            <w:tcBorders>
              <w:top w:val="single" w:sz="4" w:space="0" w:color="auto"/>
              <w:bottom w:val="single" w:sz="4" w:space="0" w:color="auto"/>
            </w:tcBorders>
            <w:noWrap/>
          </w:tcPr>
          <w:p w14:paraId="2543119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Weight gain (g)*</w:t>
            </w:r>
          </w:p>
        </w:tc>
        <w:tc>
          <w:tcPr>
            <w:tcW w:w="841" w:type="pct"/>
            <w:tcBorders>
              <w:top w:val="single" w:sz="4" w:space="0" w:color="auto"/>
              <w:bottom w:val="single" w:sz="4" w:space="0" w:color="auto"/>
            </w:tcBorders>
            <w:noWrap/>
          </w:tcPr>
          <w:p w14:paraId="1905CE2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1603.41 ± 4.78</w:t>
            </w:r>
            <w:r w:rsidRPr="003D4161">
              <w:rPr>
                <w:rFonts w:ascii="Arial" w:eastAsia="Times New Roman" w:hAnsi="Arial" w:cs="Arial"/>
                <w:color w:val="000000"/>
                <w:sz w:val="20"/>
                <w:szCs w:val="20"/>
                <w:vertAlign w:val="superscript"/>
              </w:rPr>
              <w:t>a</w:t>
            </w:r>
          </w:p>
        </w:tc>
        <w:tc>
          <w:tcPr>
            <w:tcW w:w="840" w:type="pct"/>
            <w:tcBorders>
              <w:top w:val="single" w:sz="4" w:space="0" w:color="auto"/>
              <w:bottom w:val="single" w:sz="4" w:space="0" w:color="auto"/>
            </w:tcBorders>
            <w:noWrap/>
          </w:tcPr>
          <w:p w14:paraId="0EC380C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1616.4 ± 5.92</w:t>
            </w:r>
            <w:r w:rsidRPr="003D4161">
              <w:rPr>
                <w:rFonts w:ascii="Arial" w:eastAsia="Times New Roman" w:hAnsi="Arial" w:cs="Arial"/>
                <w:color w:val="000000"/>
                <w:sz w:val="20"/>
                <w:szCs w:val="20"/>
                <w:vertAlign w:val="superscript"/>
              </w:rPr>
              <w:t>ab</w:t>
            </w:r>
          </w:p>
        </w:tc>
        <w:tc>
          <w:tcPr>
            <w:tcW w:w="840" w:type="pct"/>
            <w:tcBorders>
              <w:top w:val="single" w:sz="4" w:space="0" w:color="auto"/>
              <w:bottom w:val="single" w:sz="4" w:space="0" w:color="auto"/>
            </w:tcBorders>
            <w:noWrap/>
          </w:tcPr>
          <w:p w14:paraId="7D2FD90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1639.46 ± 7.73</w:t>
            </w:r>
            <w:r w:rsidRPr="003D4161">
              <w:rPr>
                <w:rFonts w:ascii="Arial" w:eastAsia="Times New Roman" w:hAnsi="Arial" w:cs="Arial"/>
                <w:color w:val="000000"/>
                <w:sz w:val="20"/>
                <w:szCs w:val="20"/>
                <w:vertAlign w:val="superscript"/>
              </w:rPr>
              <w:t>c</w:t>
            </w:r>
          </w:p>
        </w:tc>
        <w:tc>
          <w:tcPr>
            <w:tcW w:w="883" w:type="pct"/>
            <w:tcBorders>
              <w:top w:val="single" w:sz="4" w:space="0" w:color="auto"/>
              <w:bottom w:val="single" w:sz="4" w:space="0" w:color="auto"/>
            </w:tcBorders>
            <w:noWrap/>
          </w:tcPr>
          <w:p w14:paraId="2FA6157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1632.13 ± 6.38</w:t>
            </w:r>
            <w:r w:rsidRPr="003D4161">
              <w:rPr>
                <w:rFonts w:ascii="Arial" w:eastAsia="Times New Roman" w:hAnsi="Arial" w:cs="Arial"/>
                <w:color w:val="000000"/>
                <w:sz w:val="20"/>
                <w:szCs w:val="20"/>
                <w:vertAlign w:val="superscript"/>
              </w:rPr>
              <w:t>bc</w:t>
            </w:r>
          </w:p>
        </w:tc>
        <w:tc>
          <w:tcPr>
            <w:tcW w:w="462" w:type="pct"/>
            <w:tcBorders>
              <w:top w:val="single" w:sz="4" w:space="0" w:color="auto"/>
              <w:bottom w:val="single" w:sz="4" w:space="0" w:color="auto"/>
            </w:tcBorders>
            <w:noWrap/>
          </w:tcPr>
          <w:p w14:paraId="119194E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0.015</w:t>
            </w:r>
          </w:p>
        </w:tc>
      </w:tr>
      <w:tr w:rsidR="00E35CE1" w:rsidRPr="003D4161" w14:paraId="3865FCC5" w14:textId="77777777" w:rsidTr="00E87D35">
        <w:trPr>
          <w:trHeight w:val="312"/>
          <w:jc w:val="center"/>
        </w:trPr>
        <w:tc>
          <w:tcPr>
            <w:tcW w:w="1134" w:type="pct"/>
            <w:tcBorders>
              <w:top w:val="single" w:sz="4" w:space="0" w:color="auto"/>
              <w:bottom w:val="single" w:sz="4" w:space="0" w:color="auto"/>
            </w:tcBorders>
            <w:noWrap/>
          </w:tcPr>
          <w:p w14:paraId="332B7222"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intake (g)</w:t>
            </w:r>
          </w:p>
        </w:tc>
        <w:tc>
          <w:tcPr>
            <w:tcW w:w="841" w:type="pct"/>
            <w:tcBorders>
              <w:top w:val="single" w:sz="4" w:space="0" w:color="auto"/>
              <w:bottom w:val="single" w:sz="4" w:space="0" w:color="auto"/>
            </w:tcBorders>
            <w:noWrap/>
          </w:tcPr>
          <w:p w14:paraId="24C6417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2880.66 ± 19.34</w:t>
            </w:r>
          </w:p>
        </w:tc>
        <w:tc>
          <w:tcPr>
            <w:tcW w:w="840" w:type="pct"/>
            <w:tcBorders>
              <w:top w:val="single" w:sz="4" w:space="0" w:color="auto"/>
              <w:bottom w:val="single" w:sz="4" w:space="0" w:color="auto"/>
            </w:tcBorders>
            <w:noWrap/>
          </w:tcPr>
          <w:p w14:paraId="64C963A4"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2886.44 ± 26.17</w:t>
            </w:r>
          </w:p>
        </w:tc>
        <w:tc>
          <w:tcPr>
            <w:tcW w:w="840" w:type="pct"/>
            <w:tcBorders>
              <w:top w:val="single" w:sz="4" w:space="0" w:color="auto"/>
              <w:bottom w:val="single" w:sz="4" w:space="0" w:color="auto"/>
            </w:tcBorders>
            <w:noWrap/>
          </w:tcPr>
          <w:p w14:paraId="1D00716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2866.39 ± 27.62</w:t>
            </w:r>
          </w:p>
        </w:tc>
        <w:tc>
          <w:tcPr>
            <w:tcW w:w="883" w:type="pct"/>
            <w:tcBorders>
              <w:top w:val="single" w:sz="4" w:space="0" w:color="auto"/>
              <w:bottom w:val="single" w:sz="4" w:space="0" w:color="auto"/>
            </w:tcBorders>
            <w:noWrap/>
          </w:tcPr>
          <w:p w14:paraId="350A782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2879.91 ± 22.27</w:t>
            </w:r>
          </w:p>
        </w:tc>
        <w:tc>
          <w:tcPr>
            <w:tcW w:w="462" w:type="pct"/>
            <w:tcBorders>
              <w:top w:val="single" w:sz="4" w:space="0" w:color="auto"/>
              <w:bottom w:val="single" w:sz="4" w:space="0" w:color="auto"/>
            </w:tcBorders>
            <w:noWrap/>
          </w:tcPr>
          <w:p w14:paraId="6DB0F2F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0.943</w:t>
            </w:r>
          </w:p>
        </w:tc>
      </w:tr>
      <w:tr w:rsidR="00E35CE1" w:rsidRPr="003D4161" w14:paraId="3670D1D0" w14:textId="77777777" w:rsidTr="00E87D35">
        <w:trPr>
          <w:trHeight w:val="312"/>
          <w:jc w:val="center"/>
        </w:trPr>
        <w:tc>
          <w:tcPr>
            <w:tcW w:w="1134" w:type="pct"/>
            <w:tcBorders>
              <w:top w:val="single" w:sz="4" w:space="0" w:color="auto"/>
              <w:bottom w:val="single" w:sz="4" w:space="0" w:color="auto"/>
            </w:tcBorders>
            <w:noWrap/>
          </w:tcPr>
          <w:p w14:paraId="3B9EE1F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41" w:type="pct"/>
            <w:tcBorders>
              <w:top w:val="single" w:sz="4" w:space="0" w:color="auto"/>
              <w:bottom w:val="single" w:sz="4" w:space="0" w:color="auto"/>
            </w:tcBorders>
            <w:noWrap/>
          </w:tcPr>
          <w:p w14:paraId="594F96BF"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1.79 ± 0.006</w:t>
            </w:r>
            <w:r w:rsidRPr="003D4161">
              <w:rPr>
                <w:rFonts w:ascii="Arial" w:eastAsia="Times New Roman" w:hAnsi="Arial" w:cs="Arial"/>
                <w:color w:val="000000"/>
                <w:sz w:val="20"/>
                <w:szCs w:val="20"/>
                <w:vertAlign w:val="superscript"/>
              </w:rPr>
              <w:t>c</w:t>
            </w:r>
          </w:p>
        </w:tc>
        <w:tc>
          <w:tcPr>
            <w:tcW w:w="840" w:type="pct"/>
            <w:tcBorders>
              <w:top w:val="single" w:sz="4" w:space="0" w:color="auto"/>
              <w:bottom w:val="single" w:sz="4" w:space="0" w:color="auto"/>
            </w:tcBorders>
            <w:noWrap/>
          </w:tcPr>
          <w:p w14:paraId="5D570B4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1.78 ± 0.009</w:t>
            </w:r>
            <w:r w:rsidRPr="003D4161">
              <w:rPr>
                <w:rFonts w:ascii="Arial" w:eastAsia="Times New Roman" w:hAnsi="Arial" w:cs="Arial"/>
                <w:color w:val="000000"/>
                <w:sz w:val="20"/>
                <w:szCs w:val="20"/>
                <w:vertAlign w:val="superscript"/>
              </w:rPr>
              <w:t>bc</w:t>
            </w:r>
          </w:p>
        </w:tc>
        <w:tc>
          <w:tcPr>
            <w:tcW w:w="840" w:type="pct"/>
            <w:tcBorders>
              <w:top w:val="single" w:sz="4" w:space="0" w:color="auto"/>
              <w:bottom w:val="single" w:sz="4" w:space="0" w:color="auto"/>
            </w:tcBorders>
            <w:noWrap/>
          </w:tcPr>
          <w:p w14:paraId="6F599B1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1.74 ± 0.008</w:t>
            </w:r>
            <w:r w:rsidRPr="003D4161">
              <w:rPr>
                <w:rFonts w:ascii="Arial" w:eastAsia="Times New Roman" w:hAnsi="Arial" w:cs="Arial"/>
                <w:color w:val="000000"/>
                <w:sz w:val="20"/>
                <w:szCs w:val="20"/>
                <w:vertAlign w:val="superscript"/>
              </w:rPr>
              <w:t>a</w:t>
            </w:r>
          </w:p>
        </w:tc>
        <w:tc>
          <w:tcPr>
            <w:tcW w:w="883" w:type="pct"/>
            <w:tcBorders>
              <w:top w:val="single" w:sz="4" w:space="0" w:color="auto"/>
              <w:bottom w:val="single" w:sz="4" w:space="0" w:color="auto"/>
            </w:tcBorders>
            <w:noWrap/>
          </w:tcPr>
          <w:p w14:paraId="5B9F561C"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1.76 ± 0.006</w:t>
            </w:r>
            <w:r w:rsidRPr="003D4161">
              <w:rPr>
                <w:rFonts w:ascii="Arial" w:eastAsia="Times New Roman" w:hAnsi="Arial" w:cs="Arial"/>
                <w:color w:val="000000"/>
                <w:sz w:val="20"/>
                <w:szCs w:val="20"/>
                <w:vertAlign w:val="superscript"/>
              </w:rPr>
              <w:t>ab</w:t>
            </w:r>
          </w:p>
        </w:tc>
        <w:tc>
          <w:tcPr>
            <w:tcW w:w="462" w:type="pct"/>
            <w:tcBorders>
              <w:top w:val="single" w:sz="4" w:space="0" w:color="auto"/>
              <w:bottom w:val="single" w:sz="4" w:space="0" w:color="auto"/>
            </w:tcBorders>
            <w:noWrap/>
          </w:tcPr>
          <w:p w14:paraId="0AB7562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0.012</w:t>
            </w:r>
          </w:p>
        </w:tc>
      </w:tr>
      <w:tr w:rsidR="00E35CE1" w:rsidRPr="003D4161" w14:paraId="57E393C3" w14:textId="77777777" w:rsidTr="00E87D35">
        <w:trPr>
          <w:trHeight w:val="312"/>
          <w:jc w:val="center"/>
        </w:trPr>
        <w:tc>
          <w:tcPr>
            <w:tcW w:w="1134" w:type="pct"/>
            <w:tcBorders>
              <w:top w:val="single" w:sz="4" w:space="0" w:color="auto"/>
              <w:bottom w:val="single" w:sz="4" w:space="0" w:color="auto"/>
            </w:tcBorders>
            <w:noWrap/>
          </w:tcPr>
          <w:p w14:paraId="212DE285" w14:textId="77777777" w:rsidR="00E35CE1" w:rsidRPr="003D4161" w:rsidRDefault="00E35CE1" w:rsidP="003D4161">
            <w:pPr>
              <w:spacing w:before="80" w:after="80" w:line="276" w:lineRule="auto"/>
              <w:rPr>
                <w:rFonts w:ascii="Arial" w:eastAsia="Times New Roman" w:hAnsi="Arial" w:cs="Arial"/>
                <w:b/>
                <w:sz w:val="20"/>
                <w:szCs w:val="20"/>
              </w:rPr>
            </w:pPr>
            <w:r w:rsidRPr="003D4161">
              <w:rPr>
                <w:rFonts w:ascii="Arial" w:eastAsia="Times New Roman" w:hAnsi="Arial" w:cs="Arial"/>
                <w:b/>
                <w:sz w:val="20"/>
                <w:szCs w:val="20"/>
              </w:rPr>
              <w:t>Performance index*</w:t>
            </w:r>
          </w:p>
        </w:tc>
        <w:tc>
          <w:tcPr>
            <w:tcW w:w="841" w:type="pct"/>
            <w:tcBorders>
              <w:top w:val="single" w:sz="4" w:space="0" w:color="auto"/>
              <w:bottom w:val="single" w:sz="4" w:space="0" w:color="auto"/>
            </w:tcBorders>
            <w:noWrap/>
          </w:tcPr>
          <w:p w14:paraId="7857C681"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892.79 ± 0.90</w:t>
            </w:r>
            <w:r w:rsidRPr="003D4161">
              <w:rPr>
                <w:rFonts w:ascii="Arial" w:hAnsi="Arial" w:cs="Arial"/>
                <w:sz w:val="20"/>
                <w:szCs w:val="20"/>
                <w:vertAlign w:val="superscript"/>
              </w:rPr>
              <w:t>a</w:t>
            </w:r>
          </w:p>
        </w:tc>
        <w:tc>
          <w:tcPr>
            <w:tcW w:w="840" w:type="pct"/>
            <w:tcBorders>
              <w:top w:val="single" w:sz="4" w:space="0" w:color="auto"/>
              <w:bottom w:val="single" w:sz="4" w:space="0" w:color="auto"/>
            </w:tcBorders>
            <w:noWrap/>
          </w:tcPr>
          <w:p w14:paraId="5A6739EC"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905.60 ± 1.57</w:t>
            </w:r>
            <w:r w:rsidRPr="003D4161">
              <w:rPr>
                <w:rFonts w:ascii="Arial" w:hAnsi="Arial" w:cs="Arial"/>
                <w:sz w:val="20"/>
                <w:szCs w:val="20"/>
                <w:vertAlign w:val="superscript"/>
              </w:rPr>
              <w:t>b</w:t>
            </w:r>
          </w:p>
        </w:tc>
        <w:tc>
          <w:tcPr>
            <w:tcW w:w="840" w:type="pct"/>
            <w:tcBorders>
              <w:top w:val="single" w:sz="4" w:space="0" w:color="auto"/>
              <w:bottom w:val="single" w:sz="4" w:space="0" w:color="auto"/>
            </w:tcBorders>
            <w:noWrap/>
          </w:tcPr>
          <w:p w14:paraId="452604B3"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938.24 ± 0.29</w:t>
            </w:r>
            <w:r w:rsidRPr="003D4161">
              <w:rPr>
                <w:rFonts w:ascii="Arial" w:hAnsi="Arial" w:cs="Arial"/>
                <w:sz w:val="20"/>
                <w:szCs w:val="20"/>
                <w:vertAlign w:val="superscript"/>
              </w:rPr>
              <w:t>d</w:t>
            </w:r>
          </w:p>
        </w:tc>
        <w:tc>
          <w:tcPr>
            <w:tcW w:w="883" w:type="pct"/>
            <w:tcBorders>
              <w:top w:val="single" w:sz="4" w:space="0" w:color="auto"/>
              <w:bottom w:val="single" w:sz="4" w:space="0" w:color="auto"/>
            </w:tcBorders>
            <w:noWrap/>
          </w:tcPr>
          <w:p w14:paraId="5E8F2B6E"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925.32 ± 0.31</w:t>
            </w:r>
            <w:r w:rsidRPr="003D4161">
              <w:rPr>
                <w:rFonts w:ascii="Arial" w:hAnsi="Arial" w:cs="Arial"/>
                <w:sz w:val="20"/>
                <w:szCs w:val="20"/>
                <w:vertAlign w:val="superscript"/>
              </w:rPr>
              <w:t>c</w:t>
            </w:r>
          </w:p>
        </w:tc>
        <w:tc>
          <w:tcPr>
            <w:tcW w:w="462" w:type="pct"/>
            <w:tcBorders>
              <w:top w:val="single" w:sz="4" w:space="0" w:color="auto"/>
              <w:bottom w:val="single" w:sz="4" w:space="0" w:color="auto"/>
            </w:tcBorders>
            <w:noWrap/>
          </w:tcPr>
          <w:p w14:paraId="35820416"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50A87C87" w14:textId="77777777" w:rsidR="00E35CE1" w:rsidRPr="002A1205" w:rsidRDefault="00E35CE1" w:rsidP="000C0B6D">
      <w:pPr>
        <w:spacing w:before="120" w:after="120" w:line="240" w:lineRule="auto"/>
        <w:rPr>
          <w:rFonts w:ascii="Arial" w:hAnsi="Arial" w:cs="Arial"/>
          <w:sz w:val="18"/>
          <w:szCs w:val="18"/>
        </w:rPr>
      </w:pPr>
      <w:r w:rsidRPr="002A1205">
        <w:rPr>
          <w:rFonts w:ascii="Arial" w:hAnsi="Arial" w:cs="Arial"/>
          <w:sz w:val="18"/>
          <w:szCs w:val="18"/>
        </w:rPr>
        <w:t>Mean values bearing different alphabets (a, b, c and d) in superscript in a row differ significantly, *(P &lt; 0.05)</w:t>
      </w:r>
    </w:p>
    <w:p w14:paraId="19374457" w14:textId="753FCC49" w:rsidR="00E35CE1" w:rsidRPr="002A1205" w:rsidRDefault="00E35CE1" w:rsidP="002A1205">
      <w:pPr>
        <w:spacing w:before="120" w:after="120" w:line="240" w:lineRule="auto"/>
        <w:rPr>
          <w:rFonts w:ascii="Arial" w:hAnsi="Arial" w:cs="Arial"/>
          <w:sz w:val="18"/>
          <w:szCs w:val="18"/>
        </w:rPr>
      </w:pPr>
      <w:r w:rsidRPr="002A1205">
        <w:rPr>
          <w:rFonts w:ascii="Arial" w:hAnsi="Arial" w:cs="Arial"/>
          <w:sz w:val="18"/>
          <w:szCs w:val="18"/>
        </w:rPr>
        <w:t>T1: -Basal diet, T2: -Basal diet + 1% Mushroom fruiting body waste, T3: -Basal diet + 2% Mushroom fruiting body waste, T4: -Basal diet + 3% Mushroom fruiting body waste</w:t>
      </w:r>
    </w:p>
    <w:p w14:paraId="784573B3"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6. Average weekly growth performance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during 0 to 42 days</w:t>
      </w:r>
    </w:p>
    <w:tbl>
      <w:tblPr>
        <w:tblW w:w="6043" w:type="pct"/>
        <w:jc w:val="center"/>
        <w:tblBorders>
          <w:bottom w:val="single" w:sz="4" w:space="0" w:color="auto"/>
        </w:tblBorders>
        <w:tblLayout w:type="fixed"/>
        <w:tblLook w:val="04A0" w:firstRow="1" w:lastRow="0" w:firstColumn="1" w:lastColumn="0" w:noHBand="0" w:noVBand="1"/>
      </w:tblPr>
      <w:tblGrid>
        <w:gridCol w:w="2520"/>
        <w:gridCol w:w="1900"/>
        <w:gridCol w:w="1896"/>
        <w:gridCol w:w="1785"/>
        <w:gridCol w:w="1800"/>
        <w:gridCol w:w="1008"/>
      </w:tblGrid>
      <w:tr w:rsidR="00E35CE1" w:rsidRPr="003D4161" w14:paraId="3CE8EFA6" w14:textId="77777777" w:rsidTr="00E87D35">
        <w:trPr>
          <w:trHeight w:val="288"/>
          <w:jc w:val="center"/>
        </w:trPr>
        <w:tc>
          <w:tcPr>
            <w:tcW w:w="1155" w:type="pct"/>
            <w:vMerge w:val="restart"/>
            <w:tcBorders>
              <w:top w:val="single" w:sz="4" w:space="0" w:color="auto"/>
              <w:bottom w:val="single" w:sz="4" w:space="0" w:color="auto"/>
            </w:tcBorders>
            <w:noWrap/>
            <w:vAlign w:val="center"/>
            <w:hideMark/>
          </w:tcPr>
          <w:p w14:paraId="1B749FC7"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383" w:type="pct"/>
            <w:gridSpan w:val="4"/>
            <w:tcBorders>
              <w:top w:val="single" w:sz="4" w:space="0" w:color="auto"/>
              <w:bottom w:val="single" w:sz="4" w:space="0" w:color="auto"/>
            </w:tcBorders>
            <w:noWrap/>
            <w:vAlign w:val="center"/>
            <w:hideMark/>
          </w:tcPr>
          <w:p w14:paraId="6422519C" w14:textId="77777777" w:rsidR="00E35CE1" w:rsidRPr="003D4161" w:rsidRDefault="00E35CE1" w:rsidP="003D4161">
            <w:pPr>
              <w:spacing w:before="80" w:after="8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62" w:type="pct"/>
            <w:vMerge w:val="restart"/>
            <w:tcBorders>
              <w:top w:val="single" w:sz="4" w:space="0" w:color="auto"/>
              <w:bottom w:val="single" w:sz="4" w:space="0" w:color="auto"/>
            </w:tcBorders>
            <w:noWrap/>
            <w:vAlign w:val="center"/>
            <w:hideMark/>
          </w:tcPr>
          <w:p w14:paraId="13A1AFF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069814F8" w14:textId="77777777" w:rsidTr="00E87D35">
        <w:trPr>
          <w:trHeight w:val="300"/>
          <w:jc w:val="center"/>
        </w:trPr>
        <w:tc>
          <w:tcPr>
            <w:tcW w:w="1155" w:type="pct"/>
            <w:vMerge/>
            <w:tcBorders>
              <w:top w:val="single" w:sz="4" w:space="0" w:color="auto"/>
              <w:bottom w:val="single" w:sz="4" w:space="0" w:color="auto"/>
            </w:tcBorders>
            <w:noWrap/>
            <w:vAlign w:val="center"/>
            <w:hideMark/>
          </w:tcPr>
          <w:p w14:paraId="4F3E8760" w14:textId="77777777" w:rsidR="00E35CE1" w:rsidRPr="003D4161" w:rsidRDefault="00E35CE1" w:rsidP="003D4161">
            <w:pPr>
              <w:spacing w:before="80" w:after="80" w:line="276" w:lineRule="auto"/>
              <w:rPr>
                <w:rFonts w:ascii="Arial" w:eastAsia="Times New Roman" w:hAnsi="Arial" w:cs="Arial"/>
                <w:b/>
                <w:color w:val="000000"/>
                <w:sz w:val="20"/>
                <w:szCs w:val="20"/>
              </w:rPr>
            </w:pPr>
          </w:p>
        </w:tc>
        <w:tc>
          <w:tcPr>
            <w:tcW w:w="871" w:type="pct"/>
            <w:tcBorders>
              <w:top w:val="single" w:sz="4" w:space="0" w:color="auto"/>
              <w:bottom w:val="single" w:sz="4" w:space="0" w:color="auto"/>
            </w:tcBorders>
            <w:noWrap/>
            <w:vAlign w:val="center"/>
            <w:hideMark/>
          </w:tcPr>
          <w:p w14:paraId="2CDC4013"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869" w:type="pct"/>
            <w:tcBorders>
              <w:top w:val="single" w:sz="4" w:space="0" w:color="auto"/>
              <w:bottom w:val="single" w:sz="4" w:space="0" w:color="auto"/>
            </w:tcBorders>
            <w:noWrap/>
            <w:vAlign w:val="center"/>
            <w:hideMark/>
          </w:tcPr>
          <w:p w14:paraId="1892D659"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818" w:type="pct"/>
            <w:tcBorders>
              <w:top w:val="single" w:sz="4" w:space="0" w:color="auto"/>
              <w:bottom w:val="single" w:sz="4" w:space="0" w:color="auto"/>
            </w:tcBorders>
            <w:noWrap/>
            <w:vAlign w:val="center"/>
            <w:hideMark/>
          </w:tcPr>
          <w:p w14:paraId="5435C5B5"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25" w:type="pct"/>
            <w:tcBorders>
              <w:top w:val="single" w:sz="4" w:space="0" w:color="auto"/>
              <w:bottom w:val="single" w:sz="4" w:space="0" w:color="auto"/>
            </w:tcBorders>
            <w:noWrap/>
            <w:vAlign w:val="center"/>
            <w:hideMark/>
          </w:tcPr>
          <w:p w14:paraId="2DEEA57E"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62" w:type="pct"/>
            <w:vMerge/>
            <w:tcBorders>
              <w:top w:val="single" w:sz="4" w:space="0" w:color="auto"/>
              <w:bottom w:val="single" w:sz="4" w:space="0" w:color="auto"/>
            </w:tcBorders>
            <w:noWrap/>
            <w:vAlign w:val="center"/>
            <w:hideMark/>
          </w:tcPr>
          <w:p w14:paraId="374FAC77" w14:textId="77777777" w:rsidR="00E35CE1" w:rsidRPr="003D4161" w:rsidRDefault="00E35CE1" w:rsidP="003D4161">
            <w:pPr>
              <w:spacing w:before="80" w:after="80" w:line="276" w:lineRule="auto"/>
              <w:rPr>
                <w:rFonts w:ascii="Arial" w:eastAsia="Times New Roman" w:hAnsi="Arial" w:cs="Arial"/>
                <w:b/>
                <w:color w:val="000000"/>
                <w:sz w:val="20"/>
                <w:szCs w:val="20"/>
              </w:rPr>
            </w:pPr>
          </w:p>
        </w:tc>
      </w:tr>
      <w:tr w:rsidR="00E35CE1" w:rsidRPr="003D4161" w14:paraId="45A5FF91" w14:textId="77777777" w:rsidTr="00E87D35">
        <w:trPr>
          <w:trHeight w:val="312"/>
          <w:jc w:val="center"/>
        </w:trPr>
        <w:tc>
          <w:tcPr>
            <w:tcW w:w="1155" w:type="pct"/>
            <w:tcBorders>
              <w:top w:val="single" w:sz="4" w:space="0" w:color="auto"/>
              <w:bottom w:val="single" w:sz="4" w:space="0" w:color="auto"/>
            </w:tcBorders>
            <w:noWrap/>
            <w:hideMark/>
          </w:tcPr>
          <w:p w14:paraId="1369295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71" w:type="pct"/>
            <w:tcBorders>
              <w:top w:val="single" w:sz="4" w:space="0" w:color="auto"/>
              <w:bottom w:val="single" w:sz="4" w:space="0" w:color="auto"/>
            </w:tcBorders>
            <w:noWrap/>
            <w:hideMark/>
          </w:tcPr>
          <w:p w14:paraId="4464A243"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869" w:type="pct"/>
            <w:tcBorders>
              <w:top w:val="single" w:sz="4" w:space="0" w:color="auto"/>
              <w:bottom w:val="single" w:sz="4" w:space="0" w:color="auto"/>
            </w:tcBorders>
            <w:noWrap/>
            <w:hideMark/>
          </w:tcPr>
          <w:p w14:paraId="63B1B72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818" w:type="pct"/>
            <w:tcBorders>
              <w:top w:val="single" w:sz="4" w:space="0" w:color="auto"/>
              <w:bottom w:val="single" w:sz="4" w:space="0" w:color="auto"/>
            </w:tcBorders>
            <w:noWrap/>
            <w:hideMark/>
          </w:tcPr>
          <w:p w14:paraId="33CB888A"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825" w:type="pct"/>
            <w:tcBorders>
              <w:top w:val="single" w:sz="4" w:space="0" w:color="auto"/>
              <w:bottom w:val="single" w:sz="4" w:space="0" w:color="auto"/>
            </w:tcBorders>
            <w:noWrap/>
            <w:hideMark/>
          </w:tcPr>
          <w:p w14:paraId="2241F34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0.74</w:t>
            </w:r>
          </w:p>
        </w:tc>
        <w:tc>
          <w:tcPr>
            <w:tcW w:w="462" w:type="pct"/>
            <w:tcBorders>
              <w:top w:val="single" w:sz="4" w:space="0" w:color="auto"/>
              <w:bottom w:val="single" w:sz="4" w:space="0" w:color="auto"/>
            </w:tcBorders>
            <w:noWrap/>
            <w:hideMark/>
          </w:tcPr>
          <w:p w14:paraId="571E6F7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74067E2C" w14:textId="77777777" w:rsidTr="00E87D35">
        <w:trPr>
          <w:trHeight w:val="341"/>
          <w:jc w:val="center"/>
        </w:trPr>
        <w:tc>
          <w:tcPr>
            <w:tcW w:w="1155" w:type="pct"/>
            <w:tcBorders>
              <w:top w:val="single" w:sz="4" w:space="0" w:color="auto"/>
              <w:bottom w:val="single" w:sz="4" w:space="0" w:color="auto"/>
            </w:tcBorders>
            <w:noWrap/>
            <w:hideMark/>
          </w:tcPr>
          <w:p w14:paraId="0C4A3C63"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71" w:type="pct"/>
            <w:tcBorders>
              <w:top w:val="single" w:sz="4" w:space="0" w:color="auto"/>
              <w:bottom w:val="single" w:sz="4" w:space="0" w:color="auto"/>
            </w:tcBorders>
            <w:noWrap/>
            <w:hideMark/>
          </w:tcPr>
          <w:p w14:paraId="16FB6C39"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 10.56</w:t>
            </w:r>
            <w:r w:rsidRPr="003D4161">
              <w:rPr>
                <w:rFonts w:ascii="Arial" w:eastAsia="Times New Roman" w:hAnsi="Arial" w:cs="Arial"/>
                <w:color w:val="000000"/>
                <w:sz w:val="20"/>
                <w:szCs w:val="20"/>
                <w:vertAlign w:val="superscript"/>
              </w:rPr>
              <w:t>a</w:t>
            </w:r>
          </w:p>
        </w:tc>
        <w:tc>
          <w:tcPr>
            <w:tcW w:w="869" w:type="pct"/>
            <w:tcBorders>
              <w:top w:val="single" w:sz="4" w:space="0" w:color="auto"/>
              <w:bottom w:val="single" w:sz="4" w:space="0" w:color="auto"/>
            </w:tcBorders>
            <w:noWrap/>
            <w:hideMark/>
          </w:tcPr>
          <w:p w14:paraId="46737A6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r w:rsidRPr="003D4161">
              <w:rPr>
                <w:rFonts w:ascii="Arial" w:eastAsia="Times New Roman" w:hAnsi="Arial" w:cs="Arial"/>
                <w:color w:val="000000"/>
                <w:sz w:val="20"/>
                <w:szCs w:val="20"/>
                <w:vertAlign w:val="superscript"/>
              </w:rPr>
              <w:t>ab</w:t>
            </w:r>
          </w:p>
        </w:tc>
        <w:tc>
          <w:tcPr>
            <w:tcW w:w="818" w:type="pct"/>
            <w:tcBorders>
              <w:top w:val="single" w:sz="4" w:space="0" w:color="auto"/>
              <w:bottom w:val="single" w:sz="4" w:space="0" w:color="auto"/>
            </w:tcBorders>
            <w:noWrap/>
            <w:hideMark/>
          </w:tcPr>
          <w:p w14:paraId="572BCE5B"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r w:rsidRPr="003D4161">
              <w:rPr>
                <w:rFonts w:ascii="Arial" w:eastAsia="Times New Roman" w:hAnsi="Arial" w:cs="Arial"/>
                <w:color w:val="000000"/>
                <w:sz w:val="20"/>
                <w:szCs w:val="20"/>
                <w:vertAlign w:val="superscript"/>
              </w:rPr>
              <w:t>b</w:t>
            </w:r>
          </w:p>
        </w:tc>
        <w:tc>
          <w:tcPr>
            <w:tcW w:w="825" w:type="pct"/>
            <w:tcBorders>
              <w:top w:val="single" w:sz="4" w:space="0" w:color="auto"/>
              <w:bottom w:val="single" w:sz="4" w:space="0" w:color="auto"/>
            </w:tcBorders>
            <w:noWrap/>
            <w:hideMark/>
          </w:tcPr>
          <w:p w14:paraId="46986C73"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hideMark/>
          </w:tcPr>
          <w:p w14:paraId="608547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6470014" w14:textId="77777777" w:rsidTr="00E87D35">
        <w:trPr>
          <w:trHeight w:val="312"/>
          <w:jc w:val="center"/>
        </w:trPr>
        <w:tc>
          <w:tcPr>
            <w:tcW w:w="1155" w:type="pct"/>
            <w:tcBorders>
              <w:top w:val="single" w:sz="4" w:space="0" w:color="auto"/>
              <w:bottom w:val="single" w:sz="4" w:space="0" w:color="auto"/>
            </w:tcBorders>
            <w:noWrap/>
            <w:hideMark/>
          </w:tcPr>
          <w:p w14:paraId="38235F3D"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Weight gain (g)*</w:t>
            </w:r>
          </w:p>
        </w:tc>
        <w:tc>
          <w:tcPr>
            <w:tcW w:w="871" w:type="pct"/>
            <w:tcBorders>
              <w:top w:val="single" w:sz="4" w:space="0" w:color="auto"/>
              <w:bottom w:val="single" w:sz="4" w:space="0" w:color="auto"/>
            </w:tcBorders>
            <w:noWrap/>
            <w:hideMark/>
          </w:tcPr>
          <w:p w14:paraId="4009676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2197.14 ± 10.61</w:t>
            </w:r>
            <w:r w:rsidRPr="003D4161">
              <w:rPr>
                <w:rFonts w:ascii="Arial" w:eastAsia="Times New Roman" w:hAnsi="Arial" w:cs="Arial"/>
                <w:color w:val="000000"/>
                <w:sz w:val="20"/>
                <w:szCs w:val="20"/>
                <w:vertAlign w:val="superscript"/>
              </w:rPr>
              <w:t>a</w:t>
            </w:r>
          </w:p>
        </w:tc>
        <w:tc>
          <w:tcPr>
            <w:tcW w:w="869" w:type="pct"/>
            <w:tcBorders>
              <w:top w:val="single" w:sz="4" w:space="0" w:color="auto"/>
              <w:bottom w:val="single" w:sz="4" w:space="0" w:color="auto"/>
            </w:tcBorders>
            <w:noWrap/>
            <w:hideMark/>
          </w:tcPr>
          <w:p w14:paraId="43CF9AE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2219.08 ± 11.29</w:t>
            </w:r>
            <w:r w:rsidRPr="003D4161">
              <w:rPr>
                <w:rFonts w:ascii="Arial" w:eastAsia="Times New Roman" w:hAnsi="Arial" w:cs="Arial"/>
                <w:color w:val="000000"/>
                <w:sz w:val="20"/>
                <w:szCs w:val="20"/>
                <w:vertAlign w:val="superscript"/>
              </w:rPr>
              <w:t>ab</w:t>
            </w:r>
          </w:p>
        </w:tc>
        <w:tc>
          <w:tcPr>
            <w:tcW w:w="818" w:type="pct"/>
            <w:tcBorders>
              <w:top w:val="single" w:sz="4" w:space="0" w:color="auto"/>
              <w:bottom w:val="single" w:sz="4" w:space="0" w:color="auto"/>
            </w:tcBorders>
            <w:noWrap/>
            <w:hideMark/>
          </w:tcPr>
          <w:p w14:paraId="0E765F4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2254.18 ± 13.36</w:t>
            </w:r>
            <w:r w:rsidRPr="003D4161">
              <w:rPr>
                <w:rFonts w:ascii="Arial" w:eastAsia="Times New Roman" w:hAnsi="Arial" w:cs="Arial"/>
                <w:color w:val="000000"/>
                <w:sz w:val="20"/>
                <w:szCs w:val="20"/>
                <w:vertAlign w:val="superscript"/>
              </w:rPr>
              <w:t>b</w:t>
            </w:r>
          </w:p>
        </w:tc>
        <w:tc>
          <w:tcPr>
            <w:tcW w:w="825" w:type="pct"/>
            <w:tcBorders>
              <w:top w:val="single" w:sz="4" w:space="0" w:color="auto"/>
              <w:bottom w:val="single" w:sz="4" w:space="0" w:color="auto"/>
            </w:tcBorders>
            <w:noWrap/>
            <w:hideMark/>
          </w:tcPr>
          <w:p w14:paraId="6E319B4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2241.97 ± 12.40</w:t>
            </w:r>
            <w:r w:rsidRPr="003D4161">
              <w:rPr>
                <w:rFonts w:ascii="Arial" w:eastAsia="Times New Roman" w:hAnsi="Arial" w:cs="Arial"/>
                <w:color w:val="000000"/>
                <w:sz w:val="20"/>
                <w:szCs w:val="20"/>
                <w:vertAlign w:val="superscript"/>
              </w:rPr>
              <w:t>b</w:t>
            </w:r>
          </w:p>
        </w:tc>
        <w:tc>
          <w:tcPr>
            <w:tcW w:w="462" w:type="pct"/>
            <w:tcBorders>
              <w:top w:val="single" w:sz="4" w:space="0" w:color="auto"/>
              <w:bottom w:val="single" w:sz="4" w:space="0" w:color="auto"/>
            </w:tcBorders>
            <w:noWrap/>
            <w:hideMark/>
          </w:tcPr>
          <w:p w14:paraId="001DE781"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0.043</w:t>
            </w:r>
          </w:p>
        </w:tc>
      </w:tr>
      <w:tr w:rsidR="00E35CE1" w:rsidRPr="003D4161" w14:paraId="4203A49F" w14:textId="77777777" w:rsidTr="00E87D35">
        <w:trPr>
          <w:trHeight w:val="312"/>
          <w:jc w:val="center"/>
        </w:trPr>
        <w:tc>
          <w:tcPr>
            <w:tcW w:w="1155" w:type="pct"/>
            <w:tcBorders>
              <w:top w:val="single" w:sz="4" w:space="0" w:color="auto"/>
              <w:bottom w:val="single" w:sz="4" w:space="0" w:color="auto"/>
            </w:tcBorders>
            <w:noWrap/>
            <w:hideMark/>
          </w:tcPr>
          <w:p w14:paraId="3CDACC4B"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intake (g)</w:t>
            </w:r>
          </w:p>
        </w:tc>
        <w:tc>
          <w:tcPr>
            <w:tcW w:w="871" w:type="pct"/>
            <w:tcBorders>
              <w:top w:val="single" w:sz="4" w:space="0" w:color="auto"/>
              <w:bottom w:val="single" w:sz="4" w:space="0" w:color="auto"/>
            </w:tcBorders>
            <w:noWrap/>
            <w:hideMark/>
          </w:tcPr>
          <w:p w14:paraId="30DC36F7"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3780.95 ± 34.73</w:t>
            </w:r>
          </w:p>
        </w:tc>
        <w:tc>
          <w:tcPr>
            <w:tcW w:w="869" w:type="pct"/>
            <w:tcBorders>
              <w:top w:val="single" w:sz="4" w:space="0" w:color="auto"/>
              <w:bottom w:val="single" w:sz="4" w:space="0" w:color="auto"/>
            </w:tcBorders>
            <w:noWrap/>
            <w:hideMark/>
          </w:tcPr>
          <w:p w14:paraId="0B3565F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3789.30 ± 38.99</w:t>
            </w:r>
          </w:p>
        </w:tc>
        <w:tc>
          <w:tcPr>
            <w:tcW w:w="818" w:type="pct"/>
            <w:tcBorders>
              <w:top w:val="single" w:sz="4" w:space="0" w:color="auto"/>
              <w:bottom w:val="single" w:sz="4" w:space="0" w:color="auto"/>
            </w:tcBorders>
            <w:noWrap/>
            <w:hideMark/>
          </w:tcPr>
          <w:p w14:paraId="1A9686F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3771.47 ± 40.33</w:t>
            </w:r>
          </w:p>
        </w:tc>
        <w:tc>
          <w:tcPr>
            <w:tcW w:w="825" w:type="pct"/>
            <w:tcBorders>
              <w:top w:val="single" w:sz="4" w:space="0" w:color="auto"/>
              <w:bottom w:val="single" w:sz="4" w:space="0" w:color="auto"/>
            </w:tcBorders>
            <w:noWrap/>
            <w:hideMark/>
          </w:tcPr>
          <w:p w14:paraId="1BC43C0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3787.70 ± 38.53</w:t>
            </w:r>
          </w:p>
        </w:tc>
        <w:tc>
          <w:tcPr>
            <w:tcW w:w="462" w:type="pct"/>
            <w:tcBorders>
              <w:top w:val="single" w:sz="4" w:space="0" w:color="auto"/>
              <w:bottom w:val="single" w:sz="4" w:space="0" w:color="auto"/>
            </w:tcBorders>
            <w:noWrap/>
            <w:hideMark/>
          </w:tcPr>
          <w:p w14:paraId="523E7B0E"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0.986</w:t>
            </w:r>
          </w:p>
        </w:tc>
      </w:tr>
      <w:tr w:rsidR="00E35CE1" w:rsidRPr="003D4161" w14:paraId="4B2F53F8" w14:textId="77777777" w:rsidTr="00E87D35">
        <w:trPr>
          <w:trHeight w:val="312"/>
          <w:jc w:val="center"/>
        </w:trPr>
        <w:tc>
          <w:tcPr>
            <w:tcW w:w="1155" w:type="pct"/>
            <w:tcBorders>
              <w:top w:val="single" w:sz="4" w:space="0" w:color="auto"/>
              <w:bottom w:val="single" w:sz="4" w:space="0" w:color="auto"/>
            </w:tcBorders>
            <w:noWrap/>
            <w:hideMark/>
          </w:tcPr>
          <w:p w14:paraId="20CF4E1E" w14:textId="77777777" w:rsidR="00E35CE1" w:rsidRPr="003D4161" w:rsidRDefault="00E35CE1" w:rsidP="003D4161">
            <w:pPr>
              <w:spacing w:before="80" w:after="8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conversion ratio*</w:t>
            </w:r>
          </w:p>
        </w:tc>
        <w:tc>
          <w:tcPr>
            <w:tcW w:w="871" w:type="pct"/>
            <w:tcBorders>
              <w:top w:val="single" w:sz="4" w:space="0" w:color="auto"/>
              <w:bottom w:val="single" w:sz="4" w:space="0" w:color="auto"/>
            </w:tcBorders>
            <w:noWrap/>
            <w:hideMark/>
          </w:tcPr>
          <w:p w14:paraId="4BF48D05"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1.72 ± 0.007</w:t>
            </w:r>
            <w:r w:rsidRPr="003D4161">
              <w:rPr>
                <w:rFonts w:ascii="Arial" w:eastAsia="Times New Roman" w:hAnsi="Arial" w:cs="Arial"/>
                <w:color w:val="000000"/>
                <w:sz w:val="20"/>
                <w:szCs w:val="20"/>
                <w:vertAlign w:val="superscript"/>
              </w:rPr>
              <w:t>c</w:t>
            </w:r>
          </w:p>
        </w:tc>
        <w:tc>
          <w:tcPr>
            <w:tcW w:w="869" w:type="pct"/>
            <w:tcBorders>
              <w:top w:val="single" w:sz="4" w:space="0" w:color="auto"/>
              <w:bottom w:val="single" w:sz="4" w:space="0" w:color="auto"/>
            </w:tcBorders>
            <w:noWrap/>
            <w:hideMark/>
          </w:tcPr>
          <w:p w14:paraId="7FD2D486"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1.70 ± 0.008</w:t>
            </w:r>
            <w:r w:rsidRPr="003D4161">
              <w:rPr>
                <w:rFonts w:ascii="Arial" w:eastAsia="Times New Roman" w:hAnsi="Arial" w:cs="Arial"/>
                <w:color w:val="000000"/>
                <w:sz w:val="20"/>
                <w:szCs w:val="20"/>
                <w:vertAlign w:val="superscript"/>
              </w:rPr>
              <w:t>bc</w:t>
            </w:r>
          </w:p>
        </w:tc>
        <w:tc>
          <w:tcPr>
            <w:tcW w:w="818" w:type="pct"/>
            <w:tcBorders>
              <w:top w:val="single" w:sz="4" w:space="0" w:color="auto"/>
              <w:bottom w:val="single" w:sz="4" w:space="0" w:color="auto"/>
            </w:tcBorders>
            <w:noWrap/>
            <w:hideMark/>
          </w:tcPr>
          <w:p w14:paraId="56302578"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1.67 ± 0.007</w:t>
            </w:r>
            <w:r w:rsidRPr="003D4161">
              <w:rPr>
                <w:rFonts w:ascii="Arial" w:eastAsia="Times New Roman" w:hAnsi="Arial" w:cs="Arial"/>
                <w:color w:val="000000"/>
                <w:sz w:val="20"/>
                <w:szCs w:val="20"/>
                <w:vertAlign w:val="superscript"/>
              </w:rPr>
              <w:t>a</w:t>
            </w:r>
          </w:p>
        </w:tc>
        <w:tc>
          <w:tcPr>
            <w:tcW w:w="825" w:type="pct"/>
            <w:tcBorders>
              <w:top w:val="single" w:sz="4" w:space="0" w:color="auto"/>
              <w:bottom w:val="single" w:sz="4" w:space="0" w:color="auto"/>
            </w:tcBorders>
            <w:noWrap/>
            <w:hideMark/>
          </w:tcPr>
          <w:p w14:paraId="101A5220"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1.68 ± 0.007</w:t>
            </w:r>
            <w:r w:rsidRPr="003D4161">
              <w:rPr>
                <w:rFonts w:ascii="Arial" w:eastAsia="Times New Roman" w:hAnsi="Arial" w:cs="Arial"/>
                <w:color w:val="000000"/>
                <w:sz w:val="20"/>
                <w:szCs w:val="20"/>
                <w:vertAlign w:val="superscript"/>
              </w:rPr>
              <w:t>ab</w:t>
            </w:r>
          </w:p>
        </w:tc>
        <w:tc>
          <w:tcPr>
            <w:tcW w:w="462" w:type="pct"/>
            <w:tcBorders>
              <w:top w:val="single" w:sz="4" w:space="0" w:color="auto"/>
              <w:bottom w:val="single" w:sz="4" w:space="0" w:color="auto"/>
            </w:tcBorders>
            <w:noWrap/>
            <w:hideMark/>
          </w:tcPr>
          <w:p w14:paraId="5CCD4DD2" w14:textId="77777777" w:rsidR="00E35CE1" w:rsidRPr="003D4161" w:rsidRDefault="00E35CE1" w:rsidP="003D4161">
            <w:pPr>
              <w:spacing w:before="80" w:after="8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0.014</w:t>
            </w:r>
          </w:p>
        </w:tc>
      </w:tr>
      <w:tr w:rsidR="00E35CE1" w:rsidRPr="003D4161" w14:paraId="165B1269" w14:textId="77777777" w:rsidTr="00E87D35">
        <w:trPr>
          <w:trHeight w:val="312"/>
          <w:jc w:val="center"/>
        </w:trPr>
        <w:tc>
          <w:tcPr>
            <w:tcW w:w="1155" w:type="pct"/>
            <w:tcBorders>
              <w:top w:val="single" w:sz="4" w:space="0" w:color="auto"/>
            </w:tcBorders>
            <w:noWrap/>
            <w:hideMark/>
          </w:tcPr>
          <w:p w14:paraId="71B53366" w14:textId="77777777" w:rsidR="00E35CE1" w:rsidRPr="003D4161" w:rsidRDefault="00E35CE1" w:rsidP="003D4161">
            <w:pPr>
              <w:spacing w:before="80" w:after="80" w:line="276" w:lineRule="auto"/>
              <w:rPr>
                <w:rFonts w:ascii="Arial" w:eastAsia="Times New Roman" w:hAnsi="Arial" w:cs="Arial"/>
                <w:b/>
                <w:color w:val="FF0000"/>
                <w:sz w:val="20"/>
                <w:szCs w:val="20"/>
              </w:rPr>
            </w:pPr>
            <w:r w:rsidRPr="003D4161">
              <w:rPr>
                <w:rFonts w:ascii="Arial" w:eastAsia="Times New Roman" w:hAnsi="Arial" w:cs="Arial"/>
                <w:b/>
                <w:sz w:val="20"/>
                <w:szCs w:val="20"/>
              </w:rPr>
              <w:t>Performance index*</w:t>
            </w:r>
          </w:p>
        </w:tc>
        <w:tc>
          <w:tcPr>
            <w:tcW w:w="871" w:type="pct"/>
            <w:tcBorders>
              <w:top w:val="single" w:sz="4" w:space="0" w:color="auto"/>
            </w:tcBorders>
            <w:noWrap/>
            <w:hideMark/>
          </w:tcPr>
          <w:p w14:paraId="4F81B5E2"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1289.24 ± 0.24</w:t>
            </w:r>
            <w:r w:rsidRPr="003D4161">
              <w:rPr>
                <w:rFonts w:ascii="Arial" w:hAnsi="Arial" w:cs="Arial"/>
                <w:sz w:val="20"/>
                <w:szCs w:val="20"/>
                <w:vertAlign w:val="superscript"/>
              </w:rPr>
              <w:t>a</w:t>
            </w:r>
          </w:p>
        </w:tc>
        <w:tc>
          <w:tcPr>
            <w:tcW w:w="869" w:type="pct"/>
            <w:tcBorders>
              <w:top w:val="single" w:sz="4" w:space="0" w:color="auto"/>
            </w:tcBorders>
            <w:noWrap/>
            <w:hideMark/>
          </w:tcPr>
          <w:p w14:paraId="3E2B733F"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1312.81 ± 1.18</w:t>
            </w:r>
            <w:r w:rsidRPr="003D4161">
              <w:rPr>
                <w:rFonts w:ascii="Arial" w:hAnsi="Arial" w:cs="Arial"/>
                <w:sz w:val="20"/>
                <w:szCs w:val="20"/>
                <w:vertAlign w:val="superscript"/>
              </w:rPr>
              <w:t>b</w:t>
            </w:r>
          </w:p>
        </w:tc>
        <w:tc>
          <w:tcPr>
            <w:tcW w:w="818" w:type="pct"/>
            <w:tcBorders>
              <w:top w:val="single" w:sz="4" w:space="0" w:color="auto"/>
            </w:tcBorders>
            <w:noWrap/>
            <w:hideMark/>
          </w:tcPr>
          <w:p w14:paraId="23F1110E"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1361.71 ± 1.56</w:t>
            </w:r>
            <w:r w:rsidRPr="003D4161">
              <w:rPr>
                <w:rFonts w:ascii="Arial" w:hAnsi="Arial" w:cs="Arial"/>
                <w:sz w:val="20"/>
                <w:szCs w:val="20"/>
                <w:vertAlign w:val="superscript"/>
              </w:rPr>
              <w:t>d</w:t>
            </w:r>
          </w:p>
        </w:tc>
        <w:tc>
          <w:tcPr>
            <w:tcW w:w="825" w:type="pct"/>
            <w:tcBorders>
              <w:top w:val="single" w:sz="4" w:space="0" w:color="auto"/>
            </w:tcBorders>
            <w:noWrap/>
            <w:hideMark/>
          </w:tcPr>
          <w:p w14:paraId="7227FF67"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hAnsi="Arial" w:cs="Arial"/>
                <w:sz w:val="20"/>
                <w:szCs w:val="20"/>
              </w:rPr>
              <w:t>1340.08 ± 0.46</w:t>
            </w:r>
            <w:r w:rsidRPr="003D4161">
              <w:rPr>
                <w:rFonts w:ascii="Arial" w:hAnsi="Arial" w:cs="Arial"/>
                <w:sz w:val="20"/>
                <w:szCs w:val="20"/>
                <w:vertAlign w:val="superscript"/>
              </w:rPr>
              <w:t>c</w:t>
            </w:r>
          </w:p>
        </w:tc>
        <w:tc>
          <w:tcPr>
            <w:tcW w:w="462" w:type="pct"/>
            <w:tcBorders>
              <w:top w:val="single" w:sz="4" w:space="0" w:color="auto"/>
            </w:tcBorders>
            <w:noWrap/>
            <w:hideMark/>
          </w:tcPr>
          <w:p w14:paraId="037E10E7" w14:textId="77777777" w:rsidR="00E35CE1" w:rsidRPr="003D4161" w:rsidRDefault="00E35CE1" w:rsidP="003D4161">
            <w:pPr>
              <w:spacing w:before="80" w:after="80" w:line="276" w:lineRule="auto"/>
              <w:rPr>
                <w:rFonts w:ascii="Arial" w:eastAsia="Times New Roman" w:hAnsi="Arial" w:cs="Arial"/>
                <w:sz w:val="20"/>
                <w:szCs w:val="20"/>
              </w:rPr>
            </w:pPr>
            <w:r w:rsidRPr="003D4161">
              <w:rPr>
                <w:rFonts w:ascii="Arial" w:eastAsia="Times New Roman" w:hAnsi="Arial" w:cs="Arial"/>
                <w:sz w:val="20"/>
                <w:szCs w:val="20"/>
              </w:rPr>
              <w:t>&lt; 0.001</w:t>
            </w:r>
          </w:p>
        </w:tc>
      </w:tr>
    </w:tbl>
    <w:p w14:paraId="3EDE0B3B" w14:textId="77777777" w:rsidR="00E35CE1" w:rsidRPr="00E745AA" w:rsidRDefault="00E35CE1" w:rsidP="00E745AA">
      <w:pPr>
        <w:spacing w:after="0" w:line="240" w:lineRule="auto"/>
        <w:rPr>
          <w:rFonts w:ascii="Arial" w:hAnsi="Arial" w:cs="Arial"/>
          <w:sz w:val="18"/>
          <w:szCs w:val="18"/>
        </w:rPr>
      </w:pPr>
      <w:r w:rsidRPr="00E745AA">
        <w:rPr>
          <w:rFonts w:ascii="Arial" w:hAnsi="Arial" w:cs="Arial"/>
          <w:sz w:val="18"/>
          <w:szCs w:val="18"/>
        </w:rPr>
        <w:t>Mean values bearing different alphabets (a, b, c and d) in superscript in a row differ significantly, *(P &lt; 0.05)</w:t>
      </w:r>
    </w:p>
    <w:p w14:paraId="67619C0A" w14:textId="77777777" w:rsidR="00E35CE1" w:rsidRPr="00E745AA" w:rsidRDefault="00E35CE1" w:rsidP="00E745AA">
      <w:pPr>
        <w:spacing w:after="0" w:line="240" w:lineRule="auto"/>
        <w:rPr>
          <w:rFonts w:ascii="Arial" w:hAnsi="Arial" w:cs="Arial"/>
          <w:sz w:val="18"/>
          <w:szCs w:val="18"/>
        </w:rPr>
      </w:pPr>
      <w:r w:rsidRPr="00E745AA">
        <w:rPr>
          <w:rFonts w:ascii="Arial" w:hAnsi="Arial" w:cs="Arial"/>
          <w:sz w:val="18"/>
          <w:szCs w:val="18"/>
        </w:rPr>
        <w:t>T1: -Basal diet, T2: -Basal diet + 1% Mushroom fruiting body waste, T3: -Basal diet + 2% Mushroom fruiting body waste, T4: -Basal diet + 3% Mushroom fruiting body waste</w:t>
      </w:r>
    </w:p>
    <w:p w14:paraId="25757BAC" w14:textId="77777777" w:rsidR="00CC29DE" w:rsidRPr="003D4161" w:rsidRDefault="00CC29DE" w:rsidP="000004F3">
      <w:pPr>
        <w:spacing w:before="120" w:after="120" w:line="360" w:lineRule="auto"/>
        <w:jc w:val="both"/>
        <w:rPr>
          <w:rFonts w:ascii="Arial" w:hAnsi="Arial" w:cs="Arial"/>
          <w:b/>
          <w:sz w:val="20"/>
          <w:szCs w:val="20"/>
          <w:u w:val="single"/>
        </w:rPr>
      </w:pPr>
    </w:p>
    <w:p w14:paraId="389B979D"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lang w:val="en-GB" w:eastAsia="en-GB"/>
        </w:rPr>
        <w:lastRenderedPageBreak/>
        <w:drawing>
          <wp:inline distT="0" distB="0" distL="0" distR="0" wp14:anchorId="25929DDC" wp14:editId="6E6CEB0E">
            <wp:extent cx="6056244" cy="2272748"/>
            <wp:effectExtent l="0" t="0" r="190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14337B" w14:textId="69BDD8AF" w:rsidR="00AF6532" w:rsidRPr="00575B86" w:rsidRDefault="00AF6532" w:rsidP="00575B86">
      <w:pPr>
        <w:spacing w:before="120" w:after="120" w:line="240" w:lineRule="auto"/>
        <w:rPr>
          <w:rFonts w:ascii="Arial" w:hAnsi="Arial" w:cs="Arial"/>
          <w:b/>
          <w:sz w:val="22"/>
          <w:szCs w:val="22"/>
        </w:rPr>
      </w:pPr>
      <w:r w:rsidRPr="00575B86">
        <w:rPr>
          <w:rFonts w:ascii="Arial" w:hAnsi="Arial" w:cs="Arial"/>
          <w:b/>
          <w:sz w:val="22"/>
          <w:szCs w:val="22"/>
        </w:rPr>
        <w:t xml:space="preserve">Fig. 1: Average feed intake (g) of broiler chicks fed diets supplemented with varying levels of mushroom </w:t>
      </w:r>
      <w:r w:rsidRPr="00575B86">
        <w:rPr>
          <w:rFonts w:ascii="Arial" w:hAnsi="Arial" w:cs="Arial"/>
          <w:b/>
          <w:i/>
          <w:sz w:val="22"/>
          <w:szCs w:val="22"/>
        </w:rPr>
        <w:t>(Agaricus bisporus)</w:t>
      </w:r>
      <w:r w:rsidRPr="00575B86">
        <w:rPr>
          <w:rFonts w:ascii="Arial" w:hAnsi="Arial" w:cs="Arial"/>
          <w:sz w:val="22"/>
          <w:szCs w:val="22"/>
        </w:rPr>
        <w:t xml:space="preserve"> </w:t>
      </w:r>
      <w:r w:rsidRPr="00575B86">
        <w:rPr>
          <w:rFonts w:ascii="Arial" w:hAnsi="Arial" w:cs="Arial"/>
          <w:b/>
          <w:sz w:val="22"/>
          <w:szCs w:val="22"/>
        </w:rPr>
        <w:t>fruiting body waste</w:t>
      </w:r>
    </w:p>
    <w:p w14:paraId="1D0DBEEA" w14:textId="77777777" w:rsidR="00CC29DE" w:rsidRPr="003D4161" w:rsidRDefault="00CC29DE" w:rsidP="000004F3">
      <w:pPr>
        <w:spacing w:before="120" w:after="120" w:line="360" w:lineRule="auto"/>
        <w:jc w:val="center"/>
        <w:rPr>
          <w:rFonts w:ascii="Arial" w:hAnsi="Arial" w:cs="Arial"/>
          <w:sz w:val="20"/>
          <w:szCs w:val="20"/>
        </w:rPr>
      </w:pPr>
    </w:p>
    <w:p w14:paraId="5607E088"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lang w:val="en-GB" w:eastAsia="en-GB"/>
        </w:rPr>
        <w:drawing>
          <wp:inline distT="0" distB="0" distL="0" distR="0" wp14:anchorId="27378F65" wp14:editId="4EC63C95">
            <wp:extent cx="6075928" cy="2140227"/>
            <wp:effectExtent l="0" t="0" r="127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3D9C00" w14:textId="0E75278E" w:rsidR="00AF6532" w:rsidRPr="00575B86" w:rsidRDefault="00AF6532" w:rsidP="00575B86">
      <w:pPr>
        <w:spacing w:before="120" w:after="120" w:line="240" w:lineRule="auto"/>
        <w:rPr>
          <w:rFonts w:ascii="Arial" w:hAnsi="Arial" w:cs="Arial"/>
          <w:b/>
          <w:sz w:val="22"/>
          <w:szCs w:val="22"/>
        </w:rPr>
      </w:pPr>
      <w:r w:rsidRPr="00575B86">
        <w:rPr>
          <w:rFonts w:ascii="Arial" w:hAnsi="Arial" w:cs="Arial"/>
          <w:b/>
          <w:sz w:val="22"/>
          <w:szCs w:val="22"/>
        </w:rPr>
        <w:t xml:space="preserve">Fig. 2: Feed conversion ratio of broiler chicks fed diets supplemented with varying levels of mushroom </w:t>
      </w:r>
      <w:r w:rsidRPr="00575B86">
        <w:rPr>
          <w:rFonts w:ascii="Arial" w:hAnsi="Arial" w:cs="Arial"/>
          <w:b/>
          <w:i/>
          <w:sz w:val="22"/>
          <w:szCs w:val="22"/>
        </w:rPr>
        <w:t>(Agaricus bisporus)</w:t>
      </w:r>
      <w:r w:rsidRPr="00575B86">
        <w:rPr>
          <w:rFonts w:ascii="Arial" w:hAnsi="Arial" w:cs="Arial"/>
          <w:b/>
          <w:sz w:val="22"/>
          <w:szCs w:val="22"/>
        </w:rPr>
        <w:t xml:space="preserve"> fruiting body</w:t>
      </w:r>
      <w:r w:rsidRPr="00575B86">
        <w:rPr>
          <w:rFonts w:ascii="Arial" w:hAnsi="Arial" w:cs="Arial"/>
          <w:sz w:val="22"/>
          <w:szCs w:val="22"/>
        </w:rPr>
        <w:t xml:space="preserve"> </w:t>
      </w:r>
      <w:r w:rsidRPr="00575B86">
        <w:rPr>
          <w:rFonts w:ascii="Arial" w:hAnsi="Arial" w:cs="Arial"/>
          <w:b/>
          <w:sz w:val="22"/>
          <w:szCs w:val="22"/>
        </w:rPr>
        <w:t>waste</w:t>
      </w:r>
    </w:p>
    <w:p w14:paraId="4BBE3068" w14:textId="77777777" w:rsidR="00CC29DE" w:rsidRPr="003D4161" w:rsidRDefault="00CC29DE" w:rsidP="000004F3">
      <w:pPr>
        <w:spacing w:before="120" w:after="120" w:line="360" w:lineRule="auto"/>
        <w:jc w:val="center"/>
        <w:rPr>
          <w:rFonts w:ascii="Arial" w:hAnsi="Arial" w:cs="Arial"/>
          <w:sz w:val="20"/>
          <w:szCs w:val="20"/>
        </w:rPr>
      </w:pPr>
    </w:p>
    <w:p w14:paraId="61965043" w14:textId="77777777" w:rsidR="00AF6532" w:rsidRPr="003D4161" w:rsidRDefault="00AF6532" w:rsidP="000004F3">
      <w:pPr>
        <w:spacing w:before="120" w:after="120" w:line="360" w:lineRule="auto"/>
        <w:jc w:val="center"/>
        <w:rPr>
          <w:rFonts w:ascii="Arial" w:hAnsi="Arial" w:cs="Arial"/>
          <w:b/>
          <w:sz w:val="20"/>
          <w:szCs w:val="20"/>
        </w:rPr>
      </w:pPr>
      <w:r w:rsidRPr="003D4161">
        <w:rPr>
          <w:rFonts w:ascii="Arial" w:hAnsi="Arial" w:cs="Arial"/>
          <w:noProof/>
          <w:sz w:val="20"/>
          <w:szCs w:val="20"/>
          <w:lang w:val="en-GB" w:eastAsia="en-GB"/>
        </w:rPr>
        <w:drawing>
          <wp:inline distT="0" distB="0" distL="0" distR="0" wp14:anchorId="1A031BCF" wp14:editId="7AA3951E">
            <wp:extent cx="6115878" cy="2239618"/>
            <wp:effectExtent l="0" t="0" r="1841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92173E" w14:textId="582C9E83" w:rsidR="00AF6532" w:rsidRPr="00E745AA" w:rsidRDefault="00AF6532" w:rsidP="00E745AA">
      <w:pPr>
        <w:spacing w:before="120" w:after="120" w:line="240" w:lineRule="auto"/>
        <w:rPr>
          <w:rFonts w:ascii="Arial" w:hAnsi="Arial" w:cs="Arial"/>
          <w:b/>
          <w:sz w:val="22"/>
          <w:szCs w:val="22"/>
        </w:rPr>
      </w:pPr>
      <w:r w:rsidRPr="00E745AA">
        <w:rPr>
          <w:rFonts w:ascii="Arial" w:hAnsi="Arial" w:cs="Arial"/>
          <w:b/>
          <w:sz w:val="22"/>
          <w:szCs w:val="22"/>
        </w:rPr>
        <w:t xml:space="preserve">Fig. 3: </w:t>
      </w:r>
      <w:commentRangeStart w:id="24"/>
      <w:r w:rsidRPr="00E745AA">
        <w:rPr>
          <w:rFonts w:ascii="Arial" w:hAnsi="Arial" w:cs="Arial"/>
          <w:b/>
          <w:sz w:val="22"/>
          <w:szCs w:val="22"/>
        </w:rPr>
        <w:t xml:space="preserve">Performance index of broiler chicks fed diets supplemented with varying levels of mushroom </w:t>
      </w:r>
      <w:r w:rsidRPr="00E745AA">
        <w:rPr>
          <w:rFonts w:ascii="Arial" w:hAnsi="Arial" w:cs="Arial"/>
          <w:b/>
          <w:i/>
          <w:sz w:val="22"/>
          <w:szCs w:val="22"/>
        </w:rPr>
        <w:t>(</w:t>
      </w:r>
      <w:proofErr w:type="spellStart"/>
      <w:r w:rsidRPr="00E745AA">
        <w:rPr>
          <w:rFonts w:ascii="Arial" w:hAnsi="Arial" w:cs="Arial"/>
          <w:b/>
          <w:i/>
          <w:sz w:val="22"/>
          <w:szCs w:val="22"/>
        </w:rPr>
        <w:t>Agaricus</w:t>
      </w:r>
      <w:proofErr w:type="spellEnd"/>
      <w:r w:rsidRPr="00E745AA">
        <w:rPr>
          <w:rFonts w:ascii="Arial" w:hAnsi="Arial" w:cs="Arial"/>
          <w:b/>
          <w:i/>
          <w:sz w:val="22"/>
          <w:szCs w:val="22"/>
        </w:rPr>
        <w:t xml:space="preserve"> </w:t>
      </w:r>
      <w:proofErr w:type="spellStart"/>
      <w:r w:rsidRPr="00E745AA">
        <w:rPr>
          <w:rFonts w:ascii="Arial" w:hAnsi="Arial" w:cs="Arial"/>
          <w:b/>
          <w:i/>
          <w:sz w:val="22"/>
          <w:szCs w:val="22"/>
        </w:rPr>
        <w:t>bisporus</w:t>
      </w:r>
      <w:proofErr w:type="spellEnd"/>
      <w:r w:rsidRPr="00E745AA">
        <w:rPr>
          <w:rFonts w:ascii="Arial" w:hAnsi="Arial" w:cs="Arial"/>
          <w:b/>
          <w:i/>
          <w:sz w:val="22"/>
          <w:szCs w:val="22"/>
        </w:rPr>
        <w:t>)</w:t>
      </w:r>
      <w:r w:rsidRPr="00E745AA">
        <w:rPr>
          <w:rFonts w:ascii="Arial" w:hAnsi="Arial" w:cs="Arial"/>
          <w:b/>
          <w:sz w:val="22"/>
          <w:szCs w:val="22"/>
        </w:rPr>
        <w:t xml:space="preserve"> fruiting body</w:t>
      </w:r>
      <w:r w:rsidRPr="00E745AA">
        <w:rPr>
          <w:rFonts w:ascii="Arial" w:hAnsi="Arial" w:cs="Arial"/>
          <w:sz w:val="22"/>
          <w:szCs w:val="22"/>
        </w:rPr>
        <w:t xml:space="preserve"> </w:t>
      </w:r>
      <w:r w:rsidRPr="00E745AA">
        <w:rPr>
          <w:rFonts w:ascii="Arial" w:hAnsi="Arial" w:cs="Arial"/>
          <w:b/>
          <w:sz w:val="22"/>
          <w:szCs w:val="22"/>
        </w:rPr>
        <w:t>waste</w:t>
      </w:r>
      <w:commentRangeEnd w:id="24"/>
      <w:r w:rsidR="00A94483">
        <w:rPr>
          <w:rStyle w:val="CommentReference"/>
        </w:rPr>
        <w:commentReference w:id="24"/>
      </w:r>
    </w:p>
    <w:p w14:paraId="1BE46515" w14:textId="77777777" w:rsidR="001E6825" w:rsidRPr="003D4161" w:rsidRDefault="001E6825" w:rsidP="00AC5A90">
      <w:pPr>
        <w:spacing w:before="120" w:after="120" w:line="240" w:lineRule="auto"/>
        <w:jc w:val="center"/>
        <w:rPr>
          <w:rFonts w:ascii="Arial" w:hAnsi="Arial" w:cs="Arial"/>
          <w:b/>
          <w:sz w:val="20"/>
          <w:szCs w:val="20"/>
        </w:rPr>
      </w:pPr>
    </w:p>
    <w:p w14:paraId="2807C0ED" w14:textId="4FB3CBDF" w:rsidR="00B841A5" w:rsidRPr="00E745AA" w:rsidRDefault="00E745AA" w:rsidP="000004F3">
      <w:pPr>
        <w:spacing w:line="360" w:lineRule="auto"/>
        <w:rPr>
          <w:rFonts w:ascii="Arial" w:hAnsi="Arial" w:cs="Arial"/>
          <w:b/>
          <w:bCs/>
          <w:sz w:val="22"/>
          <w:szCs w:val="22"/>
        </w:rPr>
      </w:pPr>
      <w:commentRangeStart w:id="25"/>
      <w:r>
        <w:rPr>
          <w:rFonts w:ascii="Arial" w:hAnsi="Arial" w:cs="Arial"/>
          <w:b/>
          <w:bCs/>
          <w:sz w:val="22"/>
          <w:szCs w:val="22"/>
        </w:rPr>
        <w:t xml:space="preserve">5. </w:t>
      </w:r>
      <w:r w:rsidR="00B841A5" w:rsidRPr="00E745AA">
        <w:rPr>
          <w:rFonts w:ascii="Arial" w:hAnsi="Arial" w:cs="Arial"/>
          <w:b/>
          <w:bCs/>
          <w:sz w:val="22"/>
          <w:szCs w:val="22"/>
        </w:rPr>
        <w:t>Nutrient utilization</w:t>
      </w:r>
      <w:commentRangeEnd w:id="25"/>
      <w:r w:rsidR="007031B6">
        <w:rPr>
          <w:rStyle w:val="CommentReference"/>
        </w:rPr>
        <w:commentReference w:id="25"/>
      </w:r>
    </w:p>
    <w:p w14:paraId="4C81013D" w14:textId="09FB870B" w:rsidR="00B841A5" w:rsidRPr="003D4161" w:rsidRDefault="00B841A5" w:rsidP="00652F73">
      <w:pPr>
        <w:spacing w:line="360" w:lineRule="auto"/>
        <w:jc w:val="both"/>
        <w:rPr>
          <w:rFonts w:ascii="Arial" w:hAnsi="Arial" w:cs="Arial"/>
          <w:sz w:val="20"/>
          <w:szCs w:val="20"/>
        </w:rPr>
      </w:pPr>
      <w:r w:rsidRPr="003D4161">
        <w:rPr>
          <w:rFonts w:ascii="Arial" w:hAnsi="Arial" w:cs="Arial"/>
          <w:sz w:val="20"/>
          <w:szCs w:val="20"/>
        </w:rPr>
        <w:t xml:space="preserve">The nutrient utilization (%) of broiler chickens fed diets supplemented with mushroom fruiting body waste powder is presented in </w:t>
      </w:r>
      <w:commentRangeStart w:id="26"/>
      <w:r w:rsidRPr="003D4161">
        <w:rPr>
          <w:rFonts w:ascii="Arial" w:hAnsi="Arial" w:cs="Arial"/>
          <w:sz w:val="20"/>
          <w:szCs w:val="20"/>
        </w:rPr>
        <w:t xml:space="preserve">Table 4. </w:t>
      </w:r>
      <w:commentRangeEnd w:id="26"/>
      <w:r w:rsidR="00A94483">
        <w:rPr>
          <w:rStyle w:val="CommentReference"/>
        </w:rPr>
        <w:commentReference w:id="26"/>
      </w:r>
      <w:r w:rsidRPr="003D4161">
        <w:rPr>
          <w:rFonts w:ascii="Arial" w:hAnsi="Arial" w:cs="Arial"/>
          <w:sz w:val="20"/>
          <w:szCs w:val="20"/>
        </w:rPr>
        <w:t>Dry matter digestibility differed significantly (</w:t>
      </w:r>
      <w:r w:rsidR="001E0875" w:rsidRPr="003D4161">
        <w:rPr>
          <w:rFonts w:ascii="Arial" w:hAnsi="Arial" w:cs="Arial"/>
          <w:sz w:val="20"/>
          <w:szCs w:val="20"/>
        </w:rPr>
        <w:t xml:space="preserve">P </w:t>
      </w:r>
      <w:r w:rsidRPr="003D4161">
        <w:rPr>
          <w:rFonts w:ascii="Arial" w:hAnsi="Arial" w:cs="Arial"/>
          <w:sz w:val="20"/>
          <w:szCs w:val="20"/>
        </w:rPr>
        <w:t>&lt;</w:t>
      </w:r>
      <w:r w:rsidR="001E0875" w:rsidRPr="003D4161">
        <w:rPr>
          <w:rFonts w:ascii="Arial" w:hAnsi="Arial" w:cs="Arial"/>
          <w:sz w:val="20"/>
          <w:szCs w:val="20"/>
        </w:rPr>
        <w:t xml:space="preserve"> </w:t>
      </w:r>
      <w:r w:rsidRPr="003D4161">
        <w:rPr>
          <w:rFonts w:ascii="Arial" w:hAnsi="Arial" w:cs="Arial"/>
          <w:sz w:val="20"/>
          <w:szCs w:val="20"/>
        </w:rPr>
        <w:t>0.05) among treatment groups, with highest value recorded in T3 followed by T4 and T2 compared to control. Organic matter digestibility was significantly improved (</w:t>
      </w:r>
      <w:r w:rsidR="001E0875" w:rsidRPr="003D4161">
        <w:rPr>
          <w:rFonts w:ascii="Arial" w:hAnsi="Arial" w:cs="Arial"/>
          <w:sz w:val="20"/>
          <w:szCs w:val="20"/>
        </w:rPr>
        <w:t>P</w:t>
      </w:r>
      <w:r w:rsidR="00FC6E10" w:rsidRPr="003D4161">
        <w:rPr>
          <w:rFonts w:ascii="Arial" w:hAnsi="Arial" w:cs="Arial"/>
          <w:sz w:val="20"/>
          <w:szCs w:val="20"/>
        </w:rPr>
        <w:t xml:space="preserve"> </w:t>
      </w:r>
      <w:r w:rsidRPr="003D4161">
        <w:rPr>
          <w:rFonts w:ascii="Arial" w:hAnsi="Arial" w:cs="Arial"/>
          <w:sz w:val="20"/>
          <w:szCs w:val="20"/>
        </w:rPr>
        <w:t>&lt;</w:t>
      </w:r>
      <w:r w:rsidR="00FC6E10" w:rsidRPr="003D4161">
        <w:rPr>
          <w:rFonts w:ascii="Arial" w:hAnsi="Arial" w:cs="Arial"/>
          <w:sz w:val="20"/>
          <w:szCs w:val="20"/>
        </w:rPr>
        <w:t xml:space="preserve"> </w:t>
      </w:r>
      <w:r w:rsidRPr="003D4161">
        <w:rPr>
          <w:rFonts w:ascii="Arial" w:hAnsi="Arial" w:cs="Arial"/>
          <w:sz w:val="20"/>
          <w:szCs w:val="20"/>
        </w:rPr>
        <w:t>0.01), with highest value recorded in T4 and T3 compared to control. Crude protein digestibility also increased significantly (</w:t>
      </w:r>
      <w:r w:rsidR="00FC6E10" w:rsidRPr="003D4161">
        <w:rPr>
          <w:rFonts w:ascii="Arial" w:hAnsi="Arial" w:cs="Arial"/>
          <w:sz w:val="20"/>
          <w:szCs w:val="20"/>
        </w:rPr>
        <w:t xml:space="preserve">P </w:t>
      </w:r>
      <w:r w:rsidRPr="003D4161">
        <w:rPr>
          <w:rFonts w:ascii="Arial" w:hAnsi="Arial" w:cs="Arial"/>
          <w:sz w:val="20"/>
          <w:szCs w:val="20"/>
        </w:rPr>
        <w:t>&lt;</w:t>
      </w:r>
      <w:r w:rsidR="00FC6E10" w:rsidRPr="003D4161">
        <w:rPr>
          <w:rFonts w:ascii="Arial" w:hAnsi="Arial" w:cs="Arial"/>
          <w:sz w:val="20"/>
          <w:szCs w:val="20"/>
        </w:rPr>
        <w:t xml:space="preserve"> </w:t>
      </w:r>
      <w:r w:rsidRPr="003D4161">
        <w:rPr>
          <w:rFonts w:ascii="Arial" w:hAnsi="Arial" w:cs="Arial"/>
          <w:sz w:val="20"/>
          <w:szCs w:val="20"/>
        </w:rPr>
        <w:t>0.05), with highest digestibility observed in T3. Ether extract digestibility did not differ significantly (</w:t>
      </w:r>
      <w:r w:rsidR="00FC6E10" w:rsidRPr="003D4161">
        <w:rPr>
          <w:rFonts w:ascii="Arial" w:hAnsi="Arial" w:cs="Arial"/>
          <w:sz w:val="20"/>
          <w:szCs w:val="20"/>
        </w:rPr>
        <w:t xml:space="preserve">P </w:t>
      </w:r>
      <w:r w:rsidRPr="003D4161">
        <w:rPr>
          <w:rFonts w:ascii="Arial" w:hAnsi="Arial" w:cs="Arial"/>
          <w:sz w:val="20"/>
          <w:szCs w:val="20"/>
        </w:rPr>
        <w:t>&gt;</w:t>
      </w:r>
      <w:r w:rsidR="00FC6E10" w:rsidRPr="003D4161">
        <w:rPr>
          <w:rFonts w:ascii="Arial" w:hAnsi="Arial" w:cs="Arial"/>
          <w:sz w:val="20"/>
          <w:szCs w:val="20"/>
        </w:rPr>
        <w:t xml:space="preserve"> </w:t>
      </w:r>
      <w:r w:rsidRPr="003D4161">
        <w:rPr>
          <w:rFonts w:ascii="Arial" w:hAnsi="Arial" w:cs="Arial"/>
          <w:sz w:val="20"/>
          <w:szCs w:val="20"/>
        </w:rPr>
        <w:t>0.05) among treatment groups.</w:t>
      </w:r>
    </w:p>
    <w:p w14:paraId="0C196365" w14:textId="77777777" w:rsidR="00B841A5" w:rsidRPr="003D4161" w:rsidRDefault="00B841A5" w:rsidP="00652F73">
      <w:pPr>
        <w:spacing w:line="360" w:lineRule="auto"/>
        <w:jc w:val="both"/>
        <w:rPr>
          <w:rFonts w:ascii="Arial" w:hAnsi="Arial" w:cs="Arial"/>
          <w:sz w:val="20"/>
          <w:szCs w:val="20"/>
        </w:rPr>
      </w:pPr>
      <w:r w:rsidRPr="003D4161">
        <w:rPr>
          <w:rFonts w:ascii="Arial" w:hAnsi="Arial" w:cs="Arial"/>
          <w:sz w:val="20"/>
          <w:szCs w:val="20"/>
        </w:rPr>
        <w:t xml:space="preserve">Improved nutrient utilization in mushroom supplemented groups may be attributed to better intestinal microbial balance and enhanced digestive efficiency due to the presence of mushroom polysaccharides, β-glucans and fermentable fibre fractions. </w:t>
      </w:r>
      <w:commentRangeStart w:id="27"/>
      <w:r w:rsidRPr="003D4161">
        <w:rPr>
          <w:rFonts w:ascii="Arial" w:hAnsi="Arial" w:cs="Arial"/>
          <w:sz w:val="20"/>
          <w:szCs w:val="20"/>
        </w:rPr>
        <w:t>Similar improvement in nutrient digestibility with mushroom waste supplementation has been reported earlier in broiler chickens.</w:t>
      </w:r>
      <w:commentRangeEnd w:id="27"/>
      <w:r w:rsidR="0033687F">
        <w:rPr>
          <w:rStyle w:val="CommentReference"/>
        </w:rPr>
        <w:commentReference w:id="27"/>
      </w:r>
    </w:p>
    <w:p w14:paraId="597B0974" w14:textId="77777777" w:rsidR="001B253E" w:rsidRPr="003D4161" w:rsidRDefault="001B253E" w:rsidP="00652F73">
      <w:pPr>
        <w:spacing w:before="120" w:after="120" w:line="360" w:lineRule="auto"/>
        <w:jc w:val="both"/>
        <w:rPr>
          <w:rFonts w:ascii="Arial" w:hAnsi="Arial" w:cs="Arial"/>
          <w:sz w:val="20"/>
          <w:szCs w:val="20"/>
        </w:rPr>
      </w:pPr>
      <w:r w:rsidRPr="003D4161">
        <w:rPr>
          <w:rFonts w:ascii="Arial" w:hAnsi="Arial" w:cs="Arial"/>
          <w:sz w:val="20"/>
          <w:szCs w:val="20"/>
        </w:rPr>
        <w:t xml:space="preserve">The results of the present study are consistent with the findings of </w:t>
      </w:r>
      <w:r w:rsidRPr="003D4161">
        <w:rPr>
          <w:rFonts w:ascii="Arial" w:hAnsi="Arial" w:cs="Arial"/>
          <w:bCs/>
          <w:sz w:val="20"/>
          <w:szCs w:val="20"/>
        </w:rPr>
        <w:t xml:space="preserve">Yang </w:t>
      </w:r>
      <w:r w:rsidRPr="003D4161">
        <w:rPr>
          <w:rFonts w:ascii="Arial" w:hAnsi="Arial" w:cs="Arial"/>
          <w:bCs/>
          <w:i/>
          <w:sz w:val="20"/>
          <w:szCs w:val="20"/>
        </w:rPr>
        <w:t xml:space="preserve">et al. </w:t>
      </w:r>
      <w:r w:rsidRPr="003D4161">
        <w:rPr>
          <w:rFonts w:ascii="Arial" w:hAnsi="Arial" w:cs="Arial"/>
          <w:bCs/>
          <w:sz w:val="20"/>
          <w:szCs w:val="20"/>
        </w:rPr>
        <w:t>(2021),</w:t>
      </w:r>
      <w:r w:rsidRPr="003D4161">
        <w:rPr>
          <w:rFonts w:ascii="Arial" w:hAnsi="Arial" w:cs="Arial"/>
          <w:sz w:val="20"/>
          <w:szCs w:val="20"/>
        </w:rPr>
        <w:t xml:space="preserve"> who reported a significantly higher (P &lt; 0.05) crude protein digestibility in hens fed diets containing </w:t>
      </w:r>
      <w:r w:rsidRPr="003D4161">
        <w:rPr>
          <w:rFonts w:ascii="Arial" w:hAnsi="Arial" w:cs="Arial"/>
          <w:i/>
          <w:sz w:val="20"/>
          <w:szCs w:val="20"/>
        </w:rPr>
        <w:t xml:space="preserve">Agaricus bisporus </w:t>
      </w:r>
      <w:r w:rsidRPr="003D4161">
        <w:rPr>
          <w:rFonts w:ascii="Arial" w:hAnsi="Arial" w:cs="Arial"/>
          <w:sz w:val="20"/>
          <w:szCs w:val="20"/>
        </w:rPr>
        <w:t xml:space="preserve">stem residue compared with the control group. This improvement may be attributed to the enhanced bioavailability of mushroom-derived proteins and carbohydrates, which are readily digestible and thus facilitate improved nutrient utilization in poultry. Supporting these observations, </w:t>
      </w:r>
      <w:r w:rsidRPr="003D4161">
        <w:rPr>
          <w:rFonts w:ascii="Arial" w:hAnsi="Arial" w:cs="Arial"/>
          <w:bCs/>
          <w:sz w:val="20"/>
          <w:szCs w:val="20"/>
        </w:rPr>
        <w:t xml:space="preserve">Abro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demonstrated significant (P &lt; 0.05) improvements in the digestibility of ether extract, organic matter, and crude protein in broiler chickens supplemented with </w:t>
      </w:r>
      <w:r w:rsidRPr="003D4161">
        <w:rPr>
          <w:rFonts w:ascii="Arial" w:hAnsi="Arial" w:cs="Arial"/>
          <w:i/>
          <w:sz w:val="20"/>
          <w:szCs w:val="20"/>
        </w:rPr>
        <w:t xml:space="preserve">Pleurotus ostreatus </w:t>
      </w:r>
      <w:r w:rsidRPr="003D4161">
        <w:rPr>
          <w:rFonts w:ascii="Arial" w:hAnsi="Arial" w:cs="Arial"/>
          <w:sz w:val="20"/>
          <w:szCs w:val="20"/>
        </w:rPr>
        <w:t xml:space="preserve">mushrooms. Similarly, </w:t>
      </w:r>
      <w:r w:rsidRPr="003D4161">
        <w:rPr>
          <w:rFonts w:ascii="Arial" w:hAnsi="Arial" w:cs="Arial"/>
          <w:bCs/>
          <w:sz w:val="20"/>
          <w:szCs w:val="20"/>
        </w:rPr>
        <w:t xml:space="preserve">Shang </w:t>
      </w:r>
      <w:r w:rsidRPr="003D4161">
        <w:rPr>
          <w:rFonts w:ascii="Arial" w:hAnsi="Arial" w:cs="Arial"/>
          <w:bCs/>
          <w:i/>
          <w:sz w:val="20"/>
          <w:szCs w:val="20"/>
        </w:rPr>
        <w:t xml:space="preserve">et al. </w:t>
      </w:r>
      <w:r w:rsidRPr="003D4161">
        <w:rPr>
          <w:rFonts w:ascii="Arial" w:hAnsi="Arial" w:cs="Arial"/>
          <w:bCs/>
          <w:sz w:val="20"/>
          <w:szCs w:val="20"/>
        </w:rPr>
        <w:t>(2016)</w:t>
      </w:r>
      <w:r w:rsidRPr="003D4161">
        <w:rPr>
          <w:rFonts w:ascii="Arial" w:hAnsi="Arial" w:cs="Arial"/>
          <w:sz w:val="20"/>
          <w:szCs w:val="20"/>
        </w:rPr>
        <w:t xml:space="preserve"> observed a significant enhancement (P &lt; 0.01) in crude protein digestibility in broilers receiving diets containing Hericium caput-medusae. In addition, </w:t>
      </w:r>
      <w:proofErr w:type="spellStart"/>
      <w:r w:rsidRPr="003D4161">
        <w:rPr>
          <w:rFonts w:ascii="Arial" w:hAnsi="Arial" w:cs="Arial"/>
          <w:sz w:val="20"/>
          <w:szCs w:val="20"/>
        </w:rPr>
        <w:t>Chanjula</w:t>
      </w:r>
      <w:proofErr w:type="spellEnd"/>
      <w:r w:rsidRPr="003D4161">
        <w:rPr>
          <w:rFonts w:ascii="Arial" w:hAnsi="Arial" w:cs="Arial"/>
          <w:sz w:val="20"/>
          <w:szCs w:val="20"/>
        </w:rPr>
        <w:t xml:space="preserve"> and </w:t>
      </w:r>
      <w:proofErr w:type="spellStart"/>
      <w:r w:rsidRPr="003D4161">
        <w:rPr>
          <w:rFonts w:ascii="Arial" w:hAnsi="Arial" w:cs="Arial"/>
          <w:sz w:val="20"/>
          <w:szCs w:val="20"/>
        </w:rPr>
        <w:t>Cherdthong</w:t>
      </w:r>
      <w:proofErr w:type="spellEnd"/>
      <w:r w:rsidRPr="003D4161">
        <w:rPr>
          <w:rFonts w:ascii="Arial" w:hAnsi="Arial" w:cs="Arial"/>
          <w:b/>
          <w:sz w:val="20"/>
          <w:szCs w:val="20"/>
        </w:rPr>
        <w:t xml:space="preserve"> </w:t>
      </w:r>
      <w:r w:rsidRPr="003D4161">
        <w:rPr>
          <w:rFonts w:ascii="Arial" w:hAnsi="Arial" w:cs="Arial"/>
          <w:bCs/>
          <w:sz w:val="20"/>
          <w:szCs w:val="20"/>
        </w:rPr>
        <w:t>(2018)</w:t>
      </w:r>
      <w:r w:rsidRPr="003D4161">
        <w:rPr>
          <w:rFonts w:ascii="Arial" w:hAnsi="Arial" w:cs="Arial"/>
          <w:sz w:val="20"/>
          <w:szCs w:val="20"/>
        </w:rPr>
        <w:t xml:space="preserve"> reported significant improvements in the digestibility of dry matter, ether extract, organic matter, and crude protein in goats fed </w:t>
      </w:r>
      <w:r w:rsidRPr="003D4161">
        <w:rPr>
          <w:rFonts w:ascii="Arial" w:hAnsi="Arial" w:cs="Arial"/>
          <w:i/>
          <w:sz w:val="20"/>
          <w:szCs w:val="20"/>
        </w:rPr>
        <w:t>Cordyceps militaris</w:t>
      </w:r>
      <w:r w:rsidRPr="003D4161">
        <w:rPr>
          <w:rFonts w:ascii="Arial" w:hAnsi="Arial" w:cs="Arial"/>
          <w:sz w:val="20"/>
          <w:szCs w:val="20"/>
        </w:rPr>
        <w:t xml:space="preserve"> spent mushroom.</w:t>
      </w:r>
    </w:p>
    <w:p w14:paraId="0AA2355D" w14:textId="00592C3C" w:rsidR="00AC5A90" w:rsidRPr="003D4161" w:rsidRDefault="001B253E" w:rsidP="00652F73">
      <w:pPr>
        <w:spacing w:line="360" w:lineRule="auto"/>
        <w:jc w:val="both"/>
        <w:rPr>
          <w:rFonts w:ascii="Arial" w:hAnsi="Arial" w:cs="Arial"/>
          <w:sz w:val="20"/>
          <w:szCs w:val="20"/>
        </w:rPr>
      </w:pPr>
      <w:r w:rsidRPr="003D4161">
        <w:rPr>
          <w:rFonts w:ascii="Arial" w:hAnsi="Arial" w:cs="Arial"/>
          <w:sz w:val="20"/>
          <w:szCs w:val="20"/>
        </w:rPr>
        <w:t xml:space="preserve">In contrast, </w:t>
      </w:r>
      <w:proofErr w:type="spellStart"/>
      <w:r w:rsidRPr="003D4161">
        <w:rPr>
          <w:rFonts w:ascii="Arial" w:hAnsi="Arial" w:cs="Arial"/>
          <w:bCs/>
          <w:sz w:val="20"/>
          <w:szCs w:val="20"/>
        </w:rPr>
        <w:t>Bakshi</w:t>
      </w:r>
      <w:proofErr w:type="spellEnd"/>
      <w:r w:rsidRPr="003D4161">
        <w:rPr>
          <w:rFonts w:ascii="Arial" w:hAnsi="Arial" w:cs="Arial"/>
          <w:bCs/>
          <w:sz w:val="20"/>
          <w:szCs w:val="20"/>
        </w:rPr>
        <w:t xml:space="preserve"> and </w:t>
      </w:r>
      <w:proofErr w:type="spellStart"/>
      <w:r w:rsidRPr="003D4161">
        <w:rPr>
          <w:rFonts w:ascii="Arial" w:hAnsi="Arial" w:cs="Arial"/>
          <w:bCs/>
          <w:sz w:val="20"/>
          <w:szCs w:val="20"/>
        </w:rPr>
        <w:t>Langari</w:t>
      </w:r>
      <w:proofErr w:type="spellEnd"/>
      <w:r w:rsidRPr="003D4161">
        <w:rPr>
          <w:rFonts w:ascii="Arial" w:hAnsi="Arial" w:cs="Arial"/>
          <w:bCs/>
          <w:sz w:val="20"/>
          <w:szCs w:val="20"/>
        </w:rPr>
        <w:t xml:space="preserve"> (1985) </w:t>
      </w:r>
      <w:r w:rsidRPr="003D4161">
        <w:rPr>
          <w:rFonts w:ascii="Arial" w:hAnsi="Arial" w:cs="Arial"/>
          <w:sz w:val="20"/>
          <w:szCs w:val="20"/>
        </w:rPr>
        <w:t xml:space="preserve">reported no significant (P &gt; 0.05) differences in the digestibility of dry matter, ether extract, organic matter, or crude protein in buffaloes fed spent </w:t>
      </w:r>
      <w:r w:rsidRPr="003D4161">
        <w:rPr>
          <w:rFonts w:ascii="Arial" w:hAnsi="Arial" w:cs="Arial"/>
          <w:i/>
          <w:sz w:val="20"/>
          <w:szCs w:val="20"/>
        </w:rPr>
        <w:t>Agaricus bisporus</w:t>
      </w:r>
      <w:r w:rsidRPr="003D4161">
        <w:rPr>
          <w:rFonts w:ascii="Arial" w:hAnsi="Arial" w:cs="Arial"/>
          <w:sz w:val="20"/>
          <w:szCs w:val="20"/>
        </w:rPr>
        <w:t xml:space="preserve">. Likewise, </w:t>
      </w:r>
      <w:r w:rsidRPr="003D4161">
        <w:rPr>
          <w:rFonts w:ascii="Arial" w:hAnsi="Arial" w:cs="Arial"/>
          <w:bCs/>
          <w:sz w:val="20"/>
          <w:szCs w:val="20"/>
        </w:rPr>
        <w:t xml:space="preserve">Fazaeli and Masoodi (2006) </w:t>
      </w:r>
      <w:r w:rsidRPr="003D4161">
        <w:rPr>
          <w:rFonts w:ascii="Arial" w:hAnsi="Arial" w:cs="Arial"/>
          <w:sz w:val="20"/>
          <w:szCs w:val="20"/>
        </w:rPr>
        <w:t xml:space="preserve">noted that incorporation of </w:t>
      </w:r>
      <w:r w:rsidRPr="003D4161">
        <w:rPr>
          <w:rFonts w:ascii="Arial" w:hAnsi="Arial" w:cs="Arial"/>
          <w:i/>
          <w:sz w:val="20"/>
          <w:szCs w:val="20"/>
        </w:rPr>
        <w:t xml:space="preserve">Agaricus bisporus </w:t>
      </w:r>
      <w:r w:rsidRPr="003D4161">
        <w:rPr>
          <w:rFonts w:ascii="Arial" w:hAnsi="Arial" w:cs="Arial"/>
          <w:sz w:val="20"/>
          <w:szCs w:val="20"/>
        </w:rPr>
        <w:t xml:space="preserve">waste in ruminant diets did not result in any significant changes in nutrient digestibility. Comparable findings were reported by </w:t>
      </w:r>
      <w:r w:rsidRPr="003D4161">
        <w:rPr>
          <w:rFonts w:ascii="Arial" w:hAnsi="Arial" w:cs="Arial"/>
          <w:bCs/>
          <w:sz w:val="20"/>
          <w:szCs w:val="20"/>
        </w:rPr>
        <w:t xml:space="preserve">Yousefi </w:t>
      </w:r>
      <w:r w:rsidRPr="003D4161">
        <w:rPr>
          <w:rFonts w:ascii="Arial" w:hAnsi="Arial" w:cs="Arial"/>
          <w:bCs/>
          <w:i/>
          <w:sz w:val="20"/>
          <w:szCs w:val="20"/>
        </w:rPr>
        <w:t xml:space="preserve">et al. </w:t>
      </w:r>
      <w:r w:rsidRPr="003D4161">
        <w:rPr>
          <w:rFonts w:ascii="Arial" w:hAnsi="Arial" w:cs="Arial"/>
          <w:bCs/>
          <w:sz w:val="20"/>
          <w:szCs w:val="20"/>
        </w:rPr>
        <w:t>(2022),</w:t>
      </w:r>
      <w:r w:rsidRPr="003D4161">
        <w:rPr>
          <w:rFonts w:ascii="Arial" w:hAnsi="Arial" w:cs="Arial"/>
          <w:sz w:val="20"/>
          <w:szCs w:val="20"/>
        </w:rPr>
        <w:t xml:space="preserve"> who observed that dietary inclusion of </w:t>
      </w:r>
      <w:r w:rsidRPr="003D4161">
        <w:rPr>
          <w:rFonts w:ascii="Arial" w:hAnsi="Arial" w:cs="Arial"/>
          <w:i/>
          <w:sz w:val="20"/>
          <w:szCs w:val="20"/>
        </w:rPr>
        <w:t xml:space="preserve">Agaricus bisporus </w:t>
      </w:r>
      <w:r w:rsidRPr="003D4161">
        <w:rPr>
          <w:rFonts w:ascii="Arial" w:hAnsi="Arial" w:cs="Arial"/>
          <w:sz w:val="20"/>
          <w:szCs w:val="20"/>
        </w:rPr>
        <w:t>substrate did not significantly affect nutrient digestibility in growing lambs</w:t>
      </w:r>
      <w:r w:rsidR="001E6825" w:rsidRPr="003D4161">
        <w:rPr>
          <w:rFonts w:ascii="Arial" w:hAnsi="Arial" w:cs="Arial"/>
          <w:sz w:val="20"/>
          <w:szCs w:val="20"/>
        </w:rPr>
        <w:t>.</w:t>
      </w:r>
      <w:r w:rsidR="007053A4">
        <w:rPr>
          <w:rFonts w:ascii="Arial" w:hAnsi="Arial" w:cs="Arial"/>
          <w:sz w:val="20"/>
          <w:szCs w:val="20"/>
        </w:rPr>
        <w:t xml:space="preserve"> </w:t>
      </w:r>
    </w:p>
    <w:p w14:paraId="0163A7DE" w14:textId="77777777" w:rsidR="00E35CE1" w:rsidRPr="007C5BF5" w:rsidRDefault="00E35CE1" w:rsidP="007C5BF5">
      <w:pPr>
        <w:pStyle w:val="NoSpacing"/>
        <w:rPr>
          <w:rFonts w:ascii="Arial" w:hAnsi="Arial" w:cs="Arial"/>
          <w:b/>
          <w:bCs/>
          <w:sz w:val="22"/>
          <w:szCs w:val="22"/>
        </w:rPr>
      </w:pPr>
      <w:r w:rsidRPr="007C5BF5">
        <w:rPr>
          <w:rFonts w:ascii="Arial" w:hAnsi="Arial" w:cs="Arial"/>
          <w:b/>
          <w:bCs/>
          <w:sz w:val="22"/>
          <w:szCs w:val="22"/>
        </w:rPr>
        <w:t xml:space="preserve">Table 7. Average values of Nutrient utilization of broiler chicks fed diets supplemented with varying levels of mushroom </w:t>
      </w:r>
      <w:r w:rsidRPr="007C5BF5">
        <w:rPr>
          <w:rFonts w:ascii="Arial" w:hAnsi="Arial" w:cs="Arial"/>
          <w:b/>
          <w:bCs/>
          <w:i/>
          <w:sz w:val="22"/>
          <w:szCs w:val="22"/>
        </w:rPr>
        <w:t>(Agaricus bisporus)</w:t>
      </w:r>
      <w:r w:rsidRPr="007C5BF5">
        <w:rPr>
          <w:rFonts w:ascii="Arial" w:hAnsi="Arial" w:cs="Arial"/>
          <w:b/>
          <w:bCs/>
          <w:sz w:val="22"/>
          <w:szCs w:val="22"/>
        </w:rPr>
        <w:t xml:space="preserve"> fruiting body waste </w:t>
      </w:r>
    </w:p>
    <w:tbl>
      <w:tblPr>
        <w:tblW w:w="5833" w:type="pct"/>
        <w:jc w:val="center"/>
        <w:tblLayout w:type="fixed"/>
        <w:tblLook w:val="04A0" w:firstRow="1" w:lastRow="0" w:firstColumn="1" w:lastColumn="0" w:noHBand="0" w:noVBand="1"/>
      </w:tblPr>
      <w:tblGrid>
        <w:gridCol w:w="2160"/>
        <w:gridCol w:w="1704"/>
        <w:gridCol w:w="2256"/>
        <w:gridCol w:w="1620"/>
        <w:gridCol w:w="1712"/>
        <w:gridCol w:w="1078"/>
      </w:tblGrid>
      <w:tr w:rsidR="00E35CE1" w:rsidRPr="003D4161" w14:paraId="0377320B" w14:textId="77777777" w:rsidTr="00E87D35">
        <w:trPr>
          <w:trHeight w:val="395"/>
          <w:jc w:val="center"/>
        </w:trPr>
        <w:tc>
          <w:tcPr>
            <w:tcW w:w="1026" w:type="pct"/>
            <w:vMerge w:val="restart"/>
            <w:tcBorders>
              <w:top w:val="single" w:sz="4" w:space="0" w:color="auto"/>
            </w:tcBorders>
            <w:noWrap/>
            <w:vAlign w:val="center"/>
            <w:hideMark/>
          </w:tcPr>
          <w:p w14:paraId="672B91B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462" w:type="pct"/>
            <w:gridSpan w:val="4"/>
            <w:tcBorders>
              <w:top w:val="single" w:sz="4" w:space="0" w:color="auto"/>
              <w:bottom w:val="single" w:sz="4" w:space="0" w:color="auto"/>
            </w:tcBorders>
            <w:noWrap/>
            <w:vAlign w:val="center"/>
            <w:hideMark/>
          </w:tcPr>
          <w:p w14:paraId="0D82FDCE"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512" w:type="pct"/>
            <w:vMerge w:val="restart"/>
            <w:tcBorders>
              <w:top w:val="single" w:sz="4" w:space="0" w:color="auto"/>
            </w:tcBorders>
            <w:noWrap/>
            <w:vAlign w:val="center"/>
            <w:hideMark/>
          </w:tcPr>
          <w:p w14:paraId="754F6F8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5DFEA3A1" w14:textId="77777777" w:rsidTr="00E87D35">
        <w:trPr>
          <w:trHeight w:val="224"/>
          <w:jc w:val="center"/>
        </w:trPr>
        <w:tc>
          <w:tcPr>
            <w:tcW w:w="1026" w:type="pct"/>
            <w:vMerge/>
            <w:tcBorders>
              <w:bottom w:val="single" w:sz="4" w:space="0" w:color="auto"/>
            </w:tcBorders>
            <w:noWrap/>
            <w:vAlign w:val="center"/>
            <w:hideMark/>
          </w:tcPr>
          <w:p w14:paraId="0EC77DEE"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09" w:type="pct"/>
            <w:tcBorders>
              <w:top w:val="single" w:sz="4" w:space="0" w:color="auto"/>
              <w:bottom w:val="single" w:sz="4" w:space="0" w:color="auto"/>
            </w:tcBorders>
            <w:noWrap/>
            <w:vAlign w:val="center"/>
            <w:hideMark/>
          </w:tcPr>
          <w:p w14:paraId="1636D43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1071" w:type="pct"/>
            <w:tcBorders>
              <w:top w:val="single" w:sz="4" w:space="0" w:color="auto"/>
              <w:bottom w:val="single" w:sz="4" w:space="0" w:color="auto"/>
            </w:tcBorders>
            <w:noWrap/>
            <w:vAlign w:val="center"/>
            <w:hideMark/>
          </w:tcPr>
          <w:p w14:paraId="50777FF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769" w:type="pct"/>
            <w:tcBorders>
              <w:top w:val="single" w:sz="4" w:space="0" w:color="auto"/>
              <w:bottom w:val="single" w:sz="4" w:space="0" w:color="auto"/>
            </w:tcBorders>
            <w:noWrap/>
            <w:vAlign w:val="center"/>
            <w:hideMark/>
          </w:tcPr>
          <w:p w14:paraId="137525F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813" w:type="pct"/>
            <w:tcBorders>
              <w:top w:val="single" w:sz="4" w:space="0" w:color="auto"/>
              <w:bottom w:val="single" w:sz="4" w:space="0" w:color="auto"/>
            </w:tcBorders>
            <w:noWrap/>
            <w:vAlign w:val="center"/>
            <w:hideMark/>
          </w:tcPr>
          <w:p w14:paraId="103E122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512" w:type="pct"/>
            <w:vMerge/>
            <w:tcBorders>
              <w:bottom w:val="single" w:sz="4" w:space="0" w:color="auto"/>
            </w:tcBorders>
            <w:noWrap/>
            <w:vAlign w:val="center"/>
            <w:hideMark/>
          </w:tcPr>
          <w:p w14:paraId="384C30F3"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04F19ACA" w14:textId="77777777" w:rsidTr="00E87D35">
        <w:trPr>
          <w:trHeight w:val="288"/>
          <w:jc w:val="center"/>
        </w:trPr>
        <w:tc>
          <w:tcPr>
            <w:tcW w:w="1026" w:type="pct"/>
            <w:tcBorders>
              <w:top w:val="single" w:sz="4" w:space="0" w:color="auto"/>
              <w:bottom w:val="single" w:sz="4" w:space="0" w:color="auto"/>
            </w:tcBorders>
            <w:noWrap/>
            <w:hideMark/>
          </w:tcPr>
          <w:p w14:paraId="0CD85107"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Dry matter*</w:t>
            </w:r>
          </w:p>
        </w:tc>
        <w:tc>
          <w:tcPr>
            <w:tcW w:w="809" w:type="pct"/>
            <w:tcBorders>
              <w:top w:val="single" w:sz="4" w:space="0" w:color="auto"/>
              <w:bottom w:val="single" w:sz="4" w:space="0" w:color="auto"/>
            </w:tcBorders>
            <w:noWrap/>
            <w:vAlign w:val="center"/>
            <w:hideMark/>
          </w:tcPr>
          <w:p w14:paraId="61A91E7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71.60 ± 0.38</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3003439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72.33 ± 0.30</w:t>
            </w:r>
            <w:r w:rsidRPr="003D4161">
              <w:rPr>
                <w:rFonts w:ascii="Arial" w:eastAsia="Times New Roman" w:hAnsi="Arial" w:cs="Arial"/>
                <w:color w:val="000000"/>
                <w:sz w:val="20"/>
                <w:szCs w:val="20"/>
                <w:vertAlign w:val="superscript"/>
              </w:rPr>
              <w:t>ab</w:t>
            </w:r>
          </w:p>
        </w:tc>
        <w:tc>
          <w:tcPr>
            <w:tcW w:w="769" w:type="pct"/>
            <w:tcBorders>
              <w:top w:val="single" w:sz="4" w:space="0" w:color="auto"/>
              <w:bottom w:val="single" w:sz="4" w:space="0" w:color="auto"/>
            </w:tcBorders>
            <w:noWrap/>
            <w:vAlign w:val="center"/>
            <w:hideMark/>
          </w:tcPr>
          <w:p w14:paraId="0844580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73.44 ± 0.31</w:t>
            </w:r>
            <w:r w:rsidRPr="003D4161">
              <w:rPr>
                <w:rFonts w:ascii="Arial" w:eastAsia="Times New Roman" w:hAnsi="Arial" w:cs="Arial"/>
                <w:color w:val="000000"/>
                <w:sz w:val="20"/>
                <w:szCs w:val="20"/>
                <w:vertAlign w:val="superscript"/>
              </w:rPr>
              <w:t>ab</w:t>
            </w:r>
          </w:p>
        </w:tc>
        <w:tc>
          <w:tcPr>
            <w:tcW w:w="813" w:type="pct"/>
            <w:tcBorders>
              <w:top w:val="single" w:sz="4" w:space="0" w:color="auto"/>
              <w:bottom w:val="single" w:sz="4" w:space="0" w:color="auto"/>
            </w:tcBorders>
            <w:noWrap/>
            <w:vAlign w:val="center"/>
            <w:hideMark/>
          </w:tcPr>
          <w:p w14:paraId="40F13D5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72.74 ± 0.35</w:t>
            </w:r>
            <w:r w:rsidRPr="003D4161">
              <w:rPr>
                <w:rFonts w:ascii="Arial" w:eastAsia="Times New Roman" w:hAnsi="Arial" w:cs="Arial"/>
                <w:color w:val="000000"/>
                <w:sz w:val="20"/>
                <w:szCs w:val="20"/>
                <w:vertAlign w:val="superscript"/>
              </w:rPr>
              <w:t>b</w:t>
            </w:r>
          </w:p>
        </w:tc>
        <w:tc>
          <w:tcPr>
            <w:tcW w:w="512" w:type="pct"/>
            <w:tcBorders>
              <w:top w:val="single" w:sz="4" w:space="0" w:color="auto"/>
              <w:bottom w:val="single" w:sz="4" w:space="0" w:color="auto"/>
            </w:tcBorders>
            <w:noWrap/>
            <w:hideMark/>
          </w:tcPr>
          <w:p w14:paraId="01CBDD3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0.028</w:t>
            </w:r>
          </w:p>
        </w:tc>
      </w:tr>
      <w:tr w:rsidR="00E35CE1" w:rsidRPr="003D4161" w14:paraId="2CF5C406" w14:textId="77777777" w:rsidTr="00E87D35">
        <w:trPr>
          <w:trHeight w:val="395"/>
          <w:jc w:val="center"/>
        </w:trPr>
        <w:tc>
          <w:tcPr>
            <w:tcW w:w="1026" w:type="pct"/>
            <w:tcBorders>
              <w:top w:val="single" w:sz="4" w:space="0" w:color="auto"/>
              <w:bottom w:val="single" w:sz="4" w:space="0" w:color="auto"/>
            </w:tcBorders>
            <w:noWrap/>
            <w:hideMark/>
          </w:tcPr>
          <w:p w14:paraId="43CBDFC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Organic matter*</w:t>
            </w:r>
          </w:p>
        </w:tc>
        <w:tc>
          <w:tcPr>
            <w:tcW w:w="809" w:type="pct"/>
            <w:tcBorders>
              <w:top w:val="single" w:sz="4" w:space="0" w:color="auto"/>
              <w:bottom w:val="single" w:sz="4" w:space="0" w:color="auto"/>
            </w:tcBorders>
            <w:noWrap/>
            <w:vAlign w:val="center"/>
            <w:hideMark/>
          </w:tcPr>
          <w:p w14:paraId="7F5475B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73.10 ± 0.49</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6635441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74.68 ± 0.42</w:t>
            </w:r>
            <w:r w:rsidRPr="003D4161">
              <w:rPr>
                <w:rFonts w:ascii="Arial" w:eastAsia="Times New Roman" w:hAnsi="Arial" w:cs="Arial"/>
                <w:color w:val="000000"/>
                <w:sz w:val="20"/>
                <w:szCs w:val="20"/>
                <w:vertAlign w:val="superscript"/>
              </w:rPr>
              <w:t>b</w:t>
            </w:r>
          </w:p>
        </w:tc>
        <w:tc>
          <w:tcPr>
            <w:tcW w:w="769" w:type="pct"/>
            <w:tcBorders>
              <w:top w:val="single" w:sz="4" w:space="0" w:color="auto"/>
              <w:bottom w:val="single" w:sz="4" w:space="0" w:color="auto"/>
            </w:tcBorders>
            <w:noWrap/>
            <w:vAlign w:val="center"/>
            <w:hideMark/>
          </w:tcPr>
          <w:p w14:paraId="24816F2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76.07 ± 0.19</w:t>
            </w:r>
            <w:r w:rsidRPr="003D4161">
              <w:rPr>
                <w:rFonts w:ascii="Arial" w:eastAsia="Times New Roman" w:hAnsi="Arial" w:cs="Arial"/>
                <w:color w:val="000000"/>
                <w:sz w:val="20"/>
                <w:szCs w:val="20"/>
                <w:vertAlign w:val="superscript"/>
              </w:rPr>
              <w:t>bc</w:t>
            </w:r>
          </w:p>
        </w:tc>
        <w:tc>
          <w:tcPr>
            <w:tcW w:w="813" w:type="pct"/>
            <w:tcBorders>
              <w:top w:val="single" w:sz="4" w:space="0" w:color="auto"/>
              <w:bottom w:val="single" w:sz="4" w:space="0" w:color="auto"/>
            </w:tcBorders>
            <w:noWrap/>
            <w:vAlign w:val="center"/>
            <w:hideMark/>
          </w:tcPr>
          <w:p w14:paraId="14914A37"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76.70 ± 0.67</w:t>
            </w:r>
            <w:r w:rsidRPr="003D4161">
              <w:rPr>
                <w:rFonts w:ascii="Arial" w:eastAsia="Times New Roman" w:hAnsi="Arial" w:cs="Arial"/>
                <w:color w:val="000000"/>
                <w:sz w:val="20"/>
                <w:szCs w:val="20"/>
                <w:vertAlign w:val="superscript"/>
              </w:rPr>
              <w:t>c</w:t>
            </w:r>
          </w:p>
        </w:tc>
        <w:tc>
          <w:tcPr>
            <w:tcW w:w="512" w:type="pct"/>
            <w:tcBorders>
              <w:top w:val="single" w:sz="4" w:space="0" w:color="auto"/>
              <w:bottom w:val="single" w:sz="4" w:space="0" w:color="auto"/>
            </w:tcBorders>
            <w:noWrap/>
            <w:hideMark/>
          </w:tcPr>
          <w:p w14:paraId="24D8D1C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0.003</w:t>
            </w:r>
          </w:p>
        </w:tc>
      </w:tr>
      <w:tr w:rsidR="00E35CE1" w:rsidRPr="003D4161" w14:paraId="37871090" w14:textId="77777777" w:rsidTr="00E87D35">
        <w:trPr>
          <w:trHeight w:val="288"/>
          <w:jc w:val="center"/>
        </w:trPr>
        <w:tc>
          <w:tcPr>
            <w:tcW w:w="1026" w:type="pct"/>
            <w:tcBorders>
              <w:top w:val="single" w:sz="4" w:space="0" w:color="auto"/>
              <w:bottom w:val="single" w:sz="4" w:space="0" w:color="auto"/>
            </w:tcBorders>
            <w:noWrap/>
            <w:hideMark/>
          </w:tcPr>
          <w:p w14:paraId="6B6DDB2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lastRenderedPageBreak/>
              <w:t>Crude protein*</w:t>
            </w:r>
          </w:p>
        </w:tc>
        <w:tc>
          <w:tcPr>
            <w:tcW w:w="809" w:type="pct"/>
            <w:tcBorders>
              <w:top w:val="single" w:sz="4" w:space="0" w:color="auto"/>
              <w:bottom w:val="single" w:sz="4" w:space="0" w:color="auto"/>
            </w:tcBorders>
            <w:noWrap/>
            <w:vAlign w:val="center"/>
            <w:hideMark/>
          </w:tcPr>
          <w:p w14:paraId="707CE0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71.35 ± 0.18</w:t>
            </w:r>
            <w:r w:rsidRPr="003D4161">
              <w:rPr>
                <w:rFonts w:ascii="Arial" w:eastAsia="Times New Roman" w:hAnsi="Arial" w:cs="Arial"/>
                <w:color w:val="000000"/>
                <w:sz w:val="20"/>
                <w:szCs w:val="20"/>
                <w:vertAlign w:val="superscript"/>
              </w:rPr>
              <w:t>a</w:t>
            </w:r>
          </w:p>
        </w:tc>
        <w:tc>
          <w:tcPr>
            <w:tcW w:w="1071" w:type="pct"/>
            <w:tcBorders>
              <w:top w:val="single" w:sz="4" w:space="0" w:color="auto"/>
              <w:bottom w:val="single" w:sz="4" w:space="0" w:color="auto"/>
            </w:tcBorders>
            <w:noWrap/>
            <w:vAlign w:val="center"/>
            <w:hideMark/>
          </w:tcPr>
          <w:p w14:paraId="01BA824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72.2 ± 0.28</w:t>
            </w:r>
            <w:r w:rsidRPr="003D4161">
              <w:rPr>
                <w:rFonts w:ascii="Arial" w:eastAsia="Times New Roman" w:hAnsi="Arial" w:cs="Arial"/>
                <w:color w:val="000000"/>
                <w:sz w:val="20"/>
                <w:szCs w:val="20"/>
                <w:vertAlign w:val="superscript"/>
              </w:rPr>
              <w:t>ab</w:t>
            </w:r>
          </w:p>
        </w:tc>
        <w:tc>
          <w:tcPr>
            <w:tcW w:w="769" w:type="pct"/>
            <w:tcBorders>
              <w:top w:val="single" w:sz="4" w:space="0" w:color="auto"/>
              <w:bottom w:val="single" w:sz="4" w:space="0" w:color="auto"/>
            </w:tcBorders>
            <w:noWrap/>
            <w:vAlign w:val="center"/>
            <w:hideMark/>
          </w:tcPr>
          <w:p w14:paraId="6B23A43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73.29 ± 0.39</w:t>
            </w:r>
            <w:r w:rsidRPr="003D4161">
              <w:rPr>
                <w:rFonts w:ascii="Arial" w:eastAsia="Times New Roman" w:hAnsi="Arial" w:cs="Arial"/>
                <w:color w:val="000000"/>
                <w:sz w:val="20"/>
                <w:szCs w:val="20"/>
                <w:vertAlign w:val="superscript"/>
              </w:rPr>
              <w:t>c</w:t>
            </w:r>
          </w:p>
        </w:tc>
        <w:tc>
          <w:tcPr>
            <w:tcW w:w="813" w:type="pct"/>
            <w:tcBorders>
              <w:top w:val="single" w:sz="4" w:space="0" w:color="auto"/>
              <w:bottom w:val="single" w:sz="4" w:space="0" w:color="auto"/>
            </w:tcBorders>
            <w:noWrap/>
            <w:vAlign w:val="center"/>
            <w:hideMark/>
          </w:tcPr>
          <w:p w14:paraId="515EEEE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72.73 ± 0.28</w:t>
            </w:r>
            <w:r w:rsidRPr="003D4161">
              <w:rPr>
                <w:rFonts w:ascii="Arial" w:eastAsia="Times New Roman" w:hAnsi="Arial" w:cs="Arial"/>
                <w:color w:val="000000"/>
                <w:sz w:val="20"/>
                <w:szCs w:val="20"/>
                <w:vertAlign w:val="superscript"/>
              </w:rPr>
              <w:t>bc</w:t>
            </w:r>
          </w:p>
        </w:tc>
        <w:tc>
          <w:tcPr>
            <w:tcW w:w="512" w:type="pct"/>
            <w:tcBorders>
              <w:top w:val="single" w:sz="4" w:space="0" w:color="auto"/>
              <w:bottom w:val="single" w:sz="4" w:space="0" w:color="auto"/>
            </w:tcBorders>
            <w:noWrap/>
            <w:hideMark/>
          </w:tcPr>
          <w:p w14:paraId="4200E61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0.009</w:t>
            </w:r>
          </w:p>
        </w:tc>
      </w:tr>
      <w:tr w:rsidR="00E35CE1" w:rsidRPr="003D4161" w14:paraId="69A3D4F9" w14:textId="77777777" w:rsidTr="00E87D35">
        <w:trPr>
          <w:trHeight w:val="288"/>
          <w:jc w:val="center"/>
        </w:trPr>
        <w:tc>
          <w:tcPr>
            <w:tcW w:w="1026" w:type="pct"/>
            <w:tcBorders>
              <w:top w:val="single" w:sz="4" w:space="0" w:color="auto"/>
              <w:bottom w:val="single" w:sz="4" w:space="0" w:color="auto"/>
            </w:tcBorders>
            <w:noWrap/>
            <w:hideMark/>
          </w:tcPr>
          <w:p w14:paraId="53933DDA"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Ether extract</w:t>
            </w:r>
          </w:p>
        </w:tc>
        <w:tc>
          <w:tcPr>
            <w:tcW w:w="809" w:type="pct"/>
            <w:tcBorders>
              <w:top w:val="single" w:sz="4" w:space="0" w:color="auto"/>
              <w:bottom w:val="single" w:sz="4" w:space="0" w:color="auto"/>
            </w:tcBorders>
            <w:noWrap/>
            <w:vAlign w:val="center"/>
            <w:hideMark/>
          </w:tcPr>
          <w:p w14:paraId="52B8B05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70.83 ± 1.07</w:t>
            </w:r>
          </w:p>
        </w:tc>
        <w:tc>
          <w:tcPr>
            <w:tcW w:w="1071" w:type="pct"/>
            <w:tcBorders>
              <w:top w:val="single" w:sz="4" w:space="0" w:color="auto"/>
              <w:bottom w:val="single" w:sz="4" w:space="0" w:color="auto"/>
            </w:tcBorders>
            <w:noWrap/>
            <w:vAlign w:val="center"/>
            <w:hideMark/>
          </w:tcPr>
          <w:p w14:paraId="12527CE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72.70 ± 0.35</w:t>
            </w:r>
          </w:p>
        </w:tc>
        <w:tc>
          <w:tcPr>
            <w:tcW w:w="769" w:type="pct"/>
            <w:tcBorders>
              <w:top w:val="single" w:sz="4" w:space="0" w:color="auto"/>
              <w:bottom w:val="single" w:sz="4" w:space="0" w:color="auto"/>
            </w:tcBorders>
            <w:noWrap/>
            <w:vAlign w:val="center"/>
            <w:hideMark/>
          </w:tcPr>
          <w:p w14:paraId="018FA9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74.01 ± 1.54</w:t>
            </w:r>
          </w:p>
        </w:tc>
        <w:tc>
          <w:tcPr>
            <w:tcW w:w="813" w:type="pct"/>
            <w:tcBorders>
              <w:top w:val="single" w:sz="4" w:space="0" w:color="auto"/>
              <w:bottom w:val="single" w:sz="4" w:space="0" w:color="auto"/>
            </w:tcBorders>
            <w:noWrap/>
            <w:vAlign w:val="center"/>
            <w:hideMark/>
          </w:tcPr>
          <w:p w14:paraId="7F68600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72.77 ± 0.76</w:t>
            </w:r>
          </w:p>
        </w:tc>
        <w:tc>
          <w:tcPr>
            <w:tcW w:w="512" w:type="pct"/>
            <w:tcBorders>
              <w:top w:val="single" w:sz="4" w:space="0" w:color="auto"/>
              <w:bottom w:val="single" w:sz="4" w:space="0" w:color="auto"/>
            </w:tcBorders>
            <w:noWrap/>
            <w:hideMark/>
          </w:tcPr>
          <w:p w14:paraId="623A177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0.259</w:t>
            </w:r>
          </w:p>
        </w:tc>
      </w:tr>
    </w:tbl>
    <w:p w14:paraId="4D2E47FF" w14:textId="77777777" w:rsidR="00E35CE1" w:rsidRPr="007079C2" w:rsidRDefault="00E35CE1" w:rsidP="007079C2">
      <w:pPr>
        <w:spacing w:before="120" w:after="120" w:line="240" w:lineRule="auto"/>
        <w:rPr>
          <w:rFonts w:ascii="Arial" w:hAnsi="Arial" w:cs="Arial"/>
          <w:sz w:val="18"/>
          <w:szCs w:val="18"/>
        </w:rPr>
      </w:pPr>
      <w:r w:rsidRPr="007079C2">
        <w:rPr>
          <w:rFonts w:ascii="Arial" w:hAnsi="Arial" w:cs="Arial"/>
          <w:sz w:val="18"/>
          <w:szCs w:val="18"/>
        </w:rPr>
        <w:t>Mean values bearing different alphabets (a, b, c and d) in superscript in a row differ significantly, *(P &lt; 0.05)</w:t>
      </w:r>
    </w:p>
    <w:p w14:paraId="038CDEED" w14:textId="77777777" w:rsidR="00E35CE1" w:rsidRPr="007079C2" w:rsidRDefault="00E35CE1" w:rsidP="007079C2">
      <w:pPr>
        <w:spacing w:before="120" w:after="120" w:line="240" w:lineRule="auto"/>
        <w:rPr>
          <w:rFonts w:ascii="Arial" w:hAnsi="Arial" w:cs="Arial"/>
          <w:sz w:val="18"/>
          <w:szCs w:val="18"/>
        </w:rPr>
      </w:pPr>
      <w:r w:rsidRPr="007079C2">
        <w:rPr>
          <w:rFonts w:ascii="Arial" w:hAnsi="Arial" w:cs="Arial"/>
          <w:sz w:val="18"/>
          <w:szCs w:val="18"/>
        </w:rPr>
        <w:t>T1: -Basal diet, T2: -Basal diet + 1% Mushroom fruiting body waste, T3: -Basal diet + 2% Mushroom fruiting body waste, T4: -Basal diet + 3% Mushroom fruiting body waste</w:t>
      </w:r>
    </w:p>
    <w:p w14:paraId="56CCBA9A" w14:textId="77777777" w:rsidR="00FA20B0" w:rsidRPr="003D4161" w:rsidRDefault="00FA20B0" w:rsidP="000004F3">
      <w:pPr>
        <w:spacing w:before="120" w:after="120" w:line="360" w:lineRule="auto"/>
        <w:jc w:val="both"/>
        <w:rPr>
          <w:rFonts w:ascii="Arial" w:hAnsi="Arial" w:cs="Arial"/>
          <w:sz w:val="20"/>
          <w:szCs w:val="20"/>
        </w:rPr>
      </w:pPr>
    </w:p>
    <w:p w14:paraId="7F0545CF" w14:textId="77777777" w:rsidR="00FA20B0" w:rsidRPr="003D4161" w:rsidRDefault="00FA20B0" w:rsidP="000004F3">
      <w:pPr>
        <w:spacing w:before="120" w:after="120" w:line="360" w:lineRule="auto"/>
        <w:rPr>
          <w:rFonts w:ascii="Arial" w:hAnsi="Arial" w:cs="Arial"/>
          <w:sz w:val="20"/>
          <w:szCs w:val="20"/>
        </w:rPr>
      </w:pPr>
      <w:r w:rsidRPr="003D4161">
        <w:rPr>
          <w:rFonts w:ascii="Arial" w:hAnsi="Arial" w:cs="Arial"/>
          <w:noProof/>
          <w:sz w:val="20"/>
          <w:szCs w:val="20"/>
          <w:lang w:val="en-GB" w:eastAsia="en-GB"/>
        </w:rPr>
        <w:drawing>
          <wp:inline distT="0" distB="0" distL="0" distR="0" wp14:anchorId="1AB318C6" wp14:editId="177F1A2E">
            <wp:extent cx="5870713" cy="2835965"/>
            <wp:effectExtent l="0" t="0" r="1587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540792" w14:textId="4E63375F" w:rsidR="00FA20B0" w:rsidRPr="007079C2" w:rsidRDefault="00FA20B0" w:rsidP="007079C2">
      <w:pPr>
        <w:pStyle w:val="NoSpacing"/>
        <w:rPr>
          <w:rFonts w:ascii="Arial" w:hAnsi="Arial" w:cs="Arial"/>
          <w:b/>
          <w:bCs/>
          <w:sz w:val="22"/>
          <w:szCs w:val="22"/>
        </w:rPr>
      </w:pPr>
      <w:r w:rsidRPr="007079C2">
        <w:rPr>
          <w:rFonts w:ascii="Arial" w:hAnsi="Arial" w:cs="Arial"/>
          <w:b/>
          <w:bCs/>
          <w:sz w:val="22"/>
          <w:szCs w:val="22"/>
        </w:rPr>
        <w:t>Fig.</w:t>
      </w:r>
      <w:r w:rsidR="00F14E7D" w:rsidRPr="007079C2">
        <w:rPr>
          <w:rFonts w:ascii="Arial" w:hAnsi="Arial" w:cs="Arial"/>
          <w:b/>
          <w:bCs/>
          <w:sz w:val="22"/>
          <w:szCs w:val="22"/>
        </w:rPr>
        <w:t xml:space="preserve"> </w:t>
      </w:r>
      <w:r w:rsidRPr="007079C2">
        <w:rPr>
          <w:rFonts w:ascii="Arial" w:hAnsi="Arial" w:cs="Arial"/>
          <w:b/>
          <w:bCs/>
          <w:sz w:val="22"/>
          <w:szCs w:val="22"/>
        </w:rPr>
        <w:t>4:  Average values of Nutrient utilization of broiler chicks fed diets supplemented with varying levels</w:t>
      </w:r>
      <w:r w:rsidR="00934BF9" w:rsidRPr="007079C2">
        <w:rPr>
          <w:rFonts w:ascii="Arial" w:hAnsi="Arial" w:cs="Arial"/>
          <w:b/>
          <w:bCs/>
          <w:sz w:val="22"/>
          <w:szCs w:val="22"/>
        </w:rPr>
        <w:t xml:space="preserve"> </w:t>
      </w:r>
      <w:r w:rsidRPr="007079C2">
        <w:rPr>
          <w:rFonts w:ascii="Arial" w:hAnsi="Arial" w:cs="Arial"/>
          <w:b/>
          <w:bCs/>
          <w:sz w:val="22"/>
          <w:szCs w:val="22"/>
        </w:rPr>
        <w:t xml:space="preserve">of mushroom </w:t>
      </w:r>
      <w:r w:rsidRPr="007079C2">
        <w:rPr>
          <w:rFonts w:ascii="Arial" w:hAnsi="Arial" w:cs="Arial"/>
          <w:b/>
          <w:bCs/>
          <w:i/>
          <w:sz w:val="22"/>
          <w:szCs w:val="22"/>
        </w:rPr>
        <w:t>(Agaricus bisporus)</w:t>
      </w:r>
      <w:r w:rsidRPr="007079C2">
        <w:rPr>
          <w:rFonts w:ascii="Arial" w:hAnsi="Arial" w:cs="Arial"/>
          <w:b/>
          <w:bCs/>
          <w:sz w:val="22"/>
          <w:szCs w:val="22"/>
        </w:rPr>
        <w:t xml:space="preserve"> fruiting body waste</w:t>
      </w:r>
    </w:p>
    <w:p w14:paraId="5C45417B" w14:textId="77777777" w:rsidR="00B766C7" w:rsidRPr="003D4161" w:rsidRDefault="00B766C7" w:rsidP="000004F3">
      <w:pPr>
        <w:spacing w:before="120" w:after="120" w:line="360" w:lineRule="auto"/>
        <w:jc w:val="center"/>
        <w:rPr>
          <w:rFonts w:ascii="Arial" w:hAnsi="Arial" w:cs="Arial"/>
          <w:b/>
          <w:sz w:val="20"/>
          <w:szCs w:val="20"/>
        </w:rPr>
      </w:pPr>
    </w:p>
    <w:p w14:paraId="198574DB" w14:textId="75CF30A5" w:rsidR="00FE1FB0" w:rsidRPr="00671AE0" w:rsidRDefault="00671AE0" w:rsidP="000004F3">
      <w:pPr>
        <w:spacing w:line="360" w:lineRule="auto"/>
        <w:rPr>
          <w:rFonts w:ascii="Arial" w:hAnsi="Arial" w:cs="Arial"/>
          <w:b/>
          <w:bCs/>
          <w:sz w:val="22"/>
          <w:szCs w:val="22"/>
        </w:rPr>
      </w:pPr>
      <w:r w:rsidRPr="00671AE0">
        <w:rPr>
          <w:rFonts w:ascii="Arial" w:hAnsi="Arial" w:cs="Arial"/>
          <w:b/>
          <w:bCs/>
          <w:sz w:val="22"/>
          <w:szCs w:val="22"/>
        </w:rPr>
        <w:t xml:space="preserve">6. </w:t>
      </w:r>
      <w:commentRangeStart w:id="28"/>
      <w:r w:rsidR="00FE1FB0" w:rsidRPr="00671AE0">
        <w:rPr>
          <w:rFonts w:ascii="Arial" w:hAnsi="Arial" w:cs="Arial"/>
          <w:b/>
          <w:bCs/>
          <w:sz w:val="22"/>
          <w:szCs w:val="22"/>
        </w:rPr>
        <w:t>Economics</w:t>
      </w:r>
      <w:commentRangeEnd w:id="28"/>
      <w:r w:rsidR="007031B6">
        <w:rPr>
          <w:rStyle w:val="CommentReference"/>
        </w:rPr>
        <w:commentReference w:id="28"/>
      </w:r>
    </w:p>
    <w:p w14:paraId="2D2ABA37" w14:textId="77777777" w:rsidR="001554B0" w:rsidRPr="003D4161" w:rsidRDefault="002557BC" w:rsidP="00652F73">
      <w:pPr>
        <w:spacing w:before="120" w:after="120" w:line="360" w:lineRule="auto"/>
        <w:rPr>
          <w:rFonts w:ascii="Arial" w:hAnsi="Arial" w:cs="Arial"/>
          <w:sz w:val="20"/>
          <w:szCs w:val="20"/>
        </w:rPr>
      </w:pPr>
      <w:r w:rsidRPr="003D4161">
        <w:rPr>
          <w:rFonts w:ascii="Arial" w:hAnsi="Arial" w:cs="Arial"/>
          <w:sz w:val="20"/>
          <w:szCs w:val="20"/>
        </w:rPr>
        <w:t>No significant differences (P &gt; 0.05) were noted in total feed cost (</w:t>
      </w:r>
      <w:r w:rsidR="00F515C1" w:rsidRPr="003D4161">
        <w:rPr>
          <w:rFonts w:ascii="Arial" w:hAnsi="Arial" w:cs="Arial"/>
          <w:sz w:val="20"/>
          <w:szCs w:val="20"/>
        </w:rPr>
        <w:t>₹</w:t>
      </w:r>
      <w:r w:rsidRPr="003D4161">
        <w:rPr>
          <w:rFonts w:ascii="Arial" w:hAnsi="Arial" w:cs="Arial"/>
          <w:sz w:val="20"/>
          <w:szCs w:val="20"/>
        </w:rPr>
        <w:t>)</w:t>
      </w:r>
      <w:r w:rsidR="00E5009B" w:rsidRPr="003D4161">
        <w:rPr>
          <w:rFonts w:ascii="Arial" w:hAnsi="Arial" w:cs="Arial"/>
          <w:b/>
          <w:sz w:val="20"/>
          <w:szCs w:val="20"/>
        </w:rPr>
        <w:t>.</w:t>
      </w:r>
      <w:r w:rsidR="001554B0" w:rsidRPr="003D4161">
        <w:rPr>
          <w:rFonts w:ascii="Arial" w:hAnsi="Arial" w:cs="Arial"/>
          <w:b/>
          <w:sz w:val="20"/>
          <w:szCs w:val="20"/>
        </w:rPr>
        <w:t xml:space="preserve"> </w:t>
      </w:r>
      <w:r w:rsidRPr="003D4161">
        <w:rPr>
          <w:rFonts w:ascii="Arial" w:hAnsi="Arial" w:cs="Arial"/>
          <w:sz w:val="20"/>
          <w:szCs w:val="20"/>
        </w:rPr>
        <w:t>Feed cost per kilogram of weight gain (</w:t>
      </w:r>
      <w:r w:rsidR="00F515C1" w:rsidRPr="003D4161">
        <w:rPr>
          <w:rFonts w:ascii="Arial" w:hAnsi="Arial" w:cs="Arial"/>
          <w:sz w:val="20"/>
          <w:szCs w:val="20"/>
        </w:rPr>
        <w:t>₹</w:t>
      </w:r>
      <w:r w:rsidRPr="003D4161">
        <w:rPr>
          <w:rFonts w:ascii="Arial" w:hAnsi="Arial" w:cs="Arial"/>
          <w:sz w:val="20"/>
          <w:szCs w:val="20"/>
        </w:rPr>
        <w:t>) showed highly significant (P &lt; 0.001) differences among treatments. The feed cost per kg weight gain was lowest in the T3 and T4 group, followed by T2 group while the T1 group showed the highest cost.</w:t>
      </w:r>
    </w:p>
    <w:p w14:paraId="138DB0E0" w14:textId="0E58B12A" w:rsidR="002557BC" w:rsidRPr="003D4161" w:rsidRDefault="002557BC" w:rsidP="00652F73">
      <w:pPr>
        <w:spacing w:before="120" w:after="120" w:line="360" w:lineRule="auto"/>
        <w:rPr>
          <w:rFonts w:ascii="Arial" w:hAnsi="Arial" w:cs="Arial"/>
          <w:b/>
          <w:sz w:val="20"/>
          <w:szCs w:val="20"/>
        </w:rPr>
      </w:pPr>
      <w:r w:rsidRPr="003D4161">
        <w:rPr>
          <w:rFonts w:ascii="Arial" w:hAnsi="Arial" w:cs="Arial"/>
          <w:sz w:val="20"/>
          <w:szCs w:val="20"/>
        </w:rPr>
        <w:t>This indicates a clear economic advantage associated with increasing levels of mushroom waste supplementation in broiler diets.</w:t>
      </w:r>
    </w:p>
    <w:p w14:paraId="7588A8B4" w14:textId="77777777" w:rsidR="00E35CE1" w:rsidRPr="00671AE0" w:rsidRDefault="00E35CE1" w:rsidP="00671AE0">
      <w:pPr>
        <w:pStyle w:val="NoSpacing"/>
        <w:rPr>
          <w:rFonts w:ascii="Arial" w:hAnsi="Arial" w:cs="Arial"/>
          <w:b/>
          <w:bCs/>
          <w:sz w:val="22"/>
          <w:szCs w:val="22"/>
        </w:rPr>
      </w:pPr>
      <w:r w:rsidRPr="00671AE0">
        <w:rPr>
          <w:rFonts w:ascii="Arial" w:hAnsi="Arial" w:cs="Arial"/>
          <w:b/>
          <w:bCs/>
          <w:sz w:val="22"/>
          <w:szCs w:val="22"/>
        </w:rPr>
        <w:t xml:space="preserve">Table 8. Economics of broiler chicks (0-6 weeks) fed diet supplemented with varying level of mushroom </w:t>
      </w:r>
      <w:r w:rsidRPr="00671AE0">
        <w:rPr>
          <w:rFonts w:ascii="Arial" w:hAnsi="Arial" w:cs="Arial"/>
          <w:b/>
          <w:bCs/>
          <w:i/>
          <w:sz w:val="22"/>
          <w:szCs w:val="22"/>
        </w:rPr>
        <w:t xml:space="preserve">(Agaricus bisporus) </w:t>
      </w:r>
      <w:r w:rsidRPr="00671AE0">
        <w:rPr>
          <w:rFonts w:ascii="Arial" w:hAnsi="Arial" w:cs="Arial"/>
          <w:b/>
          <w:bCs/>
          <w:sz w:val="22"/>
          <w:szCs w:val="22"/>
        </w:rPr>
        <w:t>fruiting body waste</w:t>
      </w:r>
    </w:p>
    <w:tbl>
      <w:tblPr>
        <w:tblW w:w="6331" w:type="pct"/>
        <w:jc w:val="center"/>
        <w:tblLayout w:type="fixed"/>
        <w:tblLook w:val="04A0" w:firstRow="1" w:lastRow="0" w:firstColumn="1" w:lastColumn="0" w:noHBand="0" w:noVBand="1"/>
      </w:tblPr>
      <w:tblGrid>
        <w:gridCol w:w="3151"/>
        <w:gridCol w:w="1890"/>
        <w:gridCol w:w="1799"/>
        <w:gridCol w:w="1801"/>
        <w:gridCol w:w="1803"/>
        <w:gridCol w:w="985"/>
      </w:tblGrid>
      <w:tr w:rsidR="00E35CE1" w:rsidRPr="003D4161" w14:paraId="5BC7771E" w14:textId="77777777" w:rsidTr="00E87D35">
        <w:trPr>
          <w:trHeight w:val="288"/>
          <w:jc w:val="center"/>
        </w:trPr>
        <w:tc>
          <w:tcPr>
            <w:tcW w:w="1378" w:type="pct"/>
            <w:vMerge w:val="restart"/>
            <w:tcBorders>
              <w:top w:val="single" w:sz="4" w:space="0" w:color="auto"/>
              <w:bottom w:val="single" w:sz="4" w:space="0" w:color="auto"/>
            </w:tcBorders>
            <w:noWrap/>
            <w:vAlign w:val="center"/>
            <w:hideMark/>
          </w:tcPr>
          <w:p w14:paraId="16BCED84"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Parameters</w:t>
            </w:r>
          </w:p>
        </w:tc>
        <w:tc>
          <w:tcPr>
            <w:tcW w:w="3191" w:type="pct"/>
            <w:gridSpan w:val="4"/>
            <w:tcBorders>
              <w:top w:val="single" w:sz="4" w:space="0" w:color="auto"/>
              <w:bottom w:val="single" w:sz="4" w:space="0" w:color="auto"/>
            </w:tcBorders>
            <w:noWrap/>
            <w:vAlign w:val="center"/>
            <w:hideMark/>
          </w:tcPr>
          <w:p w14:paraId="68F0989F" w14:textId="77777777" w:rsidR="00E35CE1" w:rsidRPr="003D4161" w:rsidRDefault="00E35CE1" w:rsidP="003D4161">
            <w:pPr>
              <w:spacing w:before="120" w:after="120" w:line="276" w:lineRule="auto"/>
              <w:jc w:val="center"/>
              <w:rPr>
                <w:rFonts w:ascii="Arial" w:eastAsia="Times New Roman" w:hAnsi="Arial" w:cs="Arial"/>
                <w:b/>
                <w:color w:val="000000"/>
                <w:sz w:val="20"/>
                <w:szCs w:val="20"/>
              </w:rPr>
            </w:pPr>
            <w:r w:rsidRPr="003D4161">
              <w:rPr>
                <w:rFonts w:ascii="Arial" w:eastAsia="Times New Roman" w:hAnsi="Arial" w:cs="Arial"/>
                <w:b/>
                <w:color w:val="000000"/>
                <w:sz w:val="20"/>
                <w:szCs w:val="20"/>
              </w:rPr>
              <w:t>Treatment groups</w:t>
            </w:r>
          </w:p>
        </w:tc>
        <w:tc>
          <w:tcPr>
            <w:tcW w:w="432" w:type="pct"/>
            <w:vMerge w:val="restart"/>
            <w:tcBorders>
              <w:top w:val="single" w:sz="4" w:space="0" w:color="auto"/>
              <w:bottom w:val="single" w:sz="4" w:space="0" w:color="auto"/>
            </w:tcBorders>
            <w:noWrap/>
            <w:vAlign w:val="center"/>
            <w:hideMark/>
          </w:tcPr>
          <w:p w14:paraId="711C0A63"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P-value</w:t>
            </w:r>
          </w:p>
        </w:tc>
      </w:tr>
      <w:tr w:rsidR="00E35CE1" w:rsidRPr="003D4161" w14:paraId="481B992A" w14:textId="77777777" w:rsidTr="00E87D35">
        <w:trPr>
          <w:trHeight w:val="288"/>
          <w:jc w:val="center"/>
        </w:trPr>
        <w:tc>
          <w:tcPr>
            <w:tcW w:w="1378" w:type="pct"/>
            <w:vMerge/>
            <w:tcBorders>
              <w:top w:val="single" w:sz="4" w:space="0" w:color="auto"/>
              <w:bottom w:val="single" w:sz="4" w:space="0" w:color="auto"/>
            </w:tcBorders>
            <w:noWrap/>
            <w:vAlign w:val="center"/>
            <w:hideMark/>
          </w:tcPr>
          <w:p w14:paraId="0E319D2F" w14:textId="77777777" w:rsidR="00E35CE1" w:rsidRPr="003D4161" w:rsidRDefault="00E35CE1" w:rsidP="003D4161">
            <w:pPr>
              <w:spacing w:before="120" w:after="120" w:line="276" w:lineRule="auto"/>
              <w:rPr>
                <w:rFonts w:ascii="Arial" w:eastAsia="Times New Roman" w:hAnsi="Arial" w:cs="Arial"/>
                <w:b/>
                <w:color w:val="000000"/>
                <w:sz w:val="20"/>
                <w:szCs w:val="20"/>
              </w:rPr>
            </w:pPr>
          </w:p>
        </w:tc>
        <w:tc>
          <w:tcPr>
            <w:tcW w:w="827" w:type="pct"/>
            <w:tcBorders>
              <w:top w:val="single" w:sz="4" w:space="0" w:color="auto"/>
              <w:bottom w:val="single" w:sz="4" w:space="0" w:color="auto"/>
            </w:tcBorders>
            <w:noWrap/>
            <w:vAlign w:val="center"/>
            <w:hideMark/>
          </w:tcPr>
          <w:p w14:paraId="2067BB0A"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T1</w:t>
            </w:r>
          </w:p>
        </w:tc>
        <w:tc>
          <w:tcPr>
            <w:tcW w:w="787" w:type="pct"/>
            <w:tcBorders>
              <w:top w:val="single" w:sz="4" w:space="0" w:color="auto"/>
              <w:bottom w:val="single" w:sz="4" w:space="0" w:color="auto"/>
            </w:tcBorders>
            <w:noWrap/>
            <w:vAlign w:val="center"/>
            <w:hideMark/>
          </w:tcPr>
          <w:p w14:paraId="467F337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T2</w:t>
            </w:r>
          </w:p>
        </w:tc>
        <w:tc>
          <w:tcPr>
            <w:tcW w:w="788" w:type="pct"/>
            <w:tcBorders>
              <w:top w:val="single" w:sz="4" w:space="0" w:color="auto"/>
              <w:bottom w:val="single" w:sz="4" w:space="0" w:color="auto"/>
            </w:tcBorders>
            <w:noWrap/>
            <w:vAlign w:val="center"/>
            <w:hideMark/>
          </w:tcPr>
          <w:p w14:paraId="18E73FD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T3</w:t>
            </w:r>
          </w:p>
        </w:tc>
        <w:tc>
          <w:tcPr>
            <w:tcW w:w="788" w:type="pct"/>
            <w:tcBorders>
              <w:top w:val="single" w:sz="4" w:space="0" w:color="auto"/>
              <w:bottom w:val="single" w:sz="4" w:space="0" w:color="auto"/>
            </w:tcBorders>
            <w:noWrap/>
            <w:vAlign w:val="center"/>
            <w:hideMark/>
          </w:tcPr>
          <w:p w14:paraId="7A88F77D"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T4</w:t>
            </w:r>
          </w:p>
        </w:tc>
        <w:tc>
          <w:tcPr>
            <w:tcW w:w="432" w:type="pct"/>
            <w:vMerge/>
            <w:tcBorders>
              <w:top w:val="single" w:sz="4" w:space="0" w:color="auto"/>
              <w:bottom w:val="single" w:sz="4" w:space="0" w:color="auto"/>
            </w:tcBorders>
            <w:noWrap/>
            <w:vAlign w:val="center"/>
            <w:hideMark/>
          </w:tcPr>
          <w:p w14:paraId="738B7530" w14:textId="77777777" w:rsidR="00E35CE1" w:rsidRPr="003D4161" w:rsidRDefault="00E35CE1" w:rsidP="003D4161">
            <w:pPr>
              <w:spacing w:before="120" w:after="120" w:line="276" w:lineRule="auto"/>
              <w:rPr>
                <w:rFonts w:ascii="Arial" w:eastAsia="Times New Roman" w:hAnsi="Arial" w:cs="Arial"/>
                <w:color w:val="000000"/>
                <w:sz w:val="20"/>
                <w:szCs w:val="20"/>
              </w:rPr>
            </w:pPr>
          </w:p>
        </w:tc>
      </w:tr>
      <w:tr w:rsidR="00E35CE1" w:rsidRPr="003D4161" w14:paraId="33E5D75D" w14:textId="77777777" w:rsidTr="00E87D35">
        <w:trPr>
          <w:trHeight w:val="288"/>
          <w:jc w:val="center"/>
        </w:trPr>
        <w:tc>
          <w:tcPr>
            <w:tcW w:w="1378" w:type="pct"/>
            <w:tcBorders>
              <w:top w:val="single" w:sz="4" w:space="0" w:color="auto"/>
              <w:bottom w:val="single" w:sz="4" w:space="0" w:color="auto"/>
            </w:tcBorders>
            <w:noWrap/>
            <w:vAlign w:val="center"/>
            <w:hideMark/>
          </w:tcPr>
          <w:p w14:paraId="65CFBB4B"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Initial body weight (g)</w:t>
            </w:r>
          </w:p>
        </w:tc>
        <w:tc>
          <w:tcPr>
            <w:tcW w:w="827" w:type="pct"/>
            <w:tcBorders>
              <w:top w:val="single" w:sz="4" w:space="0" w:color="auto"/>
              <w:bottom w:val="single" w:sz="4" w:space="0" w:color="auto"/>
            </w:tcBorders>
            <w:noWrap/>
            <w:vAlign w:val="center"/>
            <w:hideMark/>
          </w:tcPr>
          <w:p w14:paraId="6D5120A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50.08 ± 0.15</w:t>
            </w:r>
          </w:p>
        </w:tc>
        <w:tc>
          <w:tcPr>
            <w:tcW w:w="787" w:type="pct"/>
            <w:tcBorders>
              <w:top w:val="single" w:sz="4" w:space="0" w:color="auto"/>
              <w:bottom w:val="single" w:sz="4" w:space="0" w:color="auto"/>
            </w:tcBorders>
            <w:noWrap/>
            <w:vAlign w:val="center"/>
            <w:hideMark/>
          </w:tcPr>
          <w:p w14:paraId="5C5FBDC0"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1.03</w:t>
            </w:r>
          </w:p>
        </w:tc>
        <w:tc>
          <w:tcPr>
            <w:tcW w:w="788" w:type="pct"/>
            <w:tcBorders>
              <w:top w:val="single" w:sz="4" w:space="0" w:color="auto"/>
              <w:bottom w:val="single" w:sz="4" w:space="0" w:color="auto"/>
            </w:tcBorders>
            <w:noWrap/>
            <w:vAlign w:val="center"/>
            <w:hideMark/>
          </w:tcPr>
          <w:p w14:paraId="5FFF696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50.61 ± 0.44</w:t>
            </w:r>
          </w:p>
        </w:tc>
        <w:tc>
          <w:tcPr>
            <w:tcW w:w="788" w:type="pct"/>
            <w:tcBorders>
              <w:top w:val="single" w:sz="4" w:space="0" w:color="auto"/>
              <w:bottom w:val="single" w:sz="4" w:space="0" w:color="auto"/>
            </w:tcBorders>
            <w:noWrap/>
            <w:vAlign w:val="center"/>
            <w:hideMark/>
          </w:tcPr>
          <w:p w14:paraId="647BA1E1"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50.43 ± 0.74</w:t>
            </w:r>
          </w:p>
        </w:tc>
        <w:tc>
          <w:tcPr>
            <w:tcW w:w="432" w:type="pct"/>
            <w:tcBorders>
              <w:top w:val="single" w:sz="4" w:space="0" w:color="auto"/>
              <w:bottom w:val="single" w:sz="4" w:space="0" w:color="auto"/>
            </w:tcBorders>
            <w:noWrap/>
            <w:vAlign w:val="center"/>
            <w:hideMark/>
          </w:tcPr>
          <w:p w14:paraId="75FE328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0.954</w:t>
            </w:r>
          </w:p>
        </w:tc>
      </w:tr>
      <w:tr w:rsidR="00E35CE1" w:rsidRPr="003D4161" w14:paraId="20EE0EB8" w14:textId="77777777" w:rsidTr="00E87D35">
        <w:trPr>
          <w:trHeight w:val="288"/>
          <w:jc w:val="center"/>
        </w:trPr>
        <w:tc>
          <w:tcPr>
            <w:tcW w:w="1378" w:type="pct"/>
            <w:tcBorders>
              <w:top w:val="single" w:sz="4" w:space="0" w:color="auto"/>
              <w:bottom w:val="single" w:sz="4" w:space="0" w:color="auto"/>
            </w:tcBorders>
            <w:noWrap/>
            <w:vAlign w:val="center"/>
            <w:hideMark/>
          </w:tcPr>
          <w:p w14:paraId="1383CEC0"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Final body weight (g)</w:t>
            </w:r>
          </w:p>
        </w:tc>
        <w:tc>
          <w:tcPr>
            <w:tcW w:w="827" w:type="pct"/>
            <w:tcBorders>
              <w:top w:val="single" w:sz="4" w:space="0" w:color="auto"/>
              <w:bottom w:val="single" w:sz="4" w:space="0" w:color="auto"/>
            </w:tcBorders>
            <w:noWrap/>
            <w:vAlign w:val="center"/>
            <w:hideMark/>
          </w:tcPr>
          <w:p w14:paraId="429F458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2247.23 ± 10.56</w:t>
            </w:r>
          </w:p>
        </w:tc>
        <w:tc>
          <w:tcPr>
            <w:tcW w:w="787" w:type="pct"/>
            <w:tcBorders>
              <w:top w:val="single" w:sz="4" w:space="0" w:color="auto"/>
              <w:bottom w:val="single" w:sz="4" w:space="0" w:color="auto"/>
            </w:tcBorders>
            <w:noWrap/>
            <w:vAlign w:val="center"/>
            <w:hideMark/>
          </w:tcPr>
          <w:p w14:paraId="733C66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2269.50 ± 11.89</w:t>
            </w:r>
          </w:p>
        </w:tc>
        <w:tc>
          <w:tcPr>
            <w:tcW w:w="788" w:type="pct"/>
            <w:tcBorders>
              <w:top w:val="single" w:sz="4" w:space="0" w:color="auto"/>
              <w:bottom w:val="single" w:sz="4" w:space="0" w:color="auto"/>
            </w:tcBorders>
            <w:noWrap/>
            <w:vAlign w:val="center"/>
            <w:hideMark/>
          </w:tcPr>
          <w:p w14:paraId="6F32378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2304.79 ± 13.79</w:t>
            </w:r>
          </w:p>
        </w:tc>
        <w:tc>
          <w:tcPr>
            <w:tcW w:w="788" w:type="pct"/>
            <w:tcBorders>
              <w:top w:val="single" w:sz="4" w:space="0" w:color="auto"/>
              <w:bottom w:val="single" w:sz="4" w:space="0" w:color="auto"/>
            </w:tcBorders>
            <w:noWrap/>
            <w:vAlign w:val="center"/>
            <w:hideMark/>
          </w:tcPr>
          <w:p w14:paraId="7488AD93"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2292.40 ± 13.13</w:t>
            </w:r>
          </w:p>
        </w:tc>
        <w:tc>
          <w:tcPr>
            <w:tcW w:w="432" w:type="pct"/>
            <w:tcBorders>
              <w:top w:val="single" w:sz="4" w:space="0" w:color="auto"/>
              <w:bottom w:val="single" w:sz="4" w:space="0" w:color="auto"/>
            </w:tcBorders>
            <w:noWrap/>
            <w:vAlign w:val="center"/>
            <w:hideMark/>
          </w:tcPr>
          <w:p w14:paraId="3A77CC86"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0.046</w:t>
            </w:r>
          </w:p>
        </w:tc>
      </w:tr>
      <w:tr w:rsidR="00E35CE1" w:rsidRPr="003D4161" w14:paraId="16E271AA" w14:textId="77777777" w:rsidTr="00E87D35">
        <w:trPr>
          <w:trHeight w:val="288"/>
          <w:jc w:val="center"/>
        </w:trPr>
        <w:tc>
          <w:tcPr>
            <w:tcW w:w="1378" w:type="pct"/>
            <w:tcBorders>
              <w:top w:val="single" w:sz="4" w:space="0" w:color="auto"/>
              <w:bottom w:val="single" w:sz="4" w:space="0" w:color="auto"/>
            </w:tcBorders>
            <w:noWrap/>
            <w:vAlign w:val="center"/>
            <w:hideMark/>
          </w:tcPr>
          <w:p w14:paraId="67B75ABE"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lastRenderedPageBreak/>
              <w:t>Average body weight gain (g)*</w:t>
            </w:r>
          </w:p>
        </w:tc>
        <w:tc>
          <w:tcPr>
            <w:tcW w:w="827" w:type="pct"/>
            <w:tcBorders>
              <w:top w:val="single" w:sz="4" w:space="0" w:color="auto"/>
              <w:bottom w:val="single" w:sz="4" w:space="0" w:color="auto"/>
            </w:tcBorders>
            <w:noWrap/>
            <w:vAlign w:val="center"/>
            <w:hideMark/>
          </w:tcPr>
          <w:p w14:paraId="00212A2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2197.14 ± 10.61</w:t>
            </w:r>
            <w:r w:rsidRPr="003D4161">
              <w:rPr>
                <w:rFonts w:ascii="Arial" w:eastAsia="Times New Roman" w:hAnsi="Arial" w:cs="Arial"/>
                <w:color w:val="000000"/>
                <w:sz w:val="20"/>
                <w:szCs w:val="20"/>
                <w:vertAlign w:val="superscript"/>
              </w:rPr>
              <w:t>a</w:t>
            </w:r>
          </w:p>
        </w:tc>
        <w:tc>
          <w:tcPr>
            <w:tcW w:w="787" w:type="pct"/>
            <w:tcBorders>
              <w:top w:val="single" w:sz="4" w:space="0" w:color="auto"/>
              <w:bottom w:val="single" w:sz="4" w:space="0" w:color="auto"/>
            </w:tcBorders>
            <w:noWrap/>
            <w:vAlign w:val="center"/>
            <w:hideMark/>
          </w:tcPr>
          <w:p w14:paraId="135BE38E"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2219.08 ± 11.29</w:t>
            </w:r>
            <w:r w:rsidRPr="003D4161">
              <w:rPr>
                <w:rFonts w:ascii="Arial" w:eastAsia="Times New Roman" w:hAnsi="Arial" w:cs="Arial"/>
                <w:color w:val="000000"/>
                <w:sz w:val="20"/>
                <w:szCs w:val="20"/>
                <w:vertAlign w:val="superscript"/>
              </w:rPr>
              <w:t>ab</w:t>
            </w:r>
          </w:p>
        </w:tc>
        <w:tc>
          <w:tcPr>
            <w:tcW w:w="788" w:type="pct"/>
            <w:tcBorders>
              <w:top w:val="single" w:sz="4" w:space="0" w:color="auto"/>
              <w:bottom w:val="single" w:sz="4" w:space="0" w:color="auto"/>
            </w:tcBorders>
            <w:noWrap/>
            <w:vAlign w:val="center"/>
            <w:hideMark/>
          </w:tcPr>
          <w:p w14:paraId="473584F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2254.18 ± 13.36</w:t>
            </w:r>
            <w:r w:rsidRPr="003D4161">
              <w:rPr>
                <w:rFonts w:ascii="Arial" w:eastAsia="Times New Roman" w:hAnsi="Arial" w:cs="Arial"/>
                <w:color w:val="000000"/>
                <w:sz w:val="20"/>
                <w:szCs w:val="20"/>
                <w:vertAlign w:val="superscript"/>
              </w:rPr>
              <w:t>b</w:t>
            </w:r>
          </w:p>
        </w:tc>
        <w:tc>
          <w:tcPr>
            <w:tcW w:w="788" w:type="pct"/>
            <w:tcBorders>
              <w:top w:val="single" w:sz="4" w:space="0" w:color="auto"/>
              <w:bottom w:val="single" w:sz="4" w:space="0" w:color="auto"/>
            </w:tcBorders>
            <w:noWrap/>
            <w:vAlign w:val="center"/>
            <w:hideMark/>
          </w:tcPr>
          <w:p w14:paraId="6B3A0F4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2241.97 ± 12.40</w:t>
            </w:r>
            <w:r w:rsidRPr="003D4161">
              <w:rPr>
                <w:rFonts w:ascii="Arial" w:eastAsia="Times New Roman" w:hAnsi="Arial" w:cs="Arial"/>
                <w:color w:val="000000"/>
                <w:sz w:val="20"/>
                <w:szCs w:val="20"/>
                <w:vertAlign w:val="superscript"/>
              </w:rPr>
              <w:t>b</w:t>
            </w:r>
          </w:p>
        </w:tc>
        <w:tc>
          <w:tcPr>
            <w:tcW w:w="432" w:type="pct"/>
            <w:tcBorders>
              <w:top w:val="single" w:sz="4" w:space="0" w:color="auto"/>
              <w:bottom w:val="single" w:sz="4" w:space="0" w:color="auto"/>
            </w:tcBorders>
            <w:noWrap/>
            <w:vAlign w:val="center"/>
            <w:hideMark/>
          </w:tcPr>
          <w:p w14:paraId="2D68571B"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0.040</w:t>
            </w:r>
          </w:p>
        </w:tc>
      </w:tr>
      <w:tr w:rsidR="00E35CE1" w:rsidRPr="003D4161" w14:paraId="533F464B" w14:textId="77777777" w:rsidTr="00E87D35">
        <w:trPr>
          <w:trHeight w:val="288"/>
          <w:jc w:val="center"/>
        </w:trPr>
        <w:tc>
          <w:tcPr>
            <w:tcW w:w="1378" w:type="pct"/>
            <w:tcBorders>
              <w:top w:val="single" w:sz="4" w:space="0" w:color="auto"/>
              <w:bottom w:val="single" w:sz="4" w:space="0" w:color="auto"/>
            </w:tcBorders>
            <w:noWrap/>
            <w:vAlign w:val="center"/>
            <w:hideMark/>
          </w:tcPr>
          <w:p w14:paraId="082F4BD8"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Average feed intake (g)</w:t>
            </w:r>
          </w:p>
        </w:tc>
        <w:tc>
          <w:tcPr>
            <w:tcW w:w="827" w:type="pct"/>
            <w:tcBorders>
              <w:top w:val="single" w:sz="4" w:space="0" w:color="auto"/>
              <w:bottom w:val="single" w:sz="4" w:space="0" w:color="auto"/>
            </w:tcBorders>
            <w:noWrap/>
            <w:vAlign w:val="center"/>
            <w:hideMark/>
          </w:tcPr>
          <w:p w14:paraId="197D631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3780.95 ± 34.73</w:t>
            </w:r>
          </w:p>
        </w:tc>
        <w:tc>
          <w:tcPr>
            <w:tcW w:w="787" w:type="pct"/>
            <w:tcBorders>
              <w:top w:val="single" w:sz="4" w:space="0" w:color="auto"/>
              <w:bottom w:val="single" w:sz="4" w:space="0" w:color="auto"/>
            </w:tcBorders>
            <w:noWrap/>
            <w:vAlign w:val="center"/>
            <w:hideMark/>
          </w:tcPr>
          <w:p w14:paraId="7A4EC64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3789.30 ± 38.99</w:t>
            </w:r>
          </w:p>
        </w:tc>
        <w:tc>
          <w:tcPr>
            <w:tcW w:w="788" w:type="pct"/>
            <w:tcBorders>
              <w:top w:val="single" w:sz="4" w:space="0" w:color="auto"/>
              <w:bottom w:val="single" w:sz="4" w:space="0" w:color="auto"/>
            </w:tcBorders>
            <w:noWrap/>
            <w:vAlign w:val="center"/>
            <w:hideMark/>
          </w:tcPr>
          <w:p w14:paraId="3B19DE6C"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3771.47 ± 40.33</w:t>
            </w:r>
          </w:p>
        </w:tc>
        <w:tc>
          <w:tcPr>
            <w:tcW w:w="788" w:type="pct"/>
            <w:tcBorders>
              <w:top w:val="single" w:sz="4" w:space="0" w:color="auto"/>
              <w:bottom w:val="single" w:sz="4" w:space="0" w:color="auto"/>
            </w:tcBorders>
            <w:noWrap/>
            <w:vAlign w:val="center"/>
            <w:hideMark/>
          </w:tcPr>
          <w:p w14:paraId="6A76B178"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3787.70 ± 38.53</w:t>
            </w:r>
          </w:p>
        </w:tc>
        <w:tc>
          <w:tcPr>
            <w:tcW w:w="432" w:type="pct"/>
            <w:tcBorders>
              <w:top w:val="single" w:sz="4" w:space="0" w:color="auto"/>
              <w:bottom w:val="single" w:sz="4" w:space="0" w:color="auto"/>
            </w:tcBorders>
            <w:noWrap/>
            <w:vAlign w:val="center"/>
            <w:hideMark/>
          </w:tcPr>
          <w:p w14:paraId="6683396F"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0.986</w:t>
            </w:r>
          </w:p>
        </w:tc>
      </w:tr>
      <w:tr w:rsidR="00E35CE1" w:rsidRPr="003D4161" w14:paraId="1AD8F1EE" w14:textId="77777777" w:rsidTr="00E87D35">
        <w:trPr>
          <w:trHeight w:val="288"/>
          <w:jc w:val="center"/>
        </w:trPr>
        <w:tc>
          <w:tcPr>
            <w:tcW w:w="1378" w:type="pct"/>
            <w:tcBorders>
              <w:top w:val="single" w:sz="4" w:space="0" w:color="auto"/>
              <w:bottom w:val="single" w:sz="4" w:space="0" w:color="auto"/>
            </w:tcBorders>
            <w:noWrap/>
            <w:vAlign w:val="center"/>
            <w:hideMark/>
          </w:tcPr>
          <w:p w14:paraId="3D788576"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Total feed cost (</w:t>
            </w:r>
            <w:r w:rsidRPr="003D4161">
              <w:rPr>
                <w:rFonts w:ascii="Arial" w:hAnsi="Arial" w:cs="Arial"/>
                <w:sz w:val="20"/>
                <w:szCs w:val="20"/>
              </w:rPr>
              <w:t>₹</w:t>
            </w:r>
            <w:r w:rsidRPr="003D4161">
              <w:rPr>
                <w:rFonts w:ascii="Arial" w:hAnsi="Arial" w:cs="Arial"/>
                <w:b/>
                <w:sz w:val="20"/>
                <w:szCs w:val="20"/>
              </w:rPr>
              <w:t>)</w:t>
            </w:r>
          </w:p>
        </w:tc>
        <w:tc>
          <w:tcPr>
            <w:tcW w:w="827" w:type="pct"/>
            <w:tcBorders>
              <w:top w:val="single" w:sz="4" w:space="0" w:color="auto"/>
              <w:bottom w:val="single" w:sz="4" w:space="0" w:color="auto"/>
            </w:tcBorders>
            <w:noWrap/>
            <w:vAlign w:val="center"/>
            <w:hideMark/>
          </w:tcPr>
          <w:p w14:paraId="53A4CE0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142.20 ± 1.30</w:t>
            </w:r>
          </w:p>
        </w:tc>
        <w:tc>
          <w:tcPr>
            <w:tcW w:w="787" w:type="pct"/>
            <w:tcBorders>
              <w:top w:val="single" w:sz="4" w:space="0" w:color="auto"/>
              <w:bottom w:val="single" w:sz="4" w:space="0" w:color="auto"/>
            </w:tcBorders>
            <w:noWrap/>
            <w:vAlign w:val="center"/>
            <w:hideMark/>
          </w:tcPr>
          <w:p w14:paraId="74805A99"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141.11 ± 1.45</w:t>
            </w:r>
          </w:p>
        </w:tc>
        <w:tc>
          <w:tcPr>
            <w:tcW w:w="788" w:type="pct"/>
            <w:tcBorders>
              <w:top w:val="single" w:sz="4" w:space="0" w:color="auto"/>
              <w:bottom w:val="single" w:sz="4" w:space="0" w:color="auto"/>
            </w:tcBorders>
            <w:noWrap/>
            <w:vAlign w:val="center"/>
            <w:hideMark/>
          </w:tcPr>
          <w:p w14:paraId="7B20960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139.07 ± 1.48</w:t>
            </w:r>
          </w:p>
        </w:tc>
        <w:tc>
          <w:tcPr>
            <w:tcW w:w="788" w:type="pct"/>
            <w:tcBorders>
              <w:top w:val="single" w:sz="4" w:space="0" w:color="auto"/>
              <w:bottom w:val="single" w:sz="4" w:space="0" w:color="auto"/>
            </w:tcBorders>
            <w:noWrap/>
            <w:vAlign w:val="center"/>
            <w:hideMark/>
          </w:tcPr>
          <w:p w14:paraId="2C290495"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138.31 ± 1.40</w:t>
            </w:r>
          </w:p>
        </w:tc>
        <w:tc>
          <w:tcPr>
            <w:tcW w:w="432" w:type="pct"/>
            <w:tcBorders>
              <w:top w:val="single" w:sz="4" w:space="0" w:color="auto"/>
              <w:bottom w:val="single" w:sz="4" w:space="0" w:color="auto"/>
            </w:tcBorders>
            <w:noWrap/>
            <w:vAlign w:val="center"/>
            <w:hideMark/>
          </w:tcPr>
          <w:p w14:paraId="3CA180DA"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0.261</w:t>
            </w:r>
          </w:p>
        </w:tc>
      </w:tr>
      <w:tr w:rsidR="00E35CE1" w:rsidRPr="003D4161" w14:paraId="372E1EC1" w14:textId="77777777" w:rsidTr="00E87D35">
        <w:trPr>
          <w:trHeight w:val="288"/>
          <w:jc w:val="center"/>
        </w:trPr>
        <w:tc>
          <w:tcPr>
            <w:tcW w:w="1378" w:type="pct"/>
            <w:tcBorders>
              <w:top w:val="single" w:sz="4" w:space="0" w:color="auto"/>
              <w:bottom w:val="single" w:sz="4" w:space="0" w:color="auto"/>
            </w:tcBorders>
            <w:noWrap/>
            <w:vAlign w:val="center"/>
            <w:hideMark/>
          </w:tcPr>
          <w:p w14:paraId="0FC5FCEC" w14:textId="77777777" w:rsidR="00E35CE1" w:rsidRPr="003D4161" w:rsidRDefault="00E35CE1" w:rsidP="003D4161">
            <w:pPr>
              <w:spacing w:before="120" w:after="120" w:line="276" w:lineRule="auto"/>
              <w:rPr>
                <w:rFonts w:ascii="Arial" w:eastAsia="Times New Roman" w:hAnsi="Arial" w:cs="Arial"/>
                <w:b/>
                <w:color w:val="000000"/>
                <w:sz w:val="20"/>
                <w:szCs w:val="20"/>
              </w:rPr>
            </w:pPr>
            <w:r w:rsidRPr="003D4161">
              <w:rPr>
                <w:rFonts w:ascii="Arial" w:eastAsia="Times New Roman" w:hAnsi="Arial" w:cs="Arial"/>
                <w:b/>
                <w:color w:val="000000"/>
                <w:sz w:val="20"/>
                <w:szCs w:val="20"/>
              </w:rPr>
              <w:t>Feed cost/kg weight gain (</w:t>
            </w:r>
            <w:r w:rsidRPr="003D4161">
              <w:rPr>
                <w:rFonts w:ascii="Arial" w:hAnsi="Arial" w:cs="Arial"/>
                <w:sz w:val="20"/>
                <w:szCs w:val="20"/>
              </w:rPr>
              <w:t>₹</w:t>
            </w:r>
            <w:r w:rsidRPr="003D4161">
              <w:rPr>
                <w:rFonts w:ascii="Arial" w:hAnsi="Arial" w:cs="Arial"/>
                <w:b/>
                <w:sz w:val="20"/>
                <w:szCs w:val="20"/>
              </w:rPr>
              <w:t>)*</w:t>
            </w:r>
          </w:p>
        </w:tc>
        <w:tc>
          <w:tcPr>
            <w:tcW w:w="827" w:type="pct"/>
            <w:tcBorders>
              <w:top w:val="single" w:sz="4" w:space="0" w:color="auto"/>
              <w:bottom w:val="single" w:sz="4" w:space="0" w:color="auto"/>
            </w:tcBorders>
            <w:noWrap/>
            <w:vAlign w:val="center"/>
            <w:hideMark/>
          </w:tcPr>
          <w:p w14:paraId="3984ABD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64.72   ± 0.28</w:t>
            </w:r>
            <w:r w:rsidRPr="003D4161">
              <w:rPr>
                <w:rFonts w:ascii="Arial" w:eastAsia="Times New Roman" w:hAnsi="Arial" w:cs="Arial"/>
                <w:color w:val="000000"/>
                <w:sz w:val="20"/>
                <w:szCs w:val="20"/>
                <w:vertAlign w:val="superscript"/>
              </w:rPr>
              <w:t>c</w:t>
            </w:r>
          </w:p>
        </w:tc>
        <w:tc>
          <w:tcPr>
            <w:tcW w:w="787" w:type="pct"/>
            <w:tcBorders>
              <w:top w:val="single" w:sz="4" w:space="0" w:color="auto"/>
              <w:bottom w:val="single" w:sz="4" w:space="0" w:color="auto"/>
            </w:tcBorders>
            <w:noWrap/>
            <w:vAlign w:val="center"/>
            <w:hideMark/>
          </w:tcPr>
          <w:p w14:paraId="31C0791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63.58 ± 0.33</w:t>
            </w:r>
            <w:r w:rsidRPr="003D4161">
              <w:rPr>
                <w:rFonts w:ascii="Arial" w:eastAsia="Times New Roman" w:hAnsi="Arial" w:cs="Arial"/>
                <w:color w:val="000000"/>
                <w:sz w:val="20"/>
                <w:szCs w:val="20"/>
                <w:vertAlign w:val="superscript"/>
              </w:rPr>
              <w:t>b</w:t>
            </w:r>
          </w:p>
        </w:tc>
        <w:tc>
          <w:tcPr>
            <w:tcW w:w="788" w:type="pct"/>
            <w:tcBorders>
              <w:top w:val="single" w:sz="4" w:space="0" w:color="auto"/>
              <w:bottom w:val="single" w:sz="4" w:space="0" w:color="auto"/>
            </w:tcBorders>
            <w:noWrap/>
            <w:vAlign w:val="center"/>
            <w:hideMark/>
          </w:tcPr>
          <w:p w14:paraId="3FF182F4"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61.69 ± 0.29</w:t>
            </w:r>
            <w:r w:rsidRPr="003D4161">
              <w:rPr>
                <w:rFonts w:ascii="Arial" w:eastAsia="Times New Roman" w:hAnsi="Arial" w:cs="Arial"/>
                <w:color w:val="000000"/>
                <w:sz w:val="20"/>
                <w:szCs w:val="20"/>
                <w:vertAlign w:val="superscript"/>
              </w:rPr>
              <w:t>a</w:t>
            </w:r>
          </w:p>
        </w:tc>
        <w:tc>
          <w:tcPr>
            <w:tcW w:w="788" w:type="pct"/>
            <w:tcBorders>
              <w:top w:val="single" w:sz="4" w:space="0" w:color="auto"/>
              <w:bottom w:val="single" w:sz="4" w:space="0" w:color="auto"/>
            </w:tcBorders>
            <w:noWrap/>
            <w:vAlign w:val="center"/>
            <w:hideMark/>
          </w:tcPr>
          <w:p w14:paraId="2F399532"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61.68 ± 0.28</w:t>
            </w:r>
            <w:r w:rsidRPr="003D4161">
              <w:rPr>
                <w:rFonts w:ascii="Arial" w:eastAsia="Times New Roman" w:hAnsi="Arial" w:cs="Arial"/>
                <w:color w:val="000000"/>
                <w:sz w:val="20"/>
                <w:szCs w:val="20"/>
                <w:vertAlign w:val="superscript"/>
              </w:rPr>
              <w:t>a</w:t>
            </w:r>
          </w:p>
        </w:tc>
        <w:tc>
          <w:tcPr>
            <w:tcW w:w="432" w:type="pct"/>
            <w:tcBorders>
              <w:top w:val="single" w:sz="4" w:space="0" w:color="auto"/>
              <w:bottom w:val="single" w:sz="4" w:space="0" w:color="auto"/>
            </w:tcBorders>
            <w:noWrap/>
            <w:vAlign w:val="center"/>
            <w:hideMark/>
          </w:tcPr>
          <w:p w14:paraId="4F1D6EBD" w14:textId="77777777" w:rsidR="00E35CE1" w:rsidRPr="003D4161" w:rsidRDefault="00E35CE1" w:rsidP="003D4161">
            <w:pPr>
              <w:spacing w:before="120" w:after="120" w:line="276" w:lineRule="auto"/>
              <w:rPr>
                <w:rFonts w:ascii="Arial" w:eastAsia="Times New Roman" w:hAnsi="Arial" w:cs="Arial"/>
                <w:color w:val="000000"/>
                <w:sz w:val="20"/>
                <w:szCs w:val="20"/>
              </w:rPr>
            </w:pPr>
            <w:r w:rsidRPr="003D4161">
              <w:rPr>
                <w:rFonts w:ascii="Arial" w:eastAsia="Times New Roman" w:hAnsi="Arial" w:cs="Arial"/>
                <w:color w:val="000000"/>
                <w:sz w:val="20"/>
                <w:szCs w:val="20"/>
              </w:rPr>
              <w:t>&lt; 0.001</w:t>
            </w:r>
          </w:p>
        </w:tc>
      </w:tr>
    </w:tbl>
    <w:p w14:paraId="7F5EA0A2" w14:textId="77777777" w:rsidR="00E35CE1" w:rsidRPr="00417385" w:rsidRDefault="00E35CE1" w:rsidP="00417385">
      <w:pPr>
        <w:spacing w:before="120" w:after="120" w:line="240" w:lineRule="auto"/>
        <w:rPr>
          <w:rFonts w:ascii="Arial" w:hAnsi="Arial" w:cs="Arial"/>
          <w:sz w:val="18"/>
          <w:szCs w:val="18"/>
        </w:rPr>
      </w:pPr>
      <w:r w:rsidRPr="00417385">
        <w:rPr>
          <w:rFonts w:ascii="Arial" w:hAnsi="Arial" w:cs="Arial"/>
          <w:sz w:val="18"/>
          <w:szCs w:val="18"/>
        </w:rPr>
        <w:t>Mean values bearing different alphabets (a, b and c) in superscript in a row differ significantly, *(P &lt; 0.05)</w:t>
      </w:r>
    </w:p>
    <w:p w14:paraId="31BA53A1" w14:textId="0A9EAA8E" w:rsidR="00B841A5" w:rsidRDefault="00E35CE1" w:rsidP="006521A9">
      <w:pPr>
        <w:spacing w:before="120" w:after="120" w:line="240" w:lineRule="auto"/>
        <w:rPr>
          <w:rFonts w:ascii="Arial" w:hAnsi="Arial" w:cs="Arial"/>
          <w:sz w:val="18"/>
          <w:szCs w:val="18"/>
        </w:rPr>
      </w:pPr>
      <w:r w:rsidRPr="00417385">
        <w:rPr>
          <w:rFonts w:ascii="Arial" w:hAnsi="Arial" w:cs="Arial"/>
          <w:sz w:val="18"/>
          <w:szCs w:val="18"/>
        </w:rPr>
        <w:t>T1: -Basal diet, T2: -Basal diet + 1% Mushroom fruiting body waste, T3: -Basal diet + 2% Mushroom fruiting body waste, T4: -Basal diet + 3% Mushroom fruiting body waste</w:t>
      </w:r>
    </w:p>
    <w:p w14:paraId="4FED356F" w14:textId="77777777" w:rsidR="006521A9" w:rsidRPr="006521A9" w:rsidRDefault="006521A9" w:rsidP="006521A9">
      <w:pPr>
        <w:spacing w:before="120" w:after="120" w:line="240" w:lineRule="auto"/>
        <w:rPr>
          <w:rFonts w:ascii="Arial" w:hAnsi="Arial" w:cs="Arial"/>
          <w:sz w:val="22"/>
          <w:szCs w:val="22"/>
        </w:rPr>
      </w:pPr>
    </w:p>
    <w:p w14:paraId="5427194F" w14:textId="1108CEFC" w:rsidR="00B841A5" w:rsidRPr="006521A9" w:rsidRDefault="006521A9" w:rsidP="000004F3">
      <w:pPr>
        <w:spacing w:line="360" w:lineRule="auto"/>
        <w:rPr>
          <w:rFonts w:ascii="Arial" w:hAnsi="Arial" w:cs="Arial"/>
          <w:b/>
          <w:bCs/>
          <w:sz w:val="22"/>
          <w:szCs w:val="22"/>
        </w:rPr>
      </w:pPr>
      <w:r w:rsidRPr="006521A9">
        <w:rPr>
          <w:rFonts w:ascii="Arial" w:hAnsi="Arial" w:cs="Arial"/>
          <w:b/>
          <w:bCs/>
          <w:sz w:val="22"/>
          <w:szCs w:val="22"/>
        </w:rPr>
        <w:t xml:space="preserve">8. </w:t>
      </w:r>
      <w:r w:rsidR="00B841A5" w:rsidRPr="006521A9">
        <w:rPr>
          <w:rFonts w:ascii="Arial" w:hAnsi="Arial" w:cs="Arial"/>
          <w:b/>
          <w:bCs/>
          <w:sz w:val="22"/>
          <w:szCs w:val="22"/>
        </w:rPr>
        <w:t>CONCLUSION</w:t>
      </w:r>
    </w:p>
    <w:p w14:paraId="6BB4BF6C" w14:textId="77777777" w:rsidR="00E35CE1" w:rsidRPr="003D4161" w:rsidRDefault="00E35CE1" w:rsidP="00E35CE1">
      <w:pPr>
        <w:spacing w:line="360" w:lineRule="auto"/>
        <w:jc w:val="both"/>
        <w:rPr>
          <w:rFonts w:ascii="Arial" w:hAnsi="Arial" w:cs="Arial"/>
          <w:sz w:val="20"/>
          <w:szCs w:val="20"/>
        </w:rPr>
      </w:pPr>
      <w:r w:rsidRPr="003D4161">
        <w:rPr>
          <w:rFonts w:ascii="Arial" w:hAnsi="Arial" w:cs="Arial"/>
          <w:sz w:val="20"/>
          <w:szCs w:val="20"/>
        </w:rPr>
        <w:t xml:space="preserve">From the present study, it could be concluded that dietary supplementation of </w:t>
      </w:r>
      <w:r w:rsidRPr="003D4161">
        <w:rPr>
          <w:rFonts w:ascii="Arial" w:hAnsi="Arial" w:cs="Arial"/>
          <w:i/>
          <w:iCs/>
          <w:sz w:val="20"/>
          <w:szCs w:val="20"/>
        </w:rPr>
        <w:t>Agaricus bisporus</w:t>
      </w:r>
      <w:r w:rsidRPr="003D4161">
        <w:rPr>
          <w:rFonts w:ascii="Arial" w:hAnsi="Arial" w:cs="Arial"/>
          <w:sz w:val="20"/>
          <w:szCs w:val="20"/>
        </w:rPr>
        <w:t xml:space="preserve"> fruiting body waste powder improved growth performance and nutrient utilization in broiler chickens. Supplementation at 2 % level showed best improvement in body weight gain, feed conversion ratio, performance index and digestibility of dry matter, organic matter and crude protein.</w:t>
      </w:r>
    </w:p>
    <w:p w14:paraId="0F9BEBE1" w14:textId="7E99AADE" w:rsidR="00E35CE1" w:rsidRPr="003D4161" w:rsidRDefault="00E35CE1" w:rsidP="00E35CE1">
      <w:pPr>
        <w:spacing w:line="360" w:lineRule="auto"/>
        <w:jc w:val="both"/>
        <w:rPr>
          <w:rFonts w:ascii="Arial" w:hAnsi="Arial" w:cs="Arial"/>
          <w:sz w:val="20"/>
          <w:szCs w:val="20"/>
        </w:rPr>
      </w:pPr>
      <w:r w:rsidRPr="003D4161">
        <w:rPr>
          <w:rFonts w:ascii="Arial" w:hAnsi="Arial" w:cs="Arial"/>
          <w:sz w:val="20"/>
          <w:szCs w:val="20"/>
        </w:rPr>
        <w:t xml:space="preserve">Overall, 2 % and 3 % dietary inclusion emerged as the most economical treatment, as it recorded the lowest cost per kilogram body weight gain along with significantly higher net profit. Thus, using of </w:t>
      </w:r>
      <w:r w:rsidRPr="003D4161">
        <w:rPr>
          <w:rFonts w:ascii="Arial" w:hAnsi="Arial" w:cs="Arial"/>
          <w:i/>
          <w:iCs/>
          <w:sz w:val="20"/>
          <w:szCs w:val="20"/>
        </w:rPr>
        <w:t>Agaricus bisporus</w:t>
      </w:r>
      <w:r w:rsidRPr="003D4161">
        <w:rPr>
          <w:rFonts w:ascii="Arial" w:hAnsi="Arial" w:cs="Arial"/>
          <w:sz w:val="20"/>
          <w:szCs w:val="20"/>
        </w:rPr>
        <w:t xml:space="preserve"> fruiting body waste powder as a natural feed additive is effective for improving the nutritional value of feed given to Broiler chicks, with a 2 % dietary inclusion being the most effective in improving growth rates, feed efficiency, nutrient digestibility and economics of the birds.</w:t>
      </w:r>
    </w:p>
    <w:p w14:paraId="2EB68F75" w14:textId="77777777" w:rsidR="009628B5" w:rsidRDefault="009628B5" w:rsidP="004C45CC">
      <w:pPr>
        <w:spacing w:line="360" w:lineRule="auto"/>
        <w:rPr>
          <w:rFonts w:ascii="Arial" w:hAnsi="Arial" w:cs="Arial"/>
          <w:b/>
          <w:bCs/>
          <w:sz w:val="22"/>
          <w:szCs w:val="22"/>
        </w:rPr>
      </w:pPr>
    </w:p>
    <w:p w14:paraId="58B4625F" w14:textId="39E8B00C" w:rsidR="004C45CC" w:rsidRPr="0009205F" w:rsidRDefault="004C45CC" w:rsidP="004C45CC">
      <w:pPr>
        <w:spacing w:line="360" w:lineRule="auto"/>
        <w:rPr>
          <w:rFonts w:ascii="Arial" w:hAnsi="Arial" w:cs="Arial"/>
          <w:b/>
          <w:bCs/>
          <w:sz w:val="22"/>
          <w:szCs w:val="22"/>
        </w:rPr>
      </w:pPr>
      <w:r w:rsidRPr="0009205F">
        <w:rPr>
          <w:rFonts w:ascii="Arial" w:hAnsi="Arial" w:cs="Arial"/>
          <w:b/>
          <w:bCs/>
          <w:sz w:val="22"/>
          <w:szCs w:val="22"/>
        </w:rPr>
        <w:t>ETHICAL APPROVAL</w:t>
      </w:r>
    </w:p>
    <w:p w14:paraId="0B0A143A" w14:textId="2E40AEB9" w:rsidR="003D4161" w:rsidRPr="0009205F" w:rsidRDefault="004C45CC" w:rsidP="0009205F">
      <w:pPr>
        <w:spacing w:line="360" w:lineRule="auto"/>
        <w:jc w:val="both"/>
        <w:rPr>
          <w:rFonts w:ascii="Arial" w:hAnsi="Arial" w:cs="Arial"/>
          <w:sz w:val="20"/>
          <w:szCs w:val="20"/>
        </w:rPr>
      </w:pPr>
      <w:r w:rsidRPr="003D4161">
        <w:rPr>
          <w:rFonts w:ascii="Arial" w:hAnsi="Arial" w:cs="Arial"/>
          <w:sz w:val="20"/>
          <w:szCs w:val="20"/>
        </w:rPr>
        <w:t xml:space="preserve">This experiment was conducted with strict compliance with the guidelines of the institutional animal ethics 322 committee (IAEC), Govind Ballabh Pant University of Agriculture and Technology, </w:t>
      </w:r>
      <w:proofErr w:type="spellStart"/>
      <w:r w:rsidRPr="003D4161">
        <w:rPr>
          <w:rFonts w:ascii="Arial" w:hAnsi="Arial" w:cs="Arial"/>
          <w:sz w:val="20"/>
          <w:szCs w:val="20"/>
        </w:rPr>
        <w:t>Pantnagar</w:t>
      </w:r>
      <w:proofErr w:type="spellEnd"/>
      <w:r w:rsidRPr="003D4161">
        <w:rPr>
          <w:rFonts w:ascii="Arial" w:hAnsi="Arial" w:cs="Arial"/>
          <w:sz w:val="20"/>
          <w:szCs w:val="20"/>
        </w:rPr>
        <w:t>, India. Ethical 323 approval number is IAEC/CVASC/ANN/57</w:t>
      </w:r>
      <w:r>
        <w:rPr>
          <w:rFonts w:ascii="Arial" w:hAnsi="Arial" w:cs="Arial"/>
          <w:sz w:val="20"/>
          <w:szCs w:val="20"/>
        </w:rPr>
        <w:t>9</w:t>
      </w:r>
      <w:r w:rsidRPr="003D4161">
        <w:rPr>
          <w:rFonts w:ascii="Arial" w:hAnsi="Arial" w:cs="Arial"/>
          <w:sz w:val="20"/>
          <w:szCs w:val="20"/>
        </w:rPr>
        <w:t xml:space="preserve"> dated on 25/01/2025.     </w:t>
      </w:r>
    </w:p>
    <w:p w14:paraId="20E30253" w14:textId="45A496C5" w:rsidR="003A3012" w:rsidRPr="0009205F" w:rsidRDefault="009606B9" w:rsidP="003D4161">
      <w:pPr>
        <w:pStyle w:val="ReferHead"/>
        <w:spacing w:after="0" w:line="360" w:lineRule="auto"/>
        <w:jc w:val="both"/>
        <w:rPr>
          <w:rFonts w:ascii="Arial" w:hAnsi="Arial" w:cs="Arial"/>
          <w:szCs w:val="22"/>
        </w:rPr>
      </w:pPr>
      <w:r w:rsidRPr="0009205F">
        <w:rPr>
          <w:rFonts w:ascii="Arial" w:hAnsi="Arial" w:cs="Arial"/>
          <w:szCs w:val="22"/>
        </w:rPr>
        <w:t>References</w:t>
      </w:r>
    </w:p>
    <w:p w14:paraId="3FDCE978" w14:textId="77777777" w:rsidR="003A3012"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Abro, R., Changezi, G. A., Abro, S. H., Yasmin, A., Leghari, R. A., Rizwana, H. and </w:t>
      </w:r>
      <w:proofErr w:type="spellStart"/>
      <w:r w:rsidRPr="003D4161">
        <w:rPr>
          <w:rFonts w:ascii="Arial" w:hAnsi="Arial" w:cs="Arial"/>
          <w:sz w:val="20"/>
          <w:szCs w:val="20"/>
        </w:rPr>
        <w:t>Lochi</w:t>
      </w:r>
      <w:proofErr w:type="spellEnd"/>
      <w:r w:rsidRPr="003D4161">
        <w:rPr>
          <w:rFonts w:ascii="Arial" w:hAnsi="Arial" w:cs="Arial"/>
          <w:sz w:val="20"/>
          <w:szCs w:val="20"/>
        </w:rPr>
        <w:t xml:space="preserve">, G. M. 2016. Carcass and digestibility patterns fed different levels of mushroom </w:t>
      </w:r>
      <w:r w:rsidRPr="003D4161">
        <w:rPr>
          <w:rFonts w:ascii="Arial" w:hAnsi="Arial" w:cs="Arial"/>
          <w:i/>
          <w:iCs/>
          <w:sz w:val="20"/>
          <w:szCs w:val="20"/>
        </w:rPr>
        <w:t>(Pleurotus ostreatus)</w:t>
      </w:r>
      <w:r w:rsidRPr="003D4161">
        <w:rPr>
          <w:rFonts w:ascii="Arial" w:hAnsi="Arial" w:cs="Arial"/>
          <w:sz w:val="20"/>
          <w:szCs w:val="20"/>
        </w:rPr>
        <w:t xml:space="preserve"> in the diet of broiler. </w:t>
      </w:r>
      <w:r w:rsidRPr="003D4161">
        <w:rPr>
          <w:rFonts w:ascii="Arial" w:hAnsi="Arial" w:cs="Arial"/>
          <w:i/>
          <w:iCs/>
          <w:sz w:val="20"/>
          <w:szCs w:val="20"/>
        </w:rPr>
        <w:t>Sci. Int.,</w:t>
      </w:r>
      <w:r w:rsidRPr="003D4161">
        <w:rPr>
          <w:rFonts w:ascii="Arial" w:hAnsi="Arial" w:cs="Arial"/>
          <w:sz w:val="20"/>
          <w:szCs w:val="20"/>
        </w:rPr>
        <w:t xml:space="preserve"> 28(3): 2985-2988.</w:t>
      </w:r>
    </w:p>
    <w:p w14:paraId="605345EE" w14:textId="3F61241B" w:rsidR="007C5ABC" w:rsidRPr="007C5ABC" w:rsidRDefault="007C5ABC" w:rsidP="007C5ABC">
      <w:pPr>
        <w:pStyle w:val="NormalWeb"/>
        <w:spacing w:before="280" w:beforeAutospacing="0" w:after="120" w:afterAutospacing="0" w:line="324" w:lineRule="auto"/>
        <w:ind w:left="720" w:hanging="720"/>
        <w:jc w:val="both"/>
        <w:rPr>
          <w:rFonts w:ascii="Arial" w:hAnsi="Arial" w:cs="Arial"/>
          <w:bCs/>
          <w:sz w:val="20"/>
          <w:szCs w:val="20"/>
        </w:rPr>
      </w:pPr>
      <w:commentRangeStart w:id="29"/>
      <w:proofErr w:type="spellStart"/>
      <w:r w:rsidRPr="007C5ABC">
        <w:rPr>
          <w:rFonts w:ascii="Arial" w:hAnsi="Arial" w:cs="Arial"/>
          <w:bCs/>
          <w:sz w:val="20"/>
          <w:szCs w:val="20"/>
        </w:rPr>
        <w:t>Adentunji</w:t>
      </w:r>
      <w:proofErr w:type="spellEnd"/>
      <w:r w:rsidRPr="007C5ABC">
        <w:rPr>
          <w:rFonts w:ascii="Arial" w:hAnsi="Arial" w:cs="Arial"/>
          <w:bCs/>
          <w:sz w:val="20"/>
          <w:szCs w:val="20"/>
        </w:rPr>
        <w:t xml:space="preserve">, O. C. and Adejumo, 0. I. 2019. Potency of agricultural waste in mushroom </w:t>
      </w:r>
      <w:r w:rsidRPr="007C5ABC">
        <w:rPr>
          <w:rFonts w:ascii="Arial" w:hAnsi="Arial" w:cs="Arial"/>
          <w:bCs/>
          <w:i/>
          <w:sz w:val="20"/>
          <w:szCs w:val="20"/>
        </w:rPr>
        <w:t>(</w:t>
      </w:r>
      <w:proofErr w:type="spellStart"/>
      <w:r w:rsidRPr="007C5ABC">
        <w:rPr>
          <w:rFonts w:ascii="Arial" w:hAnsi="Arial" w:cs="Arial"/>
          <w:bCs/>
          <w:i/>
          <w:sz w:val="20"/>
          <w:szCs w:val="20"/>
        </w:rPr>
        <w:t>Pleurotus</w:t>
      </w:r>
      <w:proofErr w:type="spellEnd"/>
      <w:r w:rsidRPr="007C5ABC">
        <w:rPr>
          <w:rFonts w:ascii="Arial" w:hAnsi="Arial" w:cs="Arial"/>
          <w:bCs/>
          <w:i/>
          <w:sz w:val="20"/>
          <w:szCs w:val="20"/>
        </w:rPr>
        <w:t xml:space="preserve"> </w:t>
      </w:r>
      <w:proofErr w:type="spellStart"/>
      <w:r w:rsidRPr="007C5ABC">
        <w:rPr>
          <w:rFonts w:ascii="Arial" w:hAnsi="Arial" w:cs="Arial"/>
          <w:bCs/>
          <w:i/>
          <w:sz w:val="20"/>
          <w:szCs w:val="20"/>
        </w:rPr>
        <w:t>sajor-caju</w:t>
      </w:r>
      <w:proofErr w:type="spellEnd"/>
      <w:r w:rsidRPr="007C5ABC">
        <w:rPr>
          <w:rFonts w:ascii="Arial" w:hAnsi="Arial" w:cs="Arial"/>
          <w:bCs/>
          <w:i/>
          <w:sz w:val="20"/>
          <w:szCs w:val="20"/>
        </w:rPr>
        <w:t>)</w:t>
      </w:r>
      <w:r w:rsidRPr="007C5ABC">
        <w:rPr>
          <w:rFonts w:ascii="Arial" w:hAnsi="Arial" w:cs="Arial"/>
          <w:bCs/>
          <w:sz w:val="20"/>
          <w:szCs w:val="20"/>
        </w:rPr>
        <w:t xml:space="preserve"> biotechnology for feeding broiler chicks. </w:t>
      </w:r>
      <w:r w:rsidRPr="007C5ABC">
        <w:rPr>
          <w:rFonts w:ascii="Arial" w:hAnsi="Arial" w:cs="Arial"/>
          <w:bCs/>
          <w:i/>
          <w:sz w:val="20"/>
          <w:szCs w:val="20"/>
        </w:rPr>
        <w:t xml:space="preserve">Int. J. of </w:t>
      </w:r>
      <w:proofErr w:type="spellStart"/>
      <w:r w:rsidRPr="007C5ABC">
        <w:rPr>
          <w:rFonts w:ascii="Arial" w:hAnsi="Arial" w:cs="Arial"/>
          <w:bCs/>
          <w:i/>
          <w:sz w:val="20"/>
          <w:szCs w:val="20"/>
        </w:rPr>
        <w:t>Recycl</w:t>
      </w:r>
      <w:proofErr w:type="spellEnd"/>
      <w:r w:rsidRPr="007C5ABC">
        <w:rPr>
          <w:rFonts w:ascii="Arial" w:hAnsi="Arial" w:cs="Arial"/>
          <w:bCs/>
          <w:i/>
          <w:sz w:val="20"/>
          <w:szCs w:val="20"/>
        </w:rPr>
        <w:t>. Org.,</w:t>
      </w:r>
      <w:r w:rsidRPr="007C5ABC">
        <w:rPr>
          <w:rFonts w:ascii="Arial" w:hAnsi="Arial" w:cs="Arial"/>
          <w:bCs/>
          <w:sz w:val="20"/>
          <w:szCs w:val="20"/>
        </w:rPr>
        <w:t xml:space="preserve"> 8:37-45</w:t>
      </w:r>
      <w:commentRangeEnd w:id="29"/>
      <w:r w:rsidR="00E87D35">
        <w:rPr>
          <w:rStyle w:val="CommentReference"/>
          <w:rFonts w:asciiTheme="minorHAnsi" w:eastAsiaTheme="minorHAnsi" w:hAnsiTheme="minorHAnsi" w:cstheme="minorBidi"/>
          <w:kern w:val="2"/>
          <w:lang w:val="en-IN"/>
          <w14:ligatures w14:val="standardContextual"/>
        </w:rPr>
        <w:commentReference w:id="29"/>
      </w:r>
      <w:r w:rsidRPr="007C5ABC">
        <w:rPr>
          <w:rFonts w:ascii="Arial" w:hAnsi="Arial" w:cs="Arial"/>
          <w:bCs/>
          <w:sz w:val="20"/>
          <w:szCs w:val="20"/>
        </w:rPr>
        <w:t>.</w:t>
      </w:r>
    </w:p>
    <w:p w14:paraId="18F566BB"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Al-Kalifa, H. 2015. Immunological techniques in avian studies</w:t>
      </w:r>
      <w:r w:rsidRPr="003D4161">
        <w:rPr>
          <w:rFonts w:ascii="Arial" w:hAnsi="Arial" w:cs="Arial"/>
          <w:i/>
          <w:iCs/>
          <w:sz w:val="20"/>
          <w:szCs w:val="20"/>
        </w:rPr>
        <w:t>. Worlds Poult. Sci. J.,</w:t>
      </w:r>
      <w:r w:rsidRPr="003D4161">
        <w:rPr>
          <w:rFonts w:ascii="Arial" w:hAnsi="Arial" w:cs="Arial"/>
          <w:sz w:val="20"/>
          <w:szCs w:val="20"/>
        </w:rPr>
        <w:t xml:space="preserve"> 72: 573-584.</w:t>
      </w:r>
    </w:p>
    <w:p w14:paraId="1972C803"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AOAC International, Rockville, MD. 2023. Official methods of analysis (22nd Ed.). AOAC International/Oxford University Press, Rockville, MD.</w:t>
      </w:r>
    </w:p>
    <w:p w14:paraId="636FD7C8"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lastRenderedPageBreak/>
        <w:t xml:space="preserve">Bakshi, M. and </w:t>
      </w:r>
      <w:proofErr w:type="spellStart"/>
      <w:r w:rsidRPr="003D4161">
        <w:rPr>
          <w:rFonts w:ascii="Arial" w:hAnsi="Arial" w:cs="Arial"/>
          <w:sz w:val="20"/>
          <w:szCs w:val="20"/>
        </w:rPr>
        <w:t>Langari</w:t>
      </w:r>
      <w:proofErr w:type="spellEnd"/>
      <w:r w:rsidRPr="003D4161">
        <w:rPr>
          <w:rFonts w:ascii="Arial" w:hAnsi="Arial" w:cs="Arial"/>
          <w:sz w:val="20"/>
          <w:szCs w:val="20"/>
        </w:rPr>
        <w:t xml:space="preserve">. 1985. Utilization of </w:t>
      </w:r>
      <w:r w:rsidRPr="003D4161">
        <w:rPr>
          <w:rFonts w:ascii="Arial" w:hAnsi="Arial" w:cs="Arial"/>
          <w:i/>
          <w:iCs/>
          <w:sz w:val="20"/>
          <w:szCs w:val="20"/>
        </w:rPr>
        <w:t>Agaricus bisporus</w:t>
      </w:r>
      <w:r w:rsidRPr="003D4161">
        <w:rPr>
          <w:rFonts w:ascii="Arial" w:hAnsi="Arial" w:cs="Arial"/>
          <w:sz w:val="20"/>
          <w:szCs w:val="20"/>
        </w:rPr>
        <w:t xml:space="preserve"> harvested spent wheat straw in buffaloes. </w:t>
      </w:r>
      <w:r w:rsidRPr="003D4161">
        <w:rPr>
          <w:rFonts w:ascii="Arial" w:hAnsi="Arial" w:cs="Arial"/>
          <w:i/>
          <w:iCs/>
          <w:sz w:val="20"/>
          <w:szCs w:val="20"/>
        </w:rPr>
        <w:t>Ind. J. Anim. Sci.,</w:t>
      </w:r>
      <w:r w:rsidRPr="003D4161">
        <w:rPr>
          <w:rFonts w:ascii="Arial" w:hAnsi="Arial" w:cs="Arial"/>
          <w:sz w:val="20"/>
          <w:szCs w:val="20"/>
        </w:rPr>
        <w:t xml:space="preserve"> 55(12): 1060-1063.</w:t>
      </w:r>
    </w:p>
    <w:p w14:paraId="54B5F271"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Bederska</w:t>
      </w:r>
      <w:proofErr w:type="spellEnd"/>
      <w:r w:rsidRPr="003D4161">
        <w:rPr>
          <w:rFonts w:ascii="Arial" w:hAnsi="Arial" w:cs="Arial"/>
          <w:sz w:val="20"/>
          <w:szCs w:val="20"/>
        </w:rPr>
        <w:t xml:space="preserve">, L.D., </w:t>
      </w:r>
      <w:proofErr w:type="spellStart"/>
      <w:r w:rsidRPr="003D4161">
        <w:rPr>
          <w:rFonts w:ascii="Arial" w:hAnsi="Arial" w:cs="Arial"/>
          <w:sz w:val="20"/>
          <w:szCs w:val="20"/>
        </w:rPr>
        <w:t>Świątkiewicz</w:t>
      </w:r>
      <w:proofErr w:type="spellEnd"/>
      <w:r w:rsidRPr="003D4161">
        <w:rPr>
          <w:rFonts w:ascii="Arial" w:hAnsi="Arial" w:cs="Arial"/>
          <w:sz w:val="20"/>
          <w:szCs w:val="20"/>
        </w:rPr>
        <w:t xml:space="preserve">, S. and Muszyńska, B. 2017. The use of Basidiomycota mushrooms in poultry nutrition </w:t>
      </w:r>
      <w:r w:rsidRPr="003D4161">
        <w:rPr>
          <w:rFonts w:ascii="Arial" w:hAnsi="Arial" w:cs="Arial"/>
          <w:i/>
          <w:iCs/>
          <w:sz w:val="20"/>
          <w:szCs w:val="20"/>
        </w:rPr>
        <w:t>– A review. Anim. Feed Sci. Technol.,</w:t>
      </w:r>
      <w:r w:rsidRPr="003D4161">
        <w:rPr>
          <w:rFonts w:ascii="Arial" w:hAnsi="Arial" w:cs="Arial"/>
          <w:sz w:val="20"/>
          <w:szCs w:val="20"/>
        </w:rPr>
        <w:t xml:space="preserve"> 230: 59-69.</w:t>
      </w:r>
    </w:p>
    <w:p w14:paraId="6322AA4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Bird, H.R. 1995. Performance index of growing chickens. </w:t>
      </w:r>
      <w:r w:rsidRPr="003D4161">
        <w:rPr>
          <w:rFonts w:ascii="Arial" w:hAnsi="Arial" w:cs="Arial"/>
          <w:i/>
          <w:iCs/>
          <w:sz w:val="20"/>
          <w:szCs w:val="20"/>
        </w:rPr>
        <w:t>Poult. Sci.,</w:t>
      </w:r>
      <w:r w:rsidRPr="003D4161">
        <w:rPr>
          <w:rFonts w:ascii="Arial" w:hAnsi="Arial" w:cs="Arial"/>
          <w:sz w:val="20"/>
          <w:szCs w:val="20"/>
        </w:rPr>
        <w:t xml:space="preserve"> 34: 1163–1164.</w:t>
      </w:r>
    </w:p>
    <w:p w14:paraId="43EB155F"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BIS. 2007. Indian Standard: Poultry Feeds- Specification, IS-1374. Bureau of Indian Standard, 9, Bahadur Sah Zafar Marg, Manak Bhawan, New Delhi, India.</w:t>
      </w:r>
    </w:p>
    <w:p w14:paraId="2C9FC477"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Chanjula</w:t>
      </w:r>
      <w:proofErr w:type="spellEnd"/>
      <w:r w:rsidRPr="003D4161">
        <w:rPr>
          <w:rFonts w:ascii="Arial" w:hAnsi="Arial" w:cs="Arial"/>
          <w:sz w:val="20"/>
          <w:szCs w:val="20"/>
        </w:rPr>
        <w:t xml:space="preserve">, P. and </w:t>
      </w:r>
      <w:proofErr w:type="spellStart"/>
      <w:r w:rsidRPr="003D4161">
        <w:rPr>
          <w:rFonts w:ascii="Arial" w:hAnsi="Arial" w:cs="Arial"/>
          <w:sz w:val="20"/>
          <w:szCs w:val="20"/>
        </w:rPr>
        <w:t>Cherdthong</w:t>
      </w:r>
      <w:proofErr w:type="spellEnd"/>
      <w:r w:rsidRPr="003D4161">
        <w:rPr>
          <w:rFonts w:ascii="Arial" w:hAnsi="Arial" w:cs="Arial"/>
          <w:sz w:val="20"/>
          <w:szCs w:val="20"/>
        </w:rPr>
        <w:t xml:space="preserve">, A. 2018. Effects of spent mushroom </w:t>
      </w:r>
      <w:r w:rsidRPr="003D4161">
        <w:rPr>
          <w:rFonts w:ascii="Arial" w:hAnsi="Arial" w:cs="Arial"/>
          <w:i/>
          <w:iCs/>
          <w:sz w:val="20"/>
          <w:szCs w:val="20"/>
        </w:rPr>
        <w:t>Cordyceps militaris</w:t>
      </w:r>
      <w:r w:rsidRPr="003D4161">
        <w:rPr>
          <w:rFonts w:ascii="Arial" w:hAnsi="Arial" w:cs="Arial"/>
          <w:sz w:val="20"/>
          <w:szCs w:val="20"/>
        </w:rPr>
        <w:t xml:space="preserve"> supplementation on apparent digestibility, rumen fermentation, and blood metabolite parameters of goats. </w:t>
      </w:r>
      <w:r w:rsidRPr="003D4161">
        <w:rPr>
          <w:rFonts w:ascii="Arial" w:hAnsi="Arial" w:cs="Arial"/>
          <w:i/>
          <w:iCs/>
          <w:sz w:val="20"/>
          <w:szCs w:val="20"/>
        </w:rPr>
        <w:t>J. Anim. Sci.,</w:t>
      </w:r>
      <w:r w:rsidRPr="003D4161">
        <w:rPr>
          <w:rFonts w:ascii="Arial" w:hAnsi="Arial" w:cs="Arial"/>
          <w:sz w:val="20"/>
          <w:szCs w:val="20"/>
        </w:rPr>
        <w:t xml:space="preserve"> 96(3): 1150-1158.</w:t>
      </w:r>
    </w:p>
    <w:p w14:paraId="0840D2BD"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Department of Animal Husbandry and Dairying (DAHD). 2023. Annual Report 2022–23. Ministry of Fisheries, Animal Husbandry and Dairying, Government of India.</w:t>
      </w:r>
    </w:p>
    <w:p w14:paraId="39E15768"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Fard</w:t>
      </w:r>
      <w:proofErr w:type="spellEnd"/>
      <w:r w:rsidRPr="003D4161">
        <w:rPr>
          <w:rFonts w:ascii="Arial" w:hAnsi="Arial" w:cs="Arial"/>
          <w:sz w:val="20"/>
          <w:szCs w:val="20"/>
        </w:rPr>
        <w:t xml:space="preserve">, S.H., </w:t>
      </w:r>
      <w:proofErr w:type="spellStart"/>
      <w:r w:rsidRPr="003D4161">
        <w:rPr>
          <w:rFonts w:ascii="Arial" w:hAnsi="Arial" w:cs="Arial"/>
          <w:sz w:val="20"/>
          <w:szCs w:val="20"/>
        </w:rPr>
        <w:t>Toghyani</w:t>
      </w:r>
      <w:proofErr w:type="spellEnd"/>
      <w:r w:rsidRPr="003D4161">
        <w:rPr>
          <w:rFonts w:ascii="Arial" w:hAnsi="Arial" w:cs="Arial"/>
          <w:sz w:val="20"/>
          <w:szCs w:val="20"/>
        </w:rPr>
        <w:t xml:space="preserve">, M. and </w:t>
      </w:r>
      <w:proofErr w:type="spellStart"/>
      <w:r w:rsidRPr="003D4161">
        <w:rPr>
          <w:rFonts w:ascii="Arial" w:hAnsi="Arial" w:cs="Arial"/>
          <w:sz w:val="20"/>
          <w:szCs w:val="20"/>
        </w:rPr>
        <w:t>Tabeidian</w:t>
      </w:r>
      <w:proofErr w:type="spellEnd"/>
      <w:r w:rsidRPr="003D4161">
        <w:rPr>
          <w:rFonts w:ascii="Arial" w:hAnsi="Arial" w:cs="Arial"/>
          <w:sz w:val="20"/>
          <w:szCs w:val="20"/>
        </w:rPr>
        <w:t xml:space="preserve">, S.A. 2014. Effect of oyster mushroom wastes on performance, immune responses and intestinal morphology of broiler chickens. </w:t>
      </w:r>
      <w:r w:rsidRPr="003D4161">
        <w:rPr>
          <w:rFonts w:ascii="Arial" w:hAnsi="Arial" w:cs="Arial"/>
          <w:i/>
          <w:iCs/>
          <w:sz w:val="20"/>
          <w:szCs w:val="20"/>
        </w:rPr>
        <w:t xml:space="preserve">Int. J. </w:t>
      </w:r>
      <w:proofErr w:type="spellStart"/>
      <w:r w:rsidRPr="003D4161">
        <w:rPr>
          <w:rFonts w:ascii="Arial" w:hAnsi="Arial" w:cs="Arial"/>
          <w:i/>
          <w:iCs/>
          <w:sz w:val="20"/>
          <w:szCs w:val="20"/>
        </w:rPr>
        <w:t>Recycl</w:t>
      </w:r>
      <w:proofErr w:type="spellEnd"/>
      <w:r w:rsidRPr="003D4161">
        <w:rPr>
          <w:rFonts w:ascii="Arial" w:hAnsi="Arial" w:cs="Arial"/>
          <w:i/>
          <w:iCs/>
          <w:sz w:val="20"/>
          <w:szCs w:val="20"/>
        </w:rPr>
        <w:t>. Org. Waste Agric.,</w:t>
      </w:r>
      <w:r w:rsidRPr="003D4161">
        <w:rPr>
          <w:rFonts w:ascii="Arial" w:hAnsi="Arial" w:cs="Arial"/>
          <w:sz w:val="20"/>
          <w:szCs w:val="20"/>
        </w:rPr>
        <w:t xml:space="preserve"> 3(3): 141-146.</w:t>
      </w:r>
    </w:p>
    <w:p w14:paraId="14E2F3D8"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Fazaeli, H and Masoodi, A.R.T. 2006. Spent wheat straw compost of </w:t>
      </w:r>
      <w:r w:rsidRPr="003D4161">
        <w:rPr>
          <w:rFonts w:ascii="Arial" w:hAnsi="Arial" w:cs="Arial"/>
          <w:i/>
          <w:iCs/>
          <w:sz w:val="20"/>
          <w:szCs w:val="20"/>
        </w:rPr>
        <w:t>Agaricus bisporus</w:t>
      </w:r>
      <w:r w:rsidRPr="003D4161">
        <w:rPr>
          <w:rFonts w:ascii="Arial" w:hAnsi="Arial" w:cs="Arial"/>
          <w:sz w:val="20"/>
          <w:szCs w:val="20"/>
        </w:rPr>
        <w:t xml:space="preserve"> mushroom as ruminant feed. </w:t>
      </w:r>
      <w:r w:rsidRPr="003D4161">
        <w:rPr>
          <w:rFonts w:ascii="Arial" w:hAnsi="Arial" w:cs="Arial"/>
          <w:i/>
          <w:iCs/>
          <w:sz w:val="20"/>
          <w:szCs w:val="20"/>
        </w:rPr>
        <w:t>Asian-</w:t>
      </w:r>
      <w:proofErr w:type="spellStart"/>
      <w:r w:rsidRPr="003D4161">
        <w:rPr>
          <w:rFonts w:ascii="Arial" w:hAnsi="Arial" w:cs="Arial"/>
          <w:i/>
          <w:iCs/>
          <w:sz w:val="20"/>
          <w:szCs w:val="20"/>
        </w:rPr>
        <w:t>Australas</w:t>
      </w:r>
      <w:proofErr w:type="spellEnd"/>
      <w:r w:rsidRPr="003D4161">
        <w:rPr>
          <w:rFonts w:ascii="Arial" w:hAnsi="Arial" w:cs="Arial"/>
          <w:i/>
          <w:iCs/>
          <w:sz w:val="20"/>
          <w:szCs w:val="20"/>
        </w:rPr>
        <w:t>.</w:t>
      </w:r>
      <w:r w:rsidRPr="003D4161">
        <w:rPr>
          <w:rFonts w:ascii="Arial" w:hAnsi="Arial" w:cs="Arial"/>
          <w:sz w:val="20"/>
          <w:szCs w:val="20"/>
        </w:rPr>
        <w:t xml:space="preserve"> </w:t>
      </w:r>
      <w:r w:rsidRPr="003D4161">
        <w:rPr>
          <w:rFonts w:ascii="Arial" w:hAnsi="Arial" w:cs="Arial"/>
          <w:i/>
          <w:iCs/>
          <w:sz w:val="20"/>
          <w:szCs w:val="20"/>
        </w:rPr>
        <w:t xml:space="preserve">J. Anim. Sci., </w:t>
      </w:r>
      <w:r w:rsidRPr="003D4161">
        <w:rPr>
          <w:rFonts w:ascii="Arial" w:hAnsi="Arial" w:cs="Arial"/>
          <w:sz w:val="20"/>
          <w:szCs w:val="20"/>
        </w:rPr>
        <w:t>19(6): 845-851.</w:t>
      </w:r>
    </w:p>
    <w:p w14:paraId="61B16EBF"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Giannenas</w:t>
      </w:r>
      <w:proofErr w:type="spellEnd"/>
      <w:r w:rsidRPr="003D4161">
        <w:rPr>
          <w:rFonts w:ascii="Arial" w:hAnsi="Arial" w:cs="Arial"/>
          <w:sz w:val="20"/>
          <w:szCs w:val="20"/>
        </w:rPr>
        <w:t xml:space="preserve">, I., Pappas, S., Mavridis, G., Kontopidis, G., Skoufos, I. and </w:t>
      </w:r>
      <w:proofErr w:type="spellStart"/>
      <w:r w:rsidRPr="003D4161">
        <w:rPr>
          <w:rFonts w:ascii="Arial" w:hAnsi="Arial" w:cs="Arial"/>
          <w:sz w:val="20"/>
          <w:szCs w:val="20"/>
        </w:rPr>
        <w:t>Kyriazakis</w:t>
      </w:r>
      <w:proofErr w:type="spellEnd"/>
      <w:r w:rsidRPr="003D4161">
        <w:rPr>
          <w:rFonts w:ascii="Arial" w:hAnsi="Arial" w:cs="Arial"/>
          <w:sz w:val="20"/>
          <w:szCs w:val="20"/>
        </w:rPr>
        <w:t xml:space="preserve">, I. 2010. Performance and antioxidant status of broiler chickens supplemented with dried mushrooms </w:t>
      </w:r>
      <w:r w:rsidRPr="003D4161">
        <w:rPr>
          <w:rFonts w:ascii="Arial" w:hAnsi="Arial" w:cs="Arial"/>
          <w:i/>
          <w:iCs/>
          <w:sz w:val="20"/>
          <w:szCs w:val="20"/>
        </w:rPr>
        <w:t>(Agaricus bisporus)</w:t>
      </w:r>
      <w:r w:rsidRPr="003D4161">
        <w:rPr>
          <w:rFonts w:ascii="Arial" w:hAnsi="Arial" w:cs="Arial"/>
          <w:sz w:val="20"/>
          <w:szCs w:val="20"/>
        </w:rPr>
        <w:t xml:space="preserve"> in their diet. </w:t>
      </w:r>
      <w:r w:rsidRPr="003D4161">
        <w:rPr>
          <w:rFonts w:ascii="Arial" w:hAnsi="Arial" w:cs="Arial"/>
          <w:i/>
          <w:iCs/>
          <w:sz w:val="20"/>
          <w:szCs w:val="20"/>
        </w:rPr>
        <w:t xml:space="preserve">Poult. Sci., </w:t>
      </w:r>
      <w:r w:rsidRPr="003D4161">
        <w:rPr>
          <w:rFonts w:ascii="Arial" w:hAnsi="Arial" w:cs="Arial"/>
          <w:sz w:val="20"/>
          <w:szCs w:val="20"/>
        </w:rPr>
        <w:t>89(2): 303-311.</w:t>
      </w:r>
    </w:p>
    <w:p w14:paraId="6EF287F3"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Giannenas</w:t>
      </w:r>
      <w:proofErr w:type="spellEnd"/>
      <w:r w:rsidRPr="003D4161">
        <w:rPr>
          <w:rFonts w:ascii="Arial" w:hAnsi="Arial" w:cs="Arial"/>
          <w:sz w:val="20"/>
          <w:szCs w:val="20"/>
        </w:rPr>
        <w:t xml:space="preserve">, I., </w:t>
      </w:r>
      <w:proofErr w:type="spellStart"/>
      <w:r w:rsidRPr="003D4161">
        <w:rPr>
          <w:rFonts w:ascii="Arial" w:hAnsi="Arial" w:cs="Arial"/>
          <w:sz w:val="20"/>
          <w:szCs w:val="20"/>
        </w:rPr>
        <w:t>Tsalie</w:t>
      </w:r>
      <w:proofErr w:type="spellEnd"/>
      <w:r w:rsidRPr="003D4161">
        <w:rPr>
          <w:rFonts w:ascii="Arial" w:hAnsi="Arial" w:cs="Arial"/>
          <w:sz w:val="20"/>
          <w:szCs w:val="20"/>
        </w:rPr>
        <w:t xml:space="preserve">, E., Chronis, E.F., Mavridis, S., Tontis, D. and </w:t>
      </w:r>
      <w:proofErr w:type="spellStart"/>
      <w:r w:rsidRPr="003D4161">
        <w:rPr>
          <w:rFonts w:ascii="Arial" w:hAnsi="Arial" w:cs="Arial"/>
          <w:sz w:val="20"/>
          <w:szCs w:val="20"/>
        </w:rPr>
        <w:t>Kyriazakis</w:t>
      </w:r>
      <w:proofErr w:type="spellEnd"/>
      <w:r w:rsidRPr="003D4161">
        <w:rPr>
          <w:rFonts w:ascii="Arial" w:hAnsi="Arial" w:cs="Arial"/>
          <w:sz w:val="20"/>
          <w:szCs w:val="20"/>
        </w:rPr>
        <w:t xml:space="preserve">, I. 2011. Consumption of </w:t>
      </w:r>
      <w:r w:rsidRPr="003D4161">
        <w:rPr>
          <w:rFonts w:ascii="Arial" w:hAnsi="Arial" w:cs="Arial"/>
          <w:i/>
          <w:iCs/>
          <w:sz w:val="20"/>
          <w:szCs w:val="20"/>
        </w:rPr>
        <w:t>Agaricus bisporus</w:t>
      </w:r>
      <w:r w:rsidRPr="003D4161">
        <w:rPr>
          <w:rFonts w:ascii="Arial" w:hAnsi="Arial" w:cs="Arial"/>
          <w:sz w:val="20"/>
          <w:szCs w:val="20"/>
        </w:rPr>
        <w:t xml:space="preserve"> mushroom affects the performance, intestinal microbiota composition and morphology, and antioxidant status of turkey poults. </w:t>
      </w:r>
      <w:r w:rsidRPr="003D4161">
        <w:rPr>
          <w:rFonts w:ascii="Arial" w:hAnsi="Arial" w:cs="Arial"/>
          <w:i/>
          <w:iCs/>
          <w:sz w:val="20"/>
          <w:szCs w:val="20"/>
        </w:rPr>
        <w:t>Anim. Feed Sci. Technol.,</w:t>
      </w:r>
      <w:r w:rsidRPr="003D4161">
        <w:rPr>
          <w:rFonts w:ascii="Arial" w:hAnsi="Arial" w:cs="Arial"/>
          <w:sz w:val="20"/>
          <w:szCs w:val="20"/>
        </w:rPr>
        <w:t xml:space="preserve"> 165(3-4): 218-229.</w:t>
      </w:r>
    </w:p>
    <w:p w14:paraId="69566B1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Guo, F.C., </w:t>
      </w:r>
      <w:proofErr w:type="spellStart"/>
      <w:r w:rsidRPr="003D4161">
        <w:rPr>
          <w:rFonts w:ascii="Arial" w:hAnsi="Arial" w:cs="Arial"/>
          <w:sz w:val="20"/>
          <w:szCs w:val="20"/>
        </w:rPr>
        <w:t>Savelkoul</w:t>
      </w:r>
      <w:proofErr w:type="spellEnd"/>
      <w:r w:rsidRPr="003D4161">
        <w:rPr>
          <w:rFonts w:ascii="Arial" w:hAnsi="Arial" w:cs="Arial"/>
          <w:sz w:val="20"/>
          <w:szCs w:val="20"/>
        </w:rPr>
        <w:t xml:space="preserve">, H.F.J., </w:t>
      </w:r>
      <w:proofErr w:type="spellStart"/>
      <w:r w:rsidRPr="003D4161">
        <w:rPr>
          <w:rFonts w:ascii="Arial" w:hAnsi="Arial" w:cs="Arial"/>
          <w:sz w:val="20"/>
          <w:szCs w:val="20"/>
        </w:rPr>
        <w:t>Kwakkel</w:t>
      </w:r>
      <w:proofErr w:type="spellEnd"/>
      <w:r w:rsidRPr="003D4161">
        <w:rPr>
          <w:rFonts w:ascii="Arial" w:hAnsi="Arial" w:cs="Arial"/>
          <w:sz w:val="20"/>
          <w:szCs w:val="20"/>
        </w:rPr>
        <w:t xml:space="preserve">, R.P., Williams, B.A. and Verstegen, M.W.A. 2003. </w:t>
      </w:r>
      <w:proofErr w:type="spellStart"/>
      <w:r w:rsidRPr="003D4161">
        <w:rPr>
          <w:rFonts w:ascii="Arial" w:hAnsi="Arial" w:cs="Arial"/>
          <w:sz w:val="20"/>
          <w:szCs w:val="20"/>
        </w:rPr>
        <w:t>Immunoactive</w:t>
      </w:r>
      <w:proofErr w:type="spellEnd"/>
      <w:r w:rsidRPr="003D4161">
        <w:rPr>
          <w:rFonts w:ascii="Arial" w:hAnsi="Arial" w:cs="Arial"/>
          <w:sz w:val="20"/>
          <w:szCs w:val="20"/>
        </w:rPr>
        <w:t xml:space="preserve">, medicinal properties of mushroom and herb polysaccharides and their potential use in chicken diets. </w:t>
      </w:r>
      <w:r w:rsidRPr="003D4161">
        <w:rPr>
          <w:rFonts w:ascii="Arial" w:hAnsi="Arial" w:cs="Arial"/>
          <w:i/>
          <w:iCs/>
          <w:sz w:val="20"/>
          <w:szCs w:val="20"/>
        </w:rPr>
        <w:t>World's Poult. Sci. J.,</w:t>
      </w:r>
      <w:r w:rsidRPr="003D4161">
        <w:rPr>
          <w:rFonts w:ascii="Arial" w:hAnsi="Arial" w:cs="Arial"/>
          <w:sz w:val="20"/>
          <w:szCs w:val="20"/>
        </w:rPr>
        <w:t xml:space="preserve"> 59(4): 427-440.</w:t>
      </w:r>
    </w:p>
    <w:p w14:paraId="3356335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Kim, M.Y., Lee, S.J., Ahn, J.K., Kim, E.H., Kim, M.J., Kim, S.L., Moon, H.L., Ro, H.M., Kang, E.Y. and Seo, S.H. 2009. Comparison of free amino acid, carbohydrates concentrations in Korean edible and medicinal mushrooms. </w:t>
      </w:r>
      <w:r w:rsidRPr="003D4161">
        <w:rPr>
          <w:rFonts w:ascii="Arial" w:hAnsi="Arial" w:cs="Arial"/>
          <w:i/>
          <w:iCs/>
          <w:sz w:val="20"/>
          <w:szCs w:val="20"/>
        </w:rPr>
        <w:t>Food Chem.,</w:t>
      </w:r>
      <w:r w:rsidRPr="003D4161">
        <w:rPr>
          <w:rFonts w:ascii="Arial" w:hAnsi="Arial" w:cs="Arial"/>
          <w:sz w:val="20"/>
          <w:szCs w:val="20"/>
        </w:rPr>
        <w:t xml:space="preserve"> 113(2): 386-393.</w:t>
      </w:r>
    </w:p>
    <w:p w14:paraId="0CFC1AA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Lin, Q.Y., Long, L.K., Zhuang, Z.H., Wu, L.L., Wu, S.L. and Zhang, W.M. 2018. Antioxidant activity of water extract from fermented mycelia of </w:t>
      </w:r>
      <w:r w:rsidRPr="003D4161">
        <w:rPr>
          <w:rFonts w:ascii="Arial" w:hAnsi="Arial" w:cs="Arial"/>
          <w:i/>
          <w:iCs/>
          <w:sz w:val="20"/>
          <w:szCs w:val="20"/>
        </w:rPr>
        <w:t xml:space="preserve">Cordyceps </w:t>
      </w:r>
      <w:proofErr w:type="spellStart"/>
      <w:r w:rsidRPr="003D4161">
        <w:rPr>
          <w:rFonts w:ascii="Arial" w:hAnsi="Arial" w:cs="Arial"/>
          <w:i/>
          <w:iCs/>
          <w:sz w:val="20"/>
          <w:szCs w:val="20"/>
        </w:rPr>
        <w:t>sobolifera</w:t>
      </w:r>
      <w:proofErr w:type="spellEnd"/>
      <w:r w:rsidRPr="003D4161">
        <w:rPr>
          <w:rFonts w:ascii="Arial" w:hAnsi="Arial" w:cs="Arial"/>
          <w:sz w:val="20"/>
          <w:szCs w:val="20"/>
        </w:rPr>
        <w:t xml:space="preserve"> (Ascomycetes) in </w:t>
      </w:r>
      <w:r w:rsidRPr="003D4161">
        <w:rPr>
          <w:rFonts w:ascii="Arial" w:hAnsi="Arial" w:cs="Arial"/>
          <w:i/>
          <w:iCs/>
          <w:sz w:val="20"/>
          <w:szCs w:val="20"/>
        </w:rPr>
        <w:t>Caenorhabditis elegans.</w:t>
      </w:r>
      <w:r w:rsidRPr="003D4161">
        <w:rPr>
          <w:rFonts w:ascii="Arial" w:hAnsi="Arial" w:cs="Arial"/>
          <w:sz w:val="20"/>
          <w:szCs w:val="20"/>
        </w:rPr>
        <w:t xml:space="preserve"> </w:t>
      </w:r>
      <w:r w:rsidRPr="003D4161">
        <w:rPr>
          <w:rFonts w:ascii="Arial" w:hAnsi="Arial" w:cs="Arial"/>
          <w:i/>
          <w:iCs/>
          <w:sz w:val="20"/>
          <w:szCs w:val="20"/>
        </w:rPr>
        <w:t>Int. J. Med. Mushrooms</w:t>
      </w:r>
      <w:r w:rsidRPr="003D4161">
        <w:rPr>
          <w:rFonts w:ascii="Arial" w:hAnsi="Arial" w:cs="Arial"/>
          <w:sz w:val="20"/>
          <w:szCs w:val="20"/>
        </w:rPr>
        <w:t>, 20: 61-70.</w:t>
      </w:r>
    </w:p>
    <w:p w14:paraId="3E9712D2"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lastRenderedPageBreak/>
        <w:t>Maheri</w:t>
      </w:r>
      <w:proofErr w:type="spellEnd"/>
      <w:r w:rsidRPr="003D4161">
        <w:rPr>
          <w:rFonts w:ascii="Arial" w:hAnsi="Arial" w:cs="Arial"/>
          <w:sz w:val="20"/>
          <w:szCs w:val="20"/>
        </w:rPr>
        <w:t xml:space="preserve">, N., Shahryar, H.A. and </w:t>
      </w:r>
      <w:proofErr w:type="spellStart"/>
      <w:r w:rsidRPr="003D4161">
        <w:rPr>
          <w:rFonts w:ascii="Arial" w:hAnsi="Arial" w:cs="Arial"/>
          <w:sz w:val="20"/>
          <w:szCs w:val="20"/>
        </w:rPr>
        <w:t>Dizaji</w:t>
      </w:r>
      <w:proofErr w:type="spellEnd"/>
      <w:r w:rsidRPr="003D4161">
        <w:rPr>
          <w:rFonts w:ascii="Arial" w:hAnsi="Arial" w:cs="Arial"/>
          <w:sz w:val="20"/>
          <w:szCs w:val="20"/>
        </w:rPr>
        <w:t xml:space="preserve">, A.A. 2017. Effect of levels of oyster mushroom </w:t>
      </w:r>
      <w:r w:rsidRPr="003D4161">
        <w:rPr>
          <w:rFonts w:ascii="Arial" w:hAnsi="Arial" w:cs="Arial"/>
          <w:i/>
          <w:iCs/>
          <w:sz w:val="20"/>
          <w:szCs w:val="20"/>
        </w:rPr>
        <w:t>(Pleurotus ostreatus)</w:t>
      </w:r>
      <w:r w:rsidRPr="003D4161">
        <w:rPr>
          <w:rFonts w:ascii="Arial" w:hAnsi="Arial" w:cs="Arial"/>
          <w:sz w:val="20"/>
          <w:szCs w:val="20"/>
        </w:rPr>
        <w:t xml:space="preserve"> on performance and blood biochemical characteristics in Japanese quails </w:t>
      </w:r>
      <w:r w:rsidRPr="003D4161">
        <w:rPr>
          <w:rFonts w:ascii="Arial" w:hAnsi="Arial" w:cs="Arial"/>
          <w:i/>
          <w:iCs/>
          <w:sz w:val="20"/>
          <w:szCs w:val="20"/>
        </w:rPr>
        <w:t>(Coturnix coturnix)</w:t>
      </w:r>
      <w:r w:rsidRPr="003D4161">
        <w:rPr>
          <w:rFonts w:ascii="Arial" w:hAnsi="Arial" w:cs="Arial"/>
          <w:sz w:val="20"/>
          <w:szCs w:val="20"/>
        </w:rPr>
        <w:t xml:space="preserve">. </w:t>
      </w:r>
      <w:r w:rsidRPr="003D4161">
        <w:rPr>
          <w:rFonts w:ascii="Arial" w:hAnsi="Arial" w:cs="Arial"/>
          <w:i/>
          <w:iCs/>
          <w:sz w:val="20"/>
          <w:szCs w:val="20"/>
        </w:rPr>
        <w:t>Iranian J. Appl. Anim. Sci.,</w:t>
      </w:r>
      <w:r w:rsidRPr="003D4161">
        <w:rPr>
          <w:rFonts w:ascii="Arial" w:hAnsi="Arial" w:cs="Arial"/>
          <w:sz w:val="20"/>
          <w:szCs w:val="20"/>
        </w:rPr>
        <w:t xml:space="preserve"> 19: 687-691.</w:t>
      </w:r>
    </w:p>
    <w:p w14:paraId="44B9C4D3"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Mahfuz, S., Song, H., Miao, Y. and Liu, Z. 2019. Dietary inclusion of mushroom </w:t>
      </w:r>
      <w:r w:rsidRPr="003D4161">
        <w:rPr>
          <w:rFonts w:ascii="Arial" w:hAnsi="Arial" w:cs="Arial"/>
          <w:i/>
          <w:iCs/>
          <w:sz w:val="20"/>
          <w:szCs w:val="20"/>
        </w:rPr>
        <w:t>(</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i/>
          <w:iCs/>
          <w:sz w:val="20"/>
          <w:szCs w:val="20"/>
        </w:rPr>
        <w:t>)</w:t>
      </w:r>
      <w:r w:rsidRPr="003D4161">
        <w:rPr>
          <w:rFonts w:ascii="Arial" w:hAnsi="Arial" w:cs="Arial"/>
          <w:sz w:val="20"/>
          <w:szCs w:val="20"/>
        </w:rPr>
        <w:t xml:space="preserve"> stem waste on growth performance and immune responses in growing layer hens. </w:t>
      </w:r>
      <w:r w:rsidRPr="003D4161">
        <w:rPr>
          <w:rFonts w:ascii="Arial" w:hAnsi="Arial" w:cs="Arial"/>
          <w:i/>
          <w:iCs/>
          <w:sz w:val="20"/>
          <w:szCs w:val="20"/>
        </w:rPr>
        <w:t>J. Sci. Food Agric</w:t>
      </w:r>
      <w:r w:rsidRPr="003D4161">
        <w:rPr>
          <w:rFonts w:ascii="Arial" w:hAnsi="Arial" w:cs="Arial"/>
          <w:sz w:val="20"/>
          <w:szCs w:val="20"/>
        </w:rPr>
        <w:t>., 99(2): 703-710.</w:t>
      </w:r>
    </w:p>
    <w:p w14:paraId="25C0B7E2"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Mutlag</w:t>
      </w:r>
      <w:proofErr w:type="spellEnd"/>
      <w:r w:rsidRPr="003D4161">
        <w:rPr>
          <w:rFonts w:ascii="Arial" w:hAnsi="Arial" w:cs="Arial"/>
          <w:sz w:val="20"/>
          <w:szCs w:val="20"/>
        </w:rPr>
        <w:t xml:space="preserve">, N. H., Al-Shukri, A. Y. and Hussein, A. M. 2017. Assessment of the addition of oyster mushroom </w:t>
      </w:r>
      <w:r w:rsidRPr="003D4161">
        <w:rPr>
          <w:rFonts w:ascii="Arial" w:hAnsi="Arial" w:cs="Arial"/>
          <w:i/>
          <w:iCs/>
          <w:sz w:val="20"/>
          <w:szCs w:val="20"/>
        </w:rPr>
        <w:t>(Pleurotus ostreatus)</w:t>
      </w:r>
      <w:r w:rsidRPr="003D4161">
        <w:rPr>
          <w:rFonts w:ascii="Arial" w:hAnsi="Arial" w:cs="Arial"/>
          <w:sz w:val="20"/>
          <w:szCs w:val="20"/>
        </w:rPr>
        <w:t xml:space="preserve"> on the weights sectors ratios and giblets weight of broiler chicken and microbial contents. </w:t>
      </w:r>
      <w:proofErr w:type="spellStart"/>
      <w:r w:rsidRPr="003D4161">
        <w:rPr>
          <w:rFonts w:ascii="Arial" w:hAnsi="Arial" w:cs="Arial"/>
          <w:i/>
          <w:iCs/>
          <w:sz w:val="20"/>
          <w:szCs w:val="20"/>
        </w:rPr>
        <w:t>Biochem</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Cell.Arch</w:t>
      </w:r>
      <w:proofErr w:type="spellEnd"/>
      <w:r w:rsidRPr="003D4161">
        <w:rPr>
          <w:rFonts w:ascii="Arial" w:hAnsi="Arial" w:cs="Arial"/>
          <w:i/>
          <w:iCs/>
          <w:sz w:val="20"/>
          <w:szCs w:val="20"/>
        </w:rPr>
        <w:t>.,</w:t>
      </w:r>
      <w:r w:rsidRPr="003D4161">
        <w:rPr>
          <w:rFonts w:ascii="Arial" w:hAnsi="Arial" w:cs="Arial"/>
          <w:sz w:val="20"/>
          <w:szCs w:val="20"/>
        </w:rPr>
        <w:t xml:space="preserve"> 17: 739-743.</w:t>
      </w:r>
    </w:p>
    <w:p w14:paraId="6D5B1BC9"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Natsir, M.H., Sjofjan, O. and </w:t>
      </w:r>
      <w:proofErr w:type="spellStart"/>
      <w:r w:rsidRPr="003D4161">
        <w:rPr>
          <w:rFonts w:ascii="Arial" w:hAnsi="Arial" w:cs="Arial"/>
          <w:sz w:val="20"/>
          <w:szCs w:val="20"/>
        </w:rPr>
        <w:t>Ardyansyah</w:t>
      </w:r>
      <w:proofErr w:type="spellEnd"/>
      <w:r w:rsidRPr="003D4161">
        <w:rPr>
          <w:rFonts w:ascii="Arial" w:hAnsi="Arial" w:cs="Arial"/>
          <w:sz w:val="20"/>
          <w:szCs w:val="20"/>
        </w:rPr>
        <w:t xml:space="preserve">, R.H. 2020. Effect of dietary </w:t>
      </w:r>
      <w:r w:rsidRPr="003D4161">
        <w:rPr>
          <w:rFonts w:ascii="Arial" w:hAnsi="Arial" w:cs="Arial"/>
          <w:i/>
          <w:iCs/>
          <w:sz w:val="20"/>
          <w:szCs w:val="20"/>
        </w:rPr>
        <w:t>Agaricus bisporus</w:t>
      </w:r>
      <w:r w:rsidRPr="003D4161">
        <w:rPr>
          <w:rFonts w:ascii="Arial" w:hAnsi="Arial" w:cs="Arial"/>
          <w:sz w:val="20"/>
          <w:szCs w:val="20"/>
        </w:rPr>
        <w:t xml:space="preserve"> and </w:t>
      </w:r>
      <w:r w:rsidRPr="003D4161">
        <w:rPr>
          <w:rFonts w:ascii="Arial" w:hAnsi="Arial" w:cs="Arial"/>
          <w:i/>
          <w:iCs/>
          <w:sz w:val="20"/>
          <w:szCs w:val="20"/>
        </w:rPr>
        <w:t>Auricularia auricula</w:t>
      </w:r>
      <w:r w:rsidRPr="003D4161">
        <w:rPr>
          <w:rFonts w:ascii="Arial" w:hAnsi="Arial" w:cs="Arial"/>
          <w:sz w:val="20"/>
          <w:szCs w:val="20"/>
        </w:rPr>
        <w:t xml:space="preserve"> crude extract supplementation on carcass quality of broiler. </w:t>
      </w:r>
      <w:r w:rsidRPr="003D4161">
        <w:rPr>
          <w:rFonts w:ascii="Arial" w:hAnsi="Arial" w:cs="Arial"/>
          <w:i/>
          <w:iCs/>
          <w:sz w:val="20"/>
          <w:szCs w:val="20"/>
        </w:rPr>
        <w:t xml:space="preserve">J. </w:t>
      </w:r>
      <w:proofErr w:type="spellStart"/>
      <w:r w:rsidRPr="003D4161">
        <w:rPr>
          <w:rFonts w:ascii="Arial" w:hAnsi="Arial" w:cs="Arial"/>
          <w:i/>
          <w:iCs/>
          <w:sz w:val="20"/>
          <w:szCs w:val="20"/>
        </w:rPr>
        <w:t>Ilmu</w:t>
      </w:r>
      <w:proofErr w:type="spellEnd"/>
      <w:r w:rsidRPr="003D4161">
        <w:rPr>
          <w:rFonts w:ascii="Arial" w:hAnsi="Arial" w:cs="Arial"/>
          <w:i/>
          <w:iCs/>
          <w:sz w:val="20"/>
          <w:szCs w:val="20"/>
        </w:rPr>
        <w:t xml:space="preserve"> dan </w:t>
      </w:r>
      <w:proofErr w:type="spellStart"/>
      <w:r w:rsidRPr="003D4161">
        <w:rPr>
          <w:rFonts w:ascii="Arial" w:hAnsi="Arial" w:cs="Arial"/>
          <w:i/>
          <w:iCs/>
          <w:sz w:val="20"/>
          <w:szCs w:val="20"/>
        </w:rPr>
        <w:t>Teknol</w:t>
      </w:r>
      <w:proofErr w:type="spellEnd"/>
      <w:r w:rsidRPr="003D4161">
        <w:rPr>
          <w:rFonts w:ascii="Arial" w:hAnsi="Arial" w:cs="Arial"/>
          <w:i/>
          <w:iCs/>
          <w:sz w:val="20"/>
          <w:szCs w:val="20"/>
        </w:rPr>
        <w:t>. Hasil Ternak,</w:t>
      </w:r>
      <w:r w:rsidRPr="003D4161">
        <w:rPr>
          <w:rFonts w:ascii="Arial" w:hAnsi="Arial" w:cs="Arial"/>
          <w:sz w:val="20"/>
          <w:szCs w:val="20"/>
        </w:rPr>
        <w:t xml:space="preserve"> 15: 183-193.</w:t>
      </w:r>
    </w:p>
    <w:p w14:paraId="5B45E12F"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Pourhossein</w:t>
      </w:r>
      <w:proofErr w:type="spellEnd"/>
      <w:r w:rsidRPr="003D4161">
        <w:rPr>
          <w:rFonts w:ascii="Arial" w:hAnsi="Arial" w:cs="Arial"/>
          <w:sz w:val="20"/>
          <w:szCs w:val="20"/>
        </w:rPr>
        <w:t xml:space="preserve">, Z., </w:t>
      </w:r>
      <w:proofErr w:type="spellStart"/>
      <w:r w:rsidRPr="003D4161">
        <w:rPr>
          <w:rFonts w:ascii="Arial" w:hAnsi="Arial" w:cs="Arial"/>
          <w:sz w:val="20"/>
          <w:szCs w:val="20"/>
        </w:rPr>
        <w:t>Qotbi</w:t>
      </w:r>
      <w:proofErr w:type="spellEnd"/>
      <w:r w:rsidRPr="003D4161">
        <w:rPr>
          <w:rFonts w:ascii="Arial" w:hAnsi="Arial" w:cs="Arial"/>
          <w:sz w:val="20"/>
          <w:szCs w:val="20"/>
        </w:rPr>
        <w:t xml:space="preserve">, A. A., </w:t>
      </w:r>
      <w:proofErr w:type="spellStart"/>
      <w:r w:rsidRPr="003D4161">
        <w:rPr>
          <w:rFonts w:ascii="Arial" w:hAnsi="Arial" w:cs="Arial"/>
          <w:sz w:val="20"/>
          <w:szCs w:val="20"/>
        </w:rPr>
        <w:t>Seidavi</w:t>
      </w:r>
      <w:proofErr w:type="spellEnd"/>
      <w:r w:rsidRPr="003D4161">
        <w:rPr>
          <w:rFonts w:ascii="Arial" w:hAnsi="Arial" w:cs="Arial"/>
          <w:sz w:val="20"/>
          <w:szCs w:val="20"/>
        </w:rPr>
        <w:t xml:space="preserve">, A., Laudadio, V., </w:t>
      </w:r>
      <w:proofErr w:type="spellStart"/>
      <w:r w:rsidRPr="003D4161">
        <w:rPr>
          <w:rFonts w:ascii="Arial" w:hAnsi="Arial" w:cs="Arial"/>
          <w:sz w:val="20"/>
          <w:szCs w:val="20"/>
        </w:rPr>
        <w:t>Centoducati</w:t>
      </w:r>
      <w:proofErr w:type="spellEnd"/>
      <w:r w:rsidRPr="003D4161">
        <w:rPr>
          <w:rFonts w:ascii="Arial" w:hAnsi="Arial" w:cs="Arial"/>
          <w:sz w:val="20"/>
          <w:szCs w:val="20"/>
        </w:rPr>
        <w:t xml:space="preserve">, G. and Tufarelli, V. 2015. Effect of different levels of dietary sweet orange </w:t>
      </w:r>
      <w:r w:rsidRPr="003D4161">
        <w:rPr>
          <w:rFonts w:ascii="Arial" w:hAnsi="Arial" w:cs="Arial"/>
          <w:i/>
          <w:iCs/>
          <w:sz w:val="20"/>
          <w:szCs w:val="20"/>
        </w:rPr>
        <w:t>(Citrus sinensis)</w:t>
      </w:r>
      <w:r w:rsidRPr="003D4161">
        <w:rPr>
          <w:rFonts w:ascii="Arial" w:hAnsi="Arial" w:cs="Arial"/>
          <w:sz w:val="20"/>
          <w:szCs w:val="20"/>
        </w:rPr>
        <w:t xml:space="preserve"> peel extract on humoral immune system responses in broiler chickens. </w:t>
      </w:r>
      <w:r w:rsidRPr="003D4161">
        <w:rPr>
          <w:rFonts w:ascii="Arial" w:hAnsi="Arial" w:cs="Arial"/>
          <w:i/>
          <w:iCs/>
          <w:sz w:val="20"/>
          <w:szCs w:val="20"/>
        </w:rPr>
        <w:t>Anim. Sci. J.,</w:t>
      </w:r>
      <w:r w:rsidRPr="003D4161">
        <w:rPr>
          <w:rFonts w:ascii="Arial" w:hAnsi="Arial" w:cs="Arial"/>
          <w:sz w:val="20"/>
          <w:szCs w:val="20"/>
        </w:rPr>
        <w:t xml:space="preserve"> 86: 105-110.</w:t>
      </w:r>
    </w:p>
    <w:p w14:paraId="22DCA8F5"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Prasad, S. 2022. Effect of replacing </w:t>
      </w:r>
      <w:proofErr w:type="spellStart"/>
      <w:r w:rsidRPr="003D4161">
        <w:rPr>
          <w:rFonts w:ascii="Arial" w:hAnsi="Arial" w:cs="Arial"/>
          <w:sz w:val="20"/>
          <w:szCs w:val="20"/>
        </w:rPr>
        <w:t>deoiled</w:t>
      </w:r>
      <w:proofErr w:type="spellEnd"/>
      <w:r w:rsidRPr="003D4161">
        <w:rPr>
          <w:rFonts w:ascii="Arial" w:hAnsi="Arial" w:cs="Arial"/>
          <w:sz w:val="20"/>
          <w:szCs w:val="20"/>
        </w:rPr>
        <w:t xml:space="preserve"> rice bran with mushroom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bisphorus</w:t>
      </w:r>
      <w:proofErr w:type="spellEnd"/>
      <w:r w:rsidRPr="003D4161">
        <w:rPr>
          <w:rFonts w:ascii="Arial" w:hAnsi="Arial" w:cs="Arial"/>
          <w:i/>
          <w:iCs/>
          <w:sz w:val="20"/>
          <w:szCs w:val="20"/>
        </w:rPr>
        <w:t>)</w:t>
      </w:r>
      <w:r w:rsidRPr="003D4161">
        <w:rPr>
          <w:rFonts w:ascii="Arial" w:hAnsi="Arial" w:cs="Arial"/>
          <w:sz w:val="20"/>
          <w:szCs w:val="20"/>
        </w:rPr>
        <w:t xml:space="preserve"> waste on the performance of Rhode Island Red Laying Hens. Thesis, </w:t>
      </w:r>
      <w:proofErr w:type="spellStart"/>
      <w:r w:rsidRPr="003D4161">
        <w:rPr>
          <w:rFonts w:ascii="Arial" w:hAnsi="Arial" w:cs="Arial"/>
          <w:sz w:val="20"/>
          <w:szCs w:val="20"/>
        </w:rPr>
        <w:t>M.V.Sc</w:t>
      </w:r>
      <w:proofErr w:type="spellEnd"/>
      <w:r w:rsidRPr="003D4161">
        <w:rPr>
          <w:rFonts w:ascii="Arial" w:hAnsi="Arial" w:cs="Arial"/>
          <w:sz w:val="20"/>
          <w:szCs w:val="20"/>
        </w:rPr>
        <w:t xml:space="preserve">., G.B. Pant University of Agriculture and Technology, </w:t>
      </w:r>
      <w:proofErr w:type="spellStart"/>
      <w:r w:rsidRPr="003D4161">
        <w:rPr>
          <w:rFonts w:ascii="Arial" w:hAnsi="Arial" w:cs="Arial"/>
          <w:sz w:val="20"/>
          <w:szCs w:val="20"/>
        </w:rPr>
        <w:t>Pantnagar</w:t>
      </w:r>
      <w:proofErr w:type="spellEnd"/>
      <w:r w:rsidRPr="003D4161">
        <w:rPr>
          <w:rFonts w:ascii="Arial" w:hAnsi="Arial" w:cs="Arial"/>
          <w:sz w:val="20"/>
          <w:szCs w:val="20"/>
        </w:rPr>
        <w:t>, Uttarakhand, India, 104 p.</w:t>
      </w:r>
    </w:p>
    <w:p w14:paraId="064A9387"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Qaisrani, S.N., Abbas, G., Khan, S.H., Yousaf, M.S. and Ashraf, M. 2021. Effect of feeding different levels of mushroom spent substrate on growth performance, carcass traits, immune status, and serum biochemistry of broilers. </w:t>
      </w:r>
      <w:r w:rsidRPr="003D4161">
        <w:rPr>
          <w:rFonts w:ascii="Arial" w:hAnsi="Arial" w:cs="Arial"/>
          <w:i/>
          <w:iCs/>
          <w:sz w:val="20"/>
          <w:szCs w:val="20"/>
        </w:rPr>
        <w:t>J. Appl. Poult. Res.,</w:t>
      </w:r>
      <w:r w:rsidRPr="003D4161">
        <w:rPr>
          <w:rFonts w:ascii="Arial" w:hAnsi="Arial" w:cs="Arial"/>
          <w:sz w:val="20"/>
          <w:szCs w:val="20"/>
        </w:rPr>
        <w:t xml:space="preserve"> 30(4): 101-112.</w:t>
      </w:r>
    </w:p>
    <w:p w14:paraId="760A5152"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Ram, U., and Ram, F. 2021. Demographic transition in India: insights into population growth, composition, and its major drivers. </w:t>
      </w:r>
      <w:r w:rsidRPr="003D4161">
        <w:rPr>
          <w:rFonts w:ascii="Arial" w:hAnsi="Arial" w:cs="Arial"/>
          <w:i/>
          <w:iCs/>
          <w:sz w:val="20"/>
          <w:szCs w:val="20"/>
        </w:rPr>
        <w:t xml:space="preserve">In Oxford Research </w:t>
      </w:r>
      <w:proofErr w:type="spellStart"/>
      <w:r w:rsidRPr="003D4161">
        <w:rPr>
          <w:rFonts w:ascii="Arial" w:hAnsi="Arial" w:cs="Arial"/>
          <w:i/>
          <w:iCs/>
          <w:sz w:val="20"/>
          <w:szCs w:val="20"/>
        </w:rPr>
        <w:t>Encyclopedia</w:t>
      </w:r>
      <w:proofErr w:type="spellEnd"/>
      <w:r w:rsidRPr="003D4161">
        <w:rPr>
          <w:rFonts w:ascii="Arial" w:hAnsi="Arial" w:cs="Arial"/>
          <w:i/>
          <w:iCs/>
          <w:sz w:val="20"/>
          <w:szCs w:val="20"/>
        </w:rPr>
        <w:t xml:space="preserve"> of Global Public Health.</w:t>
      </w:r>
    </w:p>
    <w:p w14:paraId="04DEA83C"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Rebh</w:t>
      </w:r>
      <w:proofErr w:type="spellEnd"/>
      <w:r w:rsidRPr="003D4161">
        <w:rPr>
          <w:rFonts w:ascii="Arial" w:hAnsi="Arial" w:cs="Arial"/>
          <w:sz w:val="20"/>
          <w:szCs w:val="20"/>
        </w:rPr>
        <w:t xml:space="preserve">, A.Y., </w:t>
      </w:r>
      <w:proofErr w:type="spellStart"/>
      <w:r w:rsidRPr="003D4161">
        <w:rPr>
          <w:rFonts w:ascii="Arial" w:hAnsi="Arial" w:cs="Arial"/>
          <w:sz w:val="20"/>
          <w:szCs w:val="20"/>
        </w:rPr>
        <w:t>Jassim</w:t>
      </w:r>
      <w:proofErr w:type="spellEnd"/>
      <w:r w:rsidRPr="003D4161">
        <w:rPr>
          <w:rFonts w:ascii="Arial" w:hAnsi="Arial" w:cs="Arial"/>
          <w:sz w:val="20"/>
          <w:szCs w:val="20"/>
        </w:rPr>
        <w:t xml:space="preserve">, J.M. and Alasadi, M.H.A. 2023. The effect of the synergistic mixture of oyster mushroom (Pleurotus ostreatus) and beta-glucan added to the diet on the productive performance of broilers under heat stress. </w:t>
      </w:r>
      <w:r w:rsidRPr="003D4161">
        <w:rPr>
          <w:rFonts w:ascii="Arial" w:hAnsi="Arial" w:cs="Arial"/>
          <w:i/>
          <w:iCs/>
          <w:sz w:val="20"/>
          <w:szCs w:val="20"/>
        </w:rPr>
        <w:t>GSC Adv. Res. Rev.,</w:t>
      </w:r>
      <w:r w:rsidRPr="003D4161">
        <w:rPr>
          <w:rFonts w:ascii="Arial" w:hAnsi="Arial" w:cs="Arial"/>
          <w:sz w:val="20"/>
          <w:szCs w:val="20"/>
        </w:rPr>
        <w:t xml:space="preserve"> 14: 179-186.</w:t>
      </w:r>
    </w:p>
    <w:p w14:paraId="6CE8B992"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Roy, D. and Fahim, A. 2019. The effect of different level of mushroom </w:t>
      </w:r>
      <w:r w:rsidRPr="003D4161">
        <w:rPr>
          <w:rFonts w:ascii="Arial" w:hAnsi="Arial" w:cs="Arial"/>
          <w:i/>
          <w:iCs/>
          <w:sz w:val="20"/>
          <w:szCs w:val="20"/>
        </w:rPr>
        <w:t>(Agaricus bisporus)</w:t>
      </w:r>
      <w:r w:rsidRPr="003D4161">
        <w:rPr>
          <w:rFonts w:ascii="Arial" w:hAnsi="Arial" w:cs="Arial"/>
          <w:sz w:val="20"/>
          <w:szCs w:val="20"/>
        </w:rPr>
        <w:t xml:space="preserve"> and probiotics </w:t>
      </w:r>
      <w:r w:rsidRPr="003D4161">
        <w:rPr>
          <w:rFonts w:ascii="Arial" w:hAnsi="Arial" w:cs="Arial"/>
          <w:i/>
          <w:iCs/>
          <w:sz w:val="20"/>
          <w:szCs w:val="20"/>
        </w:rPr>
        <w:t>(Saccharomyces cerevisiae)</w:t>
      </w:r>
      <w:r w:rsidRPr="003D4161">
        <w:rPr>
          <w:rFonts w:ascii="Arial" w:hAnsi="Arial" w:cs="Arial"/>
          <w:sz w:val="20"/>
          <w:szCs w:val="20"/>
        </w:rPr>
        <w:t xml:space="preserve"> on sensory evaluation of broiler meat. </w:t>
      </w:r>
      <w:r w:rsidRPr="003D4161">
        <w:rPr>
          <w:rFonts w:ascii="Arial" w:hAnsi="Arial" w:cs="Arial"/>
          <w:i/>
          <w:iCs/>
          <w:sz w:val="20"/>
          <w:szCs w:val="20"/>
        </w:rPr>
        <w:t xml:space="preserve">J. </w:t>
      </w:r>
      <w:proofErr w:type="spellStart"/>
      <w:r w:rsidRPr="003D4161">
        <w:rPr>
          <w:rFonts w:ascii="Arial" w:hAnsi="Arial" w:cs="Arial"/>
          <w:i/>
          <w:iCs/>
          <w:sz w:val="20"/>
          <w:szCs w:val="20"/>
        </w:rPr>
        <w:t>Entomol</w:t>
      </w:r>
      <w:proofErr w:type="spellEnd"/>
      <w:r w:rsidRPr="003D4161">
        <w:rPr>
          <w:rFonts w:ascii="Arial" w:hAnsi="Arial" w:cs="Arial"/>
          <w:i/>
          <w:iCs/>
          <w:sz w:val="20"/>
          <w:szCs w:val="20"/>
        </w:rPr>
        <w:t xml:space="preserve">. Zool. Stud., </w:t>
      </w:r>
      <w:r w:rsidRPr="003D4161">
        <w:rPr>
          <w:rFonts w:ascii="Arial" w:hAnsi="Arial" w:cs="Arial"/>
          <w:sz w:val="20"/>
          <w:szCs w:val="20"/>
        </w:rPr>
        <w:t>7: 347-349.</w:t>
      </w:r>
    </w:p>
    <w:p w14:paraId="3724039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Shamsi, S., A. </w:t>
      </w:r>
      <w:proofErr w:type="spellStart"/>
      <w:r w:rsidRPr="003D4161">
        <w:rPr>
          <w:rFonts w:ascii="Arial" w:hAnsi="Arial" w:cs="Arial"/>
          <w:sz w:val="20"/>
          <w:szCs w:val="20"/>
        </w:rPr>
        <w:t>Seidavi</w:t>
      </w:r>
      <w:proofErr w:type="spellEnd"/>
      <w:r w:rsidRPr="003D4161">
        <w:rPr>
          <w:rFonts w:ascii="Arial" w:hAnsi="Arial" w:cs="Arial"/>
          <w:sz w:val="20"/>
          <w:szCs w:val="20"/>
        </w:rPr>
        <w:t xml:space="preserve">, M. </w:t>
      </w:r>
      <w:proofErr w:type="spellStart"/>
      <w:r w:rsidRPr="003D4161">
        <w:rPr>
          <w:rFonts w:ascii="Arial" w:hAnsi="Arial" w:cs="Arial"/>
          <w:sz w:val="20"/>
          <w:szCs w:val="20"/>
        </w:rPr>
        <w:t>Rahati</w:t>
      </w:r>
      <w:proofErr w:type="spellEnd"/>
      <w:r w:rsidRPr="003D4161">
        <w:rPr>
          <w:rFonts w:ascii="Arial" w:hAnsi="Arial" w:cs="Arial"/>
          <w:sz w:val="20"/>
          <w:szCs w:val="20"/>
        </w:rPr>
        <w:t xml:space="preserve"> and J.A.G. Nieto, 2015. Edible mushroom powder </w:t>
      </w:r>
      <w:r w:rsidRPr="003D4161">
        <w:rPr>
          <w:rFonts w:ascii="Arial" w:hAnsi="Arial" w:cs="Arial"/>
          <w:i/>
          <w:iCs/>
          <w:sz w:val="20"/>
          <w:szCs w:val="20"/>
        </w:rPr>
        <w:t>(</w:t>
      </w:r>
      <w:proofErr w:type="spellStart"/>
      <w:r w:rsidRPr="003D4161">
        <w:rPr>
          <w:rFonts w:ascii="Arial" w:hAnsi="Arial" w:cs="Arial"/>
          <w:i/>
          <w:iCs/>
          <w:sz w:val="20"/>
          <w:szCs w:val="20"/>
        </w:rPr>
        <w:t>Agaricus</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bisporus</w:t>
      </w:r>
      <w:proofErr w:type="spellEnd"/>
      <w:r w:rsidRPr="003D4161">
        <w:rPr>
          <w:rFonts w:ascii="Arial" w:hAnsi="Arial" w:cs="Arial"/>
          <w:i/>
          <w:iCs/>
          <w:sz w:val="20"/>
          <w:szCs w:val="20"/>
        </w:rPr>
        <w:t>)</w:t>
      </w:r>
      <w:r w:rsidRPr="003D4161">
        <w:rPr>
          <w:rFonts w:ascii="Arial" w:hAnsi="Arial" w:cs="Arial"/>
          <w:sz w:val="20"/>
          <w:szCs w:val="20"/>
        </w:rPr>
        <w:t xml:space="preserve"> and </w:t>
      </w:r>
      <w:proofErr w:type="spellStart"/>
      <w:r w:rsidRPr="003D4161">
        <w:rPr>
          <w:rFonts w:ascii="Arial" w:hAnsi="Arial" w:cs="Arial"/>
          <w:sz w:val="20"/>
          <w:szCs w:val="20"/>
        </w:rPr>
        <w:t>flavor</w:t>
      </w:r>
      <w:proofErr w:type="spellEnd"/>
      <w:r w:rsidRPr="003D4161">
        <w:rPr>
          <w:rFonts w:ascii="Arial" w:hAnsi="Arial" w:cs="Arial"/>
          <w:sz w:val="20"/>
          <w:szCs w:val="20"/>
        </w:rPr>
        <w:t xml:space="preserve"> </w:t>
      </w:r>
      <w:proofErr w:type="spellStart"/>
      <w:r w:rsidRPr="003D4161">
        <w:rPr>
          <w:rFonts w:ascii="Arial" w:hAnsi="Arial" w:cs="Arial"/>
          <w:sz w:val="20"/>
          <w:szCs w:val="20"/>
        </w:rPr>
        <w:t>phospholipol</w:t>
      </w:r>
      <w:proofErr w:type="spellEnd"/>
      <w:r w:rsidRPr="003D4161">
        <w:rPr>
          <w:rFonts w:ascii="Arial" w:hAnsi="Arial" w:cs="Arial"/>
          <w:sz w:val="20"/>
          <w:szCs w:val="20"/>
        </w:rPr>
        <w:t xml:space="preserve"> improve performance and blood parameters of broilers. </w:t>
      </w:r>
      <w:r w:rsidRPr="003D4161">
        <w:rPr>
          <w:rFonts w:ascii="Arial" w:hAnsi="Arial" w:cs="Arial"/>
          <w:i/>
          <w:iCs/>
          <w:sz w:val="20"/>
          <w:szCs w:val="20"/>
        </w:rPr>
        <w:t xml:space="preserve">Rev Colombia </w:t>
      </w:r>
      <w:proofErr w:type="spellStart"/>
      <w:r w:rsidRPr="003D4161">
        <w:rPr>
          <w:rFonts w:ascii="Arial" w:hAnsi="Arial" w:cs="Arial"/>
          <w:i/>
          <w:iCs/>
          <w:sz w:val="20"/>
          <w:szCs w:val="20"/>
        </w:rPr>
        <w:t>Cienc</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Pecu</w:t>
      </w:r>
      <w:proofErr w:type="spellEnd"/>
      <w:r w:rsidRPr="003D4161">
        <w:rPr>
          <w:rFonts w:ascii="Arial" w:hAnsi="Arial" w:cs="Arial"/>
          <w:i/>
          <w:iCs/>
          <w:sz w:val="20"/>
          <w:szCs w:val="20"/>
        </w:rPr>
        <w:t>.</w:t>
      </w:r>
      <w:r w:rsidRPr="003D4161">
        <w:rPr>
          <w:rFonts w:ascii="Arial" w:hAnsi="Arial" w:cs="Arial"/>
          <w:sz w:val="20"/>
          <w:szCs w:val="20"/>
        </w:rPr>
        <w:t xml:space="preserve"> 28: 291-302.</w:t>
      </w:r>
    </w:p>
    <w:p w14:paraId="7BAA5A8B"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Shang, H.M., Song, Y.L., Xing, S.L., Niu, G.D., Ding, Y.Y. and Liang, F. 2016. Effects of dietary fermentation concentrate of </w:t>
      </w:r>
      <w:r w:rsidRPr="003D4161">
        <w:rPr>
          <w:rFonts w:ascii="Arial" w:hAnsi="Arial" w:cs="Arial"/>
          <w:i/>
          <w:iCs/>
          <w:sz w:val="20"/>
          <w:szCs w:val="20"/>
        </w:rPr>
        <w:t>Hericium caput Medusae</w:t>
      </w:r>
      <w:r w:rsidRPr="003D4161">
        <w:rPr>
          <w:rFonts w:ascii="Arial" w:hAnsi="Arial" w:cs="Arial"/>
          <w:sz w:val="20"/>
          <w:szCs w:val="20"/>
        </w:rPr>
        <w:t xml:space="preserve"> (Bull: Fr.) Pers. on growth performance, </w:t>
      </w:r>
      <w:r w:rsidRPr="003D4161">
        <w:rPr>
          <w:rFonts w:ascii="Arial" w:hAnsi="Arial" w:cs="Arial"/>
          <w:sz w:val="20"/>
          <w:szCs w:val="20"/>
        </w:rPr>
        <w:lastRenderedPageBreak/>
        <w:t xml:space="preserve">digestibility, and intestinal microbiology and morphology in broiler chickens. </w:t>
      </w:r>
      <w:r w:rsidRPr="003D4161">
        <w:rPr>
          <w:rFonts w:ascii="Arial" w:hAnsi="Arial" w:cs="Arial"/>
          <w:i/>
          <w:iCs/>
          <w:sz w:val="20"/>
          <w:szCs w:val="20"/>
        </w:rPr>
        <w:t>J. Sci. Food Agric.,</w:t>
      </w:r>
      <w:r w:rsidRPr="003D4161">
        <w:rPr>
          <w:rFonts w:ascii="Arial" w:hAnsi="Arial" w:cs="Arial"/>
          <w:sz w:val="20"/>
          <w:szCs w:val="20"/>
        </w:rPr>
        <w:t xml:space="preserve"> 96: 215-222.</w:t>
      </w:r>
    </w:p>
    <w:p w14:paraId="51608A85" w14:textId="77777777" w:rsidR="003A3012" w:rsidRPr="003D4161" w:rsidRDefault="003A3012" w:rsidP="000004F3">
      <w:pPr>
        <w:spacing w:line="360" w:lineRule="auto"/>
        <w:ind w:left="720" w:hanging="720"/>
        <w:jc w:val="both"/>
        <w:rPr>
          <w:rFonts w:ascii="Arial" w:hAnsi="Arial" w:cs="Arial"/>
          <w:sz w:val="20"/>
          <w:szCs w:val="20"/>
        </w:rPr>
      </w:pPr>
      <w:proofErr w:type="spellStart"/>
      <w:r w:rsidRPr="003D4161">
        <w:rPr>
          <w:rFonts w:ascii="Arial" w:hAnsi="Arial" w:cs="Arial"/>
          <w:sz w:val="20"/>
          <w:szCs w:val="20"/>
        </w:rPr>
        <w:t>Smiderle</w:t>
      </w:r>
      <w:proofErr w:type="spellEnd"/>
      <w:r w:rsidRPr="003D4161">
        <w:rPr>
          <w:rFonts w:ascii="Arial" w:hAnsi="Arial" w:cs="Arial"/>
          <w:sz w:val="20"/>
          <w:szCs w:val="20"/>
        </w:rPr>
        <w:t xml:space="preserve">, F.R., </w:t>
      </w:r>
      <w:proofErr w:type="spellStart"/>
      <w:r w:rsidRPr="003D4161">
        <w:rPr>
          <w:rFonts w:ascii="Arial" w:hAnsi="Arial" w:cs="Arial"/>
          <w:sz w:val="20"/>
          <w:szCs w:val="20"/>
        </w:rPr>
        <w:t>Carbonero</w:t>
      </w:r>
      <w:proofErr w:type="spellEnd"/>
      <w:r w:rsidRPr="003D4161">
        <w:rPr>
          <w:rFonts w:ascii="Arial" w:hAnsi="Arial" w:cs="Arial"/>
          <w:sz w:val="20"/>
          <w:szCs w:val="20"/>
        </w:rPr>
        <w:t xml:space="preserve">, E.R., </w:t>
      </w:r>
      <w:proofErr w:type="spellStart"/>
      <w:r w:rsidRPr="003D4161">
        <w:rPr>
          <w:rFonts w:ascii="Arial" w:hAnsi="Arial" w:cs="Arial"/>
          <w:sz w:val="20"/>
          <w:szCs w:val="20"/>
        </w:rPr>
        <w:t>Sassaki</w:t>
      </w:r>
      <w:proofErr w:type="spellEnd"/>
      <w:r w:rsidRPr="003D4161">
        <w:rPr>
          <w:rFonts w:ascii="Arial" w:hAnsi="Arial" w:cs="Arial"/>
          <w:sz w:val="20"/>
          <w:szCs w:val="20"/>
        </w:rPr>
        <w:t xml:space="preserve">, G.L., </w:t>
      </w:r>
      <w:proofErr w:type="spellStart"/>
      <w:r w:rsidRPr="003D4161">
        <w:rPr>
          <w:rFonts w:ascii="Arial" w:hAnsi="Arial" w:cs="Arial"/>
          <w:sz w:val="20"/>
          <w:szCs w:val="20"/>
        </w:rPr>
        <w:t>Gorin</w:t>
      </w:r>
      <w:proofErr w:type="spellEnd"/>
      <w:r w:rsidRPr="003D4161">
        <w:rPr>
          <w:rFonts w:ascii="Arial" w:hAnsi="Arial" w:cs="Arial"/>
          <w:sz w:val="20"/>
          <w:szCs w:val="20"/>
        </w:rPr>
        <w:t xml:space="preserve">, P.A.J. and </w:t>
      </w:r>
      <w:proofErr w:type="spellStart"/>
      <w:r w:rsidRPr="003D4161">
        <w:rPr>
          <w:rFonts w:ascii="Arial" w:hAnsi="Arial" w:cs="Arial"/>
          <w:sz w:val="20"/>
          <w:szCs w:val="20"/>
        </w:rPr>
        <w:t>Iacomini</w:t>
      </w:r>
      <w:proofErr w:type="spellEnd"/>
      <w:r w:rsidRPr="003D4161">
        <w:rPr>
          <w:rFonts w:ascii="Arial" w:hAnsi="Arial" w:cs="Arial"/>
          <w:sz w:val="20"/>
          <w:szCs w:val="20"/>
        </w:rPr>
        <w:t xml:space="preserve">, M. 2008. Characterization of a </w:t>
      </w:r>
      <w:proofErr w:type="spellStart"/>
      <w:r w:rsidRPr="003D4161">
        <w:rPr>
          <w:rFonts w:ascii="Arial" w:hAnsi="Arial" w:cs="Arial"/>
          <w:sz w:val="20"/>
          <w:szCs w:val="20"/>
        </w:rPr>
        <w:t>heterogalactan</w:t>
      </w:r>
      <w:proofErr w:type="spellEnd"/>
      <w:r w:rsidRPr="003D4161">
        <w:rPr>
          <w:rFonts w:ascii="Arial" w:hAnsi="Arial" w:cs="Arial"/>
          <w:sz w:val="20"/>
          <w:szCs w:val="20"/>
        </w:rPr>
        <w:t xml:space="preserve">: Some nutritional values of the edible mushroom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w:t>
      </w:r>
      <w:r w:rsidRPr="003D4161">
        <w:rPr>
          <w:rFonts w:ascii="Arial" w:hAnsi="Arial" w:cs="Arial"/>
          <w:i/>
          <w:iCs/>
          <w:sz w:val="20"/>
          <w:szCs w:val="20"/>
        </w:rPr>
        <w:t>Food Chem.,</w:t>
      </w:r>
      <w:r w:rsidRPr="003D4161">
        <w:rPr>
          <w:rFonts w:ascii="Arial" w:hAnsi="Arial" w:cs="Arial"/>
          <w:sz w:val="20"/>
          <w:szCs w:val="20"/>
        </w:rPr>
        <w:t xml:space="preserve"> 108: 329-333.</w:t>
      </w:r>
    </w:p>
    <w:p w14:paraId="7FAEEC4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Yan, Z.F., Liu, N.X., Mao, X.X., Li, Y. and Li, C.T. 2014. Activation effects of polysaccharides of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mycorrhizae on the T lymphocyte immune function. </w:t>
      </w:r>
      <w:r w:rsidRPr="003D4161">
        <w:rPr>
          <w:rFonts w:ascii="Arial" w:hAnsi="Arial" w:cs="Arial"/>
          <w:i/>
          <w:iCs/>
          <w:sz w:val="20"/>
          <w:szCs w:val="20"/>
        </w:rPr>
        <w:t>J. Immunol. Res.,</w:t>
      </w:r>
      <w:r w:rsidRPr="003D4161">
        <w:rPr>
          <w:rFonts w:ascii="Arial" w:hAnsi="Arial" w:cs="Arial"/>
          <w:sz w:val="20"/>
          <w:szCs w:val="20"/>
        </w:rPr>
        <w:t xml:space="preserve"> 14: 285-421.</w:t>
      </w:r>
    </w:p>
    <w:p w14:paraId="74AA4E94"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Yang, B., Zhao, G., Wang, L., Liu, S. and Tang, J. 2021. Effects of the </w:t>
      </w:r>
      <w:r w:rsidRPr="003D4161">
        <w:rPr>
          <w:rFonts w:ascii="Arial" w:hAnsi="Arial" w:cs="Arial"/>
          <w:i/>
          <w:iCs/>
          <w:sz w:val="20"/>
          <w:szCs w:val="20"/>
        </w:rPr>
        <w:t>Agaricus bisporus</w:t>
      </w:r>
      <w:r w:rsidRPr="003D4161">
        <w:rPr>
          <w:rFonts w:ascii="Arial" w:hAnsi="Arial" w:cs="Arial"/>
          <w:sz w:val="20"/>
          <w:szCs w:val="20"/>
        </w:rPr>
        <w:t xml:space="preserve"> stem residue on performance, nutrients digestibility and antioxidant activity of laying hens and its effects on egg storage. </w:t>
      </w:r>
      <w:r w:rsidRPr="003D4161">
        <w:rPr>
          <w:rFonts w:ascii="Arial" w:hAnsi="Arial" w:cs="Arial"/>
          <w:i/>
          <w:iCs/>
          <w:sz w:val="20"/>
          <w:szCs w:val="20"/>
        </w:rPr>
        <w:t xml:space="preserve">Anim. </w:t>
      </w:r>
      <w:proofErr w:type="spellStart"/>
      <w:r w:rsidRPr="003D4161">
        <w:rPr>
          <w:rFonts w:ascii="Arial" w:hAnsi="Arial" w:cs="Arial"/>
          <w:i/>
          <w:iCs/>
          <w:sz w:val="20"/>
          <w:szCs w:val="20"/>
        </w:rPr>
        <w:t>Biosci</w:t>
      </w:r>
      <w:proofErr w:type="spellEnd"/>
      <w:r w:rsidRPr="003D4161">
        <w:rPr>
          <w:rFonts w:ascii="Arial" w:hAnsi="Arial" w:cs="Arial"/>
          <w:i/>
          <w:iCs/>
          <w:sz w:val="20"/>
          <w:szCs w:val="20"/>
        </w:rPr>
        <w:t>,</w:t>
      </w:r>
      <w:r w:rsidRPr="003D4161">
        <w:rPr>
          <w:rFonts w:ascii="Arial" w:hAnsi="Arial" w:cs="Arial"/>
          <w:sz w:val="20"/>
          <w:szCs w:val="20"/>
        </w:rPr>
        <w:t xml:space="preserve"> 34(2): 256-264.</w:t>
      </w:r>
    </w:p>
    <w:p w14:paraId="36DD93E0"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Yousefi, M., Malecky, M., Zaboli, K. and </w:t>
      </w:r>
      <w:proofErr w:type="spellStart"/>
      <w:r w:rsidRPr="003D4161">
        <w:rPr>
          <w:rFonts w:ascii="Arial" w:hAnsi="Arial" w:cs="Arial"/>
          <w:sz w:val="20"/>
          <w:szCs w:val="20"/>
        </w:rPr>
        <w:t>Najafabadi</w:t>
      </w:r>
      <w:proofErr w:type="spellEnd"/>
      <w:r w:rsidRPr="003D4161">
        <w:rPr>
          <w:rFonts w:ascii="Arial" w:hAnsi="Arial" w:cs="Arial"/>
          <w:sz w:val="20"/>
          <w:szCs w:val="20"/>
        </w:rPr>
        <w:t xml:space="preserve">, H. J. 2022. In vitro and in </w:t>
      </w:r>
      <w:proofErr w:type="spellStart"/>
      <w:r w:rsidRPr="003D4161">
        <w:rPr>
          <w:rFonts w:ascii="Arial" w:hAnsi="Arial" w:cs="Arial"/>
          <w:sz w:val="20"/>
          <w:szCs w:val="20"/>
        </w:rPr>
        <w:t>sacco</w:t>
      </w:r>
      <w:proofErr w:type="spellEnd"/>
      <w:r w:rsidRPr="003D4161">
        <w:rPr>
          <w:rFonts w:ascii="Arial" w:hAnsi="Arial" w:cs="Arial"/>
          <w:sz w:val="20"/>
          <w:szCs w:val="20"/>
        </w:rPr>
        <w:t xml:space="preserve"> determining the nutritive value of button mushroom stipe and its application in growing lambs' diet. </w:t>
      </w:r>
      <w:r w:rsidRPr="003D4161">
        <w:rPr>
          <w:rFonts w:ascii="Arial" w:hAnsi="Arial" w:cs="Arial"/>
          <w:i/>
          <w:iCs/>
          <w:sz w:val="20"/>
          <w:szCs w:val="20"/>
        </w:rPr>
        <w:t>Ind. J. Anim. Sci,</w:t>
      </w:r>
      <w:r w:rsidRPr="003D4161">
        <w:rPr>
          <w:rFonts w:ascii="Arial" w:hAnsi="Arial" w:cs="Arial"/>
          <w:sz w:val="20"/>
          <w:szCs w:val="20"/>
        </w:rPr>
        <w:t xml:space="preserve"> 21: 279-290.</w:t>
      </w:r>
    </w:p>
    <w:p w14:paraId="6D7ED356"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Yin, H., Wang, Y., Wang, Y., Chen, T., Tang, H. and Wang, M. 2010. Purification, characterization and immuno-modulating properties of polysaccharides isolated from </w:t>
      </w:r>
      <w:proofErr w:type="spellStart"/>
      <w:r w:rsidRPr="003D4161">
        <w:rPr>
          <w:rFonts w:ascii="Arial" w:hAnsi="Arial" w:cs="Arial"/>
          <w:i/>
          <w:iCs/>
          <w:sz w:val="20"/>
          <w:szCs w:val="20"/>
        </w:rPr>
        <w:t>Flammulina</w:t>
      </w:r>
      <w:proofErr w:type="spellEnd"/>
      <w:r w:rsidRPr="003D4161">
        <w:rPr>
          <w:rFonts w:ascii="Arial" w:hAnsi="Arial" w:cs="Arial"/>
          <w:i/>
          <w:iCs/>
          <w:sz w:val="20"/>
          <w:szCs w:val="20"/>
        </w:rPr>
        <w:t xml:space="preserve"> </w:t>
      </w:r>
      <w:proofErr w:type="spellStart"/>
      <w:r w:rsidRPr="003D4161">
        <w:rPr>
          <w:rFonts w:ascii="Arial" w:hAnsi="Arial" w:cs="Arial"/>
          <w:i/>
          <w:iCs/>
          <w:sz w:val="20"/>
          <w:szCs w:val="20"/>
        </w:rPr>
        <w:t>velutipes</w:t>
      </w:r>
      <w:proofErr w:type="spellEnd"/>
      <w:r w:rsidRPr="003D4161">
        <w:rPr>
          <w:rFonts w:ascii="Arial" w:hAnsi="Arial" w:cs="Arial"/>
          <w:sz w:val="20"/>
          <w:szCs w:val="20"/>
        </w:rPr>
        <w:t xml:space="preserve"> mycelium. </w:t>
      </w:r>
      <w:r w:rsidRPr="003D4161">
        <w:rPr>
          <w:rFonts w:ascii="Arial" w:hAnsi="Arial" w:cs="Arial"/>
          <w:i/>
          <w:iCs/>
          <w:sz w:val="20"/>
          <w:szCs w:val="20"/>
        </w:rPr>
        <w:t>Am. J. Chin. Med.,</w:t>
      </w:r>
      <w:r w:rsidRPr="003D4161">
        <w:rPr>
          <w:rFonts w:ascii="Arial" w:hAnsi="Arial" w:cs="Arial"/>
          <w:sz w:val="20"/>
          <w:szCs w:val="20"/>
        </w:rPr>
        <w:t xml:space="preserve"> 38: 191-204.</w:t>
      </w:r>
    </w:p>
    <w:p w14:paraId="357E77B7" w14:textId="77777777" w:rsidR="003A3012" w:rsidRPr="003D4161" w:rsidRDefault="003A3012" w:rsidP="000004F3">
      <w:pPr>
        <w:spacing w:line="360" w:lineRule="auto"/>
        <w:ind w:left="720" w:hanging="720"/>
        <w:jc w:val="both"/>
        <w:rPr>
          <w:rFonts w:ascii="Arial" w:hAnsi="Arial" w:cs="Arial"/>
          <w:sz w:val="20"/>
          <w:szCs w:val="20"/>
        </w:rPr>
      </w:pPr>
      <w:r w:rsidRPr="003D4161">
        <w:rPr>
          <w:rFonts w:ascii="Arial" w:hAnsi="Arial" w:cs="Arial"/>
          <w:sz w:val="20"/>
          <w:szCs w:val="20"/>
        </w:rPr>
        <w:t xml:space="preserve">Zhang, J., Liu, D., Wang, Y., Li, Y., Li, J., Wu, X. and Li, L. 2015. Effect of feeding spent mushroom substrate on the growth performance and immune function of broiler chickens. </w:t>
      </w:r>
      <w:r w:rsidRPr="003D4161">
        <w:rPr>
          <w:rFonts w:ascii="Arial" w:hAnsi="Arial" w:cs="Arial"/>
          <w:i/>
          <w:iCs/>
          <w:sz w:val="20"/>
          <w:szCs w:val="20"/>
        </w:rPr>
        <w:t>J. Sci. Food Agric.,</w:t>
      </w:r>
      <w:r w:rsidRPr="003D4161">
        <w:rPr>
          <w:rFonts w:ascii="Arial" w:hAnsi="Arial" w:cs="Arial"/>
          <w:sz w:val="20"/>
          <w:szCs w:val="20"/>
        </w:rPr>
        <w:t xml:space="preserve"> 95(14): 2984-2990.</w:t>
      </w:r>
    </w:p>
    <w:p w14:paraId="3838AEB0" w14:textId="77777777" w:rsidR="00D917E1" w:rsidRPr="003D4161" w:rsidRDefault="00D917E1" w:rsidP="000004F3">
      <w:pPr>
        <w:spacing w:line="360" w:lineRule="auto"/>
        <w:ind w:left="720" w:hanging="720"/>
        <w:jc w:val="both"/>
        <w:rPr>
          <w:rFonts w:ascii="Arial" w:hAnsi="Arial" w:cs="Arial"/>
          <w:sz w:val="20"/>
          <w:szCs w:val="20"/>
          <w:lang w:val="en-US"/>
        </w:rPr>
      </w:pPr>
    </w:p>
    <w:sectPr w:rsidR="00D917E1" w:rsidRPr="003D416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 " w:date="2026-03-02T12:58:00Z" w:initials="U">
    <w:p w14:paraId="5896E5B8" w14:textId="161C5AB4" w:rsidR="00A370B0" w:rsidRDefault="00A370B0">
      <w:pPr>
        <w:pStyle w:val="CommentText"/>
      </w:pPr>
      <w:r>
        <w:rPr>
          <w:rStyle w:val="CommentReference"/>
        </w:rPr>
        <w:annotationRef/>
      </w:r>
      <w:r>
        <w:t xml:space="preserve">Institutional address should be moved to the body (Methodology). It will be better to introduce the Abstract with the Aims of the study </w:t>
      </w:r>
    </w:p>
  </w:comment>
  <w:comment w:id="1" w:author=" " w:date="2026-03-02T12:54:00Z" w:initials="U">
    <w:p w14:paraId="7E6A1DF0" w14:textId="2B954B3B" w:rsidR="00E87D35" w:rsidRDefault="00E87D35">
      <w:pPr>
        <w:pStyle w:val="CommentText"/>
      </w:pPr>
      <w:r>
        <w:rPr>
          <w:rStyle w:val="CommentReference"/>
        </w:rPr>
        <w:annotationRef/>
      </w:r>
      <w:r>
        <w:t>Delete</w:t>
      </w:r>
    </w:p>
  </w:comment>
  <w:comment w:id="2" w:author=" " w:date="2026-03-02T12:56:00Z" w:initials="U">
    <w:p w14:paraId="24C1EFE3" w14:textId="34616100" w:rsidR="00E87D35" w:rsidRDefault="00E87D35">
      <w:pPr>
        <w:pStyle w:val="CommentText"/>
      </w:pPr>
      <w:r>
        <w:rPr>
          <w:rStyle w:val="CommentReference"/>
        </w:rPr>
        <w:annotationRef/>
      </w:r>
      <w:r>
        <w:t xml:space="preserve">Not clear. </w:t>
      </w:r>
      <w:r w:rsidR="00A370B0">
        <w:t xml:space="preserve">If the 120 is the number of </w:t>
      </w:r>
      <w:r>
        <w:t>broilers</w:t>
      </w:r>
      <w:r w:rsidR="00A370B0">
        <w:t xml:space="preserve">, then the hyphen </w:t>
      </w:r>
      <w:r w:rsidR="004554D0">
        <w:t>should be removed from ‘120-day’</w:t>
      </w:r>
      <w:r>
        <w:t>?</w:t>
      </w:r>
    </w:p>
  </w:comment>
  <w:comment w:id="3" w:author=" " w:date="2026-03-02T13:15:00Z" w:initials="U">
    <w:p w14:paraId="228C76A5" w14:textId="4FB4267F" w:rsidR="004554D0" w:rsidRDefault="004554D0">
      <w:pPr>
        <w:pStyle w:val="CommentText"/>
      </w:pPr>
      <w:r>
        <w:rPr>
          <w:rStyle w:val="CommentReference"/>
        </w:rPr>
        <w:annotationRef/>
      </w:r>
      <w:r>
        <w:t>1.0% and 1%. Be consistent</w:t>
      </w:r>
    </w:p>
  </w:comment>
  <w:comment w:id="4" w:author=" " w:date="2026-03-02T13:12:00Z" w:initials="U">
    <w:p w14:paraId="16D31199" w14:textId="1757E8D8" w:rsidR="004554D0" w:rsidRDefault="004554D0">
      <w:pPr>
        <w:pStyle w:val="CommentText"/>
      </w:pPr>
      <w:r>
        <w:rPr>
          <w:rStyle w:val="CommentReference"/>
        </w:rPr>
        <w:annotationRef/>
      </w:r>
      <w:r>
        <w:t xml:space="preserve"> 0.05 or .05 be consistent</w:t>
      </w:r>
    </w:p>
  </w:comment>
  <w:comment w:id="5" w:author=" " w:date="2026-03-02T13:16:00Z" w:initials="U">
    <w:p w14:paraId="4D35B84B" w14:textId="4DBC9607" w:rsidR="004554D0" w:rsidRDefault="004554D0">
      <w:pPr>
        <w:pStyle w:val="CommentText"/>
      </w:pPr>
      <w:r>
        <w:rPr>
          <w:rStyle w:val="CommentReference"/>
        </w:rPr>
        <w:annotationRef/>
      </w:r>
      <w:r>
        <w:t>This contradicts the earlier statement “</w:t>
      </w:r>
      <w:r w:rsidRPr="003D4161">
        <w:rPr>
          <w:rFonts w:ascii="Arial" w:eastAsia="Calibri" w:hAnsi="Arial" w:cs="Arial"/>
        </w:rPr>
        <w:t>Birds fed 2.0% mushroom fruiting body waste powder exhibited significantly higher body weight gain, improved feed conversion ratio, and the highest performance index compared to other treatments</w:t>
      </w:r>
      <w:r>
        <w:rPr>
          <w:rFonts w:ascii="Arial" w:eastAsia="Calibri" w:hAnsi="Arial" w:cs="Arial"/>
        </w:rPr>
        <w:t>”</w:t>
      </w:r>
      <w:r w:rsidR="009B271B">
        <w:rPr>
          <w:rFonts w:ascii="Arial" w:eastAsia="Calibri" w:hAnsi="Arial" w:cs="Arial"/>
        </w:rPr>
        <w:t xml:space="preserve"> T3 was the best in your earlier statement and now both T3 and T4 </w:t>
      </w:r>
    </w:p>
  </w:comment>
  <w:comment w:id="6" w:author=" " w:date="2026-03-02T13:22:00Z" w:initials="U">
    <w:p w14:paraId="56D45732" w14:textId="1058C834" w:rsidR="009B271B" w:rsidRDefault="009B271B">
      <w:pPr>
        <w:pStyle w:val="CommentText"/>
      </w:pPr>
      <w:r>
        <w:rPr>
          <w:rStyle w:val="CommentReference"/>
        </w:rPr>
        <w:annotationRef/>
      </w:r>
      <w:r>
        <w:t>Reference?</w:t>
      </w:r>
    </w:p>
  </w:comment>
  <w:comment w:id="7" w:author=" " w:date="2026-03-02T13:29:00Z" w:initials="U">
    <w:p w14:paraId="3D25E6EC" w14:textId="6DD69A36" w:rsidR="00F55724" w:rsidRDefault="00F55724">
      <w:pPr>
        <w:pStyle w:val="CommentText"/>
      </w:pPr>
      <w:r>
        <w:rPr>
          <w:rStyle w:val="CommentReference"/>
        </w:rPr>
        <w:annotationRef/>
      </w:r>
      <w:r w:rsidR="00F806CE">
        <w:t xml:space="preserve">Not </w:t>
      </w:r>
      <w:r w:rsidR="00F806CE">
        <w:t>properly</w:t>
      </w:r>
      <w:bookmarkStart w:id="8" w:name="_GoBack"/>
      <w:bookmarkEnd w:id="8"/>
      <w:r>
        <w:t xml:space="preserve"> referenced?</w:t>
      </w:r>
    </w:p>
  </w:comment>
  <w:comment w:id="9" w:author=" " w:date="2026-03-02T14:49:00Z" w:initials="U">
    <w:p w14:paraId="392F06CC" w14:textId="33D7FB43" w:rsidR="007031B6" w:rsidRDefault="007031B6">
      <w:pPr>
        <w:pStyle w:val="CommentText"/>
      </w:pPr>
      <w:r>
        <w:rPr>
          <w:rStyle w:val="CommentReference"/>
        </w:rPr>
        <w:annotationRef/>
      </w:r>
      <w:r>
        <w:t>Literature review on this can be better</w:t>
      </w:r>
      <w:r w:rsidR="00417402">
        <w:t xml:space="preserve">. Are there local names? Is it seasonal? </w:t>
      </w:r>
    </w:p>
  </w:comment>
  <w:comment w:id="10" w:author=" " w:date="2026-03-02T14:51:00Z" w:initials="U">
    <w:p w14:paraId="1A53F9B7" w14:textId="5ACED75E" w:rsidR="00417402" w:rsidRDefault="00417402" w:rsidP="00417402">
      <w:pPr>
        <w:pStyle w:val="CommentText"/>
      </w:pPr>
      <w:r>
        <w:rPr>
          <w:rStyle w:val="CommentReference"/>
        </w:rPr>
        <w:annotationRef/>
      </w:r>
      <w:r>
        <w:t xml:space="preserve">Let the literature flow from the general mushroom and streamlined to </w:t>
      </w:r>
      <w:proofErr w:type="spellStart"/>
      <w:r>
        <w:t>Agaicus</w:t>
      </w:r>
      <w:proofErr w:type="spellEnd"/>
      <w:r>
        <w:t xml:space="preserve"> </w:t>
      </w:r>
      <w:proofErr w:type="spellStart"/>
      <w:r>
        <w:t>bisporus</w:t>
      </w:r>
      <w:proofErr w:type="spellEnd"/>
      <w:r>
        <w:t xml:space="preserve"> and not just moving up and down. Literature review on </w:t>
      </w:r>
      <w:proofErr w:type="spellStart"/>
      <w:r w:rsidRPr="00417402">
        <w:t>Agaicus</w:t>
      </w:r>
      <w:proofErr w:type="spellEnd"/>
      <w:r w:rsidRPr="00417402">
        <w:t xml:space="preserve"> </w:t>
      </w:r>
      <w:proofErr w:type="spellStart"/>
      <w:r w:rsidRPr="00417402">
        <w:t>bisporus</w:t>
      </w:r>
      <w:proofErr w:type="spellEnd"/>
      <w:r w:rsidRPr="00417402">
        <w:t xml:space="preserve"> </w:t>
      </w:r>
      <w:r>
        <w:t xml:space="preserve">can be better. Are there local names? Is it seasonal? Why the choice of </w:t>
      </w:r>
      <w:proofErr w:type="spellStart"/>
      <w:r>
        <w:t>Agaicus</w:t>
      </w:r>
      <w:proofErr w:type="spellEnd"/>
      <w:r>
        <w:t xml:space="preserve"> </w:t>
      </w:r>
      <w:proofErr w:type="spellStart"/>
      <w:r>
        <w:t>bisporus</w:t>
      </w:r>
      <w:proofErr w:type="spellEnd"/>
      <w:r>
        <w:t xml:space="preserve"> for the study among other species etc. </w:t>
      </w:r>
    </w:p>
    <w:p w14:paraId="3E0BC786" w14:textId="62240155" w:rsidR="00417402" w:rsidRDefault="00417402">
      <w:pPr>
        <w:pStyle w:val="CommentText"/>
      </w:pPr>
    </w:p>
  </w:comment>
  <w:comment w:id="12" w:author=" " w:date="2026-03-02T13:30:00Z" w:initials="U">
    <w:p w14:paraId="149A9597" w14:textId="112C9413" w:rsidR="00F55724" w:rsidRDefault="00F55724">
      <w:pPr>
        <w:pStyle w:val="CommentText"/>
      </w:pPr>
      <w:r>
        <w:rPr>
          <w:rStyle w:val="CommentReference"/>
        </w:rPr>
        <w:annotationRef/>
      </w:r>
      <w:r>
        <w:t>120 day-old</w:t>
      </w:r>
    </w:p>
  </w:comment>
  <w:comment w:id="11" w:author=" " w:date="2026-03-02T13:32:00Z" w:initials="U">
    <w:p w14:paraId="0FEFE95D" w14:textId="5FE27DF8" w:rsidR="00F55724" w:rsidRDefault="00F55724">
      <w:pPr>
        <w:pStyle w:val="CommentText"/>
      </w:pPr>
      <w:r>
        <w:rPr>
          <w:rStyle w:val="CommentReference"/>
        </w:rPr>
        <w:annotationRef/>
      </w:r>
      <w:r>
        <w:t>Were they allowed to a</w:t>
      </w:r>
      <w:r w:rsidR="00FE51A0">
        <w:t xml:space="preserve">cclimatised? For how long and under </w:t>
      </w:r>
      <w:r>
        <w:t xml:space="preserve">what condition? </w:t>
      </w:r>
    </w:p>
  </w:comment>
  <w:comment w:id="13" w:author=" " w:date="2026-03-02T13:34:00Z" w:initials="U">
    <w:p w14:paraId="20AE603F" w14:textId="11485703" w:rsidR="00F55724" w:rsidRDefault="00F55724">
      <w:pPr>
        <w:pStyle w:val="CommentText"/>
      </w:pPr>
      <w:r>
        <w:rPr>
          <w:rStyle w:val="CommentReference"/>
        </w:rPr>
        <w:annotationRef/>
      </w:r>
      <w:r>
        <w:t>Repetition. The samples were shade-dried</w:t>
      </w:r>
      <w:proofErr w:type="gramStart"/>
      <w:r>
        <w:t>…..</w:t>
      </w:r>
      <w:proofErr w:type="gramEnd"/>
    </w:p>
  </w:comment>
  <w:comment w:id="14" w:author=" " w:date="2026-03-02T13:41:00Z" w:initials="U">
    <w:p w14:paraId="7998A12D" w14:textId="41AADE2B" w:rsidR="00B40434" w:rsidRDefault="00B40434">
      <w:pPr>
        <w:pStyle w:val="CommentText"/>
      </w:pPr>
      <w:r>
        <w:rPr>
          <w:rStyle w:val="CommentReference"/>
        </w:rPr>
        <w:annotationRef/>
      </w:r>
      <w:r>
        <w:t>Weekly? Do you need to wait for a week before this i</w:t>
      </w:r>
      <w:r w:rsidR="00FE51A0">
        <w:t>s done? You may need to recheck. Daily collection is more realistic</w:t>
      </w:r>
    </w:p>
  </w:comment>
  <w:comment w:id="15" w:author=" " w:date="2026-03-02T14:29:00Z" w:initials="U">
    <w:p w14:paraId="2FC1D457" w14:textId="2322E912" w:rsidR="007053A4" w:rsidRDefault="007053A4">
      <w:pPr>
        <w:pStyle w:val="CommentText"/>
      </w:pPr>
      <w:r>
        <w:rPr>
          <w:rStyle w:val="CommentReference"/>
        </w:rPr>
        <w:annotationRef/>
      </w:r>
      <w:r>
        <w:t xml:space="preserve">Do you mean your </w:t>
      </w:r>
      <w:r w:rsidR="00F57516">
        <w:t>n = 3? How reliable is this statistically for a conclusion? N=3 is too small to make a decision</w:t>
      </w:r>
      <w:r w:rsidR="00FE51A0">
        <w:t>. You may need to justify the use of n = 3</w:t>
      </w:r>
    </w:p>
  </w:comment>
  <w:comment w:id="16" w:author=" " w:date="2026-03-02T14:10:00Z" w:initials="U">
    <w:p w14:paraId="3D08C35C" w14:textId="7F07BE56" w:rsidR="0033687F" w:rsidRDefault="0033687F">
      <w:pPr>
        <w:pStyle w:val="CommentText"/>
      </w:pPr>
      <w:r>
        <w:rPr>
          <w:rStyle w:val="CommentReference"/>
        </w:rPr>
        <w:annotationRef/>
      </w:r>
      <w:r>
        <w:t>What are the likely reasons for the observed growth performances? And also there is no logical conclusion of this following your findings</w:t>
      </w:r>
    </w:p>
  </w:comment>
  <w:comment w:id="17" w:author=" " w:date="2026-03-02T13:49:00Z" w:initials="U">
    <w:p w14:paraId="46FB7526" w14:textId="64D1E3FE" w:rsidR="003D7174" w:rsidRDefault="003D7174">
      <w:pPr>
        <w:pStyle w:val="CommentText"/>
      </w:pPr>
      <w:r>
        <w:rPr>
          <w:rStyle w:val="CommentReference"/>
        </w:rPr>
        <w:annotationRef/>
      </w:r>
      <w:r>
        <w:t>Reference?</w:t>
      </w:r>
    </w:p>
  </w:comment>
  <w:comment w:id="18" w:author=" " w:date="2026-03-02T13:51:00Z" w:initials="U">
    <w:p w14:paraId="4CE3D25E" w14:textId="787EB3BA" w:rsidR="003D7174" w:rsidRDefault="003D7174" w:rsidP="007053A4">
      <w:r>
        <w:rPr>
          <w:rStyle w:val="CommentReference"/>
        </w:rPr>
        <w:annotationRef/>
      </w:r>
      <w:r>
        <w:t>Any scientific reason (s) why T3 was better than T4 despite having higher feed intake?</w:t>
      </w:r>
      <w:r w:rsidR="007053A4">
        <w:t xml:space="preserve"> I mean are there scientific or biological explanation for why there was a performance declined at 3% inclusion?</w:t>
      </w:r>
    </w:p>
  </w:comment>
  <w:comment w:id="19" w:author=" " w:date="2026-03-02T13:50:00Z" w:initials="U">
    <w:p w14:paraId="632463A8" w14:textId="4582FAFF" w:rsidR="003D7174" w:rsidRDefault="003D7174">
      <w:pPr>
        <w:pStyle w:val="CommentText"/>
      </w:pPr>
      <w:r>
        <w:rPr>
          <w:rStyle w:val="CommentReference"/>
        </w:rPr>
        <w:annotationRef/>
      </w:r>
      <w:r>
        <w:t xml:space="preserve">Reference? </w:t>
      </w:r>
    </w:p>
  </w:comment>
  <w:comment w:id="20" w:author=" " w:date="2026-03-02T13:52:00Z" w:initials="U">
    <w:p w14:paraId="1C871E22" w14:textId="39C43D20" w:rsidR="003D7174" w:rsidRDefault="003D7174">
      <w:pPr>
        <w:pStyle w:val="CommentText"/>
      </w:pPr>
      <w:r>
        <w:rPr>
          <w:rStyle w:val="CommentReference"/>
        </w:rPr>
        <w:annotationRef/>
      </w:r>
      <w:r>
        <w:t>Average feed intake</w:t>
      </w:r>
    </w:p>
  </w:comment>
  <w:comment w:id="21" w:author=" " w:date="2026-03-02T13:55:00Z" w:initials="U">
    <w:p w14:paraId="63395E09" w14:textId="4A8E5C2C" w:rsidR="003D7174" w:rsidRPr="00FE51A0" w:rsidRDefault="003D7174">
      <w:pPr>
        <w:pStyle w:val="CommentText"/>
        <w:rPr>
          <w:rFonts w:ascii="Times New Roman" w:hAnsi="Times New Roman" w:cs="Times New Roman"/>
        </w:rPr>
      </w:pPr>
      <w:r>
        <w:rPr>
          <w:rStyle w:val="CommentReference"/>
        </w:rPr>
        <w:annotationRef/>
      </w:r>
      <w:r w:rsidR="00A94483" w:rsidRPr="00FE51A0">
        <w:rPr>
          <w:rFonts w:ascii="Times New Roman" w:hAnsi="Times New Roman" w:cs="Times New Roman"/>
        </w:rPr>
        <w:t>Check table 4, 5 and 6</w:t>
      </w:r>
      <w:r w:rsidRPr="00FE51A0">
        <w:rPr>
          <w:rFonts w:ascii="Times New Roman" w:hAnsi="Times New Roman" w:cs="Times New Roman"/>
        </w:rPr>
        <w:t>. (T2 has the highest Feed conversion ratio</w:t>
      </w:r>
      <w:r w:rsidR="00A94483" w:rsidRPr="00FE51A0">
        <w:rPr>
          <w:rFonts w:ascii="Times New Roman" w:hAnsi="Times New Roman" w:cs="Times New Roman"/>
        </w:rPr>
        <w:t xml:space="preserve"> and not T3</w:t>
      </w:r>
      <w:r w:rsidRPr="00FE51A0">
        <w:rPr>
          <w:rFonts w:ascii="Times New Roman" w:hAnsi="Times New Roman" w:cs="Times New Roman"/>
        </w:rPr>
        <w:t>)</w:t>
      </w:r>
    </w:p>
  </w:comment>
  <w:comment w:id="22" w:author=" " w:date="2026-03-02T14:01:00Z" w:initials="U">
    <w:p w14:paraId="24E91572" w14:textId="266569B7" w:rsidR="00A94483" w:rsidRDefault="00A94483">
      <w:pPr>
        <w:pStyle w:val="CommentText"/>
      </w:pPr>
      <w:r>
        <w:rPr>
          <w:rStyle w:val="CommentReference"/>
        </w:rPr>
        <w:annotationRef/>
      </w:r>
      <w:r>
        <w:t>What did they use? Mushroom extract or powder and at what doses or percentages?</w:t>
      </w:r>
    </w:p>
  </w:comment>
  <w:comment w:id="23" w:author=" " w:date="2026-03-02T13:59:00Z" w:initials="U">
    <w:p w14:paraId="5FEB5383" w14:textId="55F1A16C" w:rsidR="003D7174" w:rsidRDefault="003D7174">
      <w:pPr>
        <w:pStyle w:val="CommentText"/>
      </w:pPr>
      <w:r>
        <w:rPr>
          <w:rStyle w:val="CommentReference"/>
        </w:rPr>
        <w:annotationRef/>
      </w:r>
      <w:r>
        <w:t xml:space="preserve">It will be good if you can find out why and at what inclusion level. Also, </w:t>
      </w:r>
      <w:r w:rsidR="00FE51A0">
        <w:t xml:space="preserve">Did they used </w:t>
      </w:r>
      <w:proofErr w:type="gramStart"/>
      <w:r w:rsidR="00FE51A0">
        <w:t xml:space="preserve">mushroom </w:t>
      </w:r>
      <w:r w:rsidR="00A94483">
        <w:t xml:space="preserve"> extract</w:t>
      </w:r>
      <w:proofErr w:type="gramEnd"/>
      <w:r w:rsidR="00A94483">
        <w:t xml:space="preserve"> or powder? Check to strengthen this. </w:t>
      </w:r>
    </w:p>
  </w:comment>
  <w:comment w:id="24" w:author=" " w:date="2026-03-02T14:05:00Z" w:initials="U">
    <w:p w14:paraId="5272F221" w14:textId="123AE792" w:rsidR="00A94483" w:rsidRDefault="00A94483">
      <w:pPr>
        <w:pStyle w:val="CommentText"/>
      </w:pPr>
      <w:r>
        <w:rPr>
          <w:rStyle w:val="CommentReference"/>
        </w:rPr>
        <w:annotationRef/>
      </w:r>
      <w:r w:rsidR="007031B6">
        <w:t>Figures 1 - 4</w:t>
      </w:r>
      <w:r>
        <w:t xml:space="preserve"> could have been presented to show comparison between the treatment groups (T1, T2, T3 &amp; T4) for the category of days and not the other way round</w:t>
      </w:r>
    </w:p>
  </w:comment>
  <w:comment w:id="25" w:author=" " w:date="2026-03-02T14:44:00Z" w:initials="U">
    <w:p w14:paraId="24B6A6C1" w14:textId="2D1D482B" w:rsidR="007031B6" w:rsidRDefault="007031B6">
      <w:pPr>
        <w:pStyle w:val="CommentText"/>
      </w:pPr>
      <w:r>
        <w:rPr>
          <w:rStyle w:val="CommentReference"/>
        </w:rPr>
        <w:annotationRef/>
      </w:r>
      <w:r>
        <w:t xml:space="preserve">Your finding caparison with previous studies are not detailed. What are your findings and what are theirs? Did you use the same sample formulations especially the form (Powder or extract) at what percentage inclusions and also you did not suggest possible scientific reasons for some of the deviations </w:t>
      </w:r>
      <w:proofErr w:type="gramStart"/>
      <w:r>
        <w:t>observed.</w:t>
      </w:r>
      <w:proofErr w:type="gramEnd"/>
    </w:p>
  </w:comment>
  <w:comment w:id="26" w:author=" " w:date="2026-03-02T14:08:00Z" w:initials="U">
    <w:p w14:paraId="2D42166E" w14:textId="12A2F3D0" w:rsidR="00A94483" w:rsidRDefault="00A94483">
      <w:pPr>
        <w:pStyle w:val="CommentText"/>
      </w:pPr>
      <w:r>
        <w:rPr>
          <w:rStyle w:val="CommentReference"/>
        </w:rPr>
        <w:annotationRef/>
      </w:r>
      <w:r>
        <w:t>???</w:t>
      </w:r>
      <w:r w:rsidR="00FE51A0">
        <w:t xml:space="preserve"> This is not correct</w:t>
      </w:r>
    </w:p>
  </w:comment>
  <w:comment w:id="27" w:author=" " w:date="2026-03-02T14:13:00Z" w:initials="U">
    <w:p w14:paraId="671DE911" w14:textId="2529A55B" w:rsidR="0033687F" w:rsidRDefault="0033687F">
      <w:pPr>
        <w:pStyle w:val="CommentText"/>
      </w:pPr>
      <w:r>
        <w:rPr>
          <w:rStyle w:val="CommentReference"/>
        </w:rPr>
        <w:annotationRef/>
      </w:r>
      <w:r>
        <w:t xml:space="preserve">Where and by who? Ref. You can remove this if </w:t>
      </w:r>
      <w:r w:rsidR="00FE51A0">
        <w:t>it was captured in the succeeding</w:t>
      </w:r>
      <w:r>
        <w:t xml:space="preserve"> paragraph</w:t>
      </w:r>
    </w:p>
  </w:comment>
  <w:comment w:id="28" w:author=" " w:date="2026-03-02T14:47:00Z" w:initials="U">
    <w:p w14:paraId="42527002" w14:textId="11B71F0E" w:rsidR="007031B6" w:rsidRDefault="007031B6">
      <w:pPr>
        <w:pStyle w:val="CommentText"/>
      </w:pPr>
      <w:r>
        <w:rPr>
          <w:rStyle w:val="CommentReference"/>
        </w:rPr>
        <w:annotationRef/>
      </w:r>
      <w:r>
        <w:t xml:space="preserve">there was no mention of feed cost in your methodology. Is there a standardised methodology for this? </w:t>
      </w:r>
    </w:p>
  </w:comment>
  <w:comment w:id="29" w:author=" " w:date="2026-03-02T12:53:00Z" w:initials="U">
    <w:p w14:paraId="6E080A68" w14:textId="42E8F775" w:rsidR="00E87D35" w:rsidRDefault="00E87D35">
      <w:pPr>
        <w:pStyle w:val="CommentText"/>
      </w:pPr>
      <w:r>
        <w:rPr>
          <w:rStyle w:val="CommentReference"/>
        </w:rPr>
        <w:annotationRef/>
      </w:r>
      <w:r>
        <w:t>Not cited in-test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6E5B8" w15:done="0"/>
  <w15:commentEx w15:paraId="7E6A1DF0" w15:done="0"/>
  <w15:commentEx w15:paraId="24C1EFE3" w15:done="0"/>
  <w15:commentEx w15:paraId="228C76A5" w15:done="0"/>
  <w15:commentEx w15:paraId="16D31199" w15:done="0"/>
  <w15:commentEx w15:paraId="4D35B84B" w15:done="0"/>
  <w15:commentEx w15:paraId="56D45732" w15:done="0"/>
  <w15:commentEx w15:paraId="3D25E6EC" w15:done="0"/>
  <w15:commentEx w15:paraId="392F06CC" w15:done="0"/>
  <w15:commentEx w15:paraId="3E0BC786" w15:done="0"/>
  <w15:commentEx w15:paraId="149A9597" w15:done="0"/>
  <w15:commentEx w15:paraId="0FEFE95D" w15:done="0"/>
  <w15:commentEx w15:paraId="20AE603F" w15:done="0"/>
  <w15:commentEx w15:paraId="7998A12D" w15:done="0"/>
  <w15:commentEx w15:paraId="2FC1D457" w15:done="0"/>
  <w15:commentEx w15:paraId="3D08C35C" w15:done="0"/>
  <w15:commentEx w15:paraId="46FB7526" w15:done="0"/>
  <w15:commentEx w15:paraId="4CE3D25E" w15:done="0"/>
  <w15:commentEx w15:paraId="632463A8" w15:done="0"/>
  <w15:commentEx w15:paraId="1C871E22" w15:done="0"/>
  <w15:commentEx w15:paraId="63395E09" w15:done="0"/>
  <w15:commentEx w15:paraId="24E91572" w15:done="0"/>
  <w15:commentEx w15:paraId="5FEB5383" w15:done="0"/>
  <w15:commentEx w15:paraId="5272F221" w15:done="0"/>
  <w15:commentEx w15:paraId="24B6A6C1" w15:done="0"/>
  <w15:commentEx w15:paraId="2D42166E" w15:done="0"/>
  <w15:commentEx w15:paraId="671DE911" w15:done="0"/>
  <w15:commentEx w15:paraId="42527002" w15:done="0"/>
  <w15:commentEx w15:paraId="6E080A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6E5B8" w16cid:durableId="2D53E170"/>
  <w16cid:commentId w16cid:paraId="7E6A1DF0" w16cid:durableId="2D53E171"/>
  <w16cid:commentId w16cid:paraId="24C1EFE3" w16cid:durableId="2D53E172"/>
  <w16cid:commentId w16cid:paraId="228C76A5" w16cid:durableId="2D53E173"/>
  <w16cid:commentId w16cid:paraId="16D31199" w16cid:durableId="2D53E174"/>
  <w16cid:commentId w16cid:paraId="4D35B84B" w16cid:durableId="2D53E175"/>
  <w16cid:commentId w16cid:paraId="56D45732" w16cid:durableId="2D53E176"/>
  <w16cid:commentId w16cid:paraId="3D25E6EC" w16cid:durableId="2D53E177"/>
  <w16cid:commentId w16cid:paraId="392F06CC" w16cid:durableId="2D53E178"/>
  <w16cid:commentId w16cid:paraId="3E0BC786" w16cid:durableId="2D53E179"/>
  <w16cid:commentId w16cid:paraId="149A9597" w16cid:durableId="2D53E17A"/>
  <w16cid:commentId w16cid:paraId="0FEFE95D" w16cid:durableId="2D53E17B"/>
  <w16cid:commentId w16cid:paraId="20AE603F" w16cid:durableId="2D53E17C"/>
  <w16cid:commentId w16cid:paraId="7998A12D" w16cid:durableId="2D53E17D"/>
  <w16cid:commentId w16cid:paraId="2FC1D457" w16cid:durableId="2D53E17E"/>
  <w16cid:commentId w16cid:paraId="3D08C35C" w16cid:durableId="2D53E17F"/>
  <w16cid:commentId w16cid:paraId="46FB7526" w16cid:durableId="2D53E180"/>
  <w16cid:commentId w16cid:paraId="4CE3D25E" w16cid:durableId="2D53E181"/>
  <w16cid:commentId w16cid:paraId="632463A8" w16cid:durableId="2D53E182"/>
  <w16cid:commentId w16cid:paraId="1C871E22" w16cid:durableId="2D53E183"/>
  <w16cid:commentId w16cid:paraId="63395E09" w16cid:durableId="2D53E184"/>
  <w16cid:commentId w16cid:paraId="5FEB5383" w16cid:durableId="2D53E185"/>
  <w16cid:commentId w16cid:paraId="5272F221" w16cid:durableId="2D53E186"/>
  <w16cid:commentId w16cid:paraId="24B6A6C1" w16cid:durableId="2D53E187"/>
  <w16cid:commentId w16cid:paraId="2D42166E" w16cid:durableId="2D53E188"/>
  <w16cid:commentId w16cid:paraId="671DE911" w16cid:durableId="2D53E189"/>
  <w16cid:commentId w16cid:paraId="42527002" w16cid:durableId="2D53E18A"/>
  <w16cid:commentId w16cid:paraId="6E080A68" w16cid:durableId="2D53E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F280B" w14:textId="77777777" w:rsidR="004754E0" w:rsidRDefault="004754E0" w:rsidP="009628B5">
      <w:pPr>
        <w:spacing w:after="0" w:line="240" w:lineRule="auto"/>
      </w:pPr>
      <w:r>
        <w:separator/>
      </w:r>
    </w:p>
  </w:endnote>
  <w:endnote w:type="continuationSeparator" w:id="0">
    <w:p w14:paraId="26C83FBF" w14:textId="77777777" w:rsidR="004754E0" w:rsidRDefault="004754E0" w:rsidP="0096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FC6F" w14:textId="77777777" w:rsidR="00E87D35" w:rsidRDefault="00E8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EC2D" w14:textId="77777777" w:rsidR="00E87D35" w:rsidRDefault="00E87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614B" w14:textId="77777777" w:rsidR="00E87D35" w:rsidRDefault="00E87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A466E" w14:textId="77777777" w:rsidR="004754E0" w:rsidRDefault="004754E0" w:rsidP="009628B5">
      <w:pPr>
        <w:spacing w:after="0" w:line="240" w:lineRule="auto"/>
      </w:pPr>
      <w:r>
        <w:separator/>
      </w:r>
    </w:p>
  </w:footnote>
  <w:footnote w:type="continuationSeparator" w:id="0">
    <w:p w14:paraId="44D79606" w14:textId="77777777" w:rsidR="004754E0" w:rsidRDefault="004754E0" w:rsidP="00962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AE45" w14:textId="549F2BC4" w:rsidR="00E87D35" w:rsidRDefault="004754E0">
    <w:pPr>
      <w:pStyle w:val="Header"/>
    </w:pPr>
    <w:r>
      <w:rPr>
        <w:noProof/>
      </w:rPr>
      <w:pict w14:anchorId="3AD33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DB" w14:textId="52DC0637" w:rsidR="00E87D35" w:rsidRDefault="004754E0">
    <w:pPr>
      <w:pStyle w:val="Header"/>
    </w:pPr>
    <w:r>
      <w:rPr>
        <w:noProof/>
      </w:rPr>
      <w:pict w14:anchorId="5E57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C53F" w14:textId="0C774B5E" w:rsidR="00E87D35" w:rsidRDefault="004754E0">
    <w:pPr>
      <w:pStyle w:val="Header"/>
    </w:pPr>
    <w:r>
      <w:rPr>
        <w:noProof/>
      </w:rPr>
      <w:pict w14:anchorId="36D46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0936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37915"/>
    <w:multiLevelType w:val="multilevel"/>
    <w:tmpl w:val="DDA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2477F"/>
    <w:multiLevelType w:val="hybridMultilevel"/>
    <w:tmpl w:val="C89EF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E1"/>
    <w:rsid w:val="000004F3"/>
    <w:rsid w:val="00032C18"/>
    <w:rsid w:val="0008226F"/>
    <w:rsid w:val="00082385"/>
    <w:rsid w:val="00086028"/>
    <w:rsid w:val="0008691E"/>
    <w:rsid w:val="0009205F"/>
    <w:rsid w:val="000C0B6D"/>
    <w:rsid w:val="000D751B"/>
    <w:rsid w:val="000F7272"/>
    <w:rsid w:val="000F7B07"/>
    <w:rsid w:val="001047FA"/>
    <w:rsid w:val="0010789F"/>
    <w:rsid w:val="001554B0"/>
    <w:rsid w:val="00160037"/>
    <w:rsid w:val="0016114F"/>
    <w:rsid w:val="001625CA"/>
    <w:rsid w:val="001749AC"/>
    <w:rsid w:val="00177FE1"/>
    <w:rsid w:val="001A72E0"/>
    <w:rsid w:val="001B253E"/>
    <w:rsid w:val="001B70CB"/>
    <w:rsid w:val="001C4800"/>
    <w:rsid w:val="001C7B21"/>
    <w:rsid w:val="001D5886"/>
    <w:rsid w:val="001D6E59"/>
    <w:rsid w:val="001E0875"/>
    <w:rsid w:val="001E6825"/>
    <w:rsid w:val="002304D4"/>
    <w:rsid w:val="00233C07"/>
    <w:rsid w:val="002557BC"/>
    <w:rsid w:val="00255B86"/>
    <w:rsid w:val="00256C81"/>
    <w:rsid w:val="00261EE2"/>
    <w:rsid w:val="00262F68"/>
    <w:rsid w:val="00265270"/>
    <w:rsid w:val="00281943"/>
    <w:rsid w:val="002A1205"/>
    <w:rsid w:val="002A1ADE"/>
    <w:rsid w:val="002B6BE0"/>
    <w:rsid w:val="002E608F"/>
    <w:rsid w:val="003068E2"/>
    <w:rsid w:val="00306A25"/>
    <w:rsid w:val="003273C8"/>
    <w:rsid w:val="00332C43"/>
    <w:rsid w:val="0033687F"/>
    <w:rsid w:val="00356B4D"/>
    <w:rsid w:val="00390E77"/>
    <w:rsid w:val="003A0037"/>
    <w:rsid w:val="003A0315"/>
    <w:rsid w:val="003A3012"/>
    <w:rsid w:val="003B2F40"/>
    <w:rsid w:val="003D4161"/>
    <w:rsid w:val="003D7174"/>
    <w:rsid w:val="003E0B7E"/>
    <w:rsid w:val="003E7F37"/>
    <w:rsid w:val="004030AE"/>
    <w:rsid w:val="00411B4C"/>
    <w:rsid w:val="00417385"/>
    <w:rsid w:val="00417402"/>
    <w:rsid w:val="00430ECD"/>
    <w:rsid w:val="00440AE3"/>
    <w:rsid w:val="004554D0"/>
    <w:rsid w:val="004673CA"/>
    <w:rsid w:val="0047177E"/>
    <w:rsid w:val="004754E0"/>
    <w:rsid w:val="004847DF"/>
    <w:rsid w:val="0049576A"/>
    <w:rsid w:val="004A3681"/>
    <w:rsid w:val="004B7E53"/>
    <w:rsid w:val="004C45CC"/>
    <w:rsid w:val="004C5D06"/>
    <w:rsid w:val="004C70BF"/>
    <w:rsid w:val="00524675"/>
    <w:rsid w:val="0052753C"/>
    <w:rsid w:val="00535242"/>
    <w:rsid w:val="00544796"/>
    <w:rsid w:val="00575948"/>
    <w:rsid w:val="00575B86"/>
    <w:rsid w:val="005A72B7"/>
    <w:rsid w:val="005B3682"/>
    <w:rsid w:val="005C1A6D"/>
    <w:rsid w:val="005C48C0"/>
    <w:rsid w:val="005C603B"/>
    <w:rsid w:val="005F166B"/>
    <w:rsid w:val="005F5937"/>
    <w:rsid w:val="005F64C2"/>
    <w:rsid w:val="006008A6"/>
    <w:rsid w:val="00625E9D"/>
    <w:rsid w:val="006521A9"/>
    <w:rsid w:val="00652F73"/>
    <w:rsid w:val="00653DF9"/>
    <w:rsid w:val="00656AFB"/>
    <w:rsid w:val="00663B94"/>
    <w:rsid w:val="00671558"/>
    <w:rsid w:val="00671AE0"/>
    <w:rsid w:val="00672917"/>
    <w:rsid w:val="006859BB"/>
    <w:rsid w:val="006D13F9"/>
    <w:rsid w:val="006D736E"/>
    <w:rsid w:val="007031B6"/>
    <w:rsid w:val="007053A4"/>
    <w:rsid w:val="007079C2"/>
    <w:rsid w:val="00733078"/>
    <w:rsid w:val="0075201A"/>
    <w:rsid w:val="007674FB"/>
    <w:rsid w:val="00775DAA"/>
    <w:rsid w:val="007B2252"/>
    <w:rsid w:val="007C5ABC"/>
    <w:rsid w:val="007C5BF5"/>
    <w:rsid w:val="007C79EA"/>
    <w:rsid w:val="007D31D3"/>
    <w:rsid w:val="007E5DF3"/>
    <w:rsid w:val="007E7DDF"/>
    <w:rsid w:val="007F6B68"/>
    <w:rsid w:val="008060F1"/>
    <w:rsid w:val="008328C2"/>
    <w:rsid w:val="008414C5"/>
    <w:rsid w:val="00887CB6"/>
    <w:rsid w:val="008940B5"/>
    <w:rsid w:val="00897552"/>
    <w:rsid w:val="008A2349"/>
    <w:rsid w:val="008B046F"/>
    <w:rsid w:val="008B17C6"/>
    <w:rsid w:val="008E2A79"/>
    <w:rsid w:val="008E6C33"/>
    <w:rsid w:val="00934BF9"/>
    <w:rsid w:val="00936C46"/>
    <w:rsid w:val="009606B9"/>
    <w:rsid w:val="009628B5"/>
    <w:rsid w:val="009815A6"/>
    <w:rsid w:val="00987EF0"/>
    <w:rsid w:val="009922D2"/>
    <w:rsid w:val="009B15CD"/>
    <w:rsid w:val="009B271B"/>
    <w:rsid w:val="009C4E01"/>
    <w:rsid w:val="00A216B7"/>
    <w:rsid w:val="00A370B0"/>
    <w:rsid w:val="00A433E9"/>
    <w:rsid w:val="00A51567"/>
    <w:rsid w:val="00A8314A"/>
    <w:rsid w:val="00A85D72"/>
    <w:rsid w:val="00A93210"/>
    <w:rsid w:val="00A94483"/>
    <w:rsid w:val="00AA6AAF"/>
    <w:rsid w:val="00AC5A90"/>
    <w:rsid w:val="00AF6532"/>
    <w:rsid w:val="00B0330C"/>
    <w:rsid w:val="00B31F3F"/>
    <w:rsid w:val="00B33D78"/>
    <w:rsid w:val="00B40434"/>
    <w:rsid w:val="00B63BD2"/>
    <w:rsid w:val="00B75A53"/>
    <w:rsid w:val="00B766C7"/>
    <w:rsid w:val="00B841A5"/>
    <w:rsid w:val="00B91EAC"/>
    <w:rsid w:val="00BA10D5"/>
    <w:rsid w:val="00BA2431"/>
    <w:rsid w:val="00BA76C5"/>
    <w:rsid w:val="00BB2642"/>
    <w:rsid w:val="00BD5491"/>
    <w:rsid w:val="00BE775E"/>
    <w:rsid w:val="00BF1680"/>
    <w:rsid w:val="00C07322"/>
    <w:rsid w:val="00C10F1E"/>
    <w:rsid w:val="00C41306"/>
    <w:rsid w:val="00C41CB9"/>
    <w:rsid w:val="00C631D2"/>
    <w:rsid w:val="00C95A5D"/>
    <w:rsid w:val="00CB151A"/>
    <w:rsid w:val="00CB1850"/>
    <w:rsid w:val="00CC29DE"/>
    <w:rsid w:val="00CE08EE"/>
    <w:rsid w:val="00CF52FF"/>
    <w:rsid w:val="00D030D7"/>
    <w:rsid w:val="00D37E2B"/>
    <w:rsid w:val="00D51E79"/>
    <w:rsid w:val="00D83052"/>
    <w:rsid w:val="00D8727F"/>
    <w:rsid w:val="00D917E1"/>
    <w:rsid w:val="00DA6706"/>
    <w:rsid w:val="00DA6C58"/>
    <w:rsid w:val="00DB6CF5"/>
    <w:rsid w:val="00DF4CC0"/>
    <w:rsid w:val="00DF7EA4"/>
    <w:rsid w:val="00E013AA"/>
    <w:rsid w:val="00E33103"/>
    <w:rsid w:val="00E342BA"/>
    <w:rsid w:val="00E35CE1"/>
    <w:rsid w:val="00E5009B"/>
    <w:rsid w:val="00E6213B"/>
    <w:rsid w:val="00E745AA"/>
    <w:rsid w:val="00E87D35"/>
    <w:rsid w:val="00E913C4"/>
    <w:rsid w:val="00E96191"/>
    <w:rsid w:val="00EA3285"/>
    <w:rsid w:val="00EA3BEB"/>
    <w:rsid w:val="00EA6221"/>
    <w:rsid w:val="00F14E7D"/>
    <w:rsid w:val="00F515C1"/>
    <w:rsid w:val="00F55089"/>
    <w:rsid w:val="00F55724"/>
    <w:rsid w:val="00F57516"/>
    <w:rsid w:val="00F642B3"/>
    <w:rsid w:val="00F76EBD"/>
    <w:rsid w:val="00F778D8"/>
    <w:rsid w:val="00F806CE"/>
    <w:rsid w:val="00F8312E"/>
    <w:rsid w:val="00FA20B0"/>
    <w:rsid w:val="00FC6E10"/>
    <w:rsid w:val="00FD2E66"/>
    <w:rsid w:val="00FD7D58"/>
    <w:rsid w:val="00FE1FB0"/>
    <w:rsid w:val="00FE455B"/>
    <w:rsid w:val="00FE51A0"/>
    <w:rsid w:val="00FF0C5B"/>
    <w:rsid w:val="00FF4D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B66CD5"/>
  <w15:chartTrackingRefBased/>
  <w15:docId w15:val="{11C2B606-C41E-4CD5-92C0-EF7C1629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7E1"/>
    <w:rPr>
      <w:rFonts w:eastAsiaTheme="majorEastAsia" w:cstheme="majorBidi"/>
      <w:color w:val="272727" w:themeColor="text1" w:themeTint="D8"/>
    </w:rPr>
  </w:style>
  <w:style w:type="paragraph" w:styleId="Title">
    <w:name w:val="Title"/>
    <w:basedOn w:val="Normal"/>
    <w:next w:val="Normal"/>
    <w:link w:val="TitleChar"/>
    <w:uiPriority w:val="10"/>
    <w:qFormat/>
    <w:rsid w:val="00D91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7E1"/>
    <w:pPr>
      <w:spacing w:before="160"/>
      <w:jc w:val="center"/>
    </w:pPr>
    <w:rPr>
      <w:i/>
      <w:iCs/>
      <w:color w:val="404040" w:themeColor="text1" w:themeTint="BF"/>
    </w:rPr>
  </w:style>
  <w:style w:type="character" w:customStyle="1" w:styleId="QuoteChar">
    <w:name w:val="Quote Char"/>
    <w:basedOn w:val="DefaultParagraphFont"/>
    <w:link w:val="Quote"/>
    <w:uiPriority w:val="29"/>
    <w:rsid w:val="00D917E1"/>
    <w:rPr>
      <w:i/>
      <w:iCs/>
      <w:color w:val="404040" w:themeColor="text1" w:themeTint="BF"/>
    </w:rPr>
  </w:style>
  <w:style w:type="paragraph" w:styleId="ListParagraph">
    <w:name w:val="List Paragraph"/>
    <w:basedOn w:val="Normal"/>
    <w:uiPriority w:val="34"/>
    <w:qFormat/>
    <w:rsid w:val="00D917E1"/>
    <w:pPr>
      <w:ind w:left="720"/>
      <w:contextualSpacing/>
    </w:pPr>
  </w:style>
  <w:style w:type="character" w:styleId="IntenseEmphasis">
    <w:name w:val="Intense Emphasis"/>
    <w:basedOn w:val="DefaultParagraphFont"/>
    <w:uiPriority w:val="21"/>
    <w:qFormat/>
    <w:rsid w:val="00D917E1"/>
    <w:rPr>
      <w:i/>
      <w:iCs/>
      <w:color w:val="0F4761" w:themeColor="accent1" w:themeShade="BF"/>
    </w:rPr>
  </w:style>
  <w:style w:type="paragraph" w:styleId="IntenseQuote">
    <w:name w:val="Intense Quote"/>
    <w:basedOn w:val="Normal"/>
    <w:next w:val="Normal"/>
    <w:link w:val="IntenseQuoteChar"/>
    <w:uiPriority w:val="30"/>
    <w:qFormat/>
    <w:rsid w:val="00D91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7E1"/>
    <w:rPr>
      <w:i/>
      <w:iCs/>
      <w:color w:val="0F4761" w:themeColor="accent1" w:themeShade="BF"/>
    </w:rPr>
  </w:style>
  <w:style w:type="character" w:styleId="IntenseReference">
    <w:name w:val="Intense Reference"/>
    <w:basedOn w:val="DefaultParagraphFont"/>
    <w:uiPriority w:val="32"/>
    <w:qFormat/>
    <w:rsid w:val="00D917E1"/>
    <w:rPr>
      <w:b/>
      <w:bCs/>
      <w:smallCaps/>
      <w:color w:val="0F4761" w:themeColor="accent1" w:themeShade="BF"/>
      <w:spacing w:val="5"/>
    </w:rPr>
  </w:style>
  <w:style w:type="paragraph" w:customStyle="1" w:styleId="Body">
    <w:name w:val="Body"/>
    <w:basedOn w:val="Normal"/>
    <w:rsid w:val="00082385"/>
    <w:pPr>
      <w:spacing w:after="240" w:line="240" w:lineRule="auto"/>
      <w:jc w:val="both"/>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08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625E9D"/>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Author">
    <w:name w:val="Author"/>
    <w:basedOn w:val="Normal"/>
    <w:rsid w:val="00032C18"/>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032C18"/>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BD5491"/>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9606B9"/>
    <w:pPr>
      <w:keepNext/>
      <w:spacing w:after="240" w:line="240" w:lineRule="auto"/>
    </w:pPr>
    <w:rPr>
      <w:rFonts w:ascii="Helvetica" w:eastAsia="Times New Roman" w:hAnsi="Helvetica" w:cs="Times New Roman"/>
      <w:b/>
      <w:caps/>
      <w:kern w:val="0"/>
      <w:sz w:val="22"/>
      <w:szCs w:val="20"/>
      <w:lang w:val="en-US"/>
      <w14:ligatures w14:val="none"/>
    </w:rPr>
  </w:style>
  <w:style w:type="paragraph" w:styleId="NormalWeb">
    <w:name w:val="Normal (Web)"/>
    <w:basedOn w:val="Normal"/>
    <w:uiPriority w:val="99"/>
    <w:unhideWhenUsed/>
    <w:rsid w:val="007C5AB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Spacing">
    <w:name w:val="No Spacing"/>
    <w:uiPriority w:val="1"/>
    <w:qFormat/>
    <w:rsid w:val="007C5BF5"/>
    <w:pPr>
      <w:spacing w:after="0" w:line="240" w:lineRule="auto"/>
    </w:pPr>
  </w:style>
  <w:style w:type="character" w:styleId="Hyperlink">
    <w:name w:val="Hyperlink"/>
    <w:basedOn w:val="DefaultParagraphFont"/>
    <w:uiPriority w:val="99"/>
    <w:unhideWhenUsed/>
    <w:rsid w:val="0075201A"/>
    <w:rPr>
      <w:color w:val="467886" w:themeColor="hyperlink"/>
      <w:u w:val="single"/>
    </w:rPr>
  </w:style>
  <w:style w:type="character" w:customStyle="1" w:styleId="UnresolvedMention1">
    <w:name w:val="Unresolved Mention1"/>
    <w:basedOn w:val="DefaultParagraphFont"/>
    <w:uiPriority w:val="99"/>
    <w:semiHidden/>
    <w:unhideWhenUsed/>
    <w:rsid w:val="0075201A"/>
    <w:rPr>
      <w:color w:val="605E5C"/>
      <w:shd w:val="clear" w:color="auto" w:fill="E1DFDD"/>
    </w:rPr>
  </w:style>
  <w:style w:type="paragraph" w:styleId="Header">
    <w:name w:val="header"/>
    <w:basedOn w:val="Normal"/>
    <w:link w:val="HeaderChar"/>
    <w:uiPriority w:val="99"/>
    <w:unhideWhenUsed/>
    <w:rsid w:val="00962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B5"/>
  </w:style>
  <w:style w:type="paragraph" w:styleId="Footer">
    <w:name w:val="footer"/>
    <w:basedOn w:val="Normal"/>
    <w:link w:val="FooterChar"/>
    <w:uiPriority w:val="99"/>
    <w:unhideWhenUsed/>
    <w:rsid w:val="00962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B5"/>
  </w:style>
  <w:style w:type="character" w:styleId="CommentReference">
    <w:name w:val="annotation reference"/>
    <w:basedOn w:val="DefaultParagraphFont"/>
    <w:uiPriority w:val="99"/>
    <w:semiHidden/>
    <w:unhideWhenUsed/>
    <w:rsid w:val="00E87D35"/>
    <w:rPr>
      <w:sz w:val="16"/>
      <w:szCs w:val="16"/>
    </w:rPr>
  </w:style>
  <w:style w:type="paragraph" w:styleId="CommentText">
    <w:name w:val="annotation text"/>
    <w:basedOn w:val="Normal"/>
    <w:link w:val="CommentTextChar"/>
    <w:uiPriority w:val="99"/>
    <w:semiHidden/>
    <w:unhideWhenUsed/>
    <w:rsid w:val="00E87D35"/>
    <w:pPr>
      <w:spacing w:line="240" w:lineRule="auto"/>
    </w:pPr>
    <w:rPr>
      <w:sz w:val="20"/>
      <w:szCs w:val="20"/>
    </w:rPr>
  </w:style>
  <w:style w:type="character" w:customStyle="1" w:styleId="CommentTextChar">
    <w:name w:val="Comment Text Char"/>
    <w:basedOn w:val="DefaultParagraphFont"/>
    <w:link w:val="CommentText"/>
    <w:uiPriority w:val="99"/>
    <w:semiHidden/>
    <w:rsid w:val="00E87D35"/>
    <w:rPr>
      <w:sz w:val="20"/>
      <w:szCs w:val="20"/>
    </w:rPr>
  </w:style>
  <w:style w:type="paragraph" w:styleId="CommentSubject">
    <w:name w:val="annotation subject"/>
    <w:basedOn w:val="CommentText"/>
    <w:next w:val="CommentText"/>
    <w:link w:val="CommentSubjectChar"/>
    <w:uiPriority w:val="99"/>
    <w:semiHidden/>
    <w:unhideWhenUsed/>
    <w:rsid w:val="00E87D35"/>
    <w:rPr>
      <w:b/>
      <w:bCs/>
    </w:rPr>
  </w:style>
  <w:style w:type="character" w:customStyle="1" w:styleId="CommentSubjectChar">
    <w:name w:val="Comment Subject Char"/>
    <w:basedOn w:val="CommentTextChar"/>
    <w:link w:val="CommentSubject"/>
    <w:uiPriority w:val="99"/>
    <w:semiHidden/>
    <w:rsid w:val="00E87D35"/>
    <w:rPr>
      <w:b/>
      <w:bCs/>
      <w:sz w:val="20"/>
      <w:szCs w:val="20"/>
    </w:rPr>
  </w:style>
  <w:style w:type="paragraph" w:styleId="BalloonText">
    <w:name w:val="Balloon Text"/>
    <w:basedOn w:val="Normal"/>
    <w:link w:val="BalloonTextChar"/>
    <w:uiPriority w:val="99"/>
    <w:semiHidden/>
    <w:unhideWhenUsed/>
    <w:rsid w:val="00E87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D35"/>
    <w:rPr>
      <w:rFonts w:ascii="Segoe UI" w:hAnsi="Segoe UI" w:cs="Segoe UI"/>
      <w:sz w:val="18"/>
      <w:szCs w:val="18"/>
    </w:rPr>
  </w:style>
  <w:style w:type="character" w:styleId="Strong">
    <w:name w:val="Strong"/>
    <w:basedOn w:val="DefaultParagraphFont"/>
    <w:uiPriority w:val="22"/>
    <w:qFormat/>
    <w:rsid w:val="00703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ocuments\synopsis%20and%20thesis\PERFORMANCE%20PARAMETRS%20EXCEL%20&amp;%20STATS\2.0%20EXCEL%20SHEET%20ON%20%20PRODUCTION%20PARAMETE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pc\Documents\synopsis%20and%20thesis\Nutrient%20utilization%20excel%20&amp;%20stats\NUTR.UTIL.EXCEL%20&amp;%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FEED</a:t>
            </a:r>
            <a:r>
              <a:rPr lang="en-US" baseline="0"/>
              <a:t> INTAKE</a:t>
            </a:r>
            <a:endParaRPr lang="en-US"/>
          </a:p>
        </c:rich>
      </c:tx>
      <c:overlay val="0"/>
    </c:title>
    <c:autoTitleDeleted val="0"/>
    <c:plotArea>
      <c:layout/>
      <c:barChart>
        <c:barDir val="col"/>
        <c:grouping val="clustered"/>
        <c:varyColors val="0"/>
        <c:ser>
          <c:idx val="0"/>
          <c:order val="0"/>
          <c:tx>
            <c:strRef>
              <c:f>'CUMM. DATA'!$U$53</c:f>
              <c:strCache>
                <c:ptCount val="1"/>
                <c:pt idx="0">
                  <c:v>0-21 DAY</c:v>
                </c:pt>
              </c:strCache>
            </c:strRef>
          </c:tx>
          <c:invertIfNegative val="0"/>
          <c:cat>
            <c:strRef>
              <c:f>'CUMM. DATA'!$T$54:$T$57</c:f>
              <c:strCache>
                <c:ptCount val="4"/>
                <c:pt idx="0">
                  <c:v>T1</c:v>
                </c:pt>
                <c:pt idx="1">
                  <c:v>T2</c:v>
                </c:pt>
                <c:pt idx="2">
                  <c:v>T3</c:v>
                </c:pt>
                <c:pt idx="3">
                  <c:v>T4</c:v>
                </c:pt>
              </c:strCache>
            </c:strRef>
          </c:cat>
          <c:val>
            <c:numRef>
              <c:f>'CUMM. DATA'!$U$54:$U$57</c:f>
              <c:numCache>
                <c:formatCode>General</c:formatCode>
                <c:ptCount val="4"/>
                <c:pt idx="0">
                  <c:v>900.29</c:v>
                </c:pt>
                <c:pt idx="1">
                  <c:v>902.86</c:v>
                </c:pt>
                <c:pt idx="2">
                  <c:v>905.08</c:v>
                </c:pt>
                <c:pt idx="3">
                  <c:v>907.78</c:v>
                </c:pt>
              </c:numCache>
            </c:numRef>
          </c:val>
          <c:extLst>
            <c:ext xmlns:c16="http://schemas.microsoft.com/office/drawing/2014/chart" uri="{C3380CC4-5D6E-409C-BE32-E72D297353CC}">
              <c16:uniqueId val="{00000000-E336-45DE-8FD0-49691872F663}"/>
            </c:ext>
          </c:extLst>
        </c:ser>
        <c:ser>
          <c:idx val="1"/>
          <c:order val="1"/>
          <c:tx>
            <c:strRef>
              <c:f>'CUMM. DATA'!$V$53</c:f>
              <c:strCache>
                <c:ptCount val="1"/>
                <c:pt idx="0">
                  <c:v>21-42 DAY</c:v>
                </c:pt>
              </c:strCache>
            </c:strRef>
          </c:tx>
          <c:invertIfNegative val="0"/>
          <c:cat>
            <c:strRef>
              <c:f>'CUMM. DATA'!$T$54:$T$57</c:f>
              <c:strCache>
                <c:ptCount val="4"/>
                <c:pt idx="0">
                  <c:v>T1</c:v>
                </c:pt>
                <c:pt idx="1">
                  <c:v>T2</c:v>
                </c:pt>
                <c:pt idx="2">
                  <c:v>T3</c:v>
                </c:pt>
                <c:pt idx="3">
                  <c:v>T4</c:v>
                </c:pt>
              </c:strCache>
            </c:strRef>
          </c:cat>
          <c:val>
            <c:numRef>
              <c:f>'CUMM. DATA'!$V$54:$V$57</c:f>
              <c:numCache>
                <c:formatCode>General</c:formatCode>
                <c:ptCount val="4"/>
                <c:pt idx="0">
                  <c:v>2880.66</c:v>
                </c:pt>
                <c:pt idx="1">
                  <c:v>2886.44</c:v>
                </c:pt>
                <c:pt idx="2">
                  <c:v>2866.39</c:v>
                </c:pt>
                <c:pt idx="3">
                  <c:v>2879.91</c:v>
                </c:pt>
              </c:numCache>
            </c:numRef>
          </c:val>
          <c:extLst>
            <c:ext xmlns:c16="http://schemas.microsoft.com/office/drawing/2014/chart" uri="{C3380CC4-5D6E-409C-BE32-E72D297353CC}">
              <c16:uniqueId val="{00000001-E336-45DE-8FD0-49691872F663}"/>
            </c:ext>
          </c:extLst>
        </c:ser>
        <c:ser>
          <c:idx val="2"/>
          <c:order val="2"/>
          <c:tx>
            <c:strRef>
              <c:f>'CUMM. DATA'!$W$53</c:f>
              <c:strCache>
                <c:ptCount val="1"/>
                <c:pt idx="0">
                  <c:v>0-42 DAY</c:v>
                </c:pt>
              </c:strCache>
            </c:strRef>
          </c:tx>
          <c:invertIfNegative val="0"/>
          <c:cat>
            <c:strRef>
              <c:f>'CUMM. DATA'!$T$54:$T$57</c:f>
              <c:strCache>
                <c:ptCount val="4"/>
                <c:pt idx="0">
                  <c:v>T1</c:v>
                </c:pt>
                <c:pt idx="1">
                  <c:v>T2</c:v>
                </c:pt>
                <c:pt idx="2">
                  <c:v>T3</c:v>
                </c:pt>
                <c:pt idx="3">
                  <c:v>T4</c:v>
                </c:pt>
              </c:strCache>
            </c:strRef>
          </c:cat>
          <c:val>
            <c:numRef>
              <c:f>'CUMM. DATA'!$W$54:$W$57</c:f>
              <c:numCache>
                <c:formatCode>General</c:formatCode>
                <c:ptCount val="4"/>
                <c:pt idx="0">
                  <c:v>3780.95</c:v>
                </c:pt>
                <c:pt idx="1">
                  <c:v>3789.3</c:v>
                </c:pt>
                <c:pt idx="2">
                  <c:v>3771.47</c:v>
                </c:pt>
                <c:pt idx="3">
                  <c:v>3787.7</c:v>
                </c:pt>
              </c:numCache>
            </c:numRef>
          </c:val>
          <c:extLst>
            <c:ext xmlns:c16="http://schemas.microsoft.com/office/drawing/2014/chart" uri="{C3380CC4-5D6E-409C-BE32-E72D297353CC}">
              <c16:uniqueId val="{00000002-E336-45DE-8FD0-49691872F663}"/>
            </c:ext>
          </c:extLst>
        </c:ser>
        <c:dLbls>
          <c:showLegendKey val="0"/>
          <c:showVal val="0"/>
          <c:showCatName val="0"/>
          <c:showSerName val="0"/>
          <c:showPercent val="0"/>
          <c:showBubbleSize val="0"/>
        </c:dLbls>
        <c:gapWidth val="150"/>
        <c:axId val="86110208"/>
        <c:axId val="109707648"/>
      </c:barChart>
      <c:catAx>
        <c:axId val="86110208"/>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2319192040158476"/>
              <c:y val="0.87256892206092107"/>
            </c:manualLayout>
          </c:layout>
          <c:overlay val="0"/>
        </c:title>
        <c:numFmt formatCode="General" sourceLinked="0"/>
        <c:majorTickMark val="none"/>
        <c:minorTickMark val="none"/>
        <c:tickLblPos val="nextTo"/>
        <c:crossAx val="109707648"/>
        <c:crosses val="autoZero"/>
        <c:auto val="1"/>
        <c:lblAlgn val="ctr"/>
        <c:lblOffset val="100"/>
        <c:noMultiLvlLbl val="0"/>
      </c:catAx>
      <c:valAx>
        <c:axId val="109707648"/>
        <c:scaling>
          <c:orientation val="minMax"/>
        </c:scaling>
        <c:delete val="0"/>
        <c:axPos val="l"/>
        <c:majorGridlines/>
        <c:title>
          <c:tx>
            <c:rich>
              <a:bodyPr/>
              <a:lstStyle/>
              <a:p>
                <a:pPr>
                  <a:defRPr/>
                </a:pPr>
                <a:r>
                  <a:rPr lang="en-US" sz="1100">
                    <a:latin typeface="+mn-lt"/>
                    <a:cs typeface="Times New Roman" pitchFamily="18" charset="0"/>
                  </a:rPr>
                  <a:t>Grams</a:t>
                </a:r>
              </a:p>
            </c:rich>
          </c:tx>
          <c:layout>
            <c:manualLayout>
              <c:xMode val="edge"/>
              <c:yMode val="edge"/>
              <c:x val="1.9011406844106463E-2"/>
              <c:y val="0.42315116937926184"/>
            </c:manualLayout>
          </c:layout>
          <c:overlay val="0"/>
        </c:title>
        <c:numFmt formatCode="General" sourceLinked="1"/>
        <c:majorTickMark val="out"/>
        <c:minorTickMark val="none"/>
        <c:tickLblPos val="nextTo"/>
        <c:crossAx val="86110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Feed</a:t>
            </a:r>
            <a:r>
              <a:rPr lang="en-US" baseline="0"/>
              <a:t> Conversion Ratio</a:t>
            </a:r>
            <a:endParaRPr lang="en-US"/>
          </a:p>
        </c:rich>
      </c:tx>
      <c:overlay val="0"/>
    </c:title>
    <c:autoTitleDeleted val="0"/>
    <c:plotArea>
      <c:layout/>
      <c:barChart>
        <c:barDir val="col"/>
        <c:grouping val="clustered"/>
        <c:varyColors val="0"/>
        <c:ser>
          <c:idx val="0"/>
          <c:order val="0"/>
          <c:tx>
            <c:strRef>
              <c:f>'CUMM. DATA'!$AA$53</c:f>
              <c:strCache>
                <c:ptCount val="1"/>
                <c:pt idx="0">
                  <c:v>0-21 DAY</c:v>
                </c:pt>
              </c:strCache>
            </c:strRef>
          </c:tx>
          <c:invertIfNegative val="0"/>
          <c:cat>
            <c:strRef>
              <c:f>'CUMM. DATA'!$Z$54:$Z$57</c:f>
              <c:strCache>
                <c:ptCount val="4"/>
                <c:pt idx="0">
                  <c:v>T1</c:v>
                </c:pt>
                <c:pt idx="1">
                  <c:v>T2</c:v>
                </c:pt>
                <c:pt idx="2">
                  <c:v>T3</c:v>
                </c:pt>
                <c:pt idx="3">
                  <c:v>T4</c:v>
                </c:pt>
              </c:strCache>
            </c:strRef>
          </c:cat>
          <c:val>
            <c:numRef>
              <c:f>'CUMM. DATA'!$AA$54:$AA$57</c:f>
              <c:numCache>
                <c:formatCode>General</c:formatCode>
                <c:ptCount val="4"/>
                <c:pt idx="0">
                  <c:v>1.51</c:v>
                </c:pt>
                <c:pt idx="1">
                  <c:v>1.49</c:v>
                </c:pt>
                <c:pt idx="2">
                  <c:v>1.47</c:v>
                </c:pt>
                <c:pt idx="3">
                  <c:v>1.48</c:v>
                </c:pt>
              </c:numCache>
            </c:numRef>
          </c:val>
          <c:extLst>
            <c:ext xmlns:c16="http://schemas.microsoft.com/office/drawing/2014/chart" uri="{C3380CC4-5D6E-409C-BE32-E72D297353CC}">
              <c16:uniqueId val="{00000000-F462-4B6B-9203-6F9DA0D15AC9}"/>
            </c:ext>
          </c:extLst>
        </c:ser>
        <c:ser>
          <c:idx val="1"/>
          <c:order val="1"/>
          <c:tx>
            <c:strRef>
              <c:f>'CUMM. DATA'!$AB$53</c:f>
              <c:strCache>
                <c:ptCount val="1"/>
                <c:pt idx="0">
                  <c:v>21-42 DAY</c:v>
                </c:pt>
              </c:strCache>
            </c:strRef>
          </c:tx>
          <c:invertIfNegative val="0"/>
          <c:cat>
            <c:strRef>
              <c:f>'CUMM. DATA'!$Z$54:$Z$57</c:f>
              <c:strCache>
                <c:ptCount val="4"/>
                <c:pt idx="0">
                  <c:v>T1</c:v>
                </c:pt>
                <c:pt idx="1">
                  <c:v>T2</c:v>
                </c:pt>
                <c:pt idx="2">
                  <c:v>T3</c:v>
                </c:pt>
                <c:pt idx="3">
                  <c:v>T4</c:v>
                </c:pt>
              </c:strCache>
            </c:strRef>
          </c:cat>
          <c:val>
            <c:numRef>
              <c:f>'CUMM. DATA'!$AB$54:$AB$57</c:f>
              <c:numCache>
                <c:formatCode>General</c:formatCode>
                <c:ptCount val="4"/>
                <c:pt idx="0">
                  <c:v>1.79</c:v>
                </c:pt>
                <c:pt idx="1">
                  <c:v>1.78</c:v>
                </c:pt>
                <c:pt idx="2">
                  <c:v>1.74</c:v>
                </c:pt>
                <c:pt idx="3">
                  <c:v>1.76</c:v>
                </c:pt>
              </c:numCache>
            </c:numRef>
          </c:val>
          <c:extLst>
            <c:ext xmlns:c16="http://schemas.microsoft.com/office/drawing/2014/chart" uri="{C3380CC4-5D6E-409C-BE32-E72D297353CC}">
              <c16:uniqueId val="{00000001-F462-4B6B-9203-6F9DA0D15AC9}"/>
            </c:ext>
          </c:extLst>
        </c:ser>
        <c:ser>
          <c:idx val="2"/>
          <c:order val="2"/>
          <c:tx>
            <c:strRef>
              <c:f>'CUMM. DATA'!$AC$53</c:f>
              <c:strCache>
                <c:ptCount val="1"/>
                <c:pt idx="0">
                  <c:v>0-42 DAY</c:v>
                </c:pt>
              </c:strCache>
            </c:strRef>
          </c:tx>
          <c:invertIfNegative val="0"/>
          <c:cat>
            <c:strRef>
              <c:f>'CUMM. DATA'!$Z$54:$Z$57</c:f>
              <c:strCache>
                <c:ptCount val="4"/>
                <c:pt idx="0">
                  <c:v>T1</c:v>
                </c:pt>
                <c:pt idx="1">
                  <c:v>T2</c:v>
                </c:pt>
                <c:pt idx="2">
                  <c:v>T3</c:v>
                </c:pt>
                <c:pt idx="3">
                  <c:v>T4</c:v>
                </c:pt>
              </c:strCache>
            </c:strRef>
          </c:cat>
          <c:val>
            <c:numRef>
              <c:f>'CUMM. DATA'!$AC$54:$AC$57</c:f>
              <c:numCache>
                <c:formatCode>General</c:formatCode>
                <c:ptCount val="4"/>
                <c:pt idx="0">
                  <c:v>1.72</c:v>
                </c:pt>
                <c:pt idx="1">
                  <c:v>1.7</c:v>
                </c:pt>
                <c:pt idx="2">
                  <c:v>1.67</c:v>
                </c:pt>
                <c:pt idx="3">
                  <c:v>1.68</c:v>
                </c:pt>
              </c:numCache>
            </c:numRef>
          </c:val>
          <c:extLst>
            <c:ext xmlns:c16="http://schemas.microsoft.com/office/drawing/2014/chart" uri="{C3380CC4-5D6E-409C-BE32-E72D297353CC}">
              <c16:uniqueId val="{00000002-F462-4B6B-9203-6F9DA0D15AC9}"/>
            </c:ext>
          </c:extLst>
        </c:ser>
        <c:dLbls>
          <c:showLegendKey val="0"/>
          <c:showVal val="0"/>
          <c:showCatName val="0"/>
          <c:showSerName val="0"/>
          <c:showPercent val="0"/>
          <c:showBubbleSize val="0"/>
        </c:dLbls>
        <c:gapWidth val="150"/>
        <c:axId val="159800704"/>
        <c:axId val="191675776"/>
      </c:barChart>
      <c:catAx>
        <c:axId val="159800704"/>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overlay val="0"/>
        </c:title>
        <c:numFmt formatCode="General" sourceLinked="0"/>
        <c:majorTickMark val="none"/>
        <c:minorTickMark val="none"/>
        <c:tickLblPos val="nextTo"/>
        <c:crossAx val="191675776"/>
        <c:crosses val="autoZero"/>
        <c:auto val="1"/>
        <c:lblAlgn val="ctr"/>
        <c:lblOffset val="100"/>
        <c:noMultiLvlLbl val="0"/>
      </c:catAx>
      <c:valAx>
        <c:axId val="191675776"/>
        <c:scaling>
          <c:orientation val="minMax"/>
        </c:scaling>
        <c:delete val="0"/>
        <c:axPos val="l"/>
        <c:majorGridlines/>
        <c:numFmt formatCode="General" sourceLinked="1"/>
        <c:majorTickMark val="out"/>
        <c:minorTickMark val="none"/>
        <c:tickLblPos val="nextTo"/>
        <c:crossAx val="159800704"/>
        <c:crosses val="autoZero"/>
        <c:crossBetween val="between"/>
      </c:valAx>
    </c:plotArea>
    <c:legend>
      <c:legendPos val="r"/>
      <c:overlay val="0"/>
      <c:txPr>
        <a:bodyPr/>
        <a:lstStyle/>
        <a:p>
          <a:pPr>
            <a:defRPr>
              <a:latin typeface="+mn-lt"/>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Performance Index</a:t>
            </a:r>
          </a:p>
        </c:rich>
      </c:tx>
      <c:overlay val="0"/>
    </c:title>
    <c:autoTitleDeleted val="0"/>
    <c:plotArea>
      <c:layout/>
      <c:barChart>
        <c:barDir val="col"/>
        <c:grouping val="clustered"/>
        <c:varyColors val="0"/>
        <c:ser>
          <c:idx val="0"/>
          <c:order val="0"/>
          <c:tx>
            <c:strRef>
              <c:f>'CUMM. DATA'!$AF$53</c:f>
              <c:strCache>
                <c:ptCount val="1"/>
                <c:pt idx="0">
                  <c:v>0-21 DAYS</c:v>
                </c:pt>
              </c:strCache>
            </c:strRef>
          </c:tx>
          <c:invertIfNegative val="0"/>
          <c:cat>
            <c:strRef>
              <c:f>'CUMM. DATA'!$AE$54:$AE$57</c:f>
              <c:strCache>
                <c:ptCount val="4"/>
                <c:pt idx="0">
                  <c:v>T1</c:v>
                </c:pt>
                <c:pt idx="1">
                  <c:v>T2</c:v>
                </c:pt>
                <c:pt idx="2">
                  <c:v>T3</c:v>
                </c:pt>
                <c:pt idx="3">
                  <c:v>T4</c:v>
                </c:pt>
              </c:strCache>
            </c:strRef>
          </c:cat>
          <c:val>
            <c:numRef>
              <c:f>'CUMM. DATA'!$AF$54:$AF$57</c:f>
              <c:numCache>
                <c:formatCode>General</c:formatCode>
                <c:ptCount val="4"/>
                <c:pt idx="0">
                  <c:v>396.44</c:v>
                </c:pt>
                <c:pt idx="1">
                  <c:v>407.21</c:v>
                </c:pt>
                <c:pt idx="2">
                  <c:v>423.46</c:v>
                </c:pt>
                <c:pt idx="3">
                  <c:v>414.75</c:v>
                </c:pt>
              </c:numCache>
            </c:numRef>
          </c:val>
          <c:extLst>
            <c:ext xmlns:c16="http://schemas.microsoft.com/office/drawing/2014/chart" uri="{C3380CC4-5D6E-409C-BE32-E72D297353CC}">
              <c16:uniqueId val="{00000000-CAE9-43F7-B88D-2A9D1A699FB7}"/>
            </c:ext>
          </c:extLst>
        </c:ser>
        <c:ser>
          <c:idx val="1"/>
          <c:order val="1"/>
          <c:tx>
            <c:strRef>
              <c:f>'CUMM. DATA'!$AG$53</c:f>
              <c:strCache>
                <c:ptCount val="1"/>
                <c:pt idx="0">
                  <c:v>21-42 DAY</c:v>
                </c:pt>
              </c:strCache>
            </c:strRef>
          </c:tx>
          <c:invertIfNegative val="0"/>
          <c:cat>
            <c:strRef>
              <c:f>'CUMM. DATA'!$AE$54:$AE$57</c:f>
              <c:strCache>
                <c:ptCount val="4"/>
                <c:pt idx="0">
                  <c:v>T1</c:v>
                </c:pt>
                <c:pt idx="1">
                  <c:v>T2</c:v>
                </c:pt>
                <c:pt idx="2">
                  <c:v>T3</c:v>
                </c:pt>
                <c:pt idx="3">
                  <c:v>T4</c:v>
                </c:pt>
              </c:strCache>
            </c:strRef>
          </c:cat>
          <c:val>
            <c:numRef>
              <c:f>'CUMM. DATA'!$AG$54:$AG$57</c:f>
              <c:numCache>
                <c:formatCode>General</c:formatCode>
                <c:ptCount val="4"/>
                <c:pt idx="0">
                  <c:v>892.79</c:v>
                </c:pt>
                <c:pt idx="1">
                  <c:v>905.6</c:v>
                </c:pt>
                <c:pt idx="2">
                  <c:v>938.24</c:v>
                </c:pt>
                <c:pt idx="3">
                  <c:v>925.32</c:v>
                </c:pt>
              </c:numCache>
            </c:numRef>
          </c:val>
          <c:extLst>
            <c:ext xmlns:c16="http://schemas.microsoft.com/office/drawing/2014/chart" uri="{C3380CC4-5D6E-409C-BE32-E72D297353CC}">
              <c16:uniqueId val="{00000001-CAE9-43F7-B88D-2A9D1A699FB7}"/>
            </c:ext>
          </c:extLst>
        </c:ser>
        <c:ser>
          <c:idx val="2"/>
          <c:order val="2"/>
          <c:tx>
            <c:strRef>
              <c:f>'CUMM. DATA'!$AH$53</c:f>
              <c:strCache>
                <c:ptCount val="1"/>
                <c:pt idx="0">
                  <c:v>0-42 DAY</c:v>
                </c:pt>
              </c:strCache>
            </c:strRef>
          </c:tx>
          <c:invertIfNegative val="0"/>
          <c:cat>
            <c:strRef>
              <c:f>'CUMM. DATA'!$AE$54:$AE$57</c:f>
              <c:strCache>
                <c:ptCount val="4"/>
                <c:pt idx="0">
                  <c:v>T1</c:v>
                </c:pt>
                <c:pt idx="1">
                  <c:v>T2</c:v>
                </c:pt>
                <c:pt idx="2">
                  <c:v>T3</c:v>
                </c:pt>
                <c:pt idx="3">
                  <c:v>T4</c:v>
                </c:pt>
              </c:strCache>
            </c:strRef>
          </c:cat>
          <c:val>
            <c:numRef>
              <c:f>'CUMM. DATA'!$AH$54:$AH$57</c:f>
              <c:numCache>
                <c:formatCode>General</c:formatCode>
                <c:ptCount val="4"/>
                <c:pt idx="0">
                  <c:v>1289.24</c:v>
                </c:pt>
                <c:pt idx="1">
                  <c:v>1312.81</c:v>
                </c:pt>
                <c:pt idx="2">
                  <c:v>1361.71</c:v>
                </c:pt>
                <c:pt idx="3">
                  <c:v>1340.08</c:v>
                </c:pt>
              </c:numCache>
            </c:numRef>
          </c:val>
          <c:extLst>
            <c:ext xmlns:c16="http://schemas.microsoft.com/office/drawing/2014/chart" uri="{C3380CC4-5D6E-409C-BE32-E72D297353CC}">
              <c16:uniqueId val="{00000002-CAE9-43F7-B88D-2A9D1A699FB7}"/>
            </c:ext>
          </c:extLst>
        </c:ser>
        <c:dLbls>
          <c:showLegendKey val="0"/>
          <c:showVal val="0"/>
          <c:showCatName val="0"/>
          <c:showSerName val="0"/>
          <c:showPercent val="0"/>
          <c:showBubbleSize val="0"/>
        </c:dLbls>
        <c:gapWidth val="150"/>
        <c:axId val="109720320"/>
        <c:axId val="109722240"/>
      </c:barChart>
      <c:catAx>
        <c:axId val="10972032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09722240"/>
        <c:crosses val="autoZero"/>
        <c:auto val="1"/>
        <c:lblAlgn val="ctr"/>
        <c:lblOffset val="100"/>
        <c:noMultiLvlLbl val="0"/>
      </c:catAx>
      <c:valAx>
        <c:axId val="109722240"/>
        <c:scaling>
          <c:orientation val="minMax"/>
        </c:scaling>
        <c:delete val="0"/>
        <c:axPos val="l"/>
        <c:majorGridlines/>
        <c:numFmt formatCode="General" sourceLinked="1"/>
        <c:majorTickMark val="out"/>
        <c:minorTickMark val="none"/>
        <c:tickLblPos val="nextTo"/>
        <c:crossAx val="1097203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Nutrient Utilization</a:t>
            </a:r>
          </a:p>
        </c:rich>
      </c:tx>
      <c:overlay val="0"/>
    </c:title>
    <c:autoTitleDeleted val="0"/>
    <c:plotArea>
      <c:layout/>
      <c:barChart>
        <c:barDir val="col"/>
        <c:grouping val="clustered"/>
        <c:varyColors val="0"/>
        <c:ser>
          <c:idx val="0"/>
          <c:order val="0"/>
          <c:tx>
            <c:strRef>
              <c:f>Sheet1!$S$9</c:f>
              <c:strCache>
                <c:ptCount val="1"/>
                <c:pt idx="0">
                  <c:v>Dry matter</c:v>
                </c:pt>
              </c:strCache>
            </c:strRef>
          </c:tx>
          <c:invertIfNegative val="0"/>
          <c:cat>
            <c:strRef>
              <c:f>Sheet1!$T$8:$W$8</c:f>
              <c:strCache>
                <c:ptCount val="4"/>
                <c:pt idx="0">
                  <c:v>T1</c:v>
                </c:pt>
                <c:pt idx="1">
                  <c:v>T2</c:v>
                </c:pt>
                <c:pt idx="2">
                  <c:v>T3</c:v>
                </c:pt>
                <c:pt idx="3">
                  <c:v>T4</c:v>
                </c:pt>
              </c:strCache>
            </c:strRef>
          </c:cat>
          <c:val>
            <c:numRef>
              <c:f>Sheet1!$T$9:$W$9</c:f>
              <c:numCache>
                <c:formatCode>General</c:formatCode>
                <c:ptCount val="4"/>
                <c:pt idx="0">
                  <c:v>71.599999999999994</c:v>
                </c:pt>
                <c:pt idx="1">
                  <c:v>72.33</c:v>
                </c:pt>
                <c:pt idx="2">
                  <c:v>73.44</c:v>
                </c:pt>
                <c:pt idx="3">
                  <c:v>72.739999999999995</c:v>
                </c:pt>
              </c:numCache>
            </c:numRef>
          </c:val>
          <c:extLst>
            <c:ext xmlns:c16="http://schemas.microsoft.com/office/drawing/2014/chart" uri="{C3380CC4-5D6E-409C-BE32-E72D297353CC}">
              <c16:uniqueId val="{00000000-17C4-4057-BCA2-A45B80F59BF5}"/>
            </c:ext>
          </c:extLst>
        </c:ser>
        <c:ser>
          <c:idx val="1"/>
          <c:order val="1"/>
          <c:tx>
            <c:strRef>
              <c:f>Sheet1!$S$10</c:f>
              <c:strCache>
                <c:ptCount val="1"/>
                <c:pt idx="0">
                  <c:v>Organic matter</c:v>
                </c:pt>
              </c:strCache>
            </c:strRef>
          </c:tx>
          <c:invertIfNegative val="0"/>
          <c:cat>
            <c:strRef>
              <c:f>Sheet1!$T$8:$W$8</c:f>
              <c:strCache>
                <c:ptCount val="4"/>
                <c:pt idx="0">
                  <c:v>T1</c:v>
                </c:pt>
                <c:pt idx="1">
                  <c:v>T2</c:v>
                </c:pt>
                <c:pt idx="2">
                  <c:v>T3</c:v>
                </c:pt>
                <c:pt idx="3">
                  <c:v>T4</c:v>
                </c:pt>
              </c:strCache>
            </c:strRef>
          </c:cat>
          <c:val>
            <c:numRef>
              <c:f>Sheet1!$T$10:$W$10</c:f>
              <c:numCache>
                <c:formatCode>General</c:formatCode>
                <c:ptCount val="4"/>
                <c:pt idx="0">
                  <c:v>73.099999999999994</c:v>
                </c:pt>
                <c:pt idx="1">
                  <c:v>74.680000000000007</c:v>
                </c:pt>
                <c:pt idx="2">
                  <c:v>76.069999999999993</c:v>
                </c:pt>
                <c:pt idx="3">
                  <c:v>76.7</c:v>
                </c:pt>
              </c:numCache>
            </c:numRef>
          </c:val>
          <c:extLst>
            <c:ext xmlns:c16="http://schemas.microsoft.com/office/drawing/2014/chart" uri="{C3380CC4-5D6E-409C-BE32-E72D297353CC}">
              <c16:uniqueId val="{00000001-17C4-4057-BCA2-A45B80F59BF5}"/>
            </c:ext>
          </c:extLst>
        </c:ser>
        <c:ser>
          <c:idx val="2"/>
          <c:order val="2"/>
          <c:tx>
            <c:strRef>
              <c:f>Sheet1!$S$11</c:f>
              <c:strCache>
                <c:ptCount val="1"/>
                <c:pt idx="0">
                  <c:v>Crude protein</c:v>
                </c:pt>
              </c:strCache>
            </c:strRef>
          </c:tx>
          <c:invertIfNegative val="0"/>
          <c:cat>
            <c:strRef>
              <c:f>Sheet1!$T$8:$W$8</c:f>
              <c:strCache>
                <c:ptCount val="4"/>
                <c:pt idx="0">
                  <c:v>T1</c:v>
                </c:pt>
                <c:pt idx="1">
                  <c:v>T2</c:v>
                </c:pt>
                <c:pt idx="2">
                  <c:v>T3</c:v>
                </c:pt>
                <c:pt idx="3">
                  <c:v>T4</c:v>
                </c:pt>
              </c:strCache>
            </c:strRef>
          </c:cat>
          <c:val>
            <c:numRef>
              <c:f>Sheet1!$T$11:$W$11</c:f>
              <c:numCache>
                <c:formatCode>General</c:formatCode>
                <c:ptCount val="4"/>
                <c:pt idx="0">
                  <c:v>71.349999999999994</c:v>
                </c:pt>
                <c:pt idx="1">
                  <c:v>72.23</c:v>
                </c:pt>
                <c:pt idx="2">
                  <c:v>73.290000000000006</c:v>
                </c:pt>
                <c:pt idx="3">
                  <c:v>72.73</c:v>
                </c:pt>
              </c:numCache>
            </c:numRef>
          </c:val>
          <c:extLst>
            <c:ext xmlns:c16="http://schemas.microsoft.com/office/drawing/2014/chart" uri="{C3380CC4-5D6E-409C-BE32-E72D297353CC}">
              <c16:uniqueId val="{00000002-17C4-4057-BCA2-A45B80F59BF5}"/>
            </c:ext>
          </c:extLst>
        </c:ser>
        <c:ser>
          <c:idx val="3"/>
          <c:order val="3"/>
          <c:tx>
            <c:strRef>
              <c:f>Sheet1!$S$12</c:f>
              <c:strCache>
                <c:ptCount val="1"/>
                <c:pt idx="0">
                  <c:v>Ether extract</c:v>
                </c:pt>
              </c:strCache>
            </c:strRef>
          </c:tx>
          <c:invertIfNegative val="0"/>
          <c:cat>
            <c:strRef>
              <c:f>Sheet1!$T$8:$W$8</c:f>
              <c:strCache>
                <c:ptCount val="4"/>
                <c:pt idx="0">
                  <c:v>T1</c:v>
                </c:pt>
                <c:pt idx="1">
                  <c:v>T2</c:v>
                </c:pt>
                <c:pt idx="2">
                  <c:v>T3</c:v>
                </c:pt>
                <c:pt idx="3">
                  <c:v>T4</c:v>
                </c:pt>
              </c:strCache>
            </c:strRef>
          </c:cat>
          <c:val>
            <c:numRef>
              <c:f>Sheet1!$T$12:$W$12</c:f>
              <c:numCache>
                <c:formatCode>General</c:formatCode>
                <c:ptCount val="4"/>
                <c:pt idx="0">
                  <c:v>70.83</c:v>
                </c:pt>
                <c:pt idx="1">
                  <c:v>72.7</c:v>
                </c:pt>
                <c:pt idx="2">
                  <c:v>74.010000000000005</c:v>
                </c:pt>
                <c:pt idx="3">
                  <c:v>72.77</c:v>
                </c:pt>
              </c:numCache>
            </c:numRef>
          </c:val>
          <c:extLst>
            <c:ext xmlns:c16="http://schemas.microsoft.com/office/drawing/2014/chart" uri="{C3380CC4-5D6E-409C-BE32-E72D297353CC}">
              <c16:uniqueId val="{00000003-17C4-4057-BCA2-A45B80F59BF5}"/>
            </c:ext>
          </c:extLst>
        </c:ser>
        <c:dLbls>
          <c:showLegendKey val="0"/>
          <c:showVal val="0"/>
          <c:showCatName val="0"/>
          <c:showSerName val="0"/>
          <c:showPercent val="0"/>
          <c:showBubbleSize val="0"/>
        </c:dLbls>
        <c:gapWidth val="150"/>
        <c:axId val="151151360"/>
        <c:axId val="151153280"/>
      </c:barChart>
      <c:catAx>
        <c:axId val="151151360"/>
        <c:scaling>
          <c:orientation val="minMax"/>
        </c:scaling>
        <c:delete val="0"/>
        <c:axPos val="b"/>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Treatments</a:t>
                </a:r>
              </a:p>
            </c:rich>
          </c:tx>
          <c:overlay val="0"/>
        </c:title>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151153280"/>
        <c:crosses val="autoZero"/>
        <c:auto val="1"/>
        <c:lblAlgn val="ctr"/>
        <c:lblOffset val="100"/>
        <c:noMultiLvlLbl val="0"/>
      </c:catAx>
      <c:valAx>
        <c:axId val="151153280"/>
        <c:scaling>
          <c:orientation val="minMax"/>
        </c:scaling>
        <c:delete val="0"/>
        <c:axPos val="l"/>
        <c:majorGridlines/>
        <c:title>
          <c:tx>
            <c:rich>
              <a:bodyPr/>
              <a:lstStyle/>
              <a:p>
                <a:pPr>
                  <a:defRPr/>
                </a:pPr>
                <a:r>
                  <a:rPr lang="en-US"/>
                  <a:t>Percent</a:t>
                </a:r>
              </a:p>
            </c:rich>
          </c:tx>
          <c:layout>
            <c:manualLayout>
              <c:xMode val="edge"/>
              <c:yMode val="edge"/>
              <c:x val="1.6319869441044473E-2"/>
              <c:y val="0.40855205599300087"/>
            </c:manualLayout>
          </c:layout>
          <c:overlay val="0"/>
        </c:title>
        <c:numFmt formatCode="General" sourceLinked="1"/>
        <c:majorTickMark val="out"/>
        <c:minorTickMark val="none"/>
        <c:tickLblPos val="nextTo"/>
        <c:crossAx val="151151360"/>
        <c:crosses val="autoZero"/>
        <c:crossBetween val="between"/>
      </c:valAx>
    </c:plotArea>
    <c:legend>
      <c:legendPos val="r"/>
      <c:layout>
        <c:manualLayout>
          <c:xMode val="edge"/>
          <c:yMode val="edge"/>
          <c:x val="0.82748934228998605"/>
          <c:y val="0.35816689905949251"/>
          <c:w val="0.16027075562923054"/>
          <c:h val="0.313939468503937"/>
        </c:manualLayout>
      </c:layout>
      <c:overlay val="0"/>
      <c:txPr>
        <a:bodyPr/>
        <a:lstStyle/>
        <a:p>
          <a:pPr>
            <a:defRPr b="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C8CB-5619-43C4-9917-1276F35D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Raja</dc:creator>
  <cp:keywords/>
  <dc:description/>
  <cp:lastModifiedBy>SDI 1181</cp:lastModifiedBy>
  <cp:revision>11</cp:revision>
  <cp:lastPrinted>2026-02-27T17:59:00Z</cp:lastPrinted>
  <dcterms:created xsi:type="dcterms:W3CDTF">2026-02-28T01:36:00Z</dcterms:created>
  <dcterms:modified xsi:type="dcterms:W3CDTF">2026-03-05T05:34:00Z</dcterms:modified>
</cp:coreProperties>
</file>