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F2B77" w14:textId="77777777" w:rsidR="001D6A4C" w:rsidRDefault="001D6A4C" w:rsidP="00C771CE">
      <w:pPr>
        <w:spacing w:line="240" w:lineRule="auto"/>
        <w:jc w:val="both"/>
        <w:rPr>
          <w:rFonts w:ascii="Arial" w:hAnsi="Arial" w:cs="Arial"/>
          <w:b/>
          <w:bCs/>
          <w:sz w:val="36"/>
          <w:szCs w:val="36"/>
        </w:rPr>
      </w:pPr>
      <w:r w:rsidRPr="001D6A4C">
        <w:rPr>
          <w:rFonts w:ascii="Arial" w:hAnsi="Arial" w:cs="Arial"/>
          <w:b/>
          <w:bCs/>
          <w:sz w:val="36"/>
          <w:szCs w:val="36"/>
        </w:rPr>
        <w:t xml:space="preserve">Original research article </w:t>
      </w:r>
    </w:p>
    <w:p w14:paraId="6E8DE9BA" w14:textId="77777777" w:rsidR="001D6A4C" w:rsidRDefault="001D6A4C" w:rsidP="00C771CE">
      <w:pPr>
        <w:spacing w:line="240" w:lineRule="auto"/>
        <w:jc w:val="both"/>
        <w:rPr>
          <w:rFonts w:ascii="Arial" w:hAnsi="Arial" w:cs="Arial"/>
          <w:b/>
          <w:bCs/>
          <w:sz w:val="36"/>
          <w:szCs w:val="36"/>
        </w:rPr>
      </w:pPr>
    </w:p>
    <w:p w14:paraId="6FFFA340" w14:textId="2D534514" w:rsidR="00F72002" w:rsidRPr="00C13AA1" w:rsidRDefault="00F72002" w:rsidP="00C771CE">
      <w:pPr>
        <w:spacing w:line="240" w:lineRule="auto"/>
        <w:jc w:val="both"/>
        <w:rPr>
          <w:rFonts w:ascii="Arial" w:hAnsi="Arial" w:cs="Arial"/>
          <w:b/>
          <w:bCs/>
          <w:sz w:val="36"/>
          <w:szCs w:val="36"/>
        </w:rPr>
      </w:pPr>
      <w:r w:rsidRPr="00C13AA1">
        <w:rPr>
          <w:rFonts w:ascii="Arial" w:hAnsi="Arial" w:cs="Arial"/>
          <w:b/>
          <w:bCs/>
          <w:sz w:val="36"/>
          <w:szCs w:val="36"/>
        </w:rPr>
        <w:t xml:space="preserve">Modulation of Antioxidant Capacity, Antimicrobial Activity, and Phytochemical Profile of </w:t>
      </w:r>
      <w:proofErr w:type="spellStart"/>
      <w:r w:rsidRPr="00C13AA1">
        <w:rPr>
          <w:rStyle w:val="a5"/>
          <w:rFonts w:ascii="Arial" w:hAnsi="Arial" w:cs="Arial"/>
          <w:b/>
          <w:bCs/>
          <w:sz w:val="36"/>
          <w:szCs w:val="36"/>
        </w:rPr>
        <w:t>Origanum</w:t>
      </w:r>
      <w:proofErr w:type="spellEnd"/>
      <w:r w:rsidRPr="00C13AA1">
        <w:rPr>
          <w:rStyle w:val="a5"/>
          <w:rFonts w:ascii="Arial" w:hAnsi="Arial" w:cs="Arial"/>
          <w:b/>
          <w:bCs/>
          <w:sz w:val="36"/>
          <w:szCs w:val="36"/>
        </w:rPr>
        <w:t xml:space="preserve"> </w:t>
      </w:r>
      <w:proofErr w:type="spellStart"/>
      <w:r w:rsidRPr="00C13AA1">
        <w:rPr>
          <w:rStyle w:val="a5"/>
          <w:rFonts w:ascii="Arial" w:hAnsi="Arial" w:cs="Arial"/>
          <w:b/>
          <w:bCs/>
          <w:sz w:val="36"/>
          <w:szCs w:val="36"/>
        </w:rPr>
        <w:t>majorana</w:t>
      </w:r>
      <w:proofErr w:type="spellEnd"/>
      <w:r w:rsidRPr="00C13AA1">
        <w:rPr>
          <w:rFonts w:ascii="Arial" w:hAnsi="Arial" w:cs="Arial"/>
          <w:b/>
          <w:bCs/>
          <w:sz w:val="36"/>
          <w:szCs w:val="36"/>
        </w:rPr>
        <w:t xml:space="preserve"> L. by </w:t>
      </w:r>
      <w:r w:rsidR="00B7336E">
        <w:rPr>
          <w:rFonts w:ascii="Arial" w:hAnsi="Arial" w:cs="Arial"/>
          <w:b/>
          <w:bCs/>
          <w:sz w:val="36"/>
          <w:szCs w:val="36"/>
        </w:rPr>
        <w:t xml:space="preserve">Household </w:t>
      </w:r>
      <w:r w:rsidRPr="00C13AA1">
        <w:rPr>
          <w:rFonts w:ascii="Arial" w:hAnsi="Arial" w:cs="Arial"/>
          <w:b/>
          <w:bCs/>
          <w:sz w:val="36"/>
          <w:szCs w:val="36"/>
        </w:rPr>
        <w:t>Cooking Processes</w:t>
      </w:r>
    </w:p>
    <w:p w14:paraId="306E680F" w14:textId="77777777" w:rsidR="006953A2" w:rsidRDefault="006953A2" w:rsidP="00C771CE">
      <w:pPr>
        <w:spacing w:line="240" w:lineRule="auto"/>
        <w:jc w:val="both"/>
        <w:rPr>
          <w:rStyle w:val="a4"/>
          <w:rFonts w:ascii="Arial" w:hAnsi="Arial" w:cs="Arial"/>
        </w:rPr>
      </w:pPr>
    </w:p>
    <w:p w14:paraId="71503F40" w14:textId="06E59414" w:rsidR="009B788B" w:rsidRPr="00C13AA1" w:rsidRDefault="00E64267" w:rsidP="00C771CE">
      <w:pPr>
        <w:spacing w:line="240" w:lineRule="auto"/>
        <w:jc w:val="both"/>
        <w:rPr>
          <w:rFonts w:ascii="Arial" w:hAnsi="Arial" w:cs="Arial"/>
          <w:sz w:val="20"/>
          <w:szCs w:val="20"/>
        </w:rPr>
      </w:pPr>
      <w:r w:rsidRPr="00E64267">
        <w:rPr>
          <w:rStyle w:val="a4"/>
          <w:rFonts w:ascii="Arial" w:hAnsi="Arial" w:cs="Arial"/>
        </w:rPr>
        <w:t>ABSTRACT</w:t>
      </w:r>
      <w:r w:rsidRPr="00E64267">
        <w:rPr>
          <w:rFonts w:ascii="Arial" w:hAnsi="Arial" w:cs="Arial"/>
        </w:rPr>
        <w:br/>
      </w:r>
      <w:r w:rsidR="009B788B" w:rsidRPr="00C13AA1">
        <w:rPr>
          <w:rFonts w:ascii="Arial" w:hAnsi="Arial" w:cs="Arial"/>
          <w:sz w:val="20"/>
          <w:szCs w:val="20"/>
        </w:rPr>
        <w:t>Marjoram (</w:t>
      </w:r>
      <w:proofErr w:type="spellStart"/>
      <w:r w:rsidR="009B788B" w:rsidRPr="00C13AA1">
        <w:rPr>
          <w:rStyle w:val="a5"/>
          <w:rFonts w:ascii="Arial" w:hAnsi="Arial" w:cs="Arial"/>
          <w:sz w:val="20"/>
          <w:szCs w:val="20"/>
        </w:rPr>
        <w:t>Origanum</w:t>
      </w:r>
      <w:proofErr w:type="spellEnd"/>
      <w:r w:rsidR="009B788B" w:rsidRPr="00C13AA1">
        <w:rPr>
          <w:rStyle w:val="a5"/>
          <w:rFonts w:ascii="Arial" w:hAnsi="Arial" w:cs="Arial"/>
          <w:sz w:val="20"/>
          <w:szCs w:val="20"/>
        </w:rPr>
        <w:t xml:space="preserve"> </w:t>
      </w:r>
      <w:proofErr w:type="spellStart"/>
      <w:r w:rsidR="009B788B" w:rsidRPr="00C13AA1">
        <w:rPr>
          <w:rStyle w:val="a5"/>
          <w:rFonts w:ascii="Arial" w:hAnsi="Arial" w:cs="Arial"/>
          <w:sz w:val="20"/>
          <w:szCs w:val="20"/>
        </w:rPr>
        <w:t>majorana</w:t>
      </w:r>
      <w:proofErr w:type="spellEnd"/>
      <w:r w:rsidR="009B788B" w:rsidRPr="00C13AA1">
        <w:rPr>
          <w:rFonts w:ascii="Arial" w:hAnsi="Arial" w:cs="Arial"/>
          <w:sz w:val="20"/>
          <w:szCs w:val="20"/>
        </w:rPr>
        <w:t xml:space="preserve"> L.) is an aromatic herb rich in</w:t>
      </w:r>
      <w:r w:rsidR="00590712" w:rsidRPr="00C13AA1">
        <w:rPr>
          <w:rFonts w:ascii="Arial" w:hAnsi="Arial" w:cs="Arial"/>
          <w:sz w:val="20"/>
          <w:szCs w:val="20"/>
        </w:rPr>
        <w:t xml:space="preserve"> phenolic compounds, flavonoids</w:t>
      </w:r>
      <w:r w:rsidR="009B788B" w:rsidRPr="00C13AA1">
        <w:rPr>
          <w:rFonts w:ascii="Arial" w:hAnsi="Arial" w:cs="Arial"/>
          <w:sz w:val="20"/>
          <w:szCs w:val="20"/>
        </w:rPr>
        <w:t xml:space="preserve"> and essential oils, traditionally </w:t>
      </w:r>
      <w:r w:rsidR="0068669F" w:rsidRPr="00C13AA1">
        <w:rPr>
          <w:rFonts w:ascii="Arial" w:hAnsi="Arial" w:cs="Arial"/>
          <w:sz w:val="20"/>
          <w:szCs w:val="20"/>
        </w:rPr>
        <w:t xml:space="preserve">utilized </w:t>
      </w:r>
      <w:r w:rsidR="009B788B" w:rsidRPr="00C13AA1">
        <w:rPr>
          <w:rFonts w:ascii="Arial" w:hAnsi="Arial" w:cs="Arial"/>
          <w:sz w:val="20"/>
          <w:szCs w:val="20"/>
        </w:rPr>
        <w:t>for managing gastrointestinal, respiratory, ca</w:t>
      </w:r>
      <w:r w:rsidR="00590712" w:rsidRPr="00C13AA1">
        <w:rPr>
          <w:rFonts w:ascii="Arial" w:hAnsi="Arial" w:cs="Arial"/>
          <w:sz w:val="20"/>
          <w:szCs w:val="20"/>
        </w:rPr>
        <w:t>rdiac, rheumatologic, menstrual</w:t>
      </w:r>
      <w:r w:rsidR="009B788B" w:rsidRPr="00C13AA1">
        <w:rPr>
          <w:rFonts w:ascii="Arial" w:hAnsi="Arial" w:cs="Arial"/>
          <w:sz w:val="20"/>
          <w:szCs w:val="20"/>
        </w:rPr>
        <w:t xml:space="preserve"> and neurological disorders. </w:t>
      </w:r>
      <w:r w:rsidR="0068669F" w:rsidRPr="00C13AA1">
        <w:rPr>
          <w:rFonts w:ascii="Arial" w:hAnsi="Arial" w:cs="Arial"/>
          <w:sz w:val="20"/>
          <w:szCs w:val="20"/>
        </w:rPr>
        <w:t>As domestic</w:t>
      </w:r>
      <w:r w:rsidR="009B788B" w:rsidRPr="00C13AA1">
        <w:rPr>
          <w:rFonts w:ascii="Arial" w:hAnsi="Arial" w:cs="Arial"/>
          <w:sz w:val="20"/>
          <w:szCs w:val="20"/>
        </w:rPr>
        <w:t xml:space="preserve"> cooking practices </w:t>
      </w:r>
      <w:r w:rsidR="0068669F" w:rsidRPr="00C13AA1">
        <w:rPr>
          <w:rFonts w:ascii="Arial" w:hAnsi="Arial" w:cs="Arial"/>
          <w:sz w:val="20"/>
          <w:szCs w:val="20"/>
        </w:rPr>
        <w:t xml:space="preserve">may </w:t>
      </w:r>
      <w:r w:rsidR="009B788B" w:rsidRPr="00C13AA1">
        <w:rPr>
          <w:rFonts w:ascii="Arial" w:hAnsi="Arial" w:cs="Arial"/>
          <w:sz w:val="20"/>
          <w:szCs w:val="20"/>
        </w:rPr>
        <w:t xml:space="preserve">alter </w:t>
      </w:r>
      <w:r w:rsidR="0068669F" w:rsidRPr="00C13AA1">
        <w:rPr>
          <w:rFonts w:ascii="Arial" w:hAnsi="Arial" w:cs="Arial"/>
          <w:sz w:val="20"/>
          <w:szCs w:val="20"/>
        </w:rPr>
        <w:t xml:space="preserve">the </w:t>
      </w:r>
      <w:r w:rsidR="009B788B" w:rsidRPr="00C13AA1">
        <w:rPr>
          <w:rFonts w:ascii="Arial" w:hAnsi="Arial" w:cs="Arial"/>
          <w:sz w:val="20"/>
          <w:szCs w:val="20"/>
        </w:rPr>
        <w:t>nutrit</w:t>
      </w:r>
      <w:r w:rsidR="0068669F" w:rsidRPr="00C13AA1">
        <w:rPr>
          <w:rFonts w:ascii="Arial" w:hAnsi="Arial" w:cs="Arial"/>
          <w:sz w:val="20"/>
          <w:szCs w:val="20"/>
        </w:rPr>
        <w:t>ional</w:t>
      </w:r>
      <w:r w:rsidR="009B788B" w:rsidRPr="00C13AA1">
        <w:rPr>
          <w:rFonts w:ascii="Arial" w:hAnsi="Arial" w:cs="Arial"/>
          <w:sz w:val="20"/>
          <w:szCs w:val="20"/>
        </w:rPr>
        <w:t xml:space="preserve"> </w:t>
      </w:r>
      <w:r w:rsidR="0068669F" w:rsidRPr="00C13AA1">
        <w:rPr>
          <w:rFonts w:ascii="Arial" w:hAnsi="Arial" w:cs="Arial"/>
          <w:sz w:val="20"/>
          <w:szCs w:val="20"/>
        </w:rPr>
        <w:t xml:space="preserve">and phytochemical </w:t>
      </w:r>
      <w:r w:rsidR="009B788B" w:rsidRPr="00C13AA1">
        <w:rPr>
          <w:rFonts w:ascii="Arial" w:hAnsi="Arial" w:cs="Arial"/>
          <w:sz w:val="20"/>
          <w:szCs w:val="20"/>
        </w:rPr>
        <w:t>composition</w:t>
      </w:r>
      <w:r w:rsidR="0068669F" w:rsidRPr="00C13AA1">
        <w:rPr>
          <w:rFonts w:ascii="Arial" w:hAnsi="Arial" w:cs="Arial"/>
          <w:sz w:val="20"/>
          <w:szCs w:val="20"/>
        </w:rPr>
        <w:t xml:space="preserve"> of plant foods</w:t>
      </w:r>
      <w:r w:rsidR="009B788B" w:rsidRPr="00C13AA1">
        <w:rPr>
          <w:rFonts w:ascii="Arial" w:hAnsi="Arial" w:cs="Arial"/>
          <w:sz w:val="20"/>
          <w:szCs w:val="20"/>
        </w:rPr>
        <w:t xml:space="preserve">, </w:t>
      </w:r>
      <w:r w:rsidR="0068669F" w:rsidRPr="00C13AA1">
        <w:rPr>
          <w:rFonts w:ascii="Arial" w:hAnsi="Arial" w:cs="Arial"/>
          <w:sz w:val="20"/>
          <w:szCs w:val="20"/>
        </w:rPr>
        <w:t xml:space="preserve">the present </w:t>
      </w:r>
      <w:r w:rsidR="009B788B" w:rsidRPr="00C13AA1">
        <w:rPr>
          <w:rFonts w:ascii="Arial" w:hAnsi="Arial" w:cs="Arial"/>
          <w:sz w:val="20"/>
          <w:szCs w:val="20"/>
        </w:rPr>
        <w:t xml:space="preserve">study </w:t>
      </w:r>
      <w:r w:rsidR="0068669F" w:rsidRPr="00C13AA1">
        <w:rPr>
          <w:rFonts w:ascii="Arial" w:hAnsi="Arial" w:cs="Arial"/>
          <w:sz w:val="20"/>
          <w:szCs w:val="20"/>
        </w:rPr>
        <w:t xml:space="preserve">investigated </w:t>
      </w:r>
      <w:r w:rsidR="009B788B" w:rsidRPr="00C13AA1">
        <w:rPr>
          <w:rFonts w:ascii="Arial" w:hAnsi="Arial" w:cs="Arial"/>
          <w:sz w:val="20"/>
          <w:szCs w:val="20"/>
        </w:rPr>
        <w:t>the effect</w:t>
      </w:r>
      <w:r w:rsidR="0068669F" w:rsidRPr="00C13AA1">
        <w:rPr>
          <w:rFonts w:ascii="Arial" w:hAnsi="Arial" w:cs="Arial"/>
          <w:sz w:val="20"/>
          <w:szCs w:val="20"/>
        </w:rPr>
        <w:t>s</w:t>
      </w:r>
      <w:r w:rsidR="009B788B" w:rsidRPr="00C13AA1">
        <w:rPr>
          <w:rFonts w:ascii="Arial" w:hAnsi="Arial" w:cs="Arial"/>
          <w:sz w:val="20"/>
          <w:szCs w:val="20"/>
        </w:rPr>
        <w:t xml:space="preserve"> of five common household processing techniques i.e. boiling, press</w:t>
      </w:r>
      <w:r w:rsidR="0068669F" w:rsidRPr="00C13AA1">
        <w:rPr>
          <w:rFonts w:ascii="Arial" w:hAnsi="Arial" w:cs="Arial"/>
          <w:sz w:val="20"/>
          <w:szCs w:val="20"/>
        </w:rPr>
        <w:t>ure cooking, steaming, sautéing</w:t>
      </w:r>
      <w:r w:rsidR="009B788B" w:rsidRPr="00C13AA1">
        <w:rPr>
          <w:rFonts w:ascii="Arial" w:hAnsi="Arial" w:cs="Arial"/>
          <w:sz w:val="20"/>
          <w:szCs w:val="20"/>
        </w:rPr>
        <w:t xml:space="preserve"> and microwave cooking on the antioxidant activity, vitamin C, β-carotene, </w:t>
      </w:r>
      <w:r w:rsidR="00E71BD0" w:rsidRPr="00C13AA1">
        <w:rPr>
          <w:rFonts w:ascii="Arial" w:hAnsi="Arial" w:cs="Arial"/>
          <w:sz w:val="20"/>
          <w:szCs w:val="20"/>
        </w:rPr>
        <w:t xml:space="preserve">antimicrobial activity and </w:t>
      </w:r>
      <w:r w:rsidR="009B788B" w:rsidRPr="00C13AA1">
        <w:rPr>
          <w:rFonts w:ascii="Arial" w:hAnsi="Arial" w:cs="Arial"/>
          <w:sz w:val="20"/>
          <w:szCs w:val="20"/>
        </w:rPr>
        <w:t xml:space="preserve">phytochemical </w:t>
      </w:r>
      <w:r w:rsidR="0068669F" w:rsidRPr="00C13AA1">
        <w:rPr>
          <w:rFonts w:ascii="Arial" w:hAnsi="Arial" w:cs="Arial"/>
          <w:sz w:val="20"/>
          <w:szCs w:val="20"/>
        </w:rPr>
        <w:t xml:space="preserve">profile </w:t>
      </w:r>
      <w:r w:rsidR="009B788B" w:rsidRPr="00C13AA1">
        <w:rPr>
          <w:rFonts w:ascii="Arial" w:hAnsi="Arial" w:cs="Arial"/>
          <w:sz w:val="20"/>
          <w:szCs w:val="20"/>
        </w:rPr>
        <w:t xml:space="preserve">of fresh marjoram leaves. Antioxidant activity was </w:t>
      </w:r>
      <w:r w:rsidR="0068669F" w:rsidRPr="00C13AA1">
        <w:rPr>
          <w:rFonts w:ascii="Arial" w:hAnsi="Arial" w:cs="Arial"/>
          <w:sz w:val="20"/>
          <w:szCs w:val="20"/>
        </w:rPr>
        <w:t xml:space="preserve">evaluated </w:t>
      </w:r>
      <w:r w:rsidR="009B788B" w:rsidRPr="00C13AA1">
        <w:rPr>
          <w:rFonts w:ascii="Arial" w:hAnsi="Arial" w:cs="Arial"/>
          <w:sz w:val="20"/>
          <w:szCs w:val="20"/>
        </w:rPr>
        <w:t xml:space="preserve">using the DPPH </w:t>
      </w:r>
      <w:r w:rsidR="0068669F" w:rsidRPr="00C13AA1">
        <w:rPr>
          <w:rFonts w:ascii="Arial" w:hAnsi="Arial" w:cs="Arial"/>
          <w:sz w:val="20"/>
          <w:szCs w:val="20"/>
        </w:rPr>
        <w:t xml:space="preserve">radical scavenging </w:t>
      </w:r>
      <w:r w:rsidR="009B788B" w:rsidRPr="00C13AA1">
        <w:rPr>
          <w:rFonts w:ascii="Arial" w:hAnsi="Arial" w:cs="Arial"/>
          <w:sz w:val="20"/>
          <w:szCs w:val="20"/>
        </w:rPr>
        <w:t>assay, while ascorbic acid and β-carotene contents were quantified through titrimetric and spectrophotometric methods, respectively. Phytochemical profiling in</w:t>
      </w:r>
      <w:r w:rsidR="0068669F" w:rsidRPr="00C13AA1">
        <w:rPr>
          <w:rFonts w:ascii="Arial" w:hAnsi="Arial" w:cs="Arial"/>
          <w:sz w:val="20"/>
          <w:szCs w:val="20"/>
        </w:rPr>
        <w:t>volved</w:t>
      </w:r>
      <w:r w:rsidR="009B788B" w:rsidRPr="00C13AA1">
        <w:rPr>
          <w:rFonts w:ascii="Arial" w:hAnsi="Arial" w:cs="Arial"/>
          <w:sz w:val="20"/>
          <w:szCs w:val="20"/>
        </w:rPr>
        <w:t xml:space="preserve"> both qualitative screening and quantitative estimation of total phenolics</w:t>
      </w:r>
      <w:r w:rsidR="0068669F" w:rsidRPr="00C13AA1">
        <w:rPr>
          <w:rFonts w:ascii="Arial" w:hAnsi="Arial" w:cs="Arial"/>
          <w:sz w:val="20"/>
          <w:szCs w:val="20"/>
        </w:rPr>
        <w:t xml:space="preserve"> (TPC)</w:t>
      </w:r>
      <w:r w:rsidR="009B788B" w:rsidRPr="00C13AA1">
        <w:rPr>
          <w:rFonts w:ascii="Arial" w:hAnsi="Arial" w:cs="Arial"/>
          <w:sz w:val="20"/>
          <w:szCs w:val="20"/>
        </w:rPr>
        <w:t xml:space="preserve"> and flavonoids</w:t>
      </w:r>
      <w:r w:rsidR="0068669F" w:rsidRPr="00C13AA1">
        <w:rPr>
          <w:rFonts w:ascii="Arial" w:hAnsi="Arial" w:cs="Arial"/>
          <w:sz w:val="20"/>
          <w:szCs w:val="20"/>
        </w:rPr>
        <w:t xml:space="preserve"> (TFC)</w:t>
      </w:r>
      <w:r w:rsidR="009B788B" w:rsidRPr="00C13AA1">
        <w:rPr>
          <w:rFonts w:ascii="Arial" w:hAnsi="Arial" w:cs="Arial"/>
          <w:sz w:val="20"/>
          <w:szCs w:val="20"/>
        </w:rPr>
        <w:t xml:space="preserve">. </w:t>
      </w:r>
      <w:r w:rsidR="0068669F" w:rsidRPr="00C13AA1">
        <w:rPr>
          <w:rFonts w:ascii="Arial" w:hAnsi="Arial" w:cs="Arial"/>
          <w:sz w:val="20"/>
          <w:szCs w:val="20"/>
        </w:rPr>
        <w:t>All processing treatments</w:t>
      </w:r>
      <w:r w:rsidR="009B788B" w:rsidRPr="00C13AA1">
        <w:rPr>
          <w:rFonts w:ascii="Arial" w:hAnsi="Arial" w:cs="Arial"/>
          <w:sz w:val="20"/>
          <w:szCs w:val="20"/>
        </w:rPr>
        <w:t xml:space="preserve"> significantly influenced the nutrient and phytochemical composition</w:t>
      </w:r>
      <w:r w:rsidR="0068669F" w:rsidRPr="00C13AA1">
        <w:rPr>
          <w:rFonts w:ascii="Arial" w:hAnsi="Arial" w:cs="Arial"/>
          <w:sz w:val="20"/>
          <w:szCs w:val="20"/>
        </w:rPr>
        <w:t xml:space="preserve"> of marjoram leaves</w:t>
      </w:r>
      <w:r w:rsidR="009B788B" w:rsidRPr="00C13AA1">
        <w:rPr>
          <w:rFonts w:ascii="Arial" w:hAnsi="Arial" w:cs="Arial"/>
          <w:sz w:val="20"/>
          <w:szCs w:val="20"/>
        </w:rPr>
        <w:t xml:space="preserve">. </w:t>
      </w:r>
      <w:r w:rsidR="0068669F" w:rsidRPr="00C13AA1">
        <w:rPr>
          <w:rFonts w:ascii="Arial" w:hAnsi="Arial" w:cs="Arial"/>
          <w:sz w:val="20"/>
          <w:szCs w:val="20"/>
        </w:rPr>
        <w:t xml:space="preserve">Enhanced </w:t>
      </w:r>
      <w:r w:rsidR="009B788B" w:rsidRPr="00C13AA1">
        <w:rPr>
          <w:rFonts w:ascii="Arial" w:hAnsi="Arial" w:cs="Arial"/>
          <w:sz w:val="20"/>
          <w:szCs w:val="20"/>
        </w:rPr>
        <w:t>antioxidant activity</w:t>
      </w:r>
      <w:r w:rsidR="0068669F" w:rsidRPr="00C13AA1">
        <w:rPr>
          <w:rFonts w:ascii="Arial" w:hAnsi="Arial" w:cs="Arial"/>
          <w:sz w:val="20"/>
          <w:szCs w:val="20"/>
        </w:rPr>
        <w:t xml:space="preserve"> was observed following </w:t>
      </w:r>
      <w:r w:rsidR="009B788B" w:rsidRPr="00C13AA1">
        <w:rPr>
          <w:rFonts w:ascii="Arial" w:hAnsi="Arial" w:cs="Arial"/>
          <w:sz w:val="20"/>
          <w:szCs w:val="20"/>
        </w:rPr>
        <w:t>sautéing (77.16%), boiling (75.86%), and microwave cooking (73.92%)</w:t>
      </w:r>
      <w:r w:rsidR="006A5D91" w:rsidRPr="00C13AA1">
        <w:rPr>
          <w:rFonts w:ascii="Arial" w:hAnsi="Arial" w:cs="Arial"/>
          <w:sz w:val="20"/>
          <w:szCs w:val="20"/>
        </w:rPr>
        <w:t xml:space="preserve">, with sauteing exhibiting the </w:t>
      </w:r>
      <w:r w:rsidR="009B788B" w:rsidRPr="00C13AA1">
        <w:rPr>
          <w:rFonts w:ascii="Arial" w:hAnsi="Arial" w:cs="Arial"/>
          <w:sz w:val="20"/>
          <w:szCs w:val="20"/>
        </w:rPr>
        <w:t xml:space="preserve">highest radical scavenging capacity. Flavonoid retention was greatest </w:t>
      </w:r>
      <w:r w:rsidR="006A5D91" w:rsidRPr="00C13AA1">
        <w:rPr>
          <w:rFonts w:ascii="Arial" w:hAnsi="Arial" w:cs="Arial"/>
          <w:sz w:val="20"/>
          <w:szCs w:val="20"/>
        </w:rPr>
        <w:t>in sautéed samples</w:t>
      </w:r>
      <w:r w:rsidR="009B788B" w:rsidRPr="00C13AA1">
        <w:rPr>
          <w:rFonts w:ascii="Arial" w:hAnsi="Arial" w:cs="Arial"/>
          <w:sz w:val="20"/>
          <w:szCs w:val="20"/>
        </w:rPr>
        <w:t xml:space="preserve"> (114.73%)</w:t>
      </w:r>
      <w:r w:rsidR="006A5D91" w:rsidRPr="00C13AA1">
        <w:rPr>
          <w:rFonts w:ascii="Arial" w:hAnsi="Arial" w:cs="Arial"/>
          <w:sz w:val="20"/>
          <w:szCs w:val="20"/>
        </w:rPr>
        <w:t xml:space="preserve"> followed by </w:t>
      </w:r>
      <w:r w:rsidR="009B788B" w:rsidRPr="00C13AA1">
        <w:rPr>
          <w:rFonts w:ascii="Arial" w:hAnsi="Arial" w:cs="Arial"/>
          <w:sz w:val="20"/>
          <w:szCs w:val="20"/>
        </w:rPr>
        <w:t>microwave cooking (74.58%). Conversely, substantial reductions</w:t>
      </w:r>
      <w:r w:rsidR="006A5D91" w:rsidRPr="00C13AA1">
        <w:rPr>
          <w:rFonts w:ascii="Arial" w:hAnsi="Arial" w:cs="Arial"/>
          <w:sz w:val="20"/>
          <w:szCs w:val="20"/>
        </w:rPr>
        <w:t xml:space="preserve"> were recorded </w:t>
      </w:r>
      <w:r w:rsidR="009B788B" w:rsidRPr="00C13AA1">
        <w:rPr>
          <w:rFonts w:ascii="Arial" w:hAnsi="Arial" w:cs="Arial"/>
          <w:sz w:val="20"/>
          <w:szCs w:val="20"/>
        </w:rPr>
        <w:t>in ascorbic acid (87.42–92.81%) and β-carotene (31.14–71.49%)</w:t>
      </w:r>
      <w:r w:rsidR="006A5D91" w:rsidRPr="00C13AA1">
        <w:rPr>
          <w:rFonts w:ascii="Arial" w:hAnsi="Arial" w:cs="Arial"/>
          <w:sz w:val="20"/>
          <w:szCs w:val="20"/>
        </w:rPr>
        <w:t xml:space="preserve"> across treatments</w:t>
      </w:r>
      <w:r w:rsidR="009B788B" w:rsidRPr="00C13AA1">
        <w:rPr>
          <w:rFonts w:ascii="Arial" w:hAnsi="Arial" w:cs="Arial"/>
          <w:sz w:val="20"/>
          <w:szCs w:val="20"/>
        </w:rPr>
        <w:t xml:space="preserve">. Notably, total phenolic content increased markedly (205.43–351.53%) </w:t>
      </w:r>
      <w:r w:rsidR="006A5D91" w:rsidRPr="00C13AA1">
        <w:rPr>
          <w:rFonts w:ascii="Arial" w:hAnsi="Arial" w:cs="Arial"/>
          <w:sz w:val="20"/>
          <w:szCs w:val="20"/>
        </w:rPr>
        <w:t>in processed samples</w:t>
      </w:r>
      <w:r w:rsidR="009B788B" w:rsidRPr="00C13AA1">
        <w:rPr>
          <w:rFonts w:ascii="Arial" w:hAnsi="Arial" w:cs="Arial"/>
          <w:sz w:val="20"/>
          <w:szCs w:val="20"/>
        </w:rPr>
        <w:t>.</w:t>
      </w:r>
      <w:r w:rsidR="00F72002" w:rsidRPr="00C13AA1">
        <w:rPr>
          <w:rFonts w:ascii="Arial" w:hAnsi="Arial" w:cs="Arial"/>
          <w:bCs/>
          <w:color w:val="000000" w:themeColor="text1"/>
          <w:sz w:val="20"/>
          <w:szCs w:val="20"/>
        </w:rPr>
        <w:t xml:space="preserve"> Extract of marjoram leaves demonstrated </w:t>
      </w:r>
      <w:r w:rsidR="00F72002" w:rsidRPr="00C13AA1">
        <w:rPr>
          <w:rFonts w:ascii="Arial" w:hAnsi="Arial" w:cs="Arial"/>
          <w:color w:val="000000" w:themeColor="text1"/>
          <w:sz w:val="20"/>
          <w:szCs w:val="20"/>
        </w:rPr>
        <w:t xml:space="preserve">moderate antimicrobial activity against </w:t>
      </w:r>
      <w:r w:rsidR="00F72002" w:rsidRPr="00C13AA1">
        <w:rPr>
          <w:rFonts w:ascii="Arial" w:hAnsi="Arial" w:cs="Arial"/>
          <w:i/>
          <w:iCs/>
          <w:color w:val="000000" w:themeColor="text1"/>
          <w:sz w:val="20"/>
          <w:szCs w:val="20"/>
        </w:rPr>
        <w:t>S. aureus</w:t>
      </w:r>
      <w:r w:rsidR="00F72002" w:rsidRPr="00C13AA1">
        <w:rPr>
          <w:rFonts w:ascii="Arial" w:hAnsi="Arial" w:cs="Arial"/>
          <w:color w:val="000000" w:themeColor="text1"/>
          <w:sz w:val="20"/>
          <w:szCs w:val="20"/>
        </w:rPr>
        <w:t xml:space="preserve"> and </w:t>
      </w:r>
      <w:r w:rsidR="00F72002" w:rsidRPr="00C13AA1">
        <w:rPr>
          <w:rFonts w:ascii="Arial" w:hAnsi="Arial" w:cs="Arial"/>
          <w:i/>
          <w:iCs/>
          <w:color w:val="000000" w:themeColor="text1"/>
          <w:sz w:val="20"/>
          <w:szCs w:val="20"/>
        </w:rPr>
        <w:t>C. albicans</w:t>
      </w:r>
      <w:r w:rsidR="00F72002" w:rsidRPr="00C13AA1">
        <w:rPr>
          <w:rFonts w:ascii="Arial" w:hAnsi="Arial" w:cs="Arial"/>
          <w:bCs/>
          <w:color w:val="000000" w:themeColor="text1"/>
          <w:sz w:val="20"/>
          <w:szCs w:val="20"/>
        </w:rPr>
        <w:t xml:space="preserve">, particularly in raw and pressure-cooked forms, while </w:t>
      </w:r>
      <w:r w:rsidR="00F72002" w:rsidRPr="00C13AA1">
        <w:rPr>
          <w:rFonts w:ascii="Arial" w:hAnsi="Arial" w:cs="Arial"/>
          <w:color w:val="000000" w:themeColor="text1"/>
          <w:sz w:val="20"/>
          <w:szCs w:val="20"/>
        </w:rPr>
        <w:t xml:space="preserve">no activity was observed against </w:t>
      </w:r>
      <w:r w:rsidR="00F72002" w:rsidRPr="00C13AA1">
        <w:rPr>
          <w:rFonts w:ascii="Arial" w:hAnsi="Arial" w:cs="Arial"/>
          <w:i/>
          <w:iCs/>
          <w:color w:val="000000" w:themeColor="text1"/>
          <w:sz w:val="20"/>
          <w:szCs w:val="20"/>
        </w:rPr>
        <w:t>E. coli</w:t>
      </w:r>
      <w:r w:rsidR="00F72002" w:rsidRPr="00C13AA1">
        <w:rPr>
          <w:rFonts w:ascii="Arial" w:hAnsi="Arial" w:cs="Arial"/>
          <w:color w:val="000000" w:themeColor="text1"/>
          <w:sz w:val="20"/>
          <w:szCs w:val="20"/>
        </w:rPr>
        <w:t>.</w:t>
      </w:r>
      <w:r w:rsidR="00F72002" w:rsidRPr="00C13AA1">
        <w:rPr>
          <w:rFonts w:ascii="Arial" w:hAnsi="Arial" w:cs="Arial"/>
          <w:bCs/>
          <w:color w:val="000000" w:themeColor="text1"/>
          <w:sz w:val="20"/>
          <w:szCs w:val="20"/>
        </w:rPr>
        <w:t xml:space="preserve"> </w:t>
      </w:r>
      <w:r w:rsidR="009B788B" w:rsidRPr="00C13AA1">
        <w:rPr>
          <w:rFonts w:ascii="Arial" w:hAnsi="Arial" w:cs="Arial"/>
          <w:sz w:val="20"/>
          <w:szCs w:val="20"/>
        </w:rPr>
        <w:t xml:space="preserve"> Qualitative analysis confirmed the consistent presence of carbohydrates, proteins, a</w:t>
      </w:r>
      <w:r w:rsidR="00590712" w:rsidRPr="00C13AA1">
        <w:rPr>
          <w:rFonts w:ascii="Arial" w:hAnsi="Arial" w:cs="Arial"/>
          <w:sz w:val="20"/>
          <w:szCs w:val="20"/>
        </w:rPr>
        <w:t>mino acids, phenols, flavonoids</w:t>
      </w:r>
      <w:r w:rsidR="009B788B" w:rsidRPr="00C13AA1">
        <w:rPr>
          <w:rFonts w:ascii="Arial" w:hAnsi="Arial" w:cs="Arial"/>
          <w:sz w:val="20"/>
          <w:szCs w:val="20"/>
        </w:rPr>
        <w:t xml:space="preserve"> and mucilage </w:t>
      </w:r>
      <w:r w:rsidR="006A5D91" w:rsidRPr="00C13AA1">
        <w:rPr>
          <w:rFonts w:ascii="Arial" w:hAnsi="Arial" w:cs="Arial"/>
          <w:sz w:val="20"/>
          <w:szCs w:val="20"/>
        </w:rPr>
        <w:t>al</w:t>
      </w:r>
      <w:r w:rsidR="009B788B" w:rsidRPr="00C13AA1">
        <w:rPr>
          <w:rFonts w:ascii="Arial" w:hAnsi="Arial" w:cs="Arial"/>
          <w:sz w:val="20"/>
          <w:szCs w:val="20"/>
        </w:rPr>
        <w:t>though with vari</w:t>
      </w:r>
      <w:r w:rsidR="006A5D91" w:rsidRPr="00C13AA1">
        <w:rPr>
          <w:rFonts w:ascii="Arial" w:hAnsi="Arial" w:cs="Arial"/>
          <w:sz w:val="20"/>
          <w:szCs w:val="20"/>
        </w:rPr>
        <w:t xml:space="preserve">ations in </w:t>
      </w:r>
      <w:r w:rsidR="009B788B" w:rsidRPr="00C13AA1">
        <w:rPr>
          <w:rFonts w:ascii="Arial" w:hAnsi="Arial" w:cs="Arial"/>
          <w:sz w:val="20"/>
          <w:szCs w:val="20"/>
        </w:rPr>
        <w:t>intensit</w:t>
      </w:r>
      <w:r w:rsidR="006A5D91" w:rsidRPr="00C13AA1">
        <w:rPr>
          <w:rFonts w:ascii="Arial" w:hAnsi="Arial" w:cs="Arial"/>
          <w:sz w:val="20"/>
          <w:szCs w:val="20"/>
        </w:rPr>
        <w:t>y among treatments</w:t>
      </w:r>
      <w:r w:rsidR="009B788B" w:rsidRPr="00C13AA1">
        <w:rPr>
          <w:rFonts w:ascii="Arial" w:hAnsi="Arial" w:cs="Arial"/>
          <w:sz w:val="20"/>
          <w:szCs w:val="20"/>
        </w:rPr>
        <w:t xml:space="preserve">. Overall, steaming and other </w:t>
      </w:r>
      <w:r w:rsidR="006A5D91" w:rsidRPr="00C13AA1">
        <w:rPr>
          <w:rFonts w:ascii="Arial" w:hAnsi="Arial" w:cs="Arial"/>
          <w:sz w:val="20"/>
          <w:szCs w:val="20"/>
        </w:rPr>
        <w:t xml:space="preserve">mild </w:t>
      </w:r>
      <w:r w:rsidR="009B788B" w:rsidRPr="00C13AA1">
        <w:rPr>
          <w:rFonts w:ascii="Arial" w:hAnsi="Arial" w:cs="Arial"/>
          <w:sz w:val="20"/>
          <w:szCs w:val="20"/>
        </w:rPr>
        <w:t>cooking</w:t>
      </w:r>
      <w:r w:rsidR="006A5D91" w:rsidRPr="00C13AA1">
        <w:rPr>
          <w:rFonts w:ascii="Arial" w:hAnsi="Arial" w:cs="Arial"/>
          <w:sz w:val="20"/>
          <w:szCs w:val="20"/>
        </w:rPr>
        <w:t xml:space="preserve"> techniques</w:t>
      </w:r>
      <w:r w:rsidR="009B788B" w:rsidRPr="00C13AA1">
        <w:rPr>
          <w:rFonts w:ascii="Arial" w:hAnsi="Arial" w:cs="Arial"/>
          <w:sz w:val="20"/>
          <w:szCs w:val="20"/>
        </w:rPr>
        <w:t xml:space="preserve"> </w:t>
      </w:r>
      <w:r w:rsidR="006A5D91" w:rsidRPr="00C13AA1">
        <w:rPr>
          <w:rFonts w:ascii="Arial" w:hAnsi="Arial" w:cs="Arial"/>
          <w:sz w:val="20"/>
          <w:szCs w:val="20"/>
        </w:rPr>
        <w:t xml:space="preserve">were </w:t>
      </w:r>
      <w:r w:rsidR="009B788B" w:rsidRPr="00C13AA1">
        <w:rPr>
          <w:rFonts w:ascii="Arial" w:hAnsi="Arial" w:cs="Arial"/>
          <w:sz w:val="20"/>
          <w:szCs w:val="20"/>
        </w:rPr>
        <w:t xml:space="preserve">most effective in preserving the nutritional and functional attributes of marjoram leaves. These findings provide </w:t>
      </w:r>
      <w:r w:rsidR="006A5D91" w:rsidRPr="00C13AA1">
        <w:rPr>
          <w:rFonts w:ascii="Arial" w:hAnsi="Arial" w:cs="Arial"/>
          <w:sz w:val="20"/>
          <w:szCs w:val="20"/>
        </w:rPr>
        <w:t xml:space="preserve">important </w:t>
      </w:r>
      <w:r w:rsidR="009B788B" w:rsidRPr="00C13AA1">
        <w:rPr>
          <w:rFonts w:ascii="Arial" w:hAnsi="Arial" w:cs="Arial"/>
          <w:sz w:val="20"/>
          <w:szCs w:val="20"/>
        </w:rPr>
        <w:t xml:space="preserve">insights for optimizing culinary practices to maximize the health-promoting potential of this traditional </w:t>
      </w:r>
      <w:r w:rsidR="006A5D91" w:rsidRPr="00C13AA1">
        <w:rPr>
          <w:rFonts w:ascii="Arial" w:hAnsi="Arial" w:cs="Arial"/>
          <w:sz w:val="20"/>
          <w:szCs w:val="20"/>
        </w:rPr>
        <w:t xml:space="preserve">medicinal </w:t>
      </w:r>
      <w:r w:rsidR="009B788B" w:rsidRPr="00C13AA1">
        <w:rPr>
          <w:rFonts w:ascii="Arial" w:hAnsi="Arial" w:cs="Arial"/>
          <w:sz w:val="20"/>
          <w:szCs w:val="20"/>
        </w:rPr>
        <w:t>herb.</w:t>
      </w:r>
    </w:p>
    <w:p w14:paraId="574766D3" w14:textId="1CC29EBB" w:rsidR="007F2F76" w:rsidRPr="00860227" w:rsidRDefault="007F2F76" w:rsidP="00860227">
      <w:pPr>
        <w:spacing w:line="240" w:lineRule="auto"/>
        <w:rPr>
          <w:rFonts w:ascii="Arial" w:hAnsi="Arial" w:cs="Arial"/>
          <w:i/>
          <w:iCs/>
          <w:sz w:val="20"/>
          <w:szCs w:val="20"/>
        </w:rPr>
      </w:pPr>
      <w:r w:rsidRPr="00860227">
        <w:rPr>
          <w:rFonts w:ascii="Arial" w:hAnsi="Arial" w:cs="Arial"/>
          <w:i/>
          <w:iCs/>
          <w:sz w:val="20"/>
          <w:szCs w:val="20"/>
        </w:rPr>
        <w:t>Keywords</w:t>
      </w:r>
      <w:r w:rsidRPr="00860227">
        <w:rPr>
          <w:rFonts w:ascii="Arial" w:hAnsi="Arial" w:cs="Arial"/>
          <w:b/>
          <w:bCs/>
          <w:i/>
          <w:iCs/>
          <w:sz w:val="20"/>
          <w:szCs w:val="20"/>
        </w:rPr>
        <w:t>:</w:t>
      </w:r>
      <w:r w:rsidRPr="00860227">
        <w:rPr>
          <w:rFonts w:ascii="Arial" w:hAnsi="Arial" w:cs="Arial"/>
          <w:i/>
          <w:iCs/>
          <w:sz w:val="20"/>
          <w:szCs w:val="20"/>
        </w:rPr>
        <w:t xml:space="preserve"> Marjoram, antioxidant, cooking techniques, phytochemical content, TPC, TFC</w:t>
      </w:r>
    </w:p>
    <w:p w14:paraId="21C3C56D" w14:textId="4628D988" w:rsidR="00131B04" w:rsidRPr="00860227" w:rsidRDefault="00860227" w:rsidP="00860227">
      <w:pPr>
        <w:pStyle w:val="a7"/>
        <w:numPr>
          <w:ilvl w:val="0"/>
          <w:numId w:val="7"/>
        </w:numPr>
        <w:spacing w:line="240" w:lineRule="auto"/>
        <w:rPr>
          <w:rFonts w:ascii="Arial" w:hAnsi="Arial" w:cs="Arial"/>
          <w:b/>
          <w:szCs w:val="22"/>
        </w:rPr>
      </w:pPr>
      <w:r w:rsidRPr="00860227">
        <w:rPr>
          <w:rFonts w:ascii="Arial" w:hAnsi="Arial" w:cs="Arial"/>
          <w:b/>
        </w:rPr>
        <w:t xml:space="preserve">INTRODUCTION </w:t>
      </w:r>
    </w:p>
    <w:p w14:paraId="707E4247" w14:textId="3408363E" w:rsidR="009F0BD8" w:rsidRPr="00C13AA1" w:rsidRDefault="009F0BD8" w:rsidP="00C771CE">
      <w:pPr>
        <w:spacing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Marjoram (</w:t>
      </w:r>
      <w:proofErr w:type="spellStart"/>
      <w:r w:rsidRPr="00C13AA1">
        <w:rPr>
          <w:rFonts w:ascii="Arial" w:eastAsia="Times New Roman" w:hAnsi="Arial" w:cs="Arial"/>
          <w:i/>
          <w:iCs/>
          <w:sz w:val="20"/>
          <w:szCs w:val="20"/>
          <w:lang w:eastAsia="en-IN"/>
        </w:rPr>
        <w:t>Origanum</w:t>
      </w:r>
      <w:proofErr w:type="spellEnd"/>
      <w:r w:rsidRPr="00C13AA1">
        <w:rPr>
          <w:rFonts w:ascii="Arial" w:eastAsia="Times New Roman" w:hAnsi="Arial" w:cs="Arial"/>
          <w:i/>
          <w:iCs/>
          <w:sz w:val="20"/>
          <w:szCs w:val="20"/>
          <w:lang w:eastAsia="en-IN"/>
        </w:rPr>
        <w:t xml:space="preserve"> </w:t>
      </w:r>
      <w:proofErr w:type="spellStart"/>
      <w:r w:rsidRPr="00C13AA1">
        <w:rPr>
          <w:rFonts w:ascii="Arial" w:eastAsia="Times New Roman" w:hAnsi="Arial" w:cs="Arial"/>
          <w:i/>
          <w:iCs/>
          <w:sz w:val="20"/>
          <w:szCs w:val="20"/>
          <w:lang w:eastAsia="en-IN"/>
        </w:rPr>
        <w:t>majorana</w:t>
      </w:r>
      <w:proofErr w:type="spellEnd"/>
      <w:r w:rsidRPr="00C13AA1">
        <w:rPr>
          <w:rFonts w:ascii="Arial" w:eastAsia="Times New Roman" w:hAnsi="Arial" w:cs="Arial"/>
          <w:i/>
          <w:iCs/>
          <w:sz w:val="20"/>
          <w:szCs w:val="20"/>
          <w:lang w:eastAsia="en-IN"/>
        </w:rPr>
        <w:t xml:space="preserve"> L.</w:t>
      </w:r>
      <w:r w:rsidRPr="00C13AA1">
        <w:rPr>
          <w:rFonts w:ascii="Arial" w:eastAsia="Times New Roman" w:hAnsi="Arial" w:cs="Arial"/>
          <w:sz w:val="20"/>
          <w:szCs w:val="20"/>
          <w:lang w:eastAsia="en-IN"/>
        </w:rPr>
        <w:t xml:space="preserve">), a perennial herb </w:t>
      </w:r>
      <w:r w:rsidR="00253B15" w:rsidRPr="00C13AA1">
        <w:rPr>
          <w:rFonts w:ascii="Arial" w:eastAsia="Times New Roman" w:hAnsi="Arial" w:cs="Arial"/>
          <w:sz w:val="20"/>
          <w:szCs w:val="20"/>
          <w:lang w:eastAsia="en-IN"/>
        </w:rPr>
        <w:t xml:space="preserve">belonging to the </w:t>
      </w:r>
      <w:r w:rsidRPr="00C13AA1">
        <w:rPr>
          <w:rFonts w:ascii="Arial" w:eastAsia="Times New Roman" w:hAnsi="Arial" w:cs="Arial"/>
          <w:sz w:val="20"/>
          <w:szCs w:val="20"/>
          <w:lang w:eastAsia="en-IN"/>
        </w:rPr>
        <w:t xml:space="preserve">family </w:t>
      </w:r>
      <w:proofErr w:type="spellStart"/>
      <w:r w:rsidRPr="00C13AA1">
        <w:rPr>
          <w:rFonts w:ascii="Arial" w:eastAsia="Times New Roman" w:hAnsi="Arial" w:cs="Arial"/>
          <w:sz w:val="20"/>
          <w:szCs w:val="20"/>
          <w:lang w:eastAsia="en-IN"/>
        </w:rPr>
        <w:t>Lamiaceae</w:t>
      </w:r>
      <w:proofErr w:type="spellEnd"/>
      <w:r w:rsidRPr="00C13AA1">
        <w:rPr>
          <w:rFonts w:ascii="Arial" w:eastAsia="Times New Roman" w:hAnsi="Arial" w:cs="Arial"/>
          <w:sz w:val="20"/>
          <w:szCs w:val="20"/>
          <w:lang w:eastAsia="en-IN"/>
        </w:rPr>
        <w:t xml:space="preserve">, </w:t>
      </w:r>
      <w:r w:rsidR="00253B15" w:rsidRPr="00C13AA1">
        <w:rPr>
          <w:rFonts w:ascii="Arial" w:eastAsia="Times New Roman" w:hAnsi="Arial" w:cs="Arial"/>
          <w:sz w:val="20"/>
          <w:szCs w:val="20"/>
          <w:lang w:eastAsia="en-IN"/>
        </w:rPr>
        <w:t xml:space="preserve">is widely recognized for its diverse </w:t>
      </w:r>
      <w:r w:rsidR="00F05AF9" w:rsidRPr="00C13AA1">
        <w:rPr>
          <w:rFonts w:ascii="Arial" w:hAnsi="Arial" w:cs="Arial"/>
          <w:sz w:val="20"/>
          <w:szCs w:val="20"/>
        </w:rPr>
        <w:t xml:space="preserve">biological activities and </w:t>
      </w:r>
      <w:r w:rsidR="00253B15" w:rsidRPr="00C13AA1">
        <w:rPr>
          <w:rFonts w:ascii="Arial" w:hAnsi="Arial" w:cs="Arial"/>
          <w:sz w:val="20"/>
          <w:szCs w:val="20"/>
        </w:rPr>
        <w:t xml:space="preserve">therapeutic applications. Traditionally, it </w:t>
      </w:r>
      <w:r w:rsidR="00F05AF9" w:rsidRPr="00C13AA1">
        <w:rPr>
          <w:rFonts w:ascii="Arial" w:hAnsi="Arial" w:cs="Arial"/>
          <w:sz w:val="20"/>
          <w:szCs w:val="20"/>
        </w:rPr>
        <w:t xml:space="preserve">has been </w:t>
      </w:r>
      <w:r w:rsidR="00253B15" w:rsidRPr="00C13AA1">
        <w:rPr>
          <w:rFonts w:ascii="Arial" w:hAnsi="Arial" w:cs="Arial"/>
          <w:sz w:val="20"/>
          <w:szCs w:val="20"/>
        </w:rPr>
        <w:t xml:space="preserve">used </w:t>
      </w:r>
      <w:r w:rsidR="00F05AF9" w:rsidRPr="00C13AA1">
        <w:rPr>
          <w:rFonts w:ascii="Arial" w:hAnsi="Arial" w:cs="Arial"/>
          <w:sz w:val="20"/>
          <w:szCs w:val="20"/>
        </w:rPr>
        <w:t>in th</w:t>
      </w:r>
      <w:r w:rsidR="00253B15" w:rsidRPr="00C13AA1">
        <w:rPr>
          <w:rFonts w:ascii="Arial" w:hAnsi="Arial" w:cs="Arial"/>
          <w:sz w:val="20"/>
          <w:szCs w:val="20"/>
        </w:rPr>
        <w:t xml:space="preserve">e treatment of allergies, fever, </w:t>
      </w:r>
      <w:r w:rsidR="00F05AF9" w:rsidRPr="00C13AA1">
        <w:rPr>
          <w:rFonts w:ascii="Arial" w:hAnsi="Arial" w:cs="Arial"/>
          <w:sz w:val="20"/>
          <w:szCs w:val="20"/>
        </w:rPr>
        <w:t xml:space="preserve">hypertension </w:t>
      </w:r>
      <w:r w:rsidR="004A5A1B" w:rsidRPr="00C13AA1">
        <w:rPr>
          <w:rFonts w:ascii="Arial" w:hAnsi="Arial" w:cs="Arial"/>
          <w:sz w:val="20"/>
          <w:szCs w:val="20"/>
        </w:rPr>
        <w:t>(</w:t>
      </w:r>
      <w:r w:rsidR="00F05AF9" w:rsidRPr="00C13AA1">
        <w:rPr>
          <w:rFonts w:ascii="Arial" w:hAnsi="Arial" w:cs="Arial"/>
          <w:sz w:val="20"/>
          <w:szCs w:val="20"/>
        </w:rPr>
        <w:t>Benali et al., 2019</w:t>
      </w:r>
      <w:r w:rsidR="004A5A1B" w:rsidRPr="00C13AA1">
        <w:rPr>
          <w:rFonts w:ascii="Arial" w:hAnsi="Arial" w:cs="Arial"/>
          <w:sz w:val="20"/>
          <w:szCs w:val="20"/>
        </w:rPr>
        <w:t>)</w:t>
      </w:r>
      <w:r w:rsidR="00253B15" w:rsidRPr="00C13AA1">
        <w:rPr>
          <w:rFonts w:ascii="Arial" w:hAnsi="Arial" w:cs="Arial"/>
          <w:sz w:val="20"/>
          <w:szCs w:val="20"/>
        </w:rPr>
        <w:t>, management of rheumatism, headache, insomnia, and intestinal spasms (</w:t>
      </w:r>
      <w:r w:rsidR="00253B15" w:rsidRPr="00C13AA1">
        <w:rPr>
          <w:rFonts w:ascii="Arial" w:eastAsia="Times New Roman" w:hAnsi="Arial" w:cs="Arial"/>
          <w:color w:val="231F20"/>
          <w:sz w:val="20"/>
          <w:szCs w:val="20"/>
          <w:lang w:eastAsia="en-IN"/>
        </w:rPr>
        <w:t>Hachi et al., 2015</w:t>
      </w:r>
      <w:r w:rsidR="00253B15" w:rsidRPr="00C13AA1">
        <w:rPr>
          <w:rFonts w:ascii="Arial" w:hAnsi="Arial" w:cs="Arial"/>
          <w:sz w:val="20"/>
          <w:szCs w:val="20"/>
        </w:rPr>
        <w:t xml:space="preserve">). It is also employed in the treatment of </w:t>
      </w:r>
      <w:r w:rsidR="00F05AF9" w:rsidRPr="00C13AA1">
        <w:rPr>
          <w:rFonts w:ascii="Arial" w:hAnsi="Arial" w:cs="Arial"/>
          <w:sz w:val="20"/>
          <w:szCs w:val="20"/>
        </w:rPr>
        <w:t xml:space="preserve">respiratory infections </w:t>
      </w:r>
      <w:r w:rsidR="004A5A1B" w:rsidRPr="00C13AA1">
        <w:rPr>
          <w:rFonts w:ascii="Arial" w:hAnsi="Arial" w:cs="Arial"/>
          <w:sz w:val="20"/>
          <w:szCs w:val="20"/>
        </w:rPr>
        <w:t>(</w:t>
      </w:r>
      <w:proofErr w:type="spellStart"/>
      <w:r w:rsidR="00F05AF9" w:rsidRPr="00C13AA1">
        <w:rPr>
          <w:rFonts w:ascii="Arial" w:hAnsi="Arial" w:cs="Arial"/>
          <w:color w:val="231F20"/>
          <w:sz w:val="20"/>
          <w:szCs w:val="20"/>
          <w:shd w:val="clear" w:color="auto" w:fill="FFFFFF"/>
        </w:rPr>
        <w:t>Ennacerie</w:t>
      </w:r>
      <w:proofErr w:type="spellEnd"/>
      <w:r w:rsidR="00F05AF9" w:rsidRPr="00C13AA1">
        <w:rPr>
          <w:rFonts w:ascii="Arial" w:hAnsi="Arial" w:cs="Arial"/>
          <w:color w:val="231F20"/>
          <w:sz w:val="20"/>
          <w:szCs w:val="20"/>
          <w:shd w:val="clear" w:color="auto" w:fill="FFFFFF"/>
        </w:rPr>
        <w:t xml:space="preserve"> et al., 2017</w:t>
      </w:r>
      <w:r w:rsidR="004A5A1B" w:rsidRPr="00C13AA1">
        <w:rPr>
          <w:rFonts w:ascii="Arial" w:hAnsi="Arial" w:cs="Arial"/>
          <w:color w:val="231F20"/>
          <w:sz w:val="20"/>
          <w:szCs w:val="20"/>
          <w:shd w:val="clear" w:color="auto" w:fill="FFFFFF"/>
        </w:rPr>
        <w:t>)</w:t>
      </w:r>
      <w:r w:rsidR="00F05AF9" w:rsidRPr="00C13AA1">
        <w:rPr>
          <w:rFonts w:ascii="Arial" w:hAnsi="Arial" w:cs="Arial"/>
          <w:sz w:val="20"/>
          <w:szCs w:val="20"/>
        </w:rPr>
        <w:t xml:space="preserve">, diabetes mellitus </w:t>
      </w:r>
      <w:r w:rsidR="00A109B1" w:rsidRPr="00C13AA1">
        <w:rPr>
          <w:rFonts w:ascii="Arial" w:eastAsia="Times New Roman" w:hAnsi="Arial" w:cs="Arial"/>
          <w:sz w:val="20"/>
          <w:szCs w:val="20"/>
          <w:lang w:eastAsia="en-IN"/>
        </w:rPr>
        <w:t>(Pereira et al., 2019)</w:t>
      </w:r>
      <w:r w:rsidR="00F05AF9" w:rsidRPr="00C13AA1">
        <w:rPr>
          <w:rFonts w:ascii="Arial" w:hAnsi="Arial" w:cs="Arial"/>
          <w:sz w:val="20"/>
          <w:szCs w:val="20"/>
        </w:rPr>
        <w:t xml:space="preserve">, menstrual pain, </w:t>
      </w:r>
      <w:r w:rsidR="005320A0" w:rsidRPr="00C13AA1">
        <w:rPr>
          <w:rFonts w:ascii="Arial" w:hAnsi="Arial" w:cs="Arial"/>
          <w:sz w:val="20"/>
          <w:szCs w:val="20"/>
        </w:rPr>
        <w:t>stomach discomfort</w:t>
      </w:r>
      <w:r w:rsidR="00F05AF9" w:rsidRPr="00C13AA1">
        <w:rPr>
          <w:rFonts w:ascii="Arial" w:hAnsi="Arial" w:cs="Arial"/>
          <w:sz w:val="20"/>
          <w:szCs w:val="20"/>
        </w:rPr>
        <w:t xml:space="preserve"> and cough </w:t>
      </w:r>
      <w:r w:rsidR="003352D9" w:rsidRPr="00C13AA1">
        <w:rPr>
          <w:rFonts w:ascii="Arial" w:hAnsi="Arial" w:cs="Arial"/>
          <w:sz w:val="20"/>
          <w:szCs w:val="20"/>
        </w:rPr>
        <w:t>(</w:t>
      </w:r>
      <w:proofErr w:type="spellStart"/>
      <w:r w:rsidR="00F05AF9" w:rsidRPr="00C13AA1">
        <w:rPr>
          <w:rFonts w:ascii="Arial" w:eastAsia="Times New Roman" w:hAnsi="Arial" w:cs="Arial"/>
          <w:color w:val="231F20"/>
          <w:sz w:val="20"/>
          <w:szCs w:val="20"/>
          <w:lang w:eastAsia="en-IN"/>
        </w:rPr>
        <w:t>Bouayyadi</w:t>
      </w:r>
      <w:proofErr w:type="spellEnd"/>
      <w:r w:rsidR="00F05AF9" w:rsidRPr="00C13AA1">
        <w:rPr>
          <w:rFonts w:ascii="Arial" w:eastAsia="Times New Roman" w:hAnsi="Arial" w:cs="Arial"/>
          <w:color w:val="231F20"/>
          <w:sz w:val="20"/>
          <w:szCs w:val="20"/>
          <w:lang w:eastAsia="en-IN"/>
        </w:rPr>
        <w:t xml:space="preserve"> et al., 2015</w:t>
      </w:r>
      <w:r w:rsidR="003352D9" w:rsidRPr="00C13AA1">
        <w:rPr>
          <w:rFonts w:ascii="Arial" w:hAnsi="Arial" w:cs="Arial"/>
          <w:sz w:val="20"/>
          <w:szCs w:val="20"/>
        </w:rPr>
        <w:t>)</w:t>
      </w:r>
      <w:r w:rsidR="00253B15" w:rsidRPr="00C13AA1">
        <w:rPr>
          <w:rFonts w:ascii="Arial" w:hAnsi="Arial" w:cs="Arial"/>
          <w:sz w:val="20"/>
          <w:szCs w:val="20"/>
        </w:rPr>
        <w:t xml:space="preserve">. The </w:t>
      </w:r>
      <w:r w:rsidR="00F05AF9" w:rsidRPr="00C13AA1">
        <w:rPr>
          <w:rFonts w:ascii="Arial" w:hAnsi="Arial" w:cs="Arial"/>
          <w:sz w:val="20"/>
          <w:szCs w:val="20"/>
        </w:rPr>
        <w:t xml:space="preserve">broad </w:t>
      </w:r>
      <w:r w:rsidR="005320A0" w:rsidRPr="00C13AA1">
        <w:rPr>
          <w:rFonts w:ascii="Arial" w:hAnsi="Arial" w:cs="Arial"/>
          <w:sz w:val="20"/>
          <w:szCs w:val="20"/>
        </w:rPr>
        <w:t xml:space="preserve">pharmacological </w:t>
      </w:r>
      <w:r w:rsidR="00253B15" w:rsidRPr="00C13AA1">
        <w:rPr>
          <w:rFonts w:ascii="Arial" w:hAnsi="Arial" w:cs="Arial"/>
          <w:sz w:val="20"/>
          <w:szCs w:val="20"/>
        </w:rPr>
        <w:t xml:space="preserve">potential of </w:t>
      </w:r>
      <w:r w:rsidR="00253B15" w:rsidRPr="00C13AA1">
        <w:rPr>
          <w:rStyle w:val="a5"/>
          <w:rFonts w:ascii="Arial" w:hAnsi="Arial" w:cs="Arial"/>
          <w:sz w:val="20"/>
          <w:szCs w:val="20"/>
        </w:rPr>
        <w:t xml:space="preserve">O. </w:t>
      </w:r>
      <w:proofErr w:type="spellStart"/>
      <w:r w:rsidR="00253B15" w:rsidRPr="00C13AA1">
        <w:rPr>
          <w:rStyle w:val="a5"/>
          <w:rFonts w:ascii="Arial" w:hAnsi="Arial" w:cs="Arial"/>
          <w:sz w:val="20"/>
          <w:szCs w:val="20"/>
        </w:rPr>
        <w:t>majorana</w:t>
      </w:r>
      <w:proofErr w:type="spellEnd"/>
      <w:r w:rsidR="00253B15" w:rsidRPr="00C13AA1">
        <w:rPr>
          <w:rFonts w:ascii="Arial" w:hAnsi="Arial" w:cs="Arial"/>
          <w:sz w:val="20"/>
          <w:szCs w:val="20"/>
        </w:rPr>
        <w:t xml:space="preserve"> has been attributed to its rich phytochemical composition</w:t>
      </w:r>
      <w:r w:rsidR="00F05AF9" w:rsidRPr="00C13AA1">
        <w:rPr>
          <w:rFonts w:ascii="Arial" w:hAnsi="Arial" w:cs="Arial"/>
          <w:sz w:val="20"/>
          <w:szCs w:val="20"/>
        </w:rPr>
        <w:t>. The</w:t>
      </w:r>
      <w:r w:rsidR="00F37B38" w:rsidRPr="00C13AA1">
        <w:rPr>
          <w:rFonts w:ascii="Arial" w:hAnsi="Arial" w:cs="Arial"/>
          <w:sz w:val="20"/>
          <w:szCs w:val="20"/>
        </w:rPr>
        <w:t xml:space="preserve"> herb contains </w:t>
      </w:r>
      <w:r w:rsidR="00F05AF9" w:rsidRPr="00C13AA1">
        <w:rPr>
          <w:rFonts w:ascii="Arial" w:hAnsi="Arial" w:cs="Arial"/>
          <w:sz w:val="20"/>
          <w:szCs w:val="20"/>
        </w:rPr>
        <w:t xml:space="preserve">essential monoterpenes such as thymol, carvacrol, cis-sabinene hydrate, limonene, γ-terpinene, and camphene, </w:t>
      </w:r>
      <w:r w:rsidR="00F37B38" w:rsidRPr="00C13AA1">
        <w:rPr>
          <w:rFonts w:ascii="Arial" w:hAnsi="Arial" w:cs="Arial"/>
          <w:sz w:val="20"/>
          <w:szCs w:val="20"/>
        </w:rPr>
        <w:t xml:space="preserve">in addition to </w:t>
      </w:r>
      <w:r w:rsidR="00F05AF9" w:rsidRPr="00C13AA1">
        <w:rPr>
          <w:rFonts w:ascii="Arial" w:hAnsi="Arial" w:cs="Arial"/>
          <w:sz w:val="20"/>
          <w:szCs w:val="20"/>
        </w:rPr>
        <w:t>ta</w:t>
      </w:r>
      <w:r w:rsidR="00F37B38" w:rsidRPr="00C13AA1">
        <w:rPr>
          <w:rFonts w:ascii="Arial" w:hAnsi="Arial" w:cs="Arial"/>
          <w:sz w:val="20"/>
          <w:szCs w:val="20"/>
        </w:rPr>
        <w:t>nnins, hydroquinone, sitosterol</w:t>
      </w:r>
      <w:r w:rsidR="00F05AF9" w:rsidRPr="00C13AA1">
        <w:rPr>
          <w:rFonts w:ascii="Arial" w:hAnsi="Arial" w:cs="Arial"/>
          <w:sz w:val="20"/>
          <w:szCs w:val="20"/>
        </w:rPr>
        <w:t xml:space="preserve"> and </w:t>
      </w:r>
      <w:r w:rsidR="00F37B38" w:rsidRPr="00C13AA1">
        <w:rPr>
          <w:rFonts w:ascii="Arial" w:hAnsi="Arial" w:cs="Arial"/>
          <w:sz w:val="20"/>
          <w:szCs w:val="20"/>
        </w:rPr>
        <w:t xml:space="preserve">various </w:t>
      </w:r>
      <w:r w:rsidR="00F05AF9" w:rsidRPr="00C13AA1">
        <w:rPr>
          <w:rFonts w:ascii="Arial" w:hAnsi="Arial" w:cs="Arial"/>
          <w:sz w:val="20"/>
          <w:szCs w:val="20"/>
        </w:rPr>
        <w:t xml:space="preserve">flavonoids including diosmetin, quercetin, luteolin, and apigenin </w:t>
      </w:r>
      <w:r w:rsidR="004A5A1B" w:rsidRPr="00C13AA1">
        <w:rPr>
          <w:rFonts w:ascii="Arial" w:hAnsi="Arial" w:cs="Arial"/>
          <w:sz w:val="20"/>
          <w:szCs w:val="20"/>
        </w:rPr>
        <w:t>(</w:t>
      </w:r>
      <w:r w:rsidR="00F05AF9" w:rsidRPr="00C13AA1">
        <w:rPr>
          <w:rFonts w:ascii="Arial" w:eastAsia="Times New Roman" w:hAnsi="Arial" w:cs="Arial"/>
          <w:color w:val="231F20"/>
          <w:sz w:val="20"/>
          <w:szCs w:val="20"/>
          <w:lang w:eastAsia="en-IN"/>
        </w:rPr>
        <w:t>Guerra-Boone et al., 2015</w:t>
      </w:r>
      <w:r w:rsidR="004A5A1B" w:rsidRPr="00C13AA1">
        <w:rPr>
          <w:rFonts w:ascii="Arial" w:hAnsi="Arial" w:cs="Arial"/>
          <w:sz w:val="20"/>
          <w:szCs w:val="20"/>
        </w:rPr>
        <w:t>)</w:t>
      </w:r>
      <w:r w:rsidR="00F05AF9" w:rsidRPr="00C13AA1">
        <w:rPr>
          <w:rFonts w:ascii="Arial" w:hAnsi="Arial" w:cs="Arial"/>
          <w:sz w:val="20"/>
          <w:szCs w:val="20"/>
        </w:rPr>
        <w:t>.</w:t>
      </w:r>
      <w:r w:rsidR="00F37B38" w:rsidRPr="00C13AA1">
        <w:rPr>
          <w:rFonts w:ascii="Arial" w:hAnsi="Arial" w:cs="Arial"/>
          <w:sz w:val="20"/>
          <w:szCs w:val="20"/>
        </w:rPr>
        <w:t xml:space="preserve"> These bioactive constituents contribute to its reported antioxidant, antibacterial, antifungal, nephroprotective, antiproliferative, and anticancer activities</w:t>
      </w:r>
      <w:r w:rsidR="00340962" w:rsidRPr="00C13AA1">
        <w:rPr>
          <w:rFonts w:ascii="Arial" w:hAnsi="Arial" w:cs="Arial"/>
          <w:sz w:val="20"/>
          <w:szCs w:val="20"/>
        </w:rPr>
        <w:t xml:space="preserve"> (</w:t>
      </w:r>
      <w:proofErr w:type="spellStart"/>
      <w:r w:rsidR="00340962" w:rsidRPr="00C13AA1">
        <w:rPr>
          <w:rFonts w:ascii="Arial" w:eastAsia="Times New Roman" w:hAnsi="Arial" w:cs="Arial"/>
          <w:color w:val="231F20"/>
          <w:sz w:val="20"/>
          <w:szCs w:val="20"/>
          <w:lang w:eastAsia="en-IN"/>
        </w:rPr>
        <w:t>Hajlaoui</w:t>
      </w:r>
      <w:proofErr w:type="spellEnd"/>
      <w:r w:rsidR="00340962" w:rsidRPr="00C13AA1">
        <w:rPr>
          <w:rFonts w:ascii="Arial" w:hAnsi="Arial" w:cs="Arial"/>
          <w:sz w:val="20"/>
          <w:szCs w:val="20"/>
        </w:rPr>
        <w:t xml:space="preserve"> et al. 2016, Amor et al., 2019)</w:t>
      </w:r>
      <w:r w:rsidR="00F37B38" w:rsidRPr="00C13AA1">
        <w:rPr>
          <w:rFonts w:ascii="Arial" w:hAnsi="Arial" w:cs="Arial"/>
          <w:sz w:val="20"/>
          <w:szCs w:val="20"/>
        </w:rPr>
        <w:t>.</w:t>
      </w:r>
    </w:p>
    <w:p w14:paraId="36C17E9A" w14:textId="5A9E65B1" w:rsidR="009F0BD8" w:rsidRPr="00C13AA1" w:rsidRDefault="009F0BD8" w:rsidP="00C771CE">
      <w:pPr>
        <w:spacing w:before="100" w:beforeAutospacing="1" w:after="100" w:afterAutospacing="1"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 xml:space="preserve">Thermal processing, </w:t>
      </w:r>
      <w:r w:rsidR="00340962" w:rsidRPr="00C13AA1">
        <w:rPr>
          <w:rFonts w:ascii="Arial" w:eastAsia="Times New Roman" w:hAnsi="Arial" w:cs="Arial"/>
          <w:sz w:val="20"/>
          <w:szCs w:val="20"/>
          <w:lang w:eastAsia="en-IN"/>
        </w:rPr>
        <w:t xml:space="preserve">although </w:t>
      </w:r>
      <w:r w:rsidRPr="00C13AA1">
        <w:rPr>
          <w:rFonts w:ascii="Arial" w:eastAsia="Times New Roman" w:hAnsi="Arial" w:cs="Arial"/>
          <w:sz w:val="20"/>
          <w:szCs w:val="20"/>
          <w:lang w:eastAsia="en-IN"/>
        </w:rPr>
        <w:t xml:space="preserve">indispensable in food preparation, has been shown to </w:t>
      </w:r>
      <w:r w:rsidR="00340962" w:rsidRPr="00C13AA1">
        <w:rPr>
          <w:rFonts w:ascii="Arial" w:eastAsia="Times New Roman" w:hAnsi="Arial" w:cs="Arial"/>
          <w:sz w:val="20"/>
          <w:szCs w:val="20"/>
          <w:lang w:eastAsia="en-IN"/>
        </w:rPr>
        <w:t xml:space="preserve">markedly </w:t>
      </w:r>
      <w:r w:rsidRPr="00C13AA1">
        <w:rPr>
          <w:rFonts w:ascii="Arial" w:eastAsia="Times New Roman" w:hAnsi="Arial" w:cs="Arial"/>
          <w:sz w:val="20"/>
          <w:szCs w:val="20"/>
          <w:lang w:eastAsia="en-IN"/>
        </w:rPr>
        <w:t xml:space="preserve">influence </w:t>
      </w:r>
      <w:r w:rsidR="00340962" w:rsidRPr="00C13AA1">
        <w:rPr>
          <w:rFonts w:ascii="Arial" w:eastAsia="Times New Roman" w:hAnsi="Arial" w:cs="Arial"/>
          <w:sz w:val="20"/>
          <w:szCs w:val="20"/>
          <w:lang w:eastAsia="en-IN"/>
        </w:rPr>
        <w:t>t</w:t>
      </w:r>
      <w:r w:rsidRPr="00C13AA1">
        <w:rPr>
          <w:rFonts w:ascii="Arial" w:eastAsia="Times New Roman" w:hAnsi="Arial" w:cs="Arial"/>
          <w:sz w:val="20"/>
          <w:szCs w:val="20"/>
          <w:lang w:eastAsia="en-IN"/>
        </w:rPr>
        <w:t xml:space="preserve">he chemical integrity and biological activity of plant-derived compounds. Cooking </w:t>
      </w:r>
      <w:r w:rsidR="00340962" w:rsidRPr="00C13AA1">
        <w:rPr>
          <w:rFonts w:ascii="Arial" w:eastAsia="Times New Roman" w:hAnsi="Arial" w:cs="Arial"/>
          <w:sz w:val="20"/>
          <w:szCs w:val="20"/>
          <w:lang w:eastAsia="en-IN"/>
        </w:rPr>
        <w:t>techniques</w:t>
      </w:r>
      <w:r w:rsidRPr="00C13AA1">
        <w:rPr>
          <w:rFonts w:ascii="Arial" w:eastAsia="Times New Roman" w:hAnsi="Arial" w:cs="Arial"/>
          <w:sz w:val="20"/>
          <w:szCs w:val="20"/>
          <w:lang w:eastAsia="en-IN"/>
        </w:rPr>
        <w:t xml:space="preserve"> such as</w:t>
      </w:r>
      <w:r w:rsidR="005320A0" w:rsidRPr="00C13AA1">
        <w:rPr>
          <w:rFonts w:ascii="Arial" w:eastAsia="Times New Roman" w:hAnsi="Arial" w:cs="Arial"/>
          <w:sz w:val="20"/>
          <w:szCs w:val="20"/>
          <w:lang w:eastAsia="en-IN"/>
        </w:rPr>
        <w:t xml:space="preserve"> boiling, steaming, microwaving</w:t>
      </w:r>
      <w:r w:rsidR="00340962" w:rsidRPr="00C13AA1">
        <w:rPr>
          <w:rFonts w:ascii="Arial" w:eastAsia="Times New Roman" w:hAnsi="Arial" w:cs="Arial"/>
          <w:sz w:val="20"/>
          <w:szCs w:val="20"/>
          <w:lang w:eastAsia="en-IN"/>
        </w:rPr>
        <w:t xml:space="preserve"> and sautéing may</w:t>
      </w:r>
      <w:r w:rsidRPr="00C13AA1">
        <w:rPr>
          <w:rFonts w:ascii="Arial" w:eastAsia="Times New Roman" w:hAnsi="Arial" w:cs="Arial"/>
          <w:sz w:val="20"/>
          <w:szCs w:val="20"/>
          <w:lang w:eastAsia="en-IN"/>
        </w:rPr>
        <w:t xml:space="preserve"> induce </w:t>
      </w:r>
      <w:r w:rsidR="00340962" w:rsidRPr="00C13AA1">
        <w:rPr>
          <w:rFonts w:ascii="Arial" w:eastAsia="Times New Roman" w:hAnsi="Arial" w:cs="Arial"/>
          <w:sz w:val="20"/>
          <w:szCs w:val="20"/>
          <w:lang w:eastAsia="en-IN"/>
        </w:rPr>
        <w:t xml:space="preserve">structural transformations </w:t>
      </w:r>
      <w:r w:rsidRPr="00C13AA1">
        <w:rPr>
          <w:rFonts w:ascii="Arial" w:eastAsia="Times New Roman" w:hAnsi="Arial" w:cs="Arial"/>
          <w:sz w:val="20"/>
          <w:szCs w:val="20"/>
          <w:lang w:eastAsia="en-IN"/>
        </w:rPr>
        <w:t xml:space="preserve">in </w:t>
      </w:r>
      <w:r w:rsidR="004A5A1B" w:rsidRPr="00C13AA1">
        <w:rPr>
          <w:rFonts w:ascii="Arial" w:eastAsia="Times New Roman" w:hAnsi="Arial" w:cs="Arial"/>
          <w:sz w:val="20"/>
          <w:szCs w:val="20"/>
          <w:lang w:eastAsia="en-IN"/>
        </w:rPr>
        <w:t xml:space="preserve">antioxidants and </w:t>
      </w:r>
      <w:r w:rsidR="00340962" w:rsidRPr="00C13AA1">
        <w:rPr>
          <w:rFonts w:ascii="Arial" w:eastAsia="Times New Roman" w:hAnsi="Arial" w:cs="Arial"/>
          <w:sz w:val="20"/>
          <w:szCs w:val="20"/>
          <w:lang w:eastAsia="en-IN"/>
        </w:rPr>
        <w:t xml:space="preserve">other </w:t>
      </w:r>
      <w:r w:rsidRPr="00C13AA1">
        <w:rPr>
          <w:rFonts w:ascii="Arial" w:eastAsia="Times New Roman" w:hAnsi="Arial" w:cs="Arial"/>
          <w:sz w:val="20"/>
          <w:szCs w:val="20"/>
          <w:lang w:eastAsia="en-IN"/>
        </w:rPr>
        <w:t>phytochemicals through d</w:t>
      </w:r>
      <w:r w:rsidR="005320A0" w:rsidRPr="00C13AA1">
        <w:rPr>
          <w:rFonts w:ascii="Arial" w:eastAsia="Times New Roman" w:hAnsi="Arial" w:cs="Arial"/>
          <w:sz w:val="20"/>
          <w:szCs w:val="20"/>
          <w:lang w:eastAsia="en-IN"/>
        </w:rPr>
        <w:t xml:space="preserve">egradation, leaching, </w:t>
      </w:r>
      <w:r w:rsidR="00340962" w:rsidRPr="00C13AA1">
        <w:rPr>
          <w:rFonts w:ascii="Arial" w:eastAsia="Times New Roman" w:hAnsi="Arial" w:cs="Arial"/>
          <w:sz w:val="20"/>
          <w:szCs w:val="20"/>
          <w:lang w:eastAsia="en-IN"/>
        </w:rPr>
        <w:t xml:space="preserve">or </w:t>
      </w:r>
      <w:r w:rsidR="005320A0" w:rsidRPr="00C13AA1">
        <w:rPr>
          <w:rFonts w:ascii="Arial" w:eastAsia="Times New Roman" w:hAnsi="Arial" w:cs="Arial"/>
          <w:sz w:val="20"/>
          <w:szCs w:val="20"/>
          <w:lang w:eastAsia="en-IN"/>
        </w:rPr>
        <w:t>oxidation</w:t>
      </w:r>
      <w:r w:rsidR="00A43545" w:rsidRPr="00C13AA1">
        <w:rPr>
          <w:rFonts w:ascii="Arial" w:eastAsia="Times New Roman" w:hAnsi="Arial" w:cs="Arial"/>
          <w:sz w:val="20"/>
          <w:szCs w:val="20"/>
          <w:lang w:eastAsia="en-IN"/>
        </w:rPr>
        <w:t xml:space="preserve"> </w:t>
      </w:r>
      <w:r w:rsidR="00D61BCC" w:rsidRPr="00C13AA1">
        <w:rPr>
          <w:rFonts w:ascii="Arial" w:eastAsia="Times New Roman" w:hAnsi="Arial" w:cs="Arial"/>
          <w:sz w:val="20"/>
          <w:szCs w:val="20"/>
          <w:lang w:eastAsia="en-IN"/>
        </w:rPr>
        <w:t xml:space="preserve">(Lee et al., 2018). </w:t>
      </w:r>
      <w:r w:rsidRPr="00C13AA1">
        <w:rPr>
          <w:rFonts w:ascii="Arial" w:eastAsia="Times New Roman" w:hAnsi="Arial" w:cs="Arial"/>
          <w:sz w:val="20"/>
          <w:szCs w:val="20"/>
          <w:lang w:eastAsia="en-IN"/>
        </w:rPr>
        <w:t xml:space="preserve">In </w:t>
      </w:r>
      <w:r w:rsidR="00340962" w:rsidRPr="00C13AA1">
        <w:rPr>
          <w:rFonts w:ascii="Arial" w:eastAsia="Times New Roman" w:hAnsi="Arial" w:cs="Arial"/>
          <w:sz w:val="20"/>
          <w:szCs w:val="20"/>
          <w:lang w:eastAsia="en-IN"/>
        </w:rPr>
        <w:t xml:space="preserve">certain instances, thermal processing may lead to loss of </w:t>
      </w:r>
      <w:r w:rsidRPr="00C13AA1">
        <w:rPr>
          <w:rFonts w:ascii="Arial" w:eastAsia="Times New Roman" w:hAnsi="Arial" w:cs="Arial"/>
          <w:sz w:val="20"/>
          <w:szCs w:val="20"/>
          <w:lang w:eastAsia="en-IN"/>
        </w:rPr>
        <w:t xml:space="preserve">heat-sensitive </w:t>
      </w:r>
      <w:r w:rsidRPr="00C13AA1">
        <w:rPr>
          <w:rFonts w:ascii="Arial" w:eastAsia="Times New Roman" w:hAnsi="Arial" w:cs="Arial"/>
          <w:sz w:val="20"/>
          <w:szCs w:val="20"/>
          <w:lang w:eastAsia="en-IN"/>
        </w:rPr>
        <w:lastRenderedPageBreak/>
        <w:t xml:space="preserve">antioxidants, </w:t>
      </w:r>
      <w:r w:rsidR="00340962" w:rsidRPr="00C13AA1">
        <w:rPr>
          <w:rFonts w:ascii="Arial" w:eastAsia="Times New Roman" w:hAnsi="Arial" w:cs="Arial"/>
          <w:sz w:val="20"/>
          <w:szCs w:val="20"/>
          <w:lang w:eastAsia="en-IN"/>
        </w:rPr>
        <w:t xml:space="preserve">however it </w:t>
      </w:r>
      <w:r w:rsidRPr="00C13AA1">
        <w:rPr>
          <w:rFonts w:ascii="Arial" w:eastAsia="Times New Roman" w:hAnsi="Arial" w:cs="Arial"/>
          <w:sz w:val="20"/>
          <w:szCs w:val="20"/>
          <w:lang w:eastAsia="en-IN"/>
        </w:rPr>
        <w:t xml:space="preserve">may </w:t>
      </w:r>
      <w:r w:rsidR="00340962" w:rsidRPr="00C13AA1">
        <w:rPr>
          <w:rFonts w:ascii="Arial" w:eastAsia="Times New Roman" w:hAnsi="Arial" w:cs="Arial"/>
          <w:sz w:val="20"/>
          <w:szCs w:val="20"/>
          <w:lang w:eastAsia="en-IN"/>
        </w:rPr>
        <w:t xml:space="preserve">also </w:t>
      </w:r>
      <w:r w:rsidRPr="00C13AA1">
        <w:rPr>
          <w:rFonts w:ascii="Arial" w:eastAsia="Times New Roman" w:hAnsi="Arial" w:cs="Arial"/>
          <w:sz w:val="20"/>
          <w:szCs w:val="20"/>
          <w:lang w:eastAsia="en-IN"/>
        </w:rPr>
        <w:t xml:space="preserve">enhance the release and bioavailability of bound </w:t>
      </w:r>
      <w:r w:rsidR="00340962" w:rsidRPr="00C13AA1">
        <w:rPr>
          <w:rFonts w:ascii="Arial" w:eastAsia="Times New Roman" w:hAnsi="Arial" w:cs="Arial"/>
          <w:sz w:val="20"/>
          <w:szCs w:val="20"/>
          <w:lang w:eastAsia="en-IN"/>
        </w:rPr>
        <w:t>phytochemicals</w:t>
      </w:r>
      <w:r w:rsidRPr="00C13AA1">
        <w:rPr>
          <w:rFonts w:ascii="Arial" w:eastAsia="Times New Roman" w:hAnsi="Arial" w:cs="Arial"/>
          <w:sz w:val="20"/>
          <w:szCs w:val="20"/>
          <w:lang w:eastAsia="en-IN"/>
        </w:rPr>
        <w:t xml:space="preserve">, thereby </w:t>
      </w:r>
      <w:r w:rsidR="00340962" w:rsidRPr="00C13AA1">
        <w:rPr>
          <w:rFonts w:ascii="Arial" w:eastAsia="Times New Roman" w:hAnsi="Arial" w:cs="Arial"/>
          <w:sz w:val="20"/>
          <w:szCs w:val="20"/>
          <w:lang w:eastAsia="en-IN"/>
        </w:rPr>
        <w:t xml:space="preserve">modifying </w:t>
      </w:r>
      <w:r w:rsidRPr="00C13AA1">
        <w:rPr>
          <w:rFonts w:ascii="Arial" w:eastAsia="Times New Roman" w:hAnsi="Arial" w:cs="Arial"/>
          <w:sz w:val="20"/>
          <w:szCs w:val="20"/>
          <w:lang w:eastAsia="en-IN"/>
        </w:rPr>
        <w:t>the overall phytochemical profile and antioxidant potential of the food matrix (</w:t>
      </w:r>
      <w:r w:rsidR="00D61BCC" w:rsidRPr="00C13AA1">
        <w:rPr>
          <w:rFonts w:ascii="Arial" w:eastAsia="Times New Roman" w:hAnsi="Arial" w:cs="Arial"/>
          <w:sz w:val="20"/>
          <w:szCs w:val="20"/>
          <w:lang w:eastAsia="en-IN"/>
        </w:rPr>
        <w:t>Rana et al., 2021</w:t>
      </w:r>
      <w:r w:rsidRPr="00C13AA1">
        <w:rPr>
          <w:rFonts w:ascii="Arial" w:eastAsia="Times New Roman" w:hAnsi="Arial" w:cs="Arial"/>
          <w:sz w:val="20"/>
          <w:szCs w:val="20"/>
          <w:lang w:eastAsia="en-IN"/>
        </w:rPr>
        <w:t>).</w:t>
      </w:r>
    </w:p>
    <w:p w14:paraId="40B3F49F" w14:textId="09B01E55" w:rsidR="009F0BD8" w:rsidRPr="00C13AA1" w:rsidRDefault="00340962" w:rsidP="00C771CE">
      <w:pPr>
        <w:spacing w:before="100" w:beforeAutospacing="1" w:after="100" w:afterAutospacing="1"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Despite the extensive</w:t>
      </w:r>
      <w:r w:rsidR="009F0BD8" w:rsidRPr="00C13AA1">
        <w:rPr>
          <w:rFonts w:ascii="Arial" w:eastAsia="Times New Roman" w:hAnsi="Arial" w:cs="Arial"/>
          <w:sz w:val="20"/>
          <w:szCs w:val="20"/>
          <w:lang w:eastAsia="en-IN"/>
        </w:rPr>
        <w:t xml:space="preserve"> </w:t>
      </w:r>
      <w:r w:rsidRPr="00C13AA1">
        <w:rPr>
          <w:rFonts w:ascii="Arial" w:eastAsia="Times New Roman" w:hAnsi="Arial" w:cs="Arial"/>
          <w:sz w:val="20"/>
          <w:szCs w:val="20"/>
          <w:lang w:eastAsia="en-IN"/>
        </w:rPr>
        <w:t>documentation of the nutritional and medicinal value of vegetables, herbs and spices</w:t>
      </w:r>
      <w:r w:rsidR="002C5B3F" w:rsidRPr="00C13AA1">
        <w:rPr>
          <w:rFonts w:ascii="Arial" w:eastAsia="Times New Roman" w:hAnsi="Arial" w:cs="Arial"/>
          <w:sz w:val="20"/>
          <w:szCs w:val="20"/>
          <w:lang w:eastAsia="en-IN"/>
        </w:rPr>
        <w:t xml:space="preserve">, </w:t>
      </w:r>
      <w:r w:rsidR="009F0BD8" w:rsidRPr="00C13AA1">
        <w:rPr>
          <w:rFonts w:ascii="Arial" w:eastAsia="Times New Roman" w:hAnsi="Arial" w:cs="Arial"/>
          <w:sz w:val="20"/>
          <w:szCs w:val="20"/>
          <w:lang w:eastAsia="en-IN"/>
        </w:rPr>
        <w:t xml:space="preserve">specific studies </w:t>
      </w:r>
      <w:r w:rsidR="002C5B3F" w:rsidRPr="00C13AA1">
        <w:rPr>
          <w:rFonts w:ascii="Arial" w:eastAsia="Times New Roman" w:hAnsi="Arial" w:cs="Arial"/>
          <w:sz w:val="20"/>
          <w:szCs w:val="20"/>
          <w:lang w:eastAsia="en-IN"/>
        </w:rPr>
        <w:t xml:space="preserve">examining the impact of domestic cooking techniques </w:t>
      </w:r>
      <w:r w:rsidR="009F0BD8" w:rsidRPr="00C13AA1">
        <w:rPr>
          <w:rFonts w:ascii="Arial" w:eastAsia="Times New Roman" w:hAnsi="Arial" w:cs="Arial"/>
          <w:sz w:val="20"/>
          <w:szCs w:val="20"/>
          <w:lang w:eastAsia="en-IN"/>
        </w:rPr>
        <w:t xml:space="preserve">on </w:t>
      </w:r>
      <w:r w:rsidR="002C5B3F" w:rsidRPr="00C13AA1">
        <w:rPr>
          <w:rFonts w:ascii="Arial" w:eastAsia="Times New Roman" w:hAnsi="Arial" w:cs="Arial"/>
          <w:sz w:val="20"/>
          <w:szCs w:val="20"/>
          <w:lang w:eastAsia="en-IN"/>
        </w:rPr>
        <w:t xml:space="preserve">the antioxidant capacity and phytochemical composition of </w:t>
      </w:r>
      <w:r w:rsidR="009F0BD8" w:rsidRPr="00C13AA1">
        <w:rPr>
          <w:rFonts w:ascii="Arial" w:eastAsia="Times New Roman" w:hAnsi="Arial" w:cs="Arial"/>
          <w:sz w:val="20"/>
          <w:szCs w:val="20"/>
          <w:lang w:eastAsia="en-IN"/>
        </w:rPr>
        <w:t xml:space="preserve">marjoram </w:t>
      </w:r>
      <w:r w:rsidR="002C5B3F" w:rsidRPr="00C13AA1">
        <w:rPr>
          <w:rFonts w:ascii="Arial" w:eastAsia="Times New Roman" w:hAnsi="Arial" w:cs="Arial"/>
          <w:sz w:val="20"/>
          <w:szCs w:val="20"/>
          <w:lang w:eastAsia="en-IN"/>
        </w:rPr>
        <w:t xml:space="preserve">remain limited. </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 xml:space="preserve">Given its </w:t>
      </w:r>
      <w:r w:rsidR="009F0BD8" w:rsidRPr="00C13AA1">
        <w:rPr>
          <w:rFonts w:ascii="Arial" w:eastAsia="Times New Roman" w:hAnsi="Arial" w:cs="Arial"/>
          <w:sz w:val="20"/>
          <w:szCs w:val="20"/>
          <w:lang w:eastAsia="en-IN"/>
        </w:rPr>
        <w:t>widespread medicinal relevance</w:t>
      </w:r>
      <w:r w:rsidR="00411C02" w:rsidRPr="00C13AA1">
        <w:rPr>
          <w:rFonts w:ascii="Arial" w:eastAsia="Times New Roman" w:hAnsi="Arial" w:cs="Arial"/>
          <w:sz w:val="20"/>
          <w:szCs w:val="20"/>
          <w:lang w:eastAsia="en-IN"/>
        </w:rPr>
        <w:t xml:space="preserve"> and dietary use</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 xml:space="preserve">understanding how </w:t>
      </w:r>
      <w:r w:rsidR="009F0BD8" w:rsidRPr="00C13AA1">
        <w:rPr>
          <w:rFonts w:ascii="Arial" w:eastAsia="Times New Roman" w:hAnsi="Arial" w:cs="Arial"/>
          <w:sz w:val="20"/>
          <w:szCs w:val="20"/>
          <w:lang w:eastAsia="en-IN"/>
        </w:rPr>
        <w:t xml:space="preserve">different </w:t>
      </w:r>
      <w:r w:rsidR="002C5B3F" w:rsidRPr="00C13AA1">
        <w:rPr>
          <w:rFonts w:ascii="Arial" w:eastAsia="Times New Roman" w:hAnsi="Arial" w:cs="Arial"/>
          <w:sz w:val="20"/>
          <w:szCs w:val="20"/>
          <w:lang w:eastAsia="en-IN"/>
        </w:rPr>
        <w:t>processing techniques affect its functional properties is of considerable scientific and practical importance.</w:t>
      </w:r>
      <w:r w:rsidR="005D141C"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Therefore, t</w:t>
      </w:r>
      <w:r w:rsidR="009F0BD8" w:rsidRPr="00C13AA1">
        <w:rPr>
          <w:rFonts w:ascii="Arial" w:eastAsia="Times New Roman" w:hAnsi="Arial" w:cs="Arial"/>
          <w:sz w:val="20"/>
          <w:szCs w:val="20"/>
          <w:lang w:eastAsia="en-IN"/>
        </w:rPr>
        <w:t>he</w:t>
      </w:r>
      <w:r w:rsidR="002C5B3F" w:rsidRPr="00C13AA1">
        <w:rPr>
          <w:rFonts w:ascii="Arial" w:eastAsia="Times New Roman" w:hAnsi="Arial" w:cs="Arial"/>
          <w:sz w:val="20"/>
          <w:szCs w:val="20"/>
          <w:lang w:eastAsia="en-IN"/>
        </w:rPr>
        <w:t xml:space="preserve"> present study </w:t>
      </w:r>
      <w:r w:rsidR="009F0BD8" w:rsidRPr="00C13AA1">
        <w:rPr>
          <w:rFonts w:ascii="Arial" w:eastAsia="Times New Roman" w:hAnsi="Arial" w:cs="Arial"/>
          <w:sz w:val="20"/>
          <w:szCs w:val="20"/>
          <w:lang w:eastAsia="en-IN"/>
        </w:rPr>
        <w:t xml:space="preserve">aims to systematically </w:t>
      </w:r>
      <w:r w:rsidR="002C5B3F" w:rsidRPr="00C13AA1">
        <w:rPr>
          <w:rFonts w:ascii="Arial" w:eastAsia="Times New Roman" w:hAnsi="Arial" w:cs="Arial"/>
          <w:sz w:val="20"/>
          <w:szCs w:val="20"/>
          <w:lang w:eastAsia="en-IN"/>
        </w:rPr>
        <w:t xml:space="preserve">evaluate </w:t>
      </w:r>
      <w:r w:rsidR="009F0BD8" w:rsidRPr="00C13AA1">
        <w:rPr>
          <w:rFonts w:ascii="Arial" w:eastAsia="Times New Roman" w:hAnsi="Arial" w:cs="Arial"/>
          <w:sz w:val="20"/>
          <w:szCs w:val="20"/>
          <w:lang w:eastAsia="en-IN"/>
        </w:rPr>
        <w:t xml:space="preserve">the </w:t>
      </w:r>
      <w:r w:rsidR="002C5B3F" w:rsidRPr="00C13AA1">
        <w:rPr>
          <w:rFonts w:ascii="Arial" w:eastAsia="Times New Roman" w:hAnsi="Arial" w:cs="Arial"/>
          <w:sz w:val="20"/>
          <w:szCs w:val="20"/>
          <w:lang w:eastAsia="en-IN"/>
        </w:rPr>
        <w:t xml:space="preserve">effects </w:t>
      </w:r>
      <w:r w:rsidR="009F0BD8" w:rsidRPr="00C13AA1">
        <w:rPr>
          <w:rFonts w:ascii="Arial" w:eastAsia="Times New Roman" w:hAnsi="Arial" w:cs="Arial"/>
          <w:sz w:val="20"/>
          <w:szCs w:val="20"/>
          <w:lang w:eastAsia="en-IN"/>
        </w:rPr>
        <w:t xml:space="preserve">of selected cooking methods on the antioxidant activity and phytochemical </w:t>
      </w:r>
      <w:r w:rsidR="002C5B3F" w:rsidRPr="00C13AA1">
        <w:rPr>
          <w:rFonts w:ascii="Arial" w:eastAsia="Times New Roman" w:hAnsi="Arial" w:cs="Arial"/>
          <w:sz w:val="20"/>
          <w:szCs w:val="20"/>
          <w:lang w:eastAsia="en-IN"/>
        </w:rPr>
        <w:t xml:space="preserve">profile </w:t>
      </w:r>
      <w:r w:rsidR="009F0BD8" w:rsidRPr="00C13AA1">
        <w:rPr>
          <w:rFonts w:ascii="Arial" w:eastAsia="Times New Roman" w:hAnsi="Arial" w:cs="Arial"/>
          <w:sz w:val="20"/>
          <w:szCs w:val="20"/>
          <w:lang w:eastAsia="en-IN"/>
        </w:rPr>
        <w:t>of marjoram</w:t>
      </w:r>
      <w:r w:rsidR="002C5B3F" w:rsidRPr="00C13AA1">
        <w:rPr>
          <w:rFonts w:ascii="Arial" w:eastAsia="Times New Roman" w:hAnsi="Arial" w:cs="Arial"/>
          <w:sz w:val="20"/>
          <w:szCs w:val="20"/>
          <w:lang w:eastAsia="en-IN"/>
        </w:rPr>
        <w:t xml:space="preserve"> leaves</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The f</w:t>
      </w:r>
      <w:r w:rsidR="009F0BD8" w:rsidRPr="00C13AA1">
        <w:rPr>
          <w:rFonts w:ascii="Arial" w:eastAsia="Times New Roman" w:hAnsi="Arial" w:cs="Arial"/>
          <w:sz w:val="20"/>
          <w:szCs w:val="20"/>
          <w:lang w:eastAsia="en-IN"/>
        </w:rPr>
        <w:t xml:space="preserve">indings are expected to contribute to a </w:t>
      </w:r>
      <w:r w:rsidR="002C5B3F" w:rsidRPr="00C13AA1">
        <w:rPr>
          <w:rFonts w:ascii="Arial" w:eastAsia="Times New Roman" w:hAnsi="Arial" w:cs="Arial"/>
          <w:sz w:val="20"/>
          <w:szCs w:val="20"/>
          <w:lang w:eastAsia="en-IN"/>
        </w:rPr>
        <w:t xml:space="preserve">clear </w:t>
      </w:r>
      <w:r w:rsidR="009F0BD8" w:rsidRPr="00C13AA1">
        <w:rPr>
          <w:rFonts w:ascii="Arial" w:eastAsia="Times New Roman" w:hAnsi="Arial" w:cs="Arial"/>
          <w:sz w:val="20"/>
          <w:szCs w:val="20"/>
          <w:lang w:eastAsia="en-IN"/>
        </w:rPr>
        <w:t xml:space="preserve">understanding of the relationship between food processing and functional quality, thereby guiding both consumers and the food industry in </w:t>
      </w:r>
      <w:r w:rsidR="002C5B3F" w:rsidRPr="00C13AA1">
        <w:rPr>
          <w:rFonts w:ascii="Arial" w:eastAsia="Times New Roman" w:hAnsi="Arial" w:cs="Arial"/>
          <w:sz w:val="20"/>
          <w:szCs w:val="20"/>
          <w:lang w:eastAsia="en-IN"/>
        </w:rPr>
        <w:t xml:space="preserve">optimizing culinary practices to maximize the health benefits of </w:t>
      </w:r>
      <w:r w:rsidR="009F0BD8" w:rsidRPr="00C13AA1">
        <w:rPr>
          <w:rFonts w:ascii="Arial" w:eastAsia="Times New Roman" w:hAnsi="Arial" w:cs="Arial"/>
          <w:sz w:val="20"/>
          <w:szCs w:val="20"/>
          <w:lang w:eastAsia="en-IN"/>
        </w:rPr>
        <w:t>marjoram.</w:t>
      </w:r>
    </w:p>
    <w:p w14:paraId="08460C1A" w14:textId="515DC8A3" w:rsidR="0024050B" w:rsidRPr="00860227" w:rsidRDefault="00860227" w:rsidP="00860227">
      <w:pPr>
        <w:pStyle w:val="a7"/>
        <w:numPr>
          <w:ilvl w:val="0"/>
          <w:numId w:val="7"/>
        </w:numPr>
        <w:spacing w:line="240" w:lineRule="auto"/>
        <w:jc w:val="both"/>
        <w:rPr>
          <w:rFonts w:ascii="Arial" w:hAnsi="Arial" w:cs="Arial"/>
          <w:b/>
          <w:bCs/>
          <w:szCs w:val="22"/>
        </w:rPr>
      </w:pPr>
      <w:r w:rsidRPr="00860227">
        <w:rPr>
          <w:rFonts w:ascii="Arial" w:hAnsi="Arial" w:cs="Arial"/>
          <w:b/>
          <w:bCs/>
          <w:szCs w:val="22"/>
        </w:rPr>
        <w:t>MATERIALS AND METHODS</w:t>
      </w:r>
    </w:p>
    <w:p w14:paraId="024B015D" w14:textId="7F593D9B" w:rsidR="0024050B" w:rsidRPr="00860227" w:rsidRDefault="00860227" w:rsidP="00C771CE">
      <w:pPr>
        <w:spacing w:line="240" w:lineRule="auto"/>
        <w:jc w:val="both"/>
        <w:rPr>
          <w:rFonts w:ascii="Arial" w:hAnsi="Arial" w:cs="Arial"/>
          <w:b/>
          <w:bCs/>
        </w:rPr>
      </w:pPr>
      <w:r w:rsidRPr="00860227">
        <w:rPr>
          <w:rFonts w:ascii="Arial" w:hAnsi="Arial" w:cs="Arial"/>
          <w:b/>
          <w:bCs/>
        </w:rPr>
        <w:t xml:space="preserve">2.1 </w:t>
      </w:r>
      <w:r w:rsidR="0024050B" w:rsidRPr="00860227">
        <w:rPr>
          <w:rFonts w:ascii="Arial" w:hAnsi="Arial" w:cs="Arial"/>
          <w:b/>
          <w:bCs/>
        </w:rPr>
        <w:t>Sample procurement and Preparation</w:t>
      </w:r>
    </w:p>
    <w:p w14:paraId="127FFDF1" w14:textId="77777777" w:rsidR="0024050B" w:rsidRPr="00C13AA1" w:rsidRDefault="0024050B" w:rsidP="00C771CE">
      <w:pPr>
        <w:spacing w:line="240" w:lineRule="auto"/>
        <w:jc w:val="both"/>
        <w:rPr>
          <w:rFonts w:ascii="Arial" w:hAnsi="Arial" w:cs="Arial"/>
          <w:sz w:val="20"/>
          <w:szCs w:val="20"/>
        </w:rPr>
      </w:pPr>
      <w:commentRangeStart w:id="0"/>
      <w:r w:rsidRPr="00C13AA1">
        <w:rPr>
          <w:rFonts w:ascii="Arial" w:hAnsi="Arial" w:cs="Arial"/>
          <w:sz w:val="20"/>
          <w:szCs w:val="20"/>
        </w:rPr>
        <w:t>Fresh</w:t>
      </w:r>
      <w:commentRangeEnd w:id="0"/>
      <w:r w:rsidR="00AE4AEB">
        <w:rPr>
          <w:rStyle w:val="ac"/>
        </w:rPr>
        <w:commentReference w:id="0"/>
      </w:r>
      <w:r w:rsidRPr="00C13AA1">
        <w:rPr>
          <w:rFonts w:ascii="Arial" w:hAnsi="Arial" w:cs="Arial"/>
          <w:sz w:val="20"/>
          <w:szCs w:val="20"/>
        </w:rPr>
        <w:t xml:space="preserve"> Marjoram (</w:t>
      </w:r>
      <w:proofErr w:type="spellStart"/>
      <w:r w:rsidRPr="00C13AA1">
        <w:rPr>
          <w:rStyle w:val="a5"/>
          <w:rFonts w:ascii="Arial" w:hAnsi="Arial" w:cs="Arial"/>
          <w:sz w:val="20"/>
          <w:szCs w:val="20"/>
        </w:rPr>
        <w:t>Origanum</w:t>
      </w:r>
      <w:proofErr w:type="spellEnd"/>
      <w:r w:rsidRPr="00C13AA1">
        <w:rPr>
          <w:rStyle w:val="a5"/>
          <w:rFonts w:ascii="Arial" w:hAnsi="Arial" w:cs="Arial"/>
          <w:sz w:val="20"/>
          <w:szCs w:val="20"/>
        </w:rPr>
        <w:t xml:space="preserve"> </w:t>
      </w:r>
      <w:proofErr w:type="spellStart"/>
      <w:r w:rsidRPr="00C13AA1">
        <w:rPr>
          <w:rStyle w:val="a5"/>
          <w:rFonts w:ascii="Arial" w:hAnsi="Arial" w:cs="Arial"/>
          <w:sz w:val="20"/>
          <w:szCs w:val="20"/>
        </w:rPr>
        <w:t>majorana</w:t>
      </w:r>
      <w:proofErr w:type="spellEnd"/>
      <w:r w:rsidRPr="00C13AA1">
        <w:rPr>
          <w:rFonts w:ascii="Arial" w:hAnsi="Arial" w:cs="Arial"/>
          <w:sz w:val="20"/>
          <w:szCs w:val="20"/>
        </w:rPr>
        <w:t xml:space="preserve"> L.) were collected from the kitchen garden of Kurukshetra University campus and washed thoroughly to remove dust and impurities. The leaves were air-dried to remove surface moisture before subjecting them to different processing treatments.</w:t>
      </w:r>
    </w:p>
    <w:p w14:paraId="533DC006" w14:textId="60C7F589" w:rsidR="0024050B" w:rsidRPr="00860227" w:rsidRDefault="00860227" w:rsidP="00C771CE">
      <w:pPr>
        <w:spacing w:line="240" w:lineRule="auto"/>
        <w:jc w:val="both"/>
        <w:rPr>
          <w:rFonts w:ascii="Arial" w:hAnsi="Arial" w:cs="Arial"/>
          <w:b/>
          <w:bCs/>
        </w:rPr>
      </w:pPr>
      <w:r w:rsidRPr="00860227">
        <w:rPr>
          <w:rFonts w:ascii="Arial" w:hAnsi="Arial" w:cs="Arial"/>
          <w:b/>
          <w:bCs/>
        </w:rPr>
        <w:t xml:space="preserve">2.2 </w:t>
      </w:r>
      <w:r w:rsidR="0024050B" w:rsidRPr="00860227">
        <w:rPr>
          <w:rFonts w:ascii="Arial" w:hAnsi="Arial" w:cs="Arial"/>
          <w:b/>
          <w:bCs/>
        </w:rPr>
        <w:t>Processing Techniques</w:t>
      </w:r>
    </w:p>
    <w:p w14:paraId="02FC7CE0" w14:textId="0A8EF0E9"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The marjoram leaves were divided into five batches: one unprocessed (raw) batch and four processed batches. Each pr</w:t>
      </w:r>
      <w:r w:rsidR="00E863D1">
        <w:rPr>
          <w:rFonts w:ascii="Arial" w:hAnsi="Arial" w:cs="Arial"/>
          <w:sz w:val="20"/>
          <w:szCs w:val="20"/>
        </w:rPr>
        <w:t xml:space="preserve">ocessed batch was subjected to </w:t>
      </w:r>
      <w:r w:rsidRPr="00C13AA1">
        <w:rPr>
          <w:rFonts w:ascii="Arial" w:hAnsi="Arial" w:cs="Arial"/>
          <w:sz w:val="20"/>
          <w:szCs w:val="20"/>
        </w:rPr>
        <w:t xml:space="preserve">distinct processing technique. For each processing technique the parameters including sample quantity, volume of water, temperature and duration of treatment were standardized.  </w:t>
      </w:r>
    </w:p>
    <w:p w14:paraId="2B4F56EC"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Boiling: 25 g leaves were boiled in 15 ml of water at 100°C for 7 minutes in a covered stainless-steel vessel.</w:t>
      </w:r>
    </w:p>
    <w:p w14:paraId="1DC66266"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Pressure Cooking: 25 g leaves were pressure-cooked using 20 ml of water at 121°C (15 psi) for 4 minutes.</w:t>
      </w:r>
    </w:p>
    <w:p w14:paraId="5EB9922F"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Microwave Cooking: 25 g leaves were microwaved with 10 ml of water at 900 W for 4 minutes.</w:t>
      </w:r>
    </w:p>
    <w:p w14:paraId="1029F895"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Sautéing: 25 g leaves were sautéed in 6 ml oil for 10 minutes.</w:t>
      </w:r>
    </w:p>
    <w:p w14:paraId="353227FF"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Steaming: 25 g leaves were steamed for 15 minutes in a closed vessel.</w:t>
      </w:r>
    </w:p>
    <w:p w14:paraId="6035407F" w14:textId="77777777"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Following each thermal processing, the leaf samples were cooled to room temperature and immediately used for subsequent extraction and analytical procedures.</w:t>
      </w:r>
    </w:p>
    <w:p w14:paraId="75F82053" w14:textId="731C01B7" w:rsidR="0024050B" w:rsidRPr="00860227" w:rsidRDefault="00860227" w:rsidP="00C771CE">
      <w:pPr>
        <w:spacing w:line="240" w:lineRule="auto"/>
        <w:jc w:val="both"/>
        <w:rPr>
          <w:rFonts w:ascii="Arial" w:hAnsi="Arial" w:cs="Arial"/>
          <w:b/>
          <w:bCs/>
          <w:color w:val="000000" w:themeColor="text1"/>
          <w:shd w:val="clear" w:color="auto" w:fill="FFFFFF"/>
        </w:rPr>
      </w:pPr>
      <w:r w:rsidRPr="00860227">
        <w:rPr>
          <w:rFonts w:ascii="Arial" w:hAnsi="Arial" w:cs="Arial"/>
          <w:b/>
          <w:bCs/>
          <w:color w:val="000000" w:themeColor="text1"/>
          <w:shd w:val="clear" w:color="auto" w:fill="FFFFFF"/>
        </w:rPr>
        <w:t xml:space="preserve">2.3 </w:t>
      </w:r>
      <w:r w:rsidR="0024050B" w:rsidRPr="00860227">
        <w:rPr>
          <w:rFonts w:ascii="Arial" w:hAnsi="Arial" w:cs="Arial"/>
          <w:b/>
          <w:bCs/>
          <w:color w:val="000000" w:themeColor="text1"/>
          <w:shd w:val="clear" w:color="auto" w:fill="FFFFFF"/>
        </w:rPr>
        <w:t>Extraction of samples for further analysis</w:t>
      </w:r>
    </w:p>
    <w:p w14:paraId="4AFD0856" w14:textId="711950B2" w:rsidR="0024050B" w:rsidRPr="00C13AA1" w:rsidRDefault="00E863D1" w:rsidP="00C771CE">
      <w:pPr>
        <w:spacing w:line="240" w:lineRule="auto"/>
        <w:jc w:val="both"/>
        <w:rPr>
          <w:rFonts w:ascii="Arial" w:hAnsi="Arial" w:cs="Arial"/>
          <w:b/>
          <w:bCs/>
          <w:sz w:val="20"/>
          <w:szCs w:val="20"/>
        </w:rPr>
      </w:pPr>
      <w:r>
        <w:rPr>
          <w:rFonts w:ascii="Arial" w:hAnsi="Arial" w:cs="Arial"/>
          <w:color w:val="000000" w:themeColor="text1"/>
          <w:sz w:val="20"/>
          <w:szCs w:val="20"/>
          <w:shd w:val="clear" w:color="auto" w:fill="FFFFFF"/>
        </w:rPr>
        <w:t>Raw and treated marj</w:t>
      </w:r>
      <w:r w:rsidR="0024050B" w:rsidRPr="00C13AA1">
        <w:rPr>
          <w:rFonts w:ascii="Arial" w:hAnsi="Arial" w:cs="Arial"/>
          <w:color w:val="000000" w:themeColor="text1"/>
          <w:sz w:val="20"/>
          <w:szCs w:val="20"/>
          <w:shd w:val="clear" w:color="auto" w:fill="FFFFFF"/>
        </w:rPr>
        <w:t xml:space="preserve">oram leaf samples were weighed accurately, manually grounded using pestle and mortar. The homogenized material was mixed with 80% methanol and acidified with 6N HCl. The mixture was transferred to a mechanical shaker and agitated for 30 minutes at room temperature to facilitate extraction. The resulting extract was centrifuged at 10,000 rpm for 10 minutes, after which the supernatant was carefully collected. The aliquot was then filtered through </w:t>
      </w:r>
      <w:proofErr w:type="spellStart"/>
      <w:r w:rsidR="0024050B" w:rsidRPr="00C13AA1">
        <w:rPr>
          <w:rFonts w:ascii="Arial" w:hAnsi="Arial" w:cs="Arial"/>
          <w:color w:val="000000" w:themeColor="text1"/>
          <w:sz w:val="20"/>
          <w:szCs w:val="20"/>
          <w:shd w:val="clear" w:color="auto" w:fill="FFFFFF"/>
        </w:rPr>
        <w:t>whatman</w:t>
      </w:r>
      <w:proofErr w:type="spellEnd"/>
      <w:r w:rsidR="0024050B" w:rsidRPr="00C13AA1">
        <w:rPr>
          <w:rFonts w:ascii="Arial" w:hAnsi="Arial" w:cs="Arial"/>
          <w:color w:val="000000" w:themeColor="text1"/>
          <w:sz w:val="20"/>
          <w:szCs w:val="20"/>
          <w:shd w:val="clear" w:color="auto" w:fill="FFFFFF"/>
        </w:rPr>
        <w:t xml:space="preserve"> no. 1 filter paper and concentrated by evaporating the solvent on a hot plate maintained at 60˚C.  </w:t>
      </w:r>
    </w:p>
    <w:p w14:paraId="6835B291" w14:textId="7C0CEE3D" w:rsidR="0024050B" w:rsidRPr="00860227" w:rsidRDefault="00860227" w:rsidP="00C771CE">
      <w:pPr>
        <w:spacing w:line="240" w:lineRule="auto"/>
        <w:jc w:val="both"/>
        <w:rPr>
          <w:rFonts w:ascii="Arial" w:hAnsi="Arial" w:cs="Arial"/>
          <w:b/>
          <w:color w:val="000000" w:themeColor="text1"/>
          <w:shd w:val="clear" w:color="auto" w:fill="FFFFFF"/>
        </w:rPr>
      </w:pPr>
      <w:r w:rsidRPr="00860227">
        <w:rPr>
          <w:rFonts w:ascii="Arial" w:hAnsi="Arial" w:cs="Arial"/>
          <w:b/>
          <w:color w:val="000000" w:themeColor="text1"/>
          <w:shd w:val="clear" w:color="auto" w:fill="FFFFFF"/>
        </w:rPr>
        <w:t xml:space="preserve">2.4 </w:t>
      </w:r>
      <w:r w:rsidR="0024050B" w:rsidRPr="00860227">
        <w:rPr>
          <w:rFonts w:ascii="Arial" w:hAnsi="Arial" w:cs="Arial"/>
          <w:b/>
          <w:color w:val="000000" w:themeColor="text1"/>
          <w:shd w:val="clear" w:color="auto" w:fill="FFFFFF"/>
        </w:rPr>
        <w:t>Nutritional analysis of control and processed samples</w:t>
      </w:r>
    </w:p>
    <w:p w14:paraId="6F105105" w14:textId="24A05E41" w:rsidR="0024050B" w:rsidRPr="00860227" w:rsidRDefault="00860227" w:rsidP="00C771CE">
      <w:pPr>
        <w:spacing w:line="240" w:lineRule="auto"/>
        <w:jc w:val="both"/>
        <w:rPr>
          <w:rFonts w:ascii="Arial" w:hAnsi="Arial" w:cs="Arial"/>
          <w:b/>
          <w:bCs/>
          <w:sz w:val="20"/>
          <w:szCs w:val="20"/>
        </w:rPr>
      </w:pPr>
      <w:r w:rsidRPr="00860227">
        <w:rPr>
          <w:rFonts w:ascii="Arial" w:hAnsi="Arial" w:cs="Arial"/>
          <w:b/>
          <w:bCs/>
          <w:sz w:val="20"/>
          <w:szCs w:val="20"/>
        </w:rPr>
        <w:t xml:space="preserve">2.4.1 </w:t>
      </w:r>
      <w:r w:rsidR="0024050B" w:rsidRPr="00860227">
        <w:rPr>
          <w:rFonts w:ascii="Arial" w:hAnsi="Arial" w:cs="Arial"/>
          <w:b/>
          <w:bCs/>
          <w:sz w:val="20"/>
          <w:szCs w:val="20"/>
        </w:rPr>
        <w:t>Phytochemical Screening:</w:t>
      </w:r>
    </w:p>
    <w:p w14:paraId="60011FAE" w14:textId="51074632" w:rsidR="0024050B" w:rsidRPr="00C13AA1" w:rsidRDefault="0024050B" w:rsidP="00C771CE">
      <w:pPr>
        <w:widowControl w:val="0"/>
        <w:spacing w:before="100" w:after="100" w:line="240" w:lineRule="auto"/>
        <w:jc w:val="both"/>
        <w:rPr>
          <w:rFonts w:ascii="Arial" w:hAnsi="Arial" w:cs="Arial"/>
          <w:color w:val="000000" w:themeColor="text1"/>
          <w:sz w:val="20"/>
          <w:szCs w:val="20"/>
          <w:shd w:val="clear" w:color="auto" w:fill="FFFFFF"/>
        </w:rPr>
      </w:pPr>
      <w:r w:rsidRPr="00C13AA1">
        <w:rPr>
          <w:rFonts w:ascii="Arial" w:hAnsi="Arial" w:cs="Arial"/>
          <w:sz w:val="20"/>
          <w:szCs w:val="20"/>
        </w:rPr>
        <w:t xml:space="preserve">Qualitative phytochemical analysis of both control and processed samples was conducted following standard protocols. The screening included the assessment of major bioactive groups like alkaloids </w:t>
      </w:r>
      <w:r w:rsidRPr="00C13AA1">
        <w:rPr>
          <w:rFonts w:ascii="Arial" w:hAnsi="Arial" w:cs="Arial"/>
          <w:color w:val="000000" w:themeColor="text1"/>
          <w:sz w:val="20"/>
          <w:szCs w:val="20"/>
          <w:shd w:val="clear" w:color="auto" w:fill="FFFFFF"/>
        </w:rPr>
        <w:t>(Trease and Evans, 1989)</w:t>
      </w:r>
      <w:r w:rsidRPr="00C13AA1">
        <w:rPr>
          <w:rFonts w:ascii="Arial" w:hAnsi="Arial" w:cs="Arial"/>
          <w:sz w:val="20"/>
          <w:szCs w:val="20"/>
        </w:rPr>
        <w:t xml:space="preserve">, phenols </w:t>
      </w:r>
      <w:r w:rsidRPr="00C13AA1">
        <w:rPr>
          <w:rFonts w:ascii="Arial" w:hAnsi="Arial" w:cs="Arial"/>
          <w:color w:val="000000" w:themeColor="text1"/>
          <w:sz w:val="20"/>
          <w:szCs w:val="20"/>
          <w:shd w:val="clear" w:color="auto" w:fill="FFFFFF"/>
        </w:rPr>
        <w:t>(Mace, 1963 and Evans 1997)</w:t>
      </w:r>
      <w:r w:rsidRPr="00C13AA1">
        <w:rPr>
          <w:rFonts w:ascii="Arial" w:hAnsi="Arial" w:cs="Arial"/>
          <w:sz w:val="20"/>
          <w:szCs w:val="20"/>
        </w:rPr>
        <w:t xml:space="preserve">, </w:t>
      </w:r>
      <w:proofErr w:type="spellStart"/>
      <w:r w:rsidRPr="00C13AA1">
        <w:rPr>
          <w:rFonts w:ascii="Arial" w:hAnsi="Arial" w:cs="Arial"/>
          <w:sz w:val="20"/>
          <w:szCs w:val="20"/>
        </w:rPr>
        <w:t>saponins</w:t>
      </w:r>
      <w:proofErr w:type="spellEnd"/>
      <w:r w:rsidRPr="00C13AA1">
        <w:rPr>
          <w:rFonts w:ascii="Arial" w:hAnsi="Arial" w:cs="Arial"/>
          <w:sz w:val="20"/>
          <w:szCs w:val="20"/>
        </w:rPr>
        <w:t xml:space="preserve"> </w:t>
      </w:r>
      <w:r w:rsidRPr="00C13AA1">
        <w:rPr>
          <w:rFonts w:ascii="Arial" w:hAnsi="Arial" w:cs="Arial"/>
          <w:color w:val="000000" w:themeColor="text1"/>
          <w:sz w:val="20"/>
          <w:szCs w:val="20"/>
          <w:shd w:val="clear" w:color="auto" w:fill="FFFFFF"/>
        </w:rPr>
        <w:t>(</w:t>
      </w:r>
      <w:proofErr w:type="spellStart"/>
      <w:r w:rsidRPr="00C13AA1">
        <w:rPr>
          <w:rFonts w:ascii="Arial" w:hAnsi="Arial" w:cs="Arial"/>
          <w:color w:val="000000" w:themeColor="text1"/>
          <w:sz w:val="20"/>
          <w:szCs w:val="20"/>
          <w:shd w:val="clear" w:color="auto" w:fill="FFFFFF"/>
        </w:rPr>
        <w:t>Kokate</w:t>
      </w:r>
      <w:proofErr w:type="spellEnd"/>
      <w:r w:rsidRPr="00C13AA1">
        <w:rPr>
          <w:rFonts w:ascii="Arial" w:hAnsi="Arial" w:cs="Arial"/>
          <w:color w:val="000000" w:themeColor="text1"/>
          <w:sz w:val="20"/>
          <w:szCs w:val="20"/>
          <w:shd w:val="clear" w:color="auto" w:fill="FFFFFF"/>
        </w:rPr>
        <w:t xml:space="preserve">, 1999) </w:t>
      </w:r>
      <w:r w:rsidRPr="00C13AA1">
        <w:rPr>
          <w:rFonts w:ascii="Arial" w:hAnsi="Arial" w:cs="Arial"/>
          <w:sz w:val="20"/>
          <w:szCs w:val="20"/>
        </w:rPr>
        <w:t>flavonoids</w:t>
      </w:r>
      <w:r w:rsidR="00E26FAE" w:rsidRPr="00C13AA1">
        <w:rPr>
          <w:rFonts w:ascii="Arial" w:hAnsi="Arial" w:cs="Arial"/>
          <w:sz w:val="20"/>
          <w:szCs w:val="20"/>
        </w:rPr>
        <w:t xml:space="preserve"> </w:t>
      </w:r>
      <w:r w:rsidR="00E26FAE" w:rsidRPr="00C13AA1">
        <w:rPr>
          <w:rFonts w:ascii="Arial" w:hAnsi="Arial" w:cs="Arial"/>
          <w:color w:val="000000" w:themeColor="text1"/>
          <w:sz w:val="20"/>
          <w:szCs w:val="20"/>
          <w:shd w:val="clear" w:color="auto" w:fill="FFFFFF"/>
        </w:rPr>
        <w:t>(</w:t>
      </w:r>
      <w:proofErr w:type="spellStart"/>
      <w:r w:rsidR="00E26FAE" w:rsidRPr="00C13AA1">
        <w:rPr>
          <w:rFonts w:ascii="Arial" w:hAnsi="Arial" w:cs="Arial"/>
          <w:color w:val="000000" w:themeColor="text1"/>
          <w:sz w:val="20"/>
          <w:szCs w:val="20"/>
          <w:shd w:val="clear" w:color="auto" w:fill="FFFFFF"/>
        </w:rPr>
        <w:t>Harborne</w:t>
      </w:r>
      <w:proofErr w:type="spellEnd"/>
      <w:r w:rsidR="00E26FAE" w:rsidRPr="00C13AA1">
        <w:rPr>
          <w:rFonts w:ascii="Arial" w:hAnsi="Arial" w:cs="Arial"/>
          <w:color w:val="000000" w:themeColor="text1"/>
          <w:sz w:val="20"/>
          <w:szCs w:val="20"/>
          <w:shd w:val="clear" w:color="auto" w:fill="FFFFFF"/>
        </w:rPr>
        <w:t>, 1998)</w:t>
      </w:r>
      <w:r w:rsidRPr="00C13AA1">
        <w:rPr>
          <w:rFonts w:ascii="Arial" w:hAnsi="Arial" w:cs="Arial"/>
          <w:sz w:val="20"/>
          <w:szCs w:val="20"/>
        </w:rPr>
        <w:t xml:space="preserve">, </w:t>
      </w:r>
      <w:r w:rsidR="00495074" w:rsidRPr="00C13AA1">
        <w:rPr>
          <w:rFonts w:ascii="Arial" w:hAnsi="Arial" w:cs="Arial"/>
          <w:sz w:val="20"/>
          <w:szCs w:val="20"/>
        </w:rPr>
        <w:t xml:space="preserve">gums and </w:t>
      </w:r>
      <w:proofErr w:type="spellStart"/>
      <w:r w:rsidR="00495074" w:rsidRPr="00C13AA1">
        <w:rPr>
          <w:rFonts w:ascii="Arial" w:hAnsi="Arial" w:cs="Arial"/>
          <w:sz w:val="20"/>
          <w:szCs w:val="20"/>
        </w:rPr>
        <w:t>mucilages</w:t>
      </w:r>
      <w:proofErr w:type="spellEnd"/>
      <w:r w:rsidR="00495074" w:rsidRPr="00C13AA1">
        <w:rPr>
          <w:rFonts w:ascii="Arial" w:hAnsi="Arial" w:cs="Arial"/>
          <w:sz w:val="20"/>
          <w:szCs w:val="20"/>
        </w:rPr>
        <w:t xml:space="preserve"> </w:t>
      </w:r>
      <w:r w:rsidR="00495074" w:rsidRPr="00C13AA1">
        <w:rPr>
          <w:rFonts w:ascii="Arial" w:hAnsi="Arial" w:cs="Arial"/>
          <w:color w:val="000000" w:themeColor="text1"/>
          <w:sz w:val="20"/>
          <w:szCs w:val="20"/>
          <w:shd w:val="clear" w:color="auto" w:fill="FFFFFF"/>
        </w:rPr>
        <w:t xml:space="preserve">(Whistler and </w:t>
      </w:r>
      <w:proofErr w:type="spellStart"/>
      <w:r w:rsidR="00495074" w:rsidRPr="00C13AA1">
        <w:rPr>
          <w:rFonts w:ascii="Arial" w:hAnsi="Arial" w:cs="Arial"/>
          <w:color w:val="000000" w:themeColor="text1"/>
          <w:sz w:val="20"/>
          <w:szCs w:val="20"/>
          <w:shd w:val="clear" w:color="auto" w:fill="FFFFFF"/>
        </w:rPr>
        <w:t>Bemiller</w:t>
      </w:r>
      <w:proofErr w:type="spellEnd"/>
      <w:r w:rsidR="00495074" w:rsidRPr="00C13AA1">
        <w:rPr>
          <w:rFonts w:ascii="Arial" w:hAnsi="Arial" w:cs="Arial"/>
          <w:color w:val="000000" w:themeColor="text1"/>
          <w:sz w:val="20"/>
          <w:szCs w:val="20"/>
          <w:shd w:val="clear" w:color="auto" w:fill="FFFFFF"/>
        </w:rPr>
        <w:t xml:space="preserve">, 1993) </w:t>
      </w:r>
      <w:r w:rsidRPr="00C13AA1">
        <w:rPr>
          <w:rFonts w:ascii="Arial" w:hAnsi="Arial" w:cs="Arial"/>
          <w:sz w:val="20"/>
          <w:szCs w:val="20"/>
        </w:rPr>
        <w:t>glycosides and carbohydrates (</w:t>
      </w:r>
      <w:r w:rsidRPr="00C13AA1">
        <w:rPr>
          <w:rFonts w:ascii="Arial" w:hAnsi="Arial" w:cs="Arial"/>
          <w:color w:val="000000" w:themeColor="text1"/>
          <w:sz w:val="20"/>
          <w:szCs w:val="20"/>
          <w:shd w:val="clear" w:color="auto" w:fill="FFFFFF"/>
        </w:rPr>
        <w:t>Ram</w:t>
      </w:r>
      <w:r w:rsidR="00101041">
        <w:rPr>
          <w:rFonts w:ascii="Arial" w:hAnsi="Arial" w:cs="Arial"/>
          <w:color w:val="000000" w:themeColor="text1"/>
          <w:sz w:val="20"/>
          <w:szCs w:val="20"/>
          <w:shd w:val="clear" w:color="auto" w:fill="FFFFFF"/>
        </w:rPr>
        <w:t>a</w:t>
      </w:r>
      <w:r w:rsidRPr="00C13AA1">
        <w:rPr>
          <w:rFonts w:ascii="Arial" w:hAnsi="Arial" w:cs="Arial"/>
          <w:color w:val="000000" w:themeColor="text1"/>
          <w:sz w:val="20"/>
          <w:szCs w:val="20"/>
          <w:shd w:val="clear" w:color="auto" w:fill="FFFFFF"/>
        </w:rPr>
        <w:t xml:space="preserve">krishnan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1994)</w:t>
      </w:r>
      <w:r w:rsidRPr="00C13AA1">
        <w:rPr>
          <w:rFonts w:ascii="Arial" w:hAnsi="Arial" w:cs="Arial"/>
          <w:sz w:val="20"/>
          <w:szCs w:val="20"/>
        </w:rPr>
        <w:t xml:space="preserve">, proteins </w:t>
      </w:r>
      <w:r w:rsidRPr="00C13AA1">
        <w:rPr>
          <w:rFonts w:ascii="Arial" w:hAnsi="Arial" w:cs="Arial"/>
          <w:color w:val="000000" w:themeColor="text1"/>
          <w:sz w:val="20"/>
          <w:szCs w:val="20"/>
          <w:shd w:val="clear" w:color="auto" w:fill="FFFFFF"/>
        </w:rPr>
        <w:t>(Fisher, 1968; Ruthmann, 1970)</w:t>
      </w:r>
      <w:r w:rsidR="00495074" w:rsidRPr="00C13AA1">
        <w:rPr>
          <w:rFonts w:ascii="Arial" w:hAnsi="Arial" w:cs="Arial"/>
          <w:color w:val="000000" w:themeColor="text1"/>
          <w:sz w:val="20"/>
          <w:szCs w:val="20"/>
          <w:shd w:val="clear" w:color="auto" w:fill="FFFFFF"/>
        </w:rPr>
        <w:t>.</w:t>
      </w:r>
    </w:p>
    <w:p w14:paraId="300DBF38" w14:textId="77777777" w:rsidR="009A3B10" w:rsidRDefault="009A3B10" w:rsidP="00C771CE">
      <w:pPr>
        <w:spacing w:line="240" w:lineRule="auto"/>
        <w:jc w:val="both"/>
        <w:rPr>
          <w:rFonts w:ascii="Arial" w:hAnsi="Arial" w:cs="Arial"/>
          <w:b/>
          <w:bCs/>
          <w:sz w:val="20"/>
          <w:szCs w:val="20"/>
        </w:rPr>
      </w:pPr>
    </w:p>
    <w:p w14:paraId="26294196" w14:textId="6231EAE8" w:rsidR="0024050B" w:rsidRPr="00C13AA1" w:rsidRDefault="0024050B" w:rsidP="00C771CE">
      <w:pPr>
        <w:spacing w:line="240" w:lineRule="auto"/>
        <w:jc w:val="both"/>
        <w:rPr>
          <w:rFonts w:ascii="Arial" w:hAnsi="Arial" w:cs="Arial"/>
          <w:b/>
          <w:bCs/>
          <w:sz w:val="20"/>
          <w:szCs w:val="20"/>
        </w:rPr>
      </w:pPr>
      <w:r w:rsidRPr="00C13AA1">
        <w:rPr>
          <w:rFonts w:ascii="Arial" w:hAnsi="Arial" w:cs="Arial"/>
          <w:b/>
          <w:bCs/>
          <w:sz w:val="20"/>
          <w:szCs w:val="20"/>
        </w:rPr>
        <w:t>Quantitative estimation of phytochemicals</w:t>
      </w:r>
      <w:r w:rsidR="009A3B10">
        <w:rPr>
          <w:rFonts w:ascii="Arial" w:hAnsi="Arial" w:cs="Arial"/>
          <w:b/>
          <w:bCs/>
          <w:sz w:val="20"/>
          <w:szCs w:val="20"/>
        </w:rPr>
        <w:t>:</w:t>
      </w:r>
    </w:p>
    <w:p w14:paraId="17C5D623" w14:textId="77777777" w:rsidR="0024050B" w:rsidRPr="00C13AA1" w:rsidRDefault="0024050B" w:rsidP="00C771CE">
      <w:pPr>
        <w:numPr>
          <w:ilvl w:val="1"/>
          <w:numId w:val="3"/>
        </w:numPr>
        <w:spacing w:line="240" w:lineRule="auto"/>
        <w:jc w:val="both"/>
        <w:rPr>
          <w:rFonts w:ascii="Arial" w:hAnsi="Arial" w:cs="Arial"/>
          <w:b/>
          <w:bCs/>
          <w:sz w:val="20"/>
          <w:szCs w:val="20"/>
        </w:rPr>
      </w:pPr>
      <w:r w:rsidRPr="00C13AA1">
        <w:rPr>
          <w:rFonts w:ascii="Arial" w:hAnsi="Arial" w:cs="Arial"/>
          <w:b/>
          <w:bCs/>
          <w:sz w:val="20"/>
          <w:szCs w:val="20"/>
        </w:rPr>
        <w:t xml:space="preserve">Total Phenolic Content (TPC): </w:t>
      </w:r>
      <w:r w:rsidRPr="00C13AA1">
        <w:rPr>
          <w:rFonts w:ascii="Arial" w:hAnsi="Arial" w:cs="Arial"/>
          <w:color w:val="000000" w:themeColor="text1"/>
          <w:sz w:val="20"/>
          <w:szCs w:val="20"/>
          <w:shd w:val="clear" w:color="auto" w:fill="FFFFFF"/>
        </w:rPr>
        <w:t xml:space="preserve">The concentration of total phenolic content of the methanolic extracts was determined by the modified </w:t>
      </w:r>
      <w:proofErr w:type="spellStart"/>
      <w:r w:rsidRPr="00C13AA1">
        <w:rPr>
          <w:rFonts w:ascii="Arial" w:hAnsi="Arial" w:cs="Arial"/>
          <w:color w:val="000000" w:themeColor="text1"/>
          <w:sz w:val="20"/>
          <w:szCs w:val="20"/>
          <w:shd w:val="clear" w:color="auto" w:fill="FFFFFF"/>
        </w:rPr>
        <w:t>Folin-Ciocalteau</w:t>
      </w:r>
      <w:proofErr w:type="spellEnd"/>
      <w:r w:rsidRPr="00C13AA1">
        <w:rPr>
          <w:rFonts w:ascii="Arial" w:hAnsi="Arial" w:cs="Arial"/>
          <w:color w:val="000000" w:themeColor="text1"/>
          <w:sz w:val="20"/>
          <w:szCs w:val="20"/>
          <w:shd w:val="clear" w:color="auto" w:fill="FFFFFF"/>
        </w:rPr>
        <w:t xml:space="preserve"> colorimetric method. Results were</w:t>
      </w:r>
      <w:r w:rsidRPr="00C13AA1">
        <w:rPr>
          <w:rFonts w:ascii="Arial" w:hAnsi="Arial" w:cs="Arial"/>
          <w:b/>
          <w:bCs/>
          <w:sz w:val="20"/>
          <w:szCs w:val="20"/>
        </w:rPr>
        <w:t xml:space="preserve"> </w:t>
      </w:r>
      <w:r w:rsidRPr="00C13AA1">
        <w:rPr>
          <w:rFonts w:ascii="Arial" w:hAnsi="Arial" w:cs="Arial"/>
          <w:sz w:val="20"/>
          <w:szCs w:val="20"/>
        </w:rPr>
        <w:t>expressed as mg GAE/g FW</w:t>
      </w:r>
      <w:r w:rsidRPr="00C13AA1">
        <w:rPr>
          <w:rFonts w:ascii="Arial" w:hAnsi="Arial" w:cs="Arial"/>
          <w:color w:val="000000" w:themeColor="text1"/>
          <w:sz w:val="20"/>
          <w:szCs w:val="20"/>
          <w:shd w:val="clear" w:color="auto" w:fill="FFFFFF"/>
        </w:rPr>
        <w:t xml:space="preserve"> (Singleton et al., 1999). </w:t>
      </w:r>
    </w:p>
    <w:p w14:paraId="1BB4AA80" w14:textId="77777777" w:rsidR="0024050B" w:rsidRPr="00C13AA1" w:rsidRDefault="0024050B" w:rsidP="00C771CE">
      <w:pPr>
        <w:numPr>
          <w:ilvl w:val="1"/>
          <w:numId w:val="3"/>
        </w:numPr>
        <w:spacing w:line="240" w:lineRule="auto"/>
        <w:jc w:val="both"/>
        <w:rPr>
          <w:rFonts w:ascii="Arial" w:hAnsi="Arial" w:cs="Arial"/>
          <w:sz w:val="20"/>
          <w:szCs w:val="20"/>
        </w:rPr>
      </w:pPr>
      <w:r w:rsidRPr="00C13AA1">
        <w:rPr>
          <w:rFonts w:ascii="Arial" w:hAnsi="Arial" w:cs="Arial"/>
          <w:b/>
          <w:bCs/>
          <w:sz w:val="20"/>
          <w:szCs w:val="20"/>
        </w:rPr>
        <w:t xml:space="preserve">Total Flavonoid Content (TFC): </w:t>
      </w:r>
      <w:r w:rsidRPr="00031A7A">
        <w:rPr>
          <w:rFonts w:ascii="Arial" w:hAnsi="Arial" w:cs="Arial"/>
          <w:bCs/>
          <w:sz w:val="20"/>
          <w:szCs w:val="20"/>
        </w:rPr>
        <w:t>TFC was estimated u</w:t>
      </w:r>
      <w:r w:rsidRPr="00C13AA1">
        <w:rPr>
          <w:rFonts w:ascii="Arial" w:hAnsi="Arial" w:cs="Arial"/>
          <w:sz w:val="20"/>
          <w:szCs w:val="20"/>
        </w:rPr>
        <w:t xml:space="preserve">sing </w:t>
      </w:r>
      <w:proofErr w:type="spellStart"/>
      <w:r w:rsidRPr="00C13AA1">
        <w:rPr>
          <w:rFonts w:ascii="Arial" w:hAnsi="Arial" w:cs="Arial"/>
          <w:sz w:val="20"/>
          <w:szCs w:val="20"/>
        </w:rPr>
        <w:t>aluminum</w:t>
      </w:r>
      <w:proofErr w:type="spellEnd"/>
      <w:r w:rsidRPr="00C13AA1">
        <w:rPr>
          <w:rFonts w:ascii="Arial" w:hAnsi="Arial" w:cs="Arial"/>
          <w:sz w:val="20"/>
          <w:szCs w:val="20"/>
        </w:rPr>
        <w:t xml:space="preserve"> chloride colorimetric method </w:t>
      </w:r>
      <w:r w:rsidRPr="00C13AA1">
        <w:rPr>
          <w:rFonts w:ascii="Arial" w:hAnsi="Arial" w:cs="Arial"/>
          <w:color w:val="000000" w:themeColor="text1"/>
          <w:sz w:val="20"/>
          <w:szCs w:val="20"/>
          <w:shd w:val="clear" w:color="auto" w:fill="FFFFFF"/>
        </w:rPr>
        <w:t xml:space="preserve">as reported by Meda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(2004)</w:t>
      </w:r>
      <w:r w:rsidRPr="00C13AA1">
        <w:rPr>
          <w:rFonts w:ascii="Arial" w:hAnsi="Arial" w:cs="Arial"/>
          <w:sz w:val="20"/>
          <w:szCs w:val="20"/>
        </w:rPr>
        <w:t xml:space="preserve"> and expressed as mg QE/g FW.</w:t>
      </w:r>
    </w:p>
    <w:p w14:paraId="7CFDA34C" w14:textId="5EC53238" w:rsidR="0024050B" w:rsidRPr="00C13AA1" w:rsidRDefault="00860227" w:rsidP="00C771CE">
      <w:pPr>
        <w:spacing w:line="240" w:lineRule="auto"/>
        <w:jc w:val="both"/>
        <w:rPr>
          <w:rFonts w:ascii="Arial" w:hAnsi="Arial" w:cs="Arial"/>
          <w:b/>
          <w:bCs/>
          <w:sz w:val="20"/>
          <w:szCs w:val="20"/>
        </w:rPr>
      </w:pPr>
      <w:r>
        <w:rPr>
          <w:rFonts w:ascii="Arial" w:hAnsi="Arial" w:cs="Arial"/>
          <w:b/>
          <w:bCs/>
          <w:sz w:val="20"/>
          <w:szCs w:val="20"/>
        </w:rPr>
        <w:t xml:space="preserve">2.4.2 </w:t>
      </w:r>
      <w:r w:rsidR="0024050B" w:rsidRPr="00C13AA1">
        <w:rPr>
          <w:rFonts w:ascii="Arial" w:hAnsi="Arial" w:cs="Arial"/>
          <w:b/>
          <w:bCs/>
          <w:sz w:val="20"/>
          <w:szCs w:val="20"/>
        </w:rPr>
        <w:t xml:space="preserve">Antioxidant activity:  </w:t>
      </w:r>
    </w:p>
    <w:p w14:paraId="296EA0A8" w14:textId="77777777" w:rsidR="0024050B" w:rsidRPr="00C13AA1" w:rsidRDefault="0024050B" w:rsidP="00C771CE">
      <w:pPr>
        <w:spacing w:line="240" w:lineRule="auto"/>
        <w:jc w:val="both"/>
        <w:rPr>
          <w:rFonts w:ascii="Arial" w:hAnsi="Arial" w:cs="Arial"/>
          <w:color w:val="000000" w:themeColor="text1"/>
          <w:sz w:val="20"/>
          <w:szCs w:val="20"/>
          <w:shd w:val="clear" w:color="auto" w:fill="FFFFFF"/>
        </w:rPr>
      </w:pPr>
      <w:r w:rsidRPr="00C13AA1">
        <w:rPr>
          <w:rFonts w:ascii="Arial" w:hAnsi="Arial" w:cs="Arial"/>
          <w:color w:val="000000" w:themeColor="text1"/>
          <w:sz w:val="20"/>
          <w:szCs w:val="20"/>
          <w:shd w:val="clear" w:color="auto" w:fill="FFFFFF"/>
        </w:rPr>
        <w:t xml:space="preserve">The antioxidant activity of the extract on the basis of the scavenging activity of the stable DPPH free radical was determined by the method followed by Chan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(2007).</w:t>
      </w:r>
      <w:r w:rsidRPr="00C13AA1">
        <w:rPr>
          <w:rFonts w:ascii="Arial" w:hAnsi="Arial" w:cs="Arial"/>
          <w:sz w:val="20"/>
          <w:szCs w:val="20"/>
        </w:rPr>
        <w:t xml:space="preserve"> Absorbance was measured spectrophotometrically and the results were expressed as </w:t>
      </w:r>
      <w:r w:rsidRPr="00C13AA1">
        <w:rPr>
          <w:rFonts w:ascii="Arial" w:hAnsi="Arial" w:cs="Arial"/>
          <w:color w:val="000000" w:themeColor="text1"/>
          <w:sz w:val="20"/>
          <w:szCs w:val="20"/>
          <w:shd w:val="clear" w:color="auto" w:fill="FFFFFF"/>
        </w:rPr>
        <w:t>IC</w:t>
      </w:r>
      <w:r w:rsidRPr="00C13AA1">
        <w:rPr>
          <w:rFonts w:ascii="Arial" w:hAnsi="Arial" w:cs="Arial"/>
          <w:color w:val="000000" w:themeColor="text1"/>
          <w:sz w:val="20"/>
          <w:szCs w:val="20"/>
          <w:shd w:val="clear" w:color="auto" w:fill="FFFFFF"/>
          <w:vertAlign w:val="subscript"/>
        </w:rPr>
        <w:t>50</w:t>
      </w:r>
      <w:r w:rsidRPr="00C13AA1">
        <w:rPr>
          <w:rFonts w:ascii="Arial" w:hAnsi="Arial" w:cs="Arial"/>
          <w:color w:val="000000" w:themeColor="text1"/>
          <w:sz w:val="20"/>
          <w:szCs w:val="20"/>
          <w:shd w:val="clear" w:color="auto" w:fill="FFFFFF"/>
        </w:rPr>
        <w:t xml:space="preserve"> value</w:t>
      </w:r>
      <w:r w:rsidRPr="00C13AA1">
        <w:rPr>
          <w:rFonts w:ascii="Arial" w:hAnsi="Arial" w:cs="Arial"/>
          <w:sz w:val="20"/>
          <w:szCs w:val="20"/>
        </w:rPr>
        <w:t xml:space="preserve"> </w:t>
      </w:r>
      <w:proofErr w:type="spellStart"/>
      <w:r w:rsidRPr="00C13AA1">
        <w:rPr>
          <w:rFonts w:ascii="Arial" w:hAnsi="Arial" w:cs="Arial"/>
          <w:sz w:val="20"/>
          <w:szCs w:val="20"/>
        </w:rPr>
        <w:t>μg</w:t>
      </w:r>
      <w:proofErr w:type="spellEnd"/>
      <w:r w:rsidRPr="00C13AA1">
        <w:rPr>
          <w:rFonts w:ascii="Arial" w:hAnsi="Arial" w:cs="Arial"/>
          <w:sz w:val="20"/>
          <w:szCs w:val="20"/>
        </w:rPr>
        <w:t>/100g fresh weight (FW).</w:t>
      </w:r>
    </w:p>
    <w:p w14:paraId="1416253A" w14:textId="6F8C3CD6" w:rsidR="0024050B" w:rsidRPr="00C13AA1" w:rsidRDefault="00860227" w:rsidP="00C771CE">
      <w:pPr>
        <w:spacing w:line="240" w:lineRule="auto"/>
        <w:jc w:val="both"/>
        <w:rPr>
          <w:rFonts w:ascii="Arial" w:hAnsi="Arial" w:cs="Arial"/>
          <w:b/>
          <w:bCs/>
          <w:sz w:val="20"/>
          <w:szCs w:val="20"/>
        </w:rPr>
      </w:pPr>
      <w:r>
        <w:rPr>
          <w:rFonts w:ascii="Arial" w:hAnsi="Arial" w:cs="Arial"/>
          <w:b/>
          <w:bCs/>
          <w:sz w:val="20"/>
          <w:szCs w:val="20"/>
        </w:rPr>
        <w:t xml:space="preserve">2.4.3 </w:t>
      </w:r>
      <w:r w:rsidR="0024050B" w:rsidRPr="00C13AA1">
        <w:rPr>
          <w:rFonts w:ascii="Arial" w:hAnsi="Arial" w:cs="Arial"/>
          <w:b/>
          <w:bCs/>
          <w:sz w:val="20"/>
          <w:szCs w:val="20"/>
        </w:rPr>
        <w:t>Estimation of Ascorbic Acid Content:</w:t>
      </w:r>
    </w:p>
    <w:p w14:paraId="309ECD88" w14:textId="77777777"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Ascorbic acid content was determined by the 2,6-dichlorophenolindophenol titrimetric method and expressed in mg/100g FW (AOAC, 2000).</w:t>
      </w:r>
    </w:p>
    <w:p w14:paraId="573F9B5E" w14:textId="623FBFAA" w:rsidR="0024050B" w:rsidRPr="00C13AA1" w:rsidRDefault="00860227" w:rsidP="00C771CE">
      <w:pPr>
        <w:spacing w:line="240" w:lineRule="auto"/>
        <w:jc w:val="both"/>
        <w:rPr>
          <w:rFonts w:ascii="Arial" w:hAnsi="Arial" w:cs="Arial"/>
          <w:b/>
          <w:bCs/>
          <w:sz w:val="20"/>
          <w:szCs w:val="20"/>
        </w:rPr>
      </w:pPr>
      <w:r>
        <w:rPr>
          <w:rFonts w:ascii="Arial" w:hAnsi="Arial" w:cs="Arial"/>
          <w:b/>
          <w:bCs/>
          <w:sz w:val="20"/>
          <w:szCs w:val="20"/>
        </w:rPr>
        <w:t xml:space="preserve">2.4.4 </w:t>
      </w:r>
      <w:r w:rsidR="0024050B" w:rsidRPr="00C13AA1">
        <w:rPr>
          <w:rFonts w:ascii="Arial" w:hAnsi="Arial" w:cs="Arial"/>
          <w:b/>
          <w:bCs/>
          <w:sz w:val="20"/>
          <w:szCs w:val="20"/>
        </w:rPr>
        <w:t>Estimation of β-Carotene Content</w:t>
      </w:r>
    </w:p>
    <w:p w14:paraId="119B41A4" w14:textId="2508A5AC"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 xml:space="preserve">β-carotene content was extracted using n-butanol and quantified spectrophotometrically at 440 nm (AOAC, 2000). </w:t>
      </w:r>
      <w:bookmarkStart w:id="1" w:name="_Hlk198296467"/>
      <w:r w:rsidRPr="00C13AA1">
        <w:rPr>
          <w:rFonts w:ascii="Arial" w:hAnsi="Arial" w:cs="Arial"/>
          <w:sz w:val="20"/>
          <w:szCs w:val="20"/>
        </w:rPr>
        <w:t xml:space="preserve">Results were expressed in </w:t>
      </w:r>
      <w:proofErr w:type="spellStart"/>
      <w:r w:rsidRPr="00C13AA1">
        <w:rPr>
          <w:rFonts w:ascii="Arial" w:hAnsi="Arial" w:cs="Arial"/>
          <w:sz w:val="20"/>
          <w:szCs w:val="20"/>
        </w:rPr>
        <w:t>μg</w:t>
      </w:r>
      <w:proofErr w:type="spellEnd"/>
      <w:r w:rsidRPr="00C13AA1">
        <w:rPr>
          <w:rFonts w:ascii="Arial" w:hAnsi="Arial" w:cs="Arial"/>
          <w:sz w:val="20"/>
          <w:szCs w:val="20"/>
        </w:rPr>
        <w:t>/100g FW.</w:t>
      </w:r>
    </w:p>
    <w:bookmarkEnd w:id="1"/>
    <w:p w14:paraId="0C31F584" w14:textId="52A9E681" w:rsidR="0024050B" w:rsidRPr="00860227" w:rsidRDefault="00860227" w:rsidP="00C771CE">
      <w:pPr>
        <w:spacing w:line="240" w:lineRule="auto"/>
        <w:jc w:val="both"/>
        <w:rPr>
          <w:rFonts w:ascii="Arial" w:hAnsi="Arial" w:cs="Arial"/>
          <w:b/>
          <w:bCs/>
          <w:color w:val="000000" w:themeColor="text1"/>
          <w:kern w:val="2"/>
          <w:shd w:val="clear" w:color="auto" w:fill="FFFFFF"/>
          <w14:ligatures w14:val="standardContextual"/>
        </w:rPr>
      </w:pPr>
      <w:r w:rsidRPr="00860227">
        <w:rPr>
          <w:rFonts w:ascii="Arial" w:hAnsi="Arial" w:cs="Arial"/>
          <w:b/>
          <w:bCs/>
          <w:color w:val="000000" w:themeColor="text1"/>
          <w:shd w:val="clear" w:color="auto" w:fill="FFFFFF"/>
        </w:rPr>
        <w:t xml:space="preserve">2.5 </w:t>
      </w:r>
      <w:r w:rsidR="0024050B" w:rsidRPr="00860227">
        <w:rPr>
          <w:rFonts w:ascii="Arial" w:hAnsi="Arial" w:cs="Arial"/>
          <w:b/>
          <w:bCs/>
          <w:color w:val="000000" w:themeColor="text1"/>
          <w:shd w:val="clear" w:color="auto" w:fill="FFFFFF"/>
        </w:rPr>
        <w:t>Statistical analysis</w:t>
      </w:r>
    </w:p>
    <w:p w14:paraId="73A4809F" w14:textId="77777777" w:rsidR="0024050B" w:rsidRPr="00C13AA1" w:rsidRDefault="0024050B" w:rsidP="00C771CE">
      <w:pPr>
        <w:spacing w:line="240" w:lineRule="auto"/>
        <w:jc w:val="both"/>
        <w:rPr>
          <w:rFonts w:ascii="Arial" w:hAnsi="Arial" w:cs="Arial"/>
          <w:color w:val="000000" w:themeColor="text1"/>
          <w:sz w:val="20"/>
          <w:szCs w:val="20"/>
          <w:shd w:val="clear" w:color="auto" w:fill="FFFFFF"/>
        </w:rPr>
      </w:pPr>
      <w:r w:rsidRPr="00C13AA1">
        <w:rPr>
          <w:rFonts w:ascii="Arial" w:hAnsi="Arial" w:cs="Arial"/>
          <w:color w:val="000000" w:themeColor="text1"/>
          <w:sz w:val="20"/>
          <w:szCs w:val="20"/>
          <w:shd w:val="clear" w:color="auto" w:fill="FFFFFF"/>
        </w:rPr>
        <w:t xml:space="preserve">Statistical analysis was performed using IBM SPSS version 20. Results were expressed as mean </w:t>
      </w:r>
      <w:r w:rsidRPr="00C13AA1">
        <w:rPr>
          <w:rFonts w:ascii="Arial" w:hAnsi="Arial" w:cs="Arial"/>
          <w:color w:val="000000" w:themeColor="text1"/>
          <w:sz w:val="20"/>
          <w:szCs w:val="20"/>
          <w:u w:val="single"/>
          <w:shd w:val="clear" w:color="auto" w:fill="FFFFFF"/>
        </w:rPr>
        <w:t>+</w:t>
      </w:r>
      <w:r w:rsidRPr="00C13AA1">
        <w:rPr>
          <w:rFonts w:ascii="Arial" w:hAnsi="Arial" w:cs="Arial"/>
          <w:color w:val="000000" w:themeColor="text1"/>
          <w:sz w:val="20"/>
          <w:szCs w:val="20"/>
          <w:shd w:val="clear" w:color="auto" w:fill="FFFFFF"/>
        </w:rPr>
        <w:t xml:space="preserve"> standard deviation. Differences among treatment groups were evaluated using one-way analysis of variance (ANOVA) followed by</w:t>
      </w:r>
      <w:r w:rsidRPr="00C13AA1">
        <w:rPr>
          <w:rFonts w:ascii="Arial" w:hAnsi="Arial" w:cs="Arial"/>
          <w:color w:val="232323"/>
          <w:sz w:val="20"/>
          <w:szCs w:val="20"/>
          <w:shd w:val="clear" w:color="auto" w:fill="FFFFFF"/>
        </w:rPr>
        <w:t xml:space="preserve"> </w:t>
      </w:r>
      <w:r w:rsidRPr="00C13AA1">
        <w:rPr>
          <w:rFonts w:ascii="Arial" w:hAnsi="Arial" w:cs="Arial"/>
          <w:color w:val="000000" w:themeColor="text1"/>
          <w:sz w:val="20"/>
          <w:szCs w:val="20"/>
          <w:shd w:val="clear" w:color="auto" w:fill="FFFFFF"/>
        </w:rPr>
        <w:t>Tukey’s HSD test for post-hoc comparisons. A significance level of p ≤ 0.05 was considered statistically significant. </w:t>
      </w:r>
    </w:p>
    <w:p w14:paraId="7AAF3655" w14:textId="6E410884"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 </w:t>
      </w:r>
      <w:r w:rsidR="00732DC5" w:rsidRPr="00860227">
        <w:rPr>
          <w:rFonts w:ascii="Arial" w:hAnsi="Arial" w:cs="Arial"/>
          <w:b/>
          <w:bCs/>
        </w:rPr>
        <w:t>RESULT AND DISCUSSION</w:t>
      </w:r>
    </w:p>
    <w:p w14:paraId="2EC44368" w14:textId="5B241870" w:rsidR="00732DC5" w:rsidRPr="00860227" w:rsidRDefault="00860227" w:rsidP="00C771CE">
      <w:pPr>
        <w:spacing w:line="240" w:lineRule="auto"/>
        <w:jc w:val="both"/>
        <w:rPr>
          <w:rFonts w:ascii="Arial" w:hAnsi="Arial" w:cs="Arial"/>
          <w:b/>
        </w:rPr>
      </w:pPr>
      <w:r w:rsidRPr="00860227">
        <w:rPr>
          <w:rFonts w:ascii="Arial" w:hAnsi="Arial" w:cs="Arial"/>
          <w:b/>
        </w:rPr>
        <w:t xml:space="preserve">3.1 </w:t>
      </w:r>
      <w:r w:rsidR="00732DC5" w:rsidRPr="00860227">
        <w:rPr>
          <w:rFonts w:ascii="Arial" w:hAnsi="Arial" w:cs="Arial"/>
          <w:b/>
        </w:rPr>
        <w:t>Phytochemical screening</w:t>
      </w:r>
    </w:p>
    <w:p w14:paraId="271B83C2" w14:textId="0C641658" w:rsidR="006B4489" w:rsidRDefault="00732DC5" w:rsidP="00C771CE">
      <w:pPr>
        <w:spacing w:line="240" w:lineRule="auto"/>
        <w:jc w:val="both"/>
        <w:rPr>
          <w:rFonts w:ascii="Arial" w:hAnsi="Arial" w:cs="Arial"/>
          <w:sz w:val="20"/>
          <w:szCs w:val="20"/>
        </w:rPr>
      </w:pPr>
      <w:r w:rsidRPr="00C13AA1">
        <w:rPr>
          <w:rFonts w:ascii="Arial" w:hAnsi="Arial" w:cs="Arial"/>
          <w:bCs/>
          <w:sz w:val="20"/>
          <w:szCs w:val="20"/>
        </w:rPr>
        <w:t xml:space="preserve">The phytochemical screening of raw as well as cooked </w:t>
      </w:r>
      <w:r w:rsidR="00657ECC" w:rsidRPr="00C13AA1">
        <w:rPr>
          <w:rFonts w:ascii="Arial" w:hAnsi="Arial" w:cs="Arial"/>
          <w:bCs/>
          <w:sz w:val="20"/>
          <w:szCs w:val="20"/>
        </w:rPr>
        <w:t>marjoram</w:t>
      </w:r>
      <w:r w:rsidRPr="00C13AA1">
        <w:rPr>
          <w:rFonts w:ascii="Arial" w:hAnsi="Arial" w:cs="Arial"/>
          <w:bCs/>
          <w:sz w:val="20"/>
          <w:szCs w:val="20"/>
        </w:rPr>
        <w:t xml:space="preserve"> leaves </w:t>
      </w:r>
      <w:r w:rsidR="009D73C3" w:rsidRPr="00C13AA1">
        <w:rPr>
          <w:rFonts w:ascii="Arial" w:hAnsi="Arial" w:cs="Arial"/>
          <w:bCs/>
          <w:sz w:val="20"/>
          <w:szCs w:val="20"/>
        </w:rPr>
        <w:t xml:space="preserve">subjected to various </w:t>
      </w:r>
      <w:r w:rsidRPr="00C13AA1">
        <w:rPr>
          <w:rFonts w:ascii="Arial" w:hAnsi="Arial" w:cs="Arial"/>
          <w:bCs/>
          <w:sz w:val="20"/>
          <w:szCs w:val="20"/>
        </w:rPr>
        <w:t xml:space="preserve">household cooking techniques was done to </w:t>
      </w:r>
      <w:r w:rsidR="009D73C3" w:rsidRPr="00C13AA1">
        <w:rPr>
          <w:rFonts w:ascii="Arial" w:hAnsi="Arial" w:cs="Arial"/>
          <w:bCs/>
          <w:sz w:val="20"/>
          <w:szCs w:val="20"/>
        </w:rPr>
        <w:t xml:space="preserve">evaluate the influence </w:t>
      </w:r>
      <w:r w:rsidRPr="00C13AA1">
        <w:rPr>
          <w:rFonts w:ascii="Arial" w:hAnsi="Arial" w:cs="Arial"/>
          <w:bCs/>
          <w:sz w:val="20"/>
          <w:szCs w:val="20"/>
        </w:rPr>
        <w:t>of processing on their phytochemical content (Table 1</w:t>
      </w:r>
      <w:r w:rsidR="006B4489" w:rsidRPr="00C13AA1">
        <w:rPr>
          <w:rFonts w:ascii="Arial" w:hAnsi="Arial" w:cs="Arial"/>
          <w:bCs/>
          <w:sz w:val="20"/>
          <w:szCs w:val="20"/>
        </w:rPr>
        <w:t>). Finding</w:t>
      </w:r>
      <w:r w:rsidR="009D73C3" w:rsidRPr="00C13AA1">
        <w:rPr>
          <w:rFonts w:ascii="Arial" w:hAnsi="Arial" w:cs="Arial"/>
          <w:bCs/>
          <w:sz w:val="20"/>
          <w:szCs w:val="20"/>
        </w:rPr>
        <w:t>s</w:t>
      </w:r>
      <w:r w:rsidR="006B4489" w:rsidRPr="00C13AA1">
        <w:rPr>
          <w:rFonts w:ascii="Arial" w:hAnsi="Arial" w:cs="Arial"/>
          <w:bCs/>
          <w:sz w:val="20"/>
          <w:szCs w:val="20"/>
        </w:rPr>
        <w:t xml:space="preserve"> revealed that phenol and flavonoids were </w:t>
      </w:r>
      <w:r w:rsidR="009D73C3" w:rsidRPr="00C13AA1">
        <w:rPr>
          <w:rFonts w:ascii="Arial" w:hAnsi="Arial" w:cs="Arial"/>
          <w:bCs/>
          <w:sz w:val="20"/>
          <w:szCs w:val="20"/>
        </w:rPr>
        <w:t xml:space="preserve">consistently </w:t>
      </w:r>
      <w:r w:rsidR="006B4489" w:rsidRPr="00C13AA1">
        <w:rPr>
          <w:rFonts w:ascii="Arial" w:hAnsi="Arial" w:cs="Arial"/>
          <w:bCs/>
          <w:sz w:val="20"/>
          <w:szCs w:val="20"/>
        </w:rPr>
        <w:t xml:space="preserve">present </w:t>
      </w:r>
      <w:r w:rsidR="009D73C3" w:rsidRPr="00C13AA1">
        <w:rPr>
          <w:rFonts w:ascii="Arial" w:hAnsi="Arial" w:cs="Arial"/>
          <w:bCs/>
          <w:sz w:val="20"/>
          <w:szCs w:val="20"/>
        </w:rPr>
        <w:t>across all the samples. C</w:t>
      </w:r>
      <w:r w:rsidR="006B4489" w:rsidRPr="00C13AA1">
        <w:rPr>
          <w:rFonts w:ascii="Arial" w:hAnsi="Arial" w:cs="Arial"/>
          <w:bCs/>
          <w:sz w:val="20"/>
          <w:szCs w:val="20"/>
        </w:rPr>
        <w:t xml:space="preserve">arbohydrates and glycosides </w:t>
      </w:r>
      <w:r w:rsidR="009D73C3" w:rsidRPr="00C13AA1">
        <w:rPr>
          <w:rFonts w:ascii="Arial" w:hAnsi="Arial" w:cs="Arial"/>
          <w:bCs/>
          <w:sz w:val="20"/>
          <w:szCs w:val="20"/>
        </w:rPr>
        <w:t>also exhibited moderate presence i</w:t>
      </w:r>
      <w:r w:rsidR="006B4489" w:rsidRPr="00C13AA1">
        <w:rPr>
          <w:rFonts w:ascii="Arial" w:hAnsi="Arial" w:cs="Arial"/>
          <w:bCs/>
          <w:sz w:val="20"/>
          <w:szCs w:val="20"/>
        </w:rPr>
        <w:t xml:space="preserve">n </w:t>
      </w:r>
      <w:r w:rsidR="009D73C3" w:rsidRPr="00C13AA1">
        <w:rPr>
          <w:rFonts w:ascii="Arial" w:hAnsi="Arial" w:cs="Arial"/>
          <w:bCs/>
          <w:sz w:val="20"/>
          <w:szCs w:val="20"/>
        </w:rPr>
        <w:t xml:space="preserve">both </w:t>
      </w:r>
      <w:r w:rsidR="006B4489" w:rsidRPr="00C13AA1">
        <w:rPr>
          <w:rFonts w:ascii="Arial" w:hAnsi="Arial" w:cs="Arial"/>
          <w:bCs/>
          <w:sz w:val="20"/>
          <w:szCs w:val="20"/>
        </w:rPr>
        <w:t>raw and processed samples.</w:t>
      </w:r>
      <w:r w:rsidR="006B4489" w:rsidRPr="00C13AA1">
        <w:rPr>
          <w:rFonts w:ascii="Arial" w:hAnsi="Arial" w:cs="Arial"/>
          <w:sz w:val="20"/>
          <w:szCs w:val="20"/>
        </w:rPr>
        <w:t xml:space="preserve"> </w:t>
      </w:r>
      <w:r w:rsidR="006B4489" w:rsidRPr="00C13AA1">
        <w:rPr>
          <w:rFonts w:ascii="Arial" w:hAnsi="Arial" w:cs="Arial"/>
          <w:bCs/>
          <w:sz w:val="20"/>
          <w:szCs w:val="20"/>
        </w:rPr>
        <w:t xml:space="preserve">Alkaloids, proteins, amino acids, saponin, fats, oils, gums &amp; </w:t>
      </w:r>
      <w:proofErr w:type="spellStart"/>
      <w:r w:rsidR="006B4489" w:rsidRPr="00C13AA1">
        <w:rPr>
          <w:rFonts w:ascii="Arial" w:hAnsi="Arial" w:cs="Arial"/>
          <w:bCs/>
          <w:sz w:val="20"/>
          <w:szCs w:val="20"/>
        </w:rPr>
        <w:t>mucilages</w:t>
      </w:r>
      <w:proofErr w:type="spellEnd"/>
      <w:r w:rsidR="006B4489" w:rsidRPr="00C13AA1">
        <w:rPr>
          <w:rFonts w:ascii="Arial" w:hAnsi="Arial" w:cs="Arial"/>
          <w:bCs/>
          <w:sz w:val="20"/>
          <w:szCs w:val="20"/>
        </w:rPr>
        <w:t xml:space="preserve"> were not </w:t>
      </w:r>
      <w:r w:rsidR="00925387" w:rsidRPr="00C13AA1">
        <w:rPr>
          <w:rFonts w:ascii="Arial" w:hAnsi="Arial" w:cs="Arial"/>
          <w:bCs/>
          <w:sz w:val="20"/>
          <w:szCs w:val="20"/>
        </w:rPr>
        <w:t xml:space="preserve">detected </w:t>
      </w:r>
      <w:r w:rsidR="006B4489" w:rsidRPr="00C13AA1">
        <w:rPr>
          <w:rFonts w:ascii="Arial" w:hAnsi="Arial" w:cs="Arial"/>
          <w:bCs/>
          <w:sz w:val="20"/>
          <w:szCs w:val="20"/>
        </w:rPr>
        <w:t>in any of the sample</w:t>
      </w:r>
      <w:r w:rsidR="00925387" w:rsidRPr="00C13AA1">
        <w:rPr>
          <w:rFonts w:ascii="Arial" w:hAnsi="Arial" w:cs="Arial"/>
          <w:bCs/>
          <w:sz w:val="20"/>
          <w:szCs w:val="20"/>
        </w:rPr>
        <w:t>s</w:t>
      </w:r>
      <w:r w:rsidR="006B4489" w:rsidRPr="00C13AA1">
        <w:rPr>
          <w:rFonts w:ascii="Arial" w:hAnsi="Arial" w:cs="Arial"/>
          <w:bCs/>
          <w:sz w:val="20"/>
          <w:szCs w:val="20"/>
        </w:rPr>
        <w:t>.</w:t>
      </w:r>
      <w:r w:rsidR="006B4489" w:rsidRPr="00C13AA1">
        <w:rPr>
          <w:rFonts w:ascii="Arial" w:hAnsi="Arial" w:cs="Arial"/>
          <w:sz w:val="20"/>
          <w:szCs w:val="20"/>
        </w:rPr>
        <w:t xml:space="preserve"> </w:t>
      </w:r>
      <w:r w:rsidR="00925387" w:rsidRPr="00C13AA1">
        <w:rPr>
          <w:rFonts w:ascii="Arial" w:hAnsi="Arial" w:cs="Arial"/>
          <w:sz w:val="20"/>
          <w:szCs w:val="20"/>
        </w:rPr>
        <w:t xml:space="preserve">It was further </w:t>
      </w:r>
      <w:r w:rsidR="009D2A2C" w:rsidRPr="00C13AA1">
        <w:rPr>
          <w:rFonts w:ascii="Arial" w:hAnsi="Arial" w:cs="Arial"/>
          <w:sz w:val="20"/>
          <w:szCs w:val="20"/>
        </w:rPr>
        <w:t>found t</w:t>
      </w:r>
      <w:r w:rsidR="00925387" w:rsidRPr="00C13AA1">
        <w:rPr>
          <w:rFonts w:ascii="Arial" w:hAnsi="Arial" w:cs="Arial"/>
          <w:sz w:val="20"/>
          <w:szCs w:val="20"/>
        </w:rPr>
        <w:t xml:space="preserve">hat the phytochemical composition of </w:t>
      </w:r>
      <w:r w:rsidR="00031A7A">
        <w:rPr>
          <w:rFonts w:ascii="Arial" w:hAnsi="Arial" w:cs="Arial"/>
          <w:sz w:val="20"/>
          <w:szCs w:val="20"/>
        </w:rPr>
        <w:t>m</w:t>
      </w:r>
      <w:r w:rsidR="00925387" w:rsidRPr="00C13AA1">
        <w:rPr>
          <w:rFonts w:ascii="Arial" w:hAnsi="Arial" w:cs="Arial"/>
          <w:sz w:val="20"/>
          <w:szCs w:val="20"/>
        </w:rPr>
        <w:t xml:space="preserve">arjoram leaves remained largely stable across different cooking </w:t>
      </w:r>
      <w:r w:rsidR="009D2A2C" w:rsidRPr="00C13AA1">
        <w:rPr>
          <w:rFonts w:ascii="Arial" w:hAnsi="Arial" w:cs="Arial"/>
          <w:sz w:val="20"/>
          <w:szCs w:val="20"/>
        </w:rPr>
        <w:t>treatments as n</w:t>
      </w:r>
      <w:r w:rsidR="006B4489" w:rsidRPr="00C13AA1">
        <w:rPr>
          <w:rFonts w:ascii="Arial" w:hAnsi="Arial" w:cs="Arial"/>
          <w:sz w:val="20"/>
          <w:szCs w:val="20"/>
        </w:rPr>
        <w:t xml:space="preserve">o visible effect of cooking techniques on the phytochemical content of </w:t>
      </w:r>
      <w:r w:rsidR="00925387" w:rsidRPr="00C13AA1">
        <w:rPr>
          <w:rFonts w:ascii="Arial" w:hAnsi="Arial" w:cs="Arial"/>
          <w:sz w:val="20"/>
          <w:szCs w:val="20"/>
        </w:rPr>
        <w:t>m</w:t>
      </w:r>
      <w:r w:rsidR="006B4489" w:rsidRPr="00C13AA1">
        <w:rPr>
          <w:rFonts w:ascii="Arial" w:hAnsi="Arial" w:cs="Arial"/>
          <w:sz w:val="20"/>
          <w:szCs w:val="20"/>
        </w:rPr>
        <w:t xml:space="preserve">arjoram </w:t>
      </w:r>
      <w:r w:rsidR="006B4489" w:rsidRPr="00C13AA1">
        <w:rPr>
          <w:rFonts w:ascii="Arial" w:hAnsi="Arial" w:cs="Arial"/>
          <w:bCs/>
          <w:sz w:val="20"/>
          <w:szCs w:val="20"/>
        </w:rPr>
        <w:t>leaves</w:t>
      </w:r>
      <w:r w:rsidR="006B4489" w:rsidRPr="00C13AA1">
        <w:rPr>
          <w:rFonts w:ascii="Arial" w:hAnsi="Arial" w:cs="Arial"/>
          <w:sz w:val="20"/>
          <w:szCs w:val="20"/>
        </w:rPr>
        <w:t xml:space="preserve"> was observed. The </w:t>
      </w:r>
      <w:r w:rsidR="009D2A2C" w:rsidRPr="00C13AA1">
        <w:rPr>
          <w:rFonts w:ascii="Arial" w:hAnsi="Arial" w:cs="Arial"/>
          <w:sz w:val="20"/>
          <w:szCs w:val="20"/>
        </w:rPr>
        <w:t xml:space="preserve">presence of flavonoids in all processed samples aligns with the previous findings reported by </w:t>
      </w:r>
      <w:proofErr w:type="spellStart"/>
      <w:r w:rsidR="009D2A2C" w:rsidRPr="00C13AA1">
        <w:rPr>
          <w:rFonts w:ascii="Arial" w:hAnsi="Arial" w:cs="Arial"/>
          <w:sz w:val="20"/>
          <w:szCs w:val="20"/>
        </w:rPr>
        <w:t>Ghudhaib</w:t>
      </w:r>
      <w:proofErr w:type="spellEnd"/>
      <w:r w:rsidR="009D2A2C" w:rsidRPr="00C13AA1">
        <w:rPr>
          <w:rFonts w:ascii="Arial" w:hAnsi="Arial" w:cs="Arial"/>
          <w:sz w:val="20"/>
          <w:szCs w:val="20"/>
        </w:rPr>
        <w:t xml:space="preserve"> and </w:t>
      </w:r>
      <w:proofErr w:type="spellStart"/>
      <w:r w:rsidR="009D2A2C" w:rsidRPr="00C13AA1">
        <w:rPr>
          <w:rFonts w:ascii="Arial" w:hAnsi="Arial" w:cs="Arial"/>
          <w:sz w:val="20"/>
          <w:szCs w:val="20"/>
        </w:rPr>
        <w:t>Khaleel</w:t>
      </w:r>
      <w:proofErr w:type="spellEnd"/>
      <w:r w:rsidR="009D2A2C" w:rsidRPr="00C13AA1">
        <w:rPr>
          <w:rFonts w:ascii="Arial" w:hAnsi="Arial" w:cs="Arial"/>
          <w:sz w:val="20"/>
          <w:szCs w:val="20"/>
        </w:rPr>
        <w:t xml:space="preserve"> (2024), while</w:t>
      </w:r>
      <w:r w:rsidR="006B4489" w:rsidRPr="00C13AA1">
        <w:rPr>
          <w:rFonts w:ascii="Arial" w:hAnsi="Arial" w:cs="Arial"/>
          <w:sz w:val="20"/>
          <w:szCs w:val="20"/>
        </w:rPr>
        <w:t xml:space="preserve"> </w:t>
      </w:r>
      <w:r w:rsidR="009D2A2C" w:rsidRPr="00C13AA1">
        <w:rPr>
          <w:rFonts w:ascii="Arial" w:hAnsi="Arial" w:cs="Arial"/>
          <w:sz w:val="20"/>
          <w:szCs w:val="20"/>
        </w:rPr>
        <w:t xml:space="preserve">the absence of alkaloids and saponins corroborates </w:t>
      </w:r>
      <w:r w:rsidR="001E28E4" w:rsidRPr="00C13AA1">
        <w:rPr>
          <w:rFonts w:ascii="Arial" w:hAnsi="Arial" w:cs="Arial"/>
          <w:sz w:val="20"/>
          <w:szCs w:val="20"/>
        </w:rPr>
        <w:t xml:space="preserve">findings </w:t>
      </w:r>
      <w:r w:rsidR="009D2A2C" w:rsidRPr="00C13AA1">
        <w:rPr>
          <w:rFonts w:ascii="Arial" w:hAnsi="Arial" w:cs="Arial"/>
          <w:sz w:val="20"/>
          <w:szCs w:val="20"/>
        </w:rPr>
        <w:t xml:space="preserve">reported by </w:t>
      </w:r>
      <w:proofErr w:type="spellStart"/>
      <w:r w:rsidR="006B4489" w:rsidRPr="00C13AA1">
        <w:rPr>
          <w:rFonts w:ascii="Arial" w:hAnsi="Arial" w:cs="Arial"/>
          <w:sz w:val="20"/>
          <w:szCs w:val="20"/>
        </w:rPr>
        <w:t>Ghudhaib</w:t>
      </w:r>
      <w:proofErr w:type="spellEnd"/>
      <w:r w:rsidR="006B4489" w:rsidRPr="00C13AA1">
        <w:rPr>
          <w:rFonts w:ascii="Arial" w:hAnsi="Arial" w:cs="Arial"/>
          <w:sz w:val="20"/>
          <w:szCs w:val="20"/>
        </w:rPr>
        <w:t xml:space="preserve"> and </w:t>
      </w:r>
      <w:proofErr w:type="spellStart"/>
      <w:r w:rsidR="006B4489" w:rsidRPr="00C13AA1">
        <w:rPr>
          <w:rFonts w:ascii="Arial" w:hAnsi="Arial" w:cs="Arial"/>
          <w:sz w:val="20"/>
          <w:szCs w:val="20"/>
        </w:rPr>
        <w:t>Khaleel</w:t>
      </w:r>
      <w:proofErr w:type="spellEnd"/>
      <w:r w:rsidR="006B4489" w:rsidRPr="00C13AA1">
        <w:rPr>
          <w:rFonts w:ascii="Arial" w:hAnsi="Arial" w:cs="Arial"/>
          <w:sz w:val="20"/>
          <w:szCs w:val="20"/>
        </w:rPr>
        <w:t xml:space="preserve"> (2024) and Deuschle et al. (2018) in marjoram leaves. </w:t>
      </w:r>
    </w:p>
    <w:p w14:paraId="53022FFC" w14:textId="77777777" w:rsidR="00713319" w:rsidRPr="00860227" w:rsidRDefault="00713319" w:rsidP="00713319">
      <w:pPr>
        <w:spacing w:line="240" w:lineRule="auto"/>
        <w:jc w:val="both"/>
        <w:rPr>
          <w:rFonts w:ascii="Arial" w:hAnsi="Arial" w:cs="Arial"/>
          <w:b/>
          <w:bCs/>
        </w:rPr>
      </w:pPr>
      <w:r w:rsidRPr="00860227">
        <w:rPr>
          <w:rFonts w:ascii="Arial" w:hAnsi="Arial" w:cs="Arial"/>
          <w:b/>
          <w:bCs/>
        </w:rPr>
        <w:t>3.2 Total Phenol</w:t>
      </w:r>
    </w:p>
    <w:p w14:paraId="76B9DA8C" w14:textId="0987342C" w:rsidR="00713319" w:rsidRPr="00C13AA1" w:rsidRDefault="00713319" w:rsidP="00713319">
      <w:pPr>
        <w:spacing w:line="240" w:lineRule="auto"/>
        <w:jc w:val="both"/>
        <w:rPr>
          <w:rFonts w:ascii="Arial" w:hAnsi="Arial" w:cs="Arial"/>
          <w:sz w:val="20"/>
          <w:szCs w:val="20"/>
        </w:rPr>
      </w:pPr>
      <w:r w:rsidRPr="00C13AA1">
        <w:rPr>
          <w:rFonts w:ascii="Arial" w:hAnsi="Arial" w:cs="Arial"/>
          <w:bCs/>
          <w:sz w:val="20"/>
          <w:szCs w:val="20"/>
        </w:rPr>
        <w:t xml:space="preserve">Phenolic compounds react with </w:t>
      </w:r>
      <w:proofErr w:type="spellStart"/>
      <w:r w:rsidRPr="00C13AA1">
        <w:rPr>
          <w:rFonts w:ascii="Arial" w:hAnsi="Arial" w:cs="Arial"/>
          <w:bCs/>
          <w:sz w:val="20"/>
          <w:szCs w:val="20"/>
        </w:rPr>
        <w:t>Folin</w:t>
      </w:r>
      <w:proofErr w:type="spellEnd"/>
      <w:r w:rsidRPr="00C13AA1">
        <w:rPr>
          <w:rFonts w:ascii="Arial" w:hAnsi="Arial" w:cs="Arial"/>
          <w:bCs/>
          <w:sz w:val="20"/>
          <w:szCs w:val="20"/>
        </w:rPr>
        <w:t>–</w:t>
      </w:r>
      <w:proofErr w:type="spellStart"/>
      <w:r w:rsidRPr="00C13AA1">
        <w:rPr>
          <w:rFonts w:ascii="Arial" w:hAnsi="Arial" w:cs="Arial"/>
          <w:bCs/>
          <w:sz w:val="20"/>
          <w:szCs w:val="20"/>
        </w:rPr>
        <w:t>Ciocalteu</w:t>
      </w:r>
      <w:proofErr w:type="spellEnd"/>
      <w:r w:rsidRPr="00C13AA1">
        <w:rPr>
          <w:rFonts w:ascii="Arial" w:hAnsi="Arial" w:cs="Arial"/>
          <w:bCs/>
          <w:sz w:val="20"/>
          <w:szCs w:val="20"/>
        </w:rPr>
        <w:t xml:space="preserve"> reagent (FCR) only under basic conditions. Dissociation of a phenolic proton in basic medium leads to a phenolate anion, which is capable of reducing FCR in which the molybdate in the testing system is reduced forming blue </w:t>
      </w:r>
      <w:proofErr w:type="spellStart"/>
      <w:r w:rsidRPr="00C13AA1">
        <w:rPr>
          <w:rFonts w:ascii="Arial" w:hAnsi="Arial" w:cs="Arial"/>
          <w:bCs/>
          <w:sz w:val="20"/>
          <w:szCs w:val="20"/>
        </w:rPr>
        <w:t>colored</w:t>
      </w:r>
      <w:proofErr w:type="spellEnd"/>
      <w:r w:rsidRPr="00C13AA1">
        <w:rPr>
          <w:rFonts w:ascii="Arial" w:hAnsi="Arial" w:cs="Arial"/>
          <w:bCs/>
          <w:sz w:val="20"/>
          <w:szCs w:val="20"/>
        </w:rPr>
        <w:t xml:space="preserve"> molybdenum oxide with maximum absorption near 700nm (Huang et al.</w:t>
      </w:r>
      <w:r>
        <w:rPr>
          <w:rFonts w:ascii="Arial" w:hAnsi="Arial" w:cs="Arial"/>
          <w:bCs/>
          <w:sz w:val="20"/>
          <w:szCs w:val="20"/>
        </w:rPr>
        <w:t xml:space="preserve">, </w:t>
      </w:r>
      <w:r w:rsidRPr="00C13AA1">
        <w:rPr>
          <w:rFonts w:ascii="Arial" w:hAnsi="Arial" w:cs="Arial"/>
          <w:bCs/>
          <w:sz w:val="20"/>
          <w:szCs w:val="20"/>
        </w:rPr>
        <w:t>2005).</w:t>
      </w:r>
      <w:r w:rsidRPr="00C13AA1">
        <w:rPr>
          <w:rFonts w:ascii="Arial" w:hAnsi="Arial" w:cs="Arial"/>
          <w:sz w:val="20"/>
          <w:szCs w:val="20"/>
        </w:rPr>
        <w:t xml:space="preserve"> The total phenolic content (</w:t>
      </w:r>
      <w:r w:rsidRPr="00C13AA1">
        <w:rPr>
          <w:rFonts w:ascii="Arial" w:hAnsi="Arial" w:cs="Arial"/>
          <w:bCs/>
          <w:sz w:val="20"/>
          <w:szCs w:val="20"/>
        </w:rPr>
        <w:t xml:space="preserve">TPC) </w:t>
      </w:r>
      <w:r>
        <w:rPr>
          <w:rFonts w:ascii="Arial" w:hAnsi="Arial" w:cs="Arial"/>
          <w:bCs/>
          <w:sz w:val="20"/>
          <w:szCs w:val="20"/>
        </w:rPr>
        <w:t>of raw and processed marj</w:t>
      </w:r>
      <w:r w:rsidRPr="00C13AA1">
        <w:rPr>
          <w:rFonts w:ascii="Arial" w:hAnsi="Arial" w:cs="Arial"/>
          <w:bCs/>
          <w:sz w:val="20"/>
          <w:szCs w:val="20"/>
        </w:rPr>
        <w:t xml:space="preserve">oram leaves is presented in Table 2. </w:t>
      </w:r>
      <w:r w:rsidRPr="00C13AA1">
        <w:rPr>
          <w:rFonts w:ascii="Arial" w:hAnsi="Arial" w:cs="Arial"/>
          <w:sz w:val="20"/>
          <w:szCs w:val="20"/>
        </w:rPr>
        <w:t xml:space="preserve">Fig 2. The phenolic content of marjoram leaves, both raw and processed, ranged from 146.21 to 660.19 mg/100g GAE. The highest phenolic content was observed in the sauteed sample, while the raw sample exhibited the lowest. </w:t>
      </w:r>
      <w:r w:rsidRPr="00C13AA1">
        <w:rPr>
          <w:rFonts w:ascii="Arial" w:hAnsi="Arial" w:cs="Arial"/>
          <w:bCs/>
          <w:sz w:val="20"/>
          <w:szCs w:val="20"/>
        </w:rPr>
        <w:t xml:space="preserve">All treatments led to a </w:t>
      </w:r>
      <w:r w:rsidRPr="00C13AA1">
        <w:rPr>
          <w:rFonts w:ascii="Arial" w:hAnsi="Arial" w:cs="Arial"/>
          <w:sz w:val="20"/>
          <w:szCs w:val="20"/>
        </w:rPr>
        <w:t xml:space="preserve">significant </w:t>
      </w:r>
      <w:r w:rsidRPr="00C13AA1">
        <w:rPr>
          <w:rFonts w:ascii="Arial" w:hAnsi="Arial" w:cs="Arial"/>
          <w:bCs/>
          <w:sz w:val="20"/>
          <w:szCs w:val="20"/>
        </w:rPr>
        <w:t>(p≤0.05)</w:t>
      </w:r>
      <w:r w:rsidRPr="00C13AA1">
        <w:rPr>
          <w:rFonts w:ascii="Arial" w:hAnsi="Arial" w:cs="Arial"/>
          <w:sz w:val="20"/>
          <w:szCs w:val="20"/>
        </w:rPr>
        <w:t xml:space="preserve"> increase in phenolic content over the raw sample (146.21 mg).</w:t>
      </w:r>
      <w:r w:rsidRPr="00C13AA1">
        <w:rPr>
          <w:rFonts w:ascii="Arial" w:hAnsi="Arial" w:cs="Arial"/>
          <w:bCs/>
          <w:sz w:val="20"/>
          <w:szCs w:val="20"/>
        </w:rPr>
        <w:t xml:space="preserve"> </w:t>
      </w:r>
      <w:r w:rsidRPr="00C13AA1">
        <w:rPr>
          <w:rFonts w:ascii="Arial" w:hAnsi="Arial" w:cs="Arial"/>
          <w:sz w:val="20"/>
          <w:szCs w:val="20"/>
        </w:rPr>
        <w:t xml:space="preserve">Tukey’s HSD confirms a clear descending order in retention of phenolic content i.e. sautéed = Pressure Cooked &gt; Boiled = Steamed = Microwave &gt; Raw. Sautéing (660.19 mg) and pressure cooking (617.32 mg) showed the highest levels, significantly </w:t>
      </w:r>
      <w:r w:rsidRPr="00C13AA1">
        <w:rPr>
          <w:rFonts w:ascii="Arial" w:hAnsi="Arial" w:cs="Arial"/>
          <w:bCs/>
          <w:sz w:val="20"/>
          <w:szCs w:val="20"/>
        </w:rPr>
        <w:t xml:space="preserve">(p≤0.05) </w:t>
      </w:r>
      <w:r w:rsidRPr="00C13AA1">
        <w:rPr>
          <w:rFonts w:ascii="Arial" w:hAnsi="Arial" w:cs="Arial"/>
          <w:sz w:val="20"/>
          <w:szCs w:val="20"/>
        </w:rPr>
        <w:t>above all others.</w:t>
      </w:r>
      <w:r w:rsidRPr="00713319">
        <w:rPr>
          <w:rFonts w:ascii="Arial" w:hAnsi="Arial" w:cs="Arial"/>
          <w:sz w:val="20"/>
          <w:szCs w:val="20"/>
        </w:rPr>
        <w:t xml:space="preserve"> </w:t>
      </w:r>
      <w:r w:rsidRPr="00C13AA1">
        <w:rPr>
          <w:rFonts w:ascii="Arial" w:hAnsi="Arial" w:cs="Arial"/>
          <w:sz w:val="20"/>
          <w:szCs w:val="20"/>
        </w:rPr>
        <w:lastRenderedPageBreak/>
        <w:t>Microwave, boiling, and steaming resulted in improved phenolic content which was significant with</w:t>
      </w:r>
      <w:r>
        <w:rPr>
          <w:rFonts w:ascii="Arial" w:hAnsi="Arial" w:cs="Arial"/>
          <w:sz w:val="20"/>
          <w:szCs w:val="20"/>
        </w:rPr>
        <w:t xml:space="preserve"> </w:t>
      </w:r>
      <w:r w:rsidRPr="00C13AA1">
        <w:rPr>
          <w:rFonts w:ascii="Arial" w:hAnsi="Arial" w:cs="Arial"/>
          <w:sz w:val="20"/>
          <w:szCs w:val="20"/>
        </w:rPr>
        <w:t xml:space="preserve">raw but non-significant with each other. All the processing techniques preserved and </w:t>
      </w:r>
      <w:r w:rsidRPr="00C13AA1">
        <w:rPr>
          <w:rFonts w:ascii="Arial" w:hAnsi="Arial" w:cs="Arial"/>
          <w:bCs/>
          <w:sz w:val="20"/>
          <w:szCs w:val="20"/>
        </w:rPr>
        <w:t>significantly</w:t>
      </w:r>
    </w:p>
    <w:p w14:paraId="4401BBC9" w14:textId="261C4F50" w:rsidR="00732DC5" w:rsidRPr="00C13AA1" w:rsidRDefault="00732DC5" w:rsidP="00C771CE">
      <w:pPr>
        <w:spacing w:line="240" w:lineRule="auto"/>
        <w:jc w:val="both"/>
        <w:rPr>
          <w:rFonts w:ascii="Arial" w:hAnsi="Arial" w:cs="Arial"/>
          <w:b/>
          <w:sz w:val="20"/>
          <w:szCs w:val="20"/>
        </w:rPr>
      </w:pPr>
      <w:r w:rsidRPr="00C13AA1">
        <w:rPr>
          <w:rFonts w:ascii="Arial" w:hAnsi="Arial" w:cs="Arial"/>
          <w:b/>
          <w:sz w:val="20"/>
          <w:szCs w:val="20"/>
        </w:rPr>
        <w:t xml:space="preserve">Table 1: Impact of processing on phytochemical screening of </w:t>
      </w:r>
      <w:r w:rsidR="00657ECC" w:rsidRPr="00C13AA1">
        <w:rPr>
          <w:rFonts w:ascii="Arial" w:hAnsi="Arial" w:cs="Arial"/>
          <w:b/>
          <w:sz w:val="20"/>
          <w:szCs w:val="20"/>
        </w:rPr>
        <w:t>Marjoram</w:t>
      </w:r>
      <w:r w:rsidRPr="00C13AA1">
        <w:rPr>
          <w:rFonts w:ascii="Arial" w:hAnsi="Arial" w:cs="Arial"/>
          <w:b/>
          <w:sz w:val="20"/>
          <w:szCs w:val="20"/>
        </w:rPr>
        <w:t xml:space="preserve"> leaves</w:t>
      </w:r>
    </w:p>
    <w:tbl>
      <w:tblPr>
        <w:tblStyle w:val="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1933"/>
        <w:gridCol w:w="611"/>
        <w:gridCol w:w="998"/>
        <w:gridCol w:w="1070"/>
        <w:gridCol w:w="1228"/>
        <w:gridCol w:w="1176"/>
        <w:gridCol w:w="1119"/>
      </w:tblGrid>
      <w:tr w:rsidR="003B471C" w:rsidRPr="00C13AA1" w14:paraId="5399BF67" w14:textId="77777777" w:rsidTr="007101B8">
        <w:tc>
          <w:tcPr>
            <w:tcW w:w="881" w:type="dxa"/>
          </w:tcPr>
          <w:p w14:paraId="5AB4DAB9" w14:textId="77777777" w:rsidR="003B471C" w:rsidRPr="00C13AA1" w:rsidRDefault="003B471C" w:rsidP="00C771CE">
            <w:pPr>
              <w:jc w:val="both"/>
              <w:rPr>
                <w:rFonts w:ascii="Arial" w:hAnsi="Arial" w:cs="Arial"/>
                <w:b/>
                <w:sz w:val="20"/>
                <w:szCs w:val="20"/>
              </w:rPr>
            </w:pPr>
          </w:p>
          <w:p w14:paraId="6737E3EA"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S.N.</w:t>
            </w:r>
          </w:p>
        </w:tc>
        <w:tc>
          <w:tcPr>
            <w:tcW w:w="1933" w:type="dxa"/>
          </w:tcPr>
          <w:p w14:paraId="662F79BF"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Phytochemical screening</w:t>
            </w:r>
          </w:p>
        </w:tc>
        <w:tc>
          <w:tcPr>
            <w:tcW w:w="611" w:type="dxa"/>
          </w:tcPr>
          <w:p w14:paraId="465E8A40"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Raw</w:t>
            </w:r>
          </w:p>
        </w:tc>
        <w:tc>
          <w:tcPr>
            <w:tcW w:w="998" w:type="dxa"/>
          </w:tcPr>
          <w:p w14:paraId="33EA8860"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 xml:space="preserve">Boiling </w:t>
            </w:r>
          </w:p>
        </w:tc>
        <w:tc>
          <w:tcPr>
            <w:tcW w:w="1070" w:type="dxa"/>
          </w:tcPr>
          <w:p w14:paraId="477E9D85"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Pressure cooking</w:t>
            </w:r>
          </w:p>
        </w:tc>
        <w:tc>
          <w:tcPr>
            <w:tcW w:w="1228" w:type="dxa"/>
          </w:tcPr>
          <w:p w14:paraId="5F6DDE91"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 xml:space="preserve">Microwave </w:t>
            </w:r>
          </w:p>
          <w:p w14:paraId="1500460F" w14:textId="06151993" w:rsidR="003B471C" w:rsidRPr="00C13AA1" w:rsidRDefault="007101B8" w:rsidP="00C771CE">
            <w:pPr>
              <w:jc w:val="both"/>
              <w:rPr>
                <w:rFonts w:ascii="Arial" w:hAnsi="Arial" w:cs="Arial"/>
                <w:b/>
                <w:sz w:val="20"/>
                <w:szCs w:val="20"/>
              </w:rPr>
            </w:pPr>
            <w:r w:rsidRPr="00C13AA1">
              <w:rPr>
                <w:rFonts w:ascii="Arial" w:hAnsi="Arial" w:cs="Arial"/>
                <w:b/>
                <w:sz w:val="20"/>
                <w:szCs w:val="20"/>
              </w:rPr>
              <w:t>C</w:t>
            </w:r>
            <w:r w:rsidR="003B471C" w:rsidRPr="00C13AA1">
              <w:rPr>
                <w:rFonts w:ascii="Arial" w:hAnsi="Arial" w:cs="Arial"/>
                <w:b/>
                <w:sz w:val="20"/>
                <w:szCs w:val="20"/>
              </w:rPr>
              <w:t>ooking</w:t>
            </w:r>
          </w:p>
        </w:tc>
        <w:tc>
          <w:tcPr>
            <w:tcW w:w="1176" w:type="dxa"/>
          </w:tcPr>
          <w:p w14:paraId="468C57B5" w14:textId="77777777" w:rsidR="003B471C" w:rsidRPr="00C13AA1" w:rsidRDefault="003B471C" w:rsidP="00C771CE">
            <w:pPr>
              <w:jc w:val="both"/>
              <w:rPr>
                <w:rFonts w:ascii="Arial" w:hAnsi="Arial" w:cs="Arial"/>
                <w:b/>
                <w:sz w:val="20"/>
                <w:szCs w:val="20"/>
              </w:rPr>
            </w:pPr>
            <w:r w:rsidRPr="00C13AA1">
              <w:rPr>
                <w:rFonts w:ascii="Arial" w:eastAsia="Times New Roman" w:hAnsi="Arial" w:cs="Arial"/>
                <w:b/>
                <w:sz w:val="20"/>
                <w:szCs w:val="20"/>
              </w:rPr>
              <w:t>Steaming</w:t>
            </w:r>
          </w:p>
        </w:tc>
        <w:tc>
          <w:tcPr>
            <w:tcW w:w="1119" w:type="dxa"/>
          </w:tcPr>
          <w:p w14:paraId="110DA5AE" w14:textId="77777777" w:rsidR="003B471C" w:rsidRPr="00C13AA1" w:rsidRDefault="003B471C" w:rsidP="00C771CE">
            <w:pPr>
              <w:jc w:val="both"/>
              <w:rPr>
                <w:rFonts w:ascii="Arial" w:hAnsi="Arial" w:cs="Arial"/>
                <w:b/>
                <w:sz w:val="20"/>
                <w:szCs w:val="20"/>
              </w:rPr>
            </w:pPr>
            <w:r w:rsidRPr="00C13AA1">
              <w:rPr>
                <w:rFonts w:ascii="Arial" w:eastAsia="Times New Roman" w:hAnsi="Arial" w:cs="Arial"/>
                <w:b/>
                <w:color w:val="000000"/>
                <w:sz w:val="20"/>
                <w:szCs w:val="20"/>
                <w:highlight w:val="white"/>
              </w:rPr>
              <w:t>Sautéing</w:t>
            </w:r>
          </w:p>
        </w:tc>
      </w:tr>
      <w:tr w:rsidR="003B471C" w:rsidRPr="00C13AA1" w14:paraId="097396ED" w14:textId="77777777" w:rsidTr="007101B8">
        <w:tc>
          <w:tcPr>
            <w:tcW w:w="881" w:type="dxa"/>
          </w:tcPr>
          <w:p w14:paraId="4C50BF4A"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1.</w:t>
            </w:r>
          </w:p>
        </w:tc>
        <w:tc>
          <w:tcPr>
            <w:tcW w:w="8135" w:type="dxa"/>
            <w:gridSpan w:val="7"/>
          </w:tcPr>
          <w:p w14:paraId="50C750CD"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alkaloids</w:t>
            </w:r>
          </w:p>
        </w:tc>
      </w:tr>
      <w:tr w:rsidR="003B471C" w:rsidRPr="00C13AA1" w14:paraId="358384D9" w14:textId="77777777" w:rsidTr="007101B8">
        <w:tc>
          <w:tcPr>
            <w:tcW w:w="881" w:type="dxa"/>
          </w:tcPr>
          <w:p w14:paraId="3271BC6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0552E4E"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Mayer’s test</w:t>
            </w:r>
          </w:p>
        </w:tc>
        <w:tc>
          <w:tcPr>
            <w:tcW w:w="611" w:type="dxa"/>
          </w:tcPr>
          <w:p w14:paraId="6EDE485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 xml:space="preserve">- </w:t>
            </w:r>
          </w:p>
        </w:tc>
        <w:tc>
          <w:tcPr>
            <w:tcW w:w="998" w:type="dxa"/>
          </w:tcPr>
          <w:p w14:paraId="608A21E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E443F5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B3FAA7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247AEB8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1AAB37A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13D7D595" w14:textId="77777777" w:rsidTr="007101B8">
        <w:tc>
          <w:tcPr>
            <w:tcW w:w="881" w:type="dxa"/>
          </w:tcPr>
          <w:p w14:paraId="118C37A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4B3EB0D8"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Wagner’s test</w:t>
            </w:r>
          </w:p>
        </w:tc>
        <w:tc>
          <w:tcPr>
            <w:tcW w:w="611" w:type="dxa"/>
          </w:tcPr>
          <w:p w14:paraId="3F131F6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5BA81FC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5BD74CE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DAE750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8CBE34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0DB304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1E80282C" w14:textId="77777777" w:rsidTr="007101B8">
        <w:tc>
          <w:tcPr>
            <w:tcW w:w="881" w:type="dxa"/>
          </w:tcPr>
          <w:p w14:paraId="5A297B0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0461F42C"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Hager’s test</w:t>
            </w:r>
          </w:p>
        </w:tc>
        <w:tc>
          <w:tcPr>
            <w:tcW w:w="611" w:type="dxa"/>
          </w:tcPr>
          <w:p w14:paraId="3CE0DEA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19CB708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CA8070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4521EB7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153D56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482DC23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4C6401E3" w14:textId="77777777" w:rsidTr="007101B8">
        <w:tc>
          <w:tcPr>
            <w:tcW w:w="881" w:type="dxa"/>
          </w:tcPr>
          <w:p w14:paraId="3591ED5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D.</w:t>
            </w:r>
          </w:p>
        </w:tc>
        <w:tc>
          <w:tcPr>
            <w:tcW w:w="1933" w:type="dxa"/>
          </w:tcPr>
          <w:p w14:paraId="3A49DAEC"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Dragendorff’s test</w:t>
            </w:r>
          </w:p>
        </w:tc>
        <w:tc>
          <w:tcPr>
            <w:tcW w:w="611" w:type="dxa"/>
          </w:tcPr>
          <w:p w14:paraId="3E6066C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1354A2D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30F8AA5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4EAB8BF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2625840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847FA8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5AD9BDD" w14:textId="77777777" w:rsidTr="007101B8">
        <w:tc>
          <w:tcPr>
            <w:tcW w:w="881" w:type="dxa"/>
          </w:tcPr>
          <w:p w14:paraId="33A93550"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2.</w:t>
            </w:r>
          </w:p>
        </w:tc>
        <w:tc>
          <w:tcPr>
            <w:tcW w:w="8135" w:type="dxa"/>
            <w:gridSpan w:val="7"/>
          </w:tcPr>
          <w:p w14:paraId="7D6EFB5A"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 xml:space="preserve">Detection of carbohydrates </w:t>
            </w:r>
          </w:p>
        </w:tc>
      </w:tr>
      <w:tr w:rsidR="003B471C" w:rsidRPr="00C13AA1" w14:paraId="5600ABE9" w14:textId="77777777" w:rsidTr="007101B8">
        <w:tc>
          <w:tcPr>
            <w:tcW w:w="881" w:type="dxa"/>
          </w:tcPr>
          <w:p w14:paraId="104143F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32D9ADBB" w14:textId="77777777" w:rsidR="003B471C" w:rsidRPr="00C13AA1" w:rsidRDefault="003B471C" w:rsidP="00C771CE">
            <w:pPr>
              <w:jc w:val="both"/>
              <w:rPr>
                <w:rFonts w:ascii="Arial" w:eastAsia="Times New Roman" w:hAnsi="Arial" w:cs="Arial"/>
                <w:bCs/>
                <w:color w:val="000000"/>
                <w:sz w:val="20"/>
                <w:szCs w:val="20"/>
                <w:highlight w:val="white"/>
              </w:rPr>
            </w:pPr>
            <w:proofErr w:type="spellStart"/>
            <w:r w:rsidRPr="00C13AA1">
              <w:rPr>
                <w:rFonts w:ascii="Arial" w:eastAsia="Times New Roman" w:hAnsi="Arial" w:cs="Arial"/>
                <w:bCs/>
                <w:color w:val="000000"/>
                <w:sz w:val="20"/>
                <w:szCs w:val="20"/>
                <w:highlight w:val="white"/>
              </w:rPr>
              <w:t>Molish’s</w:t>
            </w:r>
            <w:proofErr w:type="spellEnd"/>
            <w:r w:rsidRPr="00C13AA1">
              <w:rPr>
                <w:rFonts w:ascii="Arial" w:eastAsia="Times New Roman" w:hAnsi="Arial" w:cs="Arial"/>
                <w:bCs/>
                <w:color w:val="000000"/>
                <w:sz w:val="20"/>
                <w:szCs w:val="20"/>
                <w:highlight w:val="white"/>
              </w:rPr>
              <w:t xml:space="preserve"> test</w:t>
            </w:r>
          </w:p>
        </w:tc>
        <w:tc>
          <w:tcPr>
            <w:tcW w:w="611" w:type="dxa"/>
          </w:tcPr>
          <w:p w14:paraId="63EAA59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BDF76B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06D9EA5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0FF538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0E3573E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3AB845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74E7755" w14:textId="77777777" w:rsidTr="007101B8">
        <w:tc>
          <w:tcPr>
            <w:tcW w:w="881" w:type="dxa"/>
          </w:tcPr>
          <w:p w14:paraId="72CFED3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2DCC8CE8"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Fehling’s test</w:t>
            </w:r>
          </w:p>
        </w:tc>
        <w:tc>
          <w:tcPr>
            <w:tcW w:w="611" w:type="dxa"/>
          </w:tcPr>
          <w:p w14:paraId="1B467B0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79EA476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BC148E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311698B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AED734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126D547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4A129990" w14:textId="77777777" w:rsidTr="007101B8">
        <w:tc>
          <w:tcPr>
            <w:tcW w:w="881" w:type="dxa"/>
          </w:tcPr>
          <w:p w14:paraId="6844B56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2EEFC267"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 xml:space="preserve">Barfoed test </w:t>
            </w:r>
          </w:p>
        </w:tc>
        <w:tc>
          <w:tcPr>
            <w:tcW w:w="611" w:type="dxa"/>
          </w:tcPr>
          <w:p w14:paraId="3F01B3A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F56A78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7A668C6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4B2671B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1CE548D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327D49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E725BC9" w14:textId="77777777" w:rsidTr="007101B8">
        <w:tc>
          <w:tcPr>
            <w:tcW w:w="881" w:type="dxa"/>
          </w:tcPr>
          <w:p w14:paraId="469A0FD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D.</w:t>
            </w:r>
          </w:p>
        </w:tc>
        <w:tc>
          <w:tcPr>
            <w:tcW w:w="1933" w:type="dxa"/>
          </w:tcPr>
          <w:p w14:paraId="1F5D8AFC"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Benedict test</w:t>
            </w:r>
          </w:p>
        </w:tc>
        <w:tc>
          <w:tcPr>
            <w:tcW w:w="611" w:type="dxa"/>
          </w:tcPr>
          <w:p w14:paraId="62A9B90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242BB5A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3BE3BFE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2B45AF4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2B62E12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B64A09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B29ABC2" w14:textId="77777777" w:rsidTr="007101B8">
        <w:tc>
          <w:tcPr>
            <w:tcW w:w="881" w:type="dxa"/>
          </w:tcPr>
          <w:p w14:paraId="7438030F"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3.</w:t>
            </w:r>
          </w:p>
        </w:tc>
        <w:tc>
          <w:tcPr>
            <w:tcW w:w="8135" w:type="dxa"/>
            <w:gridSpan w:val="7"/>
          </w:tcPr>
          <w:p w14:paraId="23DA5CDF"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glycosides</w:t>
            </w:r>
          </w:p>
        </w:tc>
      </w:tr>
      <w:tr w:rsidR="003B471C" w:rsidRPr="00C13AA1" w14:paraId="22F6CECC" w14:textId="77777777" w:rsidTr="007101B8">
        <w:tc>
          <w:tcPr>
            <w:tcW w:w="881" w:type="dxa"/>
          </w:tcPr>
          <w:p w14:paraId="58AEF5A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4B133979"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Sulphuric acid test</w:t>
            </w:r>
          </w:p>
        </w:tc>
        <w:tc>
          <w:tcPr>
            <w:tcW w:w="611" w:type="dxa"/>
          </w:tcPr>
          <w:p w14:paraId="3B90B21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90C319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3D7013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A55630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08C5068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997E34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33D39BB2" w14:textId="77777777" w:rsidTr="007101B8">
        <w:tc>
          <w:tcPr>
            <w:tcW w:w="881" w:type="dxa"/>
          </w:tcPr>
          <w:p w14:paraId="71681DD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424D5749"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Borntrager’s test</w:t>
            </w:r>
          </w:p>
        </w:tc>
        <w:tc>
          <w:tcPr>
            <w:tcW w:w="611" w:type="dxa"/>
          </w:tcPr>
          <w:p w14:paraId="2C1A5C5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0A565B9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E056B3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20EF7E1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1EC41E8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64D3FE6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BFAC610" w14:textId="77777777" w:rsidTr="007101B8">
        <w:tc>
          <w:tcPr>
            <w:tcW w:w="881" w:type="dxa"/>
          </w:tcPr>
          <w:p w14:paraId="5808D32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659A6B8B"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Legal’s test</w:t>
            </w:r>
          </w:p>
        </w:tc>
        <w:tc>
          <w:tcPr>
            <w:tcW w:w="611" w:type="dxa"/>
          </w:tcPr>
          <w:p w14:paraId="701C998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143B78D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48976FA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4A31F3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30F0D6F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272DFA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3FD01D74" w14:textId="77777777" w:rsidTr="007101B8">
        <w:tc>
          <w:tcPr>
            <w:tcW w:w="881" w:type="dxa"/>
          </w:tcPr>
          <w:p w14:paraId="4E8D16B9"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4.</w:t>
            </w:r>
          </w:p>
        </w:tc>
        <w:tc>
          <w:tcPr>
            <w:tcW w:w="8135" w:type="dxa"/>
            <w:gridSpan w:val="7"/>
          </w:tcPr>
          <w:p w14:paraId="15AD98EB"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
                <w:color w:val="000000"/>
                <w:sz w:val="20"/>
                <w:szCs w:val="20"/>
              </w:rPr>
              <w:t xml:space="preserve">Detection of saponin </w:t>
            </w:r>
            <w:r w:rsidRPr="00C13AA1">
              <w:rPr>
                <w:rFonts w:ascii="Arial" w:eastAsia="Times New Roman" w:hAnsi="Arial" w:cs="Arial"/>
                <w:b/>
                <w:color w:val="000000"/>
                <w:sz w:val="20"/>
                <w:szCs w:val="20"/>
                <w:highlight w:val="white"/>
              </w:rPr>
              <w:t xml:space="preserve"> </w:t>
            </w:r>
          </w:p>
        </w:tc>
      </w:tr>
      <w:tr w:rsidR="003B471C" w:rsidRPr="00C13AA1" w14:paraId="48B1AE67" w14:textId="77777777" w:rsidTr="007101B8">
        <w:tc>
          <w:tcPr>
            <w:tcW w:w="881" w:type="dxa"/>
          </w:tcPr>
          <w:p w14:paraId="2E06B9D1" w14:textId="77777777" w:rsidR="003B471C" w:rsidRPr="00C13AA1" w:rsidRDefault="003B471C" w:rsidP="00C771CE">
            <w:pPr>
              <w:jc w:val="both"/>
              <w:rPr>
                <w:rFonts w:ascii="Arial" w:hAnsi="Arial" w:cs="Arial"/>
                <w:sz w:val="20"/>
                <w:szCs w:val="20"/>
              </w:rPr>
            </w:pPr>
            <w:r w:rsidRPr="00C13AA1">
              <w:rPr>
                <w:rFonts w:ascii="Arial" w:hAnsi="Arial" w:cs="Arial"/>
                <w:bCs/>
                <w:sz w:val="20"/>
                <w:szCs w:val="20"/>
              </w:rPr>
              <w:t>A</w:t>
            </w:r>
          </w:p>
        </w:tc>
        <w:tc>
          <w:tcPr>
            <w:tcW w:w="1933" w:type="dxa"/>
          </w:tcPr>
          <w:p w14:paraId="53135620" w14:textId="77777777" w:rsidR="003B471C" w:rsidRPr="00C13AA1" w:rsidRDefault="003B471C" w:rsidP="00C771CE">
            <w:pPr>
              <w:jc w:val="both"/>
              <w:rPr>
                <w:rFonts w:ascii="Arial" w:hAnsi="Arial" w:cs="Arial"/>
                <w:sz w:val="20"/>
                <w:szCs w:val="20"/>
              </w:rPr>
            </w:pPr>
            <w:r w:rsidRPr="00C13AA1">
              <w:rPr>
                <w:rFonts w:ascii="Arial" w:eastAsia="Times New Roman" w:hAnsi="Arial" w:cs="Arial"/>
                <w:color w:val="000000"/>
                <w:sz w:val="20"/>
                <w:szCs w:val="20"/>
                <w:highlight w:val="white"/>
              </w:rPr>
              <w:t>Foam test</w:t>
            </w:r>
          </w:p>
        </w:tc>
        <w:tc>
          <w:tcPr>
            <w:tcW w:w="611" w:type="dxa"/>
          </w:tcPr>
          <w:p w14:paraId="27DBE33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9A97E4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365EC2A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C5DB45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61DB5DB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7A8257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654A85B" w14:textId="77777777" w:rsidTr="007101B8">
        <w:tc>
          <w:tcPr>
            <w:tcW w:w="881" w:type="dxa"/>
          </w:tcPr>
          <w:p w14:paraId="637C8865"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5.</w:t>
            </w:r>
          </w:p>
        </w:tc>
        <w:tc>
          <w:tcPr>
            <w:tcW w:w="8135" w:type="dxa"/>
            <w:gridSpan w:val="7"/>
          </w:tcPr>
          <w:p w14:paraId="3B8988DF"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proteins and amino acids</w:t>
            </w:r>
          </w:p>
        </w:tc>
      </w:tr>
      <w:tr w:rsidR="003B471C" w:rsidRPr="00C13AA1" w14:paraId="5F723E98" w14:textId="77777777" w:rsidTr="007101B8">
        <w:tc>
          <w:tcPr>
            <w:tcW w:w="881" w:type="dxa"/>
          </w:tcPr>
          <w:p w14:paraId="18CB80A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2126499"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Millon’s Test</w:t>
            </w:r>
          </w:p>
        </w:tc>
        <w:tc>
          <w:tcPr>
            <w:tcW w:w="611" w:type="dxa"/>
          </w:tcPr>
          <w:p w14:paraId="26AA1FB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78EA88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66E4647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2EE004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F8D19E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43278DA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A10587C" w14:textId="77777777" w:rsidTr="007101B8">
        <w:tc>
          <w:tcPr>
            <w:tcW w:w="881" w:type="dxa"/>
          </w:tcPr>
          <w:p w14:paraId="3CD841E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4F644DD2"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Biuret test</w:t>
            </w:r>
          </w:p>
        </w:tc>
        <w:tc>
          <w:tcPr>
            <w:tcW w:w="611" w:type="dxa"/>
          </w:tcPr>
          <w:p w14:paraId="560A5F8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6FEDF7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5AD0690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85AB26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1A7AC00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7224D51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C5A62AD" w14:textId="77777777" w:rsidTr="007101B8">
        <w:tc>
          <w:tcPr>
            <w:tcW w:w="881" w:type="dxa"/>
          </w:tcPr>
          <w:p w14:paraId="301F414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3A17E50F"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Ninhydrin test</w:t>
            </w:r>
          </w:p>
        </w:tc>
        <w:tc>
          <w:tcPr>
            <w:tcW w:w="611" w:type="dxa"/>
          </w:tcPr>
          <w:p w14:paraId="41BB46F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489F503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2D64FC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12BFB62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FBAB6E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190693A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339465E4" w14:textId="77777777" w:rsidTr="007101B8">
        <w:tc>
          <w:tcPr>
            <w:tcW w:w="881" w:type="dxa"/>
          </w:tcPr>
          <w:p w14:paraId="228862DD"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6.</w:t>
            </w:r>
          </w:p>
        </w:tc>
        <w:tc>
          <w:tcPr>
            <w:tcW w:w="8135" w:type="dxa"/>
            <w:gridSpan w:val="7"/>
          </w:tcPr>
          <w:p w14:paraId="65456DDB"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fixed oil and fats</w:t>
            </w:r>
          </w:p>
        </w:tc>
      </w:tr>
      <w:tr w:rsidR="003B471C" w:rsidRPr="00C13AA1" w14:paraId="75CC5323" w14:textId="77777777" w:rsidTr="007101B8">
        <w:tc>
          <w:tcPr>
            <w:tcW w:w="881" w:type="dxa"/>
          </w:tcPr>
          <w:p w14:paraId="5F15B4E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ECA7416"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Saponification test</w:t>
            </w:r>
          </w:p>
        </w:tc>
        <w:tc>
          <w:tcPr>
            <w:tcW w:w="611" w:type="dxa"/>
          </w:tcPr>
          <w:p w14:paraId="17D44C3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467D3DE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4DBD029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71A1B3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6F94346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3AB183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579BC90A" w14:textId="77777777" w:rsidTr="007101B8">
        <w:tc>
          <w:tcPr>
            <w:tcW w:w="881" w:type="dxa"/>
          </w:tcPr>
          <w:p w14:paraId="3A9E5429"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7.</w:t>
            </w:r>
          </w:p>
        </w:tc>
        <w:tc>
          <w:tcPr>
            <w:tcW w:w="8135" w:type="dxa"/>
            <w:gridSpan w:val="7"/>
          </w:tcPr>
          <w:p w14:paraId="670F78D7"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phenolic compound</w:t>
            </w:r>
          </w:p>
        </w:tc>
      </w:tr>
      <w:tr w:rsidR="003B471C" w:rsidRPr="00C13AA1" w14:paraId="38CC7814" w14:textId="77777777" w:rsidTr="007101B8">
        <w:tc>
          <w:tcPr>
            <w:tcW w:w="881" w:type="dxa"/>
          </w:tcPr>
          <w:p w14:paraId="0E7C64E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5384E82"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Ferric chloride test</w:t>
            </w:r>
          </w:p>
        </w:tc>
        <w:tc>
          <w:tcPr>
            <w:tcW w:w="611" w:type="dxa"/>
          </w:tcPr>
          <w:p w14:paraId="6C28A17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DC78D6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1B88785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5D7E80C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91FD2F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4EE660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58E81006" w14:textId="77777777" w:rsidTr="007101B8">
        <w:tc>
          <w:tcPr>
            <w:tcW w:w="881" w:type="dxa"/>
          </w:tcPr>
          <w:p w14:paraId="17275BD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5BFA8F35"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Lead acetate test</w:t>
            </w:r>
          </w:p>
        </w:tc>
        <w:tc>
          <w:tcPr>
            <w:tcW w:w="611" w:type="dxa"/>
          </w:tcPr>
          <w:p w14:paraId="3654D12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EE78F8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447A95F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2DD745A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3697B7E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75765D5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6E1A9C07" w14:textId="77777777" w:rsidTr="007101B8">
        <w:tc>
          <w:tcPr>
            <w:tcW w:w="881" w:type="dxa"/>
          </w:tcPr>
          <w:p w14:paraId="59BB973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0CA4D514" w14:textId="77777777" w:rsidR="003B471C" w:rsidRPr="00C13AA1" w:rsidRDefault="003B471C" w:rsidP="00C771CE">
            <w:pPr>
              <w:jc w:val="both"/>
              <w:rPr>
                <w:rFonts w:ascii="Arial" w:hAnsi="Arial" w:cs="Arial"/>
                <w:bCs/>
                <w:sz w:val="20"/>
                <w:szCs w:val="20"/>
              </w:rPr>
            </w:pPr>
            <w:proofErr w:type="spellStart"/>
            <w:r w:rsidRPr="00C13AA1">
              <w:rPr>
                <w:rFonts w:ascii="Arial" w:eastAsia="Times New Roman" w:hAnsi="Arial" w:cs="Arial"/>
                <w:bCs/>
                <w:color w:val="000000"/>
                <w:sz w:val="20"/>
                <w:szCs w:val="20"/>
                <w:highlight w:val="white"/>
              </w:rPr>
              <w:t>Gelatin</w:t>
            </w:r>
            <w:proofErr w:type="spellEnd"/>
            <w:r w:rsidRPr="00C13AA1">
              <w:rPr>
                <w:rFonts w:ascii="Arial" w:eastAsia="Times New Roman" w:hAnsi="Arial" w:cs="Arial"/>
                <w:bCs/>
                <w:color w:val="000000"/>
                <w:sz w:val="20"/>
                <w:szCs w:val="20"/>
                <w:highlight w:val="white"/>
              </w:rPr>
              <w:t xml:space="preserve"> test</w:t>
            </w:r>
          </w:p>
        </w:tc>
        <w:tc>
          <w:tcPr>
            <w:tcW w:w="611" w:type="dxa"/>
          </w:tcPr>
          <w:p w14:paraId="2A8F074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4C18072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50D7A93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C830CA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A89379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D25618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57AE8C6" w14:textId="77777777" w:rsidTr="007101B8">
        <w:tc>
          <w:tcPr>
            <w:tcW w:w="881" w:type="dxa"/>
          </w:tcPr>
          <w:p w14:paraId="0DE0B6A7"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8.</w:t>
            </w:r>
          </w:p>
        </w:tc>
        <w:tc>
          <w:tcPr>
            <w:tcW w:w="8135" w:type="dxa"/>
            <w:gridSpan w:val="7"/>
          </w:tcPr>
          <w:p w14:paraId="00CBCCC2"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flavonoids</w:t>
            </w:r>
          </w:p>
        </w:tc>
      </w:tr>
      <w:tr w:rsidR="003B471C" w:rsidRPr="00C13AA1" w14:paraId="3D9A5676" w14:textId="77777777" w:rsidTr="007101B8">
        <w:tc>
          <w:tcPr>
            <w:tcW w:w="881" w:type="dxa"/>
          </w:tcPr>
          <w:p w14:paraId="7740B38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0834C902"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Alkaline reagents test</w:t>
            </w:r>
          </w:p>
        </w:tc>
        <w:tc>
          <w:tcPr>
            <w:tcW w:w="611" w:type="dxa"/>
          </w:tcPr>
          <w:p w14:paraId="6C10040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D766FA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03A5689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BAAB21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E7FD80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698F681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7B17CBE" w14:textId="77777777" w:rsidTr="007101B8">
        <w:tc>
          <w:tcPr>
            <w:tcW w:w="881" w:type="dxa"/>
          </w:tcPr>
          <w:p w14:paraId="64F3C79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773D5DDF"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Magnesium and Hydrochloric acid reduction</w:t>
            </w:r>
          </w:p>
        </w:tc>
        <w:tc>
          <w:tcPr>
            <w:tcW w:w="611" w:type="dxa"/>
          </w:tcPr>
          <w:p w14:paraId="084728A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2CF047A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18F953C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300F635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962D1F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F1E47B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64CA96F9" w14:textId="77777777" w:rsidTr="007101B8">
        <w:tc>
          <w:tcPr>
            <w:tcW w:w="881" w:type="dxa"/>
          </w:tcPr>
          <w:p w14:paraId="3F0B28EA"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9.</w:t>
            </w:r>
          </w:p>
        </w:tc>
        <w:tc>
          <w:tcPr>
            <w:tcW w:w="1933" w:type="dxa"/>
          </w:tcPr>
          <w:p w14:paraId="2A2D7313" w14:textId="77777777" w:rsidR="003B471C" w:rsidRPr="00C13AA1" w:rsidRDefault="003B471C" w:rsidP="00C771CE">
            <w:pPr>
              <w:jc w:val="both"/>
              <w:rPr>
                <w:rFonts w:ascii="Arial" w:hAnsi="Arial" w:cs="Arial"/>
                <w:b/>
                <w:sz w:val="20"/>
                <w:szCs w:val="20"/>
              </w:rPr>
            </w:pPr>
            <w:r w:rsidRPr="00C13AA1">
              <w:rPr>
                <w:rFonts w:ascii="Arial" w:eastAsia="Times New Roman" w:hAnsi="Arial" w:cs="Arial"/>
                <w:b/>
                <w:color w:val="000000"/>
                <w:sz w:val="20"/>
                <w:szCs w:val="20"/>
                <w:highlight w:val="white"/>
              </w:rPr>
              <w:t xml:space="preserve">Detection of gum and </w:t>
            </w:r>
            <w:proofErr w:type="spellStart"/>
            <w:r w:rsidRPr="00C13AA1">
              <w:rPr>
                <w:rFonts w:ascii="Arial" w:eastAsia="Times New Roman" w:hAnsi="Arial" w:cs="Arial"/>
                <w:b/>
                <w:color w:val="000000"/>
                <w:sz w:val="20"/>
                <w:szCs w:val="20"/>
                <w:highlight w:val="white"/>
              </w:rPr>
              <w:t>Mucilages</w:t>
            </w:r>
            <w:proofErr w:type="spellEnd"/>
          </w:p>
        </w:tc>
        <w:tc>
          <w:tcPr>
            <w:tcW w:w="611" w:type="dxa"/>
          </w:tcPr>
          <w:p w14:paraId="2CA4601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9082BE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0989F27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C26E6F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B776C9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F8ECFE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bl>
    <w:p w14:paraId="6AC6B812" w14:textId="283CB1FD" w:rsidR="00732DC5" w:rsidRPr="00713319" w:rsidRDefault="00732DC5" w:rsidP="00C771CE">
      <w:pPr>
        <w:spacing w:line="240" w:lineRule="auto"/>
        <w:jc w:val="both"/>
        <w:rPr>
          <w:rFonts w:ascii="Arial" w:hAnsi="Arial" w:cs="Arial"/>
          <w:b/>
          <w:sz w:val="18"/>
          <w:szCs w:val="18"/>
        </w:rPr>
      </w:pPr>
      <w:r w:rsidRPr="00713319">
        <w:rPr>
          <w:rFonts w:ascii="Arial" w:hAnsi="Arial" w:cs="Arial"/>
          <w:bCs/>
          <w:sz w:val="18"/>
          <w:szCs w:val="18"/>
        </w:rPr>
        <w:t>+Present moderately   ++ Present strongly   - Absent</w:t>
      </w:r>
    </w:p>
    <w:p w14:paraId="32A859BF" w14:textId="77009F07" w:rsidR="00BD07DF" w:rsidRPr="00C13AA1" w:rsidRDefault="00F74B20" w:rsidP="00C771CE">
      <w:pPr>
        <w:spacing w:line="240" w:lineRule="auto"/>
        <w:jc w:val="both"/>
        <w:rPr>
          <w:rFonts w:ascii="Arial" w:hAnsi="Arial" w:cs="Arial"/>
          <w:sz w:val="20"/>
          <w:szCs w:val="20"/>
        </w:rPr>
      </w:pPr>
      <w:r w:rsidRPr="00C13AA1">
        <w:rPr>
          <w:rFonts w:ascii="Arial" w:hAnsi="Arial" w:cs="Arial"/>
          <w:bCs/>
          <w:sz w:val="20"/>
          <w:szCs w:val="20"/>
        </w:rPr>
        <w:t>(p≤0.05) increased</w:t>
      </w:r>
      <w:r w:rsidR="00D25DA8" w:rsidRPr="00C13AA1">
        <w:rPr>
          <w:rFonts w:ascii="Arial" w:hAnsi="Arial" w:cs="Arial"/>
          <w:sz w:val="20"/>
          <w:szCs w:val="20"/>
        </w:rPr>
        <w:t xml:space="preserve"> phenolic content </w:t>
      </w:r>
      <w:r w:rsidR="00D25DA8" w:rsidRPr="00C13AA1">
        <w:rPr>
          <w:rFonts w:ascii="Arial" w:hAnsi="Arial" w:cs="Arial"/>
          <w:bCs/>
          <w:sz w:val="20"/>
          <w:szCs w:val="20"/>
        </w:rPr>
        <w:t xml:space="preserve">in marjoram leaves </w:t>
      </w:r>
      <w:r w:rsidR="009F138F" w:rsidRPr="00C13AA1">
        <w:rPr>
          <w:rFonts w:ascii="Arial" w:hAnsi="Arial" w:cs="Arial"/>
          <w:bCs/>
          <w:sz w:val="20"/>
          <w:szCs w:val="20"/>
        </w:rPr>
        <w:t>compared to raw leaves</w:t>
      </w:r>
      <w:r w:rsidR="00D25DA8" w:rsidRPr="00C13AA1">
        <w:rPr>
          <w:rFonts w:ascii="Arial" w:hAnsi="Arial" w:cs="Arial"/>
          <w:bCs/>
          <w:sz w:val="20"/>
          <w:szCs w:val="20"/>
        </w:rPr>
        <w:t>.</w:t>
      </w:r>
      <w:r w:rsidR="00D25DA8" w:rsidRPr="00C13AA1">
        <w:rPr>
          <w:rFonts w:ascii="Arial" w:hAnsi="Arial" w:cs="Arial"/>
          <w:sz w:val="20"/>
          <w:szCs w:val="20"/>
        </w:rPr>
        <w:t xml:space="preserve"> </w:t>
      </w:r>
      <w:r w:rsidR="005D5866" w:rsidRPr="00C13AA1">
        <w:rPr>
          <w:rFonts w:ascii="Arial" w:hAnsi="Arial" w:cs="Arial"/>
          <w:sz w:val="20"/>
          <w:szCs w:val="20"/>
        </w:rPr>
        <w:t>The observed increase in phenolic content following cooking may be explained by the liberation of bound phenolic compounds from the plant cell matrix during thermal processing. Heat treatment can disrupt cell wall structures and weaken phenolic–macromolecule interactions, thereby enhancing extractability (</w:t>
      </w:r>
      <w:proofErr w:type="spellStart"/>
      <w:r w:rsidR="005D5866" w:rsidRPr="00C13AA1">
        <w:rPr>
          <w:rFonts w:ascii="Arial" w:hAnsi="Arial" w:cs="Arial"/>
          <w:sz w:val="20"/>
          <w:szCs w:val="20"/>
        </w:rPr>
        <w:t>Adefegha</w:t>
      </w:r>
      <w:proofErr w:type="spellEnd"/>
      <w:r w:rsidR="005D5866" w:rsidRPr="00C13AA1">
        <w:rPr>
          <w:rFonts w:ascii="Arial" w:hAnsi="Arial" w:cs="Arial"/>
          <w:sz w:val="20"/>
          <w:szCs w:val="20"/>
        </w:rPr>
        <w:t xml:space="preserve"> and </w:t>
      </w:r>
      <w:proofErr w:type="spellStart"/>
      <w:r w:rsidR="005D5866" w:rsidRPr="00C13AA1">
        <w:rPr>
          <w:rFonts w:ascii="Arial" w:hAnsi="Arial" w:cs="Arial"/>
          <w:sz w:val="20"/>
          <w:szCs w:val="20"/>
        </w:rPr>
        <w:t>Oboh</w:t>
      </w:r>
      <w:proofErr w:type="spellEnd"/>
      <w:r w:rsidR="005D5866" w:rsidRPr="00C13AA1">
        <w:rPr>
          <w:rFonts w:ascii="Arial" w:hAnsi="Arial" w:cs="Arial"/>
          <w:sz w:val="20"/>
          <w:szCs w:val="20"/>
        </w:rPr>
        <w:t xml:space="preserve"> 2011). Similar findings have been reported by Hossain et al. (2017) after boiling, </w:t>
      </w:r>
      <w:r w:rsidR="00972383">
        <w:rPr>
          <w:rFonts w:ascii="Arial" w:hAnsi="Arial" w:cs="Arial"/>
          <w:sz w:val="20"/>
          <w:szCs w:val="20"/>
        </w:rPr>
        <w:t>Zeb et al.,</w:t>
      </w:r>
      <w:r w:rsidR="0094671E">
        <w:rPr>
          <w:rFonts w:ascii="Arial" w:hAnsi="Arial" w:cs="Arial"/>
          <w:sz w:val="20"/>
          <w:szCs w:val="20"/>
        </w:rPr>
        <w:t xml:space="preserve"> (2024)</w:t>
      </w:r>
      <w:r w:rsidR="00972383">
        <w:rPr>
          <w:rFonts w:ascii="Arial" w:hAnsi="Arial" w:cs="Arial"/>
          <w:sz w:val="20"/>
          <w:szCs w:val="20"/>
        </w:rPr>
        <w:t xml:space="preserve"> </w:t>
      </w:r>
      <w:r w:rsidR="005D5866" w:rsidRPr="00C13AA1">
        <w:rPr>
          <w:rFonts w:ascii="Arial" w:hAnsi="Arial" w:cs="Arial"/>
          <w:sz w:val="20"/>
          <w:szCs w:val="20"/>
        </w:rPr>
        <w:t xml:space="preserve">following microwave cooking and de Lima et al. (2017) after steaming, all of whom documented elevated total phenolic contents in heat-treated samples. </w:t>
      </w:r>
    </w:p>
    <w:p w14:paraId="089C1AFC" w14:textId="3589B7C3"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3.3 </w:t>
      </w:r>
      <w:r w:rsidR="00732DC5" w:rsidRPr="00860227">
        <w:rPr>
          <w:rFonts w:ascii="Arial" w:hAnsi="Arial" w:cs="Arial"/>
          <w:b/>
          <w:bCs/>
        </w:rPr>
        <w:t>Flavonoid content</w:t>
      </w:r>
    </w:p>
    <w:p w14:paraId="62311874" w14:textId="7616D3A6" w:rsidR="00732DC5" w:rsidRPr="00C13AA1" w:rsidRDefault="00FD28EA"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Flavonoids, which are commonly found in many edible fruits, vegetables, and seeds, are heat-sensitive polyphenolic compounds. As a result, their levels in vegetables can be significantly affected by the heat exposure during cooking (Z</w:t>
      </w:r>
      <w:r w:rsidR="00B92AD2">
        <w:rPr>
          <w:rFonts w:ascii="Arial" w:hAnsi="Arial" w:cs="Arial"/>
          <w:bCs/>
          <w:color w:val="000000" w:themeColor="text1"/>
          <w:sz w:val="20"/>
          <w:szCs w:val="20"/>
        </w:rPr>
        <w:t>h</w:t>
      </w:r>
      <w:r w:rsidRPr="00C13AA1">
        <w:rPr>
          <w:rFonts w:ascii="Arial" w:hAnsi="Arial" w:cs="Arial"/>
          <w:bCs/>
          <w:color w:val="000000" w:themeColor="text1"/>
          <w:sz w:val="20"/>
          <w:szCs w:val="20"/>
        </w:rPr>
        <w:t>ang et al., 2011).</w:t>
      </w:r>
      <w:r w:rsidRPr="00C13AA1">
        <w:rPr>
          <w:rFonts w:ascii="Arial" w:hAnsi="Arial" w:cs="Arial"/>
          <w:color w:val="000000" w:themeColor="text1"/>
          <w:sz w:val="20"/>
          <w:szCs w:val="20"/>
        </w:rPr>
        <w:t xml:space="preserve"> </w:t>
      </w:r>
      <w:r w:rsidRPr="00C13AA1">
        <w:rPr>
          <w:rFonts w:ascii="Arial" w:hAnsi="Arial" w:cs="Arial"/>
          <w:bCs/>
          <w:color w:val="000000" w:themeColor="text1"/>
          <w:sz w:val="20"/>
          <w:szCs w:val="20"/>
        </w:rPr>
        <w:t> </w:t>
      </w:r>
      <w:r w:rsidR="00732DC5" w:rsidRPr="00C13AA1">
        <w:rPr>
          <w:rFonts w:ascii="Arial" w:hAnsi="Arial" w:cs="Arial"/>
          <w:sz w:val="20"/>
          <w:szCs w:val="20"/>
        </w:rPr>
        <w:t xml:space="preserve">Flavonoid content of </w:t>
      </w:r>
      <w:r w:rsidR="00657ECC" w:rsidRPr="00C13AA1">
        <w:rPr>
          <w:rFonts w:ascii="Arial" w:hAnsi="Arial" w:cs="Arial"/>
          <w:sz w:val="20"/>
          <w:szCs w:val="20"/>
        </w:rPr>
        <w:t>marjoram</w:t>
      </w:r>
      <w:r w:rsidR="00732DC5" w:rsidRPr="00C13AA1">
        <w:rPr>
          <w:rFonts w:ascii="Arial" w:hAnsi="Arial" w:cs="Arial"/>
          <w:sz w:val="20"/>
          <w:szCs w:val="20"/>
        </w:rPr>
        <w:t xml:space="preserve"> leaves, both raw and processed, ranged from 3</w:t>
      </w:r>
      <w:r w:rsidR="00B97926" w:rsidRPr="00C13AA1">
        <w:rPr>
          <w:rFonts w:ascii="Arial" w:hAnsi="Arial" w:cs="Arial"/>
          <w:sz w:val="20"/>
          <w:szCs w:val="20"/>
        </w:rPr>
        <w:t>2.25</w:t>
      </w:r>
      <w:r w:rsidR="00732DC5" w:rsidRPr="00C13AA1">
        <w:rPr>
          <w:rFonts w:ascii="Arial" w:hAnsi="Arial" w:cs="Arial"/>
          <w:sz w:val="20"/>
          <w:szCs w:val="20"/>
        </w:rPr>
        <w:t xml:space="preserve"> to </w:t>
      </w:r>
      <w:r w:rsidR="00B97926" w:rsidRPr="00C13AA1">
        <w:rPr>
          <w:rFonts w:ascii="Arial" w:hAnsi="Arial" w:cs="Arial"/>
          <w:sz w:val="20"/>
          <w:szCs w:val="20"/>
        </w:rPr>
        <w:t>76.96</w:t>
      </w:r>
      <w:r w:rsidR="00732DC5" w:rsidRPr="00C13AA1">
        <w:rPr>
          <w:rFonts w:ascii="Arial" w:hAnsi="Arial" w:cs="Arial"/>
          <w:sz w:val="20"/>
          <w:szCs w:val="20"/>
        </w:rPr>
        <w:t xml:space="preserve"> mg QE/100g (Table 2 Fig 1). </w:t>
      </w:r>
      <w:r w:rsidR="009D3F27">
        <w:rPr>
          <w:rFonts w:ascii="Arial" w:hAnsi="Arial" w:cs="Arial"/>
          <w:color w:val="000000" w:themeColor="text1"/>
          <w:sz w:val="20"/>
          <w:szCs w:val="20"/>
        </w:rPr>
        <w:t>The s</w:t>
      </w:r>
      <w:r w:rsidR="00C26892" w:rsidRPr="00C13AA1">
        <w:rPr>
          <w:rFonts w:ascii="Arial" w:hAnsi="Arial" w:cs="Arial"/>
          <w:color w:val="000000" w:themeColor="text1"/>
          <w:sz w:val="20"/>
          <w:szCs w:val="20"/>
        </w:rPr>
        <w:t>auteed marjoram leaves had the highest flavonoid content,</w:t>
      </w:r>
      <w:r w:rsidR="00732DC5" w:rsidRPr="00C13AA1">
        <w:rPr>
          <w:rFonts w:ascii="Arial" w:hAnsi="Arial" w:cs="Arial"/>
          <w:sz w:val="20"/>
          <w:szCs w:val="20"/>
        </w:rPr>
        <w:t xml:space="preserve"> while the </w:t>
      </w:r>
      <w:r w:rsidR="00C26892" w:rsidRPr="00C13AA1">
        <w:rPr>
          <w:rFonts w:ascii="Arial" w:hAnsi="Arial" w:cs="Arial"/>
          <w:sz w:val="20"/>
          <w:szCs w:val="20"/>
        </w:rPr>
        <w:t>steamed</w:t>
      </w:r>
      <w:r w:rsidR="00732DC5" w:rsidRPr="00C13AA1">
        <w:rPr>
          <w:rFonts w:ascii="Arial" w:hAnsi="Arial" w:cs="Arial"/>
          <w:sz w:val="20"/>
          <w:szCs w:val="20"/>
        </w:rPr>
        <w:t xml:space="preserve"> sample exhibited the lowest flavonoid content. Further </w:t>
      </w:r>
      <w:r w:rsidR="00C26892" w:rsidRPr="00C13AA1">
        <w:rPr>
          <w:rFonts w:ascii="Arial" w:hAnsi="Arial" w:cs="Arial"/>
          <w:color w:val="000000" w:themeColor="text1"/>
          <w:sz w:val="20"/>
          <w:szCs w:val="20"/>
        </w:rPr>
        <w:t xml:space="preserve">Tukey post hoc test showed that sautéing resulted in the improved and </w:t>
      </w:r>
      <w:r w:rsidR="00C26892" w:rsidRPr="00C13AA1">
        <w:rPr>
          <w:rFonts w:ascii="Arial" w:hAnsi="Arial" w:cs="Arial"/>
          <w:color w:val="000000" w:themeColor="text1"/>
          <w:sz w:val="20"/>
          <w:szCs w:val="20"/>
        </w:rPr>
        <w:lastRenderedPageBreak/>
        <w:t>highest flavonoid level, significantly (p≤0.05) different from all other treatments. Microwave cooking also significantly (p≤0.05) improved flavonoid content over raw. Compared to raw, steaming</w:t>
      </w:r>
      <w:r w:rsidR="008B4147" w:rsidRPr="00C13AA1">
        <w:rPr>
          <w:rFonts w:ascii="Arial" w:hAnsi="Arial" w:cs="Arial"/>
          <w:color w:val="000000" w:themeColor="text1"/>
          <w:sz w:val="20"/>
          <w:szCs w:val="20"/>
        </w:rPr>
        <w:t>,</w:t>
      </w:r>
      <w:r w:rsidR="00C26892" w:rsidRPr="00C13AA1">
        <w:rPr>
          <w:rFonts w:ascii="Arial" w:hAnsi="Arial" w:cs="Arial"/>
          <w:color w:val="000000" w:themeColor="text1"/>
          <w:sz w:val="20"/>
          <w:szCs w:val="20"/>
        </w:rPr>
        <w:t xml:space="preserve"> boiling </w:t>
      </w:r>
      <w:r w:rsidR="008B4147" w:rsidRPr="00C13AA1">
        <w:rPr>
          <w:rFonts w:ascii="Arial" w:hAnsi="Arial" w:cs="Arial"/>
          <w:color w:val="000000" w:themeColor="text1"/>
          <w:sz w:val="20"/>
          <w:szCs w:val="20"/>
        </w:rPr>
        <w:t xml:space="preserve">and </w:t>
      </w:r>
      <w:r w:rsidR="00C26892" w:rsidRPr="00C13AA1">
        <w:rPr>
          <w:rFonts w:ascii="Arial" w:hAnsi="Arial" w:cs="Arial"/>
          <w:color w:val="000000" w:themeColor="text1"/>
          <w:sz w:val="20"/>
          <w:szCs w:val="20"/>
        </w:rPr>
        <w:t xml:space="preserve">pressure cooking also </w:t>
      </w:r>
      <w:r w:rsidR="009D3F27">
        <w:rPr>
          <w:rFonts w:ascii="Arial" w:hAnsi="Arial" w:cs="Arial"/>
          <w:color w:val="000000" w:themeColor="text1"/>
          <w:sz w:val="20"/>
          <w:szCs w:val="20"/>
        </w:rPr>
        <w:t xml:space="preserve">resulted into </w:t>
      </w:r>
      <w:r w:rsidR="00C26892" w:rsidRPr="00C13AA1">
        <w:rPr>
          <w:rFonts w:ascii="Arial" w:hAnsi="Arial" w:cs="Arial"/>
          <w:color w:val="000000" w:themeColor="text1"/>
          <w:sz w:val="20"/>
          <w:szCs w:val="20"/>
        </w:rPr>
        <w:t>significant (p≤0.05) enhancement (49.10%). Boiling and steaming</w:t>
      </w:r>
      <w:r w:rsidR="00C26892" w:rsidRPr="00C13AA1">
        <w:rPr>
          <w:rFonts w:ascii="Arial" w:hAnsi="Arial" w:cs="Arial"/>
          <w:bCs/>
          <w:color w:val="000000" w:themeColor="text1"/>
          <w:sz w:val="20"/>
          <w:szCs w:val="20"/>
        </w:rPr>
        <w:t xml:space="preserve"> had slight negative effects i.e. 4.7% and 10%, respectively, which were non- significant from the raw sample.</w:t>
      </w:r>
      <w:r w:rsidR="00732DC5" w:rsidRPr="00C13AA1">
        <w:rPr>
          <w:rFonts w:ascii="Arial" w:hAnsi="Arial" w:cs="Arial"/>
          <w:sz w:val="20"/>
          <w:szCs w:val="20"/>
        </w:rPr>
        <w:t xml:space="preserve"> The </w:t>
      </w:r>
      <w:r w:rsidR="00010F1C" w:rsidRPr="00C13AA1">
        <w:rPr>
          <w:rFonts w:ascii="Arial" w:hAnsi="Arial" w:cs="Arial"/>
          <w:sz w:val="20"/>
          <w:szCs w:val="20"/>
        </w:rPr>
        <w:t xml:space="preserve">enhanced </w:t>
      </w:r>
      <w:r w:rsidR="00732DC5" w:rsidRPr="00C13AA1">
        <w:rPr>
          <w:rFonts w:ascii="Arial" w:hAnsi="Arial" w:cs="Arial"/>
          <w:sz w:val="20"/>
          <w:szCs w:val="20"/>
        </w:rPr>
        <w:t>flavonoid content</w:t>
      </w:r>
      <w:r w:rsidR="00010F1C" w:rsidRPr="00C13AA1">
        <w:rPr>
          <w:rFonts w:ascii="Arial" w:hAnsi="Arial" w:cs="Arial"/>
          <w:sz w:val="20"/>
          <w:szCs w:val="20"/>
        </w:rPr>
        <w:t xml:space="preserve"> observed across most cooking procedures </w:t>
      </w:r>
      <w:r w:rsidR="00732DC5" w:rsidRPr="00C13AA1">
        <w:rPr>
          <w:rFonts w:ascii="Arial" w:hAnsi="Arial" w:cs="Arial"/>
          <w:sz w:val="20"/>
          <w:szCs w:val="20"/>
        </w:rPr>
        <w:t>may be attrib</w:t>
      </w:r>
      <w:r w:rsidR="00010F1C" w:rsidRPr="00C13AA1">
        <w:rPr>
          <w:rFonts w:ascii="Arial" w:hAnsi="Arial" w:cs="Arial"/>
          <w:sz w:val="20"/>
          <w:szCs w:val="20"/>
        </w:rPr>
        <w:t>uted to improved extractability</w:t>
      </w:r>
      <w:r w:rsidR="00732DC5" w:rsidRPr="00C13AA1">
        <w:rPr>
          <w:rFonts w:ascii="Arial" w:hAnsi="Arial" w:cs="Arial"/>
          <w:sz w:val="20"/>
          <w:szCs w:val="20"/>
        </w:rPr>
        <w:t xml:space="preserve"> resulting from the more efficient release of polyphenolic and flavonoid compounds from intracellular protein complexes and modifications in the plant cell wall structure </w:t>
      </w:r>
      <w:r w:rsidR="00760FB5" w:rsidRPr="00C13AA1">
        <w:rPr>
          <w:rFonts w:ascii="Arial" w:hAnsi="Arial" w:cs="Arial"/>
          <w:sz w:val="20"/>
          <w:szCs w:val="20"/>
        </w:rPr>
        <w:t>(</w:t>
      </w:r>
      <w:proofErr w:type="spellStart"/>
      <w:r w:rsidR="00760FB5" w:rsidRPr="00C13AA1">
        <w:rPr>
          <w:rFonts w:ascii="Arial" w:hAnsi="Arial" w:cs="Arial"/>
          <w:sz w:val="20"/>
          <w:szCs w:val="20"/>
        </w:rPr>
        <w:t>Adefega</w:t>
      </w:r>
      <w:proofErr w:type="spellEnd"/>
      <w:r w:rsidR="00760FB5" w:rsidRPr="00C13AA1">
        <w:rPr>
          <w:rFonts w:ascii="Arial" w:hAnsi="Arial" w:cs="Arial"/>
          <w:sz w:val="20"/>
          <w:szCs w:val="20"/>
        </w:rPr>
        <w:t xml:space="preserve"> and </w:t>
      </w:r>
      <w:proofErr w:type="spellStart"/>
      <w:r w:rsidR="009D3F27">
        <w:rPr>
          <w:rFonts w:ascii="Arial" w:hAnsi="Arial" w:cs="Arial"/>
          <w:sz w:val="20"/>
          <w:szCs w:val="20"/>
        </w:rPr>
        <w:t>O</w:t>
      </w:r>
      <w:r w:rsidR="00760FB5" w:rsidRPr="00C13AA1">
        <w:rPr>
          <w:rFonts w:ascii="Arial" w:hAnsi="Arial" w:cs="Arial"/>
          <w:sz w:val="20"/>
          <w:szCs w:val="20"/>
        </w:rPr>
        <w:t>boh</w:t>
      </w:r>
      <w:proofErr w:type="spellEnd"/>
      <w:r w:rsidR="00760FB5" w:rsidRPr="00C13AA1">
        <w:rPr>
          <w:rFonts w:ascii="Arial" w:hAnsi="Arial" w:cs="Arial"/>
          <w:sz w:val="20"/>
          <w:szCs w:val="20"/>
        </w:rPr>
        <w:t>, 2011)</w:t>
      </w:r>
      <w:r w:rsidR="00732DC5" w:rsidRPr="00C13AA1">
        <w:rPr>
          <w:rFonts w:ascii="Arial" w:hAnsi="Arial" w:cs="Arial"/>
          <w:sz w:val="20"/>
          <w:szCs w:val="20"/>
        </w:rPr>
        <w:t xml:space="preserve">. </w:t>
      </w:r>
      <w:r w:rsidR="00760FB5" w:rsidRPr="00C13AA1">
        <w:rPr>
          <w:rFonts w:ascii="Arial" w:hAnsi="Arial" w:cs="Arial"/>
          <w:bCs/>
          <w:color w:val="000000" w:themeColor="text1"/>
          <w:sz w:val="20"/>
          <w:szCs w:val="20"/>
        </w:rPr>
        <w:t xml:space="preserve">The overall impact of cooking on phytochemical concentration is influenced by factors such as cooking conditions, the structure of the food matrix, and the chemical properties of the specific compounds involved (Palermo et al., 2014). </w:t>
      </w:r>
      <w:r w:rsidR="00732DC5" w:rsidRPr="00C13AA1">
        <w:rPr>
          <w:rFonts w:ascii="Arial" w:hAnsi="Arial" w:cs="Arial"/>
          <w:sz w:val="20"/>
          <w:szCs w:val="20"/>
        </w:rPr>
        <w:t xml:space="preserve">Similar trends in some vegetables were </w:t>
      </w:r>
      <w:r w:rsidR="00010F1C" w:rsidRPr="00C13AA1">
        <w:rPr>
          <w:rFonts w:ascii="Arial" w:hAnsi="Arial" w:cs="Arial"/>
          <w:sz w:val="20"/>
          <w:szCs w:val="20"/>
        </w:rPr>
        <w:t xml:space="preserve">also </w:t>
      </w:r>
      <w:r w:rsidR="00732DC5" w:rsidRPr="00C13AA1">
        <w:rPr>
          <w:rFonts w:ascii="Arial" w:hAnsi="Arial" w:cs="Arial"/>
          <w:sz w:val="20"/>
          <w:szCs w:val="20"/>
        </w:rPr>
        <w:t xml:space="preserve">observed by </w:t>
      </w:r>
      <w:r w:rsidR="00732DC5" w:rsidRPr="00C13AA1">
        <w:rPr>
          <w:rFonts w:ascii="Arial" w:hAnsi="Arial" w:cs="Arial"/>
          <w:bCs/>
          <w:sz w:val="20"/>
          <w:szCs w:val="20"/>
        </w:rPr>
        <w:t xml:space="preserve">Hossain et al., (2017), </w:t>
      </w:r>
      <w:r w:rsidR="00312F2D" w:rsidRPr="00C13AA1">
        <w:rPr>
          <w:rFonts w:ascii="Arial" w:hAnsi="Arial" w:cs="Arial"/>
          <w:bCs/>
          <w:sz w:val="20"/>
          <w:szCs w:val="20"/>
        </w:rPr>
        <w:t xml:space="preserve">Geetha et al., 2018, Wu et al., 2019, </w:t>
      </w:r>
      <w:r w:rsidR="00760FB5" w:rsidRPr="00C13AA1">
        <w:rPr>
          <w:rFonts w:ascii="Arial" w:hAnsi="Arial" w:cs="Arial"/>
          <w:bCs/>
          <w:sz w:val="20"/>
          <w:szCs w:val="20"/>
        </w:rPr>
        <w:t xml:space="preserve">Kim et al., 2021, </w:t>
      </w:r>
      <w:proofErr w:type="spellStart"/>
      <w:r w:rsidR="009A30B2" w:rsidRPr="00C13AA1">
        <w:rPr>
          <w:rFonts w:ascii="Arial" w:hAnsi="Arial" w:cs="Arial"/>
          <w:bCs/>
          <w:sz w:val="20"/>
          <w:szCs w:val="20"/>
        </w:rPr>
        <w:t>Goyal</w:t>
      </w:r>
      <w:proofErr w:type="spellEnd"/>
      <w:r w:rsidR="009A30B2" w:rsidRPr="00C13AA1">
        <w:rPr>
          <w:rFonts w:ascii="Arial" w:hAnsi="Arial" w:cs="Arial"/>
          <w:bCs/>
          <w:sz w:val="20"/>
          <w:szCs w:val="20"/>
        </w:rPr>
        <w:t xml:space="preserve"> and </w:t>
      </w:r>
      <w:proofErr w:type="spellStart"/>
      <w:r w:rsidR="009A30B2" w:rsidRPr="00C13AA1">
        <w:rPr>
          <w:rFonts w:ascii="Arial" w:hAnsi="Arial" w:cs="Arial"/>
          <w:bCs/>
          <w:sz w:val="20"/>
          <w:szCs w:val="20"/>
        </w:rPr>
        <w:t>Tarvinder</w:t>
      </w:r>
      <w:proofErr w:type="spellEnd"/>
      <w:r w:rsidR="009A30B2" w:rsidRPr="00C13AA1">
        <w:rPr>
          <w:rFonts w:ascii="Arial" w:hAnsi="Arial" w:cs="Arial"/>
          <w:bCs/>
          <w:sz w:val="20"/>
          <w:szCs w:val="20"/>
        </w:rPr>
        <w:t xml:space="preserve"> (2025</w:t>
      </w:r>
      <w:r w:rsidR="00760FB5" w:rsidRPr="00C13AA1">
        <w:rPr>
          <w:rFonts w:ascii="Arial" w:hAnsi="Arial" w:cs="Arial"/>
          <w:bCs/>
          <w:sz w:val="20"/>
          <w:szCs w:val="20"/>
        </w:rPr>
        <w:t xml:space="preserve">) </w:t>
      </w:r>
      <w:r w:rsidR="009A30B2" w:rsidRPr="00C13AA1">
        <w:rPr>
          <w:rFonts w:ascii="Arial" w:hAnsi="Arial" w:cs="Arial"/>
          <w:bCs/>
          <w:sz w:val="20"/>
          <w:szCs w:val="20"/>
        </w:rPr>
        <w:t xml:space="preserve">all of whom observed improved </w:t>
      </w:r>
      <w:r w:rsidR="00E610C7" w:rsidRPr="00C13AA1">
        <w:rPr>
          <w:rFonts w:ascii="Arial" w:hAnsi="Arial" w:cs="Arial"/>
          <w:bCs/>
          <w:sz w:val="20"/>
          <w:szCs w:val="20"/>
        </w:rPr>
        <w:t xml:space="preserve">flavonoid </w:t>
      </w:r>
      <w:r w:rsidR="009A30B2" w:rsidRPr="00C13AA1">
        <w:rPr>
          <w:rFonts w:ascii="Arial" w:hAnsi="Arial" w:cs="Arial"/>
          <w:bCs/>
          <w:sz w:val="20"/>
          <w:szCs w:val="20"/>
        </w:rPr>
        <w:t>content following the processing of vario</w:t>
      </w:r>
      <w:r w:rsidR="004A0729" w:rsidRPr="00C13AA1">
        <w:rPr>
          <w:rFonts w:ascii="Arial" w:hAnsi="Arial" w:cs="Arial"/>
          <w:bCs/>
          <w:sz w:val="20"/>
          <w:szCs w:val="20"/>
        </w:rPr>
        <w:t>us</w:t>
      </w:r>
      <w:r w:rsidR="009A30B2" w:rsidRPr="00C13AA1">
        <w:rPr>
          <w:rFonts w:ascii="Arial" w:hAnsi="Arial" w:cs="Arial"/>
          <w:bCs/>
          <w:sz w:val="20"/>
          <w:szCs w:val="20"/>
        </w:rPr>
        <w:t xml:space="preserve"> green leafy </w:t>
      </w:r>
      <w:commentRangeStart w:id="2"/>
      <w:r w:rsidR="009A30B2" w:rsidRPr="00C13AA1">
        <w:rPr>
          <w:rFonts w:ascii="Arial" w:hAnsi="Arial" w:cs="Arial"/>
          <w:bCs/>
          <w:sz w:val="20"/>
          <w:szCs w:val="20"/>
        </w:rPr>
        <w:t>vegetables</w:t>
      </w:r>
      <w:commentRangeEnd w:id="2"/>
      <w:r w:rsidR="00AE4AEB">
        <w:rPr>
          <w:rStyle w:val="ac"/>
        </w:rPr>
        <w:commentReference w:id="2"/>
      </w:r>
      <w:r w:rsidR="009A30B2" w:rsidRPr="00C13AA1">
        <w:rPr>
          <w:rFonts w:ascii="Arial" w:hAnsi="Arial" w:cs="Arial"/>
          <w:bCs/>
          <w:sz w:val="20"/>
          <w:szCs w:val="20"/>
        </w:rPr>
        <w:t>.</w:t>
      </w:r>
    </w:p>
    <w:p w14:paraId="108400DF" w14:textId="3B69805F" w:rsidR="00732DC5" w:rsidRPr="00C13AA1"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t xml:space="preserve"> </w:t>
      </w:r>
      <w:r w:rsidR="009A4416" w:rsidRPr="00C13AA1">
        <w:rPr>
          <w:rFonts w:ascii="Arial" w:hAnsi="Arial" w:cs="Arial"/>
          <w:noProof/>
          <w:sz w:val="20"/>
          <w:szCs w:val="20"/>
          <w:lang w:val="en-US"/>
        </w:rPr>
        <w:drawing>
          <wp:inline distT="0" distB="0" distL="0" distR="0" wp14:anchorId="596E8677" wp14:editId="0E5851A5">
            <wp:extent cx="3943350" cy="1562100"/>
            <wp:effectExtent l="0" t="0" r="0" b="0"/>
            <wp:docPr id="1" name="Chart 1">
              <a:extLst xmlns:a="http://schemas.openxmlformats.org/drawingml/2006/main">
                <a:ext uri="{FF2B5EF4-FFF2-40B4-BE49-F238E27FC236}">
                  <a16:creationId xmlns:a16="http://schemas.microsoft.com/office/drawing/2014/main" id="{CBE32975-C3A0-4044-A5EB-2C73EC9EF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221F9D" w14:textId="77777777" w:rsidR="00732DC5" w:rsidRPr="00C13AA1" w:rsidRDefault="00732DC5" w:rsidP="00C771CE">
      <w:pPr>
        <w:spacing w:line="240" w:lineRule="auto"/>
        <w:jc w:val="both"/>
        <w:rPr>
          <w:rFonts w:ascii="Arial" w:hAnsi="Arial" w:cs="Arial"/>
          <w:b/>
          <w:bCs/>
          <w:sz w:val="20"/>
          <w:szCs w:val="20"/>
        </w:rPr>
      </w:pPr>
    </w:p>
    <w:p w14:paraId="3F239124" w14:textId="69427127" w:rsidR="00732DC5"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t xml:space="preserve">Fig: 1   Impact of different processing on antioxidant activity and </w:t>
      </w:r>
      <w:r w:rsidRPr="00C13AA1">
        <w:rPr>
          <w:rFonts w:ascii="Arial" w:hAnsi="Arial" w:cs="Arial"/>
          <w:b/>
          <w:bCs/>
          <w:sz w:val="20"/>
          <w:szCs w:val="20"/>
          <w:lang w:val="en-US"/>
        </w:rPr>
        <w:t xml:space="preserve">flavonoids of </w:t>
      </w:r>
      <w:r w:rsidR="0067467F">
        <w:rPr>
          <w:rFonts w:ascii="Arial" w:hAnsi="Arial" w:cs="Arial"/>
          <w:b/>
          <w:bCs/>
          <w:sz w:val="20"/>
          <w:szCs w:val="20"/>
          <w:lang w:val="en-US"/>
        </w:rPr>
        <w:t>M</w:t>
      </w:r>
      <w:r w:rsidR="00657ECC" w:rsidRPr="00C13AA1">
        <w:rPr>
          <w:rFonts w:ascii="Arial" w:hAnsi="Arial" w:cs="Arial"/>
          <w:b/>
          <w:bCs/>
          <w:sz w:val="20"/>
          <w:szCs w:val="20"/>
          <w:lang w:val="en-US"/>
        </w:rPr>
        <w:t>arjoram</w:t>
      </w:r>
      <w:r w:rsidRPr="00C13AA1">
        <w:rPr>
          <w:rFonts w:ascii="Arial" w:hAnsi="Arial" w:cs="Arial"/>
          <w:b/>
          <w:bCs/>
          <w:sz w:val="20"/>
          <w:szCs w:val="20"/>
          <w:lang w:val="en-US"/>
        </w:rPr>
        <w:t xml:space="preserve"> leaves</w:t>
      </w:r>
      <w:r w:rsidRPr="00C13AA1">
        <w:rPr>
          <w:rFonts w:ascii="Arial" w:hAnsi="Arial" w:cs="Arial"/>
          <w:b/>
          <w:bCs/>
          <w:sz w:val="20"/>
          <w:szCs w:val="20"/>
        </w:rPr>
        <w:t xml:space="preserve">    </w:t>
      </w:r>
    </w:p>
    <w:p w14:paraId="4CFADB5D" w14:textId="77777777" w:rsidR="00F42763" w:rsidRDefault="00F42763" w:rsidP="00C771CE">
      <w:pPr>
        <w:spacing w:line="240" w:lineRule="auto"/>
        <w:jc w:val="both"/>
        <w:rPr>
          <w:rFonts w:ascii="Arial" w:hAnsi="Arial" w:cs="Arial"/>
          <w:b/>
          <w:bCs/>
          <w:sz w:val="20"/>
          <w:szCs w:val="20"/>
        </w:rPr>
      </w:pPr>
    </w:p>
    <w:p w14:paraId="783819D6" w14:textId="77777777" w:rsidR="00F42763" w:rsidRPr="00C13AA1" w:rsidRDefault="00F42763" w:rsidP="00C771CE">
      <w:pPr>
        <w:spacing w:line="240" w:lineRule="auto"/>
        <w:jc w:val="both"/>
        <w:rPr>
          <w:rFonts w:ascii="Arial" w:hAnsi="Arial" w:cs="Arial"/>
          <w:b/>
          <w:bCs/>
          <w:sz w:val="20"/>
          <w:szCs w:val="20"/>
        </w:rPr>
      </w:pPr>
    </w:p>
    <w:p w14:paraId="5283FA61" w14:textId="0E4425EE" w:rsidR="00732DC5" w:rsidRPr="00C13AA1" w:rsidRDefault="00AE4AEB" w:rsidP="00C771CE">
      <w:pPr>
        <w:spacing w:line="240" w:lineRule="auto"/>
        <w:jc w:val="both"/>
        <w:rPr>
          <w:rFonts w:ascii="Arial" w:hAnsi="Arial" w:cs="Arial"/>
          <w:b/>
          <w:bCs/>
          <w:sz w:val="20"/>
          <w:szCs w:val="20"/>
        </w:rPr>
      </w:pPr>
      <w:r>
        <w:rPr>
          <w:rStyle w:val="ac"/>
        </w:rPr>
        <w:commentReference w:id="3"/>
      </w:r>
      <w:r w:rsidR="00EF5B9B" w:rsidRPr="00C13AA1">
        <w:rPr>
          <w:rFonts w:ascii="Arial" w:hAnsi="Arial" w:cs="Arial"/>
          <w:noProof/>
          <w:sz w:val="20"/>
          <w:szCs w:val="20"/>
          <w:lang w:val="en-US"/>
        </w:rPr>
        <w:drawing>
          <wp:inline distT="0" distB="0" distL="0" distR="0" wp14:anchorId="676FE124" wp14:editId="506B0068">
            <wp:extent cx="4572000" cy="3030279"/>
            <wp:effectExtent l="0" t="0" r="0" b="17780"/>
            <wp:docPr id="2" name="Chart 2">
              <a:extLst xmlns:a="http://schemas.openxmlformats.org/drawingml/2006/main">
                <a:ext uri="{FF2B5EF4-FFF2-40B4-BE49-F238E27FC236}">
                  <a16:creationId xmlns:a16="http://schemas.microsoft.com/office/drawing/2014/main" id="{8281F2DC-BF36-4B28-947F-24283C881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292F16" w14:textId="766C7BE8" w:rsidR="00732DC5" w:rsidRPr="00C13AA1"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t xml:space="preserve">Fig: 2   Impact of different processing on ascorbic acid, </w:t>
      </w:r>
      <w:r w:rsidRPr="00C13AA1">
        <w:rPr>
          <w:rFonts w:ascii="Arial" w:hAnsi="Arial" w:cs="Arial"/>
          <w:b/>
          <w:bCs/>
          <w:sz w:val="20"/>
          <w:szCs w:val="20"/>
          <w:lang w:val="el-GR"/>
        </w:rPr>
        <w:t>β-</w:t>
      </w:r>
      <w:r w:rsidRPr="00C13AA1">
        <w:rPr>
          <w:rFonts w:ascii="Arial" w:hAnsi="Arial" w:cs="Arial"/>
          <w:b/>
          <w:bCs/>
          <w:sz w:val="20"/>
          <w:szCs w:val="20"/>
          <w:lang w:val="en-US"/>
        </w:rPr>
        <w:t xml:space="preserve">carotene and total phenol of </w:t>
      </w:r>
      <w:r w:rsidR="0067467F">
        <w:rPr>
          <w:rFonts w:ascii="Arial" w:hAnsi="Arial" w:cs="Arial"/>
          <w:b/>
          <w:bCs/>
          <w:sz w:val="20"/>
          <w:szCs w:val="20"/>
          <w:lang w:val="en-US"/>
        </w:rPr>
        <w:t>M</w:t>
      </w:r>
      <w:r w:rsidR="00657ECC" w:rsidRPr="00C13AA1">
        <w:rPr>
          <w:rFonts w:ascii="Arial" w:hAnsi="Arial" w:cs="Arial"/>
          <w:b/>
          <w:bCs/>
          <w:sz w:val="20"/>
          <w:szCs w:val="20"/>
          <w:lang w:val="en-US"/>
        </w:rPr>
        <w:t>arjoram</w:t>
      </w:r>
      <w:r w:rsidRPr="00C13AA1">
        <w:rPr>
          <w:rFonts w:ascii="Arial" w:hAnsi="Arial" w:cs="Arial"/>
          <w:b/>
          <w:bCs/>
          <w:sz w:val="20"/>
          <w:szCs w:val="20"/>
          <w:lang w:val="en-US"/>
        </w:rPr>
        <w:t xml:space="preserve"> leaves</w:t>
      </w:r>
      <w:r w:rsidRPr="00C13AA1">
        <w:rPr>
          <w:rFonts w:ascii="Arial" w:hAnsi="Arial" w:cs="Arial"/>
          <w:b/>
          <w:bCs/>
          <w:sz w:val="20"/>
          <w:szCs w:val="20"/>
        </w:rPr>
        <w:t xml:space="preserve">  </w:t>
      </w:r>
    </w:p>
    <w:p w14:paraId="43001C49" w14:textId="09658129" w:rsidR="00732DC5" w:rsidRPr="00C13AA1" w:rsidRDefault="00860227" w:rsidP="00C771CE">
      <w:pPr>
        <w:spacing w:line="240" w:lineRule="auto"/>
        <w:jc w:val="both"/>
        <w:rPr>
          <w:rFonts w:ascii="Arial" w:hAnsi="Arial" w:cs="Arial"/>
          <w:b/>
          <w:bCs/>
          <w:sz w:val="20"/>
          <w:szCs w:val="20"/>
        </w:rPr>
      </w:pPr>
      <w:r w:rsidRPr="00860227">
        <w:rPr>
          <w:rFonts w:ascii="Arial" w:hAnsi="Arial" w:cs="Arial"/>
          <w:b/>
          <w:bCs/>
        </w:rPr>
        <w:t>3.</w:t>
      </w:r>
      <w:r>
        <w:rPr>
          <w:rFonts w:ascii="Arial" w:hAnsi="Arial" w:cs="Arial"/>
          <w:b/>
          <w:bCs/>
        </w:rPr>
        <w:t>4</w:t>
      </w:r>
      <w:r w:rsidRPr="00860227">
        <w:rPr>
          <w:rFonts w:ascii="Arial" w:hAnsi="Arial" w:cs="Arial"/>
          <w:b/>
          <w:bCs/>
        </w:rPr>
        <w:t xml:space="preserve"> </w:t>
      </w:r>
      <w:r w:rsidR="00732DC5" w:rsidRPr="00860227">
        <w:rPr>
          <w:rFonts w:ascii="Arial" w:hAnsi="Arial" w:cs="Arial"/>
          <w:b/>
          <w:bCs/>
        </w:rPr>
        <w:t>Radical scavenging activity</w:t>
      </w:r>
    </w:p>
    <w:p w14:paraId="13932A29" w14:textId="0F028737" w:rsidR="00BC2914" w:rsidRPr="00C13AA1" w:rsidRDefault="00BC2914" w:rsidP="00C771CE">
      <w:pPr>
        <w:widowControl w:val="0"/>
        <w:spacing w:before="100" w:after="100" w:line="240" w:lineRule="auto"/>
        <w:jc w:val="both"/>
        <w:rPr>
          <w:rFonts w:ascii="Arial" w:hAnsi="Arial" w:cs="Arial"/>
          <w:color w:val="000000" w:themeColor="text1"/>
          <w:sz w:val="20"/>
          <w:szCs w:val="20"/>
        </w:rPr>
      </w:pPr>
      <w:r w:rsidRPr="00C13AA1">
        <w:rPr>
          <w:rFonts w:ascii="Arial" w:hAnsi="Arial" w:cs="Arial"/>
          <w:color w:val="000000" w:themeColor="text1"/>
          <w:sz w:val="20"/>
          <w:szCs w:val="20"/>
        </w:rPr>
        <w:t xml:space="preserve">The raw sample had the highest IC50 value (207.29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 xml:space="preserve">/mL), indicating the lowest antioxidant activity, followed by the pressure-cooked (137.41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 xml:space="preserve">/mL), steamed (136.66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/mL), microwave-cooked (54.</w:t>
      </w:r>
      <w:r w:rsidR="009D3F27">
        <w:rPr>
          <w:rFonts w:ascii="Arial" w:hAnsi="Arial" w:cs="Arial"/>
          <w:color w:val="000000" w:themeColor="text1"/>
          <w:sz w:val="20"/>
          <w:szCs w:val="20"/>
        </w:rPr>
        <w:t xml:space="preserve">06 </w:t>
      </w:r>
      <w:proofErr w:type="spellStart"/>
      <w:r w:rsidR="009D3F27">
        <w:rPr>
          <w:rFonts w:ascii="Arial" w:hAnsi="Arial" w:cs="Arial"/>
          <w:color w:val="000000" w:themeColor="text1"/>
          <w:sz w:val="20"/>
          <w:szCs w:val="20"/>
        </w:rPr>
        <w:lastRenderedPageBreak/>
        <w:t>μg</w:t>
      </w:r>
      <w:proofErr w:type="spellEnd"/>
      <w:r w:rsidR="009D3F27">
        <w:rPr>
          <w:rFonts w:ascii="Arial" w:hAnsi="Arial" w:cs="Arial"/>
          <w:color w:val="000000" w:themeColor="text1"/>
          <w:sz w:val="20"/>
          <w:szCs w:val="20"/>
        </w:rPr>
        <w:t xml:space="preserve">/mL), boiled (50.02 </w:t>
      </w:r>
      <w:proofErr w:type="spellStart"/>
      <w:r w:rsidR="009D3F27">
        <w:rPr>
          <w:rFonts w:ascii="Arial" w:hAnsi="Arial" w:cs="Arial"/>
          <w:color w:val="000000" w:themeColor="text1"/>
          <w:sz w:val="20"/>
          <w:szCs w:val="20"/>
        </w:rPr>
        <w:t>μg</w:t>
      </w:r>
      <w:proofErr w:type="spellEnd"/>
      <w:r w:rsidR="009D3F27">
        <w:rPr>
          <w:rFonts w:ascii="Arial" w:hAnsi="Arial" w:cs="Arial"/>
          <w:color w:val="000000" w:themeColor="text1"/>
          <w:sz w:val="20"/>
          <w:szCs w:val="20"/>
        </w:rPr>
        <w:t>/mL)</w:t>
      </w:r>
      <w:r w:rsidRPr="00C13AA1">
        <w:rPr>
          <w:rFonts w:ascii="Arial" w:hAnsi="Arial" w:cs="Arial"/>
          <w:color w:val="000000" w:themeColor="text1"/>
          <w:sz w:val="20"/>
          <w:szCs w:val="20"/>
        </w:rPr>
        <w:t xml:space="preserve"> and sautéed samples (47.34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/mL)</w:t>
      </w:r>
      <w:r w:rsidR="00936D98">
        <w:rPr>
          <w:rFonts w:ascii="Arial" w:hAnsi="Arial" w:cs="Arial"/>
          <w:color w:val="000000" w:themeColor="text1"/>
          <w:sz w:val="20"/>
          <w:szCs w:val="20"/>
        </w:rPr>
        <w:t xml:space="preserve"> (Table 2, Fig 1)</w:t>
      </w:r>
      <w:r w:rsidRPr="00C13AA1">
        <w:rPr>
          <w:rFonts w:ascii="Arial" w:hAnsi="Arial" w:cs="Arial"/>
          <w:color w:val="000000" w:themeColor="text1"/>
          <w:sz w:val="20"/>
          <w:szCs w:val="20"/>
        </w:rPr>
        <w:t xml:space="preserve">. Tukey's post hoc analysis indicated that all cooking methods significantly improved </w:t>
      </w:r>
      <w:r w:rsidRPr="00C13AA1">
        <w:rPr>
          <w:rFonts w:ascii="Arial" w:hAnsi="Arial" w:cs="Arial"/>
          <w:bCs/>
          <w:color w:val="000000" w:themeColor="text1"/>
          <w:sz w:val="20"/>
          <w:szCs w:val="20"/>
        </w:rPr>
        <w:t xml:space="preserve">(p≤0.05) </w:t>
      </w:r>
      <w:r w:rsidRPr="00C13AA1">
        <w:rPr>
          <w:rFonts w:ascii="Arial" w:hAnsi="Arial" w:cs="Arial"/>
          <w:color w:val="000000" w:themeColor="text1"/>
          <w:sz w:val="20"/>
          <w:szCs w:val="20"/>
        </w:rPr>
        <w:t xml:space="preserve">antioxidant activity compared to the raw sample. Notably, sautéing, boiling, and microwave cooking showed 77.16%, 75.86% and 73.92% improvement, respectively and were significantly </w:t>
      </w:r>
      <w:r w:rsidRPr="00C13AA1">
        <w:rPr>
          <w:rFonts w:ascii="Arial" w:hAnsi="Arial" w:cs="Arial"/>
          <w:bCs/>
          <w:color w:val="000000" w:themeColor="text1"/>
          <w:sz w:val="20"/>
          <w:szCs w:val="20"/>
        </w:rPr>
        <w:t xml:space="preserve">(p≤0.05) </w:t>
      </w:r>
      <w:r w:rsidRPr="00C13AA1">
        <w:rPr>
          <w:rFonts w:ascii="Arial" w:hAnsi="Arial" w:cs="Arial"/>
          <w:color w:val="000000" w:themeColor="text1"/>
          <w:sz w:val="20"/>
          <w:szCs w:val="20"/>
        </w:rPr>
        <w:t>more effective than steaming and pressure cooking.</w:t>
      </w:r>
    </w:p>
    <w:p w14:paraId="0C15D4C6" w14:textId="5383BF21" w:rsidR="00732DC5" w:rsidRPr="00C13AA1" w:rsidRDefault="00250FB9" w:rsidP="00C771CE">
      <w:pPr>
        <w:spacing w:line="240" w:lineRule="auto"/>
        <w:jc w:val="both"/>
        <w:rPr>
          <w:rFonts w:ascii="Arial" w:hAnsi="Arial" w:cs="Arial"/>
          <w:sz w:val="20"/>
          <w:szCs w:val="20"/>
        </w:rPr>
      </w:pPr>
      <w:r w:rsidRPr="00C13AA1">
        <w:rPr>
          <w:rFonts w:ascii="Arial" w:hAnsi="Arial" w:cs="Arial"/>
          <w:sz w:val="20"/>
          <w:szCs w:val="20"/>
        </w:rPr>
        <w:t xml:space="preserve">All the processing techniques </w:t>
      </w:r>
      <w:r w:rsidR="00732DC5" w:rsidRPr="00C13AA1">
        <w:rPr>
          <w:rFonts w:ascii="Arial" w:hAnsi="Arial" w:cs="Arial"/>
          <w:sz w:val="20"/>
          <w:szCs w:val="20"/>
        </w:rPr>
        <w:t>enhance</w:t>
      </w:r>
      <w:r w:rsidR="002C2FDE" w:rsidRPr="00C13AA1">
        <w:rPr>
          <w:rFonts w:ascii="Arial" w:hAnsi="Arial" w:cs="Arial"/>
          <w:sz w:val="20"/>
          <w:szCs w:val="20"/>
        </w:rPr>
        <w:t>d</w:t>
      </w:r>
      <w:r w:rsidR="00732DC5" w:rsidRPr="00C13AA1">
        <w:rPr>
          <w:rFonts w:ascii="Arial" w:hAnsi="Arial" w:cs="Arial"/>
          <w:sz w:val="20"/>
          <w:szCs w:val="20"/>
        </w:rPr>
        <w:t xml:space="preserve"> the antioxidant activity of </w:t>
      </w:r>
      <w:r w:rsidR="00657ECC" w:rsidRPr="00C13AA1">
        <w:rPr>
          <w:rFonts w:ascii="Arial" w:hAnsi="Arial" w:cs="Arial"/>
          <w:sz w:val="20"/>
          <w:szCs w:val="20"/>
        </w:rPr>
        <w:t>marjoram</w:t>
      </w:r>
      <w:r w:rsidR="00732DC5" w:rsidRPr="00C13AA1">
        <w:rPr>
          <w:rFonts w:ascii="Arial" w:hAnsi="Arial" w:cs="Arial"/>
          <w:sz w:val="20"/>
          <w:szCs w:val="20"/>
        </w:rPr>
        <w:t xml:space="preserve"> leaves. Increment after processing </w:t>
      </w:r>
      <w:r w:rsidR="002C2FDE" w:rsidRPr="00C13AA1">
        <w:rPr>
          <w:rFonts w:ascii="Arial" w:hAnsi="Arial" w:cs="Arial"/>
          <w:sz w:val="20"/>
          <w:szCs w:val="20"/>
        </w:rPr>
        <w:t xml:space="preserve">may be attributed </w:t>
      </w:r>
      <w:r w:rsidR="00732DC5" w:rsidRPr="00C13AA1">
        <w:rPr>
          <w:rFonts w:ascii="Arial" w:hAnsi="Arial" w:cs="Arial"/>
          <w:bCs/>
          <w:sz w:val="20"/>
          <w:szCs w:val="20"/>
        </w:rPr>
        <w:t xml:space="preserve">to breaking down </w:t>
      </w:r>
      <w:r w:rsidR="002C2FDE" w:rsidRPr="00C13AA1">
        <w:rPr>
          <w:rFonts w:ascii="Arial" w:hAnsi="Arial" w:cs="Arial"/>
          <w:bCs/>
          <w:sz w:val="20"/>
          <w:szCs w:val="20"/>
        </w:rPr>
        <w:t xml:space="preserve">of </w:t>
      </w:r>
      <w:r w:rsidR="00732DC5" w:rsidRPr="00C13AA1">
        <w:rPr>
          <w:rFonts w:ascii="Arial" w:hAnsi="Arial" w:cs="Arial"/>
          <w:bCs/>
          <w:sz w:val="20"/>
          <w:szCs w:val="20"/>
        </w:rPr>
        <w:t xml:space="preserve">cell walls and releasing bound phenolic compounds </w:t>
      </w:r>
      <w:r w:rsidRPr="00C13AA1">
        <w:rPr>
          <w:rFonts w:ascii="Arial" w:hAnsi="Arial" w:cs="Arial"/>
          <w:bCs/>
          <w:sz w:val="20"/>
          <w:szCs w:val="20"/>
        </w:rPr>
        <w:t>(Shahidi and Hossain, 2023)</w:t>
      </w:r>
      <w:r w:rsidR="00732DC5" w:rsidRPr="00C13AA1">
        <w:rPr>
          <w:rFonts w:ascii="Arial" w:hAnsi="Arial" w:cs="Arial"/>
          <w:bCs/>
          <w:sz w:val="20"/>
          <w:szCs w:val="20"/>
        </w:rPr>
        <w:t>.</w:t>
      </w:r>
      <w:r w:rsidR="00732DC5" w:rsidRPr="00C13AA1">
        <w:rPr>
          <w:rFonts w:ascii="Arial" w:hAnsi="Arial" w:cs="Arial"/>
          <w:color w:val="1B1B1B"/>
          <w:sz w:val="20"/>
          <w:szCs w:val="20"/>
          <w:shd w:val="clear" w:color="auto" w:fill="FFFFFF"/>
        </w:rPr>
        <w:t xml:space="preserve"> </w:t>
      </w:r>
      <w:r w:rsidR="00732DC5" w:rsidRPr="00C13AA1">
        <w:rPr>
          <w:rFonts w:ascii="Arial" w:hAnsi="Arial" w:cs="Arial"/>
          <w:bCs/>
          <w:sz w:val="20"/>
          <w:szCs w:val="20"/>
        </w:rPr>
        <w:t xml:space="preserve"> Gunathilake et al. (2018), Chin et al. (2022), and </w:t>
      </w:r>
      <w:proofErr w:type="spellStart"/>
      <w:r w:rsidR="00732DC5" w:rsidRPr="00C13AA1">
        <w:rPr>
          <w:rFonts w:ascii="Arial" w:hAnsi="Arial" w:cs="Arial"/>
          <w:bCs/>
          <w:sz w:val="20"/>
          <w:szCs w:val="20"/>
        </w:rPr>
        <w:t>Etu</w:t>
      </w:r>
      <w:proofErr w:type="spellEnd"/>
      <w:r w:rsidR="00732DC5" w:rsidRPr="00C13AA1">
        <w:rPr>
          <w:rFonts w:ascii="Arial" w:hAnsi="Arial" w:cs="Arial"/>
          <w:bCs/>
          <w:sz w:val="20"/>
          <w:szCs w:val="20"/>
        </w:rPr>
        <w:t xml:space="preserve"> et al. (2024) reported that </w:t>
      </w:r>
      <w:r w:rsidR="00732DC5" w:rsidRPr="00C13AA1">
        <w:rPr>
          <w:rFonts w:ascii="Arial" w:hAnsi="Arial" w:cs="Arial"/>
          <w:sz w:val="20"/>
          <w:szCs w:val="20"/>
        </w:rPr>
        <w:t>steaming, microwave cooking, and sautéing</w:t>
      </w:r>
      <w:r w:rsidR="00732DC5" w:rsidRPr="00C13AA1">
        <w:rPr>
          <w:rFonts w:ascii="Arial" w:hAnsi="Arial" w:cs="Arial"/>
          <w:bCs/>
          <w:sz w:val="20"/>
          <w:szCs w:val="20"/>
        </w:rPr>
        <w:t xml:space="preserve"> enhanced the antioxidant activity in various leafy vegetables, including </w:t>
      </w:r>
      <w:r w:rsidR="00732DC5" w:rsidRPr="00C13AA1">
        <w:rPr>
          <w:rFonts w:ascii="Arial" w:hAnsi="Arial" w:cs="Arial"/>
          <w:bCs/>
          <w:i/>
          <w:iCs/>
          <w:sz w:val="20"/>
          <w:szCs w:val="20"/>
        </w:rPr>
        <w:t xml:space="preserve">Cassia </w:t>
      </w:r>
      <w:proofErr w:type="spellStart"/>
      <w:r w:rsidR="00732DC5" w:rsidRPr="00C13AA1">
        <w:rPr>
          <w:rFonts w:ascii="Arial" w:hAnsi="Arial" w:cs="Arial"/>
          <w:bCs/>
          <w:i/>
          <w:iCs/>
          <w:sz w:val="20"/>
          <w:szCs w:val="20"/>
        </w:rPr>
        <w:t>auriculata</w:t>
      </w:r>
      <w:proofErr w:type="spellEnd"/>
      <w:r w:rsidR="00732DC5" w:rsidRPr="00C13AA1">
        <w:rPr>
          <w:rFonts w:ascii="Arial" w:hAnsi="Arial" w:cs="Arial"/>
          <w:bCs/>
          <w:sz w:val="20"/>
          <w:szCs w:val="20"/>
        </w:rPr>
        <w:t xml:space="preserve"> and </w:t>
      </w:r>
      <w:proofErr w:type="spellStart"/>
      <w:r w:rsidR="00732DC5" w:rsidRPr="00C13AA1">
        <w:rPr>
          <w:rFonts w:ascii="Arial" w:hAnsi="Arial" w:cs="Arial"/>
          <w:bCs/>
          <w:i/>
          <w:iCs/>
          <w:sz w:val="20"/>
          <w:szCs w:val="20"/>
        </w:rPr>
        <w:t>Centella</w:t>
      </w:r>
      <w:proofErr w:type="spellEnd"/>
      <w:r w:rsidR="00732DC5" w:rsidRPr="00C13AA1">
        <w:rPr>
          <w:rFonts w:ascii="Arial" w:hAnsi="Arial" w:cs="Arial"/>
          <w:bCs/>
          <w:i/>
          <w:iCs/>
          <w:sz w:val="20"/>
          <w:szCs w:val="20"/>
        </w:rPr>
        <w:t xml:space="preserve"> </w:t>
      </w:r>
      <w:proofErr w:type="spellStart"/>
      <w:r w:rsidR="00732DC5" w:rsidRPr="00C13AA1">
        <w:rPr>
          <w:rFonts w:ascii="Arial" w:hAnsi="Arial" w:cs="Arial"/>
          <w:bCs/>
          <w:i/>
          <w:iCs/>
          <w:sz w:val="20"/>
          <w:szCs w:val="20"/>
        </w:rPr>
        <w:t>asiatica</w:t>
      </w:r>
      <w:proofErr w:type="spellEnd"/>
      <w:r w:rsidR="00732DC5" w:rsidRPr="00C13AA1">
        <w:rPr>
          <w:rFonts w:ascii="Arial" w:hAnsi="Arial" w:cs="Arial"/>
          <w:bCs/>
          <w:sz w:val="20"/>
          <w:szCs w:val="20"/>
        </w:rPr>
        <w:t xml:space="preserve">, Chinese kale, and fluted pumpkin and garden egg leaves, respectively. </w:t>
      </w:r>
      <w:r w:rsidRPr="00C13AA1">
        <w:rPr>
          <w:rFonts w:ascii="Arial" w:hAnsi="Arial" w:cs="Arial"/>
          <w:sz w:val="20"/>
          <w:szCs w:val="20"/>
        </w:rPr>
        <w:t>Geetha et al. (2018)</w:t>
      </w:r>
      <w:r w:rsidR="009D3F27">
        <w:rPr>
          <w:rFonts w:ascii="Arial" w:hAnsi="Arial" w:cs="Arial"/>
          <w:sz w:val="20"/>
          <w:szCs w:val="20"/>
        </w:rPr>
        <w:t xml:space="preserve"> and</w:t>
      </w:r>
      <w:r w:rsidR="009D3F27" w:rsidRPr="009D3F27">
        <w:rPr>
          <w:rFonts w:ascii="Arial" w:hAnsi="Arial" w:cs="Arial"/>
          <w:color w:val="FF0000"/>
          <w:sz w:val="20"/>
          <w:szCs w:val="20"/>
        </w:rPr>
        <w:t xml:space="preserve"> </w:t>
      </w:r>
      <w:proofErr w:type="spellStart"/>
      <w:r w:rsidR="009D3F27" w:rsidRPr="00D76878">
        <w:rPr>
          <w:rFonts w:ascii="Arial" w:hAnsi="Arial" w:cs="Arial"/>
          <w:bCs/>
          <w:sz w:val="20"/>
          <w:szCs w:val="20"/>
        </w:rPr>
        <w:t>Goyal</w:t>
      </w:r>
      <w:proofErr w:type="spellEnd"/>
      <w:r w:rsidR="009D3F27" w:rsidRPr="00D76878">
        <w:rPr>
          <w:rFonts w:ascii="Arial" w:hAnsi="Arial" w:cs="Arial"/>
          <w:bCs/>
          <w:sz w:val="20"/>
          <w:szCs w:val="20"/>
        </w:rPr>
        <w:t xml:space="preserve"> and </w:t>
      </w:r>
      <w:proofErr w:type="spellStart"/>
      <w:r w:rsidR="009D3F27" w:rsidRPr="00D76878">
        <w:rPr>
          <w:rFonts w:ascii="Arial" w:hAnsi="Arial" w:cs="Arial"/>
          <w:bCs/>
          <w:sz w:val="20"/>
          <w:szCs w:val="20"/>
        </w:rPr>
        <w:t>Tarvinder</w:t>
      </w:r>
      <w:proofErr w:type="spellEnd"/>
      <w:r w:rsidR="009D3F27" w:rsidRPr="00D76878">
        <w:rPr>
          <w:rFonts w:ascii="Arial" w:hAnsi="Arial" w:cs="Arial"/>
          <w:bCs/>
          <w:sz w:val="20"/>
          <w:szCs w:val="20"/>
        </w:rPr>
        <w:t xml:space="preserve"> (2025)</w:t>
      </w:r>
      <w:r w:rsidRPr="00D76878">
        <w:rPr>
          <w:rFonts w:ascii="Arial" w:hAnsi="Arial" w:cs="Arial"/>
          <w:sz w:val="20"/>
          <w:szCs w:val="20"/>
        </w:rPr>
        <w:t xml:space="preserve"> </w:t>
      </w:r>
      <w:r w:rsidRPr="00C13AA1">
        <w:rPr>
          <w:rFonts w:ascii="Arial" w:hAnsi="Arial" w:cs="Arial"/>
          <w:sz w:val="20"/>
          <w:szCs w:val="20"/>
        </w:rPr>
        <w:t xml:space="preserve">also observed an increase in antioxidant activity after boiling and pressure cooking of curry leaves. </w:t>
      </w:r>
      <w:r w:rsidR="00732DC5" w:rsidRPr="00C13AA1">
        <w:rPr>
          <w:rFonts w:ascii="Arial" w:hAnsi="Arial" w:cs="Arial"/>
          <w:bCs/>
          <w:sz w:val="20"/>
          <w:szCs w:val="20"/>
        </w:rPr>
        <w:t>These findings are consistent with the results of the present study, supporting the positive impact of cooking methods on antioxidant potential.</w:t>
      </w:r>
      <w:r w:rsidR="00732DC5" w:rsidRPr="00C13AA1">
        <w:rPr>
          <w:rFonts w:ascii="Arial" w:hAnsi="Arial" w:cs="Arial"/>
          <w:sz w:val="20"/>
          <w:szCs w:val="20"/>
        </w:rPr>
        <w:t xml:space="preserve"> </w:t>
      </w:r>
    </w:p>
    <w:p w14:paraId="3C906282" w14:textId="218208F2"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3.5 </w:t>
      </w:r>
      <w:r w:rsidR="00732DC5" w:rsidRPr="00860227">
        <w:rPr>
          <w:rFonts w:ascii="Arial" w:hAnsi="Arial" w:cs="Arial"/>
          <w:b/>
          <w:bCs/>
        </w:rPr>
        <w:t>Ascorbic acid</w:t>
      </w:r>
    </w:p>
    <w:p w14:paraId="0A1FE002" w14:textId="730DC083" w:rsidR="00732DC5" w:rsidRPr="00C13AA1" w:rsidRDefault="00440699"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color w:val="000000" w:themeColor="text1"/>
          <w:sz w:val="20"/>
          <w:szCs w:val="20"/>
        </w:rPr>
        <w:t>The ascorbic acid content of marjoram leaves, both raw and processed, ranged from 0.12 to 1.67 mg/100g</w:t>
      </w:r>
      <w:r w:rsidR="00883267">
        <w:rPr>
          <w:rFonts w:ascii="Arial" w:hAnsi="Arial" w:cs="Arial"/>
          <w:color w:val="000000" w:themeColor="text1"/>
          <w:sz w:val="20"/>
          <w:szCs w:val="20"/>
        </w:rPr>
        <w:t xml:space="preserve"> (Table 2, Fig 2)</w:t>
      </w:r>
      <w:r w:rsidRPr="00C13AA1">
        <w:rPr>
          <w:rFonts w:ascii="Arial" w:hAnsi="Arial" w:cs="Arial"/>
          <w:color w:val="000000" w:themeColor="text1"/>
          <w:sz w:val="20"/>
          <w:szCs w:val="20"/>
        </w:rPr>
        <w:t>. Raw sample had the highest ascorbic acid value (1.67 mg/100g), followed by pressure cooked (0.21 mg/100g), microwave co</w:t>
      </w:r>
      <w:r w:rsidR="009D3F27">
        <w:rPr>
          <w:rFonts w:ascii="Arial" w:hAnsi="Arial" w:cs="Arial"/>
          <w:color w:val="000000" w:themeColor="text1"/>
          <w:sz w:val="20"/>
          <w:szCs w:val="20"/>
        </w:rPr>
        <w:t>oked (0.17 mg/100g) and steamed &amp; sautéed (0.15 mg/100g) and boiled</w:t>
      </w:r>
      <w:r w:rsidRPr="00C13AA1">
        <w:rPr>
          <w:rFonts w:ascii="Arial" w:hAnsi="Arial" w:cs="Arial"/>
          <w:color w:val="000000" w:themeColor="text1"/>
          <w:sz w:val="20"/>
          <w:szCs w:val="20"/>
        </w:rPr>
        <w:t xml:space="preserve"> (0.12 mg/100g)</w:t>
      </w:r>
      <w:r w:rsidR="009D3F27">
        <w:rPr>
          <w:rFonts w:ascii="Arial" w:hAnsi="Arial" w:cs="Arial"/>
          <w:color w:val="000000" w:themeColor="text1"/>
          <w:sz w:val="20"/>
          <w:szCs w:val="20"/>
        </w:rPr>
        <w:t xml:space="preserve"> samples</w:t>
      </w:r>
      <w:r w:rsidRPr="00C13AA1">
        <w:rPr>
          <w:rFonts w:ascii="Arial" w:hAnsi="Arial" w:cs="Arial"/>
          <w:color w:val="000000" w:themeColor="text1"/>
          <w:sz w:val="20"/>
          <w:szCs w:val="20"/>
        </w:rPr>
        <w:t>. Tukey post hoc analysis exhibited that all processing methods caused extreme loss (&gt;87%), however there was stat</w:t>
      </w:r>
      <w:r w:rsidR="000E7E95">
        <w:rPr>
          <w:rFonts w:ascii="Arial" w:hAnsi="Arial" w:cs="Arial"/>
          <w:color w:val="000000" w:themeColor="text1"/>
          <w:sz w:val="20"/>
          <w:szCs w:val="20"/>
        </w:rPr>
        <w:t>istically non-</w:t>
      </w:r>
      <w:r w:rsidRPr="00C13AA1">
        <w:rPr>
          <w:rFonts w:ascii="Arial" w:hAnsi="Arial" w:cs="Arial"/>
          <w:color w:val="000000" w:themeColor="text1"/>
          <w:sz w:val="20"/>
          <w:szCs w:val="20"/>
        </w:rPr>
        <w:t>significant (p≤0.05) differences among them. All</w:t>
      </w:r>
      <w:r w:rsidRPr="00C13AA1">
        <w:rPr>
          <w:rFonts w:ascii="Arial" w:hAnsi="Arial" w:cs="Arial"/>
          <w:bCs/>
          <w:color w:val="000000" w:themeColor="text1"/>
          <w:sz w:val="20"/>
          <w:szCs w:val="20"/>
        </w:rPr>
        <w:t xml:space="preserve"> methods drastically reduced ascorbic acid while pressure cooking retained the most among them.</w:t>
      </w:r>
      <w:r w:rsidR="00732DC5" w:rsidRPr="00C13AA1">
        <w:rPr>
          <w:rFonts w:ascii="Arial" w:hAnsi="Arial" w:cs="Arial"/>
          <w:sz w:val="20"/>
          <w:szCs w:val="20"/>
        </w:rPr>
        <w:t xml:space="preserve"> </w:t>
      </w:r>
      <w:r w:rsidR="00CD032B" w:rsidRPr="00C13AA1">
        <w:rPr>
          <w:rFonts w:ascii="Arial" w:hAnsi="Arial" w:cs="Arial"/>
          <w:bCs/>
          <w:sz w:val="20"/>
          <w:szCs w:val="20"/>
        </w:rPr>
        <w:t xml:space="preserve">The reduction can be </w:t>
      </w:r>
      <w:r w:rsidR="00732DC5" w:rsidRPr="00C13AA1">
        <w:rPr>
          <w:rFonts w:ascii="Arial" w:hAnsi="Arial" w:cs="Arial"/>
          <w:bCs/>
          <w:sz w:val="20"/>
          <w:szCs w:val="20"/>
        </w:rPr>
        <w:t>mainly attributed to rap</w:t>
      </w:r>
      <w:r w:rsidR="0067467F">
        <w:rPr>
          <w:rFonts w:ascii="Arial" w:hAnsi="Arial" w:cs="Arial"/>
          <w:bCs/>
          <w:sz w:val="20"/>
          <w:szCs w:val="20"/>
        </w:rPr>
        <w:t>id oxidation, which transform ascorbic acid</w:t>
      </w:r>
      <w:r w:rsidR="00732DC5" w:rsidRPr="00C13AA1">
        <w:rPr>
          <w:rFonts w:ascii="Arial" w:hAnsi="Arial" w:cs="Arial"/>
          <w:bCs/>
          <w:sz w:val="20"/>
          <w:szCs w:val="20"/>
        </w:rPr>
        <w:t xml:space="preserve"> to dehydroascorbic acid, </w:t>
      </w:r>
      <w:r w:rsidR="00CD032B" w:rsidRPr="00C13AA1">
        <w:rPr>
          <w:rFonts w:ascii="Arial" w:hAnsi="Arial" w:cs="Arial"/>
          <w:bCs/>
          <w:sz w:val="20"/>
          <w:szCs w:val="20"/>
        </w:rPr>
        <w:t>subsequently</w:t>
      </w:r>
      <w:r w:rsidR="00732DC5" w:rsidRPr="00C13AA1">
        <w:rPr>
          <w:rFonts w:ascii="Arial" w:hAnsi="Arial" w:cs="Arial"/>
          <w:bCs/>
          <w:sz w:val="20"/>
          <w:szCs w:val="20"/>
        </w:rPr>
        <w:t xml:space="preserve"> undergoing hydrolysis to 2,3-diketogulonic acid and polymerization. Furthermore, leaching of nutrients into boiling water co</w:t>
      </w:r>
      <w:r w:rsidR="000E7E95">
        <w:rPr>
          <w:rFonts w:ascii="Arial" w:hAnsi="Arial" w:cs="Arial"/>
          <w:bCs/>
          <w:sz w:val="20"/>
          <w:szCs w:val="20"/>
        </w:rPr>
        <w:t>ntributes to the reduction in ascorbic acid</w:t>
      </w:r>
      <w:r w:rsidR="00732DC5" w:rsidRPr="00C13AA1">
        <w:rPr>
          <w:rFonts w:ascii="Arial" w:hAnsi="Arial" w:cs="Arial"/>
          <w:bCs/>
          <w:sz w:val="20"/>
          <w:szCs w:val="20"/>
        </w:rPr>
        <w:t xml:space="preserve"> levels </w:t>
      </w:r>
      <w:r w:rsidRPr="00C13AA1">
        <w:rPr>
          <w:rFonts w:ascii="Arial" w:hAnsi="Arial" w:cs="Arial"/>
          <w:bCs/>
          <w:sz w:val="20"/>
          <w:szCs w:val="20"/>
        </w:rPr>
        <w:t>(Nambi et al., 2016)</w:t>
      </w:r>
      <w:r w:rsidR="00732DC5" w:rsidRPr="00C13AA1">
        <w:rPr>
          <w:rFonts w:ascii="Arial" w:hAnsi="Arial" w:cs="Arial"/>
          <w:bCs/>
          <w:sz w:val="20"/>
          <w:szCs w:val="20"/>
        </w:rPr>
        <w:t xml:space="preserve">. </w:t>
      </w:r>
      <w:r w:rsidR="00CD032B" w:rsidRPr="00C13AA1">
        <w:rPr>
          <w:rFonts w:ascii="Arial" w:hAnsi="Arial" w:cs="Arial"/>
          <w:bCs/>
          <w:sz w:val="20"/>
          <w:szCs w:val="20"/>
        </w:rPr>
        <w:t xml:space="preserve">The observed loss is </w:t>
      </w:r>
    </w:p>
    <w:p w14:paraId="03E16AD9" w14:textId="08408FD6" w:rsidR="00732DC5" w:rsidRPr="00C13AA1" w:rsidRDefault="00732DC5" w:rsidP="00C771CE">
      <w:pPr>
        <w:spacing w:line="240" w:lineRule="auto"/>
        <w:jc w:val="both"/>
        <w:rPr>
          <w:rFonts w:ascii="Arial" w:hAnsi="Arial" w:cs="Arial"/>
          <w:b/>
          <w:bCs/>
          <w:sz w:val="20"/>
          <w:szCs w:val="20"/>
          <w:lang w:val="en-US"/>
        </w:rPr>
      </w:pPr>
      <w:commentRangeStart w:id="4"/>
      <w:r w:rsidRPr="00C13AA1">
        <w:rPr>
          <w:rFonts w:ascii="Arial" w:hAnsi="Arial" w:cs="Arial"/>
          <w:b/>
          <w:bCs/>
          <w:sz w:val="20"/>
          <w:szCs w:val="20"/>
        </w:rPr>
        <w:t>Table</w:t>
      </w:r>
      <w:commentRangeEnd w:id="4"/>
      <w:r w:rsidR="00AE4AEB">
        <w:rPr>
          <w:rStyle w:val="ac"/>
        </w:rPr>
        <w:commentReference w:id="4"/>
      </w:r>
      <w:r w:rsidRPr="00C13AA1">
        <w:rPr>
          <w:rFonts w:ascii="Arial" w:hAnsi="Arial" w:cs="Arial"/>
          <w:b/>
          <w:bCs/>
          <w:sz w:val="20"/>
          <w:szCs w:val="20"/>
        </w:rPr>
        <w:t xml:space="preserve"> 2: </w:t>
      </w:r>
      <w:r w:rsidRPr="00C13AA1">
        <w:rPr>
          <w:rFonts w:ascii="Arial" w:hAnsi="Arial" w:cs="Arial"/>
          <w:b/>
          <w:bCs/>
          <w:sz w:val="20"/>
          <w:szCs w:val="20"/>
          <w:lang w:val="en-US"/>
        </w:rPr>
        <w:t>Impact of different processing techniques on antioxidant activ</w:t>
      </w:r>
      <w:r w:rsidR="0067467F">
        <w:rPr>
          <w:rFonts w:ascii="Arial" w:hAnsi="Arial" w:cs="Arial"/>
          <w:b/>
          <w:bCs/>
          <w:sz w:val="20"/>
          <w:szCs w:val="20"/>
          <w:lang w:val="en-US"/>
        </w:rPr>
        <w:t>ity and phytochemical content of</w:t>
      </w:r>
      <w:r w:rsidRPr="00C13AA1">
        <w:rPr>
          <w:rFonts w:ascii="Arial" w:hAnsi="Arial" w:cs="Arial"/>
          <w:b/>
          <w:bCs/>
          <w:sz w:val="20"/>
          <w:szCs w:val="20"/>
          <w:lang w:val="en-US"/>
        </w:rPr>
        <w:t xml:space="preserve"> </w:t>
      </w:r>
      <w:r w:rsidR="00657ECC" w:rsidRPr="00C13AA1">
        <w:rPr>
          <w:rFonts w:ascii="Arial" w:hAnsi="Arial" w:cs="Arial"/>
          <w:b/>
          <w:bCs/>
          <w:sz w:val="20"/>
          <w:szCs w:val="20"/>
          <w:lang w:val="en-US"/>
        </w:rPr>
        <w:t>Marjoram</w:t>
      </w:r>
      <w:r w:rsidRPr="00C13AA1">
        <w:rPr>
          <w:rFonts w:ascii="Arial" w:hAnsi="Arial" w:cs="Arial"/>
          <w:b/>
          <w:bCs/>
          <w:sz w:val="20"/>
          <w:szCs w:val="20"/>
          <w:lang w:val="en-US"/>
        </w:rPr>
        <w:t xml:space="preserve"> Leaves</w:t>
      </w:r>
    </w:p>
    <w:tbl>
      <w:tblPr>
        <w:tblStyle w:val="a6"/>
        <w:tblW w:w="0" w:type="auto"/>
        <w:tblLook w:val="04A0" w:firstRow="1" w:lastRow="0" w:firstColumn="1" w:lastColumn="0" w:noHBand="0" w:noVBand="1"/>
      </w:tblPr>
      <w:tblGrid>
        <w:gridCol w:w="1192"/>
        <w:gridCol w:w="1437"/>
        <w:gridCol w:w="1266"/>
        <w:gridCol w:w="1365"/>
        <w:gridCol w:w="1266"/>
        <w:gridCol w:w="1266"/>
        <w:gridCol w:w="1450"/>
      </w:tblGrid>
      <w:tr w:rsidR="00732DC5" w:rsidRPr="00C13AA1" w14:paraId="11F5DF54" w14:textId="77777777" w:rsidTr="0067467F">
        <w:tc>
          <w:tcPr>
            <w:tcW w:w="1192" w:type="dxa"/>
            <w:tcBorders>
              <w:bottom w:val="single" w:sz="4" w:space="0" w:color="auto"/>
            </w:tcBorders>
          </w:tcPr>
          <w:p w14:paraId="79CCAA32" w14:textId="28F46071" w:rsidR="00732DC5" w:rsidRPr="00C13AA1" w:rsidRDefault="00657ECC" w:rsidP="00C771CE">
            <w:pPr>
              <w:rPr>
                <w:rFonts w:ascii="Arial" w:hAnsi="Arial" w:cs="Arial"/>
                <w:sz w:val="20"/>
              </w:rPr>
            </w:pPr>
            <w:r w:rsidRPr="00C13AA1">
              <w:rPr>
                <w:rFonts w:ascii="Arial" w:eastAsia="Times New Roman" w:hAnsi="Arial" w:cs="Arial"/>
                <w:b/>
                <w:bCs/>
                <w:color w:val="000000"/>
                <w:kern w:val="0"/>
                <w:sz w:val="20"/>
                <w14:ligatures w14:val="none"/>
              </w:rPr>
              <w:t>Marjoram</w:t>
            </w:r>
            <w:r w:rsidR="00732DC5" w:rsidRPr="00C13AA1">
              <w:rPr>
                <w:rFonts w:ascii="Arial" w:eastAsia="Times New Roman" w:hAnsi="Arial" w:cs="Arial"/>
                <w:b/>
                <w:bCs/>
                <w:color w:val="000000"/>
                <w:kern w:val="0"/>
                <w:sz w:val="20"/>
                <w14:ligatures w14:val="none"/>
              </w:rPr>
              <w:t xml:space="preserve"> leaves</w:t>
            </w:r>
          </w:p>
        </w:tc>
        <w:tc>
          <w:tcPr>
            <w:tcW w:w="1437" w:type="dxa"/>
            <w:tcBorders>
              <w:bottom w:val="single" w:sz="4" w:space="0" w:color="auto"/>
            </w:tcBorders>
          </w:tcPr>
          <w:p w14:paraId="3BAA362D"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Raw</w:t>
            </w:r>
          </w:p>
        </w:tc>
        <w:tc>
          <w:tcPr>
            <w:tcW w:w="1266" w:type="dxa"/>
            <w:tcBorders>
              <w:bottom w:val="single" w:sz="4" w:space="0" w:color="auto"/>
            </w:tcBorders>
          </w:tcPr>
          <w:p w14:paraId="0BED397D"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Boiling</w:t>
            </w:r>
          </w:p>
        </w:tc>
        <w:tc>
          <w:tcPr>
            <w:tcW w:w="1365" w:type="dxa"/>
            <w:tcBorders>
              <w:bottom w:val="single" w:sz="4" w:space="0" w:color="auto"/>
            </w:tcBorders>
          </w:tcPr>
          <w:p w14:paraId="26C31B6C"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Pressure cooking</w:t>
            </w:r>
          </w:p>
        </w:tc>
        <w:tc>
          <w:tcPr>
            <w:tcW w:w="1266" w:type="dxa"/>
            <w:tcBorders>
              <w:bottom w:val="single" w:sz="4" w:space="0" w:color="auto"/>
            </w:tcBorders>
          </w:tcPr>
          <w:p w14:paraId="25FFBBC1"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Microwave Cooking</w:t>
            </w:r>
          </w:p>
        </w:tc>
        <w:tc>
          <w:tcPr>
            <w:tcW w:w="1266" w:type="dxa"/>
            <w:tcBorders>
              <w:bottom w:val="single" w:sz="4" w:space="0" w:color="auto"/>
            </w:tcBorders>
          </w:tcPr>
          <w:p w14:paraId="5ED29375"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Steaming</w:t>
            </w:r>
          </w:p>
        </w:tc>
        <w:tc>
          <w:tcPr>
            <w:tcW w:w="1450" w:type="dxa"/>
            <w:tcBorders>
              <w:bottom w:val="single" w:sz="4" w:space="0" w:color="auto"/>
            </w:tcBorders>
          </w:tcPr>
          <w:p w14:paraId="4F6FE01F"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 xml:space="preserve"> Sautéing</w:t>
            </w:r>
          </w:p>
        </w:tc>
      </w:tr>
      <w:tr w:rsidR="00377ECF" w:rsidRPr="00C13AA1" w14:paraId="2D0AB52C" w14:textId="77777777" w:rsidTr="0067467F">
        <w:tc>
          <w:tcPr>
            <w:tcW w:w="1192" w:type="dxa"/>
            <w:tcBorders>
              <w:left w:val="nil"/>
              <w:bottom w:val="nil"/>
              <w:right w:val="nil"/>
            </w:tcBorders>
          </w:tcPr>
          <w:p w14:paraId="208559BB" w14:textId="77777777" w:rsidR="00377ECF" w:rsidRPr="00C13AA1" w:rsidRDefault="00377ECF" w:rsidP="00B263FD">
            <w:pPr>
              <w:spacing w:line="480" w:lineRule="auto"/>
              <w:rPr>
                <w:rFonts w:ascii="Arial" w:hAnsi="Arial" w:cs="Arial"/>
                <w:sz w:val="20"/>
              </w:rPr>
            </w:pPr>
            <w:r w:rsidRPr="00C13AA1">
              <w:rPr>
                <w:rFonts w:ascii="Arial" w:hAnsi="Arial" w:cs="Arial"/>
                <w:b/>
                <w:bCs/>
                <w:sz w:val="20"/>
              </w:rPr>
              <w:t>Antioxidant activity</w:t>
            </w:r>
            <w:r w:rsidRPr="00C13AA1">
              <w:rPr>
                <w:rFonts w:ascii="Arial" w:hAnsi="Arial" w:cs="Arial"/>
                <w:sz w:val="20"/>
              </w:rPr>
              <w:t xml:space="preserve"> (</w:t>
            </w:r>
            <w:proofErr w:type="spellStart"/>
            <w:r w:rsidRPr="00C13AA1">
              <w:rPr>
                <w:rFonts w:ascii="Arial" w:eastAsia="Times New Roman" w:hAnsi="Arial" w:cs="Arial"/>
                <w:b/>
                <w:bCs/>
                <w:color w:val="000000"/>
                <w:kern w:val="0"/>
                <w:sz w:val="20"/>
                <w14:ligatures w14:val="none"/>
              </w:rPr>
              <w:t>μg</w:t>
            </w:r>
            <w:proofErr w:type="spellEnd"/>
            <w:r w:rsidRPr="00C13AA1">
              <w:rPr>
                <w:rFonts w:ascii="Arial" w:eastAsia="Times New Roman" w:hAnsi="Arial" w:cs="Arial"/>
                <w:b/>
                <w:bCs/>
                <w:color w:val="000000"/>
                <w:kern w:val="0"/>
                <w:sz w:val="20"/>
                <w14:ligatures w14:val="none"/>
              </w:rPr>
              <w:t>/100g)</w:t>
            </w:r>
          </w:p>
        </w:tc>
        <w:tc>
          <w:tcPr>
            <w:tcW w:w="1437" w:type="dxa"/>
            <w:tcBorders>
              <w:left w:val="nil"/>
              <w:bottom w:val="nil"/>
              <w:right w:val="nil"/>
            </w:tcBorders>
          </w:tcPr>
          <w:p w14:paraId="3EFD9053"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207.29±1.62</w:t>
            </w:r>
            <w:r w:rsidRPr="00C13AA1">
              <w:rPr>
                <w:rFonts w:ascii="Arial" w:hAnsi="Arial" w:cs="Arial"/>
                <w:color w:val="000000" w:themeColor="text1"/>
                <w:sz w:val="20"/>
                <w:vertAlign w:val="superscript"/>
              </w:rPr>
              <w:t>a</w:t>
            </w:r>
          </w:p>
          <w:p w14:paraId="36D027F6" w14:textId="5501BEB2" w:rsidR="00377ECF" w:rsidRPr="00C13AA1" w:rsidRDefault="00377ECF" w:rsidP="00B263FD">
            <w:pPr>
              <w:spacing w:line="480" w:lineRule="auto"/>
              <w:jc w:val="center"/>
              <w:rPr>
                <w:rFonts w:ascii="Arial" w:hAnsi="Arial" w:cs="Arial"/>
                <w:sz w:val="20"/>
              </w:rPr>
            </w:pPr>
          </w:p>
        </w:tc>
        <w:tc>
          <w:tcPr>
            <w:tcW w:w="1266" w:type="dxa"/>
            <w:tcBorders>
              <w:left w:val="nil"/>
              <w:bottom w:val="nil"/>
              <w:right w:val="nil"/>
            </w:tcBorders>
          </w:tcPr>
          <w:p w14:paraId="4EA0FFCC"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50.02±1.23</w:t>
            </w:r>
            <w:r w:rsidRPr="00C13AA1">
              <w:rPr>
                <w:rFonts w:ascii="Arial" w:hAnsi="Arial" w:cs="Arial"/>
                <w:color w:val="000000" w:themeColor="text1"/>
                <w:sz w:val="20"/>
                <w:vertAlign w:val="superscript"/>
              </w:rPr>
              <w:t>c</w:t>
            </w:r>
          </w:p>
          <w:p w14:paraId="6A99D7B7" w14:textId="118205BC"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(+75.86%)</w:t>
            </w:r>
          </w:p>
        </w:tc>
        <w:tc>
          <w:tcPr>
            <w:tcW w:w="1365" w:type="dxa"/>
            <w:tcBorders>
              <w:left w:val="nil"/>
              <w:bottom w:val="nil"/>
              <w:right w:val="nil"/>
            </w:tcBorders>
          </w:tcPr>
          <w:p w14:paraId="0473D01F"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137.41±2.94</w:t>
            </w:r>
            <w:r w:rsidRPr="00C13AA1">
              <w:rPr>
                <w:rFonts w:ascii="Arial" w:hAnsi="Arial" w:cs="Arial"/>
                <w:color w:val="000000" w:themeColor="text1"/>
                <w:sz w:val="20"/>
                <w:vertAlign w:val="superscript"/>
              </w:rPr>
              <w:t>b</w:t>
            </w:r>
          </w:p>
          <w:p w14:paraId="2AF56F08" w14:textId="6A03D567"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(+33.71%)</w:t>
            </w:r>
          </w:p>
        </w:tc>
        <w:tc>
          <w:tcPr>
            <w:tcW w:w="1266" w:type="dxa"/>
            <w:tcBorders>
              <w:left w:val="nil"/>
              <w:bottom w:val="nil"/>
              <w:right w:val="nil"/>
            </w:tcBorders>
          </w:tcPr>
          <w:p w14:paraId="28C61A7B"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54.06±1.17</w:t>
            </w:r>
            <w:r w:rsidRPr="00C13AA1">
              <w:rPr>
                <w:rFonts w:ascii="Arial" w:hAnsi="Arial" w:cs="Arial"/>
                <w:color w:val="000000" w:themeColor="text1"/>
                <w:sz w:val="20"/>
                <w:vertAlign w:val="superscript"/>
              </w:rPr>
              <w:t>c</w:t>
            </w:r>
          </w:p>
          <w:p w14:paraId="24B160CC" w14:textId="52F29AFA"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(+73.92%)</w:t>
            </w:r>
          </w:p>
        </w:tc>
        <w:tc>
          <w:tcPr>
            <w:tcW w:w="1266" w:type="dxa"/>
            <w:tcBorders>
              <w:left w:val="nil"/>
              <w:bottom w:val="nil"/>
              <w:right w:val="nil"/>
            </w:tcBorders>
          </w:tcPr>
          <w:p w14:paraId="184BCA1E"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136.66±1.06</w:t>
            </w:r>
            <w:r w:rsidRPr="00C13AA1">
              <w:rPr>
                <w:rFonts w:ascii="Arial" w:hAnsi="Arial" w:cs="Arial"/>
                <w:color w:val="000000" w:themeColor="text1"/>
                <w:sz w:val="20"/>
                <w:vertAlign w:val="superscript"/>
              </w:rPr>
              <w:t>b</w:t>
            </w:r>
          </w:p>
          <w:p w14:paraId="43DB3240" w14:textId="2E95AADB"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(+34.07%)</w:t>
            </w:r>
          </w:p>
        </w:tc>
        <w:tc>
          <w:tcPr>
            <w:tcW w:w="1450" w:type="dxa"/>
            <w:tcBorders>
              <w:left w:val="nil"/>
              <w:bottom w:val="nil"/>
              <w:right w:val="nil"/>
            </w:tcBorders>
          </w:tcPr>
          <w:p w14:paraId="25F50373"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47.34±1.22</w:t>
            </w:r>
            <w:r w:rsidRPr="00C13AA1">
              <w:rPr>
                <w:rFonts w:ascii="Arial" w:hAnsi="Arial" w:cs="Arial"/>
                <w:color w:val="000000" w:themeColor="text1"/>
                <w:sz w:val="20"/>
                <w:vertAlign w:val="superscript"/>
              </w:rPr>
              <w:t>c</w:t>
            </w:r>
          </w:p>
          <w:p w14:paraId="4B23874F" w14:textId="43921E4E"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(+77.16%)</w:t>
            </w:r>
          </w:p>
        </w:tc>
      </w:tr>
      <w:tr w:rsidR="00377ECF" w:rsidRPr="00C13AA1" w14:paraId="2228D966" w14:textId="77777777" w:rsidTr="0067467F">
        <w:tc>
          <w:tcPr>
            <w:tcW w:w="1192" w:type="dxa"/>
            <w:tcBorders>
              <w:top w:val="nil"/>
              <w:left w:val="nil"/>
              <w:bottom w:val="nil"/>
              <w:right w:val="nil"/>
            </w:tcBorders>
            <w:vAlign w:val="bottom"/>
          </w:tcPr>
          <w:p w14:paraId="0ED519CD" w14:textId="77777777" w:rsidR="00377ECF" w:rsidRPr="00C13AA1" w:rsidRDefault="00377ECF"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t xml:space="preserve">Flavonoid (mg </w:t>
            </w:r>
            <w:bookmarkStart w:id="5" w:name="_GoBack"/>
            <w:bookmarkEnd w:id="5"/>
            <w:r w:rsidRPr="00C13AA1">
              <w:rPr>
                <w:rFonts w:ascii="Arial" w:eastAsia="Times New Roman" w:hAnsi="Arial" w:cs="Arial"/>
                <w:b/>
                <w:bCs/>
                <w:color w:val="000000"/>
                <w:kern w:val="0"/>
                <w:sz w:val="20"/>
                <w14:ligatures w14:val="none"/>
              </w:rPr>
              <w:t xml:space="preserve">QE/100g) </w:t>
            </w:r>
          </w:p>
        </w:tc>
        <w:tc>
          <w:tcPr>
            <w:tcW w:w="1437" w:type="dxa"/>
            <w:tcBorders>
              <w:top w:val="nil"/>
              <w:left w:val="nil"/>
              <w:bottom w:val="nil"/>
              <w:right w:val="nil"/>
            </w:tcBorders>
          </w:tcPr>
          <w:p w14:paraId="204B8585" w14:textId="34DF7BD7"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35.84±1.07</w:t>
            </w:r>
            <w:r w:rsidRPr="00C13AA1">
              <w:rPr>
                <w:rFonts w:ascii="Arial" w:hAnsi="Arial" w:cs="Arial"/>
                <w:color w:val="000000" w:themeColor="text1"/>
                <w:sz w:val="20"/>
                <w:vertAlign w:val="superscript"/>
              </w:rPr>
              <w:t>d</w:t>
            </w:r>
          </w:p>
        </w:tc>
        <w:tc>
          <w:tcPr>
            <w:tcW w:w="1266" w:type="dxa"/>
            <w:tcBorders>
              <w:top w:val="nil"/>
              <w:left w:val="nil"/>
              <w:bottom w:val="nil"/>
              <w:right w:val="nil"/>
            </w:tcBorders>
          </w:tcPr>
          <w:p w14:paraId="0C4E1410" w14:textId="6D26E615"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34.20</w:t>
            </w:r>
            <w:r w:rsidRPr="00C13AA1">
              <w:rPr>
                <w:rFonts w:ascii="Arial" w:hAnsi="Arial" w:cs="Arial"/>
                <w:color w:val="000000" w:themeColor="text1"/>
                <w:sz w:val="20"/>
              </w:rPr>
              <w:t>±0.56</w:t>
            </w:r>
            <w:r w:rsidRPr="00C13AA1">
              <w:rPr>
                <w:rFonts w:ascii="Arial" w:hAnsi="Arial" w:cs="Arial"/>
                <w:color w:val="000000" w:themeColor="text1"/>
                <w:sz w:val="20"/>
                <w:vertAlign w:val="superscript"/>
              </w:rPr>
              <w:t>d</w:t>
            </w:r>
            <w:r w:rsidRPr="00C13AA1">
              <w:rPr>
                <w:rFonts w:ascii="Arial" w:eastAsia="Courier New" w:hAnsi="Arial" w:cs="Arial"/>
                <w:color w:val="000000" w:themeColor="text1"/>
                <w:sz w:val="20"/>
              </w:rPr>
              <w:t xml:space="preserve"> (</w:t>
            </w:r>
            <w:r w:rsidRPr="00C13AA1">
              <w:rPr>
                <w:rFonts w:ascii="Arial" w:hAnsi="Arial" w:cs="Arial"/>
                <w:color w:val="000000" w:themeColor="text1"/>
                <w:sz w:val="20"/>
              </w:rPr>
              <w:t>-4.57%</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2A646E00" w14:textId="56B3743C"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53.44</w:t>
            </w:r>
            <w:r w:rsidRPr="00C13AA1">
              <w:rPr>
                <w:rFonts w:ascii="Arial" w:hAnsi="Arial" w:cs="Arial"/>
                <w:color w:val="000000" w:themeColor="text1"/>
                <w:sz w:val="20"/>
              </w:rPr>
              <w:t>±2.35</w:t>
            </w:r>
            <w:r w:rsidRPr="00C13AA1">
              <w:rPr>
                <w:rFonts w:ascii="Arial" w:hAnsi="Arial" w:cs="Arial"/>
                <w:color w:val="000000" w:themeColor="text1"/>
                <w:sz w:val="20"/>
                <w:vertAlign w:val="superscript"/>
              </w:rPr>
              <w:t xml:space="preserve">c </w:t>
            </w:r>
            <w:r w:rsidRPr="00C13AA1">
              <w:rPr>
                <w:rFonts w:ascii="Arial" w:eastAsia="Courier New" w:hAnsi="Arial" w:cs="Arial"/>
                <w:color w:val="000000" w:themeColor="text1"/>
                <w:sz w:val="20"/>
              </w:rPr>
              <w:t>(</w:t>
            </w:r>
            <w:r w:rsidRPr="00C13AA1">
              <w:rPr>
                <w:rFonts w:ascii="Arial" w:hAnsi="Arial" w:cs="Arial"/>
                <w:color w:val="000000" w:themeColor="text1"/>
                <w:sz w:val="20"/>
              </w:rPr>
              <w:t>+49.10%</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69DCB4B6" w14:textId="4C490539"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62.57</w:t>
            </w:r>
            <w:r w:rsidRPr="00C13AA1">
              <w:rPr>
                <w:rFonts w:ascii="Arial" w:hAnsi="Arial" w:cs="Arial"/>
                <w:color w:val="000000" w:themeColor="text1"/>
                <w:sz w:val="20"/>
              </w:rPr>
              <w:t>±1.6</w:t>
            </w:r>
            <w:r w:rsidRPr="00C13AA1">
              <w:rPr>
                <w:rFonts w:ascii="Arial" w:hAnsi="Arial" w:cs="Arial"/>
                <w:color w:val="000000" w:themeColor="text1"/>
                <w:sz w:val="20"/>
                <w:vertAlign w:val="superscript"/>
              </w:rPr>
              <w:t>b</w:t>
            </w:r>
            <w:r w:rsidRPr="00C13AA1">
              <w:rPr>
                <w:rFonts w:ascii="Arial" w:eastAsia="Courier New" w:hAnsi="Arial" w:cs="Arial"/>
                <w:color w:val="000000" w:themeColor="text1"/>
                <w:sz w:val="20"/>
              </w:rPr>
              <w:t xml:space="preserve"> (</w:t>
            </w:r>
            <w:r w:rsidRPr="00C13AA1">
              <w:rPr>
                <w:rFonts w:ascii="Arial" w:hAnsi="Arial" w:cs="Arial"/>
                <w:color w:val="000000" w:themeColor="text1"/>
                <w:sz w:val="20"/>
              </w:rPr>
              <w:t>+74.58%</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530DAB98" w14:textId="26917B5F"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32.25</w:t>
            </w:r>
            <w:r w:rsidRPr="00C13AA1">
              <w:rPr>
                <w:rFonts w:ascii="Arial" w:hAnsi="Arial" w:cs="Arial"/>
                <w:color w:val="000000" w:themeColor="text1"/>
                <w:sz w:val="20"/>
              </w:rPr>
              <w:t>±1.66</w:t>
            </w:r>
            <w:r w:rsidRPr="00C13AA1">
              <w:rPr>
                <w:rFonts w:ascii="Arial" w:hAnsi="Arial" w:cs="Arial"/>
                <w:color w:val="000000" w:themeColor="text1"/>
                <w:sz w:val="20"/>
                <w:vertAlign w:val="superscript"/>
              </w:rPr>
              <w:t>d</w:t>
            </w:r>
            <w:r w:rsidRPr="00C13AA1">
              <w:rPr>
                <w:rFonts w:ascii="Arial" w:eastAsia="Courier New" w:hAnsi="Arial" w:cs="Arial"/>
                <w:color w:val="000000" w:themeColor="text1"/>
                <w:sz w:val="20"/>
              </w:rPr>
              <w:t xml:space="preserve"> </w:t>
            </w:r>
            <w:r w:rsidRPr="00C13AA1">
              <w:rPr>
                <w:rFonts w:ascii="Arial" w:eastAsia="Courier New" w:hAnsi="Arial" w:cs="Arial"/>
                <w:color w:val="000000" w:themeColor="text1"/>
                <w:sz w:val="20"/>
              </w:rPr>
              <w:br/>
              <w:t>(-</w:t>
            </w:r>
            <w:r w:rsidRPr="00C13AA1">
              <w:rPr>
                <w:rFonts w:ascii="Arial" w:hAnsi="Arial" w:cs="Arial"/>
                <w:color w:val="000000" w:themeColor="text1"/>
                <w:sz w:val="20"/>
              </w:rPr>
              <w:t>10.01%</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4E7CBB43" w14:textId="2FCB5583"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76.96</w:t>
            </w:r>
            <w:r w:rsidRPr="00C13AA1">
              <w:rPr>
                <w:rFonts w:ascii="Arial" w:hAnsi="Arial" w:cs="Arial"/>
                <w:color w:val="000000" w:themeColor="text1"/>
                <w:sz w:val="20"/>
              </w:rPr>
              <w:t>±.2.01</w:t>
            </w:r>
            <w:r w:rsidRPr="00C13AA1">
              <w:rPr>
                <w:rFonts w:ascii="Arial" w:hAnsi="Arial" w:cs="Arial"/>
                <w:color w:val="000000" w:themeColor="text1"/>
                <w:sz w:val="20"/>
                <w:vertAlign w:val="superscript"/>
              </w:rPr>
              <w:t xml:space="preserve">a </w:t>
            </w:r>
            <w:r w:rsidRPr="00C13AA1">
              <w:rPr>
                <w:rFonts w:ascii="Arial" w:eastAsia="Courier New" w:hAnsi="Arial" w:cs="Arial"/>
                <w:color w:val="000000" w:themeColor="text1"/>
                <w:sz w:val="20"/>
              </w:rPr>
              <w:t>(</w:t>
            </w:r>
            <w:r w:rsidRPr="00C13AA1">
              <w:rPr>
                <w:rFonts w:ascii="Arial" w:hAnsi="Arial" w:cs="Arial"/>
                <w:color w:val="000000" w:themeColor="text1"/>
                <w:sz w:val="20"/>
              </w:rPr>
              <w:t>+114.73%</w:t>
            </w:r>
            <w:r w:rsidRPr="00C13AA1">
              <w:rPr>
                <w:rFonts w:ascii="Arial" w:eastAsia="Courier New" w:hAnsi="Arial" w:cs="Arial"/>
                <w:color w:val="000000" w:themeColor="text1"/>
                <w:sz w:val="20"/>
              </w:rPr>
              <w:t>)</w:t>
            </w:r>
          </w:p>
        </w:tc>
      </w:tr>
      <w:tr w:rsidR="00377ECF" w:rsidRPr="00C13AA1" w14:paraId="338713F9" w14:textId="77777777" w:rsidTr="0067467F">
        <w:tc>
          <w:tcPr>
            <w:tcW w:w="1192" w:type="dxa"/>
            <w:tcBorders>
              <w:top w:val="nil"/>
              <w:left w:val="nil"/>
              <w:bottom w:val="nil"/>
              <w:right w:val="nil"/>
            </w:tcBorders>
            <w:vAlign w:val="bottom"/>
          </w:tcPr>
          <w:p w14:paraId="1428F2A7" w14:textId="77777777" w:rsidR="00377ECF" w:rsidRPr="00C13AA1" w:rsidRDefault="00377ECF"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t xml:space="preserve">Phenolic content (mg/100g GAE) </w:t>
            </w:r>
          </w:p>
        </w:tc>
        <w:tc>
          <w:tcPr>
            <w:tcW w:w="1437" w:type="dxa"/>
            <w:tcBorders>
              <w:top w:val="nil"/>
              <w:left w:val="nil"/>
              <w:bottom w:val="nil"/>
              <w:right w:val="nil"/>
            </w:tcBorders>
          </w:tcPr>
          <w:p w14:paraId="01F1A6EC" w14:textId="2A86A98A"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146.21</w:t>
            </w:r>
            <w:r w:rsidRPr="00C13AA1">
              <w:rPr>
                <w:rFonts w:ascii="Arial" w:hAnsi="Arial" w:cs="Arial"/>
                <w:color w:val="000000" w:themeColor="text1"/>
                <w:sz w:val="20"/>
              </w:rPr>
              <w:t>±4.04</w:t>
            </w:r>
            <w:r w:rsidRPr="00C13AA1">
              <w:rPr>
                <w:rFonts w:ascii="Arial" w:hAnsi="Arial" w:cs="Arial"/>
                <w:color w:val="000000" w:themeColor="text1"/>
                <w:sz w:val="20"/>
                <w:vertAlign w:val="superscript"/>
              </w:rPr>
              <w:t>c</w:t>
            </w:r>
          </w:p>
        </w:tc>
        <w:tc>
          <w:tcPr>
            <w:tcW w:w="1266" w:type="dxa"/>
            <w:tcBorders>
              <w:top w:val="nil"/>
              <w:left w:val="nil"/>
              <w:bottom w:val="nil"/>
              <w:right w:val="nil"/>
            </w:tcBorders>
          </w:tcPr>
          <w:p w14:paraId="5462EFB7"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446.57</w:t>
            </w:r>
            <w:r w:rsidRPr="00C13AA1">
              <w:rPr>
                <w:rFonts w:ascii="Arial" w:hAnsi="Arial" w:cs="Arial"/>
                <w:color w:val="000000" w:themeColor="text1"/>
                <w:sz w:val="20"/>
              </w:rPr>
              <w:t>±3.35</w:t>
            </w:r>
            <w:r w:rsidRPr="00C13AA1">
              <w:rPr>
                <w:rFonts w:ascii="Arial" w:hAnsi="Arial" w:cs="Arial"/>
                <w:color w:val="000000" w:themeColor="text1"/>
                <w:sz w:val="20"/>
                <w:vertAlign w:val="superscript"/>
              </w:rPr>
              <w:t>b</w:t>
            </w:r>
          </w:p>
          <w:p w14:paraId="2E9D4C54" w14:textId="7293303F"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+205.43%</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335D8ACD"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617.32</w:t>
            </w:r>
            <w:r w:rsidRPr="00C13AA1">
              <w:rPr>
                <w:rFonts w:ascii="Arial" w:hAnsi="Arial" w:cs="Arial"/>
                <w:color w:val="000000" w:themeColor="text1"/>
                <w:sz w:val="20"/>
              </w:rPr>
              <w:t>±25.32</w:t>
            </w:r>
            <w:r w:rsidRPr="00C13AA1">
              <w:rPr>
                <w:rFonts w:ascii="Arial" w:hAnsi="Arial" w:cs="Arial"/>
                <w:color w:val="000000" w:themeColor="text1"/>
                <w:sz w:val="20"/>
                <w:vertAlign w:val="superscript"/>
              </w:rPr>
              <w:t>a</w:t>
            </w:r>
          </w:p>
          <w:p w14:paraId="63860CE1" w14:textId="26A2A840"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322.21%</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081A974B"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515.88</w:t>
            </w:r>
            <w:r w:rsidRPr="00C13AA1">
              <w:rPr>
                <w:rFonts w:ascii="Arial" w:hAnsi="Arial" w:cs="Arial"/>
                <w:color w:val="000000" w:themeColor="text1"/>
                <w:sz w:val="20"/>
              </w:rPr>
              <w:t>±1.92</w:t>
            </w:r>
            <w:r w:rsidRPr="00C13AA1">
              <w:rPr>
                <w:rFonts w:ascii="Arial" w:hAnsi="Arial" w:cs="Arial"/>
                <w:color w:val="000000" w:themeColor="text1"/>
                <w:sz w:val="20"/>
                <w:vertAlign w:val="superscript"/>
              </w:rPr>
              <w:t>b</w:t>
            </w:r>
          </w:p>
          <w:p w14:paraId="28A906D4" w14:textId="7F2AD084"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+252.83%</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74778F47"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456.85</w:t>
            </w:r>
            <w:r w:rsidRPr="00C13AA1">
              <w:rPr>
                <w:rFonts w:ascii="Arial" w:hAnsi="Arial" w:cs="Arial"/>
                <w:color w:val="000000" w:themeColor="text1"/>
                <w:sz w:val="20"/>
              </w:rPr>
              <w:t>±3.51</w:t>
            </w:r>
            <w:r w:rsidRPr="00C13AA1">
              <w:rPr>
                <w:rFonts w:ascii="Arial" w:hAnsi="Arial" w:cs="Arial"/>
                <w:color w:val="000000" w:themeColor="text1"/>
                <w:sz w:val="20"/>
                <w:vertAlign w:val="superscript"/>
              </w:rPr>
              <w:t>b</w:t>
            </w:r>
          </w:p>
          <w:p w14:paraId="7777CCDA" w14:textId="29C08AEF"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212.46%</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16838570"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660.19</w:t>
            </w:r>
            <w:r w:rsidRPr="00C13AA1">
              <w:rPr>
                <w:rFonts w:ascii="Arial" w:hAnsi="Arial" w:cs="Arial"/>
                <w:color w:val="000000" w:themeColor="text1"/>
                <w:sz w:val="20"/>
              </w:rPr>
              <w:t>±30.27</w:t>
            </w:r>
            <w:r w:rsidRPr="00C13AA1">
              <w:rPr>
                <w:rFonts w:ascii="Arial" w:hAnsi="Arial" w:cs="Arial"/>
                <w:color w:val="000000" w:themeColor="text1"/>
                <w:sz w:val="20"/>
                <w:vertAlign w:val="superscript"/>
              </w:rPr>
              <w:t>a</w:t>
            </w:r>
          </w:p>
          <w:p w14:paraId="49FABF3B" w14:textId="4EA2C9B7"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351.53%</w:t>
            </w:r>
            <w:r w:rsidRPr="00C13AA1">
              <w:rPr>
                <w:rFonts w:ascii="Arial" w:eastAsia="Courier New" w:hAnsi="Arial" w:cs="Arial"/>
                <w:color w:val="000000" w:themeColor="text1"/>
                <w:sz w:val="20"/>
              </w:rPr>
              <w:t>)</w:t>
            </w:r>
          </w:p>
        </w:tc>
      </w:tr>
      <w:tr w:rsidR="002D5B5C" w:rsidRPr="00C13AA1" w14:paraId="73FBFD41" w14:textId="77777777" w:rsidTr="0067467F">
        <w:tc>
          <w:tcPr>
            <w:tcW w:w="1192" w:type="dxa"/>
            <w:tcBorders>
              <w:top w:val="nil"/>
              <w:left w:val="nil"/>
              <w:bottom w:val="nil"/>
              <w:right w:val="nil"/>
            </w:tcBorders>
            <w:vAlign w:val="bottom"/>
          </w:tcPr>
          <w:p w14:paraId="6016139E" w14:textId="56215BE1" w:rsidR="002D5B5C" w:rsidRPr="00C13AA1" w:rsidRDefault="002D5B5C"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t xml:space="preserve"> β-carotene (</w:t>
            </w:r>
            <w:proofErr w:type="spellStart"/>
            <w:r w:rsidRPr="00C13AA1">
              <w:rPr>
                <w:rFonts w:ascii="Arial" w:eastAsia="Times New Roman" w:hAnsi="Arial" w:cs="Arial"/>
                <w:b/>
                <w:bCs/>
                <w:color w:val="000000"/>
                <w:kern w:val="0"/>
                <w:sz w:val="20"/>
                <w14:ligatures w14:val="none"/>
              </w:rPr>
              <w:t>μg</w:t>
            </w:r>
            <w:proofErr w:type="spellEnd"/>
            <w:r w:rsidRPr="00C13AA1">
              <w:rPr>
                <w:rFonts w:ascii="Arial" w:eastAsia="Times New Roman" w:hAnsi="Arial" w:cs="Arial"/>
                <w:b/>
                <w:bCs/>
                <w:color w:val="000000"/>
                <w:kern w:val="0"/>
                <w:sz w:val="20"/>
                <w14:ligatures w14:val="none"/>
              </w:rPr>
              <w:t xml:space="preserve">/100g) </w:t>
            </w:r>
          </w:p>
        </w:tc>
        <w:tc>
          <w:tcPr>
            <w:tcW w:w="1437" w:type="dxa"/>
            <w:tcBorders>
              <w:top w:val="nil"/>
              <w:left w:val="nil"/>
              <w:bottom w:val="nil"/>
              <w:right w:val="nil"/>
            </w:tcBorders>
          </w:tcPr>
          <w:p w14:paraId="49FB7E46" w14:textId="0A954039"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1114.23</w:t>
            </w:r>
            <w:r w:rsidRPr="00C13AA1">
              <w:rPr>
                <w:rFonts w:ascii="Arial" w:hAnsi="Arial" w:cs="Arial"/>
                <w:color w:val="000000" w:themeColor="text1"/>
                <w:sz w:val="20"/>
              </w:rPr>
              <w:t>±42.15</w:t>
            </w:r>
            <w:r w:rsidRPr="00C13AA1">
              <w:rPr>
                <w:rFonts w:ascii="Arial" w:hAnsi="Arial" w:cs="Arial"/>
                <w:color w:val="000000" w:themeColor="text1"/>
                <w:sz w:val="20"/>
                <w:vertAlign w:val="superscript"/>
              </w:rPr>
              <w:t>a</w:t>
            </w:r>
          </w:p>
        </w:tc>
        <w:tc>
          <w:tcPr>
            <w:tcW w:w="1266" w:type="dxa"/>
            <w:tcBorders>
              <w:top w:val="nil"/>
              <w:left w:val="nil"/>
              <w:bottom w:val="nil"/>
              <w:right w:val="nil"/>
            </w:tcBorders>
          </w:tcPr>
          <w:p w14:paraId="5923BA99" w14:textId="77777777" w:rsidR="002D5B5C" w:rsidRPr="00C13AA1" w:rsidRDefault="002D5B5C" w:rsidP="00B263FD">
            <w:pPr>
              <w:widowControl w:val="0"/>
              <w:spacing w:before="100" w:after="100" w:line="480"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317.60</w:t>
            </w:r>
            <w:r w:rsidRPr="00C13AA1">
              <w:rPr>
                <w:rFonts w:ascii="Arial" w:hAnsi="Arial" w:cs="Arial"/>
                <w:color w:val="000000" w:themeColor="text1"/>
                <w:sz w:val="20"/>
              </w:rPr>
              <w:t>±4.35</w:t>
            </w:r>
            <w:r w:rsidRPr="00C13AA1">
              <w:rPr>
                <w:rFonts w:ascii="Arial" w:hAnsi="Arial" w:cs="Arial"/>
                <w:color w:val="000000" w:themeColor="text1"/>
                <w:sz w:val="20"/>
                <w:vertAlign w:val="superscript"/>
              </w:rPr>
              <w:t>c</w:t>
            </w:r>
          </w:p>
          <w:p w14:paraId="50281028" w14:textId="4ABA61E3"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-71.49%</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16D23C5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767.16</w:t>
            </w:r>
            <w:r w:rsidRPr="00C13AA1">
              <w:rPr>
                <w:rFonts w:ascii="Arial" w:hAnsi="Arial" w:cs="Arial"/>
                <w:color w:val="000000" w:themeColor="text1"/>
                <w:sz w:val="20"/>
              </w:rPr>
              <w:t>±5.36</w:t>
            </w:r>
            <w:r w:rsidRPr="00C13AA1">
              <w:rPr>
                <w:rFonts w:ascii="Arial" w:hAnsi="Arial" w:cs="Arial"/>
                <w:color w:val="000000" w:themeColor="text1"/>
                <w:sz w:val="20"/>
                <w:vertAlign w:val="superscript"/>
              </w:rPr>
              <w:t>b</w:t>
            </w:r>
          </w:p>
          <w:p w14:paraId="2C00A85F" w14:textId="1A60C1C6"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-31.14%</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6AA46A3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377.27</w:t>
            </w:r>
            <w:r w:rsidRPr="00C13AA1">
              <w:rPr>
                <w:rFonts w:ascii="Arial" w:hAnsi="Arial" w:cs="Arial"/>
                <w:color w:val="000000" w:themeColor="text1"/>
                <w:sz w:val="20"/>
              </w:rPr>
              <w:t>±6.15</w:t>
            </w:r>
            <w:r w:rsidRPr="00C13AA1">
              <w:rPr>
                <w:rFonts w:ascii="Arial" w:hAnsi="Arial" w:cs="Arial"/>
                <w:color w:val="000000" w:themeColor="text1"/>
                <w:sz w:val="20"/>
                <w:vertAlign w:val="superscript"/>
              </w:rPr>
              <w:t>c</w:t>
            </w:r>
          </w:p>
          <w:p w14:paraId="3048162F" w14:textId="408AF5A7"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-66.14%</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250A1651" w14:textId="77777777" w:rsidR="002D5B5C" w:rsidRPr="00C13AA1" w:rsidRDefault="002D5B5C" w:rsidP="00B263FD">
            <w:pPr>
              <w:widowControl w:val="0"/>
              <w:spacing w:before="100" w:after="100" w:line="480"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410.08</w:t>
            </w:r>
            <w:r w:rsidRPr="00C13AA1">
              <w:rPr>
                <w:rFonts w:ascii="Arial" w:hAnsi="Arial" w:cs="Arial"/>
                <w:color w:val="000000" w:themeColor="text1"/>
                <w:sz w:val="20"/>
              </w:rPr>
              <w:t>±6.67</w:t>
            </w:r>
            <w:r w:rsidRPr="00C13AA1">
              <w:rPr>
                <w:rFonts w:ascii="Arial" w:hAnsi="Arial" w:cs="Arial"/>
                <w:color w:val="000000" w:themeColor="text1"/>
                <w:sz w:val="20"/>
                <w:vertAlign w:val="superscript"/>
              </w:rPr>
              <w:t>c</w:t>
            </w:r>
          </w:p>
          <w:p w14:paraId="5887E276" w14:textId="0F06E072"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-63.19%</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5F14F468"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1141.40</w:t>
            </w:r>
            <w:r w:rsidRPr="00C13AA1">
              <w:rPr>
                <w:rFonts w:ascii="Arial" w:hAnsi="Arial" w:cs="Arial"/>
                <w:color w:val="000000" w:themeColor="text1"/>
                <w:sz w:val="20"/>
              </w:rPr>
              <w:t>±30.27</w:t>
            </w:r>
            <w:r w:rsidRPr="00C13AA1">
              <w:rPr>
                <w:rFonts w:ascii="Arial" w:hAnsi="Arial" w:cs="Arial"/>
                <w:color w:val="000000" w:themeColor="text1"/>
                <w:sz w:val="20"/>
                <w:vertAlign w:val="superscript"/>
              </w:rPr>
              <w:t>a</w:t>
            </w:r>
          </w:p>
          <w:p w14:paraId="7007BD74" w14:textId="41F11B57"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2.43%</w:t>
            </w:r>
            <w:r w:rsidRPr="00C13AA1">
              <w:rPr>
                <w:rFonts w:ascii="Arial" w:eastAsia="Courier New" w:hAnsi="Arial" w:cs="Arial"/>
                <w:color w:val="000000" w:themeColor="text1"/>
                <w:sz w:val="20"/>
              </w:rPr>
              <w:t>)</w:t>
            </w:r>
          </w:p>
        </w:tc>
      </w:tr>
      <w:tr w:rsidR="002D5B5C" w:rsidRPr="00C13AA1" w14:paraId="07F0220F" w14:textId="77777777" w:rsidTr="00713319">
        <w:trPr>
          <w:trHeight w:val="1125"/>
        </w:trPr>
        <w:tc>
          <w:tcPr>
            <w:tcW w:w="1192" w:type="dxa"/>
            <w:tcBorders>
              <w:top w:val="nil"/>
              <w:left w:val="nil"/>
              <w:right w:val="nil"/>
            </w:tcBorders>
            <w:vAlign w:val="bottom"/>
          </w:tcPr>
          <w:p w14:paraId="252F9908" w14:textId="77777777" w:rsidR="002D5B5C" w:rsidRPr="00C13AA1" w:rsidRDefault="002D5B5C"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lastRenderedPageBreak/>
              <w:t xml:space="preserve">Ascorbic acid (mg/100g) </w:t>
            </w:r>
          </w:p>
        </w:tc>
        <w:tc>
          <w:tcPr>
            <w:tcW w:w="1437" w:type="dxa"/>
            <w:tcBorders>
              <w:top w:val="nil"/>
              <w:left w:val="nil"/>
              <w:right w:val="nil"/>
            </w:tcBorders>
          </w:tcPr>
          <w:p w14:paraId="2E0E8978" w14:textId="7F9E6835"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1.67</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tc>
        <w:tc>
          <w:tcPr>
            <w:tcW w:w="1266" w:type="dxa"/>
            <w:tcBorders>
              <w:top w:val="nil"/>
              <w:left w:val="nil"/>
              <w:right w:val="nil"/>
            </w:tcBorders>
          </w:tcPr>
          <w:p w14:paraId="4A2380A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0.12</w:t>
            </w:r>
            <w:r w:rsidRPr="00C13AA1">
              <w:rPr>
                <w:rFonts w:ascii="Arial" w:hAnsi="Arial" w:cs="Arial"/>
                <w:color w:val="000000" w:themeColor="text1"/>
                <w:sz w:val="20"/>
              </w:rPr>
              <w:t>±0.25</w:t>
            </w:r>
            <w:r w:rsidRPr="00C13AA1">
              <w:rPr>
                <w:rFonts w:ascii="Arial" w:hAnsi="Arial" w:cs="Arial"/>
                <w:color w:val="000000" w:themeColor="text1"/>
                <w:sz w:val="20"/>
                <w:vertAlign w:val="superscript"/>
              </w:rPr>
              <w:t>a</w:t>
            </w:r>
          </w:p>
          <w:p w14:paraId="7EBC97F5" w14:textId="4F0AB392"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-92.81%</w:t>
            </w:r>
            <w:r w:rsidRPr="00C13AA1">
              <w:rPr>
                <w:rFonts w:ascii="Arial" w:eastAsia="Courier New" w:hAnsi="Arial" w:cs="Arial"/>
                <w:color w:val="000000" w:themeColor="text1"/>
                <w:sz w:val="20"/>
              </w:rPr>
              <w:t>)</w:t>
            </w:r>
          </w:p>
        </w:tc>
        <w:tc>
          <w:tcPr>
            <w:tcW w:w="1365" w:type="dxa"/>
            <w:tcBorders>
              <w:top w:val="nil"/>
              <w:left w:val="nil"/>
              <w:right w:val="nil"/>
            </w:tcBorders>
          </w:tcPr>
          <w:p w14:paraId="242EA14C" w14:textId="77777777" w:rsidR="002D5B5C" w:rsidRPr="00C13AA1" w:rsidRDefault="002D5B5C" w:rsidP="00B263FD">
            <w:pPr>
              <w:widowControl w:val="0"/>
              <w:spacing w:before="100" w:after="100" w:line="480"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0.21</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241E8A44" w14:textId="2BEE9A28"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-87.42%</w:t>
            </w:r>
            <w:r w:rsidRPr="00C13AA1">
              <w:rPr>
                <w:rFonts w:ascii="Arial" w:eastAsia="Courier New" w:hAnsi="Arial" w:cs="Arial"/>
                <w:color w:val="000000" w:themeColor="text1"/>
                <w:sz w:val="20"/>
              </w:rPr>
              <w:t>)</w:t>
            </w:r>
          </w:p>
        </w:tc>
        <w:tc>
          <w:tcPr>
            <w:tcW w:w="1266" w:type="dxa"/>
            <w:tcBorders>
              <w:top w:val="nil"/>
              <w:left w:val="nil"/>
              <w:right w:val="nil"/>
            </w:tcBorders>
          </w:tcPr>
          <w:p w14:paraId="462C914A"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0.17</w:t>
            </w:r>
            <w:r w:rsidRPr="00C13AA1">
              <w:rPr>
                <w:rFonts w:ascii="Arial" w:hAnsi="Arial" w:cs="Arial"/>
                <w:color w:val="000000" w:themeColor="text1"/>
                <w:sz w:val="20"/>
              </w:rPr>
              <w:t>±0.25</w:t>
            </w:r>
            <w:r w:rsidRPr="00C13AA1">
              <w:rPr>
                <w:rFonts w:ascii="Arial" w:hAnsi="Arial" w:cs="Arial"/>
                <w:color w:val="000000" w:themeColor="text1"/>
                <w:sz w:val="20"/>
                <w:vertAlign w:val="superscript"/>
              </w:rPr>
              <w:t>a</w:t>
            </w:r>
          </w:p>
          <w:p w14:paraId="42AB1AB6" w14:textId="36CEB09B"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-89.82%</w:t>
            </w:r>
            <w:r w:rsidRPr="00C13AA1">
              <w:rPr>
                <w:rFonts w:ascii="Arial" w:eastAsia="Courier New" w:hAnsi="Arial" w:cs="Arial"/>
                <w:color w:val="000000" w:themeColor="text1"/>
                <w:sz w:val="20"/>
              </w:rPr>
              <w:t>)</w:t>
            </w:r>
          </w:p>
        </w:tc>
        <w:tc>
          <w:tcPr>
            <w:tcW w:w="1266" w:type="dxa"/>
            <w:tcBorders>
              <w:top w:val="nil"/>
              <w:left w:val="nil"/>
              <w:right w:val="nil"/>
            </w:tcBorders>
          </w:tcPr>
          <w:p w14:paraId="3FD73493"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0.15</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392C80F3" w14:textId="3E08CB50"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91.02%</w:t>
            </w:r>
            <w:r w:rsidRPr="00C13AA1">
              <w:rPr>
                <w:rFonts w:ascii="Arial" w:eastAsia="Courier New" w:hAnsi="Arial" w:cs="Arial"/>
                <w:color w:val="000000" w:themeColor="text1"/>
                <w:sz w:val="20"/>
              </w:rPr>
              <w:t>)</w:t>
            </w:r>
          </w:p>
        </w:tc>
        <w:tc>
          <w:tcPr>
            <w:tcW w:w="1450" w:type="dxa"/>
            <w:tcBorders>
              <w:top w:val="nil"/>
              <w:left w:val="nil"/>
              <w:right w:val="nil"/>
            </w:tcBorders>
          </w:tcPr>
          <w:p w14:paraId="47DFB1B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0.15</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7B5BB308" w14:textId="6BB0E662"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91.02%</w:t>
            </w:r>
            <w:r w:rsidRPr="00C13AA1">
              <w:rPr>
                <w:rFonts w:ascii="Arial" w:eastAsia="Courier New" w:hAnsi="Arial" w:cs="Arial"/>
                <w:color w:val="000000" w:themeColor="text1"/>
                <w:sz w:val="20"/>
              </w:rPr>
              <w:t>)</w:t>
            </w:r>
          </w:p>
        </w:tc>
      </w:tr>
    </w:tbl>
    <w:p w14:paraId="1407B160" w14:textId="77777777" w:rsidR="00713319" w:rsidRDefault="0067467F" w:rsidP="00713319">
      <w:pPr>
        <w:spacing w:after="120" w:line="240" w:lineRule="auto"/>
        <w:jc w:val="both"/>
        <w:rPr>
          <w:rFonts w:ascii="Arial" w:hAnsi="Arial" w:cs="Arial"/>
          <w:sz w:val="18"/>
          <w:szCs w:val="18"/>
        </w:rPr>
      </w:pPr>
      <w:r w:rsidRPr="00B263FD">
        <w:rPr>
          <w:rFonts w:ascii="Arial" w:hAnsi="Arial" w:cs="Arial"/>
          <w:sz w:val="18"/>
          <w:szCs w:val="18"/>
        </w:rPr>
        <w:t xml:space="preserve">Mean value are presented as </w:t>
      </w:r>
      <w:proofErr w:type="spellStart"/>
      <w:r w:rsidRPr="00B263FD">
        <w:rPr>
          <w:rFonts w:ascii="Arial" w:hAnsi="Arial" w:cs="Arial"/>
          <w:sz w:val="18"/>
          <w:szCs w:val="18"/>
        </w:rPr>
        <w:t>mean</w:t>
      </w:r>
      <w:r w:rsidRPr="00B263FD">
        <w:rPr>
          <w:rFonts w:ascii="Arial" w:eastAsia="Times New Roman" w:hAnsi="Arial" w:cs="Arial"/>
          <w:color w:val="000000"/>
          <w:sz w:val="18"/>
          <w:szCs w:val="18"/>
        </w:rPr>
        <w:t>±</w:t>
      </w:r>
      <w:r w:rsidRPr="00B263FD">
        <w:rPr>
          <w:rFonts w:ascii="Arial" w:hAnsi="Arial" w:cs="Arial"/>
          <w:sz w:val="18"/>
          <w:szCs w:val="18"/>
        </w:rPr>
        <w:t>SD</w:t>
      </w:r>
      <w:proofErr w:type="spellEnd"/>
      <w:r w:rsidRPr="00B263FD">
        <w:rPr>
          <w:rFonts w:ascii="Arial" w:hAnsi="Arial" w:cs="Arial"/>
          <w:sz w:val="18"/>
          <w:szCs w:val="18"/>
        </w:rPr>
        <w:t xml:space="preserve"> and referred to the fresh weight </w:t>
      </w:r>
      <w:r w:rsidR="00713319">
        <w:rPr>
          <w:rFonts w:ascii="Arial" w:hAnsi="Arial" w:cs="Arial"/>
          <w:sz w:val="18"/>
          <w:szCs w:val="18"/>
        </w:rPr>
        <w:t xml:space="preserve">                                                     </w:t>
      </w:r>
    </w:p>
    <w:p w14:paraId="0BECE9B2" w14:textId="7EE78C8B" w:rsidR="00F71730" w:rsidRPr="00B263FD" w:rsidRDefault="00732DC5" w:rsidP="00713319">
      <w:pPr>
        <w:spacing w:after="120" w:line="240" w:lineRule="auto"/>
        <w:jc w:val="both"/>
        <w:rPr>
          <w:rFonts w:ascii="Arial" w:hAnsi="Arial" w:cs="Arial"/>
          <w:sz w:val="18"/>
          <w:szCs w:val="18"/>
        </w:rPr>
      </w:pPr>
      <w:r w:rsidRPr="00B263FD">
        <w:rPr>
          <w:rFonts w:ascii="Arial" w:hAnsi="Arial" w:cs="Arial"/>
          <w:sz w:val="18"/>
          <w:szCs w:val="18"/>
        </w:rPr>
        <w:t xml:space="preserve">The mean value having different alphabets are significantly different (p≤.05) using Tukey’s test for different processing treatments                </w:t>
      </w:r>
    </w:p>
    <w:p w14:paraId="03D7006A" w14:textId="77777777" w:rsidR="00713319" w:rsidRDefault="00713319" w:rsidP="00C771CE">
      <w:pPr>
        <w:spacing w:line="240" w:lineRule="auto"/>
        <w:jc w:val="both"/>
        <w:rPr>
          <w:rFonts w:ascii="Arial" w:hAnsi="Arial" w:cs="Arial"/>
          <w:b/>
          <w:bCs/>
          <w:sz w:val="20"/>
          <w:szCs w:val="20"/>
        </w:rPr>
      </w:pPr>
      <w:r w:rsidRPr="00C13AA1">
        <w:rPr>
          <w:rFonts w:ascii="Arial" w:hAnsi="Arial" w:cs="Arial"/>
          <w:bCs/>
          <w:sz w:val="20"/>
          <w:szCs w:val="20"/>
        </w:rPr>
        <w:t xml:space="preserve">consistent with previous reports indicating loss of vitamin C during different cooking technique </w:t>
      </w:r>
      <w:r w:rsidRPr="00C13AA1">
        <w:rPr>
          <w:rFonts w:ascii="Arial" w:hAnsi="Arial" w:cs="Arial"/>
          <w:bCs/>
          <w:color w:val="000000" w:themeColor="text1"/>
          <w:sz w:val="20"/>
          <w:szCs w:val="20"/>
        </w:rPr>
        <w:t>(</w:t>
      </w:r>
      <w:r>
        <w:rPr>
          <w:rFonts w:ascii="Arial" w:hAnsi="Arial" w:cs="Arial"/>
          <w:bCs/>
          <w:color w:val="000000" w:themeColor="text1"/>
          <w:sz w:val="20"/>
          <w:szCs w:val="20"/>
        </w:rPr>
        <w:t xml:space="preserve">Kaur and Kochar, 2005, </w:t>
      </w:r>
      <w:r w:rsidRPr="00D76878">
        <w:rPr>
          <w:rFonts w:ascii="Arial" w:hAnsi="Arial" w:cs="Arial"/>
          <w:bCs/>
          <w:sz w:val="20"/>
          <w:szCs w:val="20"/>
        </w:rPr>
        <w:t xml:space="preserve">Kaur and Kochar 2008 </w:t>
      </w:r>
      <w:r w:rsidRPr="00C13AA1">
        <w:rPr>
          <w:rFonts w:ascii="Arial" w:hAnsi="Arial" w:cs="Arial"/>
          <w:bCs/>
          <w:color w:val="000000" w:themeColor="text1"/>
          <w:sz w:val="20"/>
          <w:szCs w:val="20"/>
        </w:rPr>
        <w:t xml:space="preserve">Yang et al. 2019, </w:t>
      </w:r>
      <w:proofErr w:type="spellStart"/>
      <w:r w:rsidRPr="00C13AA1">
        <w:rPr>
          <w:rFonts w:ascii="Arial" w:hAnsi="Arial" w:cs="Arial"/>
          <w:bCs/>
          <w:color w:val="000000" w:themeColor="text1"/>
          <w:sz w:val="20"/>
          <w:szCs w:val="20"/>
        </w:rPr>
        <w:t>Kinyi</w:t>
      </w:r>
      <w:proofErr w:type="spellEnd"/>
      <w:r w:rsidRPr="00C13AA1">
        <w:rPr>
          <w:rFonts w:ascii="Arial" w:hAnsi="Arial" w:cs="Arial"/>
          <w:bCs/>
          <w:color w:val="000000" w:themeColor="text1"/>
          <w:sz w:val="20"/>
          <w:szCs w:val="20"/>
        </w:rPr>
        <w:t xml:space="preserve"> et al., 2022 Khatun et al., 2019,</w:t>
      </w:r>
      <w:r w:rsidRPr="00C13AA1">
        <w:rPr>
          <w:rFonts w:ascii="Arial" w:eastAsia="Times New Roman" w:hAnsi="Arial" w:cs="Arial"/>
          <w:b/>
          <w:color w:val="000000" w:themeColor="text1"/>
          <w:sz w:val="20"/>
          <w:szCs w:val="20"/>
        </w:rPr>
        <w:t xml:space="preserve"> </w:t>
      </w:r>
      <w:proofErr w:type="spellStart"/>
      <w:r w:rsidRPr="00C13AA1">
        <w:rPr>
          <w:rFonts w:ascii="Arial" w:eastAsia="Times New Roman" w:hAnsi="Arial" w:cs="Arial"/>
          <w:bCs/>
          <w:color w:val="000000" w:themeColor="text1"/>
          <w:sz w:val="20"/>
          <w:szCs w:val="20"/>
        </w:rPr>
        <w:t>Shobham</w:t>
      </w:r>
      <w:proofErr w:type="spellEnd"/>
      <w:r w:rsidRPr="00C13AA1">
        <w:rPr>
          <w:rFonts w:ascii="Arial" w:eastAsia="Times New Roman" w:hAnsi="Arial" w:cs="Arial"/>
          <w:bCs/>
          <w:color w:val="000000" w:themeColor="text1"/>
          <w:sz w:val="20"/>
          <w:szCs w:val="20"/>
        </w:rPr>
        <w:t xml:space="preserve"> et al., 2017)</w:t>
      </w:r>
      <w:r w:rsidRPr="00C13AA1">
        <w:rPr>
          <w:rFonts w:ascii="Arial" w:eastAsia="Times New Roman" w:hAnsi="Arial" w:cs="Arial"/>
          <w:bCs/>
          <w:sz w:val="20"/>
          <w:szCs w:val="20"/>
        </w:rPr>
        <w:t xml:space="preserve">. Researchers have also shown that </w:t>
      </w:r>
      <w:r w:rsidRPr="00C13AA1">
        <w:rPr>
          <w:rFonts w:ascii="Arial" w:hAnsi="Arial" w:cs="Arial"/>
          <w:bCs/>
          <w:sz w:val="20"/>
          <w:szCs w:val="20"/>
        </w:rPr>
        <w:t xml:space="preserve">Vitamin C is a water-soluble and heat-sensitive, making it prone to degradation during cooking. High temperatures and extended cooking times promote significant losses in ascorbic acid during both </w:t>
      </w:r>
      <w:r w:rsidRPr="00C13AA1">
        <w:rPr>
          <w:rFonts w:ascii="Arial" w:hAnsi="Arial" w:cs="Arial"/>
          <w:sz w:val="20"/>
          <w:szCs w:val="20"/>
        </w:rPr>
        <w:t>thermal and water-based treatments (</w:t>
      </w:r>
      <w:r w:rsidRPr="00C13AA1">
        <w:rPr>
          <w:rFonts w:ascii="Arial" w:hAnsi="Arial" w:cs="Arial"/>
          <w:bCs/>
          <w:sz w:val="20"/>
          <w:szCs w:val="20"/>
        </w:rPr>
        <w:t xml:space="preserve">Tian et al., 2015). </w:t>
      </w:r>
    </w:p>
    <w:p w14:paraId="1A3480D8" w14:textId="5D543DE2" w:rsidR="00732DC5" w:rsidRPr="00713319" w:rsidRDefault="00860227" w:rsidP="00C771CE">
      <w:pPr>
        <w:spacing w:line="240" w:lineRule="auto"/>
        <w:jc w:val="both"/>
        <w:rPr>
          <w:rFonts w:ascii="Arial" w:hAnsi="Arial" w:cs="Arial"/>
          <w:b/>
          <w:bCs/>
          <w:sz w:val="20"/>
          <w:szCs w:val="20"/>
        </w:rPr>
      </w:pPr>
      <w:r w:rsidRPr="00860227">
        <w:rPr>
          <w:rFonts w:ascii="Arial" w:hAnsi="Arial" w:cs="Arial"/>
          <w:b/>
          <w:bCs/>
        </w:rPr>
        <w:t xml:space="preserve">3.6 </w:t>
      </w:r>
      <w:r w:rsidR="00732DC5" w:rsidRPr="00860227">
        <w:rPr>
          <w:rFonts w:ascii="Arial" w:hAnsi="Arial" w:cs="Arial"/>
          <w:b/>
          <w:bCs/>
        </w:rPr>
        <w:t xml:space="preserve">The β-carotene </w:t>
      </w:r>
    </w:p>
    <w:p w14:paraId="204556FB" w14:textId="389D8BF2" w:rsidR="008F2BD4" w:rsidRPr="00C13AA1" w:rsidRDefault="00732DC5"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sz w:val="20"/>
          <w:szCs w:val="20"/>
        </w:rPr>
        <w:t xml:space="preserve">The </w:t>
      </w:r>
      <w:r w:rsidRPr="00C13AA1">
        <w:rPr>
          <w:rFonts w:ascii="Arial" w:hAnsi="Arial" w:cs="Arial"/>
          <w:bCs/>
          <w:sz w:val="20"/>
          <w:szCs w:val="20"/>
        </w:rPr>
        <w:t>β-carotene</w:t>
      </w:r>
      <w:r w:rsidRPr="00C13AA1">
        <w:rPr>
          <w:rFonts w:ascii="Arial" w:hAnsi="Arial" w:cs="Arial"/>
          <w:sz w:val="20"/>
          <w:szCs w:val="20"/>
        </w:rPr>
        <w:t xml:space="preserve"> content of </w:t>
      </w:r>
      <w:r w:rsidR="00657ECC" w:rsidRPr="00C13AA1">
        <w:rPr>
          <w:rFonts w:ascii="Arial" w:hAnsi="Arial" w:cs="Arial"/>
          <w:sz w:val="20"/>
          <w:szCs w:val="20"/>
        </w:rPr>
        <w:t>marjoram</w:t>
      </w:r>
      <w:r w:rsidRPr="00C13AA1">
        <w:rPr>
          <w:rFonts w:ascii="Arial" w:hAnsi="Arial" w:cs="Arial"/>
          <w:sz w:val="20"/>
          <w:szCs w:val="20"/>
        </w:rPr>
        <w:t xml:space="preserve"> leaves, both raw and processed, ranged from 3</w:t>
      </w:r>
      <w:r w:rsidR="00DF3261" w:rsidRPr="00C13AA1">
        <w:rPr>
          <w:rFonts w:ascii="Arial" w:hAnsi="Arial" w:cs="Arial"/>
          <w:sz w:val="20"/>
          <w:szCs w:val="20"/>
        </w:rPr>
        <w:t>17.6</w:t>
      </w:r>
      <w:r w:rsidRPr="00C13AA1">
        <w:rPr>
          <w:rFonts w:ascii="Arial" w:hAnsi="Arial" w:cs="Arial"/>
          <w:sz w:val="20"/>
          <w:szCs w:val="20"/>
        </w:rPr>
        <w:t xml:space="preserve"> to </w:t>
      </w:r>
      <w:r w:rsidR="00DF3261" w:rsidRPr="00C13AA1">
        <w:rPr>
          <w:rFonts w:ascii="Arial" w:hAnsi="Arial" w:cs="Arial"/>
          <w:sz w:val="20"/>
          <w:szCs w:val="20"/>
        </w:rPr>
        <w:t>1114.23</w:t>
      </w:r>
      <w:r w:rsidRPr="00C13AA1">
        <w:rPr>
          <w:rFonts w:ascii="Arial" w:hAnsi="Arial" w:cs="Arial"/>
          <w:sz w:val="20"/>
          <w:szCs w:val="20"/>
        </w:rPr>
        <w:t xml:space="preserve"> </w:t>
      </w:r>
      <w:proofErr w:type="spellStart"/>
      <w:r w:rsidRPr="00C13AA1">
        <w:rPr>
          <w:rFonts w:ascii="Arial" w:hAnsi="Arial" w:cs="Arial"/>
          <w:sz w:val="20"/>
          <w:szCs w:val="20"/>
        </w:rPr>
        <w:t>μg</w:t>
      </w:r>
      <w:proofErr w:type="spellEnd"/>
      <w:r w:rsidRPr="00C13AA1">
        <w:rPr>
          <w:rFonts w:ascii="Arial" w:hAnsi="Arial" w:cs="Arial"/>
          <w:sz w:val="20"/>
          <w:szCs w:val="20"/>
        </w:rPr>
        <w:t xml:space="preserve">/100g (Table 2 Fig 2). </w:t>
      </w:r>
      <w:r w:rsidR="00DF3261" w:rsidRPr="00C13AA1">
        <w:rPr>
          <w:rFonts w:ascii="Arial" w:hAnsi="Arial" w:cs="Arial"/>
          <w:color w:val="000000" w:themeColor="text1"/>
          <w:sz w:val="20"/>
          <w:szCs w:val="20"/>
        </w:rPr>
        <w:t>Tukey post hoc exhibited that sautéing technique (2.43%) slightly enhanced β-carotene content as compared to raw with significant (p≤0.05) difference from all the processing techniques. Pressure cooking (−31.14%) showed a significant (p≤0.05) decline from all the samples. Boiling (−71.49%), microwave (−66.14%), and steaming (−63.19%) treatments caused severe degradation,</w:t>
      </w:r>
      <w:r w:rsidR="00DF3261" w:rsidRPr="00C13AA1">
        <w:rPr>
          <w:rFonts w:ascii="Arial" w:hAnsi="Arial" w:cs="Arial"/>
          <w:bCs/>
          <w:color w:val="000000" w:themeColor="text1"/>
          <w:sz w:val="20"/>
          <w:szCs w:val="20"/>
        </w:rPr>
        <w:t xml:space="preserve"> which non-significant difference from each other. Among all the processing techniques sautéing emerged as best technique for preserving β-carotene. </w:t>
      </w:r>
      <w:r w:rsidR="00F36EE2" w:rsidRPr="00C13AA1">
        <w:rPr>
          <w:rFonts w:ascii="Arial" w:hAnsi="Arial" w:cs="Arial"/>
          <w:bCs/>
          <w:sz w:val="20"/>
          <w:szCs w:val="20"/>
        </w:rPr>
        <w:t>The present</w:t>
      </w:r>
      <w:r w:rsidRPr="00C13AA1">
        <w:rPr>
          <w:rFonts w:ascii="Arial" w:hAnsi="Arial" w:cs="Arial"/>
          <w:bCs/>
          <w:sz w:val="20"/>
          <w:szCs w:val="20"/>
        </w:rPr>
        <w:t xml:space="preserve"> study supports findings from previous researchers which showed reductions in carotenoid levels in cooked vegetables compared to their raw counterparts</w:t>
      </w:r>
      <w:r w:rsidR="008F2BD4" w:rsidRPr="00C13AA1">
        <w:rPr>
          <w:rFonts w:ascii="Arial" w:hAnsi="Arial" w:cs="Arial"/>
          <w:bCs/>
          <w:sz w:val="20"/>
          <w:szCs w:val="20"/>
        </w:rPr>
        <w:t xml:space="preserve"> (</w:t>
      </w:r>
      <w:r w:rsidR="008F2BD4" w:rsidRPr="00C13AA1">
        <w:rPr>
          <w:rFonts w:ascii="Arial" w:hAnsi="Arial" w:cs="Arial"/>
          <w:bCs/>
          <w:color w:val="000000" w:themeColor="text1"/>
          <w:sz w:val="20"/>
          <w:szCs w:val="20"/>
        </w:rPr>
        <w:t>Lee et al., 2018; Monalisa et al., 2020)</w:t>
      </w:r>
      <w:r w:rsidRPr="00C13AA1">
        <w:rPr>
          <w:rFonts w:ascii="Arial" w:hAnsi="Arial" w:cs="Arial"/>
          <w:bCs/>
          <w:sz w:val="20"/>
          <w:szCs w:val="20"/>
        </w:rPr>
        <w:t>.</w:t>
      </w:r>
      <w:r w:rsidRPr="00C13AA1">
        <w:rPr>
          <w:rFonts w:ascii="Arial" w:hAnsi="Arial" w:cs="Arial"/>
          <w:color w:val="1F1F1F"/>
          <w:sz w:val="20"/>
          <w:szCs w:val="20"/>
        </w:rPr>
        <w:t xml:space="preserve"> </w:t>
      </w:r>
      <w:r w:rsidR="00F36EE2" w:rsidRPr="00C13AA1">
        <w:rPr>
          <w:rFonts w:ascii="Arial" w:hAnsi="Arial" w:cs="Arial"/>
          <w:bCs/>
          <w:sz w:val="20"/>
          <w:szCs w:val="20"/>
        </w:rPr>
        <w:t>The observed</w:t>
      </w:r>
      <w:r w:rsidRPr="00C13AA1">
        <w:rPr>
          <w:rFonts w:ascii="Arial" w:hAnsi="Arial" w:cs="Arial"/>
          <w:bCs/>
          <w:sz w:val="20"/>
          <w:szCs w:val="20"/>
        </w:rPr>
        <w:t xml:space="preserve"> loss</w:t>
      </w:r>
      <w:r w:rsidR="00F36EE2" w:rsidRPr="00C13AA1">
        <w:rPr>
          <w:rFonts w:ascii="Arial" w:hAnsi="Arial" w:cs="Arial"/>
          <w:bCs/>
          <w:sz w:val="20"/>
          <w:szCs w:val="20"/>
        </w:rPr>
        <w:t>es</w:t>
      </w:r>
      <w:r w:rsidRPr="00C13AA1">
        <w:rPr>
          <w:rFonts w:ascii="Arial" w:hAnsi="Arial" w:cs="Arial"/>
          <w:bCs/>
          <w:sz w:val="20"/>
          <w:szCs w:val="20"/>
        </w:rPr>
        <w:t xml:space="preserve"> ma</w:t>
      </w:r>
      <w:r w:rsidR="00F36EE2" w:rsidRPr="00C13AA1">
        <w:rPr>
          <w:rFonts w:ascii="Arial" w:hAnsi="Arial" w:cs="Arial"/>
          <w:bCs/>
          <w:sz w:val="20"/>
          <w:szCs w:val="20"/>
        </w:rPr>
        <w:t xml:space="preserve">y be attributed to the differences in </w:t>
      </w:r>
      <w:r w:rsidRPr="00C13AA1">
        <w:rPr>
          <w:rFonts w:ascii="Arial" w:hAnsi="Arial" w:cs="Arial"/>
          <w:bCs/>
          <w:sz w:val="20"/>
          <w:szCs w:val="20"/>
        </w:rPr>
        <w:t xml:space="preserve">intracellular distributions of β-carotene, which is stored within crystalline chromoplasts surrounded by polar lipid-rich membranes in vegetables. </w:t>
      </w:r>
      <w:r w:rsidR="00F36EE2" w:rsidRPr="00C13AA1">
        <w:rPr>
          <w:rFonts w:ascii="Arial" w:hAnsi="Arial" w:cs="Arial"/>
          <w:bCs/>
          <w:sz w:val="20"/>
          <w:szCs w:val="20"/>
        </w:rPr>
        <w:t>T</w:t>
      </w:r>
      <w:r w:rsidRPr="00C13AA1">
        <w:rPr>
          <w:rFonts w:ascii="Arial" w:hAnsi="Arial" w:cs="Arial"/>
          <w:bCs/>
          <w:sz w:val="20"/>
          <w:szCs w:val="20"/>
        </w:rPr>
        <w:t>hermal processing can alter the physical state of caroten</w:t>
      </w:r>
      <w:r w:rsidR="00472F01" w:rsidRPr="00C13AA1">
        <w:rPr>
          <w:rFonts w:ascii="Arial" w:hAnsi="Arial" w:cs="Arial"/>
          <w:bCs/>
          <w:sz w:val="20"/>
          <w:szCs w:val="20"/>
        </w:rPr>
        <w:t xml:space="preserve">es, making them more soluble </w:t>
      </w:r>
      <w:r w:rsidR="008F2BD4" w:rsidRPr="00C13AA1">
        <w:rPr>
          <w:rFonts w:ascii="Arial" w:hAnsi="Arial" w:cs="Arial"/>
          <w:bCs/>
          <w:sz w:val="20"/>
          <w:szCs w:val="20"/>
        </w:rPr>
        <w:t>(Mazzeo</w:t>
      </w:r>
      <w:r w:rsidR="008F2BD4" w:rsidRPr="00C13AA1">
        <w:rPr>
          <w:rFonts w:ascii="Arial" w:hAnsi="Arial" w:cs="Arial"/>
          <w:bCs/>
          <w:sz w:val="20"/>
          <w:szCs w:val="20"/>
          <w:vertAlign w:val="superscript"/>
        </w:rPr>
        <w:t xml:space="preserve"> </w:t>
      </w:r>
      <w:r w:rsidR="008F2BD4" w:rsidRPr="00C13AA1">
        <w:rPr>
          <w:rFonts w:ascii="Arial" w:hAnsi="Arial" w:cs="Arial"/>
          <w:bCs/>
          <w:sz w:val="20"/>
          <w:szCs w:val="20"/>
        </w:rPr>
        <w:t>et al., 2011)</w:t>
      </w:r>
      <w:r w:rsidRPr="00C13AA1">
        <w:rPr>
          <w:rFonts w:ascii="Arial" w:hAnsi="Arial" w:cs="Arial"/>
          <w:bCs/>
          <w:sz w:val="20"/>
          <w:szCs w:val="20"/>
        </w:rPr>
        <w:t>. Additionally, some carotenoids are lost through leaching during cooking, contributing to the decrease in β-c</w:t>
      </w:r>
      <w:r w:rsidR="00472F01" w:rsidRPr="00C13AA1">
        <w:rPr>
          <w:rFonts w:ascii="Arial" w:hAnsi="Arial" w:cs="Arial"/>
          <w:bCs/>
          <w:sz w:val="20"/>
          <w:szCs w:val="20"/>
        </w:rPr>
        <w:t>arotene retention. This change may</w:t>
      </w:r>
      <w:r w:rsidRPr="00C13AA1">
        <w:rPr>
          <w:rFonts w:ascii="Arial" w:hAnsi="Arial" w:cs="Arial"/>
          <w:bCs/>
          <w:sz w:val="20"/>
          <w:szCs w:val="20"/>
        </w:rPr>
        <w:t xml:space="preserve"> likely a result of heat-induced isomerization, converting trans-carotenes into their more bioavailable cis forms, which have greater solubility in micelles, thereby enhancing their bio accessibility and bioavailability </w:t>
      </w:r>
      <w:r w:rsidR="008F2BD4" w:rsidRPr="00C13AA1">
        <w:rPr>
          <w:rFonts w:ascii="Arial" w:hAnsi="Arial" w:cs="Arial"/>
          <w:bCs/>
          <w:sz w:val="20"/>
          <w:szCs w:val="20"/>
        </w:rPr>
        <w:t>(</w:t>
      </w:r>
      <w:r w:rsidR="008F2BD4" w:rsidRPr="00C13AA1">
        <w:rPr>
          <w:rFonts w:ascii="Arial" w:hAnsi="Arial" w:cs="Arial"/>
          <w:bCs/>
          <w:color w:val="000000" w:themeColor="text1"/>
          <w:sz w:val="20"/>
          <w:szCs w:val="20"/>
        </w:rPr>
        <w:t>Monalisa et al., 2020).</w:t>
      </w:r>
    </w:p>
    <w:p w14:paraId="017E1AB4" w14:textId="31A9F72B" w:rsidR="00732DC5" w:rsidRPr="00860227" w:rsidRDefault="00860227" w:rsidP="00C771CE">
      <w:pPr>
        <w:widowControl w:val="0"/>
        <w:spacing w:before="100" w:after="100" w:line="240" w:lineRule="auto"/>
        <w:jc w:val="both"/>
        <w:rPr>
          <w:rFonts w:ascii="Arial" w:hAnsi="Arial" w:cs="Arial"/>
          <w:b/>
        </w:rPr>
      </w:pPr>
      <w:r w:rsidRPr="00860227">
        <w:rPr>
          <w:rFonts w:ascii="Arial" w:hAnsi="Arial" w:cs="Arial"/>
          <w:b/>
          <w:bCs/>
          <w:color w:val="000000" w:themeColor="text1"/>
          <w:shd w:val="clear" w:color="auto" w:fill="FFFFFF"/>
        </w:rPr>
        <w:t xml:space="preserve">3.7 </w:t>
      </w:r>
      <w:r w:rsidR="00732DC5" w:rsidRPr="00860227">
        <w:rPr>
          <w:rFonts w:ascii="Arial" w:hAnsi="Arial" w:cs="Arial"/>
          <w:b/>
          <w:bCs/>
          <w:color w:val="000000" w:themeColor="text1"/>
          <w:shd w:val="clear" w:color="auto" w:fill="FFFFFF"/>
        </w:rPr>
        <w:t>Antimicrobial activity</w:t>
      </w:r>
    </w:p>
    <w:p w14:paraId="6E0096FC" w14:textId="3A01E8D8" w:rsidR="005A0AA6" w:rsidRPr="00C13AA1" w:rsidRDefault="00732DC5"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color w:val="000000" w:themeColor="text1"/>
          <w:sz w:val="20"/>
          <w:szCs w:val="20"/>
          <w:shd w:val="clear" w:color="auto" w:fill="FFFFFF"/>
        </w:rPr>
        <w:t xml:space="preserve">Figure </w:t>
      </w:r>
      <w:r w:rsidR="008F2BD4" w:rsidRPr="00C13AA1">
        <w:rPr>
          <w:rFonts w:ascii="Arial" w:hAnsi="Arial" w:cs="Arial"/>
          <w:color w:val="000000" w:themeColor="text1"/>
          <w:sz w:val="20"/>
          <w:szCs w:val="20"/>
          <w:shd w:val="clear" w:color="auto" w:fill="FFFFFF"/>
        </w:rPr>
        <w:t>3</w:t>
      </w:r>
      <w:r w:rsidRPr="00C13AA1">
        <w:rPr>
          <w:rFonts w:ascii="Arial" w:hAnsi="Arial" w:cs="Arial"/>
          <w:color w:val="000000" w:themeColor="text1"/>
          <w:sz w:val="20"/>
          <w:szCs w:val="20"/>
          <w:shd w:val="clear" w:color="auto" w:fill="FFFFFF"/>
        </w:rPr>
        <w:t xml:space="preserve"> </w:t>
      </w:r>
      <w:r w:rsidR="000707B8" w:rsidRPr="00C13AA1">
        <w:rPr>
          <w:rFonts w:ascii="Arial" w:hAnsi="Arial" w:cs="Arial"/>
          <w:color w:val="000000" w:themeColor="text1"/>
          <w:sz w:val="20"/>
          <w:szCs w:val="20"/>
          <w:shd w:val="clear" w:color="auto" w:fill="FFFFFF"/>
        </w:rPr>
        <w:t xml:space="preserve">illustrates </w:t>
      </w:r>
      <w:r w:rsidRPr="00C13AA1">
        <w:rPr>
          <w:rFonts w:ascii="Arial" w:hAnsi="Arial" w:cs="Arial"/>
          <w:color w:val="000000" w:themeColor="text1"/>
          <w:sz w:val="20"/>
          <w:szCs w:val="20"/>
          <w:shd w:val="clear" w:color="auto" w:fill="FFFFFF"/>
        </w:rPr>
        <w:t>the impact of different processing</w:t>
      </w:r>
      <w:r w:rsidR="000707B8" w:rsidRPr="00C13AA1">
        <w:rPr>
          <w:rFonts w:ascii="Arial" w:hAnsi="Arial" w:cs="Arial"/>
          <w:color w:val="000000" w:themeColor="text1"/>
          <w:sz w:val="20"/>
          <w:szCs w:val="20"/>
          <w:shd w:val="clear" w:color="auto" w:fill="FFFFFF"/>
        </w:rPr>
        <w:t xml:space="preserve"> treatments</w:t>
      </w:r>
      <w:r w:rsidRPr="00C13AA1">
        <w:rPr>
          <w:rFonts w:ascii="Arial" w:hAnsi="Arial" w:cs="Arial"/>
          <w:color w:val="000000" w:themeColor="text1"/>
          <w:sz w:val="20"/>
          <w:szCs w:val="20"/>
          <w:shd w:val="clear" w:color="auto" w:fill="FFFFFF"/>
        </w:rPr>
        <w:t xml:space="preserve"> on </w:t>
      </w:r>
      <w:r w:rsidR="000707B8" w:rsidRPr="00C13AA1">
        <w:rPr>
          <w:rFonts w:ascii="Arial" w:hAnsi="Arial" w:cs="Arial"/>
          <w:color w:val="000000" w:themeColor="text1"/>
          <w:sz w:val="20"/>
          <w:szCs w:val="20"/>
          <w:shd w:val="clear" w:color="auto" w:fill="FFFFFF"/>
        </w:rPr>
        <w:t xml:space="preserve">the </w:t>
      </w:r>
      <w:r w:rsidRPr="00C13AA1">
        <w:rPr>
          <w:rFonts w:ascii="Arial" w:hAnsi="Arial" w:cs="Arial"/>
          <w:color w:val="000000" w:themeColor="text1"/>
          <w:sz w:val="20"/>
          <w:szCs w:val="20"/>
          <w:shd w:val="clear" w:color="auto" w:fill="FFFFFF"/>
        </w:rPr>
        <w:t xml:space="preserve">antimicrobial activity </w:t>
      </w:r>
      <w:r w:rsidR="000707B8" w:rsidRPr="00C13AA1">
        <w:rPr>
          <w:rFonts w:ascii="Arial" w:hAnsi="Arial" w:cs="Arial"/>
          <w:color w:val="000000" w:themeColor="text1"/>
          <w:sz w:val="20"/>
          <w:szCs w:val="20"/>
          <w:shd w:val="clear" w:color="auto" w:fill="FFFFFF"/>
        </w:rPr>
        <w:t xml:space="preserve">of marjoram leaf extracts </w:t>
      </w:r>
      <w:r w:rsidRPr="00C13AA1">
        <w:rPr>
          <w:rFonts w:ascii="Arial" w:hAnsi="Arial" w:cs="Arial"/>
          <w:color w:val="000000" w:themeColor="text1"/>
          <w:sz w:val="20"/>
          <w:szCs w:val="20"/>
          <w:shd w:val="clear" w:color="auto" w:fill="FFFFFF"/>
        </w:rPr>
        <w:t xml:space="preserve">against </w:t>
      </w:r>
      <w:r w:rsidRPr="00C13AA1">
        <w:rPr>
          <w:rFonts w:ascii="Arial" w:hAnsi="Arial" w:cs="Arial"/>
          <w:i/>
          <w:iCs/>
          <w:color w:val="000000" w:themeColor="text1"/>
          <w:sz w:val="20"/>
          <w:szCs w:val="20"/>
          <w:shd w:val="clear" w:color="auto" w:fill="FFFFFF"/>
        </w:rPr>
        <w:t xml:space="preserve">Candida albicans </w:t>
      </w:r>
      <w:r w:rsidRPr="00C13AA1">
        <w:rPr>
          <w:rFonts w:ascii="Arial" w:hAnsi="Arial" w:cs="Arial"/>
          <w:color w:val="000000" w:themeColor="text1"/>
          <w:sz w:val="20"/>
          <w:szCs w:val="20"/>
          <w:shd w:val="clear" w:color="auto" w:fill="FFFFFF"/>
        </w:rPr>
        <w:t>and</w:t>
      </w:r>
      <w:r w:rsidRPr="00C13AA1">
        <w:rPr>
          <w:rFonts w:ascii="Arial" w:hAnsi="Arial" w:cs="Arial"/>
          <w:i/>
          <w:iCs/>
          <w:color w:val="000000" w:themeColor="text1"/>
          <w:sz w:val="20"/>
          <w:szCs w:val="20"/>
          <w:shd w:val="clear" w:color="auto" w:fill="FFFFFF"/>
        </w:rPr>
        <w:t xml:space="preserve"> Staphylococcus aureus</w:t>
      </w:r>
      <w:r w:rsidR="000707B8" w:rsidRPr="00C13AA1">
        <w:rPr>
          <w:rFonts w:ascii="Arial" w:hAnsi="Arial" w:cs="Arial"/>
          <w:color w:val="000000" w:themeColor="text1"/>
          <w:sz w:val="20"/>
          <w:szCs w:val="20"/>
          <w:shd w:val="clear" w:color="auto" w:fill="FFFFFF"/>
        </w:rPr>
        <w:t xml:space="preserve"> and </w:t>
      </w:r>
      <w:r w:rsidRPr="00C13AA1">
        <w:rPr>
          <w:rFonts w:ascii="Arial" w:hAnsi="Arial" w:cs="Arial"/>
          <w:i/>
          <w:iCs/>
          <w:color w:val="000000" w:themeColor="text1"/>
          <w:sz w:val="20"/>
          <w:szCs w:val="20"/>
          <w:shd w:val="clear" w:color="auto" w:fill="FFFFFF"/>
        </w:rPr>
        <w:t>Escherichia coli.</w:t>
      </w:r>
      <w:r w:rsidRPr="00C13AA1">
        <w:rPr>
          <w:rFonts w:ascii="Arial" w:hAnsi="Arial" w:cs="Arial"/>
          <w:color w:val="000000" w:themeColor="text1"/>
          <w:sz w:val="20"/>
          <w:szCs w:val="20"/>
          <w:shd w:val="clear" w:color="auto" w:fill="FFFFFF"/>
        </w:rPr>
        <w:t xml:space="preserve"> </w:t>
      </w:r>
      <w:r w:rsidR="005A0AA6" w:rsidRPr="00C13AA1">
        <w:rPr>
          <w:rFonts w:ascii="Arial" w:hAnsi="Arial" w:cs="Arial"/>
          <w:bCs/>
          <w:color w:val="000000" w:themeColor="text1"/>
          <w:sz w:val="20"/>
          <w:szCs w:val="20"/>
        </w:rPr>
        <w:t xml:space="preserve">Against </w:t>
      </w:r>
      <w:r w:rsidR="005A0AA6" w:rsidRPr="00C13AA1">
        <w:rPr>
          <w:rFonts w:ascii="Arial" w:hAnsi="Arial" w:cs="Arial"/>
          <w:bCs/>
          <w:i/>
          <w:iCs/>
          <w:color w:val="000000" w:themeColor="text1"/>
          <w:sz w:val="20"/>
          <w:szCs w:val="20"/>
        </w:rPr>
        <w:t>S. aureus</w:t>
      </w:r>
      <w:r w:rsidR="005A0AA6" w:rsidRPr="00C13AA1">
        <w:rPr>
          <w:rFonts w:ascii="Arial" w:hAnsi="Arial" w:cs="Arial"/>
          <w:bCs/>
          <w:color w:val="000000" w:themeColor="text1"/>
          <w:sz w:val="20"/>
          <w:szCs w:val="20"/>
        </w:rPr>
        <w:t xml:space="preserve">, the raw sample showed significantly lower (p≤0.05) inhibitory activity with a zone of </w:t>
      </w:r>
      <w:r w:rsidR="005A0AA6" w:rsidRPr="00C13AA1">
        <w:rPr>
          <w:rFonts w:ascii="Arial" w:hAnsi="Arial" w:cs="Arial"/>
          <w:color w:val="000000" w:themeColor="text1"/>
          <w:sz w:val="20"/>
          <w:szCs w:val="20"/>
        </w:rPr>
        <w:t>7.8 mm than standard, while pressure cooking resulted in a slightly reduced zone of 7.5 mm. Microwave cooking showed the lowest inhibition among tested methods (5.7 mm),</w:t>
      </w:r>
      <w:r w:rsidR="005A0AA6" w:rsidRPr="00C13AA1">
        <w:rPr>
          <w:rFonts w:ascii="Arial" w:hAnsi="Arial" w:cs="Arial"/>
          <w:bCs/>
          <w:color w:val="000000" w:themeColor="text1"/>
          <w:sz w:val="20"/>
          <w:szCs w:val="20"/>
        </w:rPr>
        <w:t xml:space="preserve"> indicating reduced bioavailability of antimicrobial compounds due to heat exposure. Other cooking treatments (boiling, steaming, sautéing) did not possess antimicrobial activity. The </w:t>
      </w:r>
      <w:r w:rsidR="005A0AA6" w:rsidRPr="00C13AA1">
        <w:rPr>
          <w:rFonts w:ascii="Arial" w:hAnsi="Arial" w:cs="Arial"/>
          <w:color w:val="000000" w:themeColor="text1"/>
          <w:sz w:val="20"/>
          <w:szCs w:val="20"/>
        </w:rPr>
        <w:t>positive control (ciprofloxacin) showed a substantially larger zone of inhibition (26.04 mm</w:t>
      </w:r>
      <w:r w:rsidR="005A0AA6" w:rsidRPr="00C13AA1">
        <w:rPr>
          <w:rFonts w:ascii="Arial" w:hAnsi="Arial" w:cs="Arial"/>
          <w:bCs/>
          <w:color w:val="000000" w:themeColor="text1"/>
          <w:sz w:val="20"/>
          <w:szCs w:val="20"/>
        </w:rPr>
        <w:t>), confirming the validity of the assay. Tukey’s post hoc analysis showed that the raw sample exhibited significantly higher (p≤0.05) antimicrobial activity than the microwave-cooked sample, while no significant difference (p≤0.05) was observed between the raw and pressure-cooked samples. Among the processed treatments, the microwave-cooked sample produced a significantly lower (p≤0.05) zone of inhibition compared to both the raw and pressure-cooked samples.</w:t>
      </w:r>
    </w:p>
    <w:p w14:paraId="27AD3311" w14:textId="77777777"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In the case of </w:t>
      </w:r>
      <w:r w:rsidRPr="00C13AA1">
        <w:rPr>
          <w:rFonts w:ascii="Arial" w:hAnsi="Arial" w:cs="Arial"/>
          <w:bCs/>
          <w:i/>
          <w:iCs/>
          <w:color w:val="000000" w:themeColor="text1"/>
          <w:sz w:val="20"/>
          <w:szCs w:val="20"/>
        </w:rPr>
        <w:t>E. coli</w:t>
      </w:r>
      <w:r w:rsidRPr="00C13AA1">
        <w:rPr>
          <w:rFonts w:ascii="Arial" w:hAnsi="Arial" w:cs="Arial"/>
          <w:bCs/>
          <w:color w:val="000000" w:themeColor="text1"/>
          <w:sz w:val="20"/>
          <w:szCs w:val="20"/>
        </w:rPr>
        <w:t xml:space="preserve">, the extract showed </w:t>
      </w:r>
      <w:r w:rsidRPr="00C13AA1">
        <w:rPr>
          <w:rFonts w:ascii="Arial" w:hAnsi="Arial" w:cs="Arial"/>
          <w:color w:val="000000" w:themeColor="text1"/>
          <w:sz w:val="20"/>
          <w:szCs w:val="20"/>
        </w:rPr>
        <w:t>no detectable inhibitory activity by raw sample as well as across all treatments. Only the ciprofloxacin control demonstrated a clear inhibition zone of 22.54 mm. The l</w:t>
      </w:r>
      <w:r w:rsidRPr="00C13AA1">
        <w:rPr>
          <w:rFonts w:ascii="Arial" w:hAnsi="Arial" w:cs="Arial"/>
          <w:bCs/>
          <w:color w:val="000000" w:themeColor="text1"/>
          <w:sz w:val="20"/>
          <w:szCs w:val="20"/>
        </w:rPr>
        <w:t xml:space="preserve">ack of response to the extract could be attributed to the inherent resistance of Gram-negative bacteria, which possess an outer membrane that protects them from many antimicrobial compounds produced by plants. Microwave cooking was found the best method to fight against </w:t>
      </w:r>
      <w:r w:rsidRPr="00C13AA1">
        <w:rPr>
          <w:rFonts w:ascii="Arial" w:hAnsi="Arial" w:cs="Arial"/>
          <w:bCs/>
          <w:i/>
          <w:iCs/>
          <w:color w:val="000000" w:themeColor="text1"/>
          <w:sz w:val="20"/>
          <w:szCs w:val="20"/>
        </w:rPr>
        <w:t>E. coli</w:t>
      </w:r>
      <w:r w:rsidRPr="00C13AA1">
        <w:rPr>
          <w:rFonts w:ascii="Arial" w:hAnsi="Arial" w:cs="Arial"/>
          <w:bCs/>
          <w:color w:val="000000" w:themeColor="text1"/>
          <w:sz w:val="20"/>
          <w:szCs w:val="20"/>
        </w:rPr>
        <w:t>.</w:t>
      </w:r>
    </w:p>
    <w:p w14:paraId="3A8CCDD8" w14:textId="764E7B36"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For </w:t>
      </w:r>
      <w:r w:rsidRPr="00C13AA1">
        <w:rPr>
          <w:rFonts w:ascii="Arial" w:hAnsi="Arial" w:cs="Arial"/>
          <w:bCs/>
          <w:i/>
          <w:iCs/>
          <w:color w:val="000000" w:themeColor="text1"/>
          <w:sz w:val="20"/>
          <w:szCs w:val="20"/>
        </w:rPr>
        <w:t>C. albicans</w:t>
      </w:r>
      <w:r w:rsidRPr="00C13AA1">
        <w:rPr>
          <w:rFonts w:ascii="Arial" w:hAnsi="Arial" w:cs="Arial"/>
          <w:bCs/>
          <w:color w:val="000000" w:themeColor="text1"/>
          <w:sz w:val="20"/>
          <w:szCs w:val="20"/>
        </w:rPr>
        <w:t xml:space="preserve">, the </w:t>
      </w:r>
      <w:r w:rsidRPr="00C13AA1">
        <w:rPr>
          <w:rFonts w:ascii="Arial" w:hAnsi="Arial" w:cs="Arial"/>
          <w:color w:val="000000" w:themeColor="text1"/>
          <w:sz w:val="20"/>
          <w:szCs w:val="20"/>
        </w:rPr>
        <w:t>raw sample exhibited the highest antifungal activity with a zone of 8.3 mm, followed by pressure-cooked (6.4 mm), microwave-cooked (5.8 mm), steamed (5.4 mm), and boiled (2.3 mm)</w:t>
      </w:r>
      <w:r w:rsidRPr="00C13AA1">
        <w:rPr>
          <w:rFonts w:ascii="Arial" w:hAnsi="Arial" w:cs="Arial"/>
          <w:bCs/>
          <w:color w:val="000000" w:themeColor="text1"/>
          <w:sz w:val="20"/>
          <w:szCs w:val="20"/>
        </w:rPr>
        <w:t xml:space="preserve"> samples. Non- significant difference (p≤0.05) was found in zone of inhibition of pressure cooked, microwave cooked and steamed sample. This pattern suggests that some antifungal compounds are sensitive to thermal degradation, especially during boiling. The </w:t>
      </w:r>
      <w:r w:rsidRPr="00C13AA1">
        <w:rPr>
          <w:rFonts w:ascii="Arial" w:hAnsi="Arial" w:cs="Arial"/>
          <w:color w:val="000000" w:themeColor="text1"/>
          <w:sz w:val="20"/>
          <w:szCs w:val="20"/>
        </w:rPr>
        <w:t xml:space="preserve">positive control </w:t>
      </w:r>
      <w:r w:rsidRPr="00C13AA1">
        <w:rPr>
          <w:rFonts w:ascii="Arial" w:hAnsi="Arial" w:cs="Arial"/>
          <w:color w:val="000000" w:themeColor="text1"/>
          <w:sz w:val="20"/>
          <w:szCs w:val="20"/>
        </w:rPr>
        <w:lastRenderedPageBreak/>
        <w:t xml:space="preserve">(Amphotericin) recorded the highest activity with a zone of 15.25 mm. </w:t>
      </w:r>
      <w:r w:rsidRPr="00C13AA1">
        <w:rPr>
          <w:rFonts w:ascii="Arial" w:hAnsi="Arial" w:cs="Arial"/>
          <w:bCs/>
          <w:color w:val="000000" w:themeColor="text1"/>
          <w:sz w:val="20"/>
          <w:szCs w:val="20"/>
        </w:rPr>
        <w:t xml:space="preserve">Tukey’s post hoc analysis indicated that the raw sample demonstrated significantly higher (p≤0.05) antimicrobial activity than all processed forms. Among the processed samples, boiled sample produced a significantly lower (p≤0.05) zone of inhibition compared to raw and all processed samples. Furthermore, the antimicrobial activity of the microwave-cooked sample was non- significant (p≤0.05) from boiled and pressure-cooked sample. Non-significant (p≤0.05) difference was observed among inhibitory activity of pressure-cooked, microwave cooked and steamed samples. Overall highest retention of antimicrobial activity was observed in pressure cooked sample against </w:t>
      </w:r>
      <w:r w:rsidRPr="00C13AA1">
        <w:rPr>
          <w:rFonts w:ascii="Arial" w:hAnsi="Arial" w:cs="Arial"/>
          <w:bCs/>
          <w:i/>
          <w:iCs/>
          <w:color w:val="000000" w:themeColor="text1"/>
          <w:sz w:val="20"/>
          <w:szCs w:val="20"/>
        </w:rPr>
        <w:t>C. albicans.</w:t>
      </w:r>
    </w:p>
    <w:p w14:paraId="46C1B9ED" w14:textId="77777777" w:rsidR="005A0AA6" w:rsidRPr="00C13AA1" w:rsidRDefault="005A0AA6" w:rsidP="00C771CE">
      <w:pPr>
        <w:widowControl w:val="0"/>
        <w:spacing w:before="100" w:after="100" w:line="240" w:lineRule="auto"/>
        <w:jc w:val="both"/>
        <w:rPr>
          <w:rFonts w:ascii="Arial" w:hAnsi="Arial" w:cs="Arial"/>
          <w:b/>
          <w:bCs/>
          <w:color w:val="000000" w:themeColor="text1"/>
          <w:sz w:val="20"/>
          <w:szCs w:val="20"/>
        </w:rPr>
      </w:pPr>
      <w:r w:rsidRPr="00C13AA1">
        <w:rPr>
          <w:rFonts w:ascii="Arial" w:hAnsi="Arial" w:cs="Arial"/>
          <w:b/>
          <w:noProof/>
          <w:color w:val="000000" w:themeColor="text1"/>
          <w:sz w:val="20"/>
          <w:szCs w:val="20"/>
          <w:lang w:val="en-US"/>
        </w:rPr>
        <w:drawing>
          <wp:inline distT="0" distB="0" distL="0" distR="0" wp14:anchorId="5DE07176" wp14:editId="05213B4F">
            <wp:extent cx="4972050" cy="3168502"/>
            <wp:effectExtent l="0" t="0" r="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068680" w14:textId="4450A4B8" w:rsidR="005A0AA6" w:rsidRPr="00B263FD" w:rsidRDefault="005A0AA6" w:rsidP="00C771CE">
      <w:pPr>
        <w:widowControl w:val="0"/>
        <w:spacing w:before="100" w:after="100" w:line="240" w:lineRule="auto"/>
        <w:jc w:val="both"/>
        <w:rPr>
          <w:rFonts w:ascii="Arial" w:hAnsi="Arial" w:cs="Arial"/>
          <w:b/>
          <w:bCs/>
          <w:color w:val="000000" w:themeColor="text1"/>
          <w:sz w:val="20"/>
          <w:szCs w:val="20"/>
        </w:rPr>
      </w:pPr>
      <w:r w:rsidRPr="00B263FD">
        <w:rPr>
          <w:rFonts w:ascii="Arial" w:hAnsi="Arial" w:cs="Arial"/>
          <w:b/>
          <w:bCs/>
          <w:color w:val="000000" w:themeColor="text1"/>
          <w:sz w:val="20"/>
          <w:szCs w:val="20"/>
        </w:rPr>
        <w:t>Fig 3:</w:t>
      </w:r>
      <w:r w:rsidRPr="00B263FD">
        <w:rPr>
          <w:rFonts w:ascii="Arial" w:eastAsiaTheme="minorEastAsia" w:hAnsi="Arial" w:cs="Arial"/>
          <w:b/>
          <w:bCs/>
          <w:color w:val="000000"/>
          <w:kern w:val="24"/>
          <w:sz w:val="20"/>
          <w:szCs w:val="20"/>
        </w:rPr>
        <w:t xml:space="preserve"> </w:t>
      </w:r>
      <w:r w:rsidRPr="00B263FD">
        <w:rPr>
          <w:rFonts w:ascii="Arial" w:hAnsi="Arial" w:cs="Arial"/>
          <w:b/>
          <w:bCs/>
          <w:color w:val="000000" w:themeColor="text1"/>
          <w:sz w:val="20"/>
          <w:szCs w:val="20"/>
        </w:rPr>
        <w:t>Impact of processing on antimicrobial activity of Marjoram leaves</w:t>
      </w:r>
    </w:p>
    <w:p w14:paraId="07ADE97A" w14:textId="35C3135F"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The tested plant extract of marjoram leaves demonstrated </w:t>
      </w:r>
      <w:r w:rsidRPr="00C13AA1">
        <w:rPr>
          <w:rFonts w:ascii="Arial" w:hAnsi="Arial" w:cs="Arial"/>
          <w:color w:val="000000" w:themeColor="text1"/>
          <w:sz w:val="20"/>
          <w:szCs w:val="20"/>
        </w:rPr>
        <w:t xml:space="preserve">moderate antimicrobial activity against </w:t>
      </w:r>
      <w:r w:rsidRPr="00C13AA1">
        <w:rPr>
          <w:rFonts w:ascii="Arial" w:hAnsi="Arial" w:cs="Arial"/>
          <w:i/>
          <w:iCs/>
          <w:color w:val="000000" w:themeColor="text1"/>
          <w:sz w:val="20"/>
          <w:szCs w:val="20"/>
        </w:rPr>
        <w:t>S. aureus</w:t>
      </w:r>
      <w:r w:rsidRPr="00C13AA1">
        <w:rPr>
          <w:rFonts w:ascii="Arial" w:hAnsi="Arial" w:cs="Arial"/>
          <w:color w:val="000000" w:themeColor="text1"/>
          <w:sz w:val="20"/>
          <w:szCs w:val="20"/>
        </w:rPr>
        <w:t xml:space="preserve"> and </w:t>
      </w:r>
      <w:r w:rsidRPr="00C13AA1">
        <w:rPr>
          <w:rFonts w:ascii="Arial" w:hAnsi="Arial" w:cs="Arial"/>
          <w:i/>
          <w:iCs/>
          <w:color w:val="000000" w:themeColor="text1"/>
          <w:sz w:val="20"/>
          <w:szCs w:val="20"/>
        </w:rPr>
        <w:t>C. albicans</w:t>
      </w:r>
      <w:r w:rsidRPr="00C13AA1">
        <w:rPr>
          <w:rFonts w:ascii="Arial" w:hAnsi="Arial" w:cs="Arial"/>
          <w:bCs/>
          <w:color w:val="000000" w:themeColor="text1"/>
          <w:sz w:val="20"/>
          <w:szCs w:val="20"/>
        </w:rPr>
        <w:t xml:space="preserve">, particularly in raw and pressure-cooked forms, while </w:t>
      </w:r>
      <w:r w:rsidRPr="00C13AA1">
        <w:rPr>
          <w:rFonts w:ascii="Arial" w:hAnsi="Arial" w:cs="Arial"/>
          <w:color w:val="000000" w:themeColor="text1"/>
          <w:sz w:val="20"/>
          <w:szCs w:val="20"/>
        </w:rPr>
        <w:t xml:space="preserve">no activity was observed against </w:t>
      </w:r>
      <w:r w:rsidRPr="00C13AA1">
        <w:rPr>
          <w:rFonts w:ascii="Arial" w:hAnsi="Arial" w:cs="Arial"/>
          <w:i/>
          <w:iCs/>
          <w:color w:val="000000" w:themeColor="text1"/>
          <w:sz w:val="20"/>
          <w:szCs w:val="20"/>
        </w:rPr>
        <w:t>E. coli</w:t>
      </w:r>
      <w:r w:rsidRPr="00C13AA1">
        <w:rPr>
          <w:rFonts w:ascii="Arial" w:hAnsi="Arial" w:cs="Arial"/>
          <w:color w:val="000000" w:themeColor="text1"/>
          <w:sz w:val="20"/>
          <w:szCs w:val="20"/>
        </w:rPr>
        <w:t>.</w:t>
      </w:r>
      <w:r w:rsidRPr="00C13AA1">
        <w:rPr>
          <w:rFonts w:ascii="Arial" w:hAnsi="Arial" w:cs="Arial"/>
          <w:bCs/>
          <w:color w:val="000000" w:themeColor="text1"/>
          <w:sz w:val="20"/>
          <w:szCs w:val="20"/>
        </w:rPr>
        <w:t xml:space="preserve"> Sauteing method reduced the antimicrobial activity completely. </w:t>
      </w:r>
      <w:r w:rsidR="00732DC5" w:rsidRPr="00C13AA1">
        <w:rPr>
          <w:rFonts w:ascii="Arial" w:hAnsi="Arial" w:cs="Arial"/>
          <w:color w:val="000000" w:themeColor="text1"/>
          <w:sz w:val="20"/>
          <w:szCs w:val="20"/>
          <w:shd w:val="clear" w:color="auto" w:fill="FFFFFF"/>
        </w:rPr>
        <w:t xml:space="preserve">However, </w:t>
      </w:r>
      <w:r w:rsidR="00763EE2" w:rsidRPr="00C13AA1">
        <w:rPr>
          <w:rFonts w:ascii="Arial" w:hAnsi="Arial" w:cs="Arial"/>
          <w:color w:val="000000" w:themeColor="text1"/>
          <w:sz w:val="20"/>
          <w:szCs w:val="20"/>
          <w:shd w:val="clear" w:color="auto" w:fill="FFFFFF"/>
        </w:rPr>
        <w:t xml:space="preserve">thermal processing </w:t>
      </w:r>
      <w:r w:rsidR="00732DC5" w:rsidRPr="00C13AA1">
        <w:rPr>
          <w:rFonts w:ascii="Arial" w:hAnsi="Arial" w:cs="Arial"/>
          <w:color w:val="000000" w:themeColor="text1"/>
          <w:sz w:val="20"/>
          <w:szCs w:val="20"/>
          <w:shd w:val="clear" w:color="auto" w:fill="FFFFFF"/>
        </w:rPr>
        <w:t xml:space="preserve">particularly boiling and steaming significantly </w:t>
      </w:r>
      <w:r w:rsidR="00732DC5" w:rsidRPr="00C13AA1">
        <w:rPr>
          <w:rFonts w:ascii="Arial" w:hAnsi="Arial" w:cs="Arial"/>
          <w:bCs/>
          <w:sz w:val="20"/>
          <w:szCs w:val="20"/>
        </w:rPr>
        <w:t xml:space="preserve">(p≤0.05) </w:t>
      </w:r>
      <w:r w:rsidR="00763EE2" w:rsidRPr="00C13AA1">
        <w:rPr>
          <w:rFonts w:ascii="Arial" w:hAnsi="Arial" w:cs="Arial"/>
          <w:color w:val="000000" w:themeColor="text1"/>
          <w:sz w:val="20"/>
          <w:szCs w:val="20"/>
          <w:shd w:val="clear" w:color="auto" w:fill="FFFFFF"/>
        </w:rPr>
        <w:t>reduced these</w:t>
      </w:r>
      <w:r w:rsidR="00732DC5" w:rsidRPr="00C13AA1">
        <w:rPr>
          <w:rFonts w:ascii="Arial" w:hAnsi="Arial" w:cs="Arial"/>
          <w:color w:val="000000" w:themeColor="text1"/>
          <w:sz w:val="20"/>
          <w:szCs w:val="20"/>
          <w:shd w:val="clear" w:color="auto" w:fill="FFFFFF"/>
        </w:rPr>
        <w:t xml:space="preserve"> </w:t>
      </w:r>
      <w:r w:rsidR="00763EE2" w:rsidRPr="00C13AA1">
        <w:rPr>
          <w:rFonts w:ascii="Arial" w:hAnsi="Arial" w:cs="Arial"/>
          <w:color w:val="000000" w:themeColor="text1"/>
          <w:sz w:val="20"/>
          <w:szCs w:val="20"/>
          <w:shd w:val="clear" w:color="auto" w:fill="FFFFFF"/>
        </w:rPr>
        <w:t>bio</w:t>
      </w:r>
      <w:r w:rsidR="00732DC5" w:rsidRPr="00C13AA1">
        <w:rPr>
          <w:rFonts w:ascii="Arial" w:hAnsi="Arial" w:cs="Arial"/>
          <w:color w:val="000000" w:themeColor="text1"/>
          <w:sz w:val="20"/>
          <w:szCs w:val="20"/>
          <w:shd w:val="clear" w:color="auto" w:fill="FFFFFF"/>
        </w:rPr>
        <w:t>activit</w:t>
      </w:r>
      <w:r w:rsidR="00763EE2" w:rsidRPr="00C13AA1">
        <w:rPr>
          <w:rFonts w:ascii="Arial" w:hAnsi="Arial" w:cs="Arial"/>
          <w:color w:val="000000" w:themeColor="text1"/>
          <w:sz w:val="20"/>
          <w:szCs w:val="20"/>
          <w:shd w:val="clear" w:color="auto" w:fill="FFFFFF"/>
        </w:rPr>
        <w:t>ies</w:t>
      </w:r>
      <w:r w:rsidR="00732DC5" w:rsidRPr="00C13AA1">
        <w:rPr>
          <w:rFonts w:ascii="Arial" w:hAnsi="Arial" w:cs="Arial"/>
          <w:color w:val="000000" w:themeColor="text1"/>
          <w:sz w:val="20"/>
          <w:szCs w:val="20"/>
          <w:shd w:val="clear" w:color="auto" w:fill="FFFFFF"/>
        </w:rPr>
        <w:t xml:space="preserve">. </w:t>
      </w:r>
      <w:r w:rsidR="00732DC5" w:rsidRPr="00C13AA1">
        <w:rPr>
          <w:rFonts w:ascii="Arial" w:hAnsi="Arial" w:cs="Arial"/>
          <w:bCs/>
          <w:sz w:val="20"/>
          <w:szCs w:val="20"/>
        </w:rPr>
        <w:t xml:space="preserve">It is well established that the functional properties of phenolic compounds can be significantly diminished during thermal processing, leading to reduced antioxidant and antimicrobial activities </w:t>
      </w:r>
      <w:r w:rsidRPr="00C13AA1">
        <w:rPr>
          <w:rFonts w:ascii="Arial" w:hAnsi="Arial" w:cs="Arial"/>
          <w:bCs/>
          <w:sz w:val="20"/>
          <w:szCs w:val="20"/>
        </w:rPr>
        <w:t>(</w:t>
      </w:r>
      <w:proofErr w:type="spellStart"/>
      <w:r w:rsidRPr="00C13AA1">
        <w:rPr>
          <w:rFonts w:ascii="Arial" w:hAnsi="Arial" w:cs="Arial"/>
          <w:sz w:val="20"/>
          <w:szCs w:val="20"/>
        </w:rPr>
        <w:t>Nwaichi</w:t>
      </w:r>
      <w:proofErr w:type="spellEnd"/>
      <w:r w:rsidRPr="00C13AA1">
        <w:rPr>
          <w:rFonts w:ascii="Arial" w:hAnsi="Arial" w:cs="Arial"/>
          <w:sz w:val="20"/>
          <w:szCs w:val="20"/>
        </w:rPr>
        <w:t xml:space="preserve">, 2013). </w:t>
      </w:r>
      <w:r w:rsidR="00732DC5" w:rsidRPr="00C13AA1">
        <w:rPr>
          <w:rFonts w:ascii="Arial" w:hAnsi="Arial" w:cs="Arial"/>
          <w:bCs/>
          <w:sz w:val="20"/>
          <w:szCs w:val="20"/>
        </w:rPr>
        <w:t xml:space="preserve">The extent of </w:t>
      </w:r>
      <w:r w:rsidR="00763EE2" w:rsidRPr="00C13AA1">
        <w:rPr>
          <w:rFonts w:ascii="Arial" w:hAnsi="Arial" w:cs="Arial"/>
          <w:bCs/>
          <w:sz w:val="20"/>
          <w:szCs w:val="20"/>
        </w:rPr>
        <w:t>reduction</w:t>
      </w:r>
      <w:r w:rsidR="00732DC5" w:rsidRPr="00C13AA1">
        <w:rPr>
          <w:rFonts w:ascii="Arial" w:hAnsi="Arial" w:cs="Arial"/>
          <w:bCs/>
          <w:sz w:val="20"/>
          <w:szCs w:val="20"/>
        </w:rPr>
        <w:t xml:space="preserve"> var</w:t>
      </w:r>
      <w:r w:rsidR="00763EE2" w:rsidRPr="00C13AA1">
        <w:rPr>
          <w:rFonts w:ascii="Arial" w:hAnsi="Arial" w:cs="Arial"/>
          <w:bCs/>
          <w:sz w:val="20"/>
          <w:szCs w:val="20"/>
        </w:rPr>
        <w:t>ied</w:t>
      </w:r>
      <w:r w:rsidR="00732DC5" w:rsidRPr="00C13AA1">
        <w:rPr>
          <w:rFonts w:ascii="Arial" w:hAnsi="Arial" w:cs="Arial"/>
          <w:bCs/>
          <w:sz w:val="20"/>
          <w:szCs w:val="20"/>
        </w:rPr>
        <w:t xml:space="preserve"> depending on factors such as the type</w:t>
      </w:r>
      <w:r w:rsidR="00763EE2" w:rsidRPr="00C13AA1">
        <w:rPr>
          <w:rFonts w:ascii="Arial" w:hAnsi="Arial" w:cs="Arial"/>
          <w:bCs/>
          <w:sz w:val="20"/>
          <w:szCs w:val="20"/>
        </w:rPr>
        <w:t xml:space="preserve"> of sample, duration of cooking</w:t>
      </w:r>
      <w:r w:rsidR="00732DC5" w:rsidRPr="00C13AA1">
        <w:rPr>
          <w:rFonts w:ascii="Arial" w:hAnsi="Arial" w:cs="Arial"/>
          <w:bCs/>
          <w:sz w:val="20"/>
          <w:szCs w:val="20"/>
        </w:rPr>
        <w:t xml:space="preserve"> and the temperature applied </w:t>
      </w:r>
      <w:r w:rsidRPr="00C13AA1">
        <w:rPr>
          <w:rFonts w:ascii="Arial" w:hAnsi="Arial" w:cs="Arial"/>
          <w:bCs/>
          <w:sz w:val="20"/>
          <w:szCs w:val="20"/>
        </w:rPr>
        <w:t>(</w:t>
      </w:r>
      <w:proofErr w:type="spellStart"/>
      <w:r w:rsidRPr="00C13AA1">
        <w:rPr>
          <w:rFonts w:ascii="Arial" w:hAnsi="Arial" w:cs="Arial"/>
          <w:sz w:val="20"/>
          <w:szCs w:val="20"/>
        </w:rPr>
        <w:t>Gunasena</w:t>
      </w:r>
      <w:proofErr w:type="spellEnd"/>
      <w:r w:rsidRPr="00C13AA1">
        <w:rPr>
          <w:rFonts w:ascii="Arial" w:hAnsi="Arial" w:cs="Arial"/>
          <w:sz w:val="20"/>
          <w:szCs w:val="20"/>
        </w:rPr>
        <w:t xml:space="preserve"> and </w:t>
      </w:r>
      <w:proofErr w:type="spellStart"/>
      <w:r w:rsidRPr="00C13AA1">
        <w:rPr>
          <w:rFonts w:ascii="Arial" w:hAnsi="Arial" w:cs="Arial"/>
          <w:sz w:val="20"/>
          <w:szCs w:val="20"/>
        </w:rPr>
        <w:t>Rajapakse</w:t>
      </w:r>
      <w:proofErr w:type="spellEnd"/>
      <w:r w:rsidRPr="00C13AA1">
        <w:rPr>
          <w:rFonts w:ascii="Arial" w:hAnsi="Arial" w:cs="Arial"/>
          <w:sz w:val="20"/>
          <w:szCs w:val="20"/>
        </w:rPr>
        <w:t>, 2015).</w:t>
      </w:r>
      <w:r w:rsidR="00732DC5" w:rsidRPr="00C13AA1">
        <w:rPr>
          <w:rFonts w:ascii="Arial" w:hAnsi="Arial" w:cs="Arial"/>
          <w:bCs/>
          <w:sz w:val="20"/>
          <w:szCs w:val="20"/>
        </w:rPr>
        <w:t xml:space="preserve"> </w:t>
      </w:r>
      <w:r w:rsidR="00732DC5" w:rsidRPr="00C13AA1">
        <w:rPr>
          <w:rFonts w:ascii="Arial" w:hAnsi="Arial" w:cs="Arial"/>
          <w:color w:val="000000" w:themeColor="text1"/>
          <w:sz w:val="20"/>
          <w:szCs w:val="20"/>
          <w:shd w:val="clear" w:color="auto" w:fill="FFFFFF"/>
        </w:rPr>
        <w:t xml:space="preserve">The absence of inhibitory effects against </w:t>
      </w:r>
      <w:r w:rsidR="00732DC5" w:rsidRPr="00C13AA1">
        <w:rPr>
          <w:rFonts w:ascii="Arial" w:hAnsi="Arial" w:cs="Arial"/>
          <w:i/>
          <w:iCs/>
          <w:color w:val="000000" w:themeColor="text1"/>
          <w:sz w:val="20"/>
          <w:szCs w:val="20"/>
          <w:shd w:val="clear" w:color="auto" w:fill="FFFFFF"/>
        </w:rPr>
        <w:t>E. coli</w:t>
      </w:r>
      <w:r w:rsidR="00732DC5" w:rsidRPr="00C13AA1">
        <w:rPr>
          <w:rFonts w:ascii="Arial" w:hAnsi="Arial" w:cs="Arial"/>
          <w:color w:val="000000" w:themeColor="text1"/>
          <w:sz w:val="20"/>
          <w:szCs w:val="20"/>
          <w:shd w:val="clear" w:color="auto" w:fill="FFFFFF"/>
        </w:rPr>
        <w:t xml:space="preserve"> in </w:t>
      </w:r>
      <w:r w:rsidR="00763EE2" w:rsidRPr="00C13AA1">
        <w:rPr>
          <w:rFonts w:ascii="Arial" w:hAnsi="Arial" w:cs="Arial"/>
          <w:color w:val="000000" w:themeColor="text1"/>
          <w:sz w:val="20"/>
          <w:szCs w:val="20"/>
          <w:shd w:val="clear" w:color="auto" w:fill="FFFFFF"/>
        </w:rPr>
        <w:t>processed</w:t>
      </w:r>
      <w:r w:rsidR="00732DC5" w:rsidRPr="00C13AA1">
        <w:rPr>
          <w:rFonts w:ascii="Arial" w:hAnsi="Arial" w:cs="Arial"/>
          <w:color w:val="000000" w:themeColor="text1"/>
          <w:sz w:val="20"/>
          <w:szCs w:val="20"/>
          <w:shd w:val="clear" w:color="auto" w:fill="FFFFFF"/>
        </w:rPr>
        <w:t xml:space="preserve"> samples further highlights the structural resistance of Gram-negative bacteria and the importance of processing on bioactive compound retention</w:t>
      </w:r>
      <w:r w:rsidR="008F2BD4" w:rsidRPr="00C13AA1">
        <w:rPr>
          <w:rFonts w:ascii="Arial" w:hAnsi="Arial" w:cs="Arial"/>
          <w:color w:val="000000" w:themeColor="text1"/>
          <w:sz w:val="20"/>
          <w:szCs w:val="20"/>
          <w:shd w:val="clear" w:color="auto" w:fill="FFFFFF"/>
        </w:rPr>
        <w:t xml:space="preserve"> (</w:t>
      </w:r>
      <w:proofErr w:type="spellStart"/>
      <w:r w:rsidR="008F2BD4" w:rsidRPr="00C13AA1">
        <w:rPr>
          <w:rFonts w:ascii="Arial" w:hAnsi="Arial" w:cs="Arial"/>
          <w:sz w:val="20"/>
          <w:szCs w:val="20"/>
        </w:rPr>
        <w:t>Breijyeh</w:t>
      </w:r>
      <w:proofErr w:type="spellEnd"/>
      <w:r w:rsidR="008F2BD4" w:rsidRPr="00C13AA1">
        <w:rPr>
          <w:rFonts w:ascii="Arial" w:hAnsi="Arial" w:cs="Arial"/>
          <w:sz w:val="20"/>
          <w:szCs w:val="20"/>
        </w:rPr>
        <w:t xml:space="preserve"> et al., 2020)</w:t>
      </w:r>
      <w:r w:rsidR="00732DC5" w:rsidRPr="00C13AA1">
        <w:rPr>
          <w:rFonts w:ascii="Arial" w:hAnsi="Arial" w:cs="Arial"/>
          <w:color w:val="000000" w:themeColor="text1"/>
          <w:sz w:val="20"/>
          <w:szCs w:val="20"/>
          <w:shd w:val="clear" w:color="auto" w:fill="FFFFFF"/>
        </w:rPr>
        <w:t xml:space="preserve">. </w:t>
      </w:r>
      <w:r w:rsidR="00732DC5" w:rsidRPr="00C13AA1">
        <w:rPr>
          <w:rFonts w:ascii="Arial" w:eastAsia="Times New Roman" w:hAnsi="Arial" w:cs="Arial"/>
          <w:color w:val="000000"/>
          <w:sz w:val="20"/>
          <w:szCs w:val="20"/>
        </w:rPr>
        <w:t xml:space="preserve">Similar results were reported by Sutradhar </w:t>
      </w:r>
      <w:r w:rsidR="00732DC5" w:rsidRPr="00C13AA1">
        <w:rPr>
          <w:rFonts w:ascii="Arial" w:eastAsia="Times New Roman" w:hAnsi="Arial" w:cs="Arial"/>
          <w:i/>
          <w:iCs/>
          <w:color w:val="000000"/>
          <w:sz w:val="20"/>
          <w:szCs w:val="20"/>
        </w:rPr>
        <w:t>et al</w:t>
      </w:r>
      <w:r w:rsidR="00732DC5" w:rsidRPr="00C13AA1">
        <w:rPr>
          <w:rFonts w:ascii="Arial" w:eastAsia="Times New Roman" w:hAnsi="Arial" w:cs="Arial"/>
          <w:color w:val="000000"/>
          <w:sz w:val="20"/>
          <w:szCs w:val="20"/>
        </w:rPr>
        <w:t>. (2020) for</w:t>
      </w:r>
      <w:r w:rsidR="00732DC5" w:rsidRPr="00C13AA1">
        <w:rPr>
          <w:rFonts w:ascii="Arial" w:eastAsia="Times New Roman" w:hAnsi="Arial" w:cs="Arial"/>
          <w:sz w:val="20"/>
          <w:szCs w:val="20"/>
        </w:rPr>
        <w:t xml:space="preserve"> </w:t>
      </w:r>
      <w:proofErr w:type="spellStart"/>
      <w:r w:rsidR="00732DC5" w:rsidRPr="00C13AA1">
        <w:rPr>
          <w:rFonts w:ascii="Arial" w:eastAsia="Times New Roman" w:hAnsi="Arial" w:cs="Arial"/>
          <w:i/>
          <w:iCs/>
          <w:sz w:val="20"/>
          <w:szCs w:val="20"/>
        </w:rPr>
        <w:t>Emblica</w:t>
      </w:r>
      <w:proofErr w:type="spellEnd"/>
      <w:r w:rsidR="00732DC5" w:rsidRPr="00C13AA1">
        <w:rPr>
          <w:rFonts w:ascii="Arial" w:eastAsia="Times New Roman" w:hAnsi="Arial" w:cs="Arial"/>
          <w:i/>
          <w:iCs/>
          <w:sz w:val="20"/>
          <w:szCs w:val="20"/>
        </w:rPr>
        <w:t xml:space="preserve"> </w:t>
      </w:r>
      <w:proofErr w:type="spellStart"/>
      <w:r w:rsidR="00732DC5" w:rsidRPr="00C13AA1">
        <w:rPr>
          <w:rFonts w:ascii="Arial" w:eastAsia="Times New Roman" w:hAnsi="Arial" w:cs="Arial"/>
          <w:i/>
          <w:iCs/>
          <w:sz w:val="20"/>
          <w:szCs w:val="20"/>
        </w:rPr>
        <w:t>officinalis</w:t>
      </w:r>
      <w:proofErr w:type="spellEnd"/>
      <w:r w:rsidR="004D4C78" w:rsidRPr="00C13AA1">
        <w:rPr>
          <w:rFonts w:ascii="Arial" w:eastAsia="Times New Roman" w:hAnsi="Arial" w:cs="Arial"/>
          <w:sz w:val="20"/>
          <w:szCs w:val="20"/>
        </w:rPr>
        <w:t xml:space="preserve"> who</w:t>
      </w:r>
      <w:r w:rsidR="00732DC5" w:rsidRPr="00C13AA1">
        <w:rPr>
          <w:rFonts w:ascii="Arial" w:eastAsia="Times New Roman" w:hAnsi="Arial" w:cs="Arial"/>
          <w:sz w:val="20"/>
          <w:szCs w:val="20"/>
        </w:rPr>
        <w:t xml:space="preserve"> observed </w:t>
      </w:r>
      <w:r w:rsidR="004D4C78" w:rsidRPr="00C13AA1">
        <w:rPr>
          <w:rFonts w:ascii="Arial" w:eastAsia="Times New Roman" w:hAnsi="Arial" w:cs="Arial"/>
          <w:sz w:val="20"/>
          <w:szCs w:val="20"/>
        </w:rPr>
        <w:t xml:space="preserve">reduced antimicrobial activity after five </w:t>
      </w:r>
      <w:r w:rsidR="00732DC5" w:rsidRPr="00C13AA1">
        <w:rPr>
          <w:rFonts w:ascii="Arial" w:eastAsia="Times New Roman" w:hAnsi="Arial" w:cs="Arial"/>
          <w:sz w:val="20"/>
          <w:szCs w:val="20"/>
        </w:rPr>
        <w:t>min</w:t>
      </w:r>
      <w:r w:rsidR="004D4C78" w:rsidRPr="00C13AA1">
        <w:rPr>
          <w:rFonts w:ascii="Arial" w:eastAsia="Times New Roman" w:hAnsi="Arial" w:cs="Arial"/>
          <w:sz w:val="20"/>
          <w:szCs w:val="20"/>
        </w:rPr>
        <w:t xml:space="preserve">utes of </w:t>
      </w:r>
      <w:r w:rsidR="00732DC5" w:rsidRPr="00C13AA1">
        <w:rPr>
          <w:rFonts w:ascii="Arial" w:eastAsia="Times New Roman" w:hAnsi="Arial" w:cs="Arial"/>
          <w:sz w:val="20"/>
          <w:szCs w:val="20"/>
        </w:rPr>
        <w:t xml:space="preserve">boiling. </w:t>
      </w:r>
      <w:r w:rsidR="00732DC5" w:rsidRPr="00C13AA1">
        <w:rPr>
          <w:rFonts w:ascii="Arial" w:hAnsi="Arial" w:cs="Arial"/>
          <w:sz w:val="20"/>
          <w:szCs w:val="20"/>
          <w:shd w:val="clear" w:color="auto" w:fill="FFFFFF"/>
        </w:rPr>
        <w:t xml:space="preserve">Bordoloi </w:t>
      </w:r>
      <w:r w:rsidR="00732DC5" w:rsidRPr="00C13AA1">
        <w:rPr>
          <w:rFonts w:ascii="Arial" w:hAnsi="Arial" w:cs="Arial"/>
          <w:i/>
          <w:iCs/>
          <w:sz w:val="20"/>
          <w:szCs w:val="20"/>
          <w:shd w:val="clear" w:color="auto" w:fill="FFFFFF"/>
        </w:rPr>
        <w:t>et al</w:t>
      </w:r>
      <w:r w:rsidR="00732DC5" w:rsidRPr="00C13AA1">
        <w:rPr>
          <w:rFonts w:ascii="Arial" w:hAnsi="Arial" w:cs="Arial"/>
          <w:sz w:val="20"/>
          <w:szCs w:val="20"/>
          <w:shd w:val="clear" w:color="auto" w:fill="FFFFFF"/>
        </w:rPr>
        <w:t xml:space="preserve">. (2017) also confirmed decreased effectiveness against </w:t>
      </w:r>
      <w:r w:rsidR="00732DC5" w:rsidRPr="00C13AA1">
        <w:rPr>
          <w:rFonts w:ascii="Arial" w:hAnsi="Arial" w:cs="Arial"/>
          <w:i/>
          <w:iCs/>
          <w:sz w:val="20"/>
          <w:szCs w:val="20"/>
          <w:shd w:val="clear" w:color="auto" w:fill="FFFFFF"/>
        </w:rPr>
        <w:t>S. aureus</w:t>
      </w:r>
      <w:r w:rsidR="00732DC5" w:rsidRPr="00C13AA1">
        <w:rPr>
          <w:rFonts w:ascii="Arial" w:hAnsi="Arial" w:cs="Arial"/>
          <w:sz w:val="20"/>
          <w:szCs w:val="20"/>
          <w:shd w:val="clear" w:color="auto" w:fill="FFFFFF"/>
        </w:rPr>
        <w:t xml:space="preserve"> after boil</w:t>
      </w:r>
      <w:r w:rsidR="004D4C78" w:rsidRPr="00C13AA1">
        <w:rPr>
          <w:rFonts w:ascii="Arial" w:hAnsi="Arial" w:cs="Arial"/>
          <w:sz w:val="20"/>
          <w:szCs w:val="20"/>
          <w:shd w:val="clear" w:color="auto" w:fill="FFFFFF"/>
        </w:rPr>
        <w:t>ing treatment</w:t>
      </w:r>
      <w:r w:rsidR="00732DC5" w:rsidRPr="00C13AA1">
        <w:rPr>
          <w:rFonts w:ascii="Arial" w:hAnsi="Arial" w:cs="Arial"/>
          <w:sz w:val="20"/>
          <w:szCs w:val="20"/>
          <w:shd w:val="clear" w:color="auto" w:fill="FFFFFF"/>
        </w:rPr>
        <w:t>.</w:t>
      </w:r>
      <w:r w:rsidRPr="00C13AA1">
        <w:rPr>
          <w:rFonts w:ascii="Arial" w:hAnsi="Arial" w:cs="Arial"/>
          <w:bCs/>
          <w:color w:val="000000" w:themeColor="text1"/>
          <w:sz w:val="20"/>
          <w:szCs w:val="20"/>
        </w:rPr>
        <w:t xml:space="preserve"> The data highlight the influence of cooking methods on antimicrobial efficacy and suggest that consumption in raw or minimally processed forms may help retain the functional properties of the plant.</w:t>
      </w:r>
    </w:p>
    <w:p w14:paraId="0343AA74" w14:textId="018E9197" w:rsidR="00732DC5" w:rsidRPr="00860227" w:rsidRDefault="00860227" w:rsidP="00860227">
      <w:pPr>
        <w:spacing w:line="240" w:lineRule="auto"/>
        <w:jc w:val="both"/>
        <w:rPr>
          <w:rFonts w:ascii="Arial" w:hAnsi="Arial" w:cs="Arial"/>
          <w:b/>
          <w:bCs/>
          <w:szCs w:val="24"/>
        </w:rPr>
      </w:pPr>
      <w:r w:rsidRPr="00860227">
        <w:rPr>
          <w:rFonts w:ascii="Arial" w:hAnsi="Arial" w:cs="Arial"/>
          <w:b/>
          <w:bCs/>
          <w:szCs w:val="24"/>
        </w:rPr>
        <w:t xml:space="preserve">4. CONCLUSION </w:t>
      </w:r>
    </w:p>
    <w:p w14:paraId="55EECFE6" w14:textId="171B16DE" w:rsidR="00732DC5" w:rsidRPr="00C13AA1" w:rsidRDefault="00732DC5" w:rsidP="00C771CE">
      <w:pPr>
        <w:spacing w:line="240" w:lineRule="auto"/>
        <w:jc w:val="both"/>
        <w:rPr>
          <w:rFonts w:ascii="Arial" w:hAnsi="Arial" w:cs="Arial"/>
          <w:sz w:val="20"/>
          <w:szCs w:val="20"/>
        </w:rPr>
      </w:pPr>
      <w:r w:rsidRPr="00C13AA1">
        <w:rPr>
          <w:rFonts w:ascii="Arial" w:hAnsi="Arial" w:cs="Arial"/>
          <w:sz w:val="20"/>
          <w:szCs w:val="20"/>
        </w:rPr>
        <w:t xml:space="preserve">The </w:t>
      </w:r>
      <w:r w:rsidR="0093033F" w:rsidRPr="00C13AA1">
        <w:rPr>
          <w:rFonts w:ascii="Arial" w:hAnsi="Arial" w:cs="Arial"/>
          <w:sz w:val="20"/>
          <w:szCs w:val="20"/>
        </w:rPr>
        <w:t>present study demonstrates</w:t>
      </w:r>
      <w:r w:rsidRPr="00C13AA1">
        <w:rPr>
          <w:rFonts w:ascii="Arial" w:hAnsi="Arial" w:cs="Arial"/>
          <w:sz w:val="20"/>
          <w:szCs w:val="20"/>
        </w:rPr>
        <w:t xml:space="preserve"> that </w:t>
      </w:r>
      <w:r w:rsidR="0093033F" w:rsidRPr="00C13AA1">
        <w:rPr>
          <w:rFonts w:ascii="Arial" w:hAnsi="Arial" w:cs="Arial"/>
          <w:sz w:val="20"/>
          <w:szCs w:val="20"/>
        </w:rPr>
        <w:t xml:space="preserve">different </w:t>
      </w:r>
      <w:r w:rsidRPr="00C13AA1">
        <w:rPr>
          <w:rFonts w:ascii="Arial" w:hAnsi="Arial" w:cs="Arial"/>
          <w:sz w:val="20"/>
          <w:szCs w:val="20"/>
        </w:rPr>
        <w:t xml:space="preserve">processing methods significantly influence the nutritional and bioactive composition of </w:t>
      </w:r>
      <w:r w:rsidR="00657ECC" w:rsidRPr="00C13AA1">
        <w:rPr>
          <w:rFonts w:ascii="Arial" w:hAnsi="Arial" w:cs="Arial"/>
          <w:sz w:val="20"/>
          <w:szCs w:val="20"/>
        </w:rPr>
        <w:t>marjoram</w:t>
      </w:r>
      <w:r w:rsidRPr="00C13AA1">
        <w:rPr>
          <w:rFonts w:ascii="Arial" w:hAnsi="Arial" w:cs="Arial"/>
          <w:sz w:val="20"/>
          <w:szCs w:val="20"/>
        </w:rPr>
        <w:t xml:space="preserve"> leaves. </w:t>
      </w:r>
      <w:r w:rsidR="0093033F" w:rsidRPr="00C13AA1">
        <w:rPr>
          <w:rFonts w:ascii="Arial" w:hAnsi="Arial" w:cs="Arial"/>
          <w:sz w:val="20"/>
          <w:szCs w:val="20"/>
        </w:rPr>
        <w:t xml:space="preserve">Although </w:t>
      </w:r>
      <w:r w:rsidRPr="00C13AA1">
        <w:rPr>
          <w:rFonts w:ascii="Arial" w:hAnsi="Arial" w:cs="Arial"/>
          <w:sz w:val="20"/>
          <w:szCs w:val="20"/>
        </w:rPr>
        <w:t xml:space="preserve">all cooking techniques led to some degradation of heat-sensitive compounds like ascorbic acid and </w:t>
      </w:r>
      <w:r w:rsidRPr="00C13AA1">
        <w:rPr>
          <w:rFonts w:ascii="Arial" w:hAnsi="Arial" w:cs="Arial"/>
          <w:bCs/>
          <w:sz w:val="20"/>
          <w:szCs w:val="20"/>
        </w:rPr>
        <w:t xml:space="preserve">β-carotene, </w:t>
      </w:r>
      <w:r w:rsidR="0093033F" w:rsidRPr="00C13AA1">
        <w:rPr>
          <w:rFonts w:ascii="Arial" w:hAnsi="Arial" w:cs="Arial"/>
          <w:bCs/>
          <w:sz w:val="20"/>
          <w:szCs w:val="20"/>
        </w:rPr>
        <w:t>certain methods enhanced</w:t>
      </w:r>
      <w:r w:rsidRPr="00C13AA1">
        <w:rPr>
          <w:rFonts w:ascii="Arial" w:hAnsi="Arial" w:cs="Arial"/>
          <w:sz w:val="20"/>
          <w:szCs w:val="20"/>
        </w:rPr>
        <w:t xml:space="preserve"> the release </w:t>
      </w:r>
      <w:r w:rsidR="0093033F" w:rsidRPr="00C13AA1">
        <w:rPr>
          <w:rFonts w:ascii="Arial" w:hAnsi="Arial" w:cs="Arial"/>
          <w:sz w:val="20"/>
          <w:szCs w:val="20"/>
        </w:rPr>
        <w:t>and bioavailability of phenolic</w:t>
      </w:r>
      <w:r w:rsidRPr="00C13AA1">
        <w:rPr>
          <w:rFonts w:ascii="Arial" w:hAnsi="Arial" w:cs="Arial"/>
          <w:sz w:val="20"/>
          <w:szCs w:val="20"/>
        </w:rPr>
        <w:t xml:space="preserve"> </w:t>
      </w:r>
      <w:r w:rsidR="0093033F" w:rsidRPr="00C13AA1">
        <w:rPr>
          <w:rFonts w:ascii="Arial" w:hAnsi="Arial" w:cs="Arial"/>
          <w:sz w:val="20"/>
          <w:szCs w:val="20"/>
        </w:rPr>
        <w:t xml:space="preserve">compounds </w:t>
      </w:r>
      <w:r w:rsidRPr="00C13AA1">
        <w:rPr>
          <w:rFonts w:ascii="Arial" w:hAnsi="Arial" w:cs="Arial"/>
          <w:sz w:val="20"/>
          <w:szCs w:val="20"/>
        </w:rPr>
        <w:t xml:space="preserve">and flavonoids. </w:t>
      </w:r>
      <w:r w:rsidR="0093033F" w:rsidRPr="00C13AA1">
        <w:rPr>
          <w:rFonts w:ascii="Arial" w:hAnsi="Arial" w:cs="Arial"/>
          <w:sz w:val="20"/>
          <w:szCs w:val="20"/>
        </w:rPr>
        <w:t xml:space="preserve">Among the evaluated </w:t>
      </w:r>
      <w:r w:rsidR="00F91825">
        <w:rPr>
          <w:rFonts w:ascii="Arial" w:hAnsi="Arial" w:cs="Arial"/>
          <w:sz w:val="20"/>
          <w:szCs w:val="20"/>
        </w:rPr>
        <w:t>common household cooking methods</w:t>
      </w:r>
      <w:r w:rsidR="0093033F" w:rsidRPr="00C13AA1">
        <w:rPr>
          <w:rFonts w:ascii="Arial" w:hAnsi="Arial" w:cs="Arial"/>
          <w:sz w:val="20"/>
          <w:szCs w:val="20"/>
        </w:rPr>
        <w:t>, m</w:t>
      </w:r>
      <w:r w:rsidRPr="00C13AA1">
        <w:rPr>
          <w:rFonts w:ascii="Arial" w:hAnsi="Arial" w:cs="Arial"/>
          <w:sz w:val="20"/>
          <w:szCs w:val="20"/>
        </w:rPr>
        <w:t xml:space="preserve">icrowave cooking and steaming emerged as </w:t>
      </w:r>
      <w:r w:rsidR="0093033F" w:rsidRPr="00C13AA1">
        <w:rPr>
          <w:rFonts w:ascii="Arial" w:hAnsi="Arial" w:cs="Arial"/>
          <w:sz w:val="20"/>
          <w:szCs w:val="20"/>
        </w:rPr>
        <w:t xml:space="preserve">comparatively </w:t>
      </w:r>
      <w:r w:rsidRPr="00C13AA1">
        <w:rPr>
          <w:rFonts w:ascii="Arial" w:hAnsi="Arial" w:cs="Arial"/>
          <w:sz w:val="20"/>
          <w:szCs w:val="20"/>
        </w:rPr>
        <w:t xml:space="preserve">most favourable techniques, preserving antioxidant and phytochemical properties effectively. </w:t>
      </w:r>
      <w:r w:rsidR="004D6FAE" w:rsidRPr="00C13AA1">
        <w:rPr>
          <w:rFonts w:ascii="Arial" w:hAnsi="Arial" w:cs="Arial"/>
          <w:sz w:val="20"/>
          <w:szCs w:val="20"/>
        </w:rPr>
        <w:t>In contrast, b</w:t>
      </w:r>
      <w:r w:rsidRPr="00C13AA1">
        <w:rPr>
          <w:rFonts w:ascii="Arial" w:hAnsi="Arial" w:cs="Arial"/>
          <w:sz w:val="20"/>
          <w:szCs w:val="20"/>
        </w:rPr>
        <w:t>oiling and pressure cooking</w:t>
      </w:r>
      <w:r w:rsidR="004D6FAE" w:rsidRPr="00C13AA1">
        <w:rPr>
          <w:rFonts w:ascii="Arial" w:hAnsi="Arial" w:cs="Arial"/>
          <w:sz w:val="20"/>
          <w:szCs w:val="20"/>
        </w:rPr>
        <w:t xml:space="preserve"> despite their widespread use were associated t</w:t>
      </w:r>
      <w:r w:rsidRPr="00C13AA1">
        <w:rPr>
          <w:rFonts w:ascii="Arial" w:hAnsi="Arial" w:cs="Arial"/>
          <w:sz w:val="20"/>
          <w:szCs w:val="20"/>
        </w:rPr>
        <w:t xml:space="preserve">o substantial losses in nutrient content. </w:t>
      </w:r>
      <w:r w:rsidR="004D6FAE" w:rsidRPr="00C13AA1">
        <w:rPr>
          <w:rFonts w:ascii="Arial" w:hAnsi="Arial" w:cs="Arial"/>
          <w:sz w:val="20"/>
          <w:szCs w:val="20"/>
        </w:rPr>
        <w:t>These observations highlight the impact of thermal intensity and processing conditions on the retention of functional constituents. Overall, th</w:t>
      </w:r>
      <w:r w:rsidRPr="00C13AA1">
        <w:rPr>
          <w:rFonts w:ascii="Arial" w:hAnsi="Arial" w:cs="Arial"/>
          <w:sz w:val="20"/>
          <w:szCs w:val="20"/>
        </w:rPr>
        <w:t xml:space="preserve">ese findings </w:t>
      </w:r>
      <w:r w:rsidR="004D6FAE" w:rsidRPr="00C13AA1">
        <w:rPr>
          <w:rFonts w:ascii="Arial" w:hAnsi="Arial" w:cs="Arial"/>
          <w:sz w:val="20"/>
          <w:szCs w:val="20"/>
        </w:rPr>
        <w:t xml:space="preserve">provide valuable insights for both </w:t>
      </w:r>
      <w:r w:rsidRPr="00C13AA1">
        <w:rPr>
          <w:rFonts w:ascii="Arial" w:hAnsi="Arial" w:cs="Arial"/>
          <w:sz w:val="20"/>
          <w:szCs w:val="20"/>
        </w:rPr>
        <w:t>culinary</w:t>
      </w:r>
      <w:r w:rsidR="004D6FAE" w:rsidRPr="00C13AA1">
        <w:rPr>
          <w:rFonts w:ascii="Arial" w:hAnsi="Arial" w:cs="Arial"/>
          <w:sz w:val="20"/>
          <w:szCs w:val="20"/>
        </w:rPr>
        <w:t xml:space="preserve"> applications and </w:t>
      </w:r>
      <w:r w:rsidRPr="00C13AA1">
        <w:rPr>
          <w:rFonts w:ascii="Arial" w:hAnsi="Arial" w:cs="Arial"/>
          <w:sz w:val="20"/>
          <w:szCs w:val="20"/>
        </w:rPr>
        <w:t xml:space="preserve">industrial processing of </w:t>
      </w:r>
      <w:r w:rsidR="00657ECC" w:rsidRPr="00C13AA1">
        <w:rPr>
          <w:rFonts w:ascii="Arial" w:hAnsi="Arial" w:cs="Arial"/>
          <w:sz w:val="20"/>
          <w:szCs w:val="20"/>
        </w:rPr>
        <w:t>marjoram</w:t>
      </w:r>
      <w:r w:rsidRPr="00C13AA1">
        <w:rPr>
          <w:rFonts w:ascii="Arial" w:hAnsi="Arial" w:cs="Arial"/>
          <w:sz w:val="20"/>
          <w:szCs w:val="20"/>
        </w:rPr>
        <w:t xml:space="preserve"> leaves to retain their functional </w:t>
      </w:r>
      <w:r w:rsidRPr="00C13AA1">
        <w:rPr>
          <w:rFonts w:ascii="Arial" w:hAnsi="Arial" w:cs="Arial"/>
          <w:sz w:val="20"/>
          <w:szCs w:val="20"/>
        </w:rPr>
        <w:lastRenderedPageBreak/>
        <w:t xml:space="preserve">benefits. </w:t>
      </w:r>
      <w:r w:rsidR="004D6FAE" w:rsidRPr="00C13AA1">
        <w:rPr>
          <w:rFonts w:ascii="Arial" w:hAnsi="Arial" w:cs="Arial"/>
          <w:sz w:val="20"/>
          <w:szCs w:val="20"/>
        </w:rPr>
        <w:t>S</w:t>
      </w:r>
      <w:r w:rsidRPr="00C13AA1">
        <w:rPr>
          <w:rFonts w:ascii="Arial" w:hAnsi="Arial" w:cs="Arial"/>
          <w:sz w:val="20"/>
          <w:szCs w:val="20"/>
        </w:rPr>
        <w:t xml:space="preserve">electing appropriate cooking methods </w:t>
      </w:r>
      <w:r w:rsidR="004D6FAE" w:rsidRPr="00C13AA1">
        <w:rPr>
          <w:rFonts w:ascii="Arial" w:hAnsi="Arial" w:cs="Arial"/>
          <w:sz w:val="20"/>
          <w:szCs w:val="20"/>
        </w:rPr>
        <w:t xml:space="preserve">is essential </w:t>
      </w:r>
      <w:r w:rsidRPr="00C13AA1">
        <w:rPr>
          <w:rFonts w:ascii="Arial" w:hAnsi="Arial" w:cs="Arial"/>
          <w:sz w:val="20"/>
          <w:szCs w:val="20"/>
        </w:rPr>
        <w:t xml:space="preserve">to </w:t>
      </w:r>
      <w:r w:rsidR="004D6FAE" w:rsidRPr="00C13AA1">
        <w:rPr>
          <w:rFonts w:ascii="Arial" w:hAnsi="Arial" w:cs="Arial"/>
          <w:sz w:val="20"/>
          <w:szCs w:val="20"/>
        </w:rPr>
        <w:t xml:space="preserve">optimize nutrient retention and </w:t>
      </w:r>
      <w:r w:rsidRPr="00C13AA1">
        <w:rPr>
          <w:rFonts w:ascii="Arial" w:hAnsi="Arial" w:cs="Arial"/>
          <w:sz w:val="20"/>
          <w:szCs w:val="20"/>
        </w:rPr>
        <w:t xml:space="preserve">maximize the </w:t>
      </w:r>
      <w:r w:rsidR="004D6FAE" w:rsidRPr="00C13AA1">
        <w:rPr>
          <w:rFonts w:ascii="Arial" w:hAnsi="Arial" w:cs="Arial"/>
          <w:sz w:val="20"/>
          <w:szCs w:val="20"/>
        </w:rPr>
        <w:t xml:space="preserve">potential </w:t>
      </w:r>
      <w:r w:rsidRPr="00C13AA1">
        <w:rPr>
          <w:rFonts w:ascii="Arial" w:hAnsi="Arial" w:cs="Arial"/>
          <w:sz w:val="20"/>
          <w:szCs w:val="20"/>
        </w:rPr>
        <w:t xml:space="preserve">health benefits </w:t>
      </w:r>
      <w:r w:rsidR="004D6FAE" w:rsidRPr="00C13AA1">
        <w:rPr>
          <w:rFonts w:ascii="Arial" w:hAnsi="Arial" w:cs="Arial"/>
          <w:sz w:val="20"/>
          <w:szCs w:val="20"/>
        </w:rPr>
        <w:t xml:space="preserve">associated with </w:t>
      </w:r>
      <w:r w:rsidR="00657ECC" w:rsidRPr="00C13AA1">
        <w:rPr>
          <w:rFonts w:ascii="Arial" w:hAnsi="Arial" w:cs="Arial"/>
          <w:sz w:val="20"/>
          <w:szCs w:val="20"/>
        </w:rPr>
        <w:t>marjoram</w:t>
      </w:r>
      <w:r w:rsidRPr="00C13AA1">
        <w:rPr>
          <w:rFonts w:ascii="Arial" w:hAnsi="Arial" w:cs="Arial"/>
          <w:sz w:val="20"/>
          <w:szCs w:val="20"/>
        </w:rPr>
        <w:t xml:space="preserve"> leaves.</w:t>
      </w:r>
    </w:p>
    <w:p w14:paraId="4A12FB7C" w14:textId="77777777" w:rsidR="006953A2" w:rsidRDefault="006953A2">
      <w:pPr>
        <w:pStyle w:val="a3"/>
        <w:rPr>
          <w:rStyle w:val="a4"/>
          <w:sz w:val="22"/>
          <w:szCs w:val="22"/>
          <w:lang w:bidi="hi-IN"/>
        </w:rPr>
      </w:pPr>
    </w:p>
    <w:p w14:paraId="2BDFD3F9" w14:textId="169AC20C" w:rsidR="00093203" w:rsidRPr="00563F47" w:rsidRDefault="00563F47">
      <w:pPr>
        <w:pStyle w:val="a3"/>
        <w:rPr>
          <w:rFonts w:eastAsiaTheme="minorEastAsia"/>
          <w:sz w:val="22"/>
          <w:szCs w:val="22"/>
          <w:lang w:bidi="hi-IN"/>
        </w:rPr>
      </w:pPr>
      <w:r w:rsidRPr="00563F47">
        <w:rPr>
          <w:rStyle w:val="a4"/>
          <w:sz w:val="22"/>
          <w:szCs w:val="22"/>
          <w:lang w:bidi="hi-IN"/>
        </w:rPr>
        <w:t>REFERENCES</w:t>
      </w:r>
    </w:p>
    <w:p w14:paraId="50221175" w14:textId="6C349C64" w:rsidR="00563F47" w:rsidRDefault="00563F47" w:rsidP="00563F47">
      <w:pPr>
        <w:pStyle w:val="a3"/>
        <w:rPr>
          <w:rFonts w:ascii="Arial" w:hAnsi="Arial" w:cs="Arial"/>
          <w:sz w:val="20"/>
          <w:szCs w:val="20"/>
          <w:lang w:bidi="hi-IN"/>
        </w:rPr>
      </w:pPr>
      <w:proofErr w:type="spellStart"/>
      <w:r w:rsidRPr="00563F47">
        <w:rPr>
          <w:rFonts w:ascii="Arial" w:hAnsi="Arial" w:cs="Arial"/>
          <w:sz w:val="20"/>
          <w:szCs w:val="20"/>
          <w:lang w:bidi="hi-IN"/>
        </w:rPr>
        <w:t>Adefegha</w:t>
      </w:r>
      <w:proofErr w:type="spellEnd"/>
      <w:r w:rsidRPr="00563F47">
        <w:rPr>
          <w:rFonts w:ascii="Arial" w:hAnsi="Arial" w:cs="Arial"/>
          <w:sz w:val="20"/>
          <w:szCs w:val="20"/>
          <w:lang w:bidi="hi-IN"/>
        </w:rPr>
        <w:t xml:space="preserve">, S. A., &amp; Oboh, G. (2011). Enhancement of total phenolics and antioxidant properties of some tropical green leafy vegetables by steam cooking. </w:t>
      </w:r>
      <w:r w:rsidRPr="00563F47">
        <w:rPr>
          <w:rStyle w:val="a5"/>
          <w:rFonts w:ascii="Arial" w:hAnsi="Arial" w:cs="Arial"/>
          <w:sz w:val="20"/>
          <w:szCs w:val="20"/>
          <w:lang w:bidi="hi-IN"/>
        </w:rPr>
        <w:t>Journal of Food Processing and Preservation</w:t>
      </w:r>
      <w:r w:rsidRPr="00563F47">
        <w:rPr>
          <w:rFonts w:ascii="Arial" w:hAnsi="Arial" w:cs="Arial"/>
          <w:sz w:val="20"/>
          <w:szCs w:val="20"/>
          <w:lang w:bidi="hi-IN"/>
        </w:rPr>
        <w:t>.</w:t>
      </w:r>
    </w:p>
    <w:p w14:paraId="46049736"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Alide, T., Wangila, P., &amp; Kiprop, A. (2020). Effect of cooking temperature and time on total phenolic content, flavonoids, and antioxidant activity of garlic. </w:t>
      </w:r>
      <w:r w:rsidRPr="00563F47">
        <w:rPr>
          <w:rStyle w:val="a5"/>
          <w:rFonts w:ascii="Arial" w:hAnsi="Arial" w:cs="Arial"/>
          <w:sz w:val="20"/>
          <w:szCs w:val="20"/>
          <w:lang w:bidi="hi-IN"/>
        </w:rPr>
        <w:t>BMC Research Notes, 13</w:t>
      </w:r>
      <w:r w:rsidRPr="00563F47">
        <w:rPr>
          <w:rFonts w:ascii="Arial" w:hAnsi="Arial" w:cs="Arial"/>
          <w:sz w:val="20"/>
          <w:szCs w:val="20"/>
          <w:lang w:bidi="hi-IN"/>
        </w:rPr>
        <w:t xml:space="preserve">(1), 564. </w:t>
      </w:r>
      <w:hyperlink r:id="rId12" w:history="1">
        <w:r w:rsidRPr="00563F47">
          <w:rPr>
            <w:rStyle w:val="Hyperlink"/>
            <w:rFonts w:ascii="Arial" w:hAnsi="Arial" w:cs="Arial"/>
            <w:sz w:val="20"/>
            <w:szCs w:val="20"/>
            <w:lang w:bidi="hi-IN"/>
          </w:rPr>
          <w:t>https://doi.org/10.1186/s13104-020-05404-8</w:t>
        </w:r>
      </w:hyperlink>
    </w:p>
    <w:p w14:paraId="3929C710"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Amor, G., Caputo, L., La Storia, A., De Feo, V., Mauriello, G., et al. (2019). Chemical composition and antimicrobial activity of </w:t>
      </w:r>
      <w:r w:rsidRPr="00563F47">
        <w:rPr>
          <w:rStyle w:val="a5"/>
          <w:rFonts w:ascii="Arial" w:hAnsi="Arial" w:cs="Arial"/>
          <w:sz w:val="20"/>
          <w:szCs w:val="20"/>
          <w:lang w:bidi="hi-IN"/>
        </w:rPr>
        <w:t xml:space="preserve">Artemisia </w:t>
      </w:r>
      <w:proofErr w:type="spellStart"/>
      <w:r w:rsidRPr="00563F47">
        <w:rPr>
          <w:rStyle w:val="a5"/>
          <w:rFonts w:ascii="Arial" w:hAnsi="Arial" w:cs="Arial"/>
          <w:sz w:val="20"/>
          <w:szCs w:val="20"/>
          <w:lang w:bidi="hi-IN"/>
        </w:rPr>
        <w:t>herba</w:t>
      </w:r>
      <w:proofErr w:type="spellEnd"/>
      <w:r w:rsidRPr="00563F47">
        <w:rPr>
          <w:rStyle w:val="a5"/>
          <w:rFonts w:ascii="Arial" w:hAnsi="Arial" w:cs="Arial"/>
          <w:sz w:val="20"/>
          <w:szCs w:val="20"/>
          <w:lang w:bidi="hi-IN"/>
        </w:rPr>
        <w:t>-alba</w:t>
      </w:r>
      <w:r w:rsidRPr="00563F47">
        <w:rPr>
          <w:rFonts w:ascii="Arial" w:hAnsi="Arial" w:cs="Arial"/>
          <w:sz w:val="20"/>
          <w:szCs w:val="20"/>
          <w:lang w:bidi="hi-IN"/>
        </w:rPr>
        <w:t xml:space="preserve"> and </w:t>
      </w:r>
      <w:proofErr w:type="spellStart"/>
      <w:r w:rsidRPr="00563F47">
        <w:rPr>
          <w:rStyle w:val="a5"/>
          <w:rFonts w:ascii="Arial" w:hAnsi="Arial" w:cs="Arial"/>
          <w:sz w:val="20"/>
          <w:szCs w:val="20"/>
          <w:lang w:bidi="hi-IN"/>
        </w:rPr>
        <w:t>Origanum</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majorana</w:t>
      </w:r>
      <w:proofErr w:type="spellEnd"/>
      <w:r w:rsidRPr="00563F47">
        <w:rPr>
          <w:rFonts w:ascii="Arial" w:hAnsi="Arial" w:cs="Arial"/>
          <w:sz w:val="20"/>
          <w:szCs w:val="20"/>
          <w:lang w:bidi="hi-IN"/>
        </w:rPr>
        <w:t xml:space="preserve"> essential oils from Morocco. </w:t>
      </w:r>
      <w:r w:rsidRPr="00563F47">
        <w:rPr>
          <w:rStyle w:val="a5"/>
          <w:rFonts w:ascii="Arial" w:hAnsi="Arial" w:cs="Arial"/>
          <w:sz w:val="20"/>
          <w:szCs w:val="20"/>
          <w:lang w:bidi="hi-IN"/>
        </w:rPr>
        <w:t>Molecules, 24</w:t>
      </w:r>
      <w:r w:rsidRPr="00563F47">
        <w:rPr>
          <w:rFonts w:ascii="Arial" w:hAnsi="Arial" w:cs="Arial"/>
          <w:sz w:val="20"/>
          <w:szCs w:val="20"/>
          <w:lang w:bidi="hi-IN"/>
        </w:rPr>
        <w:t xml:space="preserve">, 4021. </w:t>
      </w:r>
      <w:hyperlink r:id="rId13" w:history="1">
        <w:r w:rsidRPr="00563F47">
          <w:rPr>
            <w:rStyle w:val="Hyperlink"/>
            <w:rFonts w:ascii="Arial" w:hAnsi="Arial" w:cs="Arial"/>
            <w:sz w:val="20"/>
            <w:szCs w:val="20"/>
            <w:lang w:bidi="hi-IN"/>
          </w:rPr>
          <w:t>https://bit.ly/2HCvBYy</w:t>
        </w:r>
      </w:hyperlink>
    </w:p>
    <w:p w14:paraId="12C67F7E"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AOAC. (2000). </w:t>
      </w:r>
      <w:r w:rsidRPr="00563F47">
        <w:rPr>
          <w:rStyle w:val="a5"/>
          <w:rFonts w:ascii="Arial" w:hAnsi="Arial" w:cs="Arial"/>
          <w:sz w:val="20"/>
          <w:szCs w:val="20"/>
          <w:lang w:bidi="hi-IN"/>
        </w:rPr>
        <w:t>Official methods of analysis</w:t>
      </w:r>
      <w:r w:rsidRPr="00563F47">
        <w:rPr>
          <w:rFonts w:ascii="Arial" w:hAnsi="Arial" w:cs="Arial"/>
          <w:sz w:val="20"/>
          <w:szCs w:val="20"/>
          <w:lang w:bidi="hi-IN"/>
        </w:rPr>
        <w:t xml:space="preserve"> (17th ed.). Association of Official Analytical Chemists.</w:t>
      </w:r>
    </w:p>
    <w:p w14:paraId="6415AD9C"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Benali, T., </w:t>
      </w:r>
      <w:proofErr w:type="spellStart"/>
      <w:r w:rsidRPr="00563F47">
        <w:rPr>
          <w:rFonts w:ascii="Arial" w:hAnsi="Arial" w:cs="Arial"/>
          <w:sz w:val="20"/>
          <w:szCs w:val="20"/>
          <w:lang w:bidi="hi-IN"/>
        </w:rPr>
        <w:t>Khabbach</w:t>
      </w:r>
      <w:proofErr w:type="spellEnd"/>
      <w:r w:rsidRPr="00563F47">
        <w:rPr>
          <w:rFonts w:ascii="Arial" w:hAnsi="Arial" w:cs="Arial"/>
          <w:sz w:val="20"/>
          <w:szCs w:val="20"/>
          <w:lang w:bidi="hi-IN"/>
        </w:rPr>
        <w:t xml:space="preserve">, A., </w:t>
      </w:r>
      <w:proofErr w:type="spellStart"/>
      <w:r w:rsidRPr="00563F47">
        <w:rPr>
          <w:rFonts w:ascii="Arial" w:hAnsi="Arial" w:cs="Arial"/>
          <w:sz w:val="20"/>
          <w:szCs w:val="20"/>
          <w:lang w:bidi="hi-IN"/>
        </w:rPr>
        <w:t>Ennabili</w:t>
      </w:r>
      <w:proofErr w:type="spellEnd"/>
      <w:r w:rsidRPr="00563F47">
        <w:rPr>
          <w:rFonts w:ascii="Arial" w:hAnsi="Arial" w:cs="Arial"/>
          <w:sz w:val="20"/>
          <w:szCs w:val="20"/>
          <w:lang w:bidi="hi-IN"/>
        </w:rPr>
        <w:t xml:space="preserve">, A., &amp; </w:t>
      </w:r>
      <w:proofErr w:type="spellStart"/>
      <w:r w:rsidRPr="00563F47">
        <w:rPr>
          <w:rFonts w:ascii="Arial" w:hAnsi="Arial" w:cs="Arial"/>
          <w:sz w:val="20"/>
          <w:szCs w:val="20"/>
          <w:lang w:bidi="hi-IN"/>
        </w:rPr>
        <w:t>Hammani</w:t>
      </w:r>
      <w:proofErr w:type="spellEnd"/>
      <w:r w:rsidRPr="00563F47">
        <w:rPr>
          <w:rFonts w:ascii="Arial" w:hAnsi="Arial" w:cs="Arial"/>
          <w:sz w:val="20"/>
          <w:szCs w:val="20"/>
          <w:lang w:bidi="hi-IN"/>
        </w:rPr>
        <w:t xml:space="preserve">, K. (2019). Ethnopharmacological prospecting of medicinal plants from the province of </w:t>
      </w:r>
      <w:proofErr w:type="spellStart"/>
      <w:r w:rsidRPr="00563F47">
        <w:rPr>
          <w:rFonts w:ascii="Arial" w:hAnsi="Arial" w:cs="Arial"/>
          <w:sz w:val="20"/>
          <w:szCs w:val="20"/>
          <w:lang w:bidi="hi-IN"/>
        </w:rPr>
        <w:t>Guercif</w:t>
      </w:r>
      <w:proofErr w:type="spellEnd"/>
      <w:r w:rsidRPr="00563F47">
        <w:rPr>
          <w:rFonts w:ascii="Arial" w:hAnsi="Arial" w:cs="Arial"/>
          <w:sz w:val="20"/>
          <w:szCs w:val="20"/>
          <w:lang w:bidi="hi-IN"/>
        </w:rPr>
        <w:t xml:space="preserve"> (NE of Morocco). </w:t>
      </w:r>
      <w:r w:rsidRPr="00563F47">
        <w:rPr>
          <w:rStyle w:val="a5"/>
          <w:rFonts w:ascii="Arial" w:hAnsi="Arial" w:cs="Arial"/>
          <w:sz w:val="20"/>
          <w:szCs w:val="20"/>
          <w:lang w:bidi="hi-IN"/>
        </w:rPr>
        <w:t>Journal Name, 14</w:t>
      </w:r>
      <w:r w:rsidRPr="00563F47">
        <w:rPr>
          <w:rFonts w:ascii="Arial" w:hAnsi="Arial" w:cs="Arial"/>
          <w:sz w:val="20"/>
          <w:szCs w:val="20"/>
          <w:lang w:bidi="hi-IN"/>
        </w:rPr>
        <w:t xml:space="preserve">, 1–14. </w:t>
      </w:r>
      <w:hyperlink r:id="rId14" w:history="1">
        <w:r w:rsidRPr="00563F47">
          <w:rPr>
            <w:rStyle w:val="Hyperlink"/>
            <w:rFonts w:ascii="Arial" w:hAnsi="Arial" w:cs="Arial"/>
            <w:sz w:val="20"/>
            <w:szCs w:val="20"/>
            <w:lang w:bidi="hi-IN"/>
          </w:rPr>
          <w:t>https://bit.ly/3nRlRJi</w:t>
        </w:r>
      </w:hyperlink>
    </w:p>
    <w:p w14:paraId="2EB2134A" w14:textId="77777777" w:rsidR="00563F47" w:rsidRPr="00563F47" w:rsidRDefault="00563F47" w:rsidP="00563F47">
      <w:pPr>
        <w:rPr>
          <w:rFonts w:ascii="Arial" w:hAnsi="Arial" w:cs="Arial"/>
          <w:sz w:val="20"/>
          <w:szCs w:val="20"/>
        </w:rPr>
      </w:pPr>
      <w:r w:rsidRPr="00563F47">
        <w:rPr>
          <w:rFonts w:ascii="Arial" w:hAnsi="Arial" w:cs="Arial"/>
          <w:sz w:val="20"/>
          <w:szCs w:val="20"/>
        </w:rPr>
        <w:t xml:space="preserve">Bordoloi, R., Ahmed, N. S., Dora, K. C., &amp; Chowdhury, S. (2017). Effect of cooking on antioxidant and antimicrobial property of spices. </w:t>
      </w:r>
      <w:proofErr w:type="spellStart"/>
      <w:r w:rsidRPr="00563F47">
        <w:rPr>
          <w:rFonts w:ascii="Arial" w:hAnsi="Arial" w:cs="Arial"/>
          <w:i/>
          <w:iCs/>
          <w:sz w:val="20"/>
          <w:szCs w:val="20"/>
        </w:rPr>
        <w:t>Biochem</w:t>
      </w:r>
      <w:proofErr w:type="spellEnd"/>
      <w:r w:rsidRPr="00563F47">
        <w:rPr>
          <w:rFonts w:ascii="Arial" w:hAnsi="Arial" w:cs="Arial"/>
          <w:i/>
          <w:iCs/>
          <w:sz w:val="20"/>
          <w:szCs w:val="20"/>
        </w:rPr>
        <w:t>. Cell. Arch.</w:t>
      </w:r>
      <w:r w:rsidRPr="00563F47">
        <w:rPr>
          <w:rFonts w:ascii="Arial" w:hAnsi="Arial" w:cs="Arial"/>
          <w:sz w:val="20"/>
          <w:szCs w:val="20"/>
        </w:rPr>
        <w:t xml:space="preserve">, </w:t>
      </w:r>
      <w:r w:rsidRPr="00563F47">
        <w:rPr>
          <w:rFonts w:ascii="Arial" w:hAnsi="Arial" w:cs="Arial"/>
          <w:i/>
          <w:iCs/>
          <w:sz w:val="20"/>
          <w:szCs w:val="20"/>
        </w:rPr>
        <w:t>17</w:t>
      </w:r>
      <w:r w:rsidRPr="00563F47">
        <w:rPr>
          <w:rFonts w:ascii="Arial" w:hAnsi="Arial" w:cs="Arial"/>
          <w:sz w:val="20"/>
          <w:szCs w:val="20"/>
        </w:rPr>
        <w:t>(1), 361–365.</w:t>
      </w:r>
    </w:p>
    <w:p w14:paraId="009ABAA7" w14:textId="77777777" w:rsidR="00563F47" w:rsidRPr="00563F47" w:rsidRDefault="00563F47" w:rsidP="00563F47">
      <w:pPr>
        <w:pStyle w:val="a3"/>
        <w:rPr>
          <w:rFonts w:ascii="Arial" w:hAnsi="Arial" w:cs="Arial"/>
          <w:sz w:val="20"/>
          <w:szCs w:val="20"/>
          <w:lang w:bidi="hi-IN"/>
        </w:rPr>
      </w:pPr>
      <w:proofErr w:type="spellStart"/>
      <w:r w:rsidRPr="00563F47">
        <w:rPr>
          <w:rFonts w:ascii="Arial" w:hAnsi="Arial" w:cs="Arial"/>
          <w:sz w:val="20"/>
          <w:szCs w:val="20"/>
          <w:lang w:bidi="hi-IN"/>
        </w:rPr>
        <w:t>Bouayyadi</w:t>
      </w:r>
      <w:proofErr w:type="spellEnd"/>
      <w:r w:rsidRPr="00563F47">
        <w:rPr>
          <w:rFonts w:ascii="Arial" w:hAnsi="Arial" w:cs="Arial"/>
          <w:sz w:val="20"/>
          <w:szCs w:val="20"/>
          <w:lang w:bidi="hi-IN"/>
        </w:rPr>
        <w:t xml:space="preserve">, L., El </w:t>
      </w:r>
      <w:proofErr w:type="spellStart"/>
      <w:r w:rsidRPr="00563F47">
        <w:rPr>
          <w:rFonts w:ascii="Arial" w:hAnsi="Arial" w:cs="Arial"/>
          <w:sz w:val="20"/>
          <w:szCs w:val="20"/>
          <w:lang w:bidi="hi-IN"/>
        </w:rPr>
        <w:t>Hafian</w:t>
      </w:r>
      <w:proofErr w:type="spellEnd"/>
      <w:r w:rsidRPr="00563F47">
        <w:rPr>
          <w:rFonts w:ascii="Arial" w:hAnsi="Arial" w:cs="Arial"/>
          <w:sz w:val="20"/>
          <w:szCs w:val="20"/>
          <w:lang w:bidi="hi-IN"/>
        </w:rPr>
        <w:t xml:space="preserve">, M., &amp; Zidane, L. (2015). </w:t>
      </w:r>
      <w:proofErr w:type="spellStart"/>
      <w:r w:rsidRPr="00563F47">
        <w:rPr>
          <w:rFonts w:ascii="Arial" w:hAnsi="Arial" w:cs="Arial"/>
          <w:sz w:val="20"/>
          <w:szCs w:val="20"/>
          <w:lang w:bidi="hi-IN"/>
        </w:rPr>
        <w:t>Étude</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floristique</w:t>
      </w:r>
      <w:proofErr w:type="spellEnd"/>
      <w:r w:rsidRPr="00563F47">
        <w:rPr>
          <w:rFonts w:ascii="Arial" w:hAnsi="Arial" w:cs="Arial"/>
          <w:sz w:val="20"/>
          <w:szCs w:val="20"/>
          <w:lang w:bidi="hi-IN"/>
        </w:rPr>
        <w:t xml:space="preserve"> et </w:t>
      </w:r>
      <w:proofErr w:type="spellStart"/>
      <w:r w:rsidRPr="00563F47">
        <w:rPr>
          <w:rFonts w:ascii="Arial" w:hAnsi="Arial" w:cs="Arial"/>
          <w:sz w:val="20"/>
          <w:szCs w:val="20"/>
          <w:lang w:bidi="hi-IN"/>
        </w:rPr>
        <w:t>ethnobotanique</w:t>
      </w:r>
      <w:proofErr w:type="spellEnd"/>
      <w:r w:rsidRPr="00563F47">
        <w:rPr>
          <w:rFonts w:ascii="Arial" w:hAnsi="Arial" w:cs="Arial"/>
          <w:sz w:val="20"/>
          <w:szCs w:val="20"/>
          <w:lang w:bidi="hi-IN"/>
        </w:rPr>
        <w:t xml:space="preserve"> de la </w:t>
      </w:r>
      <w:proofErr w:type="spellStart"/>
      <w:r w:rsidRPr="00563F47">
        <w:rPr>
          <w:rFonts w:ascii="Arial" w:hAnsi="Arial" w:cs="Arial"/>
          <w:sz w:val="20"/>
          <w:szCs w:val="20"/>
          <w:lang w:bidi="hi-IN"/>
        </w:rPr>
        <w:t>flore</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médicinale</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dans</w:t>
      </w:r>
      <w:proofErr w:type="spellEnd"/>
      <w:r w:rsidRPr="00563F47">
        <w:rPr>
          <w:rFonts w:ascii="Arial" w:hAnsi="Arial" w:cs="Arial"/>
          <w:sz w:val="20"/>
          <w:szCs w:val="20"/>
          <w:lang w:bidi="hi-IN"/>
        </w:rPr>
        <w:t xml:space="preserve"> la </w:t>
      </w:r>
      <w:proofErr w:type="spellStart"/>
      <w:r w:rsidRPr="00563F47">
        <w:rPr>
          <w:rFonts w:ascii="Arial" w:hAnsi="Arial" w:cs="Arial"/>
          <w:sz w:val="20"/>
          <w:szCs w:val="20"/>
          <w:lang w:bidi="hi-IN"/>
        </w:rPr>
        <w:t>région</w:t>
      </w:r>
      <w:proofErr w:type="spellEnd"/>
      <w:r w:rsidRPr="00563F47">
        <w:rPr>
          <w:rFonts w:ascii="Arial" w:hAnsi="Arial" w:cs="Arial"/>
          <w:sz w:val="20"/>
          <w:szCs w:val="20"/>
          <w:lang w:bidi="hi-IN"/>
        </w:rPr>
        <w:t xml:space="preserve"> du </w:t>
      </w:r>
      <w:proofErr w:type="spellStart"/>
      <w:r w:rsidRPr="00563F47">
        <w:rPr>
          <w:rFonts w:ascii="Arial" w:hAnsi="Arial" w:cs="Arial"/>
          <w:sz w:val="20"/>
          <w:szCs w:val="20"/>
          <w:lang w:bidi="hi-IN"/>
        </w:rPr>
        <w:t>Gharb</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Maroc</w:t>
      </w:r>
      <w:proofErr w:type="spellEnd"/>
      <w:r w:rsidRPr="00563F47">
        <w:rPr>
          <w:rFonts w:ascii="Arial" w:hAnsi="Arial" w:cs="Arial"/>
          <w:sz w:val="20"/>
          <w:szCs w:val="20"/>
          <w:lang w:bidi="hi-IN"/>
        </w:rPr>
        <w:t xml:space="preserve">. </w:t>
      </w:r>
      <w:r w:rsidRPr="00563F47">
        <w:rPr>
          <w:rStyle w:val="a5"/>
          <w:rFonts w:ascii="Arial" w:hAnsi="Arial" w:cs="Arial"/>
          <w:sz w:val="20"/>
          <w:szCs w:val="20"/>
          <w:lang w:bidi="hi-IN"/>
        </w:rPr>
        <w:t>Journal of Applied Biosciences, 93</w:t>
      </w:r>
      <w:r w:rsidRPr="00563F47">
        <w:rPr>
          <w:rFonts w:ascii="Arial" w:hAnsi="Arial" w:cs="Arial"/>
          <w:sz w:val="20"/>
          <w:szCs w:val="20"/>
          <w:lang w:bidi="hi-IN"/>
        </w:rPr>
        <w:t xml:space="preserve">, 8770–8788. </w:t>
      </w:r>
      <w:hyperlink r:id="rId15" w:history="1">
        <w:r w:rsidRPr="00563F47">
          <w:rPr>
            <w:rStyle w:val="Hyperlink"/>
            <w:rFonts w:ascii="Arial" w:hAnsi="Arial" w:cs="Arial"/>
            <w:sz w:val="20"/>
            <w:szCs w:val="20"/>
            <w:lang w:bidi="hi-IN"/>
          </w:rPr>
          <w:t>https://bit.ly/2IZYKh4</w:t>
        </w:r>
      </w:hyperlink>
    </w:p>
    <w:p w14:paraId="4AF7580F" w14:textId="77777777" w:rsidR="00563F47" w:rsidRPr="00563F47" w:rsidRDefault="00563F47" w:rsidP="00563F47">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Breijyeh</w:t>
      </w:r>
      <w:proofErr w:type="spellEnd"/>
      <w:r w:rsidRPr="00563F47">
        <w:rPr>
          <w:rFonts w:ascii="Arial" w:hAnsi="Arial" w:cs="Arial"/>
          <w:bCs/>
          <w:color w:val="000000" w:themeColor="text1"/>
          <w:sz w:val="20"/>
          <w:szCs w:val="20"/>
        </w:rPr>
        <w:t>, Z., Jubeh, B., &amp; Karaman, R. (2020). Resistance of Gram-Negative Bacteria to Current Antibacterial Agents and Approaches to Resolve It. </w:t>
      </w:r>
      <w:r w:rsidRPr="00563F47">
        <w:rPr>
          <w:rFonts w:ascii="Arial" w:hAnsi="Arial" w:cs="Arial"/>
          <w:bCs/>
          <w:i/>
          <w:iCs/>
          <w:color w:val="000000" w:themeColor="text1"/>
          <w:sz w:val="20"/>
          <w:szCs w:val="20"/>
        </w:rPr>
        <w:t>Molecules (Basel, Switzerland)</w:t>
      </w:r>
      <w:r w:rsidRPr="00563F47">
        <w:rPr>
          <w:rFonts w:ascii="Arial" w:hAnsi="Arial" w:cs="Arial"/>
          <w:bCs/>
          <w:color w:val="000000" w:themeColor="text1"/>
          <w:sz w:val="20"/>
          <w:szCs w:val="20"/>
        </w:rPr>
        <w:t>, </w:t>
      </w:r>
      <w:r w:rsidRPr="00563F47">
        <w:rPr>
          <w:rFonts w:ascii="Arial" w:hAnsi="Arial" w:cs="Arial"/>
          <w:bCs/>
          <w:i/>
          <w:iCs/>
          <w:color w:val="000000" w:themeColor="text1"/>
          <w:sz w:val="20"/>
          <w:szCs w:val="20"/>
        </w:rPr>
        <w:t>25</w:t>
      </w:r>
      <w:r w:rsidRPr="00563F47">
        <w:rPr>
          <w:rFonts w:ascii="Arial" w:hAnsi="Arial" w:cs="Arial"/>
          <w:bCs/>
          <w:color w:val="000000" w:themeColor="text1"/>
          <w:sz w:val="20"/>
          <w:szCs w:val="20"/>
        </w:rPr>
        <w:t xml:space="preserve">(6), 1340. </w:t>
      </w:r>
      <w:hyperlink r:id="rId16" w:history="1">
        <w:r w:rsidRPr="00563F47">
          <w:rPr>
            <w:rStyle w:val="Hyperlink"/>
            <w:rFonts w:ascii="Arial" w:hAnsi="Arial" w:cs="Arial"/>
            <w:bCs/>
            <w:color w:val="000000" w:themeColor="text1"/>
            <w:sz w:val="20"/>
            <w:szCs w:val="20"/>
          </w:rPr>
          <w:t>https://doi.org/10.3390/molecules25061340</w:t>
        </w:r>
      </w:hyperlink>
    </w:p>
    <w:p w14:paraId="0DFA048E"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Chan, E. W. C., Lim, Y. Y., &amp; Omar, M. (2007). Antioxidant and antibacterial activity of leaves of </w:t>
      </w:r>
      <w:proofErr w:type="spellStart"/>
      <w:r w:rsidRPr="00563F47">
        <w:rPr>
          <w:rStyle w:val="a5"/>
          <w:rFonts w:ascii="Arial" w:hAnsi="Arial" w:cs="Arial"/>
          <w:sz w:val="20"/>
          <w:szCs w:val="20"/>
          <w:lang w:bidi="hi-IN"/>
        </w:rPr>
        <w:t>Etlingera</w:t>
      </w:r>
      <w:proofErr w:type="spellEnd"/>
      <w:r w:rsidRPr="00563F47">
        <w:rPr>
          <w:rFonts w:ascii="Arial" w:hAnsi="Arial" w:cs="Arial"/>
          <w:sz w:val="20"/>
          <w:szCs w:val="20"/>
          <w:lang w:bidi="hi-IN"/>
        </w:rPr>
        <w:t xml:space="preserve"> species (</w:t>
      </w:r>
      <w:proofErr w:type="spellStart"/>
      <w:r w:rsidRPr="00563F47">
        <w:rPr>
          <w:rFonts w:ascii="Arial" w:hAnsi="Arial" w:cs="Arial"/>
          <w:sz w:val="20"/>
          <w:szCs w:val="20"/>
          <w:lang w:bidi="hi-IN"/>
        </w:rPr>
        <w:t>Zingiberaceae</w:t>
      </w:r>
      <w:proofErr w:type="spellEnd"/>
      <w:r w:rsidRPr="00563F47">
        <w:rPr>
          <w:rFonts w:ascii="Arial" w:hAnsi="Arial" w:cs="Arial"/>
          <w:sz w:val="20"/>
          <w:szCs w:val="20"/>
          <w:lang w:bidi="hi-IN"/>
        </w:rPr>
        <w:t xml:space="preserve">) in Peninsular Malaysia. </w:t>
      </w:r>
      <w:r w:rsidRPr="00563F47">
        <w:rPr>
          <w:rStyle w:val="a5"/>
          <w:rFonts w:ascii="Arial" w:hAnsi="Arial" w:cs="Arial"/>
          <w:sz w:val="20"/>
          <w:szCs w:val="20"/>
          <w:lang w:bidi="hi-IN"/>
        </w:rPr>
        <w:t>Food Chemistry, 104</w:t>
      </w:r>
      <w:r w:rsidRPr="00563F47">
        <w:rPr>
          <w:rFonts w:ascii="Arial" w:hAnsi="Arial" w:cs="Arial"/>
          <w:sz w:val="20"/>
          <w:szCs w:val="20"/>
          <w:lang w:bidi="hi-IN"/>
        </w:rPr>
        <w:t>(4), 1586–1593.</w:t>
      </w:r>
    </w:p>
    <w:p w14:paraId="4B8D7701"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Chin, L., </w:t>
      </w:r>
      <w:proofErr w:type="spellStart"/>
      <w:r w:rsidRPr="00563F47">
        <w:rPr>
          <w:rFonts w:ascii="Arial" w:hAnsi="Arial" w:cs="Arial"/>
          <w:sz w:val="20"/>
          <w:szCs w:val="20"/>
          <w:lang w:bidi="hi-IN"/>
        </w:rPr>
        <w:t>Therdthai</w:t>
      </w:r>
      <w:proofErr w:type="spellEnd"/>
      <w:r w:rsidRPr="00563F47">
        <w:rPr>
          <w:rFonts w:ascii="Arial" w:hAnsi="Arial" w:cs="Arial"/>
          <w:sz w:val="20"/>
          <w:szCs w:val="20"/>
          <w:lang w:bidi="hi-IN"/>
        </w:rPr>
        <w:t xml:space="preserve">, N., &amp; </w:t>
      </w:r>
      <w:proofErr w:type="spellStart"/>
      <w:r w:rsidRPr="00563F47">
        <w:rPr>
          <w:rFonts w:ascii="Arial" w:hAnsi="Arial" w:cs="Arial"/>
          <w:sz w:val="20"/>
          <w:szCs w:val="20"/>
          <w:lang w:bidi="hi-IN"/>
        </w:rPr>
        <w:t>Ratphitagsanti</w:t>
      </w:r>
      <w:proofErr w:type="spellEnd"/>
      <w:r w:rsidRPr="00563F47">
        <w:rPr>
          <w:rFonts w:ascii="Arial" w:hAnsi="Arial" w:cs="Arial"/>
          <w:sz w:val="20"/>
          <w:szCs w:val="20"/>
          <w:lang w:bidi="hi-IN"/>
        </w:rPr>
        <w:t>, W. (2022). Effect of conventional and microwave cooking conditions on quality and antioxidant activity of Chinese kale (</w:t>
      </w:r>
      <w:r w:rsidRPr="00563F47">
        <w:rPr>
          <w:rStyle w:val="a5"/>
          <w:rFonts w:ascii="Arial" w:hAnsi="Arial" w:cs="Arial"/>
          <w:sz w:val="20"/>
          <w:szCs w:val="20"/>
          <w:lang w:bidi="hi-IN"/>
        </w:rPr>
        <w:t xml:space="preserve">Brassica </w:t>
      </w:r>
      <w:proofErr w:type="spellStart"/>
      <w:r w:rsidRPr="00563F47">
        <w:rPr>
          <w:rStyle w:val="a5"/>
          <w:rFonts w:ascii="Arial" w:hAnsi="Arial" w:cs="Arial"/>
          <w:sz w:val="20"/>
          <w:szCs w:val="20"/>
          <w:lang w:bidi="hi-IN"/>
        </w:rPr>
        <w:t>alboglabra</w:t>
      </w:r>
      <w:proofErr w:type="spellEnd"/>
      <w:r w:rsidRPr="00563F47">
        <w:rPr>
          <w:rFonts w:ascii="Arial" w:hAnsi="Arial" w:cs="Arial"/>
          <w:sz w:val="20"/>
          <w:szCs w:val="20"/>
          <w:lang w:bidi="hi-IN"/>
        </w:rPr>
        <w:t xml:space="preserve">). </w:t>
      </w:r>
      <w:r w:rsidRPr="00563F47">
        <w:rPr>
          <w:rStyle w:val="a5"/>
          <w:rFonts w:ascii="Arial" w:hAnsi="Arial" w:cs="Arial"/>
          <w:sz w:val="20"/>
          <w:szCs w:val="20"/>
          <w:lang w:bidi="hi-IN"/>
        </w:rPr>
        <w:t>Applied Food Research, 2</w:t>
      </w:r>
      <w:r w:rsidRPr="00563F47">
        <w:rPr>
          <w:rFonts w:ascii="Arial" w:hAnsi="Arial" w:cs="Arial"/>
          <w:sz w:val="20"/>
          <w:szCs w:val="20"/>
          <w:lang w:bidi="hi-IN"/>
        </w:rPr>
        <w:t xml:space="preserve">(1). </w:t>
      </w:r>
      <w:hyperlink r:id="rId17" w:history="1">
        <w:r w:rsidRPr="00563F47">
          <w:rPr>
            <w:rStyle w:val="Hyperlink"/>
            <w:rFonts w:ascii="Arial" w:hAnsi="Arial" w:cs="Arial"/>
            <w:sz w:val="20"/>
            <w:szCs w:val="20"/>
            <w:lang w:bidi="hi-IN"/>
          </w:rPr>
          <w:t>https://doi.org/10.1016/j.afres.2022.100079</w:t>
        </w:r>
      </w:hyperlink>
    </w:p>
    <w:p w14:paraId="0D1B3CC7" w14:textId="77777777" w:rsidR="00563F47" w:rsidRPr="00563F47" w:rsidRDefault="00563F47" w:rsidP="00563F47">
      <w:pPr>
        <w:widowControl w:val="0"/>
        <w:spacing w:before="100" w:after="100" w:line="240" w:lineRule="auto"/>
        <w:jc w:val="both"/>
        <w:rPr>
          <w:rFonts w:ascii="Arial" w:hAnsi="Arial" w:cs="Arial"/>
          <w:color w:val="000000" w:themeColor="text1"/>
          <w:sz w:val="20"/>
          <w:szCs w:val="20"/>
          <w:lang w:bidi="hi-IN"/>
        </w:rPr>
      </w:pPr>
      <w:r w:rsidRPr="00563F47">
        <w:rPr>
          <w:rFonts w:ascii="Arial" w:hAnsi="Arial" w:cs="Arial"/>
          <w:color w:val="000000" w:themeColor="text1"/>
          <w:sz w:val="20"/>
          <w:szCs w:val="20"/>
          <w:lang w:bidi="hi-IN"/>
        </w:rPr>
        <w:t xml:space="preserve">de Lima, A.C.S.; da Rocha Viana, J.D.; de Sousa Sabino, L.B.; da Silva, L.M.R.; da Silva, N.K.V.; de Sousa, P.H.M. Processing of three different cooking methods of cassava: Effects on in vitro </w:t>
      </w:r>
      <w:proofErr w:type="spellStart"/>
      <w:r w:rsidRPr="00563F47">
        <w:rPr>
          <w:rFonts w:ascii="Arial" w:hAnsi="Arial" w:cs="Arial"/>
          <w:color w:val="000000" w:themeColor="text1"/>
          <w:sz w:val="20"/>
          <w:szCs w:val="20"/>
          <w:lang w:bidi="hi-IN"/>
        </w:rPr>
        <w:t>bioaccessibility</w:t>
      </w:r>
      <w:proofErr w:type="spellEnd"/>
      <w:r w:rsidRPr="00563F47">
        <w:rPr>
          <w:rFonts w:ascii="Arial" w:hAnsi="Arial" w:cs="Arial"/>
          <w:color w:val="000000" w:themeColor="text1"/>
          <w:sz w:val="20"/>
          <w:szCs w:val="20"/>
          <w:lang w:bidi="hi-IN"/>
        </w:rPr>
        <w:t xml:space="preserve"> of phenolic compounds and antioxidant activity. </w:t>
      </w:r>
      <w:r w:rsidRPr="00563F47">
        <w:rPr>
          <w:rFonts w:ascii="Arial" w:hAnsi="Arial" w:cs="Arial"/>
          <w:i/>
          <w:iCs/>
          <w:color w:val="000000" w:themeColor="text1"/>
          <w:sz w:val="20"/>
          <w:szCs w:val="20"/>
          <w:lang w:bidi="hi-IN"/>
        </w:rPr>
        <w:t>LWT—Food Sci. Technol.</w:t>
      </w:r>
      <w:r w:rsidRPr="00563F47">
        <w:rPr>
          <w:rFonts w:ascii="Arial" w:hAnsi="Arial" w:cs="Arial"/>
          <w:color w:val="000000" w:themeColor="text1"/>
          <w:sz w:val="20"/>
          <w:szCs w:val="20"/>
          <w:lang w:bidi="hi-IN"/>
        </w:rPr>
        <w:t> </w:t>
      </w:r>
      <w:r w:rsidRPr="00563F47">
        <w:rPr>
          <w:rFonts w:ascii="Arial" w:hAnsi="Arial" w:cs="Arial"/>
          <w:bCs/>
          <w:color w:val="000000" w:themeColor="text1"/>
          <w:sz w:val="20"/>
          <w:szCs w:val="20"/>
          <w:lang w:bidi="hi-IN"/>
        </w:rPr>
        <w:t>2017</w:t>
      </w:r>
      <w:r w:rsidRPr="00563F47">
        <w:rPr>
          <w:rFonts w:ascii="Arial" w:hAnsi="Arial" w:cs="Arial"/>
          <w:color w:val="000000" w:themeColor="text1"/>
          <w:sz w:val="20"/>
          <w:szCs w:val="20"/>
          <w:lang w:bidi="hi-IN"/>
        </w:rPr>
        <w:t>, </w:t>
      </w:r>
      <w:r w:rsidRPr="00563F47">
        <w:rPr>
          <w:rFonts w:ascii="Arial" w:hAnsi="Arial" w:cs="Arial"/>
          <w:i/>
          <w:iCs/>
          <w:color w:val="000000" w:themeColor="text1"/>
          <w:sz w:val="20"/>
          <w:szCs w:val="20"/>
          <w:lang w:bidi="hi-IN"/>
        </w:rPr>
        <w:t>76</w:t>
      </w:r>
      <w:r w:rsidRPr="00563F47">
        <w:rPr>
          <w:rFonts w:ascii="Arial" w:hAnsi="Arial" w:cs="Arial"/>
          <w:color w:val="000000" w:themeColor="text1"/>
          <w:sz w:val="20"/>
          <w:szCs w:val="20"/>
          <w:lang w:bidi="hi-IN"/>
        </w:rPr>
        <w:t xml:space="preserve">, 253–258. </w:t>
      </w:r>
    </w:p>
    <w:p w14:paraId="68F768D8" w14:textId="77777777" w:rsidR="00563F47" w:rsidRPr="00563F47" w:rsidRDefault="00563F47" w:rsidP="00563F47">
      <w:pPr>
        <w:pStyle w:val="a3"/>
        <w:rPr>
          <w:rFonts w:ascii="Arial" w:hAnsi="Arial" w:cs="Arial"/>
          <w:sz w:val="20"/>
          <w:szCs w:val="20"/>
        </w:rPr>
      </w:pPr>
      <w:r w:rsidRPr="00563F47">
        <w:rPr>
          <w:rFonts w:ascii="Arial" w:hAnsi="Arial" w:cs="Arial"/>
          <w:sz w:val="20"/>
          <w:szCs w:val="20"/>
          <w:lang w:bidi="hi-IN"/>
        </w:rPr>
        <w:t xml:space="preserve">Deuschle, R. A. N., Deuschle, V. C. K. N., </w:t>
      </w:r>
      <w:proofErr w:type="spellStart"/>
      <w:r w:rsidRPr="00563F47">
        <w:rPr>
          <w:rFonts w:ascii="Arial" w:hAnsi="Arial" w:cs="Arial"/>
          <w:sz w:val="20"/>
          <w:szCs w:val="20"/>
          <w:lang w:bidi="hi-IN"/>
        </w:rPr>
        <w:t>Bonfanti-Azzolin</w:t>
      </w:r>
      <w:proofErr w:type="spellEnd"/>
      <w:r w:rsidRPr="00563F47">
        <w:rPr>
          <w:rFonts w:ascii="Arial" w:hAnsi="Arial" w:cs="Arial"/>
          <w:sz w:val="20"/>
          <w:szCs w:val="20"/>
          <w:lang w:bidi="hi-IN"/>
        </w:rPr>
        <w:t xml:space="preserve">, G., De Oliveira, J. S., </w:t>
      </w:r>
      <w:proofErr w:type="spellStart"/>
      <w:r w:rsidRPr="00563F47">
        <w:rPr>
          <w:rFonts w:ascii="Arial" w:hAnsi="Arial" w:cs="Arial"/>
          <w:sz w:val="20"/>
          <w:szCs w:val="20"/>
          <w:lang w:bidi="hi-IN"/>
        </w:rPr>
        <w:t>Sostisso</w:t>
      </w:r>
      <w:proofErr w:type="spellEnd"/>
      <w:r w:rsidRPr="00563F47">
        <w:rPr>
          <w:rFonts w:ascii="Arial" w:hAnsi="Arial" w:cs="Arial"/>
          <w:sz w:val="20"/>
          <w:szCs w:val="20"/>
          <w:lang w:bidi="hi-IN"/>
        </w:rPr>
        <w:t xml:space="preserve">, Q. C. B., Goulart, J. D. S., Mayer, M. S., Horn, R. C., &amp; Golle, D. P. (2018). Phytochemical screening and antioxidant activity of </w:t>
      </w:r>
      <w:proofErr w:type="spellStart"/>
      <w:r w:rsidRPr="00563F47">
        <w:rPr>
          <w:rStyle w:val="a5"/>
          <w:rFonts w:ascii="Arial" w:hAnsi="Arial" w:cs="Arial"/>
          <w:sz w:val="20"/>
          <w:szCs w:val="20"/>
          <w:lang w:bidi="hi-IN"/>
        </w:rPr>
        <w:t>Origanum</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majorana</w:t>
      </w:r>
      <w:proofErr w:type="spellEnd"/>
      <w:r w:rsidRPr="00563F47">
        <w:rPr>
          <w:rFonts w:ascii="Arial" w:hAnsi="Arial" w:cs="Arial"/>
          <w:sz w:val="20"/>
          <w:szCs w:val="20"/>
          <w:lang w:bidi="hi-IN"/>
        </w:rPr>
        <w:t xml:space="preserve"> against oxidative stress biomarkers. </w:t>
      </w:r>
      <w:r w:rsidRPr="00563F47">
        <w:rPr>
          <w:rStyle w:val="a5"/>
          <w:rFonts w:ascii="Arial" w:hAnsi="Arial" w:cs="Arial"/>
          <w:sz w:val="20"/>
          <w:szCs w:val="20"/>
          <w:lang w:bidi="hi-IN"/>
        </w:rPr>
        <w:t>Journal of Agricultural Science, 10</w:t>
      </w:r>
      <w:r w:rsidRPr="00563F47">
        <w:rPr>
          <w:rFonts w:ascii="Arial" w:hAnsi="Arial" w:cs="Arial"/>
          <w:sz w:val="20"/>
          <w:szCs w:val="20"/>
          <w:lang w:bidi="hi-IN"/>
        </w:rPr>
        <w:t xml:space="preserve">(12), 395. </w:t>
      </w:r>
      <w:hyperlink r:id="rId18" w:history="1">
        <w:r w:rsidRPr="00563F47">
          <w:rPr>
            <w:rStyle w:val="Hyperlink"/>
            <w:rFonts w:ascii="Arial" w:hAnsi="Arial" w:cs="Arial"/>
            <w:sz w:val="20"/>
            <w:szCs w:val="20"/>
            <w:lang w:bidi="hi-IN"/>
          </w:rPr>
          <w:t>https://doi.org/10.5539/jas.v10n12p395</w:t>
        </w:r>
      </w:hyperlink>
    </w:p>
    <w:p w14:paraId="767E1C67" w14:textId="77777777" w:rsidR="00563F47" w:rsidRPr="00563F47" w:rsidRDefault="00563F47" w:rsidP="00563F47">
      <w:pPr>
        <w:pStyle w:val="a3"/>
        <w:rPr>
          <w:rFonts w:ascii="Arial" w:hAnsi="Arial" w:cs="Arial"/>
          <w:sz w:val="20"/>
          <w:szCs w:val="20"/>
          <w:lang w:bidi="hi-IN"/>
        </w:rPr>
      </w:pPr>
      <w:proofErr w:type="spellStart"/>
      <w:r w:rsidRPr="00563F47">
        <w:rPr>
          <w:rFonts w:ascii="Arial" w:hAnsi="Arial" w:cs="Arial"/>
          <w:sz w:val="20"/>
          <w:szCs w:val="20"/>
          <w:lang w:bidi="hi-IN"/>
        </w:rPr>
        <w:t>Ennacerie</w:t>
      </w:r>
      <w:proofErr w:type="spellEnd"/>
      <w:r w:rsidRPr="00563F47">
        <w:rPr>
          <w:rFonts w:ascii="Arial" w:hAnsi="Arial" w:cs="Arial"/>
          <w:sz w:val="20"/>
          <w:szCs w:val="20"/>
          <w:lang w:bidi="hi-IN"/>
        </w:rPr>
        <w:t xml:space="preserve">, F. Z., </w:t>
      </w:r>
      <w:proofErr w:type="spellStart"/>
      <w:r w:rsidRPr="00563F47">
        <w:rPr>
          <w:rFonts w:ascii="Arial" w:hAnsi="Arial" w:cs="Arial"/>
          <w:sz w:val="20"/>
          <w:szCs w:val="20"/>
          <w:lang w:bidi="hi-IN"/>
        </w:rPr>
        <w:t>Rhazi</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Filali</w:t>
      </w:r>
      <w:proofErr w:type="spellEnd"/>
      <w:r w:rsidRPr="00563F47">
        <w:rPr>
          <w:rFonts w:ascii="Arial" w:hAnsi="Arial" w:cs="Arial"/>
          <w:sz w:val="20"/>
          <w:szCs w:val="20"/>
          <w:lang w:bidi="hi-IN"/>
        </w:rPr>
        <w:t xml:space="preserve">, F. F., &amp; Abdelilah, R. (2017). Ethnobotanical study of medicinal plants used in traditional medicine in the province of Sidi Kacem, Morocco. </w:t>
      </w:r>
      <w:r w:rsidRPr="00563F47">
        <w:rPr>
          <w:rStyle w:val="a5"/>
          <w:rFonts w:ascii="Arial" w:hAnsi="Arial" w:cs="Arial"/>
          <w:sz w:val="20"/>
          <w:szCs w:val="20"/>
          <w:lang w:bidi="hi-IN"/>
        </w:rPr>
        <w:t>Asian Journal of Pharmaceutical and Clinical Research, 10</w:t>
      </w:r>
      <w:r w:rsidRPr="00563F47">
        <w:rPr>
          <w:rFonts w:ascii="Arial" w:hAnsi="Arial" w:cs="Arial"/>
          <w:sz w:val="20"/>
          <w:szCs w:val="20"/>
          <w:lang w:bidi="hi-IN"/>
        </w:rPr>
        <w:t xml:space="preserve">, 121–130. </w:t>
      </w:r>
      <w:hyperlink r:id="rId19" w:history="1">
        <w:r w:rsidRPr="00563F47">
          <w:rPr>
            <w:rStyle w:val="Hyperlink"/>
            <w:rFonts w:ascii="Arial" w:hAnsi="Arial" w:cs="Arial"/>
            <w:sz w:val="20"/>
            <w:szCs w:val="20"/>
            <w:lang w:bidi="hi-IN"/>
          </w:rPr>
          <w:t>https://bit.ly/33hyDJn</w:t>
        </w:r>
      </w:hyperlink>
    </w:p>
    <w:p w14:paraId="5F1497DF" w14:textId="77777777" w:rsidR="00563F47" w:rsidRPr="00563F47" w:rsidRDefault="00563F47" w:rsidP="00563F47">
      <w:pPr>
        <w:pStyle w:val="a3"/>
        <w:rPr>
          <w:rFonts w:ascii="Arial" w:hAnsi="Arial" w:cs="Arial"/>
          <w:sz w:val="20"/>
          <w:szCs w:val="20"/>
          <w:lang w:bidi="hi-IN"/>
        </w:rPr>
      </w:pPr>
      <w:proofErr w:type="spellStart"/>
      <w:r w:rsidRPr="00563F47">
        <w:rPr>
          <w:rFonts w:ascii="Arial" w:hAnsi="Arial" w:cs="Arial"/>
          <w:sz w:val="20"/>
          <w:szCs w:val="20"/>
          <w:lang w:bidi="hi-IN"/>
        </w:rPr>
        <w:lastRenderedPageBreak/>
        <w:t>Etu</w:t>
      </w:r>
      <w:proofErr w:type="spellEnd"/>
      <w:r w:rsidRPr="00563F47">
        <w:rPr>
          <w:rFonts w:ascii="Arial" w:hAnsi="Arial" w:cs="Arial"/>
          <w:sz w:val="20"/>
          <w:szCs w:val="20"/>
          <w:lang w:bidi="hi-IN"/>
        </w:rPr>
        <w:t xml:space="preserve">, R., </w:t>
      </w:r>
      <w:proofErr w:type="spellStart"/>
      <w:r w:rsidRPr="00563F47">
        <w:rPr>
          <w:rFonts w:ascii="Arial" w:hAnsi="Arial" w:cs="Arial"/>
          <w:sz w:val="20"/>
          <w:szCs w:val="20"/>
          <w:lang w:bidi="hi-IN"/>
        </w:rPr>
        <w:t>Offia-Olua</w:t>
      </w:r>
      <w:proofErr w:type="spellEnd"/>
      <w:r w:rsidRPr="00563F47">
        <w:rPr>
          <w:rFonts w:ascii="Arial" w:hAnsi="Arial" w:cs="Arial"/>
          <w:sz w:val="20"/>
          <w:szCs w:val="20"/>
          <w:lang w:bidi="hi-IN"/>
        </w:rPr>
        <w:t xml:space="preserve">, B., &amp; </w:t>
      </w:r>
      <w:proofErr w:type="spellStart"/>
      <w:r w:rsidRPr="00563F47">
        <w:rPr>
          <w:rFonts w:ascii="Arial" w:hAnsi="Arial" w:cs="Arial"/>
          <w:sz w:val="20"/>
          <w:szCs w:val="20"/>
          <w:lang w:bidi="hi-IN"/>
        </w:rPr>
        <w:t>Ukom</w:t>
      </w:r>
      <w:proofErr w:type="spellEnd"/>
      <w:r w:rsidRPr="00563F47">
        <w:rPr>
          <w:rFonts w:ascii="Arial" w:hAnsi="Arial" w:cs="Arial"/>
          <w:sz w:val="20"/>
          <w:szCs w:val="20"/>
          <w:lang w:bidi="hi-IN"/>
        </w:rPr>
        <w:t xml:space="preserve">, A. (2024). Fermentation and sautéing enhance physicochemical properties, carotenoids, and antioxidant activity of some food vegetables. </w:t>
      </w:r>
      <w:r w:rsidRPr="00563F47">
        <w:rPr>
          <w:rStyle w:val="a5"/>
          <w:rFonts w:ascii="Arial" w:hAnsi="Arial" w:cs="Arial"/>
          <w:sz w:val="20"/>
          <w:szCs w:val="20"/>
          <w:lang w:bidi="hi-IN"/>
        </w:rPr>
        <w:t>Measurement: Food</w:t>
      </w:r>
      <w:r w:rsidRPr="00563F47">
        <w:rPr>
          <w:rFonts w:ascii="Arial" w:hAnsi="Arial" w:cs="Arial"/>
          <w:sz w:val="20"/>
          <w:szCs w:val="20"/>
          <w:lang w:bidi="hi-IN"/>
        </w:rPr>
        <w:t xml:space="preserve">. </w:t>
      </w:r>
      <w:hyperlink r:id="rId20" w:history="1">
        <w:r w:rsidRPr="00563F47">
          <w:rPr>
            <w:rStyle w:val="Hyperlink"/>
            <w:rFonts w:ascii="Arial" w:hAnsi="Arial" w:cs="Arial"/>
            <w:sz w:val="20"/>
            <w:szCs w:val="20"/>
            <w:lang w:bidi="hi-IN"/>
          </w:rPr>
          <w:t>https://doi.org/10.1016/j.meafoo.2024.100177</w:t>
        </w:r>
      </w:hyperlink>
    </w:p>
    <w:p w14:paraId="34133AFA"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Evans, W. C. (1978). </w:t>
      </w:r>
      <w:r w:rsidRPr="00563F47">
        <w:rPr>
          <w:rStyle w:val="a5"/>
          <w:rFonts w:ascii="Arial" w:hAnsi="Arial" w:cs="Arial"/>
          <w:sz w:val="20"/>
          <w:szCs w:val="20"/>
          <w:lang w:bidi="hi-IN"/>
        </w:rPr>
        <w:t>Trease and Evans’ pharmacognosy</w:t>
      </w:r>
      <w:r w:rsidRPr="00563F47">
        <w:rPr>
          <w:rFonts w:ascii="Arial" w:hAnsi="Arial" w:cs="Arial"/>
          <w:sz w:val="20"/>
          <w:szCs w:val="20"/>
          <w:lang w:bidi="hi-IN"/>
        </w:rPr>
        <w:t xml:space="preserve">. </w:t>
      </w:r>
      <w:hyperlink r:id="rId21" w:history="1">
        <w:r w:rsidRPr="00563F47">
          <w:rPr>
            <w:rStyle w:val="Hyperlink"/>
            <w:rFonts w:ascii="Arial" w:hAnsi="Arial" w:cs="Arial"/>
            <w:sz w:val="20"/>
            <w:szCs w:val="20"/>
            <w:lang w:bidi="hi-IN"/>
          </w:rPr>
          <w:t>https://182.160.97.198:8080/xmlui/handle/123456789/547</w:t>
        </w:r>
      </w:hyperlink>
    </w:p>
    <w:p w14:paraId="60CA510D"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Fisher, D. D. (1968). Protein staining of </w:t>
      </w:r>
      <w:proofErr w:type="spellStart"/>
      <w:r w:rsidRPr="00563F47">
        <w:rPr>
          <w:rFonts w:ascii="Arial" w:hAnsi="Arial" w:cs="Arial"/>
          <w:sz w:val="20"/>
          <w:szCs w:val="20"/>
          <w:lang w:bidi="hi-IN"/>
        </w:rPr>
        <w:t>ribboned</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epon</w:t>
      </w:r>
      <w:proofErr w:type="spellEnd"/>
      <w:r w:rsidRPr="00563F47">
        <w:rPr>
          <w:rFonts w:ascii="Arial" w:hAnsi="Arial" w:cs="Arial"/>
          <w:sz w:val="20"/>
          <w:szCs w:val="20"/>
          <w:lang w:bidi="hi-IN"/>
        </w:rPr>
        <w:t xml:space="preserve"> sections for light microscopy. </w:t>
      </w:r>
      <w:r w:rsidRPr="00563F47">
        <w:rPr>
          <w:rStyle w:val="a5"/>
          <w:rFonts w:ascii="Arial" w:hAnsi="Arial" w:cs="Arial"/>
          <w:sz w:val="20"/>
          <w:szCs w:val="20"/>
          <w:lang w:bidi="hi-IN"/>
        </w:rPr>
        <w:t>Histochemistry, 16</w:t>
      </w:r>
      <w:r w:rsidRPr="00563F47">
        <w:rPr>
          <w:rFonts w:ascii="Arial" w:hAnsi="Arial" w:cs="Arial"/>
          <w:sz w:val="20"/>
          <w:szCs w:val="20"/>
          <w:lang w:bidi="hi-IN"/>
        </w:rPr>
        <w:t>, 81–96.</w:t>
      </w:r>
    </w:p>
    <w:p w14:paraId="4C943D75"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Gahan, P. B. (1984). </w:t>
      </w:r>
      <w:r w:rsidRPr="00563F47">
        <w:rPr>
          <w:rStyle w:val="a5"/>
          <w:rFonts w:ascii="Arial" w:hAnsi="Arial" w:cs="Arial"/>
          <w:sz w:val="20"/>
          <w:szCs w:val="20"/>
          <w:lang w:bidi="hi-IN"/>
        </w:rPr>
        <w:t>Plant histochemistry and cytochemistry: An introduction</w:t>
      </w:r>
      <w:r w:rsidRPr="00563F47">
        <w:rPr>
          <w:rFonts w:ascii="Arial" w:hAnsi="Arial" w:cs="Arial"/>
          <w:sz w:val="20"/>
          <w:szCs w:val="20"/>
          <w:lang w:bidi="hi-IN"/>
        </w:rPr>
        <w:t>. Academic Press.</w:t>
      </w:r>
    </w:p>
    <w:p w14:paraId="6E069442" w14:textId="77777777" w:rsidR="00563F47" w:rsidRPr="00563F47" w:rsidRDefault="00563F47" w:rsidP="00563F47">
      <w:pPr>
        <w:spacing w:before="235" w:line="240" w:lineRule="auto"/>
        <w:ind w:right="142"/>
        <w:jc w:val="both"/>
        <w:rPr>
          <w:rFonts w:ascii="Arial" w:hAnsi="Arial" w:cs="Arial"/>
          <w:sz w:val="20"/>
          <w:szCs w:val="20"/>
        </w:rPr>
      </w:pPr>
      <w:r w:rsidRPr="00563F47">
        <w:rPr>
          <w:rFonts w:ascii="Arial" w:hAnsi="Arial" w:cs="Arial"/>
          <w:sz w:val="20"/>
          <w:szCs w:val="20"/>
        </w:rPr>
        <w:t xml:space="preserve">Geetha, K., </w:t>
      </w:r>
      <w:proofErr w:type="spellStart"/>
      <w:r w:rsidRPr="00563F47">
        <w:rPr>
          <w:rFonts w:ascii="Arial" w:hAnsi="Arial" w:cs="Arial"/>
          <w:sz w:val="20"/>
          <w:szCs w:val="20"/>
        </w:rPr>
        <w:t>Hulamani</w:t>
      </w:r>
      <w:proofErr w:type="spellEnd"/>
      <w:r w:rsidRPr="00563F47">
        <w:rPr>
          <w:rFonts w:ascii="Arial" w:hAnsi="Arial" w:cs="Arial"/>
          <w:sz w:val="20"/>
          <w:szCs w:val="20"/>
        </w:rPr>
        <w:t xml:space="preserve">, S., &amp; </w:t>
      </w:r>
      <w:proofErr w:type="spellStart"/>
      <w:r w:rsidRPr="00563F47">
        <w:rPr>
          <w:rFonts w:ascii="Arial" w:hAnsi="Arial" w:cs="Arial"/>
          <w:sz w:val="20"/>
          <w:szCs w:val="20"/>
        </w:rPr>
        <w:t>Shivaleela</w:t>
      </w:r>
      <w:proofErr w:type="spellEnd"/>
      <w:r w:rsidRPr="00563F47">
        <w:rPr>
          <w:rFonts w:ascii="Arial" w:hAnsi="Arial" w:cs="Arial"/>
          <w:sz w:val="20"/>
          <w:szCs w:val="20"/>
        </w:rPr>
        <w:t xml:space="preserve">, H. (2018). Effect of cooking on total antioxidant activity, polyphenols and </w:t>
      </w:r>
      <w:proofErr w:type="spellStart"/>
      <w:r w:rsidRPr="00563F47">
        <w:rPr>
          <w:rFonts w:ascii="Arial" w:hAnsi="Arial" w:cs="Arial"/>
          <w:sz w:val="20"/>
          <w:szCs w:val="20"/>
        </w:rPr>
        <w:t>flavanoid</w:t>
      </w:r>
      <w:proofErr w:type="spellEnd"/>
      <w:r w:rsidRPr="00563F47">
        <w:rPr>
          <w:rFonts w:ascii="Arial" w:hAnsi="Arial" w:cs="Arial"/>
          <w:sz w:val="20"/>
          <w:szCs w:val="20"/>
        </w:rPr>
        <w:t xml:space="preserve"> content in commonly consumed vegetables. </w:t>
      </w:r>
      <w:r w:rsidRPr="00563F47">
        <w:rPr>
          <w:rFonts w:ascii="Arial" w:hAnsi="Arial" w:cs="Arial"/>
          <w:i/>
          <w:iCs/>
          <w:sz w:val="20"/>
          <w:szCs w:val="20"/>
        </w:rPr>
        <w:t>International Journal of Current Microbiology and Applied Sciences</w:t>
      </w:r>
      <w:r w:rsidRPr="00563F47">
        <w:rPr>
          <w:rFonts w:ascii="Arial" w:hAnsi="Arial" w:cs="Arial"/>
          <w:sz w:val="20"/>
          <w:szCs w:val="20"/>
        </w:rPr>
        <w:t xml:space="preserve">, </w:t>
      </w:r>
      <w:r w:rsidRPr="00563F47">
        <w:rPr>
          <w:rFonts w:ascii="Arial" w:hAnsi="Arial" w:cs="Arial"/>
          <w:i/>
          <w:iCs/>
          <w:sz w:val="20"/>
          <w:szCs w:val="20"/>
        </w:rPr>
        <w:t>7</w:t>
      </w:r>
      <w:r w:rsidRPr="00563F47">
        <w:rPr>
          <w:rFonts w:ascii="Arial" w:hAnsi="Arial" w:cs="Arial"/>
          <w:sz w:val="20"/>
          <w:szCs w:val="20"/>
        </w:rPr>
        <w:t xml:space="preserve">(2), 1459–1466. </w:t>
      </w:r>
      <w:hyperlink r:id="rId22" w:history="1">
        <w:r w:rsidRPr="00563F47">
          <w:rPr>
            <w:rStyle w:val="Hyperlink"/>
            <w:rFonts w:ascii="Arial" w:hAnsi="Arial" w:cs="Arial"/>
            <w:sz w:val="20"/>
            <w:szCs w:val="20"/>
          </w:rPr>
          <w:t>https://doi.org/10.20546/ijcmas.2018.702.176</w:t>
        </w:r>
      </w:hyperlink>
    </w:p>
    <w:p w14:paraId="0D729141"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Ghudhaib, K. K., &amp; Khaleel, F. M. (2024). Evaluation of antioxidants, antibacterial, and antidiabetic activities of aqua-alcoholic marjoram extract. </w:t>
      </w:r>
      <w:r w:rsidRPr="00563F47">
        <w:rPr>
          <w:rStyle w:val="a5"/>
          <w:rFonts w:ascii="Arial" w:hAnsi="Arial" w:cs="Arial"/>
          <w:sz w:val="20"/>
          <w:szCs w:val="20"/>
          <w:lang w:bidi="hi-IN"/>
        </w:rPr>
        <w:t>Baghdad Science Journal, 21</w:t>
      </w:r>
      <w:r w:rsidRPr="00563F47">
        <w:rPr>
          <w:rFonts w:ascii="Arial" w:hAnsi="Arial" w:cs="Arial"/>
          <w:sz w:val="20"/>
          <w:szCs w:val="20"/>
          <w:lang w:bidi="hi-IN"/>
        </w:rPr>
        <w:t xml:space="preserve">(8), 2660. </w:t>
      </w:r>
      <w:hyperlink r:id="rId23" w:history="1">
        <w:r w:rsidRPr="00563F47">
          <w:rPr>
            <w:rStyle w:val="Hyperlink"/>
            <w:rFonts w:ascii="Arial" w:hAnsi="Arial" w:cs="Arial"/>
            <w:sz w:val="20"/>
            <w:szCs w:val="20"/>
            <w:lang w:bidi="hi-IN"/>
          </w:rPr>
          <w:t>https://doi.org/10.21123/bsj.2024.9328</w:t>
        </w:r>
      </w:hyperlink>
    </w:p>
    <w:p w14:paraId="7F3B2607"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Goyal, S., &amp; Kaur, T. J. (2025). Impact of processing techniques on antioxidant, antimicrobial, and phytochemical properties of curry leaves (</w:t>
      </w:r>
      <w:proofErr w:type="spellStart"/>
      <w:r w:rsidRPr="00563F47">
        <w:rPr>
          <w:rStyle w:val="a5"/>
          <w:rFonts w:ascii="Arial" w:hAnsi="Arial" w:cs="Arial"/>
          <w:sz w:val="20"/>
          <w:szCs w:val="20"/>
          <w:lang w:bidi="hi-IN"/>
        </w:rPr>
        <w:t>Murraya</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koenigii</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Spreng</w:t>
      </w:r>
      <w:proofErr w:type="spellEnd"/>
      <w:r w:rsidRPr="00563F47">
        <w:rPr>
          <w:rFonts w:ascii="Arial" w:hAnsi="Arial" w:cs="Arial"/>
          <w:sz w:val="20"/>
          <w:szCs w:val="20"/>
          <w:lang w:bidi="hi-IN"/>
        </w:rPr>
        <w:t xml:space="preserve">.). </w:t>
      </w:r>
      <w:r w:rsidRPr="00563F47">
        <w:rPr>
          <w:rStyle w:val="a5"/>
          <w:rFonts w:ascii="Arial" w:hAnsi="Arial" w:cs="Arial"/>
          <w:sz w:val="20"/>
          <w:szCs w:val="20"/>
          <w:lang w:bidi="hi-IN"/>
        </w:rPr>
        <w:t>International Journal of Horticulture, Agriculture and Food Science, 9</w:t>
      </w:r>
      <w:r w:rsidRPr="00563F47">
        <w:rPr>
          <w:rFonts w:ascii="Arial" w:hAnsi="Arial" w:cs="Arial"/>
          <w:sz w:val="20"/>
          <w:szCs w:val="20"/>
          <w:lang w:bidi="hi-IN"/>
        </w:rPr>
        <w:t>(3).</w:t>
      </w:r>
    </w:p>
    <w:p w14:paraId="1B2EDC52"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Guerra-Boone, L., Alvarez-Román, R., Salazar-Aranda, R., Torres-Cirio, A., et al. (2015). Antimicrobial and antioxidant activities and chemical characterization of essential oils of </w:t>
      </w:r>
      <w:r w:rsidRPr="00563F47">
        <w:rPr>
          <w:rStyle w:val="a5"/>
          <w:rFonts w:ascii="Arial" w:hAnsi="Arial" w:cs="Arial"/>
          <w:sz w:val="20"/>
          <w:szCs w:val="20"/>
          <w:lang w:bidi="hi-IN"/>
        </w:rPr>
        <w:t>Thymus vulgaris</w:t>
      </w:r>
      <w:r w:rsidRPr="00563F47">
        <w:rPr>
          <w:rFonts w:ascii="Arial" w:hAnsi="Arial" w:cs="Arial"/>
          <w:sz w:val="20"/>
          <w:szCs w:val="20"/>
          <w:lang w:bidi="hi-IN"/>
        </w:rPr>
        <w:t xml:space="preserve">, </w:t>
      </w:r>
      <w:proofErr w:type="spellStart"/>
      <w:r w:rsidRPr="00563F47">
        <w:rPr>
          <w:rStyle w:val="a5"/>
          <w:rFonts w:ascii="Arial" w:hAnsi="Arial" w:cs="Arial"/>
          <w:sz w:val="20"/>
          <w:szCs w:val="20"/>
          <w:lang w:bidi="hi-IN"/>
        </w:rPr>
        <w:t>Rosmarinus</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officinalis</w:t>
      </w:r>
      <w:proofErr w:type="spellEnd"/>
      <w:r w:rsidRPr="00563F47">
        <w:rPr>
          <w:rFonts w:ascii="Arial" w:hAnsi="Arial" w:cs="Arial"/>
          <w:sz w:val="20"/>
          <w:szCs w:val="20"/>
          <w:lang w:bidi="hi-IN"/>
        </w:rPr>
        <w:t xml:space="preserve">, and </w:t>
      </w:r>
      <w:proofErr w:type="spellStart"/>
      <w:r w:rsidRPr="00563F47">
        <w:rPr>
          <w:rStyle w:val="a5"/>
          <w:rFonts w:ascii="Arial" w:hAnsi="Arial" w:cs="Arial"/>
          <w:sz w:val="20"/>
          <w:szCs w:val="20"/>
          <w:lang w:bidi="hi-IN"/>
        </w:rPr>
        <w:t>Origanum</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majorana</w:t>
      </w:r>
      <w:proofErr w:type="spellEnd"/>
      <w:r w:rsidRPr="00563F47">
        <w:rPr>
          <w:rFonts w:ascii="Arial" w:hAnsi="Arial" w:cs="Arial"/>
          <w:sz w:val="20"/>
          <w:szCs w:val="20"/>
          <w:lang w:bidi="hi-IN"/>
        </w:rPr>
        <w:t xml:space="preserve"> from </w:t>
      </w:r>
      <w:proofErr w:type="spellStart"/>
      <w:r w:rsidRPr="00563F47">
        <w:rPr>
          <w:rFonts w:ascii="Arial" w:hAnsi="Arial" w:cs="Arial"/>
          <w:sz w:val="20"/>
          <w:szCs w:val="20"/>
          <w:lang w:bidi="hi-IN"/>
        </w:rPr>
        <w:t>northeastern</w:t>
      </w:r>
      <w:proofErr w:type="spellEnd"/>
      <w:r w:rsidRPr="00563F47">
        <w:rPr>
          <w:rFonts w:ascii="Arial" w:hAnsi="Arial" w:cs="Arial"/>
          <w:sz w:val="20"/>
          <w:szCs w:val="20"/>
          <w:lang w:bidi="hi-IN"/>
        </w:rPr>
        <w:t xml:space="preserve"> Mexico. </w:t>
      </w:r>
      <w:r w:rsidRPr="00563F47">
        <w:rPr>
          <w:rStyle w:val="a5"/>
          <w:rFonts w:ascii="Arial" w:hAnsi="Arial" w:cs="Arial"/>
          <w:sz w:val="20"/>
          <w:szCs w:val="20"/>
          <w:lang w:bidi="hi-IN"/>
        </w:rPr>
        <w:t>Pakistan Journal of Pharmaceutical Sciences, 28</w:t>
      </w:r>
      <w:r w:rsidRPr="00563F47">
        <w:rPr>
          <w:rFonts w:ascii="Arial" w:hAnsi="Arial" w:cs="Arial"/>
          <w:sz w:val="20"/>
          <w:szCs w:val="20"/>
          <w:lang w:bidi="hi-IN"/>
        </w:rPr>
        <w:t>, 363–369.</w:t>
      </w:r>
    </w:p>
    <w:p w14:paraId="6FC70057" w14:textId="77777777" w:rsidR="00563F47" w:rsidRPr="00563F47" w:rsidRDefault="00563F47" w:rsidP="00563F47">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Gunasena</w:t>
      </w:r>
      <w:proofErr w:type="spellEnd"/>
      <w:r w:rsidRPr="00563F47">
        <w:rPr>
          <w:rFonts w:ascii="Arial" w:hAnsi="Arial" w:cs="Arial"/>
          <w:bCs/>
          <w:color w:val="000000" w:themeColor="text1"/>
          <w:sz w:val="20"/>
          <w:szCs w:val="20"/>
        </w:rPr>
        <w:t xml:space="preserve"> BVAP And </w:t>
      </w:r>
      <w:proofErr w:type="spellStart"/>
      <w:r w:rsidRPr="00563F47">
        <w:rPr>
          <w:rFonts w:ascii="Arial" w:hAnsi="Arial" w:cs="Arial"/>
          <w:bCs/>
          <w:color w:val="000000" w:themeColor="text1"/>
          <w:sz w:val="20"/>
          <w:szCs w:val="20"/>
        </w:rPr>
        <w:t>Rajapakse</w:t>
      </w:r>
      <w:proofErr w:type="spellEnd"/>
      <w:r w:rsidRPr="00563F47">
        <w:rPr>
          <w:rFonts w:ascii="Arial" w:hAnsi="Arial" w:cs="Arial"/>
          <w:bCs/>
          <w:color w:val="000000" w:themeColor="text1"/>
          <w:sz w:val="20"/>
          <w:szCs w:val="20"/>
        </w:rPr>
        <w:t xml:space="preserve"> RPNP Effect of cooking time and cooking temperature on antioxidant activity and antimicrobial activity of cinnamon, garlic, ginger and turmeric, Extended abstracts of the 1st IFSTSL research session, 15th December 2015</w:t>
      </w:r>
    </w:p>
    <w:p w14:paraId="4064FF8B"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Gunathilake, K. D. P. P., Ranaweera, K. K. D. S., &amp; Rupasinghe, H. P. V. (2018). Effect of different cooking methods on polyphenols, carotenoids, and antioxidant activities of selected edible leaves. </w:t>
      </w:r>
      <w:r w:rsidRPr="00563F47">
        <w:rPr>
          <w:rStyle w:val="a5"/>
          <w:rFonts w:ascii="Arial" w:hAnsi="Arial" w:cs="Arial"/>
          <w:sz w:val="20"/>
          <w:szCs w:val="20"/>
          <w:lang w:bidi="hi-IN"/>
        </w:rPr>
        <w:t>Antioxidants, 7</w:t>
      </w:r>
      <w:r w:rsidRPr="00563F47">
        <w:rPr>
          <w:rFonts w:ascii="Arial" w:hAnsi="Arial" w:cs="Arial"/>
          <w:sz w:val="20"/>
          <w:szCs w:val="20"/>
          <w:lang w:bidi="hi-IN"/>
        </w:rPr>
        <w:t xml:space="preserve">(9), 117. </w:t>
      </w:r>
      <w:hyperlink r:id="rId24" w:history="1">
        <w:r w:rsidRPr="00563F47">
          <w:rPr>
            <w:rStyle w:val="Hyperlink"/>
            <w:rFonts w:ascii="Arial" w:hAnsi="Arial" w:cs="Arial"/>
            <w:sz w:val="20"/>
            <w:szCs w:val="20"/>
            <w:lang w:bidi="hi-IN"/>
          </w:rPr>
          <w:t>https://doi.org/10.3390/antiox7090117</w:t>
        </w:r>
      </w:hyperlink>
    </w:p>
    <w:p w14:paraId="7DAC4DBC"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Hachi, M., Hachi, T., </w:t>
      </w:r>
      <w:proofErr w:type="spellStart"/>
      <w:r w:rsidRPr="00563F47">
        <w:rPr>
          <w:rFonts w:ascii="Arial" w:hAnsi="Arial" w:cs="Arial"/>
          <w:sz w:val="20"/>
          <w:szCs w:val="20"/>
          <w:lang w:bidi="hi-IN"/>
        </w:rPr>
        <w:t>Belahbib</w:t>
      </w:r>
      <w:proofErr w:type="spellEnd"/>
      <w:r w:rsidRPr="00563F47">
        <w:rPr>
          <w:rFonts w:ascii="Arial" w:hAnsi="Arial" w:cs="Arial"/>
          <w:sz w:val="20"/>
          <w:szCs w:val="20"/>
          <w:lang w:bidi="hi-IN"/>
        </w:rPr>
        <w:t xml:space="preserve">, N., Dahmani, J., &amp; Zidane, L. (2015). Contribution to the study and floristic ethnobotany flora medicinal use at the city of </w:t>
      </w:r>
      <w:proofErr w:type="spellStart"/>
      <w:r w:rsidRPr="00563F47">
        <w:rPr>
          <w:rFonts w:ascii="Arial" w:hAnsi="Arial" w:cs="Arial"/>
          <w:sz w:val="20"/>
          <w:szCs w:val="20"/>
          <w:lang w:bidi="hi-IN"/>
        </w:rPr>
        <w:t>Khenifra</w:t>
      </w:r>
      <w:proofErr w:type="spellEnd"/>
      <w:r w:rsidRPr="00563F47">
        <w:rPr>
          <w:rFonts w:ascii="Arial" w:hAnsi="Arial" w:cs="Arial"/>
          <w:sz w:val="20"/>
          <w:szCs w:val="20"/>
          <w:lang w:bidi="hi-IN"/>
        </w:rPr>
        <w:t xml:space="preserve"> (Morocco). </w:t>
      </w:r>
      <w:r w:rsidRPr="00563F47">
        <w:rPr>
          <w:rStyle w:val="a5"/>
          <w:rFonts w:ascii="Arial" w:hAnsi="Arial" w:cs="Arial"/>
          <w:sz w:val="20"/>
          <w:szCs w:val="20"/>
          <w:lang w:bidi="hi-IN"/>
        </w:rPr>
        <w:t>International Journal of Innovation and Applied Studies, 11</w:t>
      </w:r>
      <w:r w:rsidRPr="00563F47">
        <w:rPr>
          <w:rFonts w:ascii="Arial" w:hAnsi="Arial" w:cs="Arial"/>
          <w:sz w:val="20"/>
          <w:szCs w:val="20"/>
          <w:lang w:bidi="hi-IN"/>
        </w:rPr>
        <w:t>, 754–770.</w:t>
      </w:r>
    </w:p>
    <w:p w14:paraId="562F281F"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Hajlaoui, H., </w:t>
      </w:r>
      <w:proofErr w:type="spellStart"/>
      <w:r w:rsidRPr="00563F47">
        <w:rPr>
          <w:rFonts w:ascii="Arial" w:hAnsi="Arial" w:cs="Arial"/>
          <w:sz w:val="20"/>
          <w:szCs w:val="20"/>
          <w:lang w:bidi="hi-IN"/>
        </w:rPr>
        <w:t>Mighri</w:t>
      </w:r>
      <w:proofErr w:type="spellEnd"/>
      <w:r w:rsidRPr="00563F47">
        <w:rPr>
          <w:rFonts w:ascii="Arial" w:hAnsi="Arial" w:cs="Arial"/>
          <w:sz w:val="20"/>
          <w:szCs w:val="20"/>
          <w:lang w:bidi="hi-IN"/>
        </w:rPr>
        <w:t xml:space="preserve">, H., </w:t>
      </w:r>
      <w:proofErr w:type="spellStart"/>
      <w:r w:rsidRPr="00563F47">
        <w:rPr>
          <w:rFonts w:ascii="Arial" w:hAnsi="Arial" w:cs="Arial"/>
          <w:sz w:val="20"/>
          <w:szCs w:val="20"/>
          <w:lang w:bidi="hi-IN"/>
        </w:rPr>
        <w:t>Aouni</w:t>
      </w:r>
      <w:proofErr w:type="spellEnd"/>
      <w:r w:rsidRPr="00563F47">
        <w:rPr>
          <w:rFonts w:ascii="Arial" w:hAnsi="Arial" w:cs="Arial"/>
          <w:sz w:val="20"/>
          <w:szCs w:val="20"/>
          <w:lang w:bidi="hi-IN"/>
        </w:rPr>
        <w:t xml:space="preserve">, M., Gharsallah, N., &amp; Kadri, A. (2016). Chemical composition and in vitro evaluation of antioxidant, antimicrobial, cytotoxicity, and anti-acetylcholinesterase properties of Tunisian </w:t>
      </w:r>
      <w:proofErr w:type="spellStart"/>
      <w:r w:rsidRPr="00563F47">
        <w:rPr>
          <w:rStyle w:val="a5"/>
          <w:rFonts w:ascii="Arial" w:hAnsi="Arial" w:cs="Arial"/>
          <w:sz w:val="20"/>
          <w:szCs w:val="20"/>
          <w:lang w:bidi="hi-IN"/>
        </w:rPr>
        <w:t>Origanum</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majorana</w:t>
      </w:r>
      <w:proofErr w:type="spellEnd"/>
      <w:r w:rsidRPr="00563F47">
        <w:rPr>
          <w:rFonts w:ascii="Arial" w:hAnsi="Arial" w:cs="Arial"/>
          <w:sz w:val="20"/>
          <w:szCs w:val="20"/>
          <w:lang w:bidi="hi-IN"/>
        </w:rPr>
        <w:t xml:space="preserve"> L. essential oil. </w:t>
      </w:r>
      <w:r w:rsidRPr="00563F47">
        <w:rPr>
          <w:rStyle w:val="a5"/>
          <w:rFonts w:ascii="Arial" w:hAnsi="Arial" w:cs="Arial"/>
          <w:sz w:val="20"/>
          <w:szCs w:val="20"/>
          <w:lang w:bidi="hi-IN"/>
        </w:rPr>
        <w:t>Microbial Pathogenesis, 95</w:t>
      </w:r>
      <w:r w:rsidRPr="00563F47">
        <w:rPr>
          <w:rFonts w:ascii="Arial" w:hAnsi="Arial" w:cs="Arial"/>
          <w:sz w:val="20"/>
          <w:szCs w:val="20"/>
          <w:lang w:bidi="hi-IN"/>
        </w:rPr>
        <w:t>, 86–94.</w:t>
      </w:r>
    </w:p>
    <w:p w14:paraId="6A230CCB"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Harborne, J. B. (1998). </w:t>
      </w:r>
      <w:r w:rsidRPr="00563F47">
        <w:rPr>
          <w:rStyle w:val="a5"/>
          <w:rFonts w:ascii="Arial" w:hAnsi="Arial" w:cs="Arial"/>
          <w:sz w:val="20"/>
          <w:szCs w:val="20"/>
          <w:lang w:bidi="hi-IN"/>
        </w:rPr>
        <w:t>Phytochemical methods: A guide to modern techniques of plant analysis</w:t>
      </w:r>
      <w:r w:rsidRPr="00563F47">
        <w:rPr>
          <w:rFonts w:ascii="Arial" w:hAnsi="Arial" w:cs="Arial"/>
          <w:sz w:val="20"/>
          <w:szCs w:val="20"/>
          <w:lang w:bidi="hi-IN"/>
        </w:rPr>
        <w:t xml:space="preserve"> (3rd ed.). Chapman &amp; Hall.</w:t>
      </w:r>
    </w:p>
    <w:p w14:paraId="5DAEB849"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Hassan, A. B., Maiman, S. A. A., Alshammari, G. M., et al. (2021). Effects of boiling and roasting treatments on total phenolics and flavonoids and antioxidant activity of peanut (</w:t>
      </w:r>
      <w:r w:rsidRPr="00563F47">
        <w:rPr>
          <w:rStyle w:val="a5"/>
          <w:rFonts w:ascii="Arial" w:hAnsi="Arial" w:cs="Arial"/>
          <w:sz w:val="20"/>
          <w:szCs w:val="20"/>
          <w:lang w:bidi="hi-IN"/>
        </w:rPr>
        <w:t>Arachis hypogaea</w:t>
      </w:r>
      <w:r w:rsidRPr="00563F47">
        <w:rPr>
          <w:rFonts w:ascii="Arial" w:hAnsi="Arial" w:cs="Arial"/>
          <w:sz w:val="20"/>
          <w:szCs w:val="20"/>
          <w:lang w:bidi="hi-IN"/>
        </w:rPr>
        <w:t xml:space="preserve"> L.) pod shells. </w:t>
      </w:r>
      <w:r w:rsidRPr="00563F47">
        <w:rPr>
          <w:rStyle w:val="a5"/>
          <w:rFonts w:ascii="Arial" w:hAnsi="Arial" w:cs="Arial"/>
          <w:sz w:val="20"/>
          <w:szCs w:val="20"/>
          <w:lang w:bidi="hi-IN"/>
        </w:rPr>
        <w:t>Processes, 9</w:t>
      </w:r>
      <w:r w:rsidRPr="00563F47">
        <w:rPr>
          <w:rFonts w:ascii="Arial" w:hAnsi="Arial" w:cs="Arial"/>
          <w:sz w:val="20"/>
          <w:szCs w:val="20"/>
          <w:lang w:bidi="hi-IN"/>
        </w:rPr>
        <w:t xml:space="preserve">(9), 1542. </w:t>
      </w:r>
      <w:hyperlink r:id="rId25" w:history="1">
        <w:r w:rsidRPr="00563F47">
          <w:rPr>
            <w:rStyle w:val="Hyperlink"/>
            <w:rFonts w:ascii="Arial" w:hAnsi="Arial" w:cs="Arial"/>
            <w:sz w:val="20"/>
            <w:szCs w:val="20"/>
            <w:lang w:bidi="hi-IN"/>
          </w:rPr>
          <w:t>https://doi.org/10.3390/pr9091542</w:t>
        </w:r>
      </w:hyperlink>
    </w:p>
    <w:p w14:paraId="12E0C1FB"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Hossain, M. F., et al. (2017). Nutritional changes in cooked leafy greens. </w:t>
      </w:r>
      <w:r w:rsidRPr="00563F47">
        <w:rPr>
          <w:rStyle w:val="a5"/>
          <w:rFonts w:ascii="Arial" w:hAnsi="Arial" w:cs="Arial"/>
          <w:sz w:val="20"/>
          <w:szCs w:val="20"/>
          <w:lang w:bidi="hi-IN"/>
        </w:rPr>
        <w:t>Bangladesh Journal of Nutrition, 30</w:t>
      </w:r>
      <w:r w:rsidRPr="00563F47">
        <w:rPr>
          <w:rFonts w:ascii="Arial" w:hAnsi="Arial" w:cs="Arial"/>
          <w:sz w:val="20"/>
          <w:szCs w:val="20"/>
          <w:lang w:bidi="hi-IN"/>
        </w:rPr>
        <w:t>, 89–98.</w:t>
      </w:r>
    </w:p>
    <w:p w14:paraId="537E7E84"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lastRenderedPageBreak/>
        <w:t xml:space="preserve">Huang, D., Ou, B., &amp; Prior, R. L. (2005). The chemistry behind antioxidant capacity assays. </w:t>
      </w:r>
      <w:r w:rsidRPr="00563F47">
        <w:rPr>
          <w:rStyle w:val="a5"/>
          <w:rFonts w:ascii="Arial" w:hAnsi="Arial" w:cs="Arial"/>
          <w:sz w:val="20"/>
          <w:szCs w:val="20"/>
          <w:lang w:bidi="hi-IN"/>
        </w:rPr>
        <w:t>Journal of Agricultural and Food Chemistry, 53</w:t>
      </w:r>
      <w:r w:rsidRPr="00563F47">
        <w:rPr>
          <w:rFonts w:ascii="Arial" w:hAnsi="Arial" w:cs="Arial"/>
          <w:sz w:val="20"/>
          <w:szCs w:val="20"/>
          <w:lang w:bidi="hi-IN"/>
        </w:rPr>
        <w:t>, 1841–1856.</w:t>
      </w:r>
    </w:p>
    <w:p w14:paraId="36C880F8" w14:textId="77777777" w:rsidR="00563F47" w:rsidRPr="00563F47" w:rsidRDefault="00563F47" w:rsidP="00563F47">
      <w:pPr>
        <w:widowControl w:val="0"/>
        <w:spacing w:before="100" w:after="100" w:line="240" w:lineRule="auto"/>
        <w:jc w:val="both"/>
        <w:rPr>
          <w:rFonts w:ascii="Arial" w:hAnsi="Arial" w:cs="Arial"/>
          <w:color w:val="000000" w:themeColor="text1"/>
          <w:sz w:val="20"/>
          <w:szCs w:val="20"/>
          <w:shd w:val="clear" w:color="auto" w:fill="FFFFFF"/>
        </w:rPr>
      </w:pPr>
      <w:r w:rsidRPr="00563F47">
        <w:rPr>
          <w:rFonts w:ascii="Arial" w:hAnsi="Arial" w:cs="Arial"/>
          <w:color w:val="000000"/>
          <w:sz w:val="20"/>
          <w:szCs w:val="20"/>
        </w:rPr>
        <w:t>Kaur, T. J., &amp; Kochar, G. K. (2005). Organoleptic Evaluation and Retention of Vitamin C in Commonly Consumed Food Preparations Using Underexploited Greens. </w:t>
      </w:r>
      <w:r w:rsidRPr="00563F47">
        <w:rPr>
          <w:rFonts w:ascii="Arial" w:hAnsi="Arial" w:cs="Arial"/>
          <w:i/>
          <w:iCs/>
          <w:color w:val="000000"/>
          <w:sz w:val="20"/>
          <w:szCs w:val="20"/>
        </w:rPr>
        <w:t>The Indian Journal of Nutrition and Dietetics</w:t>
      </w:r>
      <w:r w:rsidRPr="00563F47">
        <w:rPr>
          <w:rFonts w:ascii="Arial" w:hAnsi="Arial" w:cs="Arial"/>
          <w:color w:val="000000"/>
          <w:sz w:val="20"/>
          <w:szCs w:val="20"/>
        </w:rPr>
        <w:t>, </w:t>
      </w:r>
      <w:r w:rsidRPr="00563F47">
        <w:rPr>
          <w:rFonts w:ascii="Arial" w:hAnsi="Arial" w:cs="Arial"/>
          <w:i/>
          <w:iCs/>
          <w:color w:val="000000"/>
          <w:sz w:val="20"/>
          <w:szCs w:val="20"/>
        </w:rPr>
        <w:t>42</w:t>
      </w:r>
      <w:r w:rsidRPr="00563F47">
        <w:rPr>
          <w:rFonts w:ascii="Arial" w:hAnsi="Arial" w:cs="Arial"/>
          <w:color w:val="000000"/>
          <w:sz w:val="20"/>
          <w:szCs w:val="20"/>
        </w:rPr>
        <w:t>(9), 425–431.</w:t>
      </w:r>
    </w:p>
    <w:p w14:paraId="45087CF7"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hAnsi="Arial" w:cs="Arial"/>
          <w:color w:val="000000"/>
          <w:sz w:val="20"/>
          <w:szCs w:val="20"/>
        </w:rPr>
        <w:t xml:space="preserve">Kaur, T. J., &amp; Kochar, G. K. (2008). </w:t>
      </w:r>
      <w:r w:rsidRPr="00563F47">
        <w:rPr>
          <w:rFonts w:ascii="Arial" w:eastAsia="Times New Roman" w:hAnsi="Arial" w:cs="Arial"/>
          <w:sz w:val="20"/>
          <w:szCs w:val="20"/>
          <w:lang w:eastAsia="en-IN" w:bidi="pa-IN"/>
        </w:rPr>
        <w:t xml:space="preserve">Effect of domestic processing on the retention of vitamin C in food preparation developed by incorporated sprouted pulses. </w:t>
      </w:r>
      <w:r w:rsidRPr="00563F47">
        <w:rPr>
          <w:rFonts w:ascii="Arial" w:eastAsia="Times New Roman" w:hAnsi="Arial" w:cs="Arial"/>
          <w:i/>
          <w:iCs/>
          <w:sz w:val="20"/>
          <w:szCs w:val="20"/>
          <w:lang w:eastAsia="en-IN" w:bidi="pa-IN"/>
        </w:rPr>
        <w:t>Research Reach</w:t>
      </w:r>
      <w:r w:rsidRPr="00563F47">
        <w:rPr>
          <w:rFonts w:ascii="Arial" w:eastAsia="Times New Roman" w:hAnsi="Arial" w:cs="Arial"/>
          <w:sz w:val="20"/>
          <w:szCs w:val="20"/>
          <w:lang w:eastAsia="en-IN" w:bidi="pa-IN"/>
        </w:rPr>
        <w:t xml:space="preserve">, 7(1): 18-27. </w:t>
      </w:r>
    </w:p>
    <w:p w14:paraId="71AEE585" w14:textId="77777777" w:rsidR="00563F47" w:rsidRPr="00563F47" w:rsidRDefault="00563F47" w:rsidP="005F2EF1">
      <w:pPr>
        <w:spacing w:before="235" w:line="240" w:lineRule="auto"/>
        <w:ind w:right="142"/>
        <w:jc w:val="both"/>
        <w:rPr>
          <w:rFonts w:ascii="Arial" w:hAnsi="Arial" w:cs="Arial"/>
          <w:sz w:val="20"/>
          <w:szCs w:val="20"/>
        </w:rPr>
      </w:pPr>
      <w:r w:rsidRPr="00563F47">
        <w:rPr>
          <w:rFonts w:ascii="Arial" w:hAnsi="Arial" w:cs="Arial"/>
          <w:sz w:val="20"/>
          <w:szCs w:val="20"/>
        </w:rPr>
        <w:t>Khatun, M. R., Khatun, M. K., Islam, M. S., &amp; Reza, S. M. A. (2019). Effect of different cooking methods on vitamin C content of some selected vegetables. </w:t>
      </w:r>
      <w:r w:rsidRPr="00563F47">
        <w:rPr>
          <w:rFonts w:ascii="Arial" w:hAnsi="Arial" w:cs="Arial"/>
          <w:i/>
          <w:iCs/>
          <w:sz w:val="20"/>
          <w:szCs w:val="20"/>
        </w:rPr>
        <w:t>International Journal of Current Microbiology and Applied Sciences</w:t>
      </w:r>
      <w:r w:rsidRPr="00563F47">
        <w:rPr>
          <w:rFonts w:ascii="Arial" w:hAnsi="Arial" w:cs="Arial"/>
          <w:sz w:val="20"/>
          <w:szCs w:val="20"/>
        </w:rPr>
        <w:t>, </w:t>
      </w:r>
      <w:r w:rsidRPr="00563F47">
        <w:rPr>
          <w:rFonts w:ascii="Arial" w:hAnsi="Arial" w:cs="Arial"/>
          <w:i/>
          <w:iCs/>
          <w:sz w:val="20"/>
          <w:szCs w:val="20"/>
        </w:rPr>
        <w:t>8</w:t>
      </w:r>
      <w:r w:rsidRPr="00563F47">
        <w:rPr>
          <w:rFonts w:ascii="Arial" w:hAnsi="Arial" w:cs="Arial"/>
          <w:sz w:val="20"/>
          <w:szCs w:val="20"/>
        </w:rPr>
        <w:t xml:space="preserve">(10), 2658–2663. https://doi.org/10.20546/ijcmas.2019.810.307 </w:t>
      </w:r>
    </w:p>
    <w:p w14:paraId="5DA81EB1"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shd w:val="clear" w:color="auto" w:fill="FFFFFF"/>
        </w:rPr>
      </w:pPr>
      <w:proofErr w:type="spellStart"/>
      <w:r w:rsidRPr="00563F47">
        <w:rPr>
          <w:rFonts w:ascii="Arial" w:hAnsi="Arial" w:cs="Arial"/>
          <w:color w:val="000000" w:themeColor="text1"/>
          <w:sz w:val="20"/>
          <w:szCs w:val="20"/>
          <w:shd w:val="clear" w:color="auto" w:fill="FFFFFF"/>
        </w:rPr>
        <w:t>Kinyi</w:t>
      </w:r>
      <w:proofErr w:type="spellEnd"/>
      <w:r w:rsidRPr="00563F47">
        <w:rPr>
          <w:rFonts w:ascii="Arial" w:hAnsi="Arial" w:cs="Arial"/>
          <w:color w:val="000000" w:themeColor="text1"/>
          <w:sz w:val="20"/>
          <w:szCs w:val="20"/>
          <w:shd w:val="clear" w:color="auto" w:fill="FFFFFF"/>
        </w:rPr>
        <w:t xml:space="preserve">, H. W., </w:t>
      </w:r>
      <w:proofErr w:type="spellStart"/>
      <w:r w:rsidRPr="00563F47">
        <w:rPr>
          <w:rFonts w:ascii="Arial" w:hAnsi="Arial" w:cs="Arial"/>
          <w:color w:val="000000" w:themeColor="text1"/>
          <w:sz w:val="20"/>
          <w:szCs w:val="20"/>
          <w:shd w:val="clear" w:color="auto" w:fill="FFFFFF"/>
        </w:rPr>
        <w:t>Tirwomwe</w:t>
      </w:r>
      <w:proofErr w:type="spellEnd"/>
      <w:r w:rsidRPr="00563F47">
        <w:rPr>
          <w:rFonts w:ascii="Arial" w:hAnsi="Arial" w:cs="Arial"/>
          <w:color w:val="000000" w:themeColor="text1"/>
          <w:sz w:val="20"/>
          <w:szCs w:val="20"/>
          <w:shd w:val="clear" w:color="auto" w:fill="FFFFFF"/>
        </w:rPr>
        <w:t xml:space="preserve">, M., Ninsiima, H. I., &amp; </w:t>
      </w:r>
      <w:proofErr w:type="spellStart"/>
      <w:r w:rsidRPr="00563F47">
        <w:rPr>
          <w:rFonts w:ascii="Arial" w:hAnsi="Arial" w:cs="Arial"/>
          <w:color w:val="000000" w:themeColor="text1"/>
          <w:sz w:val="20"/>
          <w:szCs w:val="20"/>
          <w:shd w:val="clear" w:color="auto" w:fill="FFFFFF"/>
        </w:rPr>
        <w:t>Miruka</w:t>
      </w:r>
      <w:proofErr w:type="spellEnd"/>
      <w:r w:rsidRPr="00563F47">
        <w:rPr>
          <w:rFonts w:ascii="Arial" w:hAnsi="Arial" w:cs="Arial"/>
          <w:color w:val="000000" w:themeColor="text1"/>
          <w:sz w:val="20"/>
          <w:szCs w:val="20"/>
          <w:shd w:val="clear" w:color="auto" w:fill="FFFFFF"/>
        </w:rPr>
        <w:t>, C. O. (2022b). Effect of Cooking Method on Vitamin C Loses and Antioxidant Activity of Indigenous Green Leafy Vegetables Consumed in Western Uganda. </w:t>
      </w:r>
      <w:r w:rsidRPr="00563F47">
        <w:rPr>
          <w:rFonts w:ascii="Arial" w:hAnsi="Arial" w:cs="Arial"/>
          <w:i/>
          <w:iCs/>
          <w:color w:val="000000" w:themeColor="text1"/>
          <w:sz w:val="20"/>
          <w:szCs w:val="20"/>
          <w:shd w:val="clear" w:color="auto" w:fill="FFFFFF"/>
        </w:rPr>
        <w:t>International journal of food science</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2022</w:t>
      </w:r>
      <w:r w:rsidRPr="00563F47">
        <w:rPr>
          <w:rFonts w:ascii="Arial" w:hAnsi="Arial" w:cs="Arial"/>
          <w:color w:val="000000" w:themeColor="text1"/>
          <w:sz w:val="20"/>
          <w:szCs w:val="20"/>
          <w:shd w:val="clear" w:color="auto" w:fill="FFFFFF"/>
        </w:rPr>
        <w:t xml:space="preserve">, 2088034. </w:t>
      </w:r>
      <w:hyperlink r:id="rId26" w:history="1">
        <w:r w:rsidRPr="00563F47">
          <w:rPr>
            <w:rStyle w:val="Hyperlink"/>
            <w:rFonts w:ascii="Arial" w:hAnsi="Arial" w:cs="Arial"/>
            <w:color w:val="000000" w:themeColor="text1"/>
            <w:sz w:val="20"/>
            <w:szCs w:val="20"/>
            <w:shd w:val="clear" w:color="auto" w:fill="FFFFFF"/>
          </w:rPr>
          <w:t>https://doi.org/10.1155/2022/2088034</w:t>
        </w:r>
      </w:hyperlink>
    </w:p>
    <w:p w14:paraId="15AE646A" w14:textId="77777777" w:rsidR="00563F47" w:rsidRPr="00563F47" w:rsidRDefault="00563F47" w:rsidP="00563F47">
      <w:pPr>
        <w:pStyle w:val="a3"/>
        <w:rPr>
          <w:rFonts w:ascii="Arial" w:hAnsi="Arial" w:cs="Arial"/>
          <w:sz w:val="20"/>
          <w:szCs w:val="20"/>
          <w:lang w:bidi="hi-IN"/>
        </w:rPr>
      </w:pPr>
      <w:proofErr w:type="spellStart"/>
      <w:r w:rsidRPr="00563F47">
        <w:rPr>
          <w:rFonts w:ascii="Arial" w:hAnsi="Arial" w:cs="Arial"/>
          <w:sz w:val="20"/>
          <w:szCs w:val="20"/>
          <w:lang w:bidi="hi-IN"/>
        </w:rPr>
        <w:t>Kokate</w:t>
      </w:r>
      <w:proofErr w:type="spellEnd"/>
      <w:r w:rsidRPr="00563F47">
        <w:rPr>
          <w:rFonts w:ascii="Arial" w:hAnsi="Arial" w:cs="Arial"/>
          <w:sz w:val="20"/>
          <w:szCs w:val="20"/>
          <w:lang w:bidi="hi-IN"/>
        </w:rPr>
        <w:t xml:space="preserve">, C. K. (1999). </w:t>
      </w:r>
      <w:r w:rsidRPr="00563F47">
        <w:rPr>
          <w:rStyle w:val="a5"/>
          <w:rFonts w:ascii="Arial" w:hAnsi="Arial" w:cs="Arial"/>
          <w:sz w:val="20"/>
          <w:szCs w:val="20"/>
          <w:lang w:bidi="hi-IN"/>
        </w:rPr>
        <w:t>Practical pharmacognosy</w:t>
      </w:r>
      <w:r w:rsidRPr="00563F47">
        <w:rPr>
          <w:rFonts w:ascii="Arial" w:hAnsi="Arial" w:cs="Arial"/>
          <w:sz w:val="20"/>
          <w:szCs w:val="20"/>
          <w:lang w:bidi="hi-IN"/>
        </w:rPr>
        <w:t xml:space="preserve"> (4th ed.). Vallabh Prakashan.</w:t>
      </w:r>
    </w:p>
    <w:p w14:paraId="5E4EF080"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Lee, S., Choi, Y., Jeong, H. S., Lee, J., &amp; Sung, J. (2018). Effect of different cooking methods on the content of vitamins and true retention in selected vegetables. </w:t>
      </w:r>
      <w:r w:rsidRPr="00563F47">
        <w:rPr>
          <w:rStyle w:val="a5"/>
          <w:rFonts w:ascii="Arial" w:hAnsi="Arial" w:cs="Arial"/>
          <w:sz w:val="20"/>
          <w:szCs w:val="20"/>
          <w:lang w:bidi="hi-IN"/>
        </w:rPr>
        <w:t>Food Science and Biotechnology</w:t>
      </w:r>
      <w:r w:rsidRPr="00563F47">
        <w:rPr>
          <w:rFonts w:ascii="Arial" w:hAnsi="Arial" w:cs="Arial"/>
          <w:sz w:val="20"/>
          <w:szCs w:val="20"/>
          <w:lang w:bidi="hi-IN"/>
        </w:rPr>
        <w:t xml:space="preserve">. </w:t>
      </w:r>
      <w:hyperlink r:id="rId27" w:history="1">
        <w:r w:rsidRPr="00563F47">
          <w:rPr>
            <w:rStyle w:val="Hyperlink"/>
            <w:rFonts w:ascii="Arial" w:hAnsi="Arial" w:cs="Arial"/>
            <w:sz w:val="20"/>
            <w:szCs w:val="20"/>
            <w:lang w:bidi="hi-IN"/>
          </w:rPr>
          <w:t>https://doi.org/10.1007/s10068-017-0281-1</w:t>
        </w:r>
      </w:hyperlink>
    </w:p>
    <w:p w14:paraId="156D4EF8"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Mace, M. E. (1963). Histochemical localization of phenols in healthy and diseased banana roots. </w:t>
      </w:r>
      <w:proofErr w:type="spellStart"/>
      <w:r w:rsidRPr="00563F47">
        <w:rPr>
          <w:rStyle w:val="a5"/>
          <w:rFonts w:ascii="Arial" w:hAnsi="Arial" w:cs="Arial"/>
          <w:sz w:val="20"/>
          <w:szCs w:val="20"/>
          <w:lang w:bidi="hi-IN"/>
        </w:rPr>
        <w:t>Physiologia</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Plantarum</w:t>
      </w:r>
      <w:proofErr w:type="spellEnd"/>
      <w:r w:rsidRPr="00563F47">
        <w:rPr>
          <w:rStyle w:val="a5"/>
          <w:rFonts w:ascii="Arial" w:hAnsi="Arial" w:cs="Arial"/>
          <w:sz w:val="20"/>
          <w:szCs w:val="20"/>
          <w:lang w:bidi="hi-IN"/>
        </w:rPr>
        <w:t>, 16</w:t>
      </w:r>
      <w:r w:rsidRPr="00563F47">
        <w:rPr>
          <w:rFonts w:ascii="Arial" w:hAnsi="Arial" w:cs="Arial"/>
          <w:sz w:val="20"/>
          <w:szCs w:val="20"/>
          <w:lang w:bidi="hi-IN"/>
        </w:rPr>
        <w:t xml:space="preserve">(4), 915–925. </w:t>
      </w:r>
      <w:hyperlink r:id="rId28" w:history="1">
        <w:r w:rsidRPr="00563F47">
          <w:rPr>
            <w:rStyle w:val="Hyperlink"/>
            <w:rFonts w:ascii="Arial" w:hAnsi="Arial" w:cs="Arial"/>
            <w:sz w:val="20"/>
            <w:szCs w:val="20"/>
            <w:lang w:bidi="hi-IN"/>
          </w:rPr>
          <w:t>https://doi.org/10.1111/j.1399-3054.1963.tb08367.x</w:t>
        </w:r>
      </w:hyperlink>
    </w:p>
    <w:p w14:paraId="1D7B4C39"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 xml:space="preserve">Mazzeo, T., N’Dri, D., </w:t>
      </w:r>
      <w:proofErr w:type="spellStart"/>
      <w:r w:rsidRPr="00563F47">
        <w:rPr>
          <w:rFonts w:ascii="Arial" w:hAnsi="Arial" w:cs="Arial"/>
          <w:color w:val="000000" w:themeColor="text1"/>
          <w:sz w:val="20"/>
          <w:szCs w:val="20"/>
          <w:shd w:val="clear" w:color="auto" w:fill="FFFFFF"/>
        </w:rPr>
        <w:t>Chiavaro</w:t>
      </w:r>
      <w:proofErr w:type="spellEnd"/>
      <w:r w:rsidRPr="00563F47">
        <w:rPr>
          <w:rFonts w:ascii="Arial" w:hAnsi="Arial" w:cs="Arial"/>
          <w:color w:val="000000" w:themeColor="text1"/>
          <w:sz w:val="20"/>
          <w:szCs w:val="20"/>
          <w:shd w:val="clear" w:color="auto" w:fill="FFFFFF"/>
        </w:rPr>
        <w:t>, E., Visconti, A., Fogliano, V., &amp; Pellegrini, N. (2011). Effect of two cooking procedures on phytochemical compounds, total antioxidant capacity and colour of selected frozen vegetables. </w:t>
      </w:r>
      <w:r w:rsidRPr="00563F47">
        <w:rPr>
          <w:rFonts w:ascii="Arial" w:hAnsi="Arial" w:cs="Arial"/>
          <w:i/>
          <w:iCs/>
          <w:color w:val="000000" w:themeColor="text1"/>
          <w:sz w:val="20"/>
          <w:szCs w:val="20"/>
          <w:shd w:val="clear" w:color="auto" w:fill="FFFFFF"/>
        </w:rPr>
        <w:t>Food Chemistry</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128</w:t>
      </w:r>
      <w:r w:rsidRPr="00563F47">
        <w:rPr>
          <w:rFonts w:ascii="Arial" w:hAnsi="Arial" w:cs="Arial"/>
          <w:color w:val="000000" w:themeColor="text1"/>
          <w:sz w:val="20"/>
          <w:szCs w:val="20"/>
          <w:shd w:val="clear" w:color="auto" w:fill="FFFFFF"/>
        </w:rPr>
        <w:t>(3), 627–633. </w:t>
      </w:r>
      <w:hyperlink r:id="rId29" w:history="1">
        <w:r w:rsidRPr="00563F47">
          <w:rPr>
            <w:rStyle w:val="Hyperlink"/>
            <w:rFonts w:ascii="Arial" w:hAnsi="Arial" w:cs="Arial"/>
            <w:sz w:val="20"/>
            <w:szCs w:val="20"/>
            <w:shd w:val="clear" w:color="auto" w:fill="FFFFFF"/>
          </w:rPr>
          <w:t>https://doi.org/10.1016/j.foodchem.2011.03.070</w:t>
        </w:r>
      </w:hyperlink>
    </w:p>
    <w:p w14:paraId="1E27EF2A"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Meda, A., Lamien, C. E., Romito, M., Millogo, J., &amp; Nacoulma, O. G. (2004). Determination of total phenolic, flavonoid, and proline contents in Burkina Fasan honey. </w:t>
      </w:r>
      <w:r w:rsidRPr="00563F47">
        <w:rPr>
          <w:rStyle w:val="a5"/>
          <w:rFonts w:ascii="Arial" w:hAnsi="Arial" w:cs="Arial"/>
          <w:sz w:val="20"/>
          <w:szCs w:val="20"/>
          <w:lang w:bidi="hi-IN"/>
        </w:rPr>
        <w:t>Food Chemistry, 91</w:t>
      </w:r>
      <w:r w:rsidRPr="00563F47">
        <w:rPr>
          <w:rFonts w:ascii="Arial" w:hAnsi="Arial" w:cs="Arial"/>
          <w:sz w:val="20"/>
          <w:szCs w:val="20"/>
          <w:lang w:bidi="hi-IN"/>
        </w:rPr>
        <w:t xml:space="preserve">(3), 571–577. </w:t>
      </w:r>
      <w:hyperlink r:id="rId30" w:history="1">
        <w:r w:rsidRPr="00563F47">
          <w:rPr>
            <w:rStyle w:val="Hyperlink"/>
            <w:rFonts w:ascii="Arial" w:hAnsi="Arial" w:cs="Arial"/>
            <w:sz w:val="20"/>
            <w:szCs w:val="20"/>
            <w:lang w:bidi="hi-IN"/>
          </w:rPr>
          <w:t>https://doi.org/10.1016/j.foodchem.2004.10.006</w:t>
        </w:r>
      </w:hyperlink>
    </w:p>
    <w:p w14:paraId="7D0EEA88" w14:textId="77777777" w:rsidR="00563F47" w:rsidRPr="00563F47" w:rsidRDefault="00563F47" w:rsidP="005F2EF1">
      <w:pPr>
        <w:widowControl w:val="0"/>
        <w:spacing w:before="100" w:after="240" w:line="240" w:lineRule="auto"/>
        <w:jc w:val="both"/>
        <w:rPr>
          <w:rStyle w:val="Hyperlink"/>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 xml:space="preserve">Monalisa, K., Bhuiyan, J., Islam, M., &amp; Sayem, A. (2020). Boiling-induced changes on physicochemical, bioactive compounds, </w:t>
      </w:r>
      <w:proofErr w:type="spellStart"/>
      <w:r w:rsidRPr="00563F47">
        <w:rPr>
          <w:rFonts w:ascii="Arial" w:hAnsi="Arial" w:cs="Arial"/>
          <w:color w:val="000000" w:themeColor="text1"/>
          <w:sz w:val="20"/>
          <w:szCs w:val="20"/>
          <w:shd w:val="clear" w:color="auto" w:fill="FFFFFF"/>
        </w:rPr>
        <w:t>color</w:t>
      </w:r>
      <w:proofErr w:type="spellEnd"/>
      <w:r w:rsidRPr="00563F47">
        <w:rPr>
          <w:rFonts w:ascii="Arial" w:hAnsi="Arial" w:cs="Arial"/>
          <w:color w:val="000000" w:themeColor="text1"/>
          <w:sz w:val="20"/>
          <w:szCs w:val="20"/>
          <w:shd w:val="clear" w:color="auto" w:fill="FFFFFF"/>
        </w:rPr>
        <w:t xml:space="preserve">, and texture properties of pumpkin (Cucurbita maxima). </w:t>
      </w:r>
      <w:r w:rsidRPr="00563F47">
        <w:rPr>
          <w:rFonts w:ascii="Arial" w:hAnsi="Arial" w:cs="Arial"/>
          <w:i/>
          <w:iCs/>
          <w:color w:val="000000" w:themeColor="text1"/>
          <w:sz w:val="20"/>
          <w:szCs w:val="20"/>
          <w:shd w:val="clear" w:color="auto" w:fill="FFFFFF"/>
        </w:rPr>
        <w:t>Food Science and Technology International</w:t>
      </w:r>
      <w:r w:rsidRPr="00563F47">
        <w:rPr>
          <w:rFonts w:ascii="Arial" w:hAnsi="Arial" w:cs="Arial"/>
          <w:color w:val="000000" w:themeColor="text1"/>
          <w:sz w:val="20"/>
          <w:szCs w:val="20"/>
          <w:shd w:val="clear" w:color="auto" w:fill="FFFFFF"/>
        </w:rPr>
        <w:t xml:space="preserve">, </w:t>
      </w:r>
      <w:r w:rsidRPr="00563F47">
        <w:rPr>
          <w:rFonts w:ascii="Arial" w:hAnsi="Arial" w:cs="Arial"/>
          <w:i/>
          <w:iCs/>
          <w:color w:val="000000" w:themeColor="text1"/>
          <w:sz w:val="20"/>
          <w:szCs w:val="20"/>
          <w:shd w:val="clear" w:color="auto" w:fill="FFFFFF"/>
        </w:rPr>
        <w:t>26</w:t>
      </w:r>
      <w:r w:rsidRPr="00563F47">
        <w:rPr>
          <w:rFonts w:ascii="Arial" w:hAnsi="Arial" w:cs="Arial"/>
          <w:color w:val="000000" w:themeColor="text1"/>
          <w:sz w:val="20"/>
          <w:szCs w:val="20"/>
          <w:shd w:val="clear" w:color="auto" w:fill="FFFFFF"/>
        </w:rPr>
        <w:t xml:space="preserve">(4), 333–343. </w:t>
      </w:r>
      <w:hyperlink r:id="rId31" w:history="1">
        <w:r w:rsidRPr="00563F47">
          <w:rPr>
            <w:rStyle w:val="Hyperlink"/>
            <w:rFonts w:ascii="Arial" w:hAnsi="Arial" w:cs="Arial"/>
            <w:color w:val="000000" w:themeColor="text1"/>
            <w:sz w:val="20"/>
            <w:szCs w:val="20"/>
            <w:shd w:val="clear" w:color="auto" w:fill="FFFFFF"/>
          </w:rPr>
          <w:t>https://doi.org/10.1177/1082013219894402</w:t>
        </w:r>
      </w:hyperlink>
    </w:p>
    <w:p w14:paraId="4048602A" w14:textId="77777777" w:rsidR="00563F47" w:rsidRPr="00563F47" w:rsidRDefault="00563F47" w:rsidP="005F2EF1">
      <w:pPr>
        <w:widowControl w:val="0"/>
        <w:spacing w:before="100" w:after="240" w:line="240" w:lineRule="auto"/>
        <w:jc w:val="both"/>
        <w:rPr>
          <w:rStyle w:val="Hyperlink"/>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Nambi, V. E., Gupta, R. K., Kumar, S., &amp; Sharma, P. C. (2016). Degradation kinetics of bioactive components, antioxidant activity, colour and textural properties of selected vegetables during blanching. </w:t>
      </w:r>
      <w:r w:rsidRPr="00563F47">
        <w:rPr>
          <w:rFonts w:ascii="Arial" w:hAnsi="Arial" w:cs="Arial"/>
          <w:i/>
          <w:iCs/>
          <w:color w:val="000000" w:themeColor="text1"/>
          <w:sz w:val="20"/>
          <w:szCs w:val="20"/>
          <w:shd w:val="clear" w:color="auto" w:fill="FFFFFF"/>
        </w:rPr>
        <w:t>Journal of Food Science and Technology</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53</w:t>
      </w:r>
      <w:r w:rsidRPr="00563F47">
        <w:rPr>
          <w:rFonts w:ascii="Arial" w:hAnsi="Arial" w:cs="Arial"/>
          <w:color w:val="000000" w:themeColor="text1"/>
          <w:sz w:val="20"/>
          <w:szCs w:val="20"/>
          <w:shd w:val="clear" w:color="auto" w:fill="FFFFFF"/>
        </w:rPr>
        <w:t>(7), 3073–3082. </w:t>
      </w:r>
      <w:hyperlink r:id="rId32" w:history="1">
        <w:r w:rsidRPr="00563F47">
          <w:rPr>
            <w:rStyle w:val="Hyperlink"/>
            <w:rFonts w:ascii="Arial" w:hAnsi="Arial" w:cs="Arial"/>
            <w:color w:val="000000" w:themeColor="text1"/>
            <w:sz w:val="20"/>
            <w:szCs w:val="20"/>
            <w:shd w:val="clear" w:color="auto" w:fill="FFFFFF"/>
          </w:rPr>
          <w:t>https://doi.org/10.1007/s13197-016-2280-2</w:t>
        </w:r>
      </w:hyperlink>
    </w:p>
    <w:p w14:paraId="339DEF5E" w14:textId="77777777" w:rsidR="00563F47" w:rsidRPr="00563F47" w:rsidRDefault="00563F47" w:rsidP="00563F47">
      <w:pPr>
        <w:pStyle w:val="a3"/>
        <w:rPr>
          <w:rStyle w:val="Hyperlink"/>
          <w:rFonts w:ascii="Arial" w:hAnsi="Arial" w:cs="Arial"/>
          <w:sz w:val="20"/>
          <w:szCs w:val="20"/>
          <w:lang w:bidi="hi-IN"/>
        </w:rPr>
      </w:pPr>
      <w:r w:rsidRPr="00563F47">
        <w:rPr>
          <w:rFonts w:ascii="Arial" w:hAnsi="Arial" w:cs="Arial"/>
          <w:sz w:val="20"/>
          <w:szCs w:val="20"/>
          <w:lang w:bidi="hi-IN"/>
        </w:rPr>
        <w:t xml:space="preserve">Ncube, N. S., Afolayan, A. J., &amp; Okoh, A. I. (2008). Assessment techniques of antimicrobial properties of natural compounds of plant origin. </w:t>
      </w:r>
      <w:r w:rsidRPr="00563F47">
        <w:rPr>
          <w:rStyle w:val="a5"/>
          <w:rFonts w:ascii="Arial" w:hAnsi="Arial" w:cs="Arial"/>
          <w:sz w:val="20"/>
          <w:szCs w:val="20"/>
          <w:lang w:bidi="hi-IN"/>
        </w:rPr>
        <w:t>African Journal of Biotechnology, 7</w:t>
      </w:r>
      <w:r w:rsidRPr="00563F47">
        <w:rPr>
          <w:rFonts w:ascii="Arial" w:hAnsi="Arial" w:cs="Arial"/>
          <w:sz w:val="20"/>
          <w:szCs w:val="20"/>
          <w:lang w:bidi="hi-IN"/>
        </w:rPr>
        <w:t xml:space="preserve">(12), 1797–1806. </w:t>
      </w:r>
      <w:hyperlink r:id="rId33" w:history="1">
        <w:r w:rsidRPr="00563F47">
          <w:rPr>
            <w:rStyle w:val="Hyperlink"/>
            <w:rFonts w:ascii="Arial" w:hAnsi="Arial" w:cs="Arial"/>
            <w:sz w:val="20"/>
            <w:szCs w:val="20"/>
            <w:lang w:bidi="hi-IN"/>
          </w:rPr>
          <w:t>https://doi.org/10.5897/AJB07.613</w:t>
        </w:r>
      </w:hyperlink>
    </w:p>
    <w:p w14:paraId="4CF4C742" w14:textId="77777777" w:rsidR="00563F47" w:rsidRPr="00563F47" w:rsidRDefault="00563F47" w:rsidP="005F2EF1">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Nwaichi</w:t>
      </w:r>
      <w:proofErr w:type="spellEnd"/>
      <w:r w:rsidRPr="00563F47">
        <w:rPr>
          <w:rFonts w:ascii="Arial" w:hAnsi="Arial" w:cs="Arial"/>
          <w:bCs/>
          <w:color w:val="000000" w:themeColor="text1"/>
          <w:sz w:val="20"/>
          <w:szCs w:val="20"/>
        </w:rPr>
        <w:t xml:space="preserve">, E.O. (2013). Effect of Heat Treatment on the Antioxidant Properties of </w:t>
      </w:r>
      <w:proofErr w:type="spellStart"/>
      <w:r w:rsidRPr="00563F47">
        <w:rPr>
          <w:rFonts w:ascii="Arial" w:hAnsi="Arial" w:cs="Arial"/>
          <w:bCs/>
          <w:color w:val="000000" w:themeColor="text1"/>
          <w:sz w:val="20"/>
          <w:szCs w:val="20"/>
        </w:rPr>
        <w:t>Tetrapleura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Tetraptera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Xylopia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Ethiopica</w:t>
      </w:r>
      <w:proofErr w:type="spellEnd"/>
      <w:r w:rsidRPr="00563F47">
        <w:rPr>
          <w:rFonts w:ascii="Arial" w:hAnsi="Arial" w:cs="Arial"/>
          <w:bCs/>
          <w:color w:val="000000" w:themeColor="text1"/>
          <w:sz w:val="20"/>
          <w:szCs w:val="20"/>
        </w:rPr>
        <w:t xml:space="preserve"> and Piper </w:t>
      </w:r>
      <w:proofErr w:type="spellStart"/>
      <w:r w:rsidRPr="00563F47">
        <w:rPr>
          <w:rFonts w:ascii="Arial" w:hAnsi="Arial" w:cs="Arial"/>
          <w:bCs/>
          <w:color w:val="000000" w:themeColor="text1"/>
          <w:sz w:val="20"/>
          <w:szCs w:val="20"/>
        </w:rPr>
        <w:t>Guineense</w:t>
      </w:r>
      <w:proofErr w:type="spellEnd"/>
      <w:r w:rsidRPr="00563F47">
        <w:rPr>
          <w:rFonts w:ascii="Arial" w:hAnsi="Arial" w:cs="Arial"/>
          <w:bCs/>
          <w:color w:val="000000" w:themeColor="text1"/>
          <w:sz w:val="20"/>
          <w:szCs w:val="20"/>
        </w:rPr>
        <w:t>. Journal of Medical Research and Development, 2(3) 59-63</w:t>
      </w:r>
    </w:p>
    <w:p w14:paraId="658D0E35"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rPr>
      </w:pPr>
      <w:r w:rsidRPr="00563F47">
        <w:rPr>
          <w:rFonts w:ascii="Arial" w:hAnsi="Arial" w:cs="Arial"/>
          <w:color w:val="000000" w:themeColor="text1"/>
          <w:sz w:val="20"/>
          <w:szCs w:val="20"/>
        </w:rPr>
        <w:t>Palermo, M., Pellegrini, N., &amp; Fogliano, V. (2014). The effect of cooking on the phytochemical content of vegetables. </w:t>
      </w:r>
      <w:r w:rsidRPr="00563F47">
        <w:rPr>
          <w:rFonts w:ascii="Arial" w:hAnsi="Arial" w:cs="Arial"/>
          <w:i/>
          <w:iCs/>
          <w:color w:val="000000" w:themeColor="text1"/>
          <w:sz w:val="20"/>
          <w:szCs w:val="20"/>
        </w:rPr>
        <w:t>Journal of the Science of Food and Agriculture</w:t>
      </w:r>
      <w:r w:rsidRPr="00563F47">
        <w:rPr>
          <w:rFonts w:ascii="Arial" w:hAnsi="Arial" w:cs="Arial"/>
          <w:color w:val="000000" w:themeColor="text1"/>
          <w:sz w:val="20"/>
          <w:szCs w:val="20"/>
        </w:rPr>
        <w:t>, </w:t>
      </w:r>
      <w:r w:rsidRPr="00563F47">
        <w:rPr>
          <w:rFonts w:ascii="Arial" w:hAnsi="Arial" w:cs="Arial"/>
          <w:i/>
          <w:iCs/>
          <w:color w:val="000000" w:themeColor="text1"/>
          <w:sz w:val="20"/>
          <w:szCs w:val="20"/>
        </w:rPr>
        <w:t>94</w:t>
      </w:r>
      <w:r w:rsidRPr="00563F47">
        <w:rPr>
          <w:rFonts w:ascii="Arial" w:hAnsi="Arial" w:cs="Arial"/>
          <w:color w:val="000000" w:themeColor="text1"/>
          <w:sz w:val="20"/>
          <w:szCs w:val="20"/>
        </w:rPr>
        <w:t xml:space="preserve">(6), 1057–1070.  </w:t>
      </w:r>
    </w:p>
    <w:p w14:paraId="6F670249"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lastRenderedPageBreak/>
        <w:t xml:space="preserve">Pereira, A. S., Banegas-Luna, A. J., Peña-García, J., Pérez-Sánchez, H., &amp; Apostolides, Z. (2019). Evaluation of the anti-diabetic activity of some common herbs and spices. </w:t>
      </w:r>
      <w:r w:rsidRPr="00563F47">
        <w:rPr>
          <w:rStyle w:val="a5"/>
          <w:rFonts w:ascii="Arial" w:hAnsi="Arial" w:cs="Arial"/>
          <w:sz w:val="20"/>
          <w:szCs w:val="20"/>
          <w:lang w:bidi="hi-IN"/>
        </w:rPr>
        <w:t>Molecules, 24</w:t>
      </w:r>
      <w:r w:rsidRPr="00563F47">
        <w:rPr>
          <w:rFonts w:ascii="Arial" w:hAnsi="Arial" w:cs="Arial"/>
          <w:sz w:val="20"/>
          <w:szCs w:val="20"/>
          <w:lang w:bidi="hi-IN"/>
        </w:rPr>
        <w:t xml:space="preserve">(22), 4030. </w:t>
      </w:r>
      <w:hyperlink r:id="rId34" w:history="1">
        <w:r w:rsidRPr="00563F47">
          <w:rPr>
            <w:rStyle w:val="Hyperlink"/>
            <w:rFonts w:ascii="Arial" w:hAnsi="Arial" w:cs="Arial"/>
            <w:sz w:val="20"/>
            <w:szCs w:val="20"/>
            <w:lang w:bidi="hi-IN"/>
          </w:rPr>
          <w:t>https://doi.org/10.3390/molecules24224030</w:t>
        </w:r>
      </w:hyperlink>
    </w:p>
    <w:p w14:paraId="5DCF8E19"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Ramakrishnan, S., </w:t>
      </w:r>
      <w:proofErr w:type="spellStart"/>
      <w:r w:rsidRPr="00563F47">
        <w:rPr>
          <w:rFonts w:ascii="Arial" w:hAnsi="Arial" w:cs="Arial"/>
          <w:sz w:val="20"/>
          <w:szCs w:val="20"/>
          <w:lang w:bidi="hi-IN"/>
        </w:rPr>
        <w:t>Prasannan</w:t>
      </w:r>
      <w:proofErr w:type="spellEnd"/>
      <w:r w:rsidRPr="00563F47">
        <w:rPr>
          <w:rFonts w:ascii="Arial" w:hAnsi="Arial" w:cs="Arial"/>
          <w:sz w:val="20"/>
          <w:szCs w:val="20"/>
          <w:lang w:bidi="hi-IN"/>
        </w:rPr>
        <w:t xml:space="preserve">, K. G., &amp; Rajan, R. (1994). </w:t>
      </w:r>
      <w:r w:rsidRPr="00563F47">
        <w:rPr>
          <w:rStyle w:val="a5"/>
          <w:rFonts w:ascii="Arial" w:hAnsi="Arial" w:cs="Arial"/>
          <w:sz w:val="20"/>
          <w:szCs w:val="20"/>
          <w:lang w:bidi="hi-IN"/>
        </w:rPr>
        <w:t>Textbook of medical biochemistry</w:t>
      </w:r>
      <w:r w:rsidRPr="00563F47">
        <w:rPr>
          <w:rFonts w:ascii="Arial" w:hAnsi="Arial" w:cs="Arial"/>
          <w:sz w:val="20"/>
          <w:szCs w:val="20"/>
          <w:lang w:bidi="hi-IN"/>
        </w:rPr>
        <w:t>. Orient Longman.</w:t>
      </w:r>
    </w:p>
    <w:p w14:paraId="7E8B3E5A"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Rana, M. R., Ahmad, H., Sayem, A. S. M., Jothi, J. S., Hoque, M. M., &amp; Rahman, M. (2021). Effects of different cooking methods on physicochemical and bioactive compounds. </w:t>
      </w:r>
      <w:r w:rsidRPr="00563F47">
        <w:rPr>
          <w:rStyle w:val="a5"/>
          <w:rFonts w:ascii="Arial" w:hAnsi="Arial" w:cs="Arial"/>
          <w:sz w:val="20"/>
          <w:szCs w:val="20"/>
          <w:lang w:bidi="hi-IN"/>
        </w:rPr>
        <w:t>Current Research in Nutrition and Food Science, 9</w:t>
      </w:r>
      <w:r w:rsidRPr="00563F47">
        <w:rPr>
          <w:rFonts w:ascii="Arial" w:hAnsi="Arial" w:cs="Arial"/>
          <w:sz w:val="20"/>
          <w:szCs w:val="20"/>
          <w:lang w:bidi="hi-IN"/>
        </w:rPr>
        <w:t xml:space="preserve">(2). </w:t>
      </w:r>
      <w:hyperlink r:id="rId35" w:history="1">
        <w:r w:rsidRPr="00563F47">
          <w:rPr>
            <w:rStyle w:val="Hyperlink"/>
            <w:rFonts w:ascii="Arial" w:hAnsi="Arial" w:cs="Arial"/>
            <w:sz w:val="20"/>
            <w:szCs w:val="20"/>
            <w:lang w:bidi="hi-IN"/>
          </w:rPr>
          <w:t>http://dx.doi.org/10.12944/CRNFSJ.9.2.26</w:t>
        </w:r>
      </w:hyperlink>
    </w:p>
    <w:p w14:paraId="3EE40AC4"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Ruthmann, A. C. (1970). </w:t>
      </w:r>
      <w:r w:rsidRPr="00563F47">
        <w:rPr>
          <w:rStyle w:val="a5"/>
          <w:rFonts w:ascii="Arial" w:hAnsi="Arial" w:cs="Arial"/>
          <w:sz w:val="20"/>
          <w:szCs w:val="20"/>
          <w:lang w:bidi="hi-IN"/>
        </w:rPr>
        <w:t>Methods in cell research</w:t>
      </w:r>
      <w:r w:rsidRPr="00563F47">
        <w:rPr>
          <w:rFonts w:ascii="Arial" w:hAnsi="Arial" w:cs="Arial"/>
          <w:sz w:val="20"/>
          <w:szCs w:val="20"/>
          <w:lang w:bidi="hi-IN"/>
        </w:rPr>
        <w:t>. Cornell University Press.</w:t>
      </w:r>
    </w:p>
    <w:p w14:paraId="4D7DD5A6"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eastAsia="Times New Roman" w:hAnsi="Arial" w:cs="Arial"/>
          <w:sz w:val="20"/>
          <w:szCs w:val="20"/>
          <w:lang w:eastAsia="en-IN" w:bidi="pa-IN"/>
        </w:rPr>
        <w:t xml:space="preserve">Shahidi, F., &amp; Hossain, A. (2023). Importance of Insoluble-Bound Phenolics to the Antioxidant Potential Is Dictated by Source Material. Antioxidants, 12(1), 203. </w:t>
      </w:r>
      <w:hyperlink r:id="rId36" w:history="1">
        <w:r w:rsidRPr="00563F47">
          <w:rPr>
            <w:rStyle w:val="Hyperlink"/>
            <w:rFonts w:ascii="Arial" w:eastAsia="Times New Roman" w:hAnsi="Arial" w:cs="Arial"/>
            <w:sz w:val="20"/>
            <w:szCs w:val="20"/>
            <w:lang w:eastAsia="en-IN" w:bidi="pa-IN"/>
          </w:rPr>
          <w:t>https://doi.org/10.3390/antiox12010203</w:t>
        </w:r>
      </w:hyperlink>
    </w:p>
    <w:p w14:paraId="6F7A0FFA" w14:textId="77777777" w:rsidR="00563F47" w:rsidRPr="00563F47" w:rsidRDefault="00563F47" w:rsidP="005F2EF1">
      <w:pPr>
        <w:widowControl w:val="0"/>
        <w:spacing w:before="100" w:after="100" w:line="240" w:lineRule="auto"/>
        <w:jc w:val="both"/>
        <w:rPr>
          <w:rStyle w:val="Hyperlink"/>
          <w:rFonts w:ascii="Arial" w:hAnsi="Arial" w:cs="Arial"/>
          <w:color w:val="000000" w:themeColor="text1"/>
          <w:sz w:val="20"/>
          <w:szCs w:val="20"/>
        </w:rPr>
      </w:pPr>
      <w:proofErr w:type="spellStart"/>
      <w:r w:rsidRPr="00563F47">
        <w:rPr>
          <w:rFonts w:ascii="Arial" w:hAnsi="Arial" w:cs="Arial"/>
          <w:color w:val="000000" w:themeColor="text1"/>
          <w:sz w:val="20"/>
          <w:szCs w:val="20"/>
        </w:rPr>
        <w:t>Shobham</w:t>
      </w:r>
      <w:proofErr w:type="spellEnd"/>
      <w:r w:rsidRPr="00563F47">
        <w:rPr>
          <w:rFonts w:ascii="Arial" w:hAnsi="Arial" w:cs="Arial"/>
          <w:color w:val="000000" w:themeColor="text1"/>
          <w:sz w:val="20"/>
          <w:szCs w:val="20"/>
        </w:rPr>
        <w:t>, Raju, K., Mounica, M., &amp; Sukumaran, M. (2017). Effect of microwave and pressure cooking on stability of vitamin C in some selected vegetables. </w:t>
      </w:r>
      <w:r w:rsidRPr="00563F47">
        <w:rPr>
          <w:rFonts w:ascii="Arial" w:hAnsi="Arial" w:cs="Arial"/>
          <w:i/>
          <w:iCs/>
          <w:color w:val="000000" w:themeColor="text1"/>
          <w:sz w:val="20"/>
          <w:szCs w:val="20"/>
        </w:rPr>
        <w:t>International Journal of Current Microbiology and Applied Sciences</w:t>
      </w:r>
      <w:r w:rsidRPr="00563F47">
        <w:rPr>
          <w:rFonts w:ascii="Arial" w:hAnsi="Arial" w:cs="Arial"/>
          <w:color w:val="000000" w:themeColor="text1"/>
          <w:sz w:val="20"/>
          <w:szCs w:val="20"/>
        </w:rPr>
        <w:t>, </w:t>
      </w:r>
      <w:r w:rsidRPr="00563F47">
        <w:rPr>
          <w:rFonts w:ascii="Arial" w:hAnsi="Arial" w:cs="Arial"/>
          <w:i/>
          <w:iCs/>
          <w:color w:val="000000" w:themeColor="text1"/>
          <w:sz w:val="20"/>
          <w:szCs w:val="20"/>
        </w:rPr>
        <w:t>6</w:t>
      </w:r>
      <w:r w:rsidRPr="00563F47">
        <w:rPr>
          <w:rFonts w:ascii="Arial" w:hAnsi="Arial" w:cs="Arial"/>
          <w:color w:val="000000" w:themeColor="text1"/>
          <w:sz w:val="20"/>
          <w:szCs w:val="20"/>
        </w:rPr>
        <w:t>(8), 2391–2397. </w:t>
      </w:r>
      <w:hyperlink r:id="rId37" w:history="1">
        <w:r w:rsidRPr="00563F47">
          <w:rPr>
            <w:rStyle w:val="Hyperlink"/>
            <w:rFonts w:ascii="Arial" w:hAnsi="Arial" w:cs="Arial"/>
            <w:color w:val="000000" w:themeColor="text1"/>
            <w:sz w:val="20"/>
            <w:szCs w:val="20"/>
          </w:rPr>
          <w:t>https://doi.org/10.20546/ijcmas.2017.609.293</w:t>
        </w:r>
      </w:hyperlink>
    </w:p>
    <w:p w14:paraId="38C3DF62"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Singleton, V. L., </w:t>
      </w:r>
      <w:proofErr w:type="spellStart"/>
      <w:r w:rsidRPr="00563F47">
        <w:rPr>
          <w:rFonts w:ascii="Arial" w:hAnsi="Arial" w:cs="Arial"/>
          <w:sz w:val="20"/>
          <w:szCs w:val="20"/>
          <w:lang w:bidi="hi-IN"/>
        </w:rPr>
        <w:t>Orthofer</w:t>
      </w:r>
      <w:proofErr w:type="spellEnd"/>
      <w:r w:rsidRPr="00563F47">
        <w:rPr>
          <w:rFonts w:ascii="Arial" w:hAnsi="Arial" w:cs="Arial"/>
          <w:sz w:val="20"/>
          <w:szCs w:val="20"/>
          <w:lang w:bidi="hi-IN"/>
        </w:rPr>
        <w:t xml:space="preserve">, R., &amp; </w:t>
      </w:r>
      <w:proofErr w:type="spellStart"/>
      <w:r w:rsidRPr="00563F47">
        <w:rPr>
          <w:rFonts w:ascii="Arial" w:hAnsi="Arial" w:cs="Arial"/>
          <w:sz w:val="20"/>
          <w:szCs w:val="20"/>
          <w:lang w:bidi="hi-IN"/>
        </w:rPr>
        <w:t>Lamuela-Raventós</w:t>
      </w:r>
      <w:proofErr w:type="spellEnd"/>
      <w:r w:rsidRPr="00563F47">
        <w:rPr>
          <w:rFonts w:ascii="Arial" w:hAnsi="Arial" w:cs="Arial"/>
          <w:sz w:val="20"/>
          <w:szCs w:val="20"/>
          <w:lang w:bidi="hi-IN"/>
        </w:rPr>
        <w:t xml:space="preserve">, R. M. (1999). Analysis of total phenols using </w:t>
      </w:r>
      <w:proofErr w:type="spellStart"/>
      <w:r w:rsidRPr="00563F47">
        <w:rPr>
          <w:rFonts w:ascii="Arial" w:hAnsi="Arial" w:cs="Arial"/>
          <w:sz w:val="20"/>
          <w:szCs w:val="20"/>
          <w:lang w:bidi="hi-IN"/>
        </w:rPr>
        <w:t>Folin</w:t>
      </w:r>
      <w:proofErr w:type="spellEnd"/>
      <w:r w:rsidRPr="00563F47">
        <w:rPr>
          <w:rFonts w:ascii="Arial" w:hAnsi="Arial" w:cs="Arial"/>
          <w:sz w:val="20"/>
          <w:szCs w:val="20"/>
          <w:lang w:bidi="hi-IN"/>
        </w:rPr>
        <w:t>–</w:t>
      </w:r>
      <w:proofErr w:type="spellStart"/>
      <w:r w:rsidRPr="00563F47">
        <w:rPr>
          <w:rFonts w:ascii="Arial" w:hAnsi="Arial" w:cs="Arial"/>
          <w:sz w:val="20"/>
          <w:szCs w:val="20"/>
          <w:lang w:bidi="hi-IN"/>
        </w:rPr>
        <w:t>Ciocalteu</w:t>
      </w:r>
      <w:proofErr w:type="spellEnd"/>
      <w:r w:rsidRPr="00563F47">
        <w:rPr>
          <w:rFonts w:ascii="Arial" w:hAnsi="Arial" w:cs="Arial"/>
          <w:sz w:val="20"/>
          <w:szCs w:val="20"/>
          <w:lang w:bidi="hi-IN"/>
        </w:rPr>
        <w:t xml:space="preserve"> reagent. </w:t>
      </w:r>
      <w:r w:rsidRPr="00563F47">
        <w:rPr>
          <w:rStyle w:val="a5"/>
          <w:rFonts w:ascii="Arial" w:hAnsi="Arial" w:cs="Arial"/>
          <w:sz w:val="20"/>
          <w:szCs w:val="20"/>
          <w:lang w:bidi="hi-IN"/>
        </w:rPr>
        <w:t>Methods in Enzymology, 299</w:t>
      </w:r>
      <w:r w:rsidRPr="00563F47">
        <w:rPr>
          <w:rFonts w:ascii="Arial" w:hAnsi="Arial" w:cs="Arial"/>
          <w:sz w:val="20"/>
          <w:szCs w:val="20"/>
          <w:lang w:bidi="hi-IN"/>
        </w:rPr>
        <w:t xml:space="preserve">, 152–178. </w:t>
      </w:r>
      <w:hyperlink r:id="rId38" w:history="1">
        <w:r w:rsidRPr="00563F47">
          <w:rPr>
            <w:rStyle w:val="Hyperlink"/>
            <w:rFonts w:ascii="Arial" w:hAnsi="Arial" w:cs="Arial"/>
            <w:sz w:val="20"/>
            <w:szCs w:val="20"/>
            <w:lang w:bidi="hi-IN"/>
          </w:rPr>
          <w:t>https://doi.org/10.1016/S0076-6879(99)99017-1</w:t>
        </w:r>
      </w:hyperlink>
    </w:p>
    <w:p w14:paraId="4D5D8C4A" w14:textId="77777777" w:rsidR="00563F47" w:rsidRPr="00563F47" w:rsidRDefault="00563F47" w:rsidP="005F2EF1">
      <w:pPr>
        <w:widowControl w:val="0"/>
        <w:spacing w:before="100" w:beforeAutospacing="1" w:after="100" w:line="240" w:lineRule="auto"/>
        <w:jc w:val="both"/>
        <w:rPr>
          <w:rFonts w:ascii="Arial" w:hAnsi="Arial" w:cs="Arial"/>
          <w:color w:val="000000" w:themeColor="text1"/>
          <w:sz w:val="20"/>
          <w:szCs w:val="20"/>
        </w:rPr>
      </w:pPr>
      <w:r w:rsidRPr="00563F47">
        <w:rPr>
          <w:rFonts w:ascii="Arial" w:hAnsi="Arial" w:cs="Arial"/>
          <w:color w:val="000000" w:themeColor="text1"/>
          <w:sz w:val="20"/>
          <w:szCs w:val="20"/>
        </w:rPr>
        <w:t xml:space="preserve">Sutradhar, P., Ghosh, S., &amp; Roy, B. K. (2020). Effect of boiling and microwave assisted processing on the antimicrobial efficacy of vitamin–c in </w:t>
      </w:r>
      <w:proofErr w:type="spellStart"/>
      <w:r w:rsidRPr="00563F47">
        <w:rPr>
          <w:rFonts w:ascii="Arial" w:hAnsi="Arial" w:cs="Arial"/>
          <w:color w:val="000000" w:themeColor="text1"/>
          <w:sz w:val="20"/>
          <w:szCs w:val="20"/>
        </w:rPr>
        <w:t>emblica</w:t>
      </w:r>
      <w:proofErr w:type="spellEnd"/>
      <w:r w:rsidRPr="00563F47">
        <w:rPr>
          <w:rFonts w:ascii="Arial" w:hAnsi="Arial" w:cs="Arial"/>
          <w:color w:val="000000" w:themeColor="text1"/>
          <w:sz w:val="20"/>
          <w:szCs w:val="20"/>
        </w:rPr>
        <w:t xml:space="preserve"> </w:t>
      </w:r>
      <w:proofErr w:type="spellStart"/>
      <w:r w:rsidRPr="00563F47">
        <w:rPr>
          <w:rFonts w:ascii="Arial" w:hAnsi="Arial" w:cs="Arial"/>
          <w:color w:val="000000" w:themeColor="text1"/>
          <w:sz w:val="20"/>
          <w:szCs w:val="20"/>
        </w:rPr>
        <w:t>officinalis</w:t>
      </w:r>
      <w:proofErr w:type="spellEnd"/>
      <w:r w:rsidRPr="00563F47">
        <w:rPr>
          <w:rFonts w:ascii="Arial" w:hAnsi="Arial" w:cs="Arial"/>
          <w:color w:val="000000" w:themeColor="text1"/>
          <w:sz w:val="20"/>
          <w:szCs w:val="20"/>
        </w:rPr>
        <w:t>. </w:t>
      </w:r>
      <w:r w:rsidRPr="00563F47">
        <w:rPr>
          <w:rFonts w:ascii="Arial" w:hAnsi="Arial" w:cs="Arial"/>
          <w:i/>
          <w:iCs/>
          <w:color w:val="000000" w:themeColor="text1"/>
          <w:sz w:val="20"/>
          <w:szCs w:val="20"/>
        </w:rPr>
        <w:t>International Journal of Current Pharmaceutical Research</w:t>
      </w:r>
      <w:r w:rsidRPr="00563F47">
        <w:rPr>
          <w:rFonts w:ascii="Arial" w:hAnsi="Arial" w:cs="Arial"/>
          <w:color w:val="000000" w:themeColor="text1"/>
          <w:sz w:val="20"/>
          <w:szCs w:val="20"/>
        </w:rPr>
        <w:t>, 102–105. </w:t>
      </w:r>
      <w:hyperlink r:id="rId39" w:history="1">
        <w:r w:rsidRPr="00563F47">
          <w:rPr>
            <w:rStyle w:val="Hyperlink"/>
            <w:rFonts w:ascii="Arial" w:hAnsi="Arial" w:cs="Arial"/>
            <w:color w:val="000000" w:themeColor="text1"/>
            <w:sz w:val="20"/>
            <w:szCs w:val="20"/>
          </w:rPr>
          <w:t>https://doi.org/10.2 2159/ijcpr.2020v12i5.39780</w:t>
        </w:r>
      </w:hyperlink>
    </w:p>
    <w:p w14:paraId="18DBDCFC" w14:textId="77777777" w:rsidR="00563F47" w:rsidRPr="00563F47" w:rsidRDefault="00563F47" w:rsidP="005F2EF1">
      <w:pPr>
        <w:spacing w:before="100" w:beforeAutospacing="1" w:line="240" w:lineRule="auto"/>
        <w:jc w:val="both"/>
        <w:rPr>
          <w:rFonts w:ascii="Arial" w:hAnsi="Arial" w:cs="Arial"/>
          <w:sz w:val="20"/>
          <w:szCs w:val="20"/>
        </w:rPr>
      </w:pPr>
      <w:r w:rsidRPr="00563F47">
        <w:rPr>
          <w:rFonts w:ascii="Arial" w:hAnsi="Arial" w:cs="Arial"/>
          <w:sz w:val="20"/>
          <w:szCs w:val="20"/>
        </w:rPr>
        <w:t xml:space="preserve">Tian, Y., Xu, B., Yu, B., &amp; Sun, D.-W. (2016). Degradation of ascorbic acid during cooking. </w:t>
      </w:r>
      <w:r w:rsidRPr="00563F47">
        <w:rPr>
          <w:rFonts w:ascii="Arial" w:hAnsi="Arial" w:cs="Arial"/>
          <w:i/>
          <w:iCs/>
          <w:sz w:val="20"/>
          <w:szCs w:val="20"/>
        </w:rPr>
        <w:t>Food Chemistry</w:t>
      </w:r>
      <w:r w:rsidRPr="00563F47">
        <w:rPr>
          <w:rFonts w:ascii="Arial" w:hAnsi="Arial" w:cs="Arial"/>
          <w:sz w:val="20"/>
          <w:szCs w:val="20"/>
        </w:rPr>
        <w:t xml:space="preserve">, </w:t>
      </w:r>
      <w:r w:rsidRPr="00563F47">
        <w:rPr>
          <w:rFonts w:ascii="Arial" w:hAnsi="Arial" w:cs="Arial"/>
          <w:i/>
          <w:iCs/>
          <w:sz w:val="20"/>
          <w:szCs w:val="20"/>
        </w:rPr>
        <w:t>197</w:t>
      </w:r>
      <w:r w:rsidRPr="00563F47">
        <w:rPr>
          <w:rFonts w:ascii="Arial" w:hAnsi="Arial" w:cs="Arial"/>
          <w:sz w:val="20"/>
          <w:szCs w:val="20"/>
        </w:rPr>
        <w:t xml:space="preserve">, 1131–1137. </w:t>
      </w:r>
      <w:hyperlink r:id="rId40" w:history="1">
        <w:r w:rsidRPr="00563F47">
          <w:rPr>
            <w:rStyle w:val="Hyperlink"/>
            <w:rFonts w:ascii="Arial" w:hAnsi="Arial" w:cs="Arial"/>
            <w:sz w:val="20"/>
            <w:szCs w:val="20"/>
          </w:rPr>
          <w:t>https://doi.org/10.1016/j.foodchem.2015.11.111</w:t>
        </w:r>
      </w:hyperlink>
    </w:p>
    <w:p w14:paraId="45B96AD1"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Trease, G. E., &amp; Evans, W. C. (1989). </w:t>
      </w:r>
      <w:r w:rsidRPr="00563F47">
        <w:rPr>
          <w:rStyle w:val="a5"/>
          <w:rFonts w:ascii="Arial" w:hAnsi="Arial" w:cs="Arial"/>
          <w:sz w:val="20"/>
          <w:szCs w:val="20"/>
          <w:lang w:bidi="hi-IN"/>
        </w:rPr>
        <w:t>Pharmacognosy</w:t>
      </w:r>
      <w:r w:rsidRPr="00563F47">
        <w:rPr>
          <w:rFonts w:ascii="Arial" w:hAnsi="Arial" w:cs="Arial"/>
          <w:sz w:val="20"/>
          <w:szCs w:val="20"/>
          <w:lang w:bidi="hi-IN"/>
        </w:rPr>
        <w:t xml:space="preserve"> (11th ed.). Bailliere Tindall.</w:t>
      </w:r>
    </w:p>
    <w:p w14:paraId="7543A166"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Wagner, H. (1993). </w:t>
      </w:r>
      <w:proofErr w:type="spellStart"/>
      <w:r w:rsidRPr="00563F47">
        <w:rPr>
          <w:rStyle w:val="a5"/>
          <w:rFonts w:ascii="Arial" w:hAnsi="Arial" w:cs="Arial"/>
          <w:sz w:val="20"/>
          <w:szCs w:val="20"/>
          <w:lang w:bidi="hi-IN"/>
        </w:rPr>
        <w:t>Pharmazeutische</w:t>
      </w:r>
      <w:proofErr w:type="spellEnd"/>
      <w:r w:rsidRPr="00563F47">
        <w:rPr>
          <w:rStyle w:val="a5"/>
          <w:rFonts w:ascii="Arial" w:hAnsi="Arial" w:cs="Arial"/>
          <w:sz w:val="20"/>
          <w:szCs w:val="20"/>
          <w:lang w:bidi="hi-IN"/>
        </w:rPr>
        <w:t xml:space="preserve"> </w:t>
      </w:r>
      <w:proofErr w:type="spellStart"/>
      <w:r w:rsidRPr="00563F47">
        <w:rPr>
          <w:rStyle w:val="a5"/>
          <w:rFonts w:ascii="Arial" w:hAnsi="Arial" w:cs="Arial"/>
          <w:sz w:val="20"/>
          <w:szCs w:val="20"/>
          <w:lang w:bidi="hi-IN"/>
        </w:rPr>
        <w:t>Biologie</w:t>
      </w:r>
      <w:proofErr w:type="spellEnd"/>
      <w:r w:rsidRPr="00563F47">
        <w:rPr>
          <w:rFonts w:ascii="Arial" w:hAnsi="Arial" w:cs="Arial"/>
          <w:sz w:val="20"/>
          <w:szCs w:val="20"/>
          <w:lang w:bidi="hi-IN"/>
        </w:rPr>
        <w:t xml:space="preserve"> (5th ed.). Gustav Fischer Verlag.</w:t>
      </w:r>
    </w:p>
    <w:p w14:paraId="3E93BF37"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Wagner, H., Bladt, S., &amp; </w:t>
      </w:r>
      <w:proofErr w:type="spellStart"/>
      <w:r w:rsidRPr="00563F47">
        <w:rPr>
          <w:rFonts w:ascii="Arial" w:hAnsi="Arial" w:cs="Arial"/>
          <w:sz w:val="20"/>
          <w:szCs w:val="20"/>
          <w:lang w:bidi="hi-IN"/>
        </w:rPr>
        <w:t>Zgainski</w:t>
      </w:r>
      <w:proofErr w:type="spellEnd"/>
      <w:r w:rsidRPr="00563F47">
        <w:rPr>
          <w:rFonts w:ascii="Arial" w:hAnsi="Arial" w:cs="Arial"/>
          <w:sz w:val="20"/>
          <w:szCs w:val="20"/>
          <w:lang w:bidi="hi-IN"/>
        </w:rPr>
        <w:t xml:space="preserve">, E. M. (1996). </w:t>
      </w:r>
      <w:r w:rsidRPr="00563F47">
        <w:rPr>
          <w:rStyle w:val="a5"/>
          <w:rFonts w:ascii="Arial" w:hAnsi="Arial" w:cs="Arial"/>
          <w:sz w:val="20"/>
          <w:szCs w:val="20"/>
          <w:lang w:bidi="hi-IN"/>
        </w:rPr>
        <w:t>Plant drug analysis</w:t>
      </w:r>
      <w:r w:rsidRPr="00563F47">
        <w:rPr>
          <w:rFonts w:ascii="Arial" w:hAnsi="Arial" w:cs="Arial"/>
          <w:sz w:val="20"/>
          <w:szCs w:val="20"/>
          <w:lang w:bidi="hi-IN"/>
        </w:rPr>
        <w:t>. Springer.</w:t>
      </w:r>
    </w:p>
    <w:p w14:paraId="451B6FE1"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Waldi, D. (1965). Spray reagents for thin-layer chromatography. In E. Stahl (Ed.), </w:t>
      </w:r>
      <w:r w:rsidRPr="00563F47">
        <w:rPr>
          <w:rStyle w:val="a5"/>
          <w:rFonts w:ascii="Arial" w:hAnsi="Arial" w:cs="Arial"/>
          <w:sz w:val="20"/>
          <w:szCs w:val="20"/>
          <w:lang w:bidi="hi-IN"/>
        </w:rPr>
        <w:t>Thin-layer chromatography: A laboratory handbook</w:t>
      </w:r>
      <w:r w:rsidRPr="00563F47">
        <w:rPr>
          <w:rFonts w:ascii="Arial" w:hAnsi="Arial" w:cs="Arial"/>
          <w:sz w:val="20"/>
          <w:szCs w:val="20"/>
          <w:lang w:bidi="hi-IN"/>
        </w:rPr>
        <w:t>. Academic Press.</w:t>
      </w:r>
    </w:p>
    <w:p w14:paraId="489FEED8"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Whistler, R. L., &amp; BeMiller, J. N. (Eds.). (1993). </w:t>
      </w:r>
      <w:r w:rsidRPr="00563F47">
        <w:rPr>
          <w:rStyle w:val="a5"/>
          <w:rFonts w:ascii="Arial" w:hAnsi="Arial" w:cs="Arial"/>
          <w:sz w:val="20"/>
          <w:szCs w:val="20"/>
          <w:lang w:bidi="hi-IN"/>
        </w:rPr>
        <w:t>Industrial gums: Polysaccharides and their derivatives</w:t>
      </w:r>
      <w:r w:rsidRPr="00563F47">
        <w:rPr>
          <w:rFonts w:ascii="Arial" w:hAnsi="Arial" w:cs="Arial"/>
          <w:sz w:val="20"/>
          <w:szCs w:val="20"/>
          <w:lang w:bidi="hi-IN"/>
        </w:rPr>
        <w:t xml:space="preserve"> (3rd ed.). Academic Press.</w:t>
      </w:r>
    </w:p>
    <w:p w14:paraId="3A9AA1B8"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eastAsia="Times New Roman" w:hAnsi="Arial" w:cs="Arial"/>
          <w:sz w:val="20"/>
          <w:szCs w:val="20"/>
          <w:lang w:eastAsia="en-IN" w:bidi="pa-IN"/>
        </w:rPr>
        <w:t xml:space="preserve">Wu, X., Zhao, Y., </w:t>
      </w:r>
      <w:proofErr w:type="spellStart"/>
      <w:r w:rsidRPr="00563F47">
        <w:rPr>
          <w:rFonts w:ascii="Arial" w:eastAsia="Times New Roman" w:hAnsi="Arial" w:cs="Arial"/>
          <w:sz w:val="20"/>
          <w:szCs w:val="20"/>
          <w:lang w:eastAsia="en-IN" w:bidi="pa-IN"/>
        </w:rPr>
        <w:t>Haytowitz</w:t>
      </w:r>
      <w:proofErr w:type="spellEnd"/>
      <w:r w:rsidRPr="00563F47">
        <w:rPr>
          <w:rFonts w:ascii="Arial" w:eastAsia="Times New Roman" w:hAnsi="Arial" w:cs="Arial"/>
          <w:sz w:val="20"/>
          <w:szCs w:val="20"/>
          <w:lang w:eastAsia="en-IN" w:bidi="pa-IN"/>
        </w:rPr>
        <w:t xml:space="preserve">, D. B., Chen, P., &amp; Pehrsson, P. R. (2019). Effects of domestic cooking on flavonoids in broccoli and calculation of retention factors. </w:t>
      </w:r>
      <w:proofErr w:type="spellStart"/>
      <w:r w:rsidRPr="00563F47">
        <w:rPr>
          <w:rFonts w:ascii="Arial" w:eastAsia="Times New Roman" w:hAnsi="Arial" w:cs="Arial"/>
          <w:i/>
          <w:iCs/>
          <w:sz w:val="20"/>
          <w:szCs w:val="20"/>
          <w:lang w:eastAsia="en-IN" w:bidi="pa-IN"/>
        </w:rPr>
        <w:t>Heliyon</w:t>
      </w:r>
      <w:proofErr w:type="spellEnd"/>
      <w:r w:rsidRPr="00563F47">
        <w:rPr>
          <w:rFonts w:ascii="Arial" w:eastAsia="Times New Roman" w:hAnsi="Arial" w:cs="Arial"/>
          <w:sz w:val="20"/>
          <w:szCs w:val="20"/>
          <w:lang w:eastAsia="en-IN" w:bidi="pa-IN"/>
        </w:rPr>
        <w:t xml:space="preserve">, </w:t>
      </w:r>
      <w:r w:rsidRPr="00563F47">
        <w:rPr>
          <w:rFonts w:ascii="Arial" w:eastAsia="Times New Roman" w:hAnsi="Arial" w:cs="Arial"/>
          <w:i/>
          <w:iCs/>
          <w:sz w:val="20"/>
          <w:szCs w:val="20"/>
          <w:lang w:eastAsia="en-IN" w:bidi="pa-IN"/>
        </w:rPr>
        <w:t>5</w:t>
      </w:r>
      <w:r w:rsidRPr="00563F47">
        <w:rPr>
          <w:rFonts w:ascii="Arial" w:eastAsia="Times New Roman" w:hAnsi="Arial" w:cs="Arial"/>
          <w:sz w:val="20"/>
          <w:szCs w:val="20"/>
          <w:lang w:eastAsia="en-IN" w:bidi="pa-IN"/>
        </w:rPr>
        <w:t xml:space="preserve">(3), e01310. </w:t>
      </w:r>
      <w:hyperlink r:id="rId41" w:history="1">
        <w:r w:rsidRPr="00563F47">
          <w:rPr>
            <w:rStyle w:val="Hyperlink"/>
            <w:rFonts w:ascii="Arial" w:eastAsia="Times New Roman" w:hAnsi="Arial" w:cs="Arial"/>
            <w:sz w:val="20"/>
            <w:szCs w:val="20"/>
            <w:lang w:eastAsia="en-IN" w:bidi="pa-IN"/>
          </w:rPr>
          <w:t>https://doi.org/10.1016/j.heliyon.2019.e01310</w:t>
        </w:r>
      </w:hyperlink>
    </w:p>
    <w:p w14:paraId="593AF419" w14:textId="77777777" w:rsidR="00563F47" w:rsidRPr="00563F47" w:rsidRDefault="00563F47" w:rsidP="00563F47">
      <w:pPr>
        <w:pStyle w:val="a3"/>
        <w:rPr>
          <w:rFonts w:ascii="Arial" w:hAnsi="Arial" w:cs="Arial"/>
          <w:sz w:val="20"/>
          <w:szCs w:val="20"/>
          <w:lang w:bidi="hi-IN"/>
        </w:rPr>
      </w:pPr>
      <w:r w:rsidRPr="00563F47">
        <w:rPr>
          <w:rFonts w:ascii="Arial" w:hAnsi="Arial" w:cs="Arial"/>
          <w:sz w:val="20"/>
          <w:szCs w:val="20"/>
          <w:lang w:bidi="hi-IN"/>
        </w:rPr>
        <w:t xml:space="preserve">Yasuma, A., &amp; Ichikawa, T. (1953). Ninhydrin-Schiff and alloxan-Schiff staining. </w:t>
      </w:r>
      <w:r w:rsidRPr="00563F47">
        <w:rPr>
          <w:rStyle w:val="a5"/>
          <w:rFonts w:ascii="Arial" w:hAnsi="Arial" w:cs="Arial"/>
          <w:sz w:val="20"/>
          <w:szCs w:val="20"/>
          <w:lang w:bidi="hi-IN"/>
        </w:rPr>
        <w:t>Journal of Laboratory and Clinical Medicine, 41</w:t>
      </w:r>
      <w:r w:rsidRPr="00563F47">
        <w:rPr>
          <w:rFonts w:ascii="Arial" w:hAnsi="Arial" w:cs="Arial"/>
          <w:sz w:val="20"/>
          <w:szCs w:val="20"/>
          <w:lang w:bidi="hi-IN"/>
        </w:rPr>
        <w:t>(2), 296–299.</w:t>
      </w:r>
    </w:p>
    <w:p w14:paraId="45B33E45" w14:textId="77777777" w:rsidR="00563F47" w:rsidRPr="00563F47" w:rsidRDefault="00563F47" w:rsidP="00563F47">
      <w:pPr>
        <w:pStyle w:val="a3"/>
        <w:rPr>
          <w:rFonts w:ascii="Arial" w:hAnsi="Arial" w:cs="Arial"/>
          <w:color w:val="1B1B1B"/>
          <w:sz w:val="20"/>
          <w:szCs w:val="20"/>
          <w:shd w:val="clear" w:color="auto" w:fill="FFFFFF"/>
        </w:rPr>
      </w:pPr>
      <w:r w:rsidRPr="00563F47">
        <w:rPr>
          <w:rFonts w:ascii="Arial" w:hAnsi="Arial" w:cs="Arial"/>
          <w:color w:val="1B1B1B"/>
          <w:sz w:val="20"/>
          <w:szCs w:val="20"/>
          <w:shd w:val="clear" w:color="auto" w:fill="FFFFFF"/>
        </w:rPr>
        <w:t>Zeb, A., Ullah, U., &amp; Mehmood, A. (2024). Effect of microwave heating on the phenolic and carotenoid composition and antioxidant properties of </w:t>
      </w:r>
      <w:proofErr w:type="spellStart"/>
      <w:r w:rsidRPr="00563F47">
        <w:rPr>
          <w:rFonts w:ascii="Arial" w:hAnsi="Arial" w:cs="Arial"/>
          <w:i/>
          <w:iCs/>
          <w:color w:val="1B1B1B"/>
          <w:sz w:val="20"/>
          <w:szCs w:val="20"/>
          <w:shd w:val="clear" w:color="auto" w:fill="FFFFFF"/>
        </w:rPr>
        <w:t>Momordicacharantia</w:t>
      </w:r>
      <w:proofErr w:type="spellEnd"/>
      <w:r w:rsidRPr="00563F47">
        <w:rPr>
          <w:rFonts w:ascii="Arial" w:hAnsi="Arial" w:cs="Arial"/>
          <w:color w:val="1B1B1B"/>
          <w:sz w:val="20"/>
          <w:szCs w:val="20"/>
          <w:shd w:val="clear" w:color="auto" w:fill="FFFFFF"/>
        </w:rPr>
        <w:t>. </w:t>
      </w:r>
      <w:proofErr w:type="spellStart"/>
      <w:r w:rsidRPr="00563F47">
        <w:rPr>
          <w:rFonts w:ascii="Arial" w:hAnsi="Arial" w:cs="Arial"/>
          <w:i/>
          <w:iCs/>
          <w:color w:val="1B1B1B"/>
          <w:sz w:val="20"/>
          <w:szCs w:val="20"/>
          <w:shd w:val="clear" w:color="auto" w:fill="FFFFFF"/>
        </w:rPr>
        <w:t>Heliyon</w:t>
      </w:r>
      <w:proofErr w:type="spellEnd"/>
      <w:r w:rsidRPr="00563F47">
        <w:rPr>
          <w:rFonts w:ascii="Arial" w:hAnsi="Arial" w:cs="Arial"/>
          <w:color w:val="1B1B1B"/>
          <w:sz w:val="20"/>
          <w:szCs w:val="20"/>
          <w:shd w:val="clear" w:color="auto" w:fill="FFFFFF"/>
        </w:rPr>
        <w:t>, </w:t>
      </w:r>
      <w:r w:rsidRPr="00563F47">
        <w:rPr>
          <w:rFonts w:ascii="Arial" w:hAnsi="Arial" w:cs="Arial"/>
          <w:i/>
          <w:iCs/>
          <w:color w:val="1B1B1B"/>
          <w:sz w:val="20"/>
          <w:szCs w:val="20"/>
          <w:shd w:val="clear" w:color="auto" w:fill="FFFFFF"/>
        </w:rPr>
        <w:t>10</w:t>
      </w:r>
      <w:r w:rsidRPr="00563F47">
        <w:rPr>
          <w:rFonts w:ascii="Arial" w:hAnsi="Arial" w:cs="Arial"/>
          <w:color w:val="1B1B1B"/>
          <w:sz w:val="20"/>
          <w:szCs w:val="20"/>
          <w:shd w:val="clear" w:color="auto" w:fill="FFFFFF"/>
        </w:rPr>
        <w:t xml:space="preserve">(15), e34982. </w:t>
      </w:r>
      <w:hyperlink r:id="rId42" w:history="1">
        <w:r w:rsidRPr="00563F47">
          <w:rPr>
            <w:rStyle w:val="Hyperlink"/>
            <w:rFonts w:ascii="Arial" w:hAnsi="Arial" w:cs="Arial"/>
            <w:sz w:val="20"/>
            <w:szCs w:val="20"/>
            <w:shd w:val="clear" w:color="auto" w:fill="FFFFFF"/>
          </w:rPr>
          <w:t>https://doi.org/10.1016/j.heliyon.2024.e34982</w:t>
        </w:r>
      </w:hyperlink>
    </w:p>
    <w:p w14:paraId="0868B915" w14:textId="77777777" w:rsidR="00563F47" w:rsidRPr="00563F47" w:rsidRDefault="00563F47" w:rsidP="005F2EF1">
      <w:pPr>
        <w:widowControl w:val="0"/>
        <w:spacing w:before="100" w:after="100" w:line="360" w:lineRule="auto"/>
        <w:jc w:val="both"/>
        <w:rPr>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 xml:space="preserve">Zhang, J.J.; Ji, R.; Hu, Y.Q.; Chen, J.C.; Ye, X.Q. Effect of three cooking methods on nutrient components and antioxidant capacities of bamboo shoot (Phyllostachys praecox CD Chu et CS </w:t>
      </w:r>
      <w:r w:rsidRPr="00563F47">
        <w:rPr>
          <w:rFonts w:ascii="Arial" w:hAnsi="Arial" w:cs="Arial"/>
          <w:color w:val="000000" w:themeColor="text1"/>
          <w:sz w:val="20"/>
          <w:szCs w:val="20"/>
          <w:shd w:val="clear" w:color="auto" w:fill="FFFFFF"/>
        </w:rPr>
        <w:lastRenderedPageBreak/>
        <w:t>Chao). J. Zhejiang Univ. Sci. B 2011, 12, 752–759.</w:t>
      </w:r>
    </w:p>
    <w:p w14:paraId="6F5B7082" w14:textId="77777777" w:rsidR="00B92AD2" w:rsidRPr="00563F47" w:rsidRDefault="00B92AD2">
      <w:pPr>
        <w:pStyle w:val="a3"/>
        <w:rPr>
          <w:rFonts w:ascii="Arial" w:hAnsi="Arial" w:cs="Arial"/>
          <w:sz w:val="20"/>
          <w:szCs w:val="20"/>
          <w:lang w:bidi="hi-IN"/>
        </w:rPr>
      </w:pPr>
    </w:p>
    <w:p w14:paraId="6D2D9BAA"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37C9B241"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5097EFE8"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51EB5449"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3578719D"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104A6297"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0828048E"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6FF74B42"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46A91CB3"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1447D1B0"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248EC2AB"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sectPr w:rsidR="00F71730" w:rsidRPr="00563F47" w:rsidSect="00C13AA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6-02-26T10:56:00Z" w:initials="p">
    <w:p w14:paraId="0C8895D2" w14:textId="52A33EE4" w:rsidR="00AE4AEB" w:rsidRDefault="00AE4AEB">
      <w:pPr>
        <w:pStyle w:val="ad"/>
      </w:pPr>
      <w:r>
        <w:rPr>
          <w:rStyle w:val="ac"/>
        </w:rPr>
        <w:annotationRef/>
      </w:r>
      <w:r>
        <w:t>You need to add a picture of leaves here.</w:t>
      </w:r>
    </w:p>
  </w:comment>
  <w:comment w:id="2" w:author="pc" w:date="2026-02-26T10:58:00Z" w:initials="p">
    <w:p w14:paraId="5BB08725" w14:textId="3F5A9854" w:rsidR="00AE4AEB" w:rsidRDefault="00AE4AEB">
      <w:pPr>
        <w:pStyle w:val="ad"/>
      </w:pPr>
      <w:r>
        <w:rPr>
          <w:rStyle w:val="ac"/>
        </w:rPr>
        <w:annotationRef/>
      </w:r>
      <w:r>
        <w:t xml:space="preserve">Where is the Raw treatment in the Figure </w:t>
      </w:r>
      <w:proofErr w:type="gramStart"/>
      <w:r>
        <w:t>1</w:t>
      </w:r>
      <w:proofErr w:type="gramEnd"/>
    </w:p>
  </w:comment>
  <w:comment w:id="3" w:author="pc" w:date="2026-02-26T10:58:00Z" w:initials="p">
    <w:p w14:paraId="1192B04D" w14:textId="2D0085DF" w:rsidR="00AE4AEB" w:rsidRDefault="00AE4AEB">
      <w:pPr>
        <w:pStyle w:val="ad"/>
      </w:pPr>
      <w:r>
        <w:rPr>
          <w:rStyle w:val="ac"/>
        </w:rPr>
        <w:annotationRef/>
      </w:r>
      <w:r>
        <w:t xml:space="preserve">Where is the Raw treatment in the figure </w:t>
      </w:r>
      <w:proofErr w:type="gramStart"/>
      <w:r>
        <w:t>2 ?</w:t>
      </w:r>
      <w:proofErr w:type="gramEnd"/>
    </w:p>
  </w:comment>
  <w:comment w:id="4" w:author="pc" w:date="2026-02-26T11:00:00Z" w:initials="p">
    <w:p w14:paraId="081C78DB" w14:textId="57374136" w:rsidR="00AE4AEB" w:rsidRDefault="00AE4AEB">
      <w:pPr>
        <w:pStyle w:val="ad"/>
      </w:pPr>
      <w:r>
        <w:rPr>
          <w:rStyle w:val="ac"/>
        </w:rPr>
        <w:annotationRef/>
      </w:r>
      <w:r>
        <w:t xml:space="preserve">The tables must be designed in the same form for all. Here, table 2 in its design differs from table 1. You need to rearrange the tables forms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8895D2" w15:done="0"/>
  <w15:commentEx w15:paraId="5BB08725" w15:done="0"/>
  <w15:commentEx w15:paraId="1192B04D" w15:done="0"/>
  <w15:commentEx w15:paraId="081C78D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54B5" w14:textId="77777777" w:rsidR="007C64AD" w:rsidRDefault="007C64AD" w:rsidP="00C13AA1">
      <w:pPr>
        <w:spacing w:after="0" w:line="240" w:lineRule="auto"/>
      </w:pPr>
      <w:r>
        <w:separator/>
      </w:r>
    </w:p>
  </w:endnote>
  <w:endnote w:type="continuationSeparator" w:id="0">
    <w:p w14:paraId="63F28794" w14:textId="77777777" w:rsidR="007C64AD" w:rsidRDefault="007C64AD" w:rsidP="00C1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D18B" w14:textId="77777777" w:rsidR="00AE4AEB" w:rsidRDefault="00AE4AE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E43A07173E48487C9011212031E945C7"/>
      </w:placeholder>
      <w:temporary/>
      <w:showingPlcHdr/>
    </w:sdtPr>
    <w:sdtContent>
      <w:p w14:paraId="4D29280B" w14:textId="77777777" w:rsidR="00AE4AEB" w:rsidRDefault="00AE4AEB">
        <w:pPr>
          <w:pStyle w:val="ab"/>
        </w:pPr>
        <w:r>
          <w:t>[Type here]</w:t>
        </w:r>
      </w:p>
    </w:sdtContent>
  </w:sdt>
  <w:p w14:paraId="48B984ED" w14:textId="77777777" w:rsidR="00AE4AEB" w:rsidRDefault="00AE4AEB">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6B9D" w14:textId="77777777" w:rsidR="00AE4AEB" w:rsidRDefault="00AE4AE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D323E" w14:textId="77777777" w:rsidR="007C64AD" w:rsidRDefault="007C64AD" w:rsidP="00C13AA1">
      <w:pPr>
        <w:spacing w:after="0" w:line="240" w:lineRule="auto"/>
      </w:pPr>
      <w:r>
        <w:separator/>
      </w:r>
    </w:p>
  </w:footnote>
  <w:footnote w:type="continuationSeparator" w:id="0">
    <w:p w14:paraId="158225F2" w14:textId="77777777" w:rsidR="007C64AD" w:rsidRDefault="007C64AD" w:rsidP="00C1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CD7F" w14:textId="07D4097C" w:rsidR="00AE4AEB" w:rsidRDefault="00AE4AEB">
    <w:pPr>
      <w:pStyle w:val="aa"/>
    </w:pPr>
    <w:r>
      <w:rPr>
        <w:noProof/>
      </w:rPr>
      <w:pict w14:anchorId="23622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E288" w14:textId="18E5776A" w:rsidR="00AE4AEB" w:rsidRDefault="00AE4AEB">
    <w:pPr>
      <w:pStyle w:val="aa"/>
    </w:pPr>
    <w:r>
      <w:rPr>
        <w:noProof/>
      </w:rPr>
      <w:pict w14:anchorId="10AB5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3390" w14:textId="1016262D" w:rsidR="00AE4AEB" w:rsidRDefault="00AE4AEB">
    <w:pPr>
      <w:pStyle w:val="aa"/>
    </w:pPr>
    <w:r>
      <w:rPr>
        <w:noProof/>
      </w:rPr>
      <w:pict w14:anchorId="7D53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E5BDD"/>
    <w:multiLevelType w:val="hybridMultilevel"/>
    <w:tmpl w:val="44585E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7F4F72"/>
    <w:multiLevelType w:val="multilevel"/>
    <w:tmpl w:val="FF3E7148"/>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06E3F"/>
    <w:multiLevelType w:val="hybridMultilevel"/>
    <w:tmpl w:val="542442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7DF4039"/>
    <w:multiLevelType w:val="multilevel"/>
    <w:tmpl w:val="0612568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282D0CBF"/>
    <w:multiLevelType w:val="hybridMultilevel"/>
    <w:tmpl w:val="56DC8F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53529D"/>
    <w:multiLevelType w:val="hybridMultilevel"/>
    <w:tmpl w:val="722EF3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A33BFB"/>
    <w:multiLevelType w:val="hybridMultilevel"/>
    <w:tmpl w:val="B682426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76"/>
    <w:rsid w:val="0000305E"/>
    <w:rsid w:val="00010F1C"/>
    <w:rsid w:val="000270E7"/>
    <w:rsid w:val="00031A7A"/>
    <w:rsid w:val="000422D7"/>
    <w:rsid w:val="00046264"/>
    <w:rsid w:val="000707B8"/>
    <w:rsid w:val="00070E7F"/>
    <w:rsid w:val="0009096E"/>
    <w:rsid w:val="000920FD"/>
    <w:rsid w:val="00093203"/>
    <w:rsid w:val="000C3CD3"/>
    <w:rsid w:val="000E7E95"/>
    <w:rsid w:val="00100815"/>
    <w:rsid w:val="00101041"/>
    <w:rsid w:val="001108FB"/>
    <w:rsid w:val="00126F20"/>
    <w:rsid w:val="00131B04"/>
    <w:rsid w:val="00142077"/>
    <w:rsid w:val="001663CA"/>
    <w:rsid w:val="00170C2A"/>
    <w:rsid w:val="00172CA2"/>
    <w:rsid w:val="001D6A4C"/>
    <w:rsid w:val="001E28E4"/>
    <w:rsid w:val="00237884"/>
    <w:rsid w:val="0024050B"/>
    <w:rsid w:val="00240F0F"/>
    <w:rsid w:val="00250FB9"/>
    <w:rsid w:val="00253B15"/>
    <w:rsid w:val="00256FA0"/>
    <w:rsid w:val="002A5067"/>
    <w:rsid w:val="002B60C3"/>
    <w:rsid w:val="002C2FDE"/>
    <w:rsid w:val="002C5B3F"/>
    <w:rsid w:val="002D5B5C"/>
    <w:rsid w:val="00312F2D"/>
    <w:rsid w:val="003352D9"/>
    <w:rsid w:val="00340962"/>
    <w:rsid w:val="00342830"/>
    <w:rsid w:val="00377ECF"/>
    <w:rsid w:val="003919C2"/>
    <w:rsid w:val="00397CC5"/>
    <w:rsid w:val="003B471C"/>
    <w:rsid w:val="003B4F8F"/>
    <w:rsid w:val="003E24B0"/>
    <w:rsid w:val="003F6AE8"/>
    <w:rsid w:val="00411C02"/>
    <w:rsid w:val="00440699"/>
    <w:rsid w:val="004664AB"/>
    <w:rsid w:val="0047034E"/>
    <w:rsid w:val="00472F01"/>
    <w:rsid w:val="00485242"/>
    <w:rsid w:val="00495074"/>
    <w:rsid w:val="004A0729"/>
    <w:rsid w:val="004A4D34"/>
    <w:rsid w:val="004A5A1B"/>
    <w:rsid w:val="004A5B83"/>
    <w:rsid w:val="004B14E2"/>
    <w:rsid w:val="004B270F"/>
    <w:rsid w:val="004C39D3"/>
    <w:rsid w:val="004D4C78"/>
    <w:rsid w:val="004D6D0E"/>
    <w:rsid w:val="004D6FAE"/>
    <w:rsid w:val="004E2C9F"/>
    <w:rsid w:val="004E7428"/>
    <w:rsid w:val="005320A0"/>
    <w:rsid w:val="005506B2"/>
    <w:rsid w:val="00563F47"/>
    <w:rsid w:val="00590712"/>
    <w:rsid w:val="005A0AA6"/>
    <w:rsid w:val="005B22DD"/>
    <w:rsid w:val="005B4FEC"/>
    <w:rsid w:val="005D141C"/>
    <w:rsid w:val="005D5866"/>
    <w:rsid w:val="005E2B5B"/>
    <w:rsid w:val="005F2EF1"/>
    <w:rsid w:val="00640E22"/>
    <w:rsid w:val="0064375F"/>
    <w:rsid w:val="006515DB"/>
    <w:rsid w:val="00657ECC"/>
    <w:rsid w:val="00662278"/>
    <w:rsid w:val="0067467F"/>
    <w:rsid w:val="00676A44"/>
    <w:rsid w:val="0068669F"/>
    <w:rsid w:val="006953A2"/>
    <w:rsid w:val="006A02C7"/>
    <w:rsid w:val="006A0CAC"/>
    <w:rsid w:val="006A5D91"/>
    <w:rsid w:val="006B4489"/>
    <w:rsid w:val="006B6BC8"/>
    <w:rsid w:val="006E1224"/>
    <w:rsid w:val="007008F2"/>
    <w:rsid w:val="007101B8"/>
    <w:rsid w:val="00713319"/>
    <w:rsid w:val="00714257"/>
    <w:rsid w:val="00732DC5"/>
    <w:rsid w:val="00760FB5"/>
    <w:rsid w:val="00763EE2"/>
    <w:rsid w:val="007A162F"/>
    <w:rsid w:val="007A3314"/>
    <w:rsid w:val="007A4513"/>
    <w:rsid w:val="007C4904"/>
    <w:rsid w:val="007C64AD"/>
    <w:rsid w:val="007C655F"/>
    <w:rsid w:val="007D5F7F"/>
    <w:rsid w:val="007E2BD0"/>
    <w:rsid w:val="007F2F76"/>
    <w:rsid w:val="008171F1"/>
    <w:rsid w:val="00860227"/>
    <w:rsid w:val="00875EC4"/>
    <w:rsid w:val="00883267"/>
    <w:rsid w:val="00891D21"/>
    <w:rsid w:val="008968C5"/>
    <w:rsid w:val="008B4147"/>
    <w:rsid w:val="008B7A70"/>
    <w:rsid w:val="008D5335"/>
    <w:rsid w:val="008F0E75"/>
    <w:rsid w:val="008F2BD4"/>
    <w:rsid w:val="00925387"/>
    <w:rsid w:val="0093033F"/>
    <w:rsid w:val="00936D98"/>
    <w:rsid w:val="009373FE"/>
    <w:rsid w:val="009433E3"/>
    <w:rsid w:val="0094671E"/>
    <w:rsid w:val="00972383"/>
    <w:rsid w:val="009A2C5D"/>
    <w:rsid w:val="009A30B2"/>
    <w:rsid w:val="009A3B10"/>
    <w:rsid w:val="009A4416"/>
    <w:rsid w:val="009A722E"/>
    <w:rsid w:val="009B788B"/>
    <w:rsid w:val="009D2A2C"/>
    <w:rsid w:val="009D3F27"/>
    <w:rsid w:val="009D5872"/>
    <w:rsid w:val="009D73C3"/>
    <w:rsid w:val="009F0BD8"/>
    <w:rsid w:val="009F0D46"/>
    <w:rsid w:val="009F138F"/>
    <w:rsid w:val="00A063A4"/>
    <w:rsid w:val="00A109B1"/>
    <w:rsid w:val="00A26228"/>
    <w:rsid w:val="00A43545"/>
    <w:rsid w:val="00A43C03"/>
    <w:rsid w:val="00A45A6B"/>
    <w:rsid w:val="00A819F7"/>
    <w:rsid w:val="00AA7B85"/>
    <w:rsid w:val="00AB0976"/>
    <w:rsid w:val="00AB5E07"/>
    <w:rsid w:val="00AC30DC"/>
    <w:rsid w:val="00AD17EB"/>
    <w:rsid w:val="00AE4AEB"/>
    <w:rsid w:val="00AF70B2"/>
    <w:rsid w:val="00B00CEF"/>
    <w:rsid w:val="00B263FD"/>
    <w:rsid w:val="00B40730"/>
    <w:rsid w:val="00B47087"/>
    <w:rsid w:val="00B60B8E"/>
    <w:rsid w:val="00B7336E"/>
    <w:rsid w:val="00B92AD2"/>
    <w:rsid w:val="00B97926"/>
    <w:rsid w:val="00BA57CA"/>
    <w:rsid w:val="00BC2914"/>
    <w:rsid w:val="00BD07DF"/>
    <w:rsid w:val="00BE488C"/>
    <w:rsid w:val="00C13AA1"/>
    <w:rsid w:val="00C23904"/>
    <w:rsid w:val="00C26892"/>
    <w:rsid w:val="00C3267B"/>
    <w:rsid w:val="00C35165"/>
    <w:rsid w:val="00C366C9"/>
    <w:rsid w:val="00C44343"/>
    <w:rsid w:val="00C771CE"/>
    <w:rsid w:val="00C971BF"/>
    <w:rsid w:val="00CC0689"/>
    <w:rsid w:val="00CD032B"/>
    <w:rsid w:val="00CD637A"/>
    <w:rsid w:val="00D00BC3"/>
    <w:rsid w:val="00D25DA8"/>
    <w:rsid w:val="00D26A4D"/>
    <w:rsid w:val="00D61BCC"/>
    <w:rsid w:val="00D75F81"/>
    <w:rsid w:val="00D76878"/>
    <w:rsid w:val="00DF042D"/>
    <w:rsid w:val="00DF3261"/>
    <w:rsid w:val="00E2337D"/>
    <w:rsid w:val="00E26FAE"/>
    <w:rsid w:val="00E512E8"/>
    <w:rsid w:val="00E610C7"/>
    <w:rsid w:val="00E64267"/>
    <w:rsid w:val="00E71BD0"/>
    <w:rsid w:val="00E77A65"/>
    <w:rsid w:val="00E81E43"/>
    <w:rsid w:val="00E863D1"/>
    <w:rsid w:val="00EA46E2"/>
    <w:rsid w:val="00EF5B9B"/>
    <w:rsid w:val="00F05AF9"/>
    <w:rsid w:val="00F06723"/>
    <w:rsid w:val="00F36B87"/>
    <w:rsid w:val="00F36EE2"/>
    <w:rsid w:val="00F37B38"/>
    <w:rsid w:val="00F42763"/>
    <w:rsid w:val="00F45038"/>
    <w:rsid w:val="00F6158C"/>
    <w:rsid w:val="00F71730"/>
    <w:rsid w:val="00F72002"/>
    <w:rsid w:val="00F74B20"/>
    <w:rsid w:val="00F91825"/>
    <w:rsid w:val="00FD28EA"/>
    <w:rsid w:val="00FD493A"/>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568BC2"/>
  <w15:docId w15:val="{C3DD5DDC-71CF-CF4A-AAB1-D33E8463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F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a4">
    <w:name w:val="Strong"/>
    <w:basedOn w:val="a0"/>
    <w:uiPriority w:val="22"/>
    <w:qFormat/>
    <w:rsid w:val="007F2F76"/>
    <w:rPr>
      <w:b/>
      <w:bCs/>
    </w:rPr>
  </w:style>
  <w:style w:type="character" w:styleId="a5">
    <w:name w:val="Emphasis"/>
    <w:basedOn w:val="a0"/>
    <w:uiPriority w:val="20"/>
    <w:qFormat/>
    <w:rsid w:val="007F2F76"/>
    <w:rPr>
      <w:i/>
      <w:iCs/>
    </w:rPr>
  </w:style>
  <w:style w:type="table" w:styleId="a6">
    <w:name w:val="Table Grid"/>
    <w:basedOn w:val="a1"/>
    <w:uiPriority w:val="39"/>
    <w:rsid w:val="002A5067"/>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A5067"/>
    <w:pPr>
      <w:ind w:left="720"/>
      <w:contextualSpacing/>
    </w:pPr>
    <w:rPr>
      <w:kern w:val="2"/>
      <w:szCs w:val="20"/>
      <w:lang w:bidi="hi-IN"/>
      <w14:ligatures w14:val="standardContextual"/>
    </w:rPr>
  </w:style>
  <w:style w:type="character" w:customStyle="1" w:styleId="ff2">
    <w:name w:val="ff2"/>
    <w:basedOn w:val="a0"/>
    <w:rsid w:val="00F05AF9"/>
  </w:style>
  <w:style w:type="character" w:customStyle="1" w:styleId="v0">
    <w:name w:val="v0"/>
    <w:basedOn w:val="a0"/>
    <w:rsid w:val="00F05AF9"/>
  </w:style>
  <w:style w:type="character" w:customStyle="1" w:styleId="a8">
    <w:name w:val="_"/>
    <w:basedOn w:val="a0"/>
    <w:rsid w:val="00F05AF9"/>
  </w:style>
  <w:style w:type="character" w:customStyle="1" w:styleId="ff9">
    <w:name w:val="ff9"/>
    <w:basedOn w:val="a0"/>
    <w:rsid w:val="00F05AF9"/>
  </w:style>
  <w:style w:type="character" w:customStyle="1" w:styleId="ff3">
    <w:name w:val="ff3"/>
    <w:basedOn w:val="a0"/>
    <w:rsid w:val="00F05AF9"/>
  </w:style>
  <w:style w:type="character" w:customStyle="1" w:styleId="ffa">
    <w:name w:val="ffa"/>
    <w:basedOn w:val="a0"/>
    <w:rsid w:val="00F05AF9"/>
  </w:style>
  <w:style w:type="character" w:customStyle="1" w:styleId="ws8">
    <w:name w:val="ws8"/>
    <w:basedOn w:val="a0"/>
    <w:rsid w:val="00F05AF9"/>
  </w:style>
  <w:style w:type="character" w:styleId="Hyperlink">
    <w:name w:val="Hyperlink"/>
    <w:basedOn w:val="a0"/>
    <w:uiPriority w:val="99"/>
    <w:unhideWhenUsed/>
    <w:rsid w:val="00F05AF9"/>
    <w:rPr>
      <w:color w:val="0563C1" w:themeColor="hyperlink"/>
      <w:u w:val="single"/>
    </w:rPr>
  </w:style>
  <w:style w:type="character" w:customStyle="1" w:styleId="UnresolvedMention1">
    <w:name w:val="Unresolved Mention1"/>
    <w:basedOn w:val="a0"/>
    <w:uiPriority w:val="99"/>
    <w:semiHidden/>
    <w:unhideWhenUsed/>
    <w:rsid w:val="00F05AF9"/>
    <w:rPr>
      <w:color w:val="605E5C"/>
      <w:shd w:val="clear" w:color="auto" w:fill="E1DFDD"/>
    </w:rPr>
  </w:style>
  <w:style w:type="character" w:customStyle="1" w:styleId="url">
    <w:name w:val="url"/>
    <w:basedOn w:val="a0"/>
    <w:rsid w:val="00662278"/>
  </w:style>
  <w:style w:type="table" w:customStyle="1" w:styleId="11">
    <w:name w:val="11"/>
    <w:basedOn w:val="a1"/>
    <w:rsid w:val="00732DC5"/>
    <w:pPr>
      <w:spacing w:after="0" w:line="240" w:lineRule="auto"/>
    </w:pPr>
    <w:rPr>
      <w:rFonts w:ascii="Calibri" w:eastAsia="Calibri" w:hAnsi="Calibri" w:cs="Calibri"/>
      <w:lang w:eastAsia="en-IN" w:bidi="hi-IN"/>
    </w:rPr>
    <w:tblPr>
      <w:tblStyleRowBandSize w:val="1"/>
      <w:tblStyleColBandSize w:val="1"/>
    </w:tblPr>
  </w:style>
  <w:style w:type="table" w:customStyle="1" w:styleId="8">
    <w:name w:val="8"/>
    <w:basedOn w:val="a1"/>
    <w:rsid w:val="003B471C"/>
    <w:pPr>
      <w:spacing w:after="0" w:line="240" w:lineRule="auto"/>
    </w:pPr>
    <w:rPr>
      <w:rFonts w:ascii="Calibri" w:eastAsia="Calibri" w:hAnsi="Calibri" w:cs="Calibri"/>
      <w:lang w:eastAsia="en-IN" w:bidi="hi-IN"/>
    </w:rPr>
    <w:tblPr>
      <w:tblStyleRowBandSize w:val="1"/>
      <w:tblStyleColBandSize w:val="1"/>
    </w:tblPr>
  </w:style>
  <w:style w:type="paragraph" w:styleId="a9">
    <w:name w:val="Balloon Text"/>
    <w:basedOn w:val="a"/>
    <w:link w:val="Char"/>
    <w:uiPriority w:val="99"/>
    <w:semiHidden/>
    <w:unhideWhenUsed/>
    <w:rsid w:val="007101B8"/>
    <w:pPr>
      <w:spacing w:after="0" w:line="240" w:lineRule="auto"/>
    </w:pPr>
    <w:rPr>
      <w:rFonts w:ascii="Tahoma" w:hAnsi="Tahoma" w:cs="Tahoma"/>
      <w:sz w:val="16"/>
      <w:szCs w:val="16"/>
    </w:rPr>
  </w:style>
  <w:style w:type="character" w:customStyle="1" w:styleId="Char">
    <w:name w:val="نص في بالون Char"/>
    <w:basedOn w:val="a0"/>
    <w:link w:val="a9"/>
    <w:uiPriority w:val="99"/>
    <w:semiHidden/>
    <w:rsid w:val="007101B8"/>
    <w:rPr>
      <w:rFonts w:ascii="Tahoma" w:hAnsi="Tahoma" w:cs="Tahoma"/>
      <w:sz w:val="16"/>
      <w:szCs w:val="16"/>
    </w:rPr>
  </w:style>
  <w:style w:type="paragraph" w:styleId="aa">
    <w:name w:val="header"/>
    <w:basedOn w:val="a"/>
    <w:link w:val="Char0"/>
    <w:uiPriority w:val="99"/>
    <w:unhideWhenUsed/>
    <w:rsid w:val="00C13AA1"/>
    <w:pPr>
      <w:tabs>
        <w:tab w:val="center" w:pos="4513"/>
        <w:tab w:val="right" w:pos="9026"/>
      </w:tabs>
      <w:spacing w:after="0" w:line="240" w:lineRule="auto"/>
    </w:pPr>
  </w:style>
  <w:style w:type="character" w:customStyle="1" w:styleId="Char0">
    <w:name w:val="رأس الصفحة Char"/>
    <w:basedOn w:val="a0"/>
    <w:link w:val="aa"/>
    <w:uiPriority w:val="99"/>
    <w:rsid w:val="00C13AA1"/>
  </w:style>
  <w:style w:type="paragraph" w:styleId="ab">
    <w:name w:val="footer"/>
    <w:basedOn w:val="a"/>
    <w:link w:val="Char1"/>
    <w:uiPriority w:val="99"/>
    <w:unhideWhenUsed/>
    <w:rsid w:val="00C13AA1"/>
    <w:pPr>
      <w:tabs>
        <w:tab w:val="center" w:pos="4513"/>
        <w:tab w:val="right" w:pos="9026"/>
      </w:tabs>
      <w:spacing w:after="0" w:line="240" w:lineRule="auto"/>
    </w:pPr>
  </w:style>
  <w:style w:type="character" w:customStyle="1" w:styleId="Char1">
    <w:name w:val="تذييل الصفحة Char"/>
    <w:basedOn w:val="a0"/>
    <w:link w:val="ab"/>
    <w:uiPriority w:val="99"/>
    <w:rsid w:val="00C13AA1"/>
  </w:style>
  <w:style w:type="character" w:customStyle="1" w:styleId="UnresolvedMention2">
    <w:name w:val="Unresolved Mention2"/>
    <w:basedOn w:val="a0"/>
    <w:uiPriority w:val="99"/>
    <w:semiHidden/>
    <w:unhideWhenUsed/>
    <w:rsid w:val="00C13AA1"/>
    <w:rPr>
      <w:color w:val="605E5C"/>
      <w:shd w:val="clear" w:color="auto" w:fill="E1DFDD"/>
    </w:rPr>
  </w:style>
  <w:style w:type="paragraph" w:customStyle="1" w:styleId="ReferHead">
    <w:name w:val="Refer Head"/>
    <w:basedOn w:val="a"/>
    <w:rsid w:val="00D75F81"/>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a0"/>
    <w:uiPriority w:val="99"/>
    <w:semiHidden/>
    <w:unhideWhenUsed/>
    <w:rsid w:val="00B92AD2"/>
    <w:rPr>
      <w:color w:val="605E5C"/>
      <w:shd w:val="clear" w:color="auto" w:fill="E1DFDD"/>
    </w:rPr>
  </w:style>
  <w:style w:type="character" w:styleId="ac">
    <w:name w:val="annotation reference"/>
    <w:basedOn w:val="a0"/>
    <w:uiPriority w:val="99"/>
    <w:semiHidden/>
    <w:unhideWhenUsed/>
    <w:rsid w:val="00AE4AEB"/>
    <w:rPr>
      <w:sz w:val="16"/>
      <w:szCs w:val="16"/>
    </w:rPr>
  </w:style>
  <w:style w:type="paragraph" w:styleId="ad">
    <w:name w:val="annotation text"/>
    <w:basedOn w:val="a"/>
    <w:link w:val="Char2"/>
    <w:uiPriority w:val="99"/>
    <w:semiHidden/>
    <w:unhideWhenUsed/>
    <w:rsid w:val="00AE4AEB"/>
    <w:pPr>
      <w:spacing w:line="240" w:lineRule="auto"/>
    </w:pPr>
    <w:rPr>
      <w:sz w:val="20"/>
      <w:szCs w:val="20"/>
    </w:rPr>
  </w:style>
  <w:style w:type="character" w:customStyle="1" w:styleId="Char2">
    <w:name w:val="نص تعليق Char"/>
    <w:basedOn w:val="a0"/>
    <w:link w:val="ad"/>
    <w:uiPriority w:val="99"/>
    <w:semiHidden/>
    <w:rsid w:val="00AE4AEB"/>
    <w:rPr>
      <w:sz w:val="20"/>
      <w:szCs w:val="20"/>
    </w:rPr>
  </w:style>
  <w:style w:type="paragraph" w:styleId="ae">
    <w:name w:val="annotation subject"/>
    <w:basedOn w:val="ad"/>
    <w:next w:val="ad"/>
    <w:link w:val="Char3"/>
    <w:uiPriority w:val="99"/>
    <w:semiHidden/>
    <w:unhideWhenUsed/>
    <w:rsid w:val="00AE4AEB"/>
    <w:rPr>
      <w:b/>
      <w:bCs/>
    </w:rPr>
  </w:style>
  <w:style w:type="character" w:customStyle="1" w:styleId="Char3">
    <w:name w:val="موضوع تعليق Char"/>
    <w:basedOn w:val="Char2"/>
    <w:link w:val="ae"/>
    <w:uiPriority w:val="99"/>
    <w:semiHidden/>
    <w:rsid w:val="00AE4A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017">
      <w:bodyDiv w:val="1"/>
      <w:marLeft w:val="0"/>
      <w:marRight w:val="0"/>
      <w:marTop w:val="0"/>
      <w:marBottom w:val="0"/>
      <w:divBdr>
        <w:top w:val="none" w:sz="0" w:space="0" w:color="auto"/>
        <w:left w:val="none" w:sz="0" w:space="0" w:color="auto"/>
        <w:bottom w:val="none" w:sz="0" w:space="0" w:color="auto"/>
        <w:right w:val="none" w:sz="0" w:space="0" w:color="auto"/>
      </w:divBdr>
    </w:div>
    <w:div w:id="632098298">
      <w:bodyDiv w:val="1"/>
      <w:marLeft w:val="0"/>
      <w:marRight w:val="0"/>
      <w:marTop w:val="0"/>
      <w:marBottom w:val="0"/>
      <w:divBdr>
        <w:top w:val="none" w:sz="0" w:space="0" w:color="auto"/>
        <w:left w:val="none" w:sz="0" w:space="0" w:color="auto"/>
        <w:bottom w:val="none" w:sz="0" w:space="0" w:color="auto"/>
        <w:right w:val="none" w:sz="0" w:space="0" w:color="auto"/>
      </w:divBdr>
      <w:divsChild>
        <w:div w:id="978222079">
          <w:marLeft w:val="-720"/>
          <w:marRight w:val="0"/>
          <w:marTop w:val="0"/>
          <w:marBottom w:val="0"/>
          <w:divBdr>
            <w:top w:val="none" w:sz="0" w:space="0" w:color="auto"/>
            <w:left w:val="none" w:sz="0" w:space="0" w:color="auto"/>
            <w:bottom w:val="none" w:sz="0" w:space="0" w:color="auto"/>
            <w:right w:val="none" w:sz="0" w:space="0" w:color="auto"/>
          </w:divBdr>
        </w:div>
      </w:divsChild>
    </w:div>
    <w:div w:id="840777767">
      <w:bodyDiv w:val="1"/>
      <w:marLeft w:val="0"/>
      <w:marRight w:val="0"/>
      <w:marTop w:val="0"/>
      <w:marBottom w:val="0"/>
      <w:divBdr>
        <w:top w:val="none" w:sz="0" w:space="0" w:color="auto"/>
        <w:left w:val="none" w:sz="0" w:space="0" w:color="auto"/>
        <w:bottom w:val="none" w:sz="0" w:space="0" w:color="auto"/>
        <w:right w:val="none" w:sz="0" w:space="0" w:color="auto"/>
      </w:divBdr>
    </w:div>
    <w:div w:id="985086441">
      <w:bodyDiv w:val="1"/>
      <w:marLeft w:val="0"/>
      <w:marRight w:val="0"/>
      <w:marTop w:val="0"/>
      <w:marBottom w:val="0"/>
      <w:divBdr>
        <w:top w:val="none" w:sz="0" w:space="0" w:color="auto"/>
        <w:left w:val="none" w:sz="0" w:space="0" w:color="auto"/>
        <w:bottom w:val="none" w:sz="0" w:space="0" w:color="auto"/>
        <w:right w:val="none" w:sz="0" w:space="0" w:color="auto"/>
      </w:divBdr>
    </w:div>
    <w:div w:id="1133210517">
      <w:bodyDiv w:val="1"/>
      <w:marLeft w:val="0"/>
      <w:marRight w:val="0"/>
      <w:marTop w:val="0"/>
      <w:marBottom w:val="0"/>
      <w:divBdr>
        <w:top w:val="none" w:sz="0" w:space="0" w:color="auto"/>
        <w:left w:val="none" w:sz="0" w:space="0" w:color="auto"/>
        <w:bottom w:val="none" w:sz="0" w:space="0" w:color="auto"/>
        <w:right w:val="none" w:sz="0" w:space="0" w:color="auto"/>
      </w:divBdr>
      <w:divsChild>
        <w:div w:id="953093056">
          <w:marLeft w:val="-720"/>
          <w:marRight w:val="0"/>
          <w:marTop w:val="0"/>
          <w:marBottom w:val="0"/>
          <w:divBdr>
            <w:top w:val="none" w:sz="0" w:space="0" w:color="auto"/>
            <w:left w:val="none" w:sz="0" w:space="0" w:color="auto"/>
            <w:bottom w:val="none" w:sz="0" w:space="0" w:color="auto"/>
            <w:right w:val="none" w:sz="0" w:space="0" w:color="auto"/>
          </w:divBdr>
        </w:div>
      </w:divsChild>
    </w:div>
    <w:div w:id="1138107747">
      <w:bodyDiv w:val="1"/>
      <w:marLeft w:val="0"/>
      <w:marRight w:val="0"/>
      <w:marTop w:val="0"/>
      <w:marBottom w:val="0"/>
      <w:divBdr>
        <w:top w:val="none" w:sz="0" w:space="0" w:color="auto"/>
        <w:left w:val="none" w:sz="0" w:space="0" w:color="auto"/>
        <w:bottom w:val="none" w:sz="0" w:space="0" w:color="auto"/>
        <w:right w:val="none" w:sz="0" w:space="0" w:color="auto"/>
      </w:divBdr>
    </w:div>
    <w:div w:id="1154296860">
      <w:bodyDiv w:val="1"/>
      <w:marLeft w:val="0"/>
      <w:marRight w:val="0"/>
      <w:marTop w:val="0"/>
      <w:marBottom w:val="0"/>
      <w:divBdr>
        <w:top w:val="none" w:sz="0" w:space="0" w:color="auto"/>
        <w:left w:val="none" w:sz="0" w:space="0" w:color="auto"/>
        <w:bottom w:val="none" w:sz="0" w:space="0" w:color="auto"/>
        <w:right w:val="none" w:sz="0" w:space="0" w:color="auto"/>
      </w:divBdr>
    </w:div>
    <w:div w:id="1227491759">
      <w:bodyDiv w:val="1"/>
      <w:marLeft w:val="0"/>
      <w:marRight w:val="0"/>
      <w:marTop w:val="0"/>
      <w:marBottom w:val="0"/>
      <w:divBdr>
        <w:top w:val="none" w:sz="0" w:space="0" w:color="auto"/>
        <w:left w:val="none" w:sz="0" w:space="0" w:color="auto"/>
        <w:bottom w:val="none" w:sz="0" w:space="0" w:color="auto"/>
        <w:right w:val="none" w:sz="0" w:space="0" w:color="auto"/>
      </w:divBdr>
    </w:div>
    <w:div w:id="1391538276">
      <w:bodyDiv w:val="1"/>
      <w:marLeft w:val="0"/>
      <w:marRight w:val="0"/>
      <w:marTop w:val="0"/>
      <w:marBottom w:val="0"/>
      <w:divBdr>
        <w:top w:val="none" w:sz="0" w:space="0" w:color="auto"/>
        <w:left w:val="none" w:sz="0" w:space="0" w:color="auto"/>
        <w:bottom w:val="none" w:sz="0" w:space="0" w:color="auto"/>
        <w:right w:val="none" w:sz="0" w:space="0" w:color="auto"/>
      </w:divBdr>
    </w:div>
    <w:div w:id="1541742814">
      <w:bodyDiv w:val="1"/>
      <w:marLeft w:val="0"/>
      <w:marRight w:val="0"/>
      <w:marTop w:val="0"/>
      <w:marBottom w:val="0"/>
      <w:divBdr>
        <w:top w:val="none" w:sz="0" w:space="0" w:color="auto"/>
        <w:left w:val="none" w:sz="0" w:space="0" w:color="auto"/>
        <w:bottom w:val="none" w:sz="0" w:space="0" w:color="auto"/>
        <w:right w:val="none" w:sz="0" w:space="0" w:color="auto"/>
      </w:divBdr>
    </w:div>
    <w:div w:id="1760982781">
      <w:bodyDiv w:val="1"/>
      <w:marLeft w:val="0"/>
      <w:marRight w:val="0"/>
      <w:marTop w:val="0"/>
      <w:marBottom w:val="0"/>
      <w:divBdr>
        <w:top w:val="none" w:sz="0" w:space="0" w:color="auto"/>
        <w:left w:val="none" w:sz="0" w:space="0" w:color="auto"/>
        <w:bottom w:val="none" w:sz="0" w:space="0" w:color="auto"/>
        <w:right w:val="none" w:sz="0" w:space="0" w:color="auto"/>
      </w:divBdr>
    </w:div>
    <w:div w:id="196191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77176">
          <w:marLeft w:val="-720"/>
          <w:marRight w:val="0"/>
          <w:marTop w:val="0"/>
          <w:marBottom w:val="0"/>
          <w:divBdr>
            <w:top w:val="none" w:sz="0" w:space="0" w:color="auto"/>
            <w:left w:val="none" w:sz="0" w:space="0" w:color="auto"/>
            <w:bottom w:val="none" w:sz="0" w:space="0" w:color="auto"/>
            <w:right w:val="none" w:sz="0" w:space="0" w:color="auto"/>
          </w:divBdr>
        </w:div>
      </w:divsChild>
    </w:div>
    <w:div w:id="19811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2HCvBYy" TargetMode="External"/><Relationship Id="rId18" Type="http://schemas.openxmlformats.org/officeDocument/2006/relationships/hyperlink" Target="https://doi.org/10.5539/jas.v10n12p395" TargetMode="External"/><Relationship Id="rId26" Type="http://schemas.openxmlformats.org/officeDocument/2006/relationships/hyperlink" Target="https://doi.org/10.1155/2022/2088034" TargetMode="External"/><Relationship Id="rId39" Type="http://schemas.openxmlformats.org/officeDocument/2006/relationships/hyperlink" Target="https://doi.org/10.22159/ijcpr.2020v12i5.39780" TargetMode="External"/><Relationship Id="rId3" Type="http://schemas.openxmlformats.org/officeDocument/2006/relationships/settings" Target="settings.xml"/><Relationship Id="rId21" Type="http://schemas.openxmlformats.org/officeDocument/2006/relationships/hyperlink" Target="https://182.160.97.198:8080/xmlui/handle/123456789/547" TargetMode="External"/><Relationship Id="rId34" Type="http://schemas.openxmlformats.org/officeDocument/2006/relationships/hyperlink" Target="https://doi.org/10.3390/molecules24224030" TargetMode="External"/><Relationship Id="rId42" Type="http://schemas.openxmlformats.org/officeDocument/2006/relationships/hyperlink" Target="https://doi.org/10.1016/j.heliyon.2024.e34982"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186/s13104-020-05404-8" TargetMode="External"/><Relationship Id="rId17" Type="http://schemas.openxmlformats.org/officeDocument/2006/relationships/hyperlink" Target="https://doi.org/10.1016/j.afres.2022.100079" TargetMode="External"/><Relationship Id="rId25" Type="http://schemas.openxmlformats.org/officeDocument/2006/relationships/hyperlink" Target="https://doi.org/10.3390/pr9091542" TargetMode="External"/><Relationship Id="rId33" Type="http://schemas.openxmlformats.org/officeDocument/2006/relationships/hyperlink" Target="https://doi.org/10.5897/AJB07.613" TargetMode="External"/><Relationship Id="rId38" Type="http://schemas.openxmlformats.org/officeDocument/2006/relationships/hyperlink" Target="https://doi.org/10.1016/S0076-6879(99)99017-1"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90/molecules25061340" TargetMode="External"/><Relationship Id="rId20" Type="http://schemas.openxmlformats.org/officeDocument/2006/relationships/hyperlink" Target="https://doi.org/10.1016/j.meafoo.2024.100177" TargetMode="External"/><Relationship Id="rId29" Type="http://schemas.openxmlformats.org/officeDocument/2006/relationships/hyperlink" Target="https://doi.org/10.1016/j.foodchem.2011.03.070" TargetMode="External"/><Relationship Id="rId41" Type="http://schemas.openxmlformats.org/officeDocument/2006/relationships/hyperlink" Target="https://doi.org/10.1016/j.heliyon.2019.e013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3390/antiox7090117" TargetMode="External"/><Relationship Id="rId32" Type="http://schemas.openxmlformats.org/officeDocument/2006/relationships/hyperlink" Target="https://doi.org/10.1007/s13197-016-2280-2" TargetMode="External"/><Relationship Id="rId37" Type="http://schemas.openxmlformats.org/officeDocument/2006/relationships/hyperlink" Target="https://doi.org/10.20546/ijcmas.2017.609.293" TargetMode="External"/><Relationship Id="rId40" Type="http://schemas.openxmlformats.org/officeDocument/2006/relationships/hyperlink" Target="https://doi.org/10.1016/j.foodchem.2015.11.11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it.ly/2IZYKh4" TargetMode="External"/><Relationship Id="rId23" Type="http://schemas.openxmlformats.org/officeDocument/2006/relationships/hyperlink" Target="https://doi.org/10.21123/bsj.2024.9328" TargetMode="External"/><Relationship Id="rId28" Type="http://schemas.openxmlformats.org/officeDocument/2006/relationships/hyperlink" Target="https://doi.org/10.1111/j.1399-3054.1963.tb08367.x" TargetMode="External"/><Relationship Id="rId36" Type="http://schemas.openxmlformats.org/officeDocument/2006/relationships/hyperlink" Target="https://doi.org/10.3390/antiox12010203" TargetMode="External"/><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bit.ly/33hyDJn" TargetMode="External"/><Relationship Id="rId31" Type="http://schemas.openxmlformats.org/officeDocument/2006/relationships/hyperlink" Target="https://doi.org/10.1177/1082013219894402" TargetMode="Externa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bit.ly/3nRlRJi" TargetMode="External"/><Relationship Id="rId22" Type="http://schemas.openxmlformats.org/officeDocument/2006/relationships/hyperlink" Target="https://doi.org/10.20546/ijcmas.2018.702.176" TargetMode="External"/><Relationship Id="rId27" Type="http://schemas.openxmlformats.org/officeDocument/2006/relationships/hyperlink" Target="https://doi.org/10.1007/s10068-017-0281-1" TargetMode="External"/><Relationship Id="rId30" Type="http://schemas.openxmlformats.org/officeDocument/2006/relationships/hyperlink" Target="https://doi.org/10.1016/j.foodchem.2004.10.006" TargetMode="External"/><Relationship Id="rId35" Type="http://schemas.openxmlformats.org/officeDocument/2006/relationships/hyperlink" Target="http://dx.doi.org/10.12944/CRNFSJ.9.2.26" TargetMode="External"/><Relationship Id="rId43" Type="http://schemas.openxmlformats.org/officeDocument/2006/relationships/header" Target="header1.xml"/><Relationship Id="rId48"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Sheet1!$D$5</c:f>
              <c:strCache>
                <c:ptCount val="1"/>
                <c:pt idx="0">
                  <c:v>Boiling</c:v>
                </c:pt>
              </c:strCache>
            </c:strRef>
          </c:tx>
          <c:spPr>
            <a:solidFill>
              <a:schemeClr val="accent1"/>
            </a:solidFill>
            <a:ln>
              <a:noFill/>
            </a:ln>
            <a:effectLst/>
          </c:spPr>
          <c:invertIfNegative val="0"/>
          <c:cat>
            <c:strRef>
              <c:f>Sheet1!$E$4:$I$4</c:f>
              <c:strCache>
                <c:ptCount val="3"/>
                <c:pt idx="0">
                  <c:v>Flavonoids </c:v>
                </c:pt>
                <c:pt idx="2">
                  <c:v>Antioxidant activity by DPPH</c:v>
                </c:pt>
              </c:strCache>
            </c:strRef>
          </c:cat>
          <c:val>
            <c:numRef>
              <c:f>Sheet1!$E$5:$I$5</c:f>
              <c:numCache>
                <c:formatCode>General</c:formatCode>
                <c:ptCount val="5"/>
                <c:pt idx="0" formatCode="0.00%">
                  <c:v>-4.5699999999999998E-2</c:v>
                </c:pt>
                <c:pt idx="2" formatCode="0.00%">
                  <c:v>0.75860000000000005</c:v>
                </c:pt>
              </c:numCache>
            </c:numRef>
          </c:val>
          <c:extLst>
            <c:ext xmlns:c16="http://schemas.microsoft.com/office/drawing/2014/chart" uri="{C3380CC4-5D6E-409C-BE32-E72D297353CC}">
              <c16:uniqueId val="{00000000-FC36-4683-AE85-CDB48347C769}"/>
            </c:ext>
          </c:extLst>
        </c:ser>
        <c:ser>
          <c:idx val="1"/>
          <c:order val="1"/>
          <c:tx>
            <c:strRef>
              <c:f>Sheet1!$D$6</c:f>
              <c:strCache>
                <c:ptCount val="1"/>
                <c:pt idx="0">
                  <c:v>Pressure cooking</c:v>
                </c:pt>
              </c:strCache>
            </c:strRef>
          </c:tx>
          <c:spPr>
            <a:solidFill>
              <a:schemeClr val="accent2"/>
            </a:solidFill>
            <a:ln>
              <a:noFill/>
            </a:ln>
            <a:effectLst/>
          </c:spPr>
          <c:invertIfNegative val="0"/>
          <c:cat>
            <c:strRef>
              <c:f>Sheet1!$E$4:$I$4</c:f>
              <c:strCache>
                <c:ptCount val="3"/>
                <c:pt idx="0">
                  <c:v>Flavonoids </c:v>
                </c:pt>
                <c:pt idx="2">
                  <c:v>Antioxidant activity by DPPH</c:v>
                </c:pt>
              </c:strCache>
            </c:strRef>
          </c:cat>
          <c:val>
            <c:numRef>
              <c:f>Sheet1!$E$6:$I$6</c:f>
              <c:numCache>
                <c:formatCode>General</c:formatCode>
                <c:ptCount val="5"/>
                <c:pt idx="0" formatCode="0.00%">
                  <c:v>0.49099999999999999</c:v>
                </c:pt>
                <c:pt idx="2" formatCode="0.00%">
                  <c:v>0.33710000000000001</c:v>
                </c:pt>
              </c:numCache>
            </c:numRef>
          </c:val>
          <c:extLst>
            <c:ext xmlns:c16="http://schemas.microsoft.com/office/drawing/2014/chart" uri="{C3380CC4-5D6E-409C-BE32-E72D297353CC}">
              <c16:uniqueId val="{00000001-FC36-4683-AE85-CDB48347C769}"/>
            </c:ext>
          </c:extLst>
        </c:ser>
        <c:ser>
          <c:idx val="2"/>
          <c:order val="2"/>
          <c:tx>
            <c:strRef>
              <c:f>Sheet1!$D$7</c:f>
              <c:strCache>
                <c:ptCount val="1"/>
                <c:pt idx="0">
                  <c:v>Microwave cooking</c:v>
                </c:pt>
              </c:strCache>
            </c:strRef>
          </c:tx>
          <c:spPr>
            <a:solidFill>
              <a:schemeClr val="accent3"/>
            </a:solidFill>
            <a:ln>
              <a:noFill/>
            </a:ln>
            <a:effectLst/>
          </c:spPr>
          <c:invertIfNegative val="0"/>
          <c:cat>
            <c:strRef>
              <c:f>Sheet1!$E$4:$I$4</c:f>
              <c:strCache>
                <c:ptCount val="3"/>
                <c:pt idx="0">
                  <c:v>Flavonoids </c:v>
                </c:pt>
                <c:pt idx="2">
                  <c:v>Antioxidant activity by DPPH</c:v>
                </c:pt>
              </c:strCache>
            </c:strRef>
          </c:cat>
          <c:val>
            <c:numRef>
              <c:f>Sheet1!$E$7:$I$7</c:f>
              <c:numCache>
                <c:formatCode>General</c:formatCode>
                <c:ptCount val="5"/>
                <c:pt idx="0" formatCode="0.00%">
                  <c:v>0.74580000000000002</c:v>
                </c:pt>
                <c:pt idx="2" formatCode="0.00%">
                  <c:v>0.73919999999999997</c:v>
                </c:pt>
              </c:numCache>
            </c:numRef>
          </c:val>
          <c:extLst>
            <c:ext xmlns:c16="http://schemas.microsoft.com/office/drawing/2014/chart" uri="{C3380CC4-5D6E-409C-BE32-E72D297353CC}">
              <c16:uniqueId val="{00000002-FC36-4683-AE85-CDB48347C769}"/>
            </c:ext>
          </c:extLst>
        </c:ser>
        <c:ser>
          <c:idx val="3"/>
          <c:order val="3"/>
          <c:tx>
            <c:strRef>
              <c:f>Sheet1!$D$8</c:f>
              <c:strCache>
                <c:ptCount val="1"/>
                <c:pt idx="0">
                  <c:v>Steaming</c:v>
                </c:pt>
              </c:strCache>
            </c:strRef>
          </c:tx>
          <c:spPr>
            <a:solidFill>
              <a:schemeClr val="accent4"/>
            </a:solidFill>
            <a:ln>
              <a:noFill/>
            </a:ln>
            <a:effectLst/>
          </c:spPr>
          <c:invertIfNegative val="0"/>
          <c:cat>
            <c:strRef>
              <c:f>Sheet1!$E$4:$I$4</c:f>
              <c:strCache>
                <c:ptCount val="3"/>
                <c:pt idx="0">
                  <c:v>Flavonoids </c:v>
                </c:pt>
                <c:pt idx="2">
                  <c:v>Antioxidant activity by DPPH</c:v>
                </c:pt>
              </c:strCache>
            </c:strRef>
          </c:cat>
          <c:val>
            <c:numRef>
              <c:f>Sheet1!$E$8:$I$8</c:f>
              <c:numCache>
                <c:formatCode>General</c:formatCode>
                <c:ptCount val="5"/>
                <c:pt idx="0" formatCode="0.00%">
                  <c:v>-0.10009999999999999</c:v>
                </c:pt>
                <c:pt idx="2" formatCode="0.00%">
                  <c:v>0.3407</c:v>
                </c:pt>
              </c:numCache>
            </c:numRef>
          </c:val>
          <c:extLst>
            <c:ext xmlns:c16="http://schemas.microsoft.com/office/drawing/2014/chart" uri="{C3380CC4-5D6E-409C-BE32-E72D297353CC}">
              <c16:uniqueId val="{00000003-FC36-4683-AE85-CDB48347C769}"/>
            </c:ext>
          </c:extLst>
        </c:ser>
        <c:ser>
          <c:idx val="4"/>
          <c:order val="4"/>
          <c:tx>
            <c:strRef>
              <c:f>Sheet1!$D$9</c:f>
              <c:strCache>
                <c:ptCount val="1"/>
                <c:pt idx="0">
                  <c:v>Sauteing </c:v>
                </c:pt>
              </c:strCache>
            </c:strRef>
          </c:tx>
          <c:spPr>
            <a:solidFill>
              <a:schemeClr val="accent5"/>
            </a:solidFill>
            <a:ln>
              <a:noFill/>
            </a:ln>
            <a:effectLst/>
          </c:spPr>
          <c:invertIfNegative val="0"/>
          <c:cat>
            <c:strRef>
              <c:f>Sheet1!$E$4:$I$4</c:f>
              <c:strCache>
                <c:ptCount val="3"/>
                <c:pt idx="0">
                  <c:v>Flavonoids </c:v>
                </c:pt>
                <c:pt idx="2">
                  <c:v>Antioxidant activity by DPPH</c:v>
                </c:pt>
              </c:strCache>
            </c:strRef>
          </c:cat>
          <c:val>
            <c:numRef>
              <c:f>Sheet1!$E$9:$I$9</c:f>
              <c:numCache>
                <c:formatCode>General</c:formatCode>
                <c:ptCount val="5"/>
                <c:pt idx="0" formatCode="0.00%">
                  <c:v>1.1473</c:v>
                </c:pt>
                <c:pt idx="2" formatCode="0.00%">
                  <c:v>0.77159999999999995</c:v>
                </c:pt>
              </c:numCache>
            </c:numRef>
          </c:val>
          <c:extLst>
            <c:ext xmlns:c16="http://schemas.microsoft.com/office/drawing/2014/chart" uri="{C3380CC4-5D6E-409C-BE32-E72D297353CC}">
              <c16:uniqueId val="{00000004-FC36-4683-AE85-CDB48347C769}"/>
            </c:ext>
          </c:extLst>
        </c:ser>
        <c:dLbls>
          <c:showLegendKey val="0"/>
          <c:showVal val="0"/>
          <c:showCatName val="0"/>
          <c:showSerName val="0"/>
          <c:showPercent val="0"/>
          <c:showBubbleSize val="0"/>
        </c:dLbls>
        <c:gapWidth val="219"/>
        <c:overlap val="-27"/>
        <c:axId val="162494976"/>
        <c:axId val="160467776"/>
      </c:barChart>
      <c:catAx>
        <c:axId val="16249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0467776"/>
        <c:crosses val="autoZero"/>
        <c:auto val="1"/>
        <c:lblAlgn val="ctr"/>
        <c:lblOffset val="100"/>
        <c:noMultiLvlLbl val="0"/>
      </c:catAx>
      <c:valAx>
        <c:axId val="1604677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Percentage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249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Sheet1!$D$18</c:f>
              <c:strCache>
                <c:ptCount val="1"/>
                <c:pt idx="0">
                  <c:v>Boiling</c:v>
                </c:pt>
              </c:strCache>
            </c:strRef>
          </c:tx>
          <c:spPr>
            <a:solidFill>
              <a:schemeClr val="accent1"/>
            </a:solidFill>
            <a:ln>
              <a:noFill/>
            </a:ln>
            <a:effectLst/>
          </c:spPr>
          <c:invertIfNegative val="0"/>
          <c:cat>
            <c:strRef>
              <c:f>Sheet1!$E$17:$J$17</c:f>
              <c:strCache>
                <c:ptCount val="5"/>
                <c:pt idx="0">
                  <c:v>Ascorbic acid</c:v>
                </c:pt>
                <c:pt idx="2">
                  <c:v>β-carotene</c:v>
                </c:pt>
                <c:pt idx="4">
                  <c:v>Total Phenol</c:v>
                </c:pt>
              </c:strCache>
            </c:strRef>
          </c:cat>
          <c:val>
            <c:numRef>
              <c:f>Sheet1!$E$18:$J$18</c:f>
              <c:numCache>
                <c:formatCode>General</c:formatCode>
                <c:ptCount val="6"/>
                <c:pt idx="0" formatCode="0.00%">
                  <c:v>-0.92810000000000004</c:v>
                </c:pt>
                <c:pt idx="2" formatCode="0.00%">
                  <c:v>-0.71489999999999998</c:v>
                </c:pt>
                <c:pt idx="4" formatCode="0.00%">
                  <c:v>2.0543</c:v>
                </c:pt>
              </c:numCache>
            </c:numRef>
          </c:val>
          <c:extLst>
            <c:ext xmlns:c16="http://schemas.microsoft.com/office/drawing/2014/chart" uri="{C3380CC4-5D6E-409C-BE32-E72D297353CC}">
              <c16:uniqueId val="{00000000-4562-42FD-A6AF-9B5A4360D861}"/>
            </c:ext>
          </c:extLst>
        </c:ser>
        <c:ser>
          <c:idx val="1"/>
          <c:order val="1"/>
          <c:tx>
            <c:strRef>
              <c:f>Sheet1!$D$19</c:f>
              <c:strCache>
                <c:ptCount val="1"/>
                <c:pt idx="0">
                  <c:v>Pressure cooking</c:v>
                </c:pt>
              </c:strCache>
            </c:strRef>
          </c:tx>
          <c:spPr>
            <a:solidFill>
              <a:schemeClr val="accent2"/>
            </a:solidFill>
            <a:ln>
              <a:noFill/>
            </a:ln>
            <a:effectLst/>
          </c:spPr>
          <c:invertIfNegative val="0"/>
          <c:cat>
            <c:strRef>
              <c:f>Sheet1!$E$17:$J$17</c:f>
              <c:strCache>
                <c:ptCount val="5"/>
                <c:pt idx="0">
                  <c:v>Ascorbic acid</c:v>
                </c:pt>
                <c:pt idx="2">
                  <c:v>β-carotene</c:v>
                </c:pt>
                <c:pt idx="4">
                  <c:v>Total Phenol</c:v>
                </c:pt>
              </c:strCache>
            </c:strRef>
          </c:cat>
          <c:val>
            <c:numRef>
              <c:f>Sheet1!$E$19:$J$19</c:f>
              <c:numCache>
                <c:formatCode>General</c:formatCode>
                <c:ptCount val="6"/>
                <c:pt idx="0" formatCode="0.00%">
                  <c:v>-0.87419999999999998</c:v>
                </c:pt>
                <c:pt idx="2" formatCode="0.00%">
                  <c:v>-0.31140000000000001</c:v>
                </c:pt>
                <c:pt idx="4" formatCode="0.00%">
                  <c:v>3.2221000000000002</c:v>
                </c:pt>
              </c:numCache>
            </c:numRef>
          </c:val>
          <c:extLst>
            <c:ext xmlns:c16="http://schemas.microsoft.com/office/drawing/2014/chart" uri="{C3380CC4-5D6E-409C-BE32-E72D297353CC}">
              <c16:uniqueId val="{00000001-4562-42FD-A6AF-9B5A4360D861}"/>
            </c:ext>
          </c:extLst>
        </c:ser>
        <c:ser>
          <c:idx val="2"/>
          <c:order val="2"/>
          <c:tx>
            <c:strRef>
              <c:f>Sheet1!$D$20</c:f>
              <c:strCache>
                <c:ptCount val="1"/>
                <c:pt idx="0">
                  <c:v>Microwave cooking</c:v>
                </c:pt>
              </c:strCache>
            </c:strRef>
          </c:tx>
          <c:spPr>
            <a:solidFill>
              <a:schemeClr val="accent3"/>
            </a:solidFill>
            <a:ln>
              <a:noFill/>
            </a:ln>
            <a:effectLst/>
          </c:spPr>
          <c:invertIfNegative val="0"/>
          <c:cat>
            <c:strRef>
              <c:f>Sheet1!$E$17:$J$17</c:f>
              <c:strCache>
                <c:ptCount val="5"/>
                <c:pt idx="0">
                  <c:v>Ascorbic acid</c:v>
                </c:pt>
                <c:pt idx="2">
                  <c:v>β-carotene</c:v>
                </c:pt>
                <c:pt idx="4">
                  <c:v>Total Phenol</c:v>
                </c:pt>
              </c:strCache>
            </c:strRef>
          </c:cat>
          <c:val>
            <c:numRef>
              <c:f>Sheet1!$E$20:$J$20</c:f>
              <c:numCache>
                <c:formatCode>General</c:formatCode>
                <c:ptCount val="6"/>
                <c:pt idx="0" formatCode="0.00%">
                  <c:v>-0.8982</c:v>
                </c:pt>
                <c:pt idx="2" formatCode="0.00%">
                  <c:v>-0.66139999999999999</c:v>
                </c:pt>
                <c:pt idx="4" formatCode="0.00%">
                  <c:v>2.5283000000000002</c:v>
                </c:pt>
              </c:numCache>
            </c:numRef>
          </c:val>
          <c:extLst>
            <c:ext xmlns:c16="http://schemas.microsoft.com/office/drawing/2014/chart" uri="{C3380CC4-5D6E-409C-BE32-E72D297353CC}">
              <c16:uniqueId val="{00000002-4562-42FD-A6AF-9B5A4360D861}"/>
            </c:ext>
          </c:extLst>
        </c:ser>
        <c:ser>
          <c:idx val="3"/>
          <c:order val="3"/>
          <c:tx>
            <c:strRef>
              <c:f>Sheet1!$D$21</c:f>
              <c:strCache>
                <c:ptCount val="1"/>
                <c:pt idx="0">
                  <c:v>Steaming</c:v>
                </c:pt>
              </c:strCache>
            </c:strRef>
          </c:tx>
          <c:spPr>
            <a:solidFill>
              <a:schemeClr val="accent4"/>
            </a:solidFill>
            <a:ln>
              <a:noFill/>
            </a:ln>
            <a:effectLst/>
          </c:spPr>
          <c:invertIfNegative val="0"/>
          <c:cat>
            <c:strRef>
              <c:f>Sheet1!$E$17:$J$17</c:f>
              <c:strCache>
                <c:ptCount val="5"/>
                <c:pt idx="0">
                  <c:v>Ascorbic acid</c:v>
                </c:pt>
                <c:pt idx="2">
                  <c:v>β-carotene</c:v>
                </c:pt>
                <c:pt idx="4">
                  <c:v>Total Phenol</c:v>
                </c:pt>
              </c:strCache>
            </c:strRef>
          </c:cat>
          <c:val>
            <c:numRef>
              <c:f>Sheet1!$E$21:$J$21</c:f>
              <c:numCache>
                <c:formatCode>General</c:formatCode>
                <c:ptCount val="6"/>
                <c:pt idx="0" formatCode="0.00%">
                  <c:v>-0.91020000000000001</c:v>
                </c:pt>
                <c:pt idx="2" formatCode="0.00%">
                  <c:v>-0.63190000000000002</c:v>
                </c:pt>
                <c:pt idx="4" formatCode="0.00%">
                  <c:v>2.1246</c:v>
                </c:pt>
              </c:numCache>
            </c:numRef>
          </c:val>
          <c:extLst>
            <c:ext xmlns:c16="http://schemas.microsoft.com/office/drawing/2014/chart" uri="{C3380CC4-5D6E-409C-BE32-E72D297353CC}">
              <c16:uniqueId val="{00000003-4562-42FD-A6AF-9B5A4360D861}"/>
            </c:ext>
          </c:extLst>
        </c:ser>
        <c:ser>
          <c:idx val="4"/>
          <c:order val="4"/>
          <c:tx>
            <c:strRef>
              <c:f>Sheet1!$D$22</c:f>
              <c:strCache>
                <c:ptCount val="1"/>
                <c:pt idx="0">
                  <c:v>Sauteing </c:v>
                </c:pt>
              </c:strCache>
            </c:strRef>
          </c:tx>
          <c:spPr>
            <a:solidFill>
              <a:schemeClr val="accent5"/>
            </a:solidFill>
            <a:ln>
              <a:noFill/>
            </a:ln>
            <a:effectLst/>
          </c:spPr>
          <c:invertIfNegative val="0"/>
          <c:cat>
            <c:strRef>
              <c:f>Sheet1!$E$17:$J$17</c:f>
              <c:strCache>
                <c:ptCount val="5"/>
                <c:pt idx="0">
                  <c:v>Ascorbic acid</c:v>
                </c:pt>
                <c:pt idx="2">
                  <c:v>β-carotene</c:v>
                </c:pt>
                <c:pt idx="4">
                  <c:v>Total Phenol</c:v>
                </c:pt>
              </c:strCache>
            </c:strRef>
          </c:cat>
          <c:val>
            <c:numRef>
              <c:f>Sheet1!$E$22:$J$22</c:f>
              <c:numCache>
                <c:formatCode>General</c:formatCode>
                <c:ptCount val="6"/>
                <c:pt idx="0" formatCode="0.00%">
                  <c:v>-0.91020000000000001</c:v>
                </c:pt>
                <c:pt idx="2" formatCode="0.00%">
                  <c:v>2.4299999999999999E-2</c:v>
                </c:pt>
                <c:pt idx="4" formatCode="0.00%">
                  <c:v>3.5152999999999999</c:v>
                </c:pt>
              </c:numCache>
            </c:numRef>
          </c:val>
          <c:extLst>
            <c:ext xmlns:c16="http://schemas.microsoft.com/office/drawing/2014/chart" uri="{C3380CC4-5D6E-409C-BE32-E72D297353CC}">
              <c16:uniqueId val="{00000004-4562-42FD-A6AF-9B5A4360D861}"/>
            </c:ext>
          </c:extLst>
        </c:ser>
        <c:dLbls>
          <c:showLegendKey val="0"/>
          <c:showVal val="0"/>
          <c:showCatName val="0"/>
          <c:showSerName val="0"/>
          <c:showPercent val="0"/>
          <c:showBubbleSize val="0"/>
        </c:dLbls>
        <c:gapWidth val="219"/>
        <c:overlap val="-27"/>
        <c:axId val="161065984"/>
        <c:axId val="160470656"/>
      </c:barChart>
      <c:catAx>
        <c:axId val="16106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0470656"/>
        <c:crosses val="autoZero"/>
        <c:auto val="1"/>
        <c:lblAlgn val="ctr"/>
        <c:lblOffset val="100"/>
        <c:noMultiLvlLbl val="0"/>
      </c:catAx>
      <c:valAx>
        <c:axId val="16047065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106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C8-42F7-AC7B-42D27A01AF4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Sheet1!$B$2:$B$4</c:f>
              <c:numCache>
                <c:formatCode>General</c:formatCode>
                <c:ptCount val="3"/>
                <c:pt idx="0">
                  <c:v>7.8</c:v>
                </c:pt>
                <c:pt idx="1">
                  <c:v>0</c:v>
                </c:pt>
                <c:pt idx="2">
                  <c:v>8.3000000000000007</c:v>
                </c:pt>
              </c:numCache>
            </c:numRef>
          </c:val>
          <c:extLst>
            <c:ext xmlns:c16="http://schemas.microsoft.com/office/drawing/2014/chart" uri="{C3380CC4-5D6E-409C-BE32-E72D297353CC}">
              <c16:uniqueId val="{00000002-CCC8-42F7-AC7B-42D27A01AF45}"/>
            </c:ext>
          </c:extLst>
        </c:ser>
        <c:ser>
          <c:idx val="1"/>
          <c:order val="1"/>
          <c:tx>
            <c:strRef>
              <c:f>Sheet1!$C$1</c:f>
              <c:strCache>
                <c:ptCount val="1"/>
                <c:pt idx="0">
                  <c:v>Boiling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Sheet1!$C$2:$C$4</c:f>
              <c:numCache>
                <c:formatCode>General</c:formatCode>
                <c:ptCount val="3"/>
                <c:pt idx="0">
                  <c:v>0</c:v>
                </c:pt>
                <c:pt idx="1">
                  <c:v>0</c:v>
                </c:pt>
                <c:pt idx="2">
                  <c:v>2.2999999999999998</c:v>
                </c:pt>
              </c:numCache>
            </c:numRef>
          </c:val>
          <c:extLst>
            <c:ext xmlns:c16="http://schemas.microsoft.com/office/drawing/2014/chart" uri="{C3380CC4-5D6E-409C-BE32-E72D297353CC}">
              <c16:uniqueId val="{00000004-CCC8-42F7-AC7B-42D27A01AF45}"/>
            </c:ext>
          </c:extLst>
        </c:ser>
        <c:ser>
          <c:idx val="2"/>
          <c:order val="2"/>
          <c:tx>
            <c:strRef>
              <c:f>Sheet1!$D$1</c:f>
              <c:strCache>
                <c:ptCount val="1"/>
                <c:pt idx="0">
                  <c:v>Pressure cooking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C8-42F7-AC7B-42D27A01AF4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Sheet1!$D$2:$D$4</c:f>
              <c:numCache>
                <c:formatCode>General</c:formatCode>
                <c:ptCount val="3"/>
                <c:pt idx="0">
                  <c:v>7.5</c:v>
                </c:pt>
                <c:pt idx="1">
                  <c:v>0</c:v>
                </c:pt>
                <c:pt idx="2">
                  <c:v>6.4</c:v>
                </c:pt>
              </c:numCache>
            </c:numRef>
          </c:val>
          <c:extLst>
            <c:ext xmlns:c16="http://schemas.microsoft.com/office/drawing/2014/chart" uri="{C3380CC4-5D6E-409C-BE32-E72D297353CC}">
              <c16:uniqueId val="{00000007-CCC8-42F7-AC7B-42D27A01AF45}"/>
            </c:ext>
          </c:extLst>
        </c:ser>
        <c:ser>
          <c:idx val="3"/>
          <c:order val="3"/>
          <c:tx>
            <c:strRef>
              <c:f>Sheet1!$E$1</c:f>
              <c:strCache>
                <c:ptCount val="1"/>
                <c:pt idx="0">
                  <c:v>Microwave cooking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C8-42F7-AC7B-42D27A01AF4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Sheet1!$E$2:$E$4</c:f>
              <c:numCache>
                <c:formatCode>General</c:formatCode>
                <c:ptCount val="3"/>
                <c:pt idx="0">
                  <c:v>5.7</c:v>
                </c:pt>
                <c:pt idx="1">
                  <c:v>0</c:v>
                </c:pt>
                <c:pt idx="2">
                  <c:v>5.8</c:v>
                </c:pt>
              </c:numCache>
            </c:numRef>
          </c:val>
          <c:extLst>
            <c:ext xmlns:c16="http://schemas.microsoft.com/office/drawing/2014/chart" uri="{C3380CC4-5D6E-409C-BE32-E72D297353CC}">
              <c16:uniqueId val="{0000000A-CCC8-42F7-AC7B-42D27A01AF45}"/>
            </c:ext>
          </c:extLst>
        </c:ser>
        <c:ser>
          <c:idx val="4"/>
          <c:order val="4"/>
          <c:tx>
            <c:strRef>
              <c:f>Sheet1!$F$1</c:f>
              <c:strCache>
                <c:ptCount val="1"/>
                <c:pt idx="0">
                  <c:v>Steaming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Sheet1!$F$2:$F$4</c:f>
              <c:numCache>
                <c:formatCode>General</c:formatCode>
                <c:ptCount val="3"/>
                <c:pt idx="0">
                  <c:v>0</c:v>
                </c:pt>
                <c:pt idx="1">
                  <c:v>0</c:v>
                </c:pt>
                <c:pt idx="2">
                  <c:v>5.4</c:v>
                </c:pt>
              </c:numCache>
            </c:numRef>
          </c:val>
          <c:extLst>
            <c:ext xmlns:c16="http://schemas.microsoft.com/office/drawing/2014/chart" uri="{C3380CC4-5D6E-409C-BE32-E72D297353CC}">
              <c16:uniqueId val="{0000000C-CCC8-42F7-AC7B-42D27A01AF45}"/>
            </c:ext>
          </c:extLst>
        </c:ser>
        <c:ser>
          <c:idx val="5"/>
          <c:order val="5"/>
          <c:tx>
            <c:strRef>
              <c:f>Sheet1!$G$1</c:f>
              <c:strCache>
                <c:ptCount val="1"/>
                <c:pt idx="0">
                  <c:v>Sauteing</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Sheet1!$G$2:$G$4</c:f>
              <c:numCache>
                <c:formatCode>General</c:formatCode>
                <c:ptCount val="3"/>
                <c:pt idx="0">
                  <c:v>0</c:v>
                </c:pt>
                <c:pt idx="1">
                  <c:v>0</c:v>
                </c:pt>
                <c:pt idx="2">
                  <c:v>0</c:v>
                </c:pt>
              </c:numCache>
            </c:numRef>
          </c:val>
          <c:extLst>
            <c:ext xmlns:c16="http://schemas.microsoft.com/office/drawing/2014/chart" uri="{C3380CC4-5D6E-409C-BE32-E72D297353CC}">
              <c16:uniqueId val="{0000000D-CCC8-42F7-AC7B-42D27A01AF45}"/>
            </c:ext>
          </c:extLst>
        </c:ser>
        <c:ser>
          <c:idx val="6"/>
          <c:order val="6"/>
          <c:tx>
            <c:v>standard</c:v>
          </c:tx>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CC8-42F7-AC7B-42D27A01AF4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CC8-42F7-AC7B-42D27A01AF45}"/>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Lit>
              <c:formatCode>General</c:formatCode>
              <c:ptCount val="3"/>
              <c:pt idx="0">
                <c:v>26.04</c:v>
              </c:pt>
              <c:pt idx="1">
                <c:v>22.54</c:v>
              </c:pt>
              <c:pt idx="2">
                <c:v>15.25</c:v>
              </c:pt>
            </c:numLit>
          </c:val>
          <c:extLst>
            <c:ext xmlns:c16="http://schemas.microsoft.com/office/drawing/2014/chart" uri="{C3380CC4-5D6E-409C-BE32-E72D297353CC}">
              <c16:uniqueId val="{00000011-CCC8-42F7-AC7B-42D27A01AF45}"/>
            </c:ext>
          </c:extLst>
        </c:ser>
        <c:dLbls>
          <c:dLblPos val="outEnd"/>
          <c:showLegendKey val="0"/>
          <c:showVal val="1"/>
          <c:showCatName val="0"/>
          <c:showSerName val="0"/>
          <c:showPercent val="0"/>
          <c:showBubbleSize val="0"/>
        </c:dLbls>
        <c:gapWidth val="100"/>
        <c:overlap val="-24"/>
        <c:axId val="174044672"/>
        <c:axId val="160472384"/>
      </c:barChart>
      <c:catAx>
        <c:axId val="174044672"/>
        <c:scaling>
          <c:orientation val="minMax"/>
        </c:scaling>
        <c:delete val="0"/>
        <c:axPos val="b"/>
        <c:title>
          <c:tx>
            <c:rich>
              <a:bodyPr/>
              <a:lstStyle/>
              <a:p>
                <a:pPr>
                  <a:defRPr/>
                </a:pPr>
                <a:r>
                  <a:rPr lang="en-IN"/>
                  <a:t>Tested</a:t>
                </a:r>
                <a:r>
                  <a:rPr lang="en-IN" baseline="0"/>
                  <a:t> microbes</a:t>
                </a:r>
                <a:endParaRPr lang="en-IN"/>
              </a:p>
            </c:rich>
          </c:tx>
          <c:layout>
            <c:manualLayout>
              <c:xMode val="edge"/>
              <c:yMode val="edge"/>
              <c:x val="0.38809378029973102"/>
              <c:y val="0.84742029410372566"/>
            </c:manualLayout>
          </c:layout>
          <c:overlay val="0"/>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472384"/>
        <c:crosses val="autoZero"/>
        <c:auto val="1"/>
        <c:lblAlgn val="ctr"/>
        <c:lblOffset val="100"/>
        <c:noMultiLvlLbl val="0"/>
      </c:catAx>
      <c:valAx>
        <c:axId val="16047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inhibition zone in mm</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4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A07173E48487C9011212031E945C7"/>
        <w:category>
          <w:name w:val="General"/>
          <w:gallery w:val="placeholder"/>
        </w:category>
        <w:types>
          <w:type w:val="bbPlcHdr"/>
        </w:types>
        <w:behaviors>
          <w:behavior w:val="content"/>
        </w:behaviors>
        <w:guid w:val="{A667E0EB-5F2F-4E82-A892-C657B9402611}"/>
      </w:docPartPr>
      <w:docPartBody>
        <w:p w:rsidR="00974810" w:rsidRDefault="004B4EC1" w:rsidP="004B4EC1">
          <w:pPr>
            <w:pStyle w:val="E43A07173E48487C9011212031E945C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C1"/>
    <w:rsid w:val="003103AE"/>
    <w:rsid w:val="00424418"/>
    <w:rsid w:val="00445658"/>
    <w:rsid w:val="004B4EC1"/>
    <w:rsid w:val="005558B1"/>
    <w:rsid w:val="00573C69"/>
    <w:rsid w:val="0063443C"/>
    <w:rsid w:val="008B76B9"/>
    <w:rsid w:val="008E1A02"/>
    <w:rsid w:val="00974810"/>
    <w:rsid w:val="00A063A4"/>
    <w:rsid w:val="00A26228"/>
    <w:rsid w:val="00CC512A"/>
    <w:rsid w:val="00E2337D"/>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p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Raav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3A07173E48487C9011212031E945C7">
    <w:name w:val="E43A07173E48487C9011212031E945C7"/>
    <w:rsid w:val="004B4EC1"/>
    <w:rPr>
      <w:rFonts w:cs="Raav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6200</Words>
  <Characters>35340</Characters>
  <Application>Microsoft Office Word</Application>
  <DocSecurity>0</DocSecurity>
  <Lines>294</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Goyal</dc:creator>
  <cp:keywords/>
  <dc:description/>
  <cp:lastModifiedBy>pc</cp:lastModifiedBy>
  <cp:revision>10</cp:revision>
  <dcterms:created xsi:type="dcterms:W3CDTF">2026-02-23T18:19:00Z</dcterms:created>
  <dcterms:modified xsi:type="dcterms:W3CDTF">2026-02-26T08:05:00Z</dcterms:modified>
</cp:coreProperties>
</file>