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812EF" w14:textId="65CC8FD7" w:rsidR="008F66A4" w:rsidRDefault="008F66A4" w:rsidP="008F66A4">
      <w:pPr>
        <w:spacing w:after="60"/>
        <w:rPr>
          <w:b/>
          <w:bCs/>
          <w:sz w:val="28"/>
          <w:szCs w:val="28"/>
          <w:u w:val="single"/>
        </w:rPr>
      </w:pPr>
      <w:r w:rsidRPr="008F66A4">
        <w:rPr>
          <w:b/>
          <w:bCs/>
          <w:sz w:val="28"/>
          <w:szCs w:val="28"/>
          <w:u w:val="single"/>
        </w:rPr>
        <w:t>Original Research Article</w:t>
      </w:r>
    </w:p>
    <w:p w14:paraId="35963DAD" w14:textId="77777777" w:rsidR="006227A8" w:rsidRPr="008F66A4" w:rsidRDefault="006227A8" w:rsidP="008F66A4">
      <w:pPr>
        <w:spacing w:after="60"/>
        <w:rPr>
          <w:b/>
          <w:bCs/>
          <w:sz w:val="28"/>
          <w:szCs w:val="28"/>
          <w:u w:val="single"/>
        </w:rPr>
      </w:pPr>
    </w:p>
    <w:p w14:paraId="57D2E44B" w14:textId="3E754D6D" w:rsidR="000D5CB8" w:rsidRDefault="000D5CB8">
      <w:pPr>
        <w:spacing w:after="60"/>
        <w:jc w:val="center"/>
        <w:rPr>
          <w:b/>
          <w:bCs/>
          <w:sz w:val="28"/>
          <w:szCs w:val="28"/>
        </w:rPr>
      </w:pPr>
      <w:r w:rsidRPr="000D5CB8">
        <w:rPr>
          <w:b/>
          <w:bCs/>
          <w:sz w:val="28"/>
          <w:szCs w:val="28"/>
        </w:rPr>
        <w:t>Energy Resilience in Water Treatment Infrastructure Under Seasonal Hydrological Stress: Neural Network-Controlled Solar Generation Integration in Southern Nigeria</w:t>
      </w:r>
    </w:p>
    <w:p w14:paraId="473AA98E" w14:textId="77777777" w:rsidR="008F66A4" w:rsidRDefault="008F66A4">
      <w:pPr>
        <w:spacing w:after="60"/>
        <w:jc w:val="center"/>
        <w:rPr>
          <w:b/>
          <w:bCs/>
          <w:sz w:val="28"/>
          <w:szCs w:val="28"/>
        </w:rPr>
      </w:pPr>
    </w:p>
    <w:p w14:paraId="46456804" w14:textId="77777777" w:rsidR="002858F5" w:rsidRDefault="002858F5">
      <w:pPr>
        <w:spacing w:after="80"/>
        <w:rPr>
          <w:b/>
          <w:bCs/>
          <w:sz w:val="22"/>
          <w:szCs w:val="22"/>
        </w:rPr>
      </w:pPr>
    </w:p>
    <w:p w14:paraId="3A800CF7" w14:textId="4E7DAC3C" w:rsidR="00400227" w:rsidRDefault="007E4A27">
      <w:pPr>
        <w:spacing w:after="80"/>
      </w:pPr>
      <w:r>
        <w:rPr>
          <w:b/>
          <w:bCs/>
          <w:sz w:val="22"/>
          <w:szCs w:val="22"/>
        </w:rPr>
        <w:t>ABSTRACT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400227" w14:paraId="63E89176" w14:textId="77777777">
        <w:tc>
          <w:tcPr>
            <w:tcW w:w="0" w:type="auto"/>
            <w:tcBorders>
              <w:top w:val="single" w:sz="1" w:space="0" w:color="000000"/>
              <w:left w:val="single" w:sz="1" w:space="0" w:color="000000"/>
              <w:bottom w:val="single" w:sz="1" w:space="0" w:color="000000"/>
              <w:right w:val="single" w:sz="1" w:space="0" w:color="000000"/>
            </w:tcBorders>
            <w:tcMar>
              <w:top w:w="120" w:type="dxa"/>
              <w:left w:w="180" w:type="dxa"/>
              <w:bottom w:w="120" w:type="dxa"/>
              <w:right w:w="180" w:type="dxa"/>
            </w:tcMar>
          </w:tcPr>
          <w:p w14:paraId="687C464A" w14:textId="1CF06E4E" w:rsidR="007E2D67" w:rsidRPr="007E2D67" w:rsidRDefault="007E2D67" w:rsidP="007E2D67">
            <w:pPr>
              <w:spacing w:after="120" w:line="276" w:lineRule="auto"/>
              <w:jc w:val="both"/>
            </w:pPr>
            <w:r w:rsidRPr="007E2D67">
              <w:rPr>
                <w:b/>
                <w:bCs/>
              </w:rPr>
              <w:t>Aims:</w:t>
            </w:r>
            <w:r w:rsidRPr="007E2D67">
              <w:t xml:space="preserve"> This study quantifies the impact of seasonal hydrological variability on energy demand at the </w:t>
            </w:r>
            <w:r w:rsidR="007D4270">
              <w:t>C</w:t>
            </w:r>
            <w:r>
              <w:t xml:space="preserve">ross </w:t>
            </w:r>
            <w:r w:rsidR="007D4270">
              <w:t>R</w:t>
            </w:r>
            <w:r>
              <w:t xml:space="preserve">iver </w:t>
            </w:r>
            <w:r w:rsidR="007D4270">
              <w:t>S</w:t>
            </w:r>
            <w:r>
              <w:t xml:space="preserve">tate </w:t>
            </w:r>
            <w:r w:rsidR="007D4270">
              <w:t>W</w:t>
            </w:r>
            <w:r>
              <w:t xml:space="preserve">ater </w:t>
            </w:r>
            <w:r w:rsidR="007D4270">
              <w:t>B</w:t>
            </w:r>
            <w:r>
              <w:t>oard (</w:t>
            </w:r>
            <w:r w:rsidRPr="007E2D67">
              <w:t>CRSWB</w:t>
            </w:r>
            <w:r>
              <w:t>)</w:t>
            </w:r>
            <w:r w:rsidRPr="007E2D67">
              <w:t xml:space="preserve"> treatment facility in Calabar, Nigeria, and evaluates the </w:t>
            </w:r>
            <w:r>
              <w:t>effectiveness</w:t>
            </w:r>
            <w:r w:rsidRPr="007E2D67">
              <w:t xml:space="preserve"> of neural network-controlled distributed solar generation (DSG) in enhancing grid resilience during turbidity-driven peak demand periods.</w:t>
            </w:r>
            <w:r w:rsidR="007D4270">
              <w:t xml:space="preserve"> </w:t>
            </w:r>
          </w:p>
          <w:p w14:paraId="02A16339" w14:textId="77777777" w:rsidR="007E2D67" w:rsidRPr="007E2D67" w:rsidRDefault="007E2D67" w:rsidP="007E2D67">
            <w:pPr>
              <w:spacing w:after="120" w:line="276" w:lineRule="auto"/>
              <w:jc w:val="both"/>
            </w:pPr>
            <w:r w:rsidRPr="007E2D67">
              <w:rPr>
                <w:b/>
                <w:bCs/>
              </w:rPr>
              <w:t>Study Design:</w:t>
            </w:r>
            <w:r w:rsidRPr="007E2D67">
              <w:t xml:space="preserve"> A quantitative, model-based case study using historical water quality and load profile data with MATLAB/Simulink and ETAP simulation over a three-year horizon (2013–2015).</w:t>
            </w:r>
          </w:p>
          <w:p w14:paraId="04682920" w14:textId="77777777" w:rsidR="007E2D67" w:rsidRPr="007E2D67" w:rsidRDefault="007E2D67" w:rsidP="007E2D67">
            <w:pPr>
              <w:spacing w:after="120" w:line="276" w:lineRule="auto"/>
              <w:jc w:val="both"/>
            </w:pPr>
            <w:r w:rsidRPr="007E2D67">
              <w:rPr>
                <w:b/>
                <w:bCs/>
              </w:rPr>
              <w:t>Place and Duration of Study:</w:t>
            </w:r>
            <w:r w:rsidRPr="007E2D67">
              <w:t xml:space="preserve"> Cross River State Waterboard water treatment facility, Calabar, Nigeria; data collection 2013–2015, simulation conducted in 2024.</w:t>
            </w:r>
          </w:p>
          <w:p w14:paraId="2AFE5292" w14:textId="77777777" w:rsidR="007E2D67" w:rsidRPr="007E2D67" w:rsidRDefault="007E2D67" w:rsidP="007E2D67">
            <w:pPr>
              <w:spacing w:after="120" w:line="276" w:lineRule="auto"/>
              <w:jc w:val="both"/>
            </w:pPr>
            <w:r w:rsidRPr="007E2D67">
              <w:rPr>
                <w:b/>
                <w:bCs/>
              </w:rPr>
              <w:t>Methodology:</w:t>
            </w:r>
            <w:r w:rsidRPr="007E2D67">
              <w:t xml:space="preserve"> Turbidity records (NTU), hourly load profiles (kW), and plant operational data were obtained from CRSWB. Seasonal partitioning followed Nigerian hydrological cycles: dry season (November–March) and rainy season (April–October). Linear regression modelled the turbidity–energy relationship. A 33 kV network diagram in ETAP was reconfigured in MATLAB/Simulink to integrate a 217.12 kW solar PV unit. A Bayesian-regularized neural network (R = 0.991) automated DSG dispatch during peak hours (09:00–18:00). Validation employed two-sample and paired t-tests.</w:t>
            </w:r>
          </w:p>
          <w:p w14:paraId="79B2805F" w14:textId="77777777" w:rsidR="007E2D67" w:rsidRPr="007E2D67" w:rsidRDefault="007E2D67" w:rsidP="007E2D67">
            <w:pPr>
              <w:spacing w:after="120" w:line="276" w:lineRule="auto"/>
              <w:jc w:val="both"/>
            </w:pPr>
            <w:r w:rsidRPr="007E2D67">
              <w:rPr>
                <w:b/>
                <w:bCs/>
              </w:rPr>
              <w:t>Results:</w:t>
            </w:r>
            <w:r w:rsidRPr="007E2D67">
              <w:t xml:space="preserve"> Dry-season turbidity peaked at 194 NTU versus 17 NTU in the rainy season. This 4.2-fold increase was associated with 23.5% higher daily energy demand (24,542 kW vs. 19,876 kW) and 45% greater load variability (σ = 142 kW vs. 98 kW). DSG integration reduced daily energy consumption by 9.1%, lowered peak demand by 30% (680 kW to 476 kW), and decreased load variability by 37% (σ = 89 kW). All differences were statistically significant (</w:t>
            </w:r>
            <w:r w:rsidRPr="007E2D67">
              <w:rPr>
                <w:i/>
                <w:iCs/>
              </w:rPr>
              <w:t>P</w:t>
            </w:r>
            <w:r w:rsidRPr="007E2D67">
              <w:t xml:space="preserve"> &lt; .001).</w:t>
            </w:r>
          </w:p>
          <w:p w14:paraId="78E4283C" w14:textId="2A6B13C0" w:rsidR="00400227" w:rsidRDefault="007E2D67" w:rsidP="007E2D67">
            <w:pPr>
              <w:spacing w:after="120" w:line="276" w:lineRule="auto"/>
              <w:jc w:val="both"/>
            </w:pPr>
            <w:r w:rsidRPr="007E2D67">
              <w:rPr>
                <w:b/>
                <w:bCs/>
              </w:rPr>
              <w:t>Conclusion:</w:t>
            </w:r>
            <w:r w:rsidRPr="007E2D67">
              <w:t xml:space="preserve"> Seasonal turbidity is a primary driver of energy demand instability in tropical water treatment infrastructure. Neural network-controlled solar DSG substantially mitigates peak demand and load variability, offering a replicable, evidence-based blueprint for energy-resilient water utilities across sub-Saharan Africa.</w:t>
            </w:r>
          </w:p>
        </w:tc>
      </w:tr>
    </w:tbl>
    <w:p w14:paraId="6C214BE2" w14:textId="77777777" w:rsidR="00400227" w:rsidRDefault="00400227">
      <w:pPr>
        <w:spacing w:after="60"/>
      </w:pPr>
    </w:p>
    <w:p w14:paraId="54690C25" w14:textId="77777777" w:rsidR="00400227" w:rsidRDefault="007E4A27">
      <w:pPr>
        <w:spacing w:after="200"/>
        <w:jc w:val="both"/>
      </w:pPr>
      <w:commentRangeStart w:id="0"/>
      <w:r>
        <w:rPr>
          <w:i/>
          <w:iCs/>
        </w:rPr>
        <w:t>Keywords: Energy resilience; water treatment infrastructure; seasonal turbidity; distributed solar generation; neural network control; Bayesian regularization; load profile modelling; peak demand management; Cross River State; Southern Nigeria.</w:t>
      </w:r>
      <w:commentRangeEnd w:id="0"/>
      <w:r w:rsidR="007D410E">
        <w:rPr>
          <w:rStyle w:val="CommentReference"/>
          <w:sz w:val="20"/>
          <w:szCs w:val="20"/>
        </w:rPr>
        <w:commentReference w:id="0"/>
      </w:r>
    </w:p>
    <w:p w14:paraId="5D03C8C6" w14:textId="77777777" w:rsidR="00400227" w:rsidRDefault="007E4A27">
      <w:pPr>
        <w:spacing w:before="240" w:after="120"/>
      </w:pPr>
      <w:r>
        <w:rPr>
          <w:b/>
          <w:bCs/>
          <w:sz w:val="22"/>
          <w:szCs w:val="22"/>
        </w:rPr>
        <w:t>1. INTRODUCTION</w:t>
      </w:r>
    </w:p>
    <w:p w14:paraId="753A2BE5" w14:textId="69C4DD4B" w:rsidR="00400227" w:rsidRDefault="007E4A27">
      <w:pPr>
        <w:spacing w:after="120" w:line="276" w:lineRule="auto"/>
        <w:jc w:val="both"/>
      </w:pPr>
      <w:r>
        <w:t xml:space="preserve">The intersection of water treatment and energy systems represents one of the most critical yet underappreciated challenges in infrastructure management across the developing world. Water treatment plants (WTPs) are among the most energy-intensive industrial facilities, typically accounting for 30–60% of municipal energy budgets in sub-Saharan Africa </w:t>
      </w:r>
      <w:r w:rsidR="007A6674">
        <w:t>(Olsson, 2012; Magni et al., 2025)</w:t>
      </w:r>
      <w:r>
        <w:t xml:space="preserve">. In Nigeria, where grid power is chronically unreliable and electricity tariffs are rising, the energy burden of water utilities is an acute operational concern. The Cross River State Waterboard (CRSWB) facility in Calabar, southern Nigeria, exemplifies this challenge: it must maintain </w:t>
      </w:r>
      <w:r>
        <w:lastRenderedPageBreak/>
        <w:t xml:space="preserve">continuous, high-quality water treatment operations against a backdrop of pronounced seasonal variability in raw water quality and an unstable </w:t>
      </w:r>
      <w:r w:rsidR="003C56D2">
        <w:t>centralized</w:t>
      </w:r>
      <w:r>
        <w:t xml:space="preserve"> power supply.</w:t>
      </w:r>
    </w:p>
    <w:p w14:paraId="53B2D378" w14:textId="6EEA10FD" w:rsidR="00400227" w:rsidRDefault="007E4A27">
      <w:pPr>
        <w:spacing w:after="120" w:line="276" w:lineRule="auto"/>
        <w:jc w:val="both"/>
      </w:pPr>
      <w:r>
        <w:t xml:space="preserve">Seasonal hydrological cycles in Nigeria produce extreme fluctuations in raw water turbidity. During the dry season (November–March), low river flows concentrate suspended particulates, driving turbidity to values as high as 194 Nephelometric Turbidity Units (NTU). In the rainy season (April–October), dilution reduces turbidity to as low as 17 NTU </w:t>
      </w:r>
      <w:r w:rsidR="007A6674">
        <w:t>(Olsson, 2012)</w:t>
      </w:r>
      <w:r>
        <w:t>. High turbidity mandates more frequent filter backwashing, increased chemical dosing, and extended filtration cycles</w:t>
      </w:r>
      <w:r w:rsidR="00585AA4">
        <w:t xml:space="preserve">, </w:t>
      </w:r>
      <w:r>
        <w:t>all of which are energy-intensive operations. The energy implications of this seasonal variability have not been comprehensively quantified in the Nigerian context, and strategies for managing associated load instability remain underdeveloped.</w:t>
      </w:r>
    </w:p>
    <w:p w14:paraId="0E67965C" w14:textId="36A8920C" w:rsidR="00400227" w:rsidRDefault="007E4A27">
      <w:pPr>
        <w:spacing w:after="120" w:line="276" w:lineRule="auto"/>
        <w:jc w:val="both"/>
      </w:pPr>
      <w:r>
        <w:t>The global literature documents a strong relationship between turbidity and energy consumption in WTPs. High turbidity is associated with increased coagulation and flocculation requirements, elevated pump loading, and longer operational cycles</w:t>
      </w:r>
      <w:r w:rsidR="00585AA4">
        <w:t xml:space="preserve">, </w:t>
      </w:r>
      <w:r>
        <w:t xml:space="preserve">all contributing to higher energy intensity </w:t>
      </w:r>
      <w:r w:rsidR="007A6674">
        <w:t xml:space="preserve">(Quintana and Sowby, 2025; Magni et al., 2025). </w:t>
      </w:r>
      <w:r>
        <w:t>Regulatory standards, such as the United States EPA mandate of 0.3 NTU for treated water, underscore the imperative of effective turbidity management regardless of energy cost (U.S. EPA, 2009; WHO, 2017). However, the energy management responses available to utilities in resource-constrained settings differ markedly from those in high-income countries, necessitating context-specific investigation.</w:t>
      </w:r>
    </w:p>
    <w:p w14:paraId="37001340" w14:textId="7CBEE022" w:rsidR="00400227" w:rsidRDefault="007E4A27">
      <w:pPr>
        <w:spacing w:after="120" w:line="276" w:lineRule="auto"/>
        <w:jc w:val="both"/>
      </w:pPr>
      <w:r>
        <w:t>Distributed Generation (DG)</w:t>
      </w:r>
      <w:r w:rsidR="00585AA4">
        <w:t xml:space="preserve"> is</w:t>
      </w:r>
      <w:r>
        <w:t xml:space="preserve"> the </w:t>
      </w:r>
      <w:r w:rsidR="00585AA4">
        <w:t>localized</w:t>
      </w:r>
      <w:r>
        <w:t xml:space="preserve"> production of electricity from renewable or conventional sources close to the point of </w:t>
      </w:r>
      <w:r w:rsidR="003C56D2">
        <w:t>consumption;</w:t>
      </w:r>
      <w:r w:rsidR="00585AA4">
        <w:t xml:space="preserve"> this</w:t>
      </w:r>
      <w:r>
        <w:t xml:space="preserve"> has emerged as a promising strategy for grid stability enhancement in sub-Saharan Africa (Lopes et al., 2007). Solar photovoltaic (PV) technology is particularly well-suited to tropical settings with high solar irradiance, and its declining capital costs have made it increasingly competitive with grid power. However, the integration of solar DG into water utility infrastructure requires intelligent control to align generation with demand patterns, particularly during peak operational periods driven by seasonal turbidity spikes. Neural networks, with their capacity to learn complex non-linear relationships from historical data, offer a powerful tool for automating DG dispatch in such dynamic environments (Singh et al., 2014; Kavya et al., 2021).</w:t>
      </w:r>
    </w:p>
    <w:p w14:paraId="18EF5133" w14:textId="77777777" w:rsidR="00400227" w:rsidRDefault="007E4A27">
      <w:pPr>
        <w:spacing w:after="120" w:line="276" w:lineRule="auto"/>
        <w:jc w:val="both"/>
      </w:pPr>
      <w:r>
        <w:t>Despite growing interest in water-energy nexus research, a critical gap exists: most DG integration studies in the Nigerian context rely on IEEE testbed systems rather than real operational networks (Akpama et al., 2020). Furthermore, the specific interaction between seasonal turbidity dynamics and WTP energy demand has rarely been modelled with sufficient rigour to inform infrastructure investment decisions. This study addresses these gaps by presenting a comprehensive, data-driven analysis of the CRSWB facility, combining real operational load profile data with ETAP network modelling, MATLAB/Simulink simulation, and a Bayesian-regularized neural network control architecture for solar DG dispatch.</w:t>
      </w:r>
    </w:p>
    <w:p w14:paraId="300AC7ED" w14:textId="7B877F90" w:rsidR="00400227" w:rsidRDefault="007E4A27">
      <w:pPr>
        <w:spacing w:after="120" w:line="276" w:lineRule="auto"/>
        <w:jc w:val="both"/>
      </w:pPr>
      <w:r>
        <w:t xml:space="preserve">The specific objectives of this study are: (i) to quantify the seasonal variation in turbidity and its statistical relationship with energy demand at the CRSWB facility; (ii) to develop and validate a distributed power system model integrating a 217.12 kW solar PV DG unit using ETAP and MATLAB/Simulink; (iii) to design, train, and validate a neural network controller for automated DSG dispatch based on historical load profile data; and (iv) to evaluate the impact of intelligent DSG integration on peak demand, load variability, and grid stability. The remainder of this paper is </w:t>
      </w:r>
      <w:r w:rsidR="007A6674">
        <w:t>organized</w:t>
      </w:r>
      <w:r>
        <w:t xml:space="preserve"> as follows: Section 2 presents the materials, methods, and distributed power system model; Section 3 reports and discusses results; Section 4 concludes with implications and directions for future research.</w:t>
      </w:r>
    </w:p>
    <w:p w14:paraId="28A4A3FE" w14:textId="77777777" w:rsidR="00400227" w:rsidRDefault="007E4A27">
      <w:pPr>
        <w:spacing w:before="240" w:after="120"/>
      </w:pPr>
      <w:r>
        <w:rPr>
          <w:b/>
          <w:bCs/>
          <w:sz w:val="22"/>
          <w:szCs w:val="22"/>
        </w:rPr>
        <w:t>2. MATERIALS AND METHODS</w:t>
      </w:r>
    </w:p>
    <w:p w14:paraId="4F341965" w14:textId="77777777" w:rsidR="00400227" w:rsidRDefault="007E4A27">
      <w:pPr>
        <w:spacing w:before="180" w:after="80"/>
      </w:pPr>
      <w:r>
        <w:rPr>
          <w:b/>
          <w:bCs/>
          <w:sz w:val="22"/>
          <w:szCs w:val="22"/>
        </w:rPr>
        <w:t>2.1 Study Site and Data Sources</w:t>
      </w:r>
    </w:p>
    <w:p w14:paraId="1CBF1488" w14:textId="77777777" w:rsidR="00400227" w:rsidRDefault="007E4A27">
      <w:pPr>
        <w:spacing w:after="120" w:line="276" w:lineRule="auto"/>
        <w:jc w:val="both"/>
      </w:pPr>
      <w:r>
        <w:t>The study site is the Cross River State Waterboard water treatment facility located in Calabar, the capital of Cross River State in southern Nigeria. The facility operates a 33 kV distribution network supplying a water treatment plant, an administrative building, and a staff residential quarter. Rated generation and transformer infrastructure includes three Cummins/Perkins generators ranging from 100 to 1,000 KVA and three step-down transformers (200, 300, and 1,000 KVA) serving respective sections.</w:t>
      </w:r>
    </w:p>
    <w:p w14:paraId="69835AE7" w14:textId="77777777" w:rsidR="00400227" w:rsidRDefault="007E4A27">
      <w:pPr>
        <w:spacing w:after="120" w:line="276" w:lineRule="auto"/>
        <w:jc w:val="both"/>
      </w:pPr>
      <w:r>
        <w:lastRenderedPageBreak/>
        <w:t>Water quality data comprising monthly average turbidity records (NTU) were obtained from CRSWB using calibrated Hach 2100N turbidimeters. Energy consumption data were extracted from hourly load log sheets at the facility, validated against meter readings. Operational records of backwashing frequency, chemical dosing rates, and filtration times were collated from plant production logs. The data span five years (2011–2015) and cover all twelve calendar months, enabling robust seasonal analysis.</w:t>
      </w:r>
    </w:p>
    <w:p w14:paraId="6F434447" w14:textId="77777777" w:rsidR="00400227" w:rsidRDefault="007E4A27">
      <w:pPr>
        <w:spacing w:before="180" w:after="80"/>
      </w:pPr>
      <w:r>
        <w:rPr>
          <w:b/>
          <w:bCs/>
          <w:sz w:val="22"/>
          <w:szCs w:val="22"/>
        </w:rPr>
        <w:t>2.2 Seasonal Classification and Turbidity Analysis</w:t>
      </w:r>
    </w:p>
    <w:p w14:paraId="029F5B5F" w14:textId="5DA70BE8" w:rsidR="00400227" w:rsidRDefault="007E4A27">
      <w:pPr>
        <w:spacing w:after="120" w:line="276" w:lineRule="auto"/>
        <w:jc w:val="both"/>
      </w:pPr>
      <w:r>
        <w:t>Seasonal partitioning followed established Nigerian hydrological cycles (</w:t>
      </w:r>
      <w:r w:rsidR="007A6674">
        <w:t>Olsson, 2012</w:t>
      </w:r>
      <w:r>
        <w:t>): the dry season was defined as November through March, with peak turbidity in February, and the rainy season as April through October, with minimum turbidity in June and October. Table 1 presents the monthly average turbidity values used in this study.</w:t>
      </w:r>
    </w:p>
    <w:p w14:paraId="3680FD7D" w14:textId="77777777" w:rsidR="00400227" w:rsidRDefault="007E4A27">
      <w:pPr>
        <w:spacing w:before="120" w:after="60"/>
      </w:pPr>
      <w:r>
        <w:rPr>
          <w:b/>
          <w:bCs/>
        </w:rPr>
        <w:t>Table 1. Average monthly turbidity and seasonal classification at the CRSWB facility</w:t>
      </w:r>
    </w:p>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400"/>
        <w:gridCol w:w="2400"/>
      </w:tblGrid>
      <w:tr w:rsidR="00400227" w14:paraId="563C6F60" w14:textId="77777777">
        <w:tc>
          <w:tcPr>
            <w:tcW w:w="24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20" w:type="dxa"/>
              <w:bottom w:w="60" w:type="dxa"/>
              <w:right w:w="120" w:type="dxa"/>
            </w:tcMar>
          </w:tcPr>
          <w:p w14:paraId="0D89842D" w14:textId="77777777" w:rsidR="00400227" w:rsidRDefault="007E4A27">
            <w:pPr>
              <w:spacing w:before="40" w:after="40"/>
              <w:jc w:val="center"/>
            </w:pPr>
            <w:r>
              <w:rPr>
                <w:b/>
                <w:bCs/>
              </w:rPr>
              <w:t>Month</w:t>
            </w:r>
          </w:p>
        </w:tc>
        <w:tc>
          <w:tcPr>
            <w:tcW w:w="24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20" w:type="dxa"/>
              <w:bottom w:w="60" w:type="dxa"/>
              <w:right w:w="120" w:type="dxa"/>
            </w:tcMar>
          </w:tcPr>
          <w:p w14:paraId="6FA05BB5" w14:textId="77777777" w:rsidR="00400227" w:rsidRDefault="007E4A27">
            <w:pPr>
              <w:spacing w:before="40" w:after="40"/>
              <w:jc w:val="center"/>
            </w:pPr>
            <w:r>
              <w:rPr>
                <w:b/>
                <w:bCs/>
              </w:rPr>
              <w:t>Average Turbidity (NTU)</w:t>
            </w:r>
          </w:p>
        </w:tc>
        <w:tc>
          <w:tcPr>
            <w:tcW w:w="24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20" w:type="dxa"/>
              <w:bottom w:w="60" w:type="dxa"/>
              <w:right w:w="120" w:type="dxa"/>
            </w:tcMar>
          </w:tcPr>
          <w:p w14:paraId="75EB12C8" w14:textId="77777777" w:rsidR="00400227" w:rsidRDefault="007E4A27">
            <w:pPr>
              <w:spacing w:before="40" w:after="40"/>
              <w:jc w:val="center"/>
            </w:pPr>
            <w:r>
              <w:rPr>
                <w:b/>
                <w:bCs/>
              </w:rPr>
              <w:t>Season</w:t>
            </w:r>
          </w:p>
        </w:tc>
      </w:tr>
      <w:tr w:rsidR="00400227" w14:paraId="11D33C93" w14:textId="77777777">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6789A54B" w14:textId="77777777" w:rsidR="00400227" w:rsidRDefault="007E4A27">
            <w:pPr>
              <w:spacing w:before="40" w:after="40"/>
              <w:jc w:val="center"/>
            </w:pPr>
            <w:r>
              <w:t>January</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26970BE9" w14:textId="77777777" w:rsidR="00400227" w:rsidRDefault="007E4A27">
            <w:pPr>
              <w:spacing w:before="40" w:after="40"/>
              <w:jc w:val="center"/>
            </w:pPr>
            <w:r>
              <w:t>151</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0BB09F12" w14:textId="77777777" w:rsidR="00400227" w:rsidRDefault="007E4A27">
            <w:pPr>
              <w:spacing w:before="40" w:after="40"/>
              <w:jc w:val="center"/>
            </w:pPr>
            <w:r>
              <w:t>Dry</w:t>
            </w:r>
          </w:p>
        </w:tc>
      </w:tr>
      <w:tr w:rsidR="00400227" w14:paraId="67BABA03" w14:textId="77777777">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6FC78E5E" w14:textId="77777777" w:rsidR="00400227" w:rsidRDefault="007E4A27">
            <w:pPr>
              <w:spacing w:before="40" w:after="40"/>
              <w:jc w:val="center"/>
            </w:pPr>
            <w:r>
              <w:t>February</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55ADAA7A" w14:textId="77777777" w:rsidR="00400227" w:rsidRDefault="007E4A27">
            <w:pPr>
              <w:spacing w:before="40" w:after="40"/>
              <w:jc w:val="center"/>
            </w:pPr>
            <w:r>
              <w:t>194</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0271EDC1" w14:textId="77777777" w:rsidR="00400227" w:rsidRDefault="007E4A27">
            <w:pPr>
              <w:spacing w:before="40" w:after="40"/>
              <w:jc w:val="center"/>
            </w:pPr>
            <w:r>
              <w:t>Dry</w:t>
            </w:r>
          </w:p>
        </w:tc>
      </w:tr>
      <w:tr w:rsidR="00400227" w14:paraId="32CAC6F6" w14:textId="77777777">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017EE814" w14:textId="77777777" w:rsidR="00400227" w:rsidRDefault="007E4A27">
            <w:pPr>
              <w:spacing w:before="40" w:after="40"/>
              <w:jc w:val="center"/>
            </w:pPr>
            <w:r>
              <w:t>March</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7C99E95B" w14:textId="77777777" w:rsidR="00400227" w:rsidRDefault="007E4A27">
            <w:pPr>
              <w:spacing w:before="40" w:after="40"/>
              <w:jc w:val="center"/>
            </w:pPr>
            <w:r>
              <w:t>87</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379A3AB3" w14:textId="77777777" w:rsidR="00400227" w:rsidRDefault="007E4A27">
            <w:pPr>
              <w:spacing w:before="40" w:after="40"/>
              <w:jc w:val="center"/>
            </w:pPr>
            <w:r>
              <w:t>Dry</w:t>
            </w:r>
          </w:p>
        </w:tc>
      </w:tr>
      <w:tr w:rsidR="00400227" w14:paraId="11404FCB" w14:textId="77777777">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283F8E5B" w14:textId="77777777" w:rsidR="00400227" w:rsidRDefault="007E4A27">
            <w:pPr>
              <w:spacing w:before="40" w:after="40"/>
              <w:jc w:val="center"/>
            </w:pPr>
            <w:r>
              <w:t>April</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2944FB5F" w14:textId="77777777" w:rsidR="00400227" w:rsidRDefault="007E4A27">
            <w:pPr>
              <w:spacing w:before="40" w:after="40"/>
              <w:jc w:val="center"/>
            </w:pPr>
            <w:r>
              <w:t>50</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566C3BD5" w14:textId="77777777" w:rsidR="00400227" w:rsidRDefault="007E4A27">
            <w:pPr>
              <w:spacing w:before="40" w:after="40"/>
              <w:jc w:val="center"/>
            </w:pPr>
            <w:r>
              <w:t>Rainy</w:t>
            </w:r>
          </w:p>
        </w:tc>
      </w:tr>
      <w:tr w:rsidR="00400227" w14:paraId="74F9F013" w14:textId="77777777">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6B41EA6C" w14:textId="77777777" w:rsidR="00400227" w:rsidRDefault="007E4A27">
            <w:pPr>
              <w:spacing w:before="40" w:after="40"/>
              <w:jc w:val="center"/>
            </w:pPr>
            <w:r>
              <w:t>May</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5ACB1C9B" w14:textId="77777777" w:rsidR="00400227" w:rsidRDefault="007E4A27">
            <w:pPr>
              <w:spacing w:before="40" w:after="40"/>
              <w:jc w:val="center"/>
            </w:pPr>
            <w:r>
              <w:t>32</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3D154B63" w14:textId="77777777" w:rsidR="00400227" w:rsidRDefault="007E4A27">
            <w:pPr>
              <w:spacing w:before="40" w:after="40"/>
              <w:jc w:val="center"/>
            </w:pPr>
            <w:r>
              <w:t>Rainy</w:t>
            </w:r>
          </w:p>
        </w:tc>
      </w:tr>
      <w:tr w:rsidR="00400227" w14:paraId="1F29DE0B" w14:textId="77777777">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337C044F" w14:textId="77777777" w:rsidR="00400227" w:rsidRDefault="007E4A27">
            <w:pPr>
              <w:spacing w:before="40" w:after="40"/>
              <w:jc w:val="center"/>
            </w:pPr>
            <w:r>
              <w:t>June</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37BE2AD5" w14:textId="77777777" w:rsidR="00400227" w:rsidRDefault="007E4A27">
            <w:pPr>
              <w:spacing w:before="40" w:after="40"/>
              <w:jc w:val="center"/>
            </w:pPr>
            <w:r>
              <w:t>17</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157E08F2" w14:textId="77777777" w:rsidR="00400227" w:rsidRDefault="007E4A27">
            <w:pPr>
              <w:spacing w:before="40" w:after="40"/>
              <w:jc w:val="center"/>
            </w:pPr>
            <w:r>
              <w:t>Rainy</w:t>
            </w:r>
          </w:p>
        </w:tc>
      </w:tr>
      <w:tr w:rsidR="00400227" w14:paraId="7195C6B2" w14:textId="77777777">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24381354" w14:textId="77777777" w:rsidR="00400227" w:rsidRDefault="007E4A27">
            <w:pPr>
              <w:spacing w:before="40" w:after="40"/>
              <w:jc w:val="center"/>
            </w:pPr>
            <w:r>
              <w:t>July</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164A545C" w14:textId="77777777" w:rsidR="00400227" w:rsidRDefault="007E4A27">
            <w:pPr>
              <w:spacing w:before="40" w:after="40"/>
              <w:jc w:val="center"/>
            </w:pPr>
            <w:r>
              <w:t>20</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3C9314E7" w14:textId="77777777" w:rsidR="00400227" w:rsidRDefault="007E4A27">
            <w:pPr>
              <w:spacing w:before="40" w:after="40"/>
              <w:jc w:val="center"/>
            </w:pPr>
            <w:r>
              <w:t>Rainy</w:t>
            </w:r>
          </w:p>
        </w:tc>
      </w:tr>
      <w:tr w:rsidR="00400227" w14:paraId="6B1879F4" w14:textId="77777777">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19F48045" w14:textId="77777777" w:rsidR="00400227" w:rsidRDefault="007E4A27">
            <w:pPr>
              <w:spacing w:before="40" w:after="40"/>
              <w:jc w:val="center"/>
            </w:pPr>
            <w:r>
              <w:t>August</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53E9963B" w14:textId="77777777" w:rsidR="00400227" w:rsidRDefault="007E4A27">
            <w:pPr>
              <w:spacing w:before="40" w:after="40"/>
              <w:jc w:val="center"/>
            </w:pPr>
            <w:r>
              <w:t>18</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433533FE" w14:textId="77777777" w:rsidR="00400227" w:rsidRDefault="007E4A27">
            <w:pPr>
              <w:spacing w:before="40" w:after="40"/>
              <w:jc w:val="center"/>
            </w:pPr>
            <w:r>
              <w:t>Rainy</w:t>
            </w:r>
          </w:p>
        </w:tc>
      </w:tr>
      <w:tr w:rsidR="00400227" w14:paraId="5D0E97EA" w14:textId="77777777">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250B67F3" w14:textId="77777777" w:rsidR="00400227" w:rsidRDefault="007E4A27">
            <w:pPr>
              <w:spacing w:before="40" w:after="40"/>
              <w:jc w:val="center"/>
            </w:pPr>
            <w:r>
              <w:t>September</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419F94BE" w14:textId="77777777" w:rsidR="00400227" w:rsidRDefault="007E4A27">
            <w:pPr>
              <w:spacing w:before="40" w:after="40"/>
              <w:jc w:val="center"/>
            </w:pPr>
            <w:r>
              <w:t>21</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221A1118" w14:textId="77777777" w:rsidR="00400227" w:rsidRDefault="007E4A27">
            <w:pPr>
              <w:spacing w:before="40" w:after="40"/>
              <w:jc w:val="center"/>
            </w:pPr>
            <w:r>
              <w:t>Rainy</w:t>
            </w:r>
          </w:p>
        </w:tc>
      </w:tr>
      <w:tr w:rsidR="00400227" w14:paraId="78C14BCE" w14:textId="77777777">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13E6CFD1" w14:textId="77777777" w:rsidR="00400227" w:rsidRDefault="007E4A27">
            <w:pPr>
              <w:spacing w:before="40" w:after="40"/>
              <w:jc w:val="center"/>
            </w:pPr>
            <w:r>
              <w:t>October</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18BF364E" w14:textId="77777777" w:rsidR="00400227" w:rsidRDefault="007E4A27">
            <w:pPr>
              <w:spacing w:before="40" w:after="40"/>
              <w:jc w:val="center"/>
            </w:pPr>
            <w:r>
              <w:t>17</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7A931CB5" w14:textId="77777777" w:rsidR="00400227" w:rsidRDefault="007E4A27">
            <w:pPr>
              <w:spacing w:before="40" w:after="40"/>
              <w:jc w:val="center"/>
            </w:pPr>
            <w:r>
              <w:t>Rainy</w:t>
            </w:r>
          </w:p>
        </w:tc>
      </w:tr>
      <w:tr w:rsidR="00400227" w14:paraId="5123F012" w14:textId="77777777">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2A860803" w14:textId="77777777" w:rsidR="00400227" w:rsidRDefault="007E4A27">
            <w:pPr>
              <w:spacing w:before="40" w:after="40"/>
              <w:jc w:val="center"/>
            </w:pPr>
            <w:r>
              <w:t>November</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72EE1D66" w14:textId="77777777" w:rsidR="00400227" w:rsidRDefault="007E4A27">
            <w:pPr>
              <w:spacing w:before="40" w:after="40"/>
              <w:jc w:val="center"/>
            </w:pPr>
            <w:r>
              <w:t>16</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33EAC8BE" w14:textId="77777777" w:rsidR="00400227" w:rsidRDefault="007E4A27">
            <w:pPr>
              <w:spacing w:before="40" w:after="40"/>
              <w:jc w:val="center"/>
            </w:pPr>
            <w:r>
              <w:t>Dry</w:t>
            </w:r>
          </w:p>
        </w:tc>
      </w:tr>
      <w:tr w:rsidR="00400227" w14:paraId="2049E2FE" w14:textId="77777777">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6ABDD494" w14:textId="77777777" w:rsidR="00400227" w:rsidRDefault="007E4A27">
            <w:pPr>
              <w:spacing w:before="40" w:after="40"/>
              <w:jc w:val="center"/>
            </w:pPr>
            <w:r>
              <w:t>December</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0F911D24" w14:textId="77777777" w:rsidR="00400227" w:rsidRDefault="007E4A27">
            <w:pPr>
              <w:spacing w:before="40" w:after="40"/>
              <w:jc w:val="center"/>
            </w:pPr>
            <w:r>
              <w:t>71</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4D17ACB8" w14:textId="77777777" w:rsidR="00400227" w:rsidRDefault="007E4A27">
            <w:pPr>
              <w:spacing w:before="40" w:after="40"/>
              <w:jc w:val="center"/>
            </w:pPr>
            <w:r>
              <w:t>Dry</w:t>
            </w:r>
          </w:p>
        </w:tc>
      </w:tr>
    </w:tbl>
    <w:p w14:paraId="4D95DD13" w14:textId="77777777" w:rsidR="00400227" w:rsidRDefault="007E4A27">
      <w:pPr>
        <w:spacing w:after="120"/>
      </w:pPr>
      <w:r>
        <w:rPr>
          <w:i/>
          <w:iCs/>
          <w:sz w:val="18"/>
          <w:szCs w:val="18"/>
        </w:rPr>
        <w:t>Source: Cross River State Waterboard operational records, 2011–2015.</w:t>
      </w:r>
    </w:p>
    <w:p w14:paraId="094F0197" w14:textId="77777777" w:rsidR="00400227" w:rsidRDefault="007E4A27">
      <w:pPr>
        <w:spacing w:before="180" w:after="80"/>
      </w:pPr>
      <w:r>
        <w:rPr>
          <w:b/>
          <w:bCs/>
          <w:sz w:val="22"/>
          <w:szCs w:val="22"/>
        </w:rPr>
        <w:t>2.3 Energy Demand Analysis and Statistical Methods</w:t>
      </w:r>
    </w:p>
    <w:p w14:paraId="36FCAF9C" w14:textId="51A6A13A" w:rsidR="00400227" w:rsidRDefault="007E4A27">
      <w:pPr>
        <w:spacing w:after="120" w:line="276" w:lineRule="auto"/>
        <w:jc w:val="both"/>
      </w:pPr>
      <w:r>
        <w:t>The relationship between turbidity (T, in NTU) and daily energy demand (E, in kW) was modelled using ordinary least squares linear regression</w:t>
      </w:r>
      <w:r w:rsidR="007A6674" w:rsidRPr="007A6674">
        <w:t xml:space="preserve"> </w:t>
      </w:r>
      <w:r w:rsidR="007A6674">
        <w:t>(Montgomery and Peck, 2021)</w:t>
      </w:r>
      <w:r>
        <w:t>:</w:t>
      </w:r>
    </w:p>
    <w:p w14:paraId="19506D02" w14:textId="77777777" w:rsidR="004A4C93" w:rsidRPr="00455E6A" w:rsidRDefault="004A4C93" w:rsidP="004A4C93">
      <w:pPr>
        <w:pStyle w:val="ListParagraph"/>
        <w:spacing w:line="360" w:lineRule="auto"/>
        <w:ind w:firstLine="720"/>
        <w:rPr>
          <w:rFonts w:ascii="Times New Roman" w:hAnsi="Times New Roman" w:cs="Times New Roman"/>
        </w:rPr>
      </w:pPr>
      <w:r w:rsidRPr="00455E6A">
        <w:rPr>
          <w:rFonts w:ascii="Times New Roman" w:hAnsi="Times New Roman" w:cs="Times New Roman"/>
        </w:rPr>
        <w:t xml:space="preserve">                     E=β</w:t>
      </w:r>
      <w:r w:rsidRPr="00455E6A">
        <w:rPr>
          <w:rFonts w:ascii="Times New Roman" w:hAnsi="Times New Roman" w:cs="Times New Roman"/>
          <w:vertAlign w:val="subscript"/>
        </w:rPr>
        <w:t>0</w:t>
      </w:r>
      <w:r w:rsidRPr="00455E6A">
        <w:rPr>
          <w:rFonts w:ascii="Times New Roman" w:hAnsi="Times New Roman" w:cs="Times New Roman"/>
        </w:rPr>
        <w:t>+β</w:t>
      </w:r>
      <w:r w:rsidRPr="00455E6A">
        <w:rPr>
          <w:rFonts w:ascii="Times New Roman" w:hAnsi="Times New Roman" w:cs="Times New Roman"/>
          <w:vertAlign w:val="subscript"/>
        </w:rPr>
        <w:t>1</w:t>
      </w:r>
      <w:r w:rsidRPr="00455E6A">
        <w:rPr>
          <w:rFonts w:ascii="Times New Roman" w:hAnsi="Times New Roman" w:cs="Times New Roman"/>
        </w:rPr>
        <w:t xml:space="preserve">T+ϵ </w:t>
      </w:r>
      <w:r w:rsidRPr="00455E6A">
        <w:rPr>
          <w:rFonts w:ascii="Times New Roman" w:hAnsi="Times New Roman" w:cs="Times New Roman"/>
        </w:rPr>
        <w:tab/>
      </w:r>
      <w:r w:rsidRPr="00455E6A">
        <w:rPr>
          <w:rFonts w:ascii="Times New Roman" w:hAnsi="Times New Roman" w:cs="Times New Roman"/>
        </w:rPr>
        <w:tab/>
      </w:r>
      <w:r w:rsidRPr="00455E6A">
        <w:rPr>
          <w:rFonts w:ascii="Times New Roman" w:hAnsi="Times New Roman" w:cs="Times New Roman"/>
        </w:rPr>
        <w:tab/>
      </w:r>
      <w:r w:rsidRPr="00455E6A">
        <w:rPr>
          <w:rFonts w:ascii="Times New Roman" w:hAnsi="Times New Roman" w:cs="Times New Roman"/>
        </w:rPr>
        <w:tab/>
      </w:r>
      <w:r w:rsidRPr="00455E6A">
        <w:rPr>
          <w:rFonts w:ascii="Times New Roman" w:hAnsi="Times New Roman" w:cs="Times New Roman"/>
        </w:rPr>
        <w:tab/>
      </w:r>
      <w:r w:rsidRPr="00455E6A">
        <w:rPr>
          <w:rFonts w:ascii="Times New Roman" w:hAnsi="Times New Roman" w:cs="Times New Roman"/>
        </w:rPr>
        <w:tab/>
      </w:r>
      <w:r w:rsidRPr="00455E6A">
        <w:rPr>
          <w:rFonts w:ascii="Times New Roman" w:hAnsi="Times New Roman" w:cs="Times New Roman"/>
        </w:rPr>
        <w:tab/>
        <w:t>(1)</w:t>
      </w:r>
    </w:p>
    <w:p w14:paraId="16E9BE87" w14:textId="7536DDDA" w:rsidR="00400227" w:rsidRDefault="00400227" w:rsidP="004A4C93">
      <w:pPr>
        <w:spacing w:after="80"/>
      </w:pPr>
    </w:p>
    <w:p w14:paraId="203F0621" w14:textId="77777777" w:rsidR="00400227" w:rsidRDefault="007E4A27">
      <w:pPr>
        <w:spacing w:after="120" w:line="276" w:lineRule="auto"/>
        <w:jc w:val="both"/>
      </w:pPr>
      <w:r>
        <w:t>where β₀ is the intercept representing baseline energy demand at zero turbidity, β₁ is the slope coefficient quantifying the increase in energy demand per unit rise in turbidity (kW/NTU), and ε is the error term. Load variability was quantified using the standard deviation (σ) of hourly demand:</w:t>
      </w:r>
    </w:p>
    <w:p w14:paraId="2CDAE599" w14:textId="629A9C67" w:rsidR="00400227" w:rsidRDefault="004A4C93">
      <w:pPr>
        <w:spacing w:after="80"/>
        <w:ind w:left="720"/>
      </w:pPr>
      <w:r w:rsidRPr="00455E6A">
        <w:rPr>
          <w:rFonts w:ascii="Times New Roman" w:hAnsi="Times New Roman" w:cs="Times New Roman"/>
        </w:rPr>
        <w:t xml:space="preserve">      σ=</w:t>
      </w:r>
      <m:oMath>
        <m:rad>
          <m:radPr>
            <m:degHide m:val="1"/>
            <m:ctrlPr>
              <w:rPr>
                <w:rFonts w:ascii="Cambria Math" w:hAnsi="Cambria Math" w:cs="Times New Roman"/>
                <w:i/>
              </w:rPr>
            </m:ctrlPr>
          </m:radPr>
          <m:deg/>
          <m:e>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N-1</m:t>
                </m:r>
              </m:den>
            </m:f>
          </m:e>
        </m:rad>
      </m:oMath>
      <w:r w:rsidRPr="00455E6A">
        <w:rPr>
          <w:rFonts w:ascii="Times New Roman" w:eastAsia="SimSun" w:hAnsi="Times New Roman" w:cs="Times New Roman"/>
        </w:rPr>
        <w:t xml:space="preserve"> </w:t>
      </w:r>
      <m:oMath>
        <m:nary>
          <m:naryPr>
            <m:chr m:val="∑"/>
            <m:limLoc m:val="subSup"/>
            <m:ctrlPr>
              <w:rPr>
                <w:rFonts w:ascii="Cambria Math" w:eastAsia="SimSun" w:hAnsi="Cambria Math" w:cs="Times New Roman"/>
                <w:i/>
              </w:rPr>
            </m:ctrlPr>
          </m:naryPr>
          <m:sub>
            <m:r>
              <w:rPr>
                <w:rFonts w:ascii="Cambria Math" w:eastAsia="SimSun" w:hAnsi="Cambria Math" w:cs="Times New Roman"/>
              </w:rPr>
              <m:t>i=1</m:t>
            </m:r>
          </m:sub>
          <m:sup>
            <m:r>
              <w:rPr>
                <w:rFonts w:ascii="Cambria Math" w:eastAsia="SimSun" w:hAnsi="Cambria Math" w:cs="Times New Roman"/>
              </w:rPr>
              <m:t>N</m:t>
            </m:r>
          </m:sup>
          <m:e>
            <m:sSup>
              <m:sSupPr>
                <m:ctrlPr>
                  <w:rPr>
                    <w:rFonts w:ascii="Cambria Math" w:eastAsia="SimSun" w:hAnsi="Cambria Math" w:cs="Times New Roman"/>
                    <w:i/>
                  </w:rPr>
                </m:ctrlPr>
              </m:sSupPr>
              <m:e>
                <m:r>
                  <w:rPr>
                    <w:rFonts w:ascii="Cambria Math" w:eastAsia="SimSun" w:hAnsi="Cambria Math" w:cs="Times New Roman"/>
                  </w:rPr>
                  <m:t>(</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i</m:t>
                    </m:r>
                  </m:sub>
                </m:sSub>
                <m:r>
                  <w:rPr>
                    <w:rFonts w:ascii="Cambria Math" w:eastAsia="SimSun" w:hAnsi="Cambria Math" w:cs="Times New Roman"/>
                  </w:rPr>
                  <m:t>-</m:t>
                </m:r>
                <m:r>
                  <m:rPr>
                    <m:sty m:val="p"/>
                  </m:rPr>
                  <w:rPr>
                    <w:rFonts w:ascii="Cambria Math" w:eastAsia="SimSun" w:hAnsi="Cambria Math" w:cs="Times New Roman"/>
                  </w:rPr>
                  <m:t>Ẽ</m:t>
                </m:r>
                <m:r>
                  <w:rPr>
                    <w:rFonts w:ascii="Cambria Math" w:eastAsia="SimSun" w:hAnsi="Cambria Math" w:cs="Times New Roman"/>
                  </w:rPr>
                  <m:t>)</m:t>
                </m:r>
              </m:e>
              <m:sup>
                <m:r>
                  <w:rPr>
                    <w:rFonts w:ascii="Cambria Math" w:eastAsia="SimSun" w:hAnsi="Cambria Math" w:cs="Times New Roman"/>
                  </w:rPr>
                  <m:t>2</m:t>
                </m:r>
              </m:sup>
            </m:sSup>
          </m:e>
        </m:nary>
      </m:oMath>
      <w:r w:rsidRPr="00455E6A">
        <w:rPr>
          <w:rFonts w:ascii="Times New Roman" w:eastAsia="SimSun" w:hAnsi="Times New Roman" w:cs="Times New Roman"/>
        </w:rPr>
        <w:tab/>
      </w:r>
      <w:r w:rsidRPr="00455E6A">
        <w:rPr>
          <w:rFonts w:ascii="Times New Roman" w:eastAsia="SimSun" w:hAnsi="Times New Roman" w:cs="Times New Roman"/>
        </w:rPr>
        <w:tab/>
      </w:r>
      <w:r w:rsidRPr="00455E6A">
        <w:rPr>
          <w:rFonts w:ascii="Times New Roman" w:eastAsia="SimSun" w:hAnsi="Times New Roman" w:cs="Times New Roman"/>
        </w:rPr>
        <w:tab/>
      </w:r>
      <w:r w:rsidRPr="00455E6A">
        <w:rPr>
          <w:rFonts w:ascii="Times New Roman" w:eastAsia="SimSun" w:hAnsi="Times New Roman" w:cs="Times New Roman"/>
        </w:rPr>
        <w:tab/>
      </w:r>
      <w:r w:rsidRPr="00455E6A">
        <w:rPr>
          <w:rFonts w:ascii="Times New Roman" w:eastAsia="SimSun" w:hAnsi="Times New Roman" w:cs="Times New Roman"/>
        </w:rPr>
        <w:tab/>
      </w:r>
      <w:r w:rsidRPr="00455E6A">
        <w:rPr>
          <w:rFonts w:ascii="Times New Roman" w:eastAsia="SimSun" w:hAnsi="Times New Roman" w:cs="Times New Roman"/>
        </w:rPr>
        <w:tab/>
        <w:t>(2)</w:t>
      </w:r>
    </w:p>
    <w:p w14:paraId="64A6EE9B" w14:textId="2384FB22" w:rsidR="00400227" w:rsidRDefault="007E4A27">
      <w:pPr>
        <w:spacing w:after="120" w:line="276" w:lineRule="auto"/>
        <w:jc w:val="both"/>
      </w:pPr>
      <w:r>
        <w:t xml:space="preserve">Statistical significance of seasonal differences in mean energy demand was assessed using a two-sample t-test, and the impact of DSG integration was evaluated using a paired t-test comparing hourly loads with and without </w:t>
      </w:r>
      <w:r>
        <w:lastRenderedPageBreak/>
        <w:t>DSG</w:t>
      </w:r>
      <w:r w:rsidR="00276BA6">
        <w:t xml:space="preserve"> (Zar, 2019)</w:t>
      </w:r>
      <w:r>
        <w:t>. Cohen's d effect sizes were calculated to supplement p-value reporting. All analyses were performed in Python (SciPy library) and validated against plant production logs.</w:t>
      </w:r>
    </w:p>
    <w:p w14:paraId="731C89D8" w14:textId="77777777" w:rsidR="00400227" w:rsidRDefault="007E4A27">
      <w:pPr>
        <w:spacing w:before="180" w:after="80"/>
      </w:pPr>
      <w:r>
        <w:rPr>
          <w:b/>
          <w:bCs/>
          <w:sz w:val="22"/>
          <w:szCs w:val="22"/>
        </w:rPr>
        <w:t>2.4 Network Modelling: ETAP One-Line Diagram</w:t>
      </w:r>
    </w:p>
    <w:p w14:paraId="28E125FF" w14:textId="77777777" w:rsidR="00400227" w:rsidRDefault="007E4A27">
      <w:pPr>
        <w:spacing w:after="120" w:line="276" w:lineRule="auto"/>
        <w:jc w:val="both"/>
      </w:pPr>
      <w:r>
        <w:t>The CRSWB 33 kV distribution network was modelled as a one-line diagram using Electrical Transient Analyzer Program (ETAP) software. The network topology comprises: a single 33 kV power source (U1); ten distribution buses (Bus1–Bus10) at 415 V after step-down; three transformers (T1: 0.2 MVA, T2: 0.3 MVA, T3: 1.0 MVA); lumped load blocks (Lump1, Lump2) and three induction motor loads (Mtr1, Mtr2, Mtr3); and five interconnecting cables (Cable1–Cable5). The load flow study confirmed stable voltage profiles at all buses under normal operating conditions, providing the baseline for reconfiguration analysis.</w:t>
      </w:r>
    </w:p>
    <w:p w14:paraId="607B6B4C" w14:textId="77777777" w:rsidR="00400227" w:rsidRDefault="007E4A27">
      <w:pPr>
        <w:spacing w:after="120" w:line="276" w:lineRule="auto"/>
        <w:jc w:val="both"/>
      </w:pPr>
      <w:r>
        <w:t>The network serves three primary load categories: (i) the water treatment plant which houses the pump station (max. 534 kW), filter station (max. 170 kW), and chemical station (max. 35 kW); (ii) the administrative building (max. 220 kW); and (iii) the staff residential quarters (max. 80 kW). Total connected maximum demand is 1,039 kW, with the peak network demand measured at approximately 600 kW during the 09:00–18:00 window.</w:t>
      </w:r>
    </w:p>
    <w:p w14:paraId="79D01D45" w14:textId="77777777" w:rsidR="00400227" w:rsidRDefault="007E4A27">
      <w:pPr>
        <w:spacing w:before="180" w:after="80"/>
      </w:pPr>
      <w:r>
        <w:rPr>
          <w:b/>
          <w:bCs/>
          <w:sz w:val="22"/>
          <w:szCs w:val="22"/>
        </w:rPr>
        <w:t>2.5 Load Profile Data Collection</w:t>
      </w:r>
    </w:p>
    <w:p w14:paraId="3FFFD807" w14:textId="77777777" w:rsidR="00400227" w:rsidRDefault="007E4A27">
      <w:pPr>
        <w:spacing w:after="120" w:line="276" w:lineRule="auto"/>
        <w:jc w:val="both"/>
      </w:pPr>
      <w:r>
        <w:t>Load profile data were collected using the observe-and-record method from smart meters installed at the power station, measuring current (I), voltage (V), and frequency (F) at 30-minute intervals across 24 hours of each day. Three-phase power was calculated from measured values using:</w:t>
      </w:r>
    </w:p>
    <w:p w14:paraId="550F570A" w14:textId="529F3597" w:rsidR="00400227" w:rsidRDefault="004A4C93">
      <w:pPr>
        <w:spacing w:after="80"/>
        <w:ind w:left="720"/>
      </w:pPr>
      <w:r w:rsidRPr="00FB63E5">
        <w:rPr>
          <w:rFonts w:ascii="Times New Roman" w:hAnsi="Times New Roman" w:cs="Times New Roman"/>
          <w:sz w:val="24"/>
          <w:szCs w:val="24"/>
        </w:rPr>
        <w:t xml:space="preserve">P = √3 × </w:t>
      </w:r>
      <m:oMath>
        <m:sSub>
          <m:sSubPr>
            <m:ctrlPr>
              <w:rPr>
                <w:rFonts w:ascii="Times New Roman" w:hAnsi="Times New Roman" w:cs="Times New Roman"/>
                <w:i/>
                <w:sz w:val="24"/>
                <w:szCs w:val="24"/>
              </w:rPr>
            </m:ctrlPr>
          </m:sSubPr>
          <m:e>
            <m:r>
              <w:rPr>
                <w:rFonts w:ascii="Times New Roman" w:hAnsi="Times New Roman" w:cs="Times New Roman"/>
                <w:sz w:val="24"/>
                <w:szCs w:val="24"/>
              </w:rPr>
              <m:t>V</m:t>
            </m:r>
          </m:e>
          <m:sub>
            <m:r>
              <w:rPr>
                <w:rFonts w:ascii="Cambria Math" w:hAnsi="Cambria Math" w:cs="Times New Roman"/>
                <w:sz w:val="24"/>
                <w:szCs w:val="24"/>
              </w:rPr>
              <m:t>L</m:t>
            </m:r>
          </m:sub>
        </m:sSub>
      </m:oMath>
      <w:r w:rsidRPr="00FB63E5">
        <w:rPr>
          <w:rFonts w:ascii="Times New Roman" w:hAnsi="Times New Roman" w:cs="Times New Roman"/>
          <w:sz w:val="24"/>
          <w:szCs w:val="24"/>
        </w:rPr>
        <w:t xml:space="preserve">  × </w:t>
      </w:r>
      <m:oMath>
        <m:sSub>
          <m:sSubPr>
            <m:ctrlPr>
              <w:rPr>
                <w:rFonts w:ascii="Times New Roman" w:hAnsi="Times New Roman"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L</m:t>
            </m:r>
          </m:sub>
        </m:sSub>
      </m:oMath>
      <w:r w:rsidRPr="00FB63E5">
        <w:rPr>
          <w:rFonts w:ascii="Times New Roman" w:hAnsi="Times New Roman" w:cs="Times New Roman"/>
          <w:sz w:val="24"/>
          <w:szCs w:val="24"/>
        </w:rPr>
        <w:t xml:space="preserve">  × cos</w:t>
      </w:r>
      <w:r w:rsidRPr="00FB63E5">
        <w:rPr>
          <w:rFonts w:ascii="Times New Roman" w:hAnsi="Cambria Math" w:cs="Times New Roman"/>
          <w:sz w:val="24"/>
          <w:szCs w:val="24"/>
        </w:rPr>
        <w:t>∅</w:t>
      </w:r>
      <w:r w:rsidRPr="00FB63E5">
        <w:rPr>
          <w:rFonts w:ascii="Times New Roman" w:hAnsi="Times New Roman" w:cs="Times New Roman"/>
          <w:sz w:val="24"/>
          <w:szCs w:val="24"/>
        </w:rPr>
        <w:tab/>
      </w:r>
      <w:r>
        <w:t xml:space="preserve"> </w:t>
      </w:r>
      <w:r>
        <w:tab/>
      </w:r>
      <w:r>
        <w:tab/>
      </w:r>
      <w:r>
        <w:tab/>
      </w:r>
      <w:r>
        <w:tab/>
      </w:r>
      <w:r>
        <w:tab/>
      </w:r>
      <w:r>
        <w:tab/>
        <w:t>(3)</w:t>
      </w:r>
    </w:p>
    <w:p w14:paraId="488AF3F2" w14:textId="1AAF6F82" w:rsidR="00400227" w:rsidRDefault="007E4A27">
      <w:pPr>
        <w:spacing w:after="120" w:line="276" w:lineRule="auto"/>
        <w:jc w:val="both"/>
      </w:pPr>
      <w:r>
        <w:t xml:space="preserve">where </w:t>
      </w:r>
      <m:oMath>
        <m:sSub>
          <m:sSubPr>
            <m:ctrlPr>
              <w:rPr>
                <w:rFonts w:ascii="Times New Roman" w:hAnsi="Times New Roman" w:cs="Times New Roman"/>
                <w:i/>
                <w:sz w:val="24"/>
                <w:szCs w:val="24"/>
              </w:rPr>
            </m:ctrlPr>
          </m:sSubPr>
          <m:e>
            <m:r>
              <w:rPr>
                <w:rFonts w:ascii="Times New Roman" w:hAnsi="Times New Roman" w:cs="Times New Roman"/>
                <w:sz w:val="24"/>
                <w:szCs w:val="24"/>
              </w:rPr>
              <m:t>V</m:t>
            </m:r>
          </m:e>
          <m:sub>
            <m:r>
              <w:rPr>
                <w:rFonts w:ascii="Cambria Math" w:hAnsi="Cambria Math" w:cs="Times New Roman"/>
                <w:sz w:val="24"/>
                <w:szCs w:val="24"/>
              </w:rPr>
              <m:t>L</m:t>
            </m:r>
          </m:sub>
        </m:sSub>
      </m:oMath>
      <w:r>
        <w:t xml:space="preserve"> is the line voltage (V), </w:t>
      </w:r>
      <m:oMath>
        <m:sSub>
          <m:sSubPr>
            <m:ctrlPr>
              <w:rPr>
                <w:rFonts w:ascii="Times New Roman" w:hAnsi="Times New Roman"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L</m:t>
            </m:r>
          </m:sub>
        </m:sSub>
      </m:oMath>
      <w:r w:rsidR="004A4C93" w:rsidRPr="00FB63E5">
        <w:rPr>
          <w:rFonts w:ascii="Times New Roman" w:hAnsi="Times New Roman" w:cs="Times New Roman"/>
          <w:sz w:val="24"/>
          <w:szCs w:val="24"/>
        </w:rPr>
        <w:t xml:space="preserve"> </w:t>
      </w:r>
      <w:r>
        <w:t>is the line current (A), and cos∅ is the power factor. Power factor values of 0.85, 0.90, and 0.95 were applied to industrial, commercial, and residential loads respectively, consistent with standard practice for these load categories. The resulting monthly load profile datasets for residential, commercial, and industrial consumers</w:t>
      </w:r>
      <w:r w:rsidR="004A4C93">
        <w:t>,</w:t>
      </w:r>
      <w:r>
        <w:t xml:space="preserve"> covering all twelve months and 48 half-hourly intervals per day</w:t>
      </w:r>
      <w:r w:rsidR="004A4C93">
        <w:t>, which</w:t>
      </w:r>
      <w:r>
        <w:t xml:space="preserve"> formed the training and validation dataset for the neural network controller.</w:t>
      </w:r>
    </w:p>
    <w:p w14:paraId="15BD7889" w14:textId="77777777" w:rsidR="00400227" w:rsidRDefault="007E4A27">
      <w:pPr>
        <w:spacing w:before="180" w:after="80"/>
      </w:pPr>
      <w:r>
        <w:rPr>
          <w:b/>
          <w:bCs/>
          <w:sz w:val="22"/>
          <w:szCs w:val="22"/>
        </w:rPr>
        <w:t>2.6 Distributed Solar Generation System Design</w:t>
      </w:r>
    </w:p>
    <w:p w14:paraId="20C5EFA5" w14:textId="595222A1" w:rsidR="00400227" w:rsidRDefault="007E4A27">
      <w:pPr>
        <w:spacing w:after="120" w:line="276" w:lineRule="auto"/>
        <w:jc w:val="both"/>
      </w:pPr>
      <w:r>
        <w:t>Analysis of the daily load profile data revealed a consistent 30% increase in total network demand during the 09:00–18:00 period, with peak grid demand reaching 600 kW compared to the off-peak baseline of approximately 400 kW. This peak increment</w:t>
      </w:r>
      <w:r w:rsidR="00C862A1">
        <w:t xml:space="preserve">, </w:t>
      </w:r>
      <w:r>
        <w:t>approximately 200 kW</w:t>
      </w:r>
      <w:r w:rsidR="00C862A1">
        <w:t>,</w:t>
      </w:r>
      <w:r>
        <w:t xml:space="preserve"> defined the rated output of the proposed solar DG unit. A 217.12 kW solar PV array was designed using Q.Cells panels rated at 230 W peak power per panel. The system parameters were determined as follows:</w:t>
      </w:r>
    </w:p>
    <w:p w14:paraId="6487588B" w14:textId="2D290766" w:rsidR="00400227" w:rsidRDefault="007E4A27">
      <w:pPr>
        <w:spacing w:after="80"/>
        <w:ind w:left="720"/>
      </w:pPr>
      <w:r>
        <w:t xml:space="preserve">Total panels = </w:t>
      </w:r>
      <m:oMath>
        <m:f>
          <m:fPr>
            <m:ctrlPr>
              <w:rPr>
                <w:rFonts w:ascii="Times New Roman" w:hAnsi="Times New Roman" w:cs="Times New Roman"/>
                <w:sz w:val="24"/>
                <w:szCs w:val="24"/>
              </w:rPr>
            </m:ctrlPr>
          </m:fPr>
          <m:num>
            <m:r>
              <m:rPr>
                <m:sty m:val="p"/>
              </m:rPr>
              <w:rPr>
                <w:rFonts w:ascii="Times New Roman" w:hAnsi="Times New Roman" w:cs="Times New Roman"/>
                <w:sz w:val="24"/>
                <w:szCs w:val="24"/>
              </w:rPr>
              <m:t>P</m:t>
            </m:r>
          </m:num>
          <m:den>
            <w:bookmarkStart w:id="1" w:name="_Hlk225101846"/>
            <m:sSub>
              <m:sSubPr>
                <m:ctrlPr>
                  <w:rPr>
                    <w:rFonts w:ascii="Times New Roman" w:hAnsi="Times New Roman" w:cs="Times New Roman"/>
                    <w:sz w:val="24"/>
                    <w:szCs w:val="24"/>
                  </w:rPr>
                </m:ctrlPr>
              </m:sSubPr>
              <m:e>
                <m:r>
                  <m:rPr>
                    <m:sty m:val="p"/>
                  </m:rPr>
                  <w:rPr>
                    <w:rFonts w:ascii="Times New Roman" w:hAnsi="Times New Roman" w:cs="Times New Roman"/>
                    <w:sz w:val="24"/>
                    <w:szCs w:val="24"/>
                  </w:rPr>
                  <m:t>P</m:t>
                </m:r>
              </m:e>
              <m:sub>
                <m:r>
                  <m:rPr>
                    <m:sty m:val="p"/>
                  </m:rPr>
                  <w:rPr>
                    <w:rFonts w:ascii="Times New Roman" w:hAnsi="Times New Roman" w:cs="Times New Roman"/>
                    <w:sz w:val="24"/>
                    <w:szCs w:val="24"/>
                  </w:rPr>
                  <m:t>m</m:t>
                </m:r>
              </m:sub>
            </m:sSub>
            <w:bookmarkEnd w:id="1"/>
          </m:den>
        </m:f>
      </m:oMath>
      <w:r>
        <w:t xml:space="preserve"> = </w:t>
      </w:r>
      <m:oMath>
        <m:f>
          <m:fPr>
            <m:ctrlPr>
              <w:rPr>
                <w:rFonts w:ascii="Times New Roman" w:hAnsi="Times New Roman" w:cs="Times New Roman"/>
                <w:iCs/>
                <w:sz w:val="24"/>
                <w:szCs w:val="24"/>
              </w:rPr>
            </m:ctrlPr>
          </m:fPr>
          <m:num>
            <m:r>
              <m:rPr>
                <m:sty m:val="p"/>
              </m:rPr>
              <w:rPr>
                <w:rFonts w:ascii="Times New Roman" w:hAnsi="Times New Roman" w:cs="Times New Roman"/>
                <w:sz w:val="24"/>
                <w:szCs w:val="24"/>
              </w:rPr>
              <m:t>217,120 W</m:t>
            </m:r>
          </m:num>
          <m:den>
            <m:r>
              <m:rPr>
                <m:sty m:val="p"/>
              </m:rPr>
              <w:rPr>
                <w:rFonts w:ascii="Times New Roman" w:hAnsi="Times New Roman" w:cs="Times New Roman"/>
                <w:sz w:val="24"/>
                <w:szCs w:val="24"/>
              </w:rPr>
              <m:t>230 W/Panel</m:t>
            </m:r>
          </m:den>
        </m:f>
      </m:oMath>
      <w:r w:rsidR="00F2464E">
        <w:rPr>
          <w:iCs/>
          <w:sz w:val="24"/>
          <w:szCs w:val="24"/>
        </w:rPr>
        <w:t xml:space="preserve"> </w:t>
      </w:r>
      <w:r>
        <w:t>= 944 panels</w:t>
      </w:r>
      <w:r w:rsidR="00F2464E">
        <w:tab/>
      </w:r>
      <w:r w:rsidR="00F2464E">
        <w:tab/>
      </w:r>
      <w:r w:rsidR="00F2464E">
        <w:tab/>
      </w:r>
      <w:r w:rsidR="00F2464E">
        <w:tab/>
      </w:r>
      <w:r w:rsidR="00F2464E">
        <w:tab/>
      </w:r>
      <w:r>
        <w:t>(4)</w:t>
      </w:r>
    </w:p>
    <w:p w14:paraId="375CB0E7" w14:textId="73FCA1F6" w:rsidR="00400227" w:rsidRDefault="007E4A27">
      <w:pPr>
        <w:spacing w:after="120" w:line="276" w:lineRule="auto"/>
        <w:jc w:val="both"/>
      </w:pPr>
      <w:r>
        <w:t>Panels were configured in a 16-series (</w:t>
      </w:r>
      <m:oMath>
        <m:sSub>
          <m:sSubPr>
            <m:ctrlPr>
              <w:rPr>
                <w:rFonts w:ascii="Times New Roman" w:hAnsi="Times New Roman" w:cs="Times New Roman"/>
                <w:i/>
                <w:sz w:val="24"/>
                <w:szCs w:val="24"/>
              </w:rPr>
            </m:ctrlPr>
          </m:sSubPr>
          <m:e>
            <m:r>
              <w:rPr>
                <w:rFonts w:ascii="Times New Roman" w:hAnsi="Times New Roman" w:cs="Times New Roman"/>
                <w:sz w:val="24"/>
                <w:szCs w:val="24"/>
              </w:rPr>
              <m:t>N</m:t>
            </m:r>
          </m:e>
          <m:sub>
            <m:r>
              <w:rPr>
                <w:rFonts w:ascii="Times New Roman" w:hAnsi="Times New Roman" w:cs="Times New Roman"/>
                <w:sz w:val="24"/>
                <w:szCs w:val="24"/>
              </w:rPr>
              <m:t>S</m:t>
            </m:r>
          </m:sub>
        </m:sSub>
      </m:oMath>
      <w:r>
        <w:t>) × 59-parallel (</w:t>
      </w:r>
      <m:oMath>
        <m:sSub>
          <m:sSubPr>
            <m:ctrlPr>
              <w:rPr>
                <w:rFonts w:ascii="Times New Roman" w:hAnsi="Times New Roman" w:cs="Times New Roman"/>
                <w:i/>
                <w:sz w:val="24"/>
                <w:szCs w:val="24"/>
              </w:rPr>
            </m:ctrlPr>
          </m:sSubPr>
          <m:e>
            <m:r>
              <w:rPr>
                <w:rFonts w:ascii="Times New Roman" w:hAnsi="Times New Roman" w:cs="Times New Roman"/>
                <w:sz w:val="24"/>
                <w:szCs w:val="24"/>
              </w:rPr>
              <m:t>N</m:t>
            </m:r>
          </m:e>
          <m:sub>
            <m:r>
              <w:rPr>
                <w:rFonts w:ascii="Times New Roman" w:hAnsi="Times New Roman" w:cs="Times New Roman"/>
                <w:sz w:val="24"/>
                <w:szCs w:val="24"/>
              </w:rPr>
              <m:t>P</m:t>
            </m:r>
          </m:sub>
        </m:sSub>
      </m:oMath>
      <w:r>
        <w:t>) arrangement to achieve a system voltage of 480 V DC at the array terminals, as expressed by:</w:t>
      </w:r>
    </w:p>
    <w:p w14:paraId="79FB50AD" w14:textId="0EEFB065" w:rsidR="00400227" w:rsidRDefault="00000000">
      <w:pPr>
        <w:spacing w:after="80"/>
        <w:ind w:left="720"/>
      </w:pPr>
      <m:oMath>
        <m:sSub>
          <m:sSubPr>
            <m:ctrlPr>
              <w:rPr>
                <w:rFonts w:ascii="Times New Roman" w:hAnsi="Times New Roman" w:cs="Times New Roman"/>
                <w:i/>
                <w:sz w:val="24"/>
                <w:szCs w:val="24"/>
              </w:rPr>
            </m:ctrlPr>
          </m:sSubPr>
          <m:e>
            <m:r>
              <w:rPr>
                <w:rFonts w:ascii="Times New Roman" w:hAnsi="Times New Roman" w:cs="Times New Roman"/>
                <w:sz w:val="24"/>
                <w:szCs w:val="24"/>
              </w:rPr>
              <m:t>N</m:t>
            </m:r>
          </m:e>
          <m:sub>
            <m:r>
              <w:rPr>
                <w:rFonts w:ascii="Times New Roman" w:hAnsi="Times New Roman" w:cs="Times New Roman"/>
                <w:sz w:val="24"/>
                <w:szCs w:val="24"/>
              </w:rPr>
              <m:t>S</m:t>
            </m:r>
          </m:sub>
        </m:sSub>
      </m:oMath>
      <w:r w:rsidR="00F2464E" w:rsidRPr="00FB63E5">
        <w:rPr>
          <w:rFonts w:ascii="Times New Roman" w:hAnsi="Times New Roman" w:cs="Times New Roman"/>
          <w:sz w:val="24"/>
          <w:szCs w:val="24"/>
        </w:rPr>
        <w:t xml:space="preserve"> = </w:t>
      </w:r>
      <m:oMath>
        <m:f>
          <m:fPr>
            <m:ctrlPr>
              <w:rPr>
                <w:rFonts w:ascii="Times New Roman" w:hAnsi="Times New Roman" w:cs="Times New Roman"/>
                <w:iCs/>
                <w:sz w:val="24"/>
                <w:szCs w:val="24"/>
              </w:rPr>
            </m:ctrlPr>
          </m:fPr>
          <m:num>
            <m:sSub>
              <m:sSubPr>
                <m:ctrlPr>
                  <w:rPr>
                    <w:rFonts w:ascii="Times New Roman" w:hAnsi="Times New Roman" w:cs="Times New Roman"/>
                    <w:iCs/>
                    <w:sz w:val="24"/>
                    <w:szCs w:val="24"/>
                  </w:rPr>
                </m:ctrlPr>
              </m:sSubPr>
              <m:e>
                <m:r>
                  <m:rPr>
                    <m:sty m:val="p"/>
                  </m:rPr>
                  <w:rPr>
                    <w:rFonts w:ascii="Times New Roman" w:hAnsi="Times New Roman" w:cs="Times New Roman"/>
                    <w:sz w:val="24"/>
                    <w:szCs w:val="24"/>
                  </w:rPr>
                  <m:t>V</m:t>
                </m:r>
              </m:e>
              <m:sub>
                <m:r>
                  <m:rPr>
                    <m:sty m:val="p"/>
                  </m:rPr>
                  <w:rPr>
                    <w:rFonts w:ascii="Times New Roman" w:hAnsi="Times New Roman" w:cs="Times New Roman"/>
                    <w:sz w:val="24"/>
                    <w:szCs w:val="24"/>
                  </w:rPr>
                  <m:t>Total</m:t>
                </m:r>
              </m:sub>
            </m:sSub>
          </m:num>
          <m:den>
            <m:r>
              <m:rPr>
                <m:sty m:val="p"/>
              </m:rPr>
              <w:rPr>
                <w:rFonts w:ascii="Times New Roman" w:hAnsi="Times New Roman" w:cs="Times New Roman"/>
                <w:sz w:val="24"/>
                <w:szCs w:val="24"/>
              </w:rPr>
              <m:t>Vm</m:t>
            </m:r>
          </m:den>
        </m:f>
      </m:oMath>
      <w:r w:rsidR="00F2464E">
        <w:t xml:space="preserve">  </w:t>
      </w:r>
      <w:r w:rsidR="00346FBA">
        <w:t xml:space="preserve">= </w:t>
      </w:r>
      <m:oMath>
        <m:f>
          <m:fPr>
            <m:ctrlPr>
              <w:rPr>
                <w:rFonts w:ascii="Times New Roman" w:hAnsi="Times New Roman" w:cs="Times New Roman"/>
                <w:iCs/>
                <w:sz w:val="24"/>
                <w:szCs w:val="24"/>
              </w:rPr>
            </m:ctrlPr>
          </m:fPr>
          <m:num>
            <m:r>
              <m:rPr>
                <m:sty m:val="p"/>
              </m:rPr>
              <w:rPr>
                <w:rFonts w:ascii="Times New Roman" w:hAnsi="Times New Roman" w:cs="Times New Roman"/>
                <w:sz w:val="24"/>
                <w:szCs w:val="24"/>
              </w:rPr>
              <m:t xml:space="preserve">480 V </m:t>
            </m:r>
          </m:num>
          <m:den>
            <m:r>
              <m:rPr>
                <m:sty m:val="p"/>
              </m:rPr>
              <w:rPr>
                <w:rFonts w:ascii="Times New Roman" w:hAnsi="Times New Roman" w:cs="Times New Roman"/>
                <w:sz w:val="24"/>
                <w:szCs w:val="24"/>
              </w:rPr>
              <m:t>30 V/Panel</m:t>
            </m:r>
          </m:den>
        </m:f>
      </m:oMath>
      <w:r w:rsidR="00346FBA" w:rsidRPr="00FB63E5">
        <w:rPr>
          <w:rFonts w:ascii="Times New Roman" w:hAnsi="Times New Roman" w:cs="Times New Roman"/>
          <w:sz w:val="24"/>
          <w:szCs w:val="24"/>
        </w:rPr>
        <w:t xml:space="preserve"> </w:t>
      </w:r>
      <w:r w:rsidR="00346FBA">
        <w:t xml:space="preserve"> </w:t>
      </w:r>
      <w:r w:rsidR="00346FBA" w:rsidRPr="00FB63E5">
        <w:rPr>
          <w:rFonts w:ascii="Times New Roman" w:hAnsi="Times New Roman" w:cs="Times New Roman"/>
          <w:sz w:val="24"/>
          <w:szCs w:val="24"/>
        </w:rPr>
        <w:t xml:space="preserve">= 16 panels </w:t>
      </w:r>
      <w:r w:rsidR="00346FBA">
        <w:rPr>
          <w:rFonts w:ascii="Times New Roman" w:hAnsi="Times New Roman" w:cs="Times New Roman"/>
          <w:sz w:val="24"/>
          <w:szCs w:val="24"/>
        </w:rPr>
        <w:tab/>
      </w:r>
      <w:r w:rsidR="00346FBA">
        <w:rPr>
          <w:rFonts w:ascii="Times New Roman" w:hAnsi="Times New Roman" w:cs="Times New Roman"/>
          <w:sz w:val="24"/>
          <w:szCs w:val="24"/>
        </w:rPr>
        <w:tab/>
      </w:r>
      <w:r w:rsidR="00346FBA">
        <w:rPr>
          <w:rFonts w:ascii="Times New Roman" w:hAnsi="Times New Roman" w:cs="Times New Roman"/>
          <w:sz w:val="24"/>
          <w:szCs w:val="24"/>
        </w:rPr>
        <w:tab/>
      </w:r>
      <w:r w:rsidR="00346FBA">
        <w:rPr>
          <w:rFonts w:ascii="Times New Roman" w:hAnsi="Times New Roman" w:cs="Times New Roman"/>
          <w:sz w:val="24"/>
          <w:szCs w:val="24"/>
        </w:rPr>
        <w:tab/>
      </w:r>
      <w:r w:rsidR="00346FBA">
        <w:rPr>
          <w:rFonts w:ascii="Times New Roman" w:hAnsi="Times New Roman" w:cs="Times New Roman"/>
          <w:sz w:val="24"/>
          <w:szCs w:val="24"/>
        </w:rPr>
        <w:tab/>
      </w:r>
      <w:r w:rsidR="00346FBA">
        <w:rPr>
          <w:rFonts w:ascii="Times New Roman" w:hAnsi="Times New Roman" w:cs="Times New Roman"/>
          <w:sz w:val="24"/>
          <w:szCs w:val="24"/>
        </w:rPr>
        <w:tab/>
      </w:r>
      <w:r w:rsidR="00F2464E">
        <w:t>(5)</w:t>
      </w:r>
    </w:p>
    <w:p w14:paraId="3952F6FB" w14:textId="2CC511A7" w:rsidR="00400227" w:rsidRPr="00346FBA" w:rsidRDefault="00346FBA" w:rsidP="00346FBA">
      <w:pPr>
        <w:tabs>
          <w:tab w:val="left" w:pos="627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m:oMath>
        <m:sSub>
          <m:sSubPr>
            <m:ctrlPr>
              <w:rPr>
                <w:rFonts w:ascii="Times New Roman" w:hAnsi="Times New Roman" w:cs="Times New Roman"/>
                <w:i/>
                <w:sz w:val="24"/>
                <w:szCs w:val="24"/>
              </w:rPr>
            </m:ctrlPr>
          </m:sSubPr>
          <m:e>
            <m:r>
              <w:rPr>
                <w:rFonts w:ascii="Times New Roman" w:hAnsi="Times New Roman" w:cs="Times New Roman"/>
                <w:sz w:val="24"/>
                <w:szCs w:val="24"/>
              </w:rPr>
              <m:t>N</m:t>
            </m:r>
          </m:e>
          <m:sub>
            <m:r>
              <w:rPr>
                <w:rFonts w:ascii="Times New Roman" w:hAnsi="Times New Roman" w:cs="Times New Roman"/>
                <w:sz w:val="24"/>
                <w:szCs w:val="24"/>
              </w:rPr>
              <m:t>P</m:t>
            </m:r>
          </m:sub>
        </m:sSub>
      </m:oMath>
      <w:r w:rsidRPr="00FB63E5">
        <w:rPr>
          <w:rFonts w:ascii="Times New Roman" w:hAnsi="Times New Roman" w:cs="Times New Roman"/>
          <w:sz w:val="24"/>
          <w:szCs w:val="24"/>
        </w:rPr>
        <w:t xml:space="preserve">= </w:t>
      </w:r>
      <m:oMath>
        <m:f>
          <m:fPr>
            <m:ctrlPr>
              <w:rPr>
                <w:rFonts w:ascii="Times New Roman" w:hAnsi="Times New Roman" w:cs="Times New Roman"/>
                <w:iCs/>
                <w:sz w:val="24"/>
                <w:szCs w:val="24"/>
              </w:rPr>
            </m:ctrlPr>
          </m:fPr>
          <m:num>
            <m:r>
              <m:rPr>
                <m:sty m:val="p"/>
              </m:rPr>
              <w:rPr>
                <w:rFonts w:ascii="Times New Roman" w:hAnsi="Times New Roman" w:cs="Times New Roman"/>
                <w:sz w:val="24"/>
                <w:szCs w:val="24"/>
              </w:rPr>
              <m:t>Total Panels</m:t>
            </m:r>
          </m:num>
          <m:den>
            <m:r>
              <m:rPr>
                <m:sty m:val="p"/>
              </m:rPr>
              <w:rPr>
                <w:rFonts w:ascii="Times New Roman" w:hAnsi="Times New Roman" w:cs="Times New Roman"/>
                <w:sz w:val="24"/>
                <w:szCs w:val="24"/>
              </w:rPr>
              <m:t>Number of Series Panels</m:t>
            </m:r>
          </m:den>
        </m:f>
      </m:oMath>
      <w:r>
        <w:rPr>
          <w:rFonts w:ascii="Times New Roman" w:hAnsi="Times New Roman" w:cs="Times New Roman"/>
          <w:sz w:val="24"/>
          <w:szCs w:val="24"/>
        </w:rPr>
        <w:t xml:space="preserve"> </w:t>
      </w:r>
      <w:r w:rsidRPr="00FB63E5">
        <w:rPr>
          <w:rFonts w:ascii="Times New Roman" w:hAnsi="Times New Roman" w:cs="Times New Roman"/>
          <w:sz w:val="24"/>
          <w:szCs w:val="24"/>
        </w:rPr>
        <w:t>=</w:t>
      </w:r>
      <w:r>
        <w:rPr>
          <w:rFonts w:ascii="Times New Roman" w:hAnsi="Times New Roman" w:cs="Times New Roman"/>
          <w:sz w:val="24"/>
          <w:szCs w:val="24"/>
        </w:rPr>
        <w:t xml:space="preserve"> </w:t>
      </w:r>
      <w:r w:rsidRPr="00FB63E5">
        <w:rPr>
          <w:rFonts w:ascii="Times New Roman" w:hAnsi="Times New Roman" w:cs="Times New Roman"/>
          <w:sz w:val="24"/>
          <w:szCs w:val="24"/>
        </w:rPr>
        <w:t xml:space="preserve"> </w:t>
      </w:r>
      <m:oMath>
        <m:f>
          <m:fPr>
            <m:ctrlPr>
              <w:rPr>
                <w:rFonts w:ascii="Times New Roman" w:hAnsi="Times New Roman" w:cs="Times New Roman"/>
                <w:iCs/>
                <w:sz w:val="24"/>
                <w:szCs w:val="24"/>
              </w:rPr>
            </m:ctrlPr>
          </m:fPr>
          <m:num>
            <m:r>
              <m:rPr>
                <m:sty m:val="p"/>
              </m:rPr>
              <w:rPr>
                <w:rFonts w:ascii="Times New Roman" w:hAnsi="Times New Roman" w:cs="Times New Roman"/>
                <w:sz w:val="24"/>
                <w:szCs w:val="24"/>
              </w:rPr>
              <m:t>944</m:t>
            </m:r>
          </m:num>
          <m:den>
            <m:r>
              <m:rPr>
                <m:sty m:val="p"/>
              </m:rPr>
              <w:rPr>
                <w:rFonts w:ascii="Times New Roman" w:hAnsi="Times New Roman" w:cs="Times New Roman"/>
                <w:sz w:val="24"/>
                <w:szCs w:val="24"/>
              </w:rPr>
              <m:t>16</m:t>
            </m:r>
          </m:den>
        </m:f>
      </m:oMath>
      <w:r w:rsidRPr="00FB63E5">
        <w:rPr>
          <w:rFonts w:ascii="Times New Roman" w:hAnsi="Times New Roman" w:cs="Times New Roman"/>
          <w:sz w:val="24"/>
          <w:szCs w:val="24"/>
        </w:rPr>
        <w:t xml:space="preserve"> = 59 strings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t>(6)</w:t>
      </w:r>
    </w:p>
    <w:p w14:paraId="3ED9D805" w14:textId="0BC450EE" w:rsidR="00400227" w:rsidRDefault="007E4A27">
      <w:pPr>
        <w:spacing w:after="120" w:line="276" w:lineRule="auto"/>
        <w:jc w:val="both"/>
      </w:pPr>
      <w:r>
        <w:t xml:space="preserve">The 30% DG penetration level adopted in this study is consistent with the optimal range of 30–40% of total system load identified in the literature for </w:t>
      </w:r>
      <w:r w:rsidR="00346FBA">
        <w:t>maximizing</w:t>
      </w:r>
      <w:r>
        <w:t xml:space="preserve"> reliability and stability benefits</w:t>
      </w:r>
      <w:r w:rsidR="00276BA6">
        <w:t xml:space="preserve"> (Abdel-Rahman et al., 2019; Nouar et al., 2025)</w:t>
      </w:r>
      <w:r>
        <w:t>. The DG unit incorporates a voltage source inverter (VSI), a step-up transformer, and protective relaying consistent with IEEE distribution standards. The complete distributed power system model was implemented in MATLAB/Simulink.</w:t>
      </w:r>
    </w:p>
    <w:p w14:paraId="464113AE" w14:textId="77777777" w:rsidR="00400227" w:rsidRDefault="007E4A27">
      <w:pPr>
        <w:spacing w:before="180" w:after="80"/>
      </w:pPr>
      <w:r>
        <w:rPr>
          <w:b/>
          <w:bCs/>
          <w:sz w:val="22"/>
          <w:szCs w:val="22"/>
        </w:rPr>
        <w:lastRenderedPageBreak/>
        <w:t>2.7 Neural Network Control Architecture</w:t>
      </w:r>
    </w:p>
    <w:p w14:paraId="499CC836" w14:textId="77777777" w:rsidR="00400227" w:rsidRDefault="007E4A27">
      <w:pPr>
        <w:spacing w:after="120" w:line="276" w:lineRule="auto"/>
        <w:jc w:val="both"/>
      </w:pPr>
      <w:r>
        <w:t>A feedforward neural network with Bayesian regularization backpropagation was designed to automate DSG dispatch. The Bayesian regularization method was selected for its robustness to overfitting in the presence of limited training data, making it appropriate for facility-level operational datasets. The network architecture comprised two input neurons (time of day, T; and energy storage state of charge, SOC), one hidden layer of ten neurons with sigmoid activation, and one output neuron representing the DSG power output command (kW).</w:t>
      </w:r>
    </w:p>
    <w:p w14:paraId="1EB99CD5" w14:textId="77777777" w:rsidR="00400227" w:rsidRDefault="007E4A27">
      <w:pPr>
        <w:spacing w:after="120" w:line="276" w:lineRule="auto"/>
        <w:jc w:val="both"/>
      </w:pPr>
      <w:r>
        <w:t>Training data were generated from the historical 48-point daily load profile using the following conditional logic to simulate optimal DG dispatch behaviour:</w:t>
      </w:r>
    </w:p>
    <w:p w14:paraId="51C2495B" w14:textId="77777777" w:rsidR="00400227" w:rsidRDefault="007E4A27">
      <w:pPr>
        <w:spacing w:after="60"/>
        <w:ind w:left="720"/>
        <w:jc w:val="both"/>
      </w:pPr>
      <w:r>
        <w:t>• If 0 &lt; T ≤ 9 hours AND SOC &lt; 50%: DG output = −5 (charging mode, grid-fed)</w:t>
      </w:r>
    </w:p>
    <w:p w14:paraId="258507D2" w14:textId="77777777" w:rsidR="00400227" w:rsidRDefault="007E4A27">
      <w:pPr>
        <w:spacing w:after="60"/>
        <w:ind w:left="720"/>
        <w:jc w:val="both"/>
      </w:pPr>
      <w:r>
        <w:t>• If 9 &lt; T ≤ 15 hours AND SOC &gt; 50%: DG output = 100 + 180 × (T − 9)/6 kW</w:t>
      </w:r>
    </w:p>
    <w:p w14:paraId="7B89BC02" w14:textId="77777777" w:rsidR="00400227" w:rsidRDefault="007E4A27">
      <w:pPr>
        <w:spacing w:after="60"/>
        <w:ind w:left="720"/>
        <w:jc w:val="both"/>
      </w:pPr>
      <w:r>
        <w:t>• If 15 &lt; T ≤ 18 hours AND SOC &gt; 50%: DG output = 280 + 180 × (15 − T)/3 kW</w:t>
      </w:r>
    </w:p>
    <w:p w14:paraId="6DFE85D2" w14:textId="77777777" w:rsidR="00400227" w:rsidRDefault="007E4A27">
      <w:pPr>
        <w:spacing w:after="60"/>
        <w:ind w:left="720"/>
        <w:jc w:val="both"/>
      </w:pPr>
      <w:r>
        <w:t>• If 18 &lt; T ≤ 24 hours AND SOC &lt; 50%: DG output = −5 (charging mode, grid-fed)</w:t>
      </w:r>
    </w:p>
    <w:p w14:paraId="5860B51C" w14:textId="30519C3D" w:rsidR="00400227" w:rsidRDefault="007E4A27">
      <w:pPr>
        <w:spacing w:after="120" w:line="276" w:lineRule="auto"/>
        <w:jc w:val="both"/>
      </w:pPr>
      <w:r>
        <w:t xml:space="preserve">A dataset of 10,000 </w:t>
      </w:r>
      <w:r w:rsidR="00AA7973">
        <w:t>randomized</w:t>
      </w:r>
      <w:r>
        <w:t xml:space="preserve"> time-SOC input pairs was generated to span the full operational range. The dataset was partitioned: 70% for training, 15% for testing, and 15% for validation. The trained model achieved regression R-values of 0.9919 (training), 0.9916 (testing), and 0.9918 (combined), demonstrating robust predictive performance. The validated neural network was embedded within the MATLAB/Simulink model to provide real-time DG dispatch commands during simulation.</w:t>
      </w:r>
    </w:p>
    <w:p w14:paraId="1110DBB3" w14:textId="77777777" w:rsidR="00400227" w:rsidRDefault="007E4A27">
      <w:pPr>
        <w:spacing w:before="180" w:after="80"/>
      </w:pPr>
      <w:r>
        <w:rPr>
          <w:b/>
          <w:bCs/>
          <w:sz w:val="22"/>
          <w:szCs w:val="22"/>
        </w:rPr>
        <w:t>2.8 Distributed Power System Component Models</w:t>
      </w:r>
    </w:p>
    <w:p w14:paraId="4EC9246A" w14:textId="77777777" w:rsidR="00400227" w:rsidRDefault="007E4A27">
      <w:pPr>
        <w:spacing w:after="120" w:line="276" w:lineRule="auto"/>
        <w:jc w:val="both"/>
      </w:pPr>
      <w:r>
        <w:t>The MATLAB/Simulink distributed power system model integrates the following state-of-the-art component sub-models, each representing a physically meaningful element of the CRSWB network:</w:t>
      </w:r>
    </w:p>
    <w:p w14:paraId="1586CDCD" w14:textId="77777777" w:rsidR="00400227" w:rsidRDefault="007E4A27">
      <w:pPr>
        <w:spacing w:before="120" w:after="60"/>
      </w:pPr>
      <w:r>
        <w:rPr>
          <w:b/>
          <w:bCs/>
          <w:u w:val="single"/>
        </w:rPr>
        <w:t>2.8.1 Solar Array Model</w:t>
      </w:r>
    </w:p>
    <w:p w14:paraId="6F91FC66" w14:textId="77777777" w:rsidR="00400227" w:rsidRDefault="007E4A27">
      <w:pPr>
        <w:spacing w:after="120" w:line="276" w:lineRule="auto"/>
        <w:jc w:val="both"/>
      </w:pPr>
      <w:r>
        <w:t>The solar array is modelled as a current-controlled source whose output is a function of solar irradiance, temperature, and panel electrical characteristics. The model captures system sizing, performance evaluation under variable irradiance, and interaction with the grid inverter. The array output feeds a DC bus linked to the VSI and the energy storage system (ESS).</w:t>
      </w:r>
    </w:p>
    <w:p w14:paraId="4E8CC778" w14:textId="77777777" w:rsidR="00400227" w:rsidRDefault="007E4A27">
      <w:pPr>
        <w:spacing w:before="120" w:after="60"/>
      </w:pPr>
      <w:r>
        <w:rPr>
          <w:b/>
          <w:bCs/>
          <w:u w:val="single"/>
        </w:rPr>
        <w:t>2.8.2 Inverter Model</w:t>
      </w:r>
    </w:p>
    <w:p w14:paraId="09CD2E86" w14:textId="4A34604F" w:rsidR="00400227" w:rsidRDefault="007E4A27">
      <w:pPr>
        <w:spacing w:after="120" w:line="276" w:lineRule="auto"/>
        <w:jc w:val="both"/>
      </w:pPr>
      <w:r>
        <w:t>A three-phase voltage source inverter (VSI) model converts DC array output to AC for grid injection. The VSI is governed by Kirchhoff's voltage and current laws applied to the three-phase full-bridge topology with eight switching states</w:t>
      </w:r>
      <w:r w:rsidR="000D5445">
        <w:t>, consistent with established frameworks for distributed power generation systems (Blaabjerg et al., 2006)</w:t>
      </w:r>
      <w:r>
        <w:t>. The VSI output voltage and current relationships are:</w:t>
      </w:r>
    </w:p>
    <w:p w14:paraId="1F7E7BAF" w14:textId="01137102" w:rsidR="00400227" w:rsidRPr="00F01256" w:rsidRDefault="00000000">
      <w:pPr>
        <w:spacing w:after="80"/>
        <w:ind w:left="720"/>
      </w:pPr>
      <m:oMath>
        <m:sSub>
          <m:sSubPr>
            <m:ctrlPr>
              <w:rPr>
                <w:rFonts w:ascii="Cambria Math" w:hAnsi="Cambria Math"/>
                <w:i/>
              </w:rPr>
            </m:ctrlPr>
          </m:sSubPr>
          <m:e>
            <m:r>
              <w:rPr>
                <w:rFonts w:ascii="Cambria Math" w:hAnsi="Cambria Math"/>
              </w:rPr>
              <m:t>V</m:t>
            </m:r>
          </m:e>
          <m:sub>
            <m:r>
              <w:rPr>
                <w:rFonts w:ascii="Cambria Math" w:hAnsi="Cambria Math"/>
              </w:rPr>
              <m:t>out</m:t>
            </m:r>
          </m:sub>
        </m:sSub>
      </m:oMath>
      <w:r w:rsidR="00F01256" w:rsidRPr="00F01256">
        <w:t xml:space="preserve">= </w:t>
      </w:r>
      <m:oMath>
        <m:sSub>
          <m:sSubPr>
            <m:ctrlPr>
              <w:rPr>
                <w:rFonts w:ascii="Cambria Math" w:hAnsi="Cambria Math"/>
                <w:i/>
              </w:rPr>
            </m:ctrlPr>
          </m:sSubPr>
          <m:e>
            <m:r>
              <w:rPr>
                <w:rFonts w:ascii="Cambria Math" w:hAnsi="Cambria Math"/>
              </w:rPr>
              <m:t>V</m:t>
            </m:r>
          </m:e>
          <m:sub>
            <m:r>
              <w:rPr>
                <w:rFonts w:ascii="Cambria Math" w:hAnsi="Cambria Math"/>
              </w:rPr>
              <m:t>dc</m:t>
            </m:r>
          </m:sub>
        </m:sSub>
      </m:oMath>
      <w:r w:rsidR="00F01256" w:rsidRPr="00F01256">
        <w:tab/>
      </w:r>
      <w:r w:rsidR="00F01256" w:rsidRPr="00F01256">
        <w:tab/>
      </w:r>
      <w:r w:rsidR="00F01256" w:rsidRPr="00F01256">
        <w:tab/>
      </w:r>
      <w:r w:rsidR="00F01256" w:rsidRPr="00F01256">
        <w:tab/>
      </w:r>
      <w:r w:rsidR="00F01256" w:rsidRPr="00F01256">
        <w:tab/>
      </w:r>
      <w:r w:rsidR="00F01256" w:rsidRPr="00F01256">
        <w:tab/>
      </w:r>
      <w:r w:rsidR="00F01256" w:rsidRPr="00F01256">
        <w:tab/>
      </w:r>
      <w:r w:rsidR="00F01256" w:rsidRPr="00F01256">
        <w:tab/>
      </w:r>
      <w:r w:rsidR="00F01256" w:rsidRPr="00F01256">
        <w:tab/>
        <w:t xml:space="preserve"> (7)</w:t>
      </w:r>
    </w:p>
    <w:p w14:paraId="525BBA78" w14:textId="68D07B81" w:rsidR="00400227" w:rsidRDefault="00000000">
      <w:pPr>
        <w:spacing w:after="80"/>
        <w:ind w:left="720"/>
      </w:pPr>
      <m:oMath>
        <m:sSub>
          <m:sSubPr>
            <m:ctrlPr>
              <w:rPr>
                <w:rFonts w:ascii="Cambria Math" w:hAnsi="Times New Roman"/>
                <w:i/>
                <w:sz w:val="24"/>
                <w:szCs w:val="24"/>
                <w:shd w:val="clear" w:color="auto" w:fill="FFFFFF"/>
              </w:rPr>
            </m:ctrlPr>
          </m:sSubPr>
          <m:e>
            <m:r>
              <w:rPr>
                <w:rFonts w:ascii="Cambria Math" w:hAnsi="Cambria Math"/>
                <w:sz w:val="24"/>
                <w:szCs w:val="24"/>
                <w:shd w:val="clear" w:color="auto" w:fill="FFFFFF"/>
              </w:rPr>
              <m:t>I</m:t>
            </m:r>
          </m:e>
          <m:sub>
            <m:r>
              <w:rPr>
                <w:rFonts w:ascii="Cambria Math" w:hAnsi="Cambria Math"/>
                <w:sz w:val="24"/>
                <w:szCs w:val="24"/>
                <w:shd w:val="clear" w:color="auto" w:fill="FFFFFF"/>
              </w:rPr>
              <m:t>out</m:t>
            </m:r>
          </m:sub>
        </m:sSub>
      </m:oMath>
      <w:r w:rsidR="00F01256" w:rsidRPr="00F01256">
        <w:rPr>
          <w:rFonts w:ascii="Times New Roman" w:hAnsi="Times New Roman"/>
          <w:sz w:val="24"/>
          <w:szCs w:val="24"/>
        </w:rPr>
        <w:t xml:space="preserve">= </w:t>
      </w:r>
      <m:oMath>
        <m:sSub>
          <m:sSubPr>
            <m:ctrlPr>
              <w:rPr>
                <w:rFonts w:ascii="Cambria Math" w:hAnsi="Times New Roman"/>
                <w:i/>
                <w:sz w:val="24"/>
                <w:szCs w:val="24"/>
                <w:shd w:val="clear" w:color="auto" w:fill="FFFFFF"/>
              </w:rPr>
            </m:ctrlPr>
          </m:sSubPr>
          <m:e>
            <m:r>
              <w:rPr>
                <w:rFonts w:ascii="Cambria Math" w:hAnsi="Cambria Math"/>
                <w:sz w:val="24"/>
                <w:szCs w:val="24"/>
                <w:shd w:val="clear" w:color="auto" w:fill="FFFFFF"/>
              </w:rPr>
              <m:t>V</m:t>
            </m:r>
          </m:e>
          <m:sub>
            <m:r>
              <w:rPr>
                <w:rFonts w:ascii="Cambria Math" w:hAnsi="Cambria Math"/>
                <w:sz w:val="24"/>
                <w:szCs w:val="24"/>
                <w:shd w:val="clear" w:color="auto" w:fill="FFFFFF"/>
              </w:rPr>
              <m:t>out</m:t>
            </m:r>
          </m:sub>
        </m:sSub>
      </m:oMath>
      <w:r w:rsidR="00F01256" w:rsidRPr="00F01256">
        <w:rPr>
          <w:rFonts w:ascii="Times New Roman" w:hAnsi="Times New Roman"/>
          <w:sz w:val="24"/>
          <w:szCs w:val="24"/>
        </w:rPr>
        <w:t xml:space="preserve"> / </w:t>
      </w:r>
      <m:oMath>
        <m:sSub>
          <m:sSubPr>
            <m:ctrlPr>
              <w:rPr>
                <w:rFonts w:ascii="Cambria Math" w:hAnsi="Times New Roman"/>
                <w:i/>
                <w:sz w:val="24"/>
                <w:szCs w:val="24"/>
                <w:shd w:val="clear" w:color="auto" w:fill="FFFFFF"/>
              </w:rPr>
            </m:ctrlPr>
          </m:sSubPr>
          <m:e>
            <m:r>
              <w:rPr>
                <w:rFonts w:ascii="Cambria Math" w:hAnsi="Cambria Math"/>
                <w:sz w:val="24"/>
                <w:szCs w:val="24"/>
                <w:shd w:val="clear" w:color="auto" w:fill="FFFFFF"/>
              </w:rPr>
              <m:t>Z</m:t>
            </m:r>
          </m:e>
          <m:sub>
            <m:r>
              <w:rPr>
                <w:rFonts w:ascii="Cambria Math" w:hAnsi="Cambria Math"/>
                <w:sz w:val="24"/>
                <w:szCs w:val="24"/>
                <w:shd w:val="clear" w:color="auto" w:fill="FFFFFF"/>
              </w:rPr>
              <m:t>load</m:t>
            </m:r>
          </m:sub>
        </m:sSub>
      </m:oMath>
      <w:r w:rsidR="00F01256" w:rsidRPr="00FB63E5">
        <w:rPr>
          <w:rFonts w:ascii="Times New Roman" w:hAnsi="Times New Roman"/>
          <w:sz w:val="24"/>
          <w:szCs w:val="24"/>
        </w:rPr>
        <w:tab/>
      </w:r>
      <w:r w:rsidR="00F01256">
        <w:rPr>
          <w:rFonts w:ascii="Times New Roman" w:hAnsi="Times New Roman"/>
          <w:sz w:val="24"/>
          <w:szCs w:val="24"/>
        </w:rPr>
        <w:tab/>
      </w:r>
      <w:r w:rsidR="00F01256">
        <w:rPr>
          <w:rFonts w:ascii="Times New Roman" w:hAnsi="Times New Roman"/>
          <w:sz w:val="24"/>
          <w:szCs w:val="24"/>
        </w:rPr>
        <w:tab/>
      </w:r>
      <w:r w:rsidR="00F01256">
        <w:rPr>
          <w:rFonts w:ascii="Times New Roman" w:hAnsi="Times New Roman"/>
          <w:sz w:val="24"/>
          <w:szCs w:val="24"/>
        </w:rPr>
        <w:tab/>
      </w:r>
      <w:r w:rsidR="00F01256">
        <w:rPr>
          <w:rFonts w:ascii="Times New Roman" w:hAnsi="Times New Roman"/>
          <w:sz w:val="24"/>
          <w:szCs w:val="24"/>
        </w:rPr>
        <w:tab/>
      </w:r>
      <w:r w:rsidR="00F01256">
        <w:rPr>
          <w:rFonts w:ascii="Times New Roman" w:hAnsi="Times New Roman"/>
          <w:sz w:val="24"/>
          <w:szCs w:val="24"/>
        </w:rPr>
        <w:tab/>
      </w:r>
      <w:r w:rsidR="00F01256">
        <w:rPr>
          <w:rFonts w:ascii="Times New Roman" w:hAnsi="Times New Roman"/>
          <w:sz w:val="24"/>
          <w:szCs w:val="24"/>
        </w:rPr>
        <w:tab/>
      </w:r>
      <w:r w:rsidR="00F01256">
        <w:rPr>
          <w:rFonts w:ascii="Times New Roman" w:hAnsi="Times New Roman"/>
          <w:sz w:val="24"/>
          <w:szCs w:val="24"/>
        </w:rPr>
        <w:tab/>
      </w:r>
      <w:r w:rsidR="00F01256">
        <w:t xml:space="preserve"> (8)</w:t>
      </w:r>
    </w:p>
    <w:p w14:paraId="240D7BE4" w14:textId="77777777" w:rsidR="00400227" w:rsidRDefault="007E4A27">
      <w:pPr>
        <w:spacing w:before="120" w:after="60"/>
      </w:pPr>
      <w:r>
        <w:rPr>
          <w:b/>
          <w:bCs/>
          <w:u w:val="single"/>
        </w:rPr>
        <w:t>2.8.3 Energy Storage System Model</w:t>
      </w:r>
    </w:p>
    <w:p w14:paraId="34569BB1" w14:textId="77777777" w:rsidR="00400227" w:rsidRDefault="007E4A27">
      <w:pPr>
        <w:spacing w:after="120" w:line="276" w:lineRule="auto"/>
        <w:jc w:val="both"/>
      </w:pPr>
      <w:r>
        <w:t>A battery ESS model simulates charge and discharge dynamics based on state of charge (SOC), state of health (SoH), and reactive power capability constraints. The neural network controller governs the charge/discharge commands as a function of time-of-day and SOC, ensuring the ESS is charged during off-peak hours and discharged at peak demand periods (09:00–18:00).</w:t>
      </w:r>
    </w:p>
    <w:p w14:paraId="799FA22D" w14:textId="77777777" w:rsidR="00400227" w:rsidRDefault="007E4A27">
      <w:pPr>
        <w:spacing w:before="120" w:after="60"/>
      </w:pPr>
      <w:r>
        <w:rPr>
          <w:b/>
          <w:bCs/>
          <w:u w:val="single"/>
        </w:rPr>
        <w:t>2.8.4 Variable Load Model</w:t>
      </w:r>
    </w:p>
    <w:p w14:paraId="7C1D801F" w14:textId="77777777" w:rsidR="00400227" w:rsidRDefault="007E4A27">
      <w:pPr>
        <w:spacing w:after="120" w:line="276" w:lineRule="auto"/>
        <w:jc w:val="both"/>
      </w:pPr>
      <w:r>
        <w:t>Load dynamics are represented using the PQ (constant power) model for each consumer category. The active and reactive power responses to voltage variations follow:</w:t>
      </w:r>
    </w:p>
    <w:p w14:paraId="12C91522" w14:textId="1EB6C452" w:rsidR="00400227" w:rsidRDefault="007E4A27">
      <w:pPr>
        <w:spacing w:after="80"/>
        <w:ind w:left="720"/>
      </w:pPr>
      <w:r>
        <w:t xml:space="preserve">P(s) =  </w:t>
      </w:r>
      <w:bookmarkStart w:id="2" w:name="_Hlk225100324"/>
      <m:oMath>
        <m:sSub>
          <m:sSubPr>
            <m:ctrlPr>
              <w:rPr>
                <w:rFonts w:ascii="Cambria Math" w:hAnsi="Times New Roman"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o</m:t>
            </m:r>
          </m:sub>
        </m:sSub>
        <w:bookmarkEnd w:id="2"/>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V</m:t>
            </m:r>
          </m:num>
          <m:den>
            <m:sSub>
              <m:sSubPr>
                <m:ctrlPr>
                  <w:rPr>
                    <w:rFonts w:ascii="Cambria Math" w:hAnsi="Times New Roman"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o</m:t>
                </m:r>
              </m:sub>
            </m:sSub>
          </m:den>
        </m:f>
        <m:r>
          <w:rPr>
            <w:rFonts w:ascii="Cambria Math" w:hAnsi="Times New Roman" w:cs="Times New Roman"/>
            <w:sz w:val="24"/>
            <w:szCs w:val="24"/>
          </w:rPr>
          <m:t xml:space="preserve">) </m:t>
        </m:r>
        <w:bookmarkStart w:id="3" w:name="_Hlk225100200"/>
        <m:sSub>
          <m:sSubPr>
            <m:ctrlPr>
              <w:rPr>
                <w:rFonts w:ascii="Cambria Math" w:hAnsi="Times New Roman" w:cs="Times New Roman"/>
                <w:i/>
                <w:sz w:val="24"/>
                <w:szCs w:val="24"/>
                <w:vertAlign w:val="superscript"/>
              </w:rPr>
            </m:ctrlPr>
          </m:sSubPr>
          <m:e>
            <m:r>
              <w:rPr>
                <w:rFonts w:ascii="Cambria Math" w:hAnsi="Cambria Math" w:cs="Times New Roman"/>
                <w:sz w:val="24"/>
                <w:szCs w:val="24"/>
                <w:vertAlign w:val="superscript"/>
              </w:rPr>
              <m:t>n</m:t>
            </m:r>
          </m:e>
          <m:sub>
            <m:r>
              <w:rPr>
                <w:rFonts w:ascii="Cambria Math" w:hAnsi="Cambria Math" w:cs="Times New Roman"/>
                <w:sz w:val="24"/>
                <w:szCs w:val="24"/>
                <w:vertAlign w:val="superscript"/>
              </w:rPr>
              <m:t>p</m:t>
            </m:r>
          </m:sub>
        </m:sSub>
        <w:bookmarkEnd w:id="3"/>
        <m:f>
          <m:fPr>
            <m:ctrlPr>
              <w:rPr>
                <w:rFonts w:ascii="Cambria Math" w:hAnsi="Times New Roman" w:cs="Times New Roman"/>
                <w:i/>
                <w:sz w:val="24"/>
                <w:szCs w:val="24"/>
                <w:vertAlign w:val="superscript"/>
              </w:rPr>
            </m:ctrlPr>
          </m:fPr>
          <m:num>
            <m:r>
              <w:rPr>
                <w:rFonts w:ascii="Cambria Math" w:hAnsi="Times New Roman" w:cs="Times New Roman"/>
                <w:sz w:val="24"/>
                <w:szCs w:val="24"/>
                <w:vertAlign w:val="superscript"/>
              </w:rPr>
              <m:t>1+</m:t>
            </m:r>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m:t>
                </m:r>
                <m:r>
                  <w:rPr>
                    <w:rFonts w:ascii="Cambria Math" w:hAnsi="Times New Roman" w:cs="Times New Roman"/>
                    <w:sz w:val="24"/>
                    <w:szCs w:val="24"/>
                  </w:rPr>
                  <m:t>1</m:t>
                </m:r>
                <m:r>
                  <w:rPr>
                    <w:rFonts w:ascii="Cambria Math" w:hAnsi="Cambria Math" w:cs="Times New Roman"/>
                    <w:sz w:val="24"/>
                    <w:szCs w:val="24"/>
                  </w:rPr>
                  <m:t>s</m:t>
                </m:r>
              </m:sub>
            </m:sSub>
          </m:num>
          <m:den>
            <m:r>
              <w:rPr>
                <w:rFonts w:ascii="Cambria Math" w:hAnsi="Times New Roman" w:cs="Times New Roman"/>
                <w:sz w:val="24"/>
                <w:szCs w:val="24"/>
                <w:vertAlign w:val="superscript"/>
              </w:rPr>
              <m:t>1+</m:t>
            </m:r>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m:t>
                </m:r>
                <m:r>
                  <w:rPr>
                    <w:rFonts w:ascii="Cambria Math" w:hAnsi="Times New Roman" w:cs="Times New Roman"/>
                    <w:sz w:val="24"/>
                    <w:szCs w:val="24"/>
                  </w:rPr>
                  <m:t>2</m:t>
                </m:r>
                <m:r>
                  <w:rPr>
                    <w:rFonts w:ascii="Cambria Math" w:hAnsi="Cambria Math" w:cs="Times New Roman"/>
                    <w:sz w:val="24"/>
                    <w:szCs w:val="24"/>
                  </w:rPr>
                  <m:t>s</m:t>
                </m:r>
              </m:sub>
            </m:sSub>
          </m:den>
        </m:f>
      </m:oMath>
      <w:r w:rsidR="00F01256" w:rsidRPr="00FB63E5">
        <w:rPr>
          <w:rFonts w:ascii="Times New Roman" w:hAnsi="Times New Roman" w:cs="Times New Roman"/>
          <w:sz w:val="24"/>
          <w:szCs w:val="24"/>
          <w:vertAlign w:val="superscript"/>
        </w:rPr>
        <w:tab/>
      </w:r>
      <w:r w:rsidR="00F01256">
        <w:t xml:space="preserve"> </w:t>
      </w:r>
      <w:r w:rsidR="00F01256">
        <w:tab/>
      </w:r>
      <w:r w:rsidR="00F01256">
        <w:tab/>
      </w:r>
      <w:r w:rsidR="00F01256">
        <w:tab/>
      </w:r>
      <w:r w:rsidR="00F01256">
        <w:tab/>
      </w:r>
      <w:r w:rsidR="00F01256">
        <w:tab/>
      </w:r>
      <w:r w:rsidR="00F01256">
        <w:tab/>
      </w:r>
      <w:r w:rsidR="00F01256">
        <w:tab/>
      </w:r>
      <w:r>
        <w:t>(9)</w:t>
      </w:r>
    </w:p>
    <w:p w14:paraId="473C742C" w14:textId="35F9D9FC" w:rsidR="00400227" w:rsidRDefault="00F01256">
      <w:pPr>
        <w:spacing w:after="80"/>
        <w:ind w:left="720"/>
      </w:pPr>
      <w:r w:rsidRPr="00FB63E5">
        <w:rPr>
          <w:rFonts w:ascii="Times New Roman" w:hAnsi="Times New Roman" w:cs="Times New Roman"/>
          <w:sz w:val="24"/>
          <w:szCs w:val="24"/>
        </w:rPr>
        <w:lastRenderedPageBreak/>
        <w:t xml:space="preserve">Q(s) = </w:t>
      </w:r>
      <w:bookmarkStart w:id="4" w:name="_Hlk225100391"/>
      <m:oMath>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o</m:t>
            </m:r>
          </m:sub>
        </m:sSub>
        <w:bookmarkEnd w:id="4"/>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Cambria Math" w:cs="Times New Roman"/>
                    <w:sz w:val="24"/>
                    <w:szCs w:val="24"/>
                  </w:rPr>
                  <m:t>V</m:t>
                </m:r>
              </m:num>
              <m:den>
                <m:sSub>
                  <m:sSubPr>
                    <m:ctrlPr>
                      <w:rPr>
                        <w:rFonts w:ascii="Cambria Math" w:hAnsi="Times New Roman"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o</m:t>
                    </m:r>
                  </m:sub>
                </m:sSub>
              </m:den>
            </m:f>
          </m:e>
        </m:d>
        <w:bookmarkStart w:id="5" w:name="_Hlk225100158"/>
        <m:sSub>
          <m:sSubPr>
            <m:ctrlPr>
              <w:rPr>
                <w:rFonts w:ascii="Cambria Math" w:hAnsi="Times New Roman" w:cs="Times New Roman"/>
                <w:i/>
                <w:sz w:val="24"/>
                <w:szCs w:val="24"/>
                <w:vertAlign w:val="superscript"/>
              </w:rPr>
            </m:ctrlPr>
          </m:sSubPr>
          <m:e>
            <m:r>
              <w:rPr>
                <w:rFonts w:ascii="Cambria Math" w:hAnsi="Cambria Math" w:cs="Times New Roman"/>
                <w:sz w:val="24"/>
                <w:szCs w:val="24"/>
                <w:vertAlign w:val="superscript"/>
              </w:rPr>
              <m:t>n</m:t>
            </m:r>
          </m:e>
          <m:sub>
            <m:r>
              <w:rPr>
                <w:rFonts w:ascii="Cambria Math" w:hAnsi="Cambria Math" w:cs="Times New Roman"/>
                <w:sz w:val="24"/>
                <w:szCs w:val="24"/>
                <w:vertAlign w:val="superscript"/>
              </w:rPr>
              <m:t>q</m:t>
            </m:r>
          </m:sub>
        </m:sSub>
        <w:bookmarkEnd w:id="5"/>
        <m:f>
          <m:fPr>
            <m:ctrlPr>
              <w:rPr>
                <w:rFonts w:ascii="Cambria Math" w:hAnsi="Times New Roman" w:cs="Times New Roman"/>
                <w:i/>
                <w:sz w:val="24"/>
                <w:szCs w:val="24"/>
                <w:vertAlign w:val="superscript"/>
              </w:rPr>
            </m:ctrlPr>
          </m:fPr>
          <m:num>
            <m:r>
              <w:rPr>
                <w:rFonts w:ascii="Cambria Math" w:hAnsi="Times New Roman" w:cs="Times New Roman"/>
                <w:sz w:val="24"/>
                <w:szCs w:val="24"/>
                <w:vertAlign w:val="superscript"/>
              </w:rPr>
              <m:t>1+</m:t>
            </m:r>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q</m:t>
                </m:r>
                <m:r>
                  <w:rPr>
                    <w:rFonts w:ascii="Cambria Math" w:hAnsi="Times New Roman" w:cs="Times New Roman"/>
                    <w:sz w:val="24"/>
                    <w:szCs w:val="24"/>
                  </w:rPr>
                  <m:t>1</m:t>
                </m:r>
                <m:r>
                  <w:rPr>
                    <w:rFonts w:ascii="Cambria Math" w:hAnsi="Cambria Math" w:cs="Times New Roman"/>
                    <w:sz w:val="24"/>
                    <w:szCs w:val="24"/>
                  </w:rPr>
                  <m:t>s</m:t>
                </m:r>
              </m:sub>
            </m:sSub>
          </m:num>
          <m:den>
            <m:r>
              <w:rPr>
                <w:rFonts w:ascii="Cambria Math" w:hAnsi="Times New Roman" w:cs="Times New Roman"/>
                <w:sz w:val="24"/>
                <w:szCs w:val="24"/>
                <w:vertAlign w:val="superscript"/>
              </w:rPr>
              <m:t>1+</m:t>
            </m:r>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q</m:t>
                </m:r>
                <m:r>
                  <w:rPr>
                    <w:rFonts w:ascii="Cambria Math" w:hAnsi="Times New Roman" w:cs="Times New Roman"/>
                    <w:sz w:val="24"/>
                    <w:szCs w:val="24"/>
                  </w:rPr>
                  <m:t>2</m:t>
                </m:r>
                <m:r>
                  <w:rPr>
                    <w:rFonts w:ascii="Cambria Math" w:hAnsi="Cambria Math" w:cs="Times New Roman"/>
                    <w:sz w:val="24"/>
                    <w:szCs w:val="24"/>
                  </w:rPr>
                  <m:t>s</m:t>
                </m:r>
              </m:sub>
            </m:sSub>
          </m:den>
        </m:f>
      </m:oMath>
      <w:r>
        <w:t xml:space="preserve"> </w:t>
      </w:r>
      <w:r>
        <w:tab/>
      </w:r>
      <w:r>
        <w:tab/>
      </w:r>
      <w:r>
        <w:tab/>
      </w:r>
      <w:r>
        <w:tab/>
      </w:r>
      <w:r>
        <w:tab/>
      </w:r>
      <w:r>
        <w:tab/>
      </w:r>
      <w:r>
        <w:tab/>
        <w:t>(10)</w:t>
      </w:r>
    </w:p>
    <w:p w14:paraId="75418603" w14:textId="2048CD9F" w:rsidR="00400227" w:rsidRDefault="007E4A27">
      <w:pPr>
        <w:spacing w:after="120" w:line="276" w:lineRule="auto"/>
        <w:jc w:val="both"/>
      </w:pPr>
      <w:r>
        <w:t xml:space="preserve">where V₀ is the initial positive-sequence voltage, </w:t>
      </w:r>
      <m:oMath>
        <m:sSub>
          <m:sSubPr>
            <m:ctrlPr>
              <w:rPr>
                <w:rFonts w:ascii="Cambria Math" w:hAnsi="Cambria Math"/>
                <w:i/>
              </w:rPr>
            </m:ctrlPr>
          </m:sSubPr>
          <m:e>
            <m:r>
              <w:rPr>
                <w:rFonts w:ascii="Cambria Math" w:hAnsi="Cambria Math"/>
              </w:rPr>
              <m:t>P</m:t>
            </m:r>
          </m:e>
          <m:sub>
            <m:r>
              <w:rPr>
                <w:rFonts w:ascii="Cambria Math" w:hAnsi="Cambria Math"/>
              </w:rPr>
              <m:t>o</m:t>
            </m:r>
          </m:sub>
        </m:sSub>
      </m:oMath>
      <w:r w:rsidR="00F01256">
        <w:t xml:space="preserve"> </w:t>
      </w:r>
      <w:r>
        <w:t xml:space="preserve">and  </w:t>
      </w:r>
      <m:oMath>
        <m:sSub>
          <m:sSubPr>
            <m:ctrlPr>
              <w:rPr>
                <w:rFonts w:ascii="Cambria Math" w:hAnsi="Cambria Math"/>
                <w:i/>
              </w:rPr>
            </m:ctrlPr>
          </m:sSubPr>
          <m:e>
            <m:r>
              <w:rPr>
                <w:rFonts w:ascii="Cambria Math" w:hAnsi="Cambria Math"/>
              </w:rPr>
              <m:t>Q</m:t>
            </m:r>
          </m:e>
          <m:sub>
            <m:r>
              <w:rPr>
                <w:rFonts w:ascii="Cambria Math" w:hAnsi="Cambria Math"/>
              </w:rPr>
              <m:t>o</m:t>
            </m:r>
          </m:sub>
        </m:sSub>
      </m:oMath>
      <w:r w:rsidR="003B1F2E">
        <w:t xml:space="preserve"> </w:t>
      </w:r>
      <w:r>
        <w:t>are the initial powers, and</w:t>
      </w:r>
      <m:oMath>
        <m:r>
          <w:rPr>
            <w:rFonts w:ascii="Cambria Math" w:hAnsi="Cambria Math"/>
          </w:rPr>
          <m:t xml:space="preserve"> </m:t>
        </m:r>
        <m:sSub>
          <m:sSubPr>
            <m:ctrlPr>
              <w:rPr>
                <w:rFonts w:ascii="Cambria Math" w:hAnsi="Cambria Math"/>
                <w:i/>
                <w:vertAlign w:val="superscript"/>
              </w:rPr>
            </m:ctrlPr>
          </m:sSubPr>
          <m:e>
            <m:r>
              <w:rPr>
                <w:rFonts w:ascii="Cambria Math" w:hAnsi="Cambria Math"/>
                <w:vertAlign w:val="superscript"/>
              </w:rPr>
              <m:t>n</m:t>
            </m:r>
          </m:e>
          <m:sub>
            <m:r>
              <w:rPr>
                <w:rFonts w:ascii="Cambria Math" w:hAnsi="Cambria Math"/>
                <w:vertAlign w:val="superscript"/>
              </w:rPr>
              <m:t>p</m:t>
            </m:r>
          </m:sub>
        </m:sSub>
      </m:oMath>
      <w:r>
        <w:t xml:space="preserve">, </w:t>
      </w:r>
      <m:oMath>
        <m:sSub>
          <m:sSubPr>
            <m:ctrlPr>
              <w:rPr>
                <w:rFonts w:ascii="Cambria Math" w:hAnsi="Cambria Math"/>
                <w:i/>
                <w:vertAlign w:val="superscript"/>
              </w:rPr>
            </m:ctrlPr>
          </m:sSubPr>
          <m:e>
            <m:r>
              <w:rPr>
                <w:rFonts w:ascii="Cambria Math" w:hAnsi="Cambria Math"/>
                <w:vertAlign w:val="superscript"/>
              </w:rPr>
              <m:t>n</m:t>
            </m:r>
          </m:e>
          <m:sub>
            <m:r>
              <w:rPr>
                <w:rFonts w:ascii="Cambria Math" w:hAnsi="Cambria Math"/>
                <w:vertAlign w:val="superscript"/>
              </w:rPr>
              <m:t>q</m:t>
            </m:r>
          </m:sub>
        </m:sSub>
      </m:oMath>
      <w:r>
        <w:t xml:space="preserve"> are voltage-dependency exponents typically between 1 and 3. This formulation accurately replicates the dynamic load behaviour of pumps, motors, and lighting systems present in the CRSWB network.</w:t>
      </w:r>
    </w:p>
    <w:p w14:paraId="6DBF0C9C" w14:textId="77777777" w:rsidR="00400227" w:rsidRDefault="007E4A27">
      <w:pPr>
        <w:spacing w:before="180" w:after="80"/>
      </w:pPr>
      <w:r>
        <w:rPr>
          <w:b/>
          <w:bCs/>
          <w:sz w:val="22"/>
          <w:szCs w:val="22"/>
        </w:rPr>
        <w:t>2.9 System-Level Power Flow Formulation</w:t>
      </w:r>
    </w:p>
    <w:p w14:paraId="5553AFB0" w14:textId="77777777" w:rsidR="00400227" w:rsidRDefault="007E4A27">
      <w:pPr>
        <w:spacing w:after="120" w:line="276" w:lineRule="auto"/>
        <w:jc w:val="both"/>
      </w:pPr>
      <w:r>
        <w:t>The complete distributed power system is formulated as a multi-phase power flow problem. The total current injection at each network bus j is expressed as:</w:t>
      </w:r>
    </w:p>
    <w:p w14:paraId="0687C5E3" w14:textId="53B84E69" w:rsidR="00400227" w:rsidRDefault="00000000">
      <w:pPr>
        <w:spacing w:after="80"/>
        <w:ind w:left="720"/>
      </w:pPr>
      <m:oMath>
        <m:sSub>
          <m:sSubPr>
            <m:ctrlPr>
              <w:rPr>
                <w:rFonts w:ascii="Cambria Math" w:hAnsi="Times New Roman" w:cs="Times New Roman"/>
                <w:bCs/>
                <w:i/>
                <w:sz w:val="24"/>
                <w:szCs w:val="24"/>
              </w:rPr>
            </m:ctrlPr>
          </m:sSubPr>
          <m:e>
            <m:r>
              <w:rPr>
                <w:rFonts w:ascii="Cambria Math" w:hAnsi="Cambria Math" w:cs="Times New Roman"/>
                <w:sz w:val="24"/>
                <w:szCs w:val="24"/>
              </w:rPr>
              <m:t>I</m:t>
            </m:r>
          </m:e>
          <m:sub>
            <m:r>
              <w:rPr>
                <w:rFonts w:ascii="Cambria Math" w:hAnsi="Cambria Math" w:cs="Times New Roman"/>
                <w:sz w:val="24"/>
                <w:szCs w:val="24"/>
              </w:rPr>
              <m:t>i</m:t>
            </m:r>
            <m:r>
              <w:rPr>
                <w:rFonts w:ascii="Cambria Math" w:hAnsi="Times New Roman" w:cs="Times New Roman"/>
                <w:sz w:val="24"/>
                <w:szCs w:val="24"/>
              </w:rPr>
              <m:t xml:space="preserve"> </m:t>
            </m:r>
          </m:sub>
        </m:sSub>
        <m:d>
          <m:dPr>
            <m:ctrlPr>
              <w:rPr>
                <w:rFonts w:ascii="Cambria Math" w:eastAsia="Times New Roman" w:hAnsi="Times New Roman" w:cs="Times New Roman"/>
                <w:bCs/>
                <w:i/>
                <w:sz w:val="24"/>
                <w:szCs w:val="24"/>
              </w:rPr>
            </m:ctrlPr>
          </m:dPr>
          <m:e>
            <m:sSup>
              <m:sSupPr>
                <m:ctrlPr>
                  <w:rPr>
                    <w:rFonts w:ascii="Cambria Math" w:eastAsia="Times New Roman" w:hAnsi="Times New Roman" w:cs="Times New Roman"/>
                    <w:bCs/>
                    <w:i/>
                    <w:sz w:val="24"/>
                    <w:szCs w:val="24"/>
                  </w:rPr>
                </m:ctrlPr>
              </m:sSupPr>
              <m:e>
                <m:r>
                  <w:rPr>
                    <w:rFonts w:ascii="Cambria Math" w:eastAsia="Times New Roman" w:hAnsi="Cambria Math" w:cs="Times New Roman"/>
                    <w:sz w:val="24"/>
                    <w:szCs w:val="24"/>
                  </w:rPr>
                  <m:t>V</m:t>
                </m:r>
              </m:e>
              <m:sup>
                <m:r>
                  <w:rPr>
                    <w:rFonts w:ascii="Cambria Math" w:eastAsia="Times New Roman" w:hAnsi="Times New Roman" w:cs="Times New Roman"/>
                    <w:sz w:val="24"/>
                    <w:szCs w:val="24"/>
                  </w:rPr>
                  <m:t>(</m:t>
                </m:r>
                <m:r>
                  <w:rPr>
                    <w:rFonts w:ascii="Cambria Math" w:eastAsia="Times New Roman" w:hAnsi="Cambria Math" w:cs="Times New Roman"/>
                    <w:sz w:val="24"/>
                    <w:szCs w:val="24"/>
                  </w:rPr>
                  <m:t>k</m:t>
                </m:r>
                <m:r>
                  <w:rPr>
                    <w:rFonts w:ascii="Cambria Math" w:eastAsia="Times New Roman" w:hAnsi="Times New Roman" w:cs="Times New Roman"/>
                    <w:sz w:val="24"/>
                    <w:szCs w:val="24"/>
                  </w:rPr>
                  <m:t>)</m:t>
                </m:r>
              </m:sup>
            </m:sSup>
          </m:e>
        </m:d>
      </m:oMath>
      <w:r w:rsidR="003B1F2E" w:rsidRPr="003B1F2E">
        <w:rPr>
          <w:rFonts w:ascii="Times New Roman" w:eastAsia="Times New Roman" w:hAnsi="Times New Roman" w:cs="Times New Roman"/>
          <w:bCs/>
          <w:sz w:val="24"/>
          <w:szCs w:val="24"/>
        </w:rPr>
        <w:t xml:space="preserve"> = </w:t>
      </w:r>
      <w:bookmarkStart w:id="6" w:name="_Hlk225100810"/>
      <m:oMath>
        <m:sSubSup>
          <m:sSubSupPr>
            <m:ctrlPr>
              <w:rPr>
                <w:rFonts w:ascii="Cambria Math" w:eastAsia="Times New Roman" w:hAnsi="Times New Roman" w:cs="Times New Roman"/>
                <w:bCs/>
                <w:i/>
                <w:sz w:val="24"/>
                <w:szCs w:val="24"/>
              </w:rPr>
            </m:ctrlPr>
          </m:sSubSupPr>
          <m:e>
            <m:r>
              <w:rPr>
                <w:rFonts w:ascii="Cambria Math" w:eastAsia="Times New Roman" w:hAnsi="Cambria Math" w:cs="Times New Roman"/>
                <w:sz w:val="24"/>
                <w:szCs w:val="24"/>
              </w:rPr>
              <m:t>I</m:t>
            </m:r>
          </m:e>
          <m:sub>
            <m:r>
              <w:rPr>
                <w:rFonts w:ascii="Cambria Math" w:eastAsia="Times New Roman" w:hAnsi="Cambria Math" w:cs="Times New Roman"/>
                <w:sz w:val="24"/>
                <w:szCs w:val="24"/>
              </w:rPr>
              <m:t>j</m:t>
            </m:r>
          </m:sub>
          <m:sup>
            <m:r>
              <w:rPr>
                <w:rFonts w:ascii="Cambria Math" w:eastAsia="Times New Roman" w:hAnsi="Cambria Math" w:cs="Times New Roman"/>
                <w:sz w:val="24"/>
                <w:szCs w:val="24"/>
              </w:rPr>
              <m:t>G</m:t>
            </m:r>
          </m:sup>
        </m:sSubSup>
        <w:bookmarkEnd w:id="6"/>
        <m:d>
          <m:dPr>
            <m:ctrlPr>
              <w:rPr>
                <w:rFonts w:ascii="Cambria Math" w:eastAsia="Times New Roman" w:hAnsi="Times New Roman" w:cs="Times New Roman"/>
                <w:bCs/>
                <w:i/>
                <w:sz w:val="24"/>
                <w:szCs w:val="24"/>
              </w:rPr>
            </m:ctrlPr>
          </m:dPr>
          <m:e>
            <m:sSup>
              <m:sSupPr>
                <m:ctrlPr>
                  <w:rPr>
                    <w:rFonts w:ascii="Cambria Math" w:eastAsia="Times New Roman" w:hAnsi="Times New Roman" w:cs="Times New Roman"/>
                    <w:bCs/>
                    <w:i/>
                    <w:sz w:val="24"/>
                    <w:szCs w:val="24"/>
                  </w:rPr>
                </m:ctrlPr>
              </m:sSupPr>
              <m:e>
                <m:r>
                  <w:rPr>
                    <w:rFonts w:ascii="Cambria Math" w:eastAsia="Times New Roman" w:hAnsi="Cambria Math" w:cs="Times New Roman"/>
                    <w:sz w:val="24"/>
                    <w:szCs w:val="24"/>
                  </w:rPr>
                  <m:t>V</m:t>
                </m:r>
              </m:e>
              <m:sup>
                <m:r>
                  <w:rPr>
                    <w:rFonts w:ascii="Cambria Math" w:eastAsia="Times New Roman" w:hAnsi="Times New Roman" w:cs="Times New Roman"/>
                    <w:sz w:val="24"/>
                    <w:szCs w:val="24"/>
                  </w:rPr>
                  <m:t>(</m:t>
                </m:r>
                <m:r>
                  <w:rPr>
                    <w:rFonts w:ascii="Cambria Math" w:eastAsia="Times New Roman" w:hAnsi="Cambria Math" w:cs="Times New Roman"/>
                    <w:sz w:val="24"/>
                    <w:szCs w:val="24"/>
                  </w:rPr>
                  <m:t>k</m:t>
                </m:r>
                <m:r>
                  <w:rPr>
                    <w:rFonts w:ascii="Cambria Math" w:eastAsia="Times New Roman" w:hAnsi="Times New Roman" w:cs="Times New Roman"/>
                    <w:sz w:val="24"/>
                    <w:szCs w:val="24"/>
                  </w:rPr>
                  <m:t>)</m:t>
                </m:r>
              </m:sup>
            </m:sSup>
          </m:e>
        </m:d>
      </m:oMath>
      <w:r w:rsidR="003B1F2E" w:rsidRPr="003B1F2E">
        <w:rPr>
          <w:rFonts w:ascii="Times New Roman" w:eastAsia="Times New Roman" w:hAnsi="Times New Roman" w:cs="Times New Roman"/>
          <w:bCs/>
          <w:sz w:val="24"/>
          <w:szCs w:val="24"/>
        </w:rPr>
        <w:t xml:space="preserve"> + </w:t>
      </w:r>
      <w:bookmarkStart w:id="7" w:name="_Hlk225100769"/>
      <m:oMath>
        <m:sSubSup>
          <m:sSubSupPr>
            <m:ctrlPr>
              <w:rPr>
                <w:rFonts w:ascii="Cambria Math" w:eastAsia="Times New Roman" w:hAnsi="Times New Roman" w:cs="Times New Roman"/>
                <w:bCs/>
                <w:i/>
                <w:sz w:val="24"/>
                <w:szCs w:val="24"/>
              </w:rPr>
            </m:ctrlPr>
          </m:sSubSupPr>
          <m:e>
            <m:r>
              <w:rPr>
                <w:rFonts w:ascii="Cambria Math" w:eastAsia="Times New Roman" w:hAnsi="Cambria Math" w:cs="Times New Roman"/>
                <w:sz w:val="24"/>
                <w:szCs w:val="24"/>
              </w:rPr>
              <m:t>I</m:t>
            </m:r>
          </m:e>
          <m:sub>
            <m:r>
              <w:rPr>
                <w:rFonts w:ascii="Cambria Math" w:eastAsia="Times New Roman" w:hAnsi="Cambria Math" w:cs="Times New Roman"/>
                <w:sz w:val="24"/>
                <w:szCs w:val="24"/>
              </w:rPr>
              <m:t>j</m:t>
            </m:r>
          </m:sub>
          <m:sup>
            <m:r>
              <w:rPr>
                <w:rFonts w:ascii="Cambria Math" w:eastAsia="Times New Roman" w:hAnsi="Cambria Math" w:cs="Times New Roman"/>
                <w:sz w:val="24"/>
                <w:szCs w:val="24"/>
              </w:rPr>
              <m:t>DG</m:t>
            </m:r>
          </m:sup>
        </m:sSubSup>
        <w:bookmarkEnd w:id="7"/>
        <m:d>
          <m:dPr>
            <m:ctrlPr>
              <w:rPr>
                <w:rFonts w:ascii="Cambria Math" w:eastAsia="Times New Roman" w:hAnsi="Times New Roman" w:cs="Times New Roman"/>
                <w:bCs/>
                <w:i/>
                <w:sz w:val="24"/>
                <w:szCs w:val="24"/>
              </w:rPr>
            </m:ctrlPr>
          </m:dPr>
          <m:e>
            <m:sSup>
              <m:sSupPr>
                <m:ctrlPr>
                  <w:rPr>
                    <w:rFonts w:ascii="Cambria Math" w:eastAsia="Times New Roman" w:hAnsi="Times New Roman" w:cs="Times New Roman"/>
                    <w:bCs/>
                    <w:i/>
                    <w:sz w:val="24"/>
                    <w:szCs w:val="24"/>
                  </w:rPr>
                </m:ctrlPr>
              </m:sSupPr>
              <m:e>
                <m:r>
                  <w:rPr>
                    <w:rFonts w:ascii="Cambria Math" w:eastAsia="Times New Roman" w:hAnsi="Cambria Math" w:cs="Times New Roman"/>
                    <w:sz w:val="24"/>
                    <w:szCs w:val="24"/>
                  </w:rPr>
                  <m:t>V</m:t>
                </m:r>
              </m:e>
              <m:sup>
                <m:d>
                  <m:dPr>
                    <m:ctrlPr>
                      <w:rPr>
                        <w:rFonts w:ascii="Cambria Math" w:eastAsia="Times New Roman" w:hAnsi="Times New Roman" w:cs="Times New Roman"/>
                        <w:bCs/>
                        <w:i/>
                        <w:sz w:val="24"/>
                        <w:szCs w:val="24"/>
                      </w:rPr>
                    </m:ctrlPr>
                  </m:dPr>
                  <m:e>
                    <m:r>
                      <w:rPr>
                        <w:rFonts w:ascii="Cambria Math" w:eastAsia="Times New Roman" w:hAnsi="Cambria Math" w:cs="Times New Roman"/>
                        <w:sz w:val="24"/>
                        <w:szCs w:val="24"/>
                      </w:rPr>
                      <m:t>k</m:t>
                    </m:r>
                  </m:e>
                </m:d>
              </m:sup>
            </m:sSup>
          </m:e>
        </m:d>
      </m:oMath>
      <w:r w:rsidR="003B1F2E" w:rsidRPr="003B1F2E">
        <w:rPr>
          <w:rFonts w:ascii="Times New Roman" w:eastAsia="Times New Roman" w:hAnsi="Times New Roman" w:cs="Times New Roman"/>
          <w:bCs/>
          <w:sz w:val="24"/>
          <w:szCs w:val="24"/>
        </w:rPr>
        <w:t xml:space="preserve"> + </w:t>
      </w:r>
      <w:bookmarkStart w:id="8" w:name="_Hlk225100695"/>
      <m:oMath>
        <m:sSubSup>
          <m:sSubSupPr>
            <m:ctrlPr>
              <w:rPr>
                <w:rFonts w:ascii="Cambria Math" w:eastAsia="Times New Roman" w:hAnsi="Times New Roman" w:cs="Times New Roman"/>
                <w:bCs/>
                <w:i/>
                <w:sz w:val="24"/>
                <w:szCs w:val="24"/>
              </w:rPr>
            </m:ctrlPr>
          </m:sSubSupPr>
          <m:e>
            <m:r>
              <w:rPr>
                <w:rFonts w:ascii="Cambria Math" w:eastAsia="Times New Roman" w:hAnsi="Cambria Math" w:cs="Times New Roman"/>
                <w:sz w:val="24"/>
                <w:szCs w:val="24"/>
              </w:rPr>
              <m:t>I</m:t>
            </m:r>
          </m:e>
          <m:sub>
            <m:r>
              <w:rPr>
                <w:rFonts w:ascii="Cambria Math" w:eastAsia="Times New Roman" w:hAnsi="Cambria Math" w:cs="Times New Roman"/>
                <w:sz w:val="24"/>
                <w:szCs w:val="24"/>
              </w:rPr>
              <m:t>j</m:t>
            </m:r>
            <m:r>
              <w:rPr>
                <w:rFonts w:ascii="Cambria Math" w:eastAsia="Times New Roman" w:hAnsi="Times New Roman" w:cs="Times New Roman"/>
                <w:sz w:val="24"/>
                <w:szCs w:val="24"/>
              </w:rPr>
              <m:t xml:space="preserve"> </m:t>
            </m:r>
          </m:sub>
          <m:sup>
            <m:r>
              <w:rPr>
                <w:rFonts w:ascii="Cambria Math" w:eastAsia="Times New Roman" w:hAnsi="Cambria Math" w:cs="Times New Roman"/>
                <w:sz w:val="24"/>
                <w:szCs w:val="24"/>
              </w:rPr>
              <m:t>L</m:t>
            </m:r>
          </m:sup>
        </m:sSubSup>
        <w:bookmarkEnd w:id="8"/>
        <m:sSup>
          <m:sSupPr>
            <m:ctrlPr>
              <w:rPr>
                <w:rFonts w:ascii="Cambria Math" w:eastAsia="Times New Roman" w:hAnsi="Times New Roman" w:cs="Times New Roman"/>
                <w:bCs/>
                <w:i/>
                <w:sz w:val="24"/>
                <w:szCs w:val="24"/>
              </w:rPr>
            </m:ctrlPr>
          </m:sSupPr>
          <m:e>
            <m:r>
              <w:rPr>
                <w:rFonts w:ascii="Cambria Math" w:eastAsia="Times New Roman" w:hAnsi="Cambria Math" w:cs="Times New Roman"/>
                <w:sz w:val="24"/>
                <w:szCs w:val="24"/>
              </w:rPr>
              <m:t>V</m:t>
            </m:r>
          </m:e>
          <m:sup>
            <m:r>
              <w:rPr>
                <w:rFonts w:ascii="Cambria Math" w:eastAsia="Times New Roman" w:hAnsi="Times New Roman" w:cs="Times New Roman"/>
                <w:sz w:val="24"/>
                <w:szCs w:val="24"/>
              </w:rPr>
              <m:t>(</m:t>
            </m:r>
            <m:r>
              <w:rPr>
                <w:rFonts w:ascii="Cambria Math" w:eastAsia="Times New Roman" w:hAnsi="Cambria Math" w:cs="Times New Roman"/>
                <w:sz w:val="24"/>
                <w:szCs w:val="24"/>
              </w:rPr>
              <m:t>k</m:t>
            </m:r>
            <m:r>
              <w:rPr>
                <w:rFonts w:ascii="Cambria Math" w:eastAsia="Times New Roman" w:hAnsi="Times New Roman" w:cs="Times New Roman"/>
                <w:sz w:val="24"/>
                <w:szCs w:val="24"/>
              </w:rPr>
              <m:t>)</m:t>
            </m:r>
          </m:sup>
        </m:sSup>
      </m:oMath>
      <w:r w:rsidR="003B1F2E">
        <w:t xml:space="preserve"> </w:t>
      </w:r>
      <w:r w:rsidR="003B1F2E">
        <w:tab/>
      </w:r>
      <w:r w:rsidR="003B1F2E">
        <w:tab/>
      </w:r>
      <w:r w:rsidR="003B1F2E">
        <w:tab/>
      </w:r>
      <w:r w:rsidR="003B1F2E">
        <w:tab/>
      </w:r>
      <w:r w:rsidR="003B1F2E">
        <w:tab/>
        <w:t>(11)</w:t>
      </w:r>
    </w:p>
    <w:p w14:paraId="21BF4BDD" w14:textId="632322B4" w:rsidR="00400227" w:rsidRDefault="007E4A27">
      <w:pPr>
        <w:spacing w:after="120" w:line="276" w:lineRule="auto"/>
        <w:jc w:val="both"/>
      </w:pPr>
      <w:r>
        <w:t xml:space="preserve">where </w:t>
      </w:r>
      <m:oMath>
        <m:sSubSup>
          <m:sSubSupPr>
            <m:ctrlPr>
              <w:rPr>
                <w:rFonts w:ascii="Cambria Math" w:hAnsi="Cambria Math"/>
                <w:bCs/>
                <w:i/>
              </w:rPr>
            </m:ctrlPr>
          </m:sSubSupPr>
          <m:e>
            <m:r>
              <w:rPr>
                <w:rFonts w:ascii="Cambria Math" w:hAnsi="Cambria Math"/>
              </w:rPr>
              <m:t>I</m:t>
            </m:r>
          </m:e>
          <m:sub>
            <m:r>
              <w:rPr>
                <w:rFonts w:ascii="Cambria Math" w:hAnsi="Cambria Math"/>
              </w:rPr>
              <m:t>j</m:t>
            </m:r>
          </m:sub>
          <m:sup>
            <m:r>
              <w:rPr>
                <w:rFonts w:ascii="Cambria Math" w:hAnsi="Cambria Math"/>
              </w:rPr>
              <m:t>G</m:t>
            </m:r>
          </m:sup>
        </m:sSubSup>
      </m:oMath>
      <w:r>
        <w:t xml:space="preserve">, </w:t>
      </w:r>
      <m:oMath>
        <m:sSubSup>
          <m:sSubSupPr>
            <m:ctrlPr>
              <w:rPr>
                <w:rFonts w:ascii="Cambria Math" w:hAnsi="Cambria Math"/>
                <w:bCs/>
                <w:i/>
              </w:rPr>
            </m:ctrlPr>
          </m:sSubSupPr>
          <m:e>
            <m:r>
              <w:rPr>
                <w:rFonts w:ascii="Cambria Math" w:hAnsi="Cambria Math"/>
              </w:rPr>
              <m:t>I</m:t>
            </m:r>
          </m:e>
          <m:sub>
            <m:r>
              <w:rPr>
                <w:rFonts w:ascii="Cambria Math" w:hAnsi="Cambria Math"/>
              </w:rPr>
              <m:t>j</m:t>
            </m:r>
          </m:sub>
          <m:sup>
            <m:r>
              <w:rPr>
                <w:rFonts w:ascii="Cambria Math" w:hAnsi="Cambria Math"/>
              </w:rPr>
              <m:t>DG</m:t>
            </m:r>
          </m:sup>
        </m:sSubSup>
      </m:oMath>
      <w:r>
        <w:t>, and</w:t>
      </w:r>
      <w:r w:rsidR="003B1F2E">
        <w:t xml:space="preserve"> </w:t>
      </w:r>
      <m:oMath>
        <m:sSubSup>
          <m:sSubSupPr>
            <m:ctrlPr>
              <w:rPr>
                <w:rFonts w:ascii="Cambria Math" w:hAnsi="Cambria Math"/>
                <w:bCs/>
                <w:i/>
              </w:rPr>
            </m:ctrlPr>
          </m:sSubSupPr>
          <m:e>
            <m:r>
              <w:rPr>
                <w:rFonts w:ascii="Cambria Math" w:hAnsi="Cambria Math"/>
              </w:rPr>
              <m:t>I</m:t>
            </m:r>
          </m:e>
          <m:sub>
            <m:r>
              <w:rPr>
                <w:rFonts w:ascii="Cambria Math" w:hAnsi="Cambria Math"/>
              </w:rPr>
              <m:t xml:space="preserve">j </m:t>
            </m:r>
          </m:sub>
          <m:sup>
            <m:r>
              <w:rPr>
                <w:rFonts w:ascii="Cambria Math" w:hAnsi="Cambria Math"/>
              </w:rPr>
              <m:t>L</m:t>
            </m:r>
          </m:sup>
        </m:sSubSup>
      </m:oMath>
      <w:r>
        <w:t xml:space="preserve">  represent complex multi-phase current injections from the grid, distributed generation, and load, respectively. The system admittance matrix and iterative power flow solution are computed at each simulation time step, enabling accurate dynamic tracking of bus voltages and power flows under varying load and generation conditions.</w:t>
      </w:r>
    </w:p>
    <w:p w14:paraId="42CE322E" w14:textId="77777777" w:rsidR="00400227" w:rsidRDefault="007E4A27">
      <w:pPr>
        <w:spacing w:before="240" w:after="120"/>
      </w:pPr>
      <w:r>
        <w:rPr>
          <w:b/>
          <w:bCs/>
          <w:sz w:val="22"/>
          <w:szCs w:val="22"/>
        </w:rPr>
        <w:t>3. RESULTS AND DISCUSSION</w:t>
      </w:r>
    </w:p>
    <w:p w14:paraId="7B67E0D4" w14:textId="77777777" w:rsidR="00400227" w:rsidRDefault="007E4A27">
      <w:pPr>
        <w:spacing w:before="180" w:after="80"/>
      </w:pPr>
      <w:r>
        <w:rPr>
          <w:b/>
          <w:bCs/>
          <w:sz w:val="22"/>
          <w:szCs w:val="22"/>
        </w:rPr>
        <w:t>3.1 Seasonal Turbidity, Energy Demand, and Load Variability</w:t>
      </w:r>
    </w:p>
    <w:p w14:paraId="5B292837" w14:textId="0364D9BC" w:rsidR="00400227" w:rsidRDefault="007E4A27">
      <w:pPr>
        <w:spacing w:after="120" w:line="276" w:lineRule="auto"/>
        <w:jc w:val="both"/>
      </w:pPr>
      <w:r>
        <w:t>Table 1 (Section 2.2) confirms a pronounced bimodal seasonal pattern in raw water turbidity at the CRSWB facility. Dry-season average turbidity, computed across the five dry months (January, February, March, November, December), was 104 NTU, while rainy-season average turbidity across the seven rainy months (April–October) was 25 NTU</w:t>
      </w:r>
      <w:r w:rsidR="00AA7973">
        <w:t xml:space="preserve">, </w:t>
      </w:r>
      <w:r>
        <w:t xml:space="preserve">a 4.2-fold differential. This contrast directly modulates treatment intensity: high turbidity requires more frequent filter backwashing, higher chemical dosing rates, and extended coagulation and flocculation cycles, all of which are energy-intensive operations </w:t>
      </w:r>
      <w:r w:rsidR="000D5445">
        <w:t>(Quintana and Sowby, 2025; Magni et al., 2025).</w:t>
      </w:r>
    </w:p>
    <w:p w14:paraId="54F8A1EB" w14:textId="37764D59" w:rsidR="00400227" w:rsidRDefault="007E4A27">
      <w:pPr>
        <w:spacing w:after="120" w:line="276" w:lineRule="auto"/>
        <w:jc w:val="both"/>
      </w:pPr>
      <w:r>
        <w:t>The daily load profiles derived from facility records reveal a corresponding energy demand differential. Total daily energy consumption during the dry season was 24,542 kW compared to 19,876 kW during the rainy season</w:t>
      </w:r>
      <w:r w:rsidR="00AA7973">
        <w:t xml:space="preserve">, </w:t>
      </w:r>
      <w:r>
        <w:t xml:space="preserve">a difference of 4,666 kW representing a 23.5% increase attributable to elevated turbidity. A two-sample t-test of hourly load distributions yielded t = 5.82, </w:t>
      </w:r>
      <w:r>
        <w:rPr>
          <w:i/>
          <w:iCs/>
        </w:rPr>
        <w:t>P</w:t>
      </w:r>
      <w:r>
        <w:t xml:space="preserve"> &lt; .001, confirming statistical significance. Cohen's d = 1.24 indicates a large effect size, underscoring the practical magnitude of the seasonal variability.</w:t>
      </w:r>
    </w:p>
    <w:p w14:paraId="61688957" w14:textId="3125FB4C" w:rsidR="00400227" w:rsidRDefault="007E4A27">
      <w:pPr>
        <w:spacing w:after="120" w:line="276" w:lineRule="auto"/>
        <w:jc w:val="both"/>
      </w:pPr>
      <w:r>
        <w:t>Load variability, measured by the standard deviation of hourly energy demand, was σ = 142 kW during the dry season and σ = 98 kW during the rainy season</w:t>
      </w:r>
      <w:r w:rsidR="00AA7973">
        <w:t xml:space="preserve">, </w:t>
      </w:r>
      <w:r>
        <w:t xml:space="preserve">a 45% differential. Elevated dry-season variability reflects the stochastic nature of backwashing events, which add transient loads of up to 170 kW to the filter station. The peak-to-average ratio in the dry season was 1.29 (peak 680 kW; mean ~527 kW), compared to approximately 1.0 in the rainy season, indicating that the dry-season network operates under considerably greater stress. These findings are consistent with Plappally and Lienhard (2012), who documented strong correlations between raw water quality degradation and energy intensity in treatment operations. The specific turbidity range encountered at CRSWB (17–194 NTU) falls within the moderate-to-high category where backwashing frequency dominates energy consumption increases, as described by the regression coefficient β₁ derived from equation (1), establishing turbidity management as the primary lever for energy </w:t>
      </w:r>
      <w:r w:rsidR="00AA7973">
        <w:t>optimization</w:t>
      </w:r>
      <w:r>
        <w:t xml:space="preserve"> in this facility type.</w:t>
      </w:r>
    </w:p>
    <w:p w14:paraId="0269A7B3" w14:textId="77777777" w:rsidR="00400227" w:rsidRDefault="007E4A27">
      <w:pPr>
        <w:spacing w:before="180" w:after="80"/>
      </w:pPr>
      <w:r>
        <w:rPr>
          <w:b/>
          <w:bCs/>
          <w:sz w:val="22"/>
          <w:szCs w:val="22"/>
        </w:rPr>
        <w:t>3.2 Neural Network Controller Performance</w:t>
      </w:r>
    </w:p>
    <w:p w14:paraId="2A533061" w14:textId="2E112891" w:rsidR="00400227" w:rsidRDefault="007E4A27">
      <w:pPr>
        <w:spacing w:after="120" w:line="276" w:lineRule="auto"/>
        <w:jc w:val="both"/>
      </w:pPr>
      <w:r>
        <w:t>The neural network controller achieved training, testing, and validation R-values of 0.9919, 0.9916, and 0.9918 respectively, closely approaching the ideal value of 1.0. These results confirm that the Bayesian regularization approach successfully captured the non-linear relationship between time-of-day, energy storage state of charge, and optimal DG output without overfitting. The controller correctly identified the 09:00–18:00 period as the DSG dispatch window and smoothly ramped output between 100 kW and 280 kW in the first half of peak time, tapering symmetrically in the latter half</w:t>
      </w:r>
      <w:r w:rsidR="00AA7973">
        <w:t xml:space="preserve">, </w:t>
      </w:r>
      <w:r>
        <w:t>matching the actual shape of the facility's industrial load profile.</w:t>
      </w:r>
    </w:p>
    <w:p w14:paraId="5473D57A" w14:textId="190C53B8" w:rsidR="00400227" w:rsidRDefault="007E4A27">
      <w:pPr>
        <w:spacing w:after="120" w:line="276" w:lineRule="auto"/>
        <w:jc w:val="both"/>
      </w:pPr>
      <w:r>
        <w:lastRenderedPageBreak/>
        <w:t>The use of real operational data from the CRSWB network, rather than IEEE testbed systems employed in most comparable studies (</w:t>
      </w:r>
      <w:r w:rsidR="000D5445">
        <w:t>Abdel-Rahman et al., 2019; Blaabjerg et al., 2006),</w:t>
      </w:r>
      <w:r>
        <w:t>), is a substantive contribution of this work. The trained model is directly deployable without further calibration for real-time DG dispatch at this facility, and the architecture is transferable to other WTP networks sharing similar load profile characteristics.</w:t>
      </w:r>
    </w:p>
    <w:p w14:paraId="7AD18ACC" w14:textId="77777777" w:rsidR="00400227" w:rsidRDefault="007E4A27">
      <w:pPr>
        <w:spacing w:before="180" w:after="80"/>
      </w:pPr>
      <w:r>
        <w:rPr>
          <w:b/>
          <w:bCs/>
          <w:sz w:val="22"/>
          <w:szCs w:val="22"/>
        </w:rPr>
        <w:t>3.3 Impact of DSG Integration on Energy Demand and Grid Stability</w:t>
      </w:r>
    </w:p>
    <w:p w14:paraId="53C6C060" w14:textId="1DD04869" w:rsidR="00400227" w:rsidRDefault="007E4A27">
      <w:pPr>
        <w:spacing w:after="120" w:line="276" w:lineRule="auto"/>
        <w:jc w:val="both"/>
      </w:pPr>
      <w:r>
        <w:t xml:space="preserve">Table 2 </w:t>
      </w:r>
      <w:r w:rsidR="00AA7973">
        <w:t>summarizes</w:t>
      </w:r>
      <w:r>
        <w:t xml:space="preserve"> the key performance metrics across the three scenarios </w:t>
      </w:r>
      <w:r w:rsidR="00AA7973">
        <w:t>analyzed</w:t>
      </w:r>
      <w:r>
        <w:t>: rainy season (baseline), dry season without DSG, and dry season with neural network-controlled DSG. The comparative analysis demonstrates the substantial benefits of intelligent DSG integration across all dimensions of grid performance.</w:t>
      </w:r>
    </w:p>
    <w:p w14:paraId="0ACEFDEB" w14:textId="77777777" w:rsidR="00400227" w:rsidRDefault="007E4A27">
      <w:pPr>
        <w:spacing w:before="120" w:after="60"/>
      </w:pPr>
      <w:r>
        <w:rPr>
          <w:b/>
          <w:bCs/>
        </w:rPr>
        <w:t>Table 2. Comparative energy performance metrics: rainy season, dry season without DSG, and dry season with neural network-controlled DSG</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20"/>
        <w:gridCol w:w="2520"/>
        <w:gridCol w:w="2520"/>
        <w:gridCol w:w="2520"/>
      </w:tblGrid>
      <w:tr w:rsidR="00400227" w14:paraId="22587CEE" w14:textId="77777777">
        <w:tc>
          <w:tcPr>
            <w:tcW w:w="252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20" w:type="dxa"/>
              <w:bottom w:w="60" w:type="dxa"/>
              <w:right w:w="120" w:type="dxa"/>
            </w:tcMar>
          </w:tcPr>
          <w:p w14:paraId="41EFC815" w14:textId="77777777" w:rsidR="00400227" w:rsidRDefault="007E4A27">
            <w:pPr>
              <w:spacing w:before="40" w:after="40"/>
              <w:jc w:val="center"/>
            </w:pPr>
            <w:r>
              <w:rPr>
                <w:b/>
                <w:bCs/>
              </w:rPr>
              <w:t>Performance Metric</w:t>
            </w:r>
          </w:p>
        </w:tc>
        <w:tc>
          <w:tcPr>
            <w:tcW w:w="252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20" w:type="dxa"/>
              <w:bottom w:w="60" w:type="dxa"/>
              <w:right w:w="120" w:type="dxa"/>
            </w:tcMar>
          </w:tcPr>
          <w:p w14:paraId="26DBB1CF" w14:textId="77777777" w:rsidR="00400227" w:rsidRDefault="007E4A27">
            <w:pPr>
              <w:spacing w:before="40" w:after="40"/>
              <w:jc w:val="center"/>
            </w:pPr>
            <w:r>
              <w:rPr>
                <w:b/>
                <w:bCs/>
              </w:rPr>
              <w:t>Rainy Season</w:t>
            </w:r>
          </w:p>
        </w:tc>
        <w:tc>
          <w:tcPr>
            <w:tcW w:w="252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20" w:type="dxa"/>
              <w:bottom w:w="60" w:type="dxa"/>
              <w:right w:w="120" w:type="dxa"/>
            </w:tcMar>
          </w:tcPr>
          <w:p w14:paraId="5541266B" w14:textId="77777777" w:rsidR="00400227" w:rsidRDefault="007E4A27">
            <w:pPr>
              <w:spacing w:before="40" w:after="40"/>
              <w:jc w:val="center"/>
            </w:pPr>
            <w:r>
              <w:rPr>
                <w:b/>
                <w:bCs/>
              </w:rPr>
              <w:t>Dry Season (No DSG)</w:t>
            </w:r>
          </w:p>
        </w:tc>
        <w:tc>
          <w:tcPr>
            <w:tcW w:w="252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20" w:type="dxa"/>
              <w:bottom w:w="60" w:type="dxa"/>
              <w:right w:w="120" w:type="dxa"/>
            </w:tcMar>
          </w:tcPr>
          <w:p w14:paraId="3F6BB701" w14:textId="77777777" w:rsidR="00400227" w:rsidRDefault="007E4A27">
            <w:pPr>
              <w:spacing w:before="40" w:after="40"/>
              <w:jc w:val="center"/>
            </w:pPr>
            <w:r>
              <w:rPr>
                <w:b/>
                <w:bCs/>
              </w:rPr>
              <w:t>Dry Season (With DSG)</w:t>
            </w:r>
          </w:p>
        </w:tc>
      </w:tr>
      <w:tr w:rsidR="00400227" w14:paraId="164B16DE" w14:textId="77777777">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37BD6897" w14:textId="77777777" w:rsidR="00400227" w:rsidRDefault="007E4A27">
            <w:pPr>
              <w:spacing w:before="40" w:after="40"/>
              <w:jc w:val="center"/>
            </w:pPr>
            <w:r>
              <w:t>Average Turbidity (NTU)</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7862302F" w14:textId="77777777" w:rsidR="00400227" w:rsidRDefault="007E4A27">
            <w:pPr>
              <w:spacing w:before="40" w:after="40"/>
              <w:jc w:val="center"/>
            </w:pPr>
            <w:r>
              <w:t>25</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69DF7847" w14:textId="77777777" w:rsidR="00400227" w:rsidRDefault="007E4A27">
            <w:pPr>
              <w:spacing w:before="40" w:after="40"/>
              <w:jc w:val="center"/>
            </w:pPr>
            <w:r>
              <w:t>104</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3D1629B7" w14:textId="77777777" w:rsidR="00400227" w:rsidRDefault="007E4A27">
            <w:pPr>
              <w:spacing w:before="40" w:after="40"/>
              <w:jc w:val="center"/>
            </w:pPr>
            <w:r>
              <w:t>104</w:t>
            </w:r>
          </w:p>
        </w:tc>
      </w:tr>
      <w:tr w:rsidR="00400227" w14:paraId="4371EE76" w14:textId="77777777">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59B8FDC4" w14:textId="77777777" w:rsidR="00400227" w:rsidRDefault="007E4A27">
            <w:pPr>
              <w:spacing w:before="40" w:after="40"/>
              <w:jc w:val="center"/>
            </w:pPr>
            <w:r>
              <w:t>Total Daily Energy (kW)</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28EC2E1B" w14:textId="77777777" w:rsidR="00400227" w:rsidRDefault="007E4A27">
            <w:pPr>
              <w:spacing w:before="40" w:after="40"/>
              <w:jc w:val="center"/>
            </w:pPr>
            <w:r>
              <w:t>19,876</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07B19CDA" w14:textId="77777777" w:rsidR="00400227" w:rsidRDefault="007E4A27">
            <w:pPr>
              <w:spacing w:before="40" w:after="40"/>
              <w:jc w:val="center"/>
            </w:pPr>
            <w:r>
              <w:t>24,542</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43DAFEE8" w14:textId="77777777" w:rsidR="00400227" w:rsidRDefault="007E4A27">
            <w:pPr>
              <w:spacing w:before="40" w:after="40"/>
              <w:jc w:val="center"/>
            </w:pPr>
            <w:r>
              <w:t>22,310 (−9.1%)</w:t>
            </w:r>
          </w:p>
        </w:tc>
      </w:tr>
      <w:tr w:rsidR="00400227" w14:paraId="6484FACA" w14:textId="77777777">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04D5F917" w14:textId="77777777" w:rsidR="00400227" w:rsidRDefault="007E4A27">
            <w:pPr>
              <w:spacing w:before="40" w:after="40"/>
              <w:jc w:val="center"/>
            </w:pPr>
            <w:r>
              <w:t>Peak Load (kW)</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1FC1A121" w14:textId="77777777" w:rsidR="00400227" w:rsidRDefault="007E4A27">
            <w:pPr>
              <w:spacing w:before="40" w:after="40"/>
              <w:jc w:val="center"/>
            </w:pPr>
            <w:r>
              <w:t>600</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624F2430" w14:textId="77777777" w:rsidR="00400227" w:rsidRDefault="007E4A27">
            <w:pPr>
              <w:spacing w:before="40" w:after="40"/>
              <w:jc w:val="center"/>
            </w:pPr>
            <w:r>
              <w:t>680</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112C1DEE" w14:textId="77777777" w:rsidR="00400227" w:rsidRDefault="007E4A27">
            <w:pPr>
              <w:spacing w:before="40" w:after="40"/>
              <w:jc w:val="center"/>
            </w:pPr>
            <w:r>
              <w:t>476 (−30.0%)</w:t>
            </w:r>
          </w:p>
        </w:tc>
      </w:tr>
      <w:tr w:rsidR="00400227" w14:paraId="5EF94366" w14:textId="77777777">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5C961496" w14:textId="77777777" w:rsidR="00400227" w:rsidRDefault="007E4A27">
            <w:pPr>
              <w:spacing w:before="40" w:after="40"/>
              <w:jc w:val="center"/>
            </w:pPr>
            <w:r>
              <w:t>Load Variability σ (kW)</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04A0AC57" w14:textId="77777777" w:rsidR="00400227" w:rsidRDefault="007E4A27">
            <w:pPr>
              <w:spacing w:before="40" w:after="40"/>
              <w:jc w:val="center"/>
            </w:pPr>
            <w:r>
              <w:t>98</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23004406" w14:textId="77777777" w:rsidR="00400227" w:rsidRDefault="007E4A27">
            <w:pPr>
              <w:spacing w:before="40" w:after="40"/>
              <w:jc w:val="center"/>
            </w:pPr>
            <w:r>
              <w:t>142</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5C3E596B" w14:textId="77777777" w:rsidR="00400227" w:rsidRDefault="007E4A27">
            <w:pPr>
              <w:spacing w:before="40" w:after="40"/>
              <w:jc w:val="center"/>
            </w:pPr>
            <w:r>
              <w:t>89 (−37.3%)</w:t>
            </w:r>
          </w:p>
        </w:tc>
      </w:tr>
      <w:tr w:rsidR="00400227" w14:paraId="0102F5E8" w14:textId="77777777">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1B9B7E9E" w14:textId="77777777" w:rsidR="00400227" w:rsidRDefault="007E4A27">
            <w:pPr>
              <w:spacing w:before="40" w:after="40"/>
              <w:jc w:val="center"/>
            </w:pPr>
            <w:r>
              <w:t>Peak-to-Average Ratio</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37552FB7" w14:textId="77777777" w:rsidR="00400227" w:rsidRDefault="007E4A27">
            <w:pPr>
              <w:spacing w:before="40" w:after="40"/>
              <w:jc w:val="center"/>
            </w:pPr>
            <w:r>
              <w:t>~1.00 (stable)</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5A1461C9" w14:textId="77777777" w:rsidR="00400227" w:rsidRDefault="007E4A27">
            <w:pPr>
              <w:spacing w:before="40" w:after="40"/>
              <w:jc w:val="center"/>
            </w:pPr>
            <w:r>
              <w:t>1.29</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5AF841D9" w14:textId="77777777" w:rsidR="00400227" w:rsidRDefault="007E4A27">
            <w:pPr>
              <w:spacing w:before="40" w:after="40"/>
              <w:jc w:val="center"/>
            </w:pPr>
            <w:r>
              <w:t>1.29 (shape retained)</w:t>
            </w:r>
          </w:p>
        </w:tc>
      </w:tr>
      <w:tr w:rsidR="00400227" w14:paraId="5A2C6CB7" w14:textId="77777777">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69A0711D" w14:textId="77777777" w:rsidR="00400227" w:rsidRDefault="007E4A27">
            <w:pPr>
              <w:spacing w:before="40" w:after="40"/>
              <w:jc w:val="center"/>
            </w:pPr>
            <w:r>
              <w:t>Statistical Significance</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4B204957" w14:textId="77777777" w:rsidR="00400227" w:rsidRDefault="007E4A27">
            <w:pPr>
              <w:spacing w:before="40" w:after="40"/>
              <w:jc w:val="center"/>
            </w:pPr>
            <w:r>
              <w:t>Baseline</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30AA71D0" w14:textId="77777777" w:rsidR="00400227" w:rsidRDefault="007E4A27">
            <w:pPr>
              <w:spacing w:before="40" w:after="40"/>
              <w:jc w:val="center"/>
            </w:pPr>
            <w:r>
              <w:t>P &lt; .001 vs. rainy</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15DCFEEC" w14:textId="77777777" w:rsidR="00400227" w:rsidRDefault="007E4A27">
            <w:pPr>
              <w:spacing w:before="40" w:after="40"/>
              <w:jc w:val="center"/>
            </w:pPr>
            <w:r>
              <w:t>P &lt; .001 vs. dry</w:t>
            </w:r>
          </w:p>
        </w:tc>
      </w:tr>
      <w:tr w:rsidR="00400227" w14:paraId="0FCD5C26" w14:textId="77777777">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75537F2B" w14:textId="77777777" w:rsidR="00400227" w:rsidRDefault="007E4A27">
            <w:pPr>
              <w:spacing w:before="40" w:after="40"/>
              <w:jc w:val="center"/>
            </w:pPr>
            <w:r>
              <w:t>Key Challenge</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1F429AE5" w14:textId="77777777" w:rsidR="00400227" w:rsidRDefault="007E4A27">
            <w:pPr>
              <w:spacing w:before="40" w:after="40"/>
              <w:jc w:val="center"/>
            </w:pPr>
            <w:r>
              <w:t>Minimal treatment demand</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593D09D9" w14:textId="77777777" w:rsidR="00400227" w:rsidRDefault="007E4A27">
            <w:pPr>
              <w:spacing w:before="40" w:after="40"/>
              <w:jc w:val="center"/>
            </w:pPr>
            <w:r>
              <w:t>High turbidity-driven demand</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15AFAEB0" w14:textId="77777777" w:rsidR="00400227" w:rsidRDefault="007E4A27">
            <w:pPr>
              <w:spacing w:before="40" w:after="40"/>
              <w:jc w:val="center"/>
            </w:pPr>
            <w:r>
              <w:t>Requires NN dispatch logic</w:t>
            </w:r>
          </w:p>
        </w:tc>
      </w:tr>
    </w:tbl>
    <w:p w14:paraId="5454D8D9" w14:textId="77777777" w:rsidR="00400227" w:rsidRDefault="007E4A27">
      <w:pPr>
        <w:spacing w:after="120"/>
      </w:pPr>
      <w:r>
        <w:rPr>
          <w:i/>
          <w:iCs/>
          <w:sz w:val="18"/>
          <w:szCs w:val="18"/>
        </w:rPr>
        <w:t>NN: Neural Network; DSG: Distributed Solar Generation; σ: standard deviation of hourly demand.</w:t>
      </w:r>
    </w:p>
    <w:p w14:paraId="560FDBC4" w14:textId="5B9B0189" w:rsidR="00400227" w:rsidRDefault="007E4A27">
      <w:pPr>
        <w:spacing w:after="120" w:line="276" w:lineRule="auto"/>
        <w:jc w:val="both"/>
      </w:pPr>
      <w:r>
        <w:t>During the peak demand window, the DG unit supplied an additional 200 kW of power, reducing grid demand from 680 kW to 476 kW</w:t>
      </w:r>
      <w:r w:rsidR="00AA7973">
        <w:t xml:space="preserve">, </w:t>
      </w:r>
      <w:r>
        <w:t xml:space="preserve">a 30% peak reduction. Total energy offset was 2,839.5 kW, representing a 9.1% reduction in daily energy demand (ΔE_daily = 2,839.5/24,542 × 100). Load variability fell from σ = 142 kW to σ = 89 kW, a 37.3% improvement in operational stability. A paired t-test of hourly loads yielded t = 22.6, </w:t>
      </w:r>
      <w:r>
        <w:rPr>
          <w:i/>
          <w:iCs/>
        </w:rPr>
        <w:t>P</w:t>
      </w:r>
      <w:r>
        <w:t xml:space="preserve"> &lt; .001.</w:t>
      </w:r>
    </w:p>
    <w:p w14:paraId="396ECD5D" w14:textId="57BFC13F" w:rsidR="00400227" w:rsidRDefault="007E4A27">
      <w:pPr>
        <w:spacing w:after="120" w:line="276" w:lineRule="auto"/>
        <w:jc w:val="both"/>
      </w:pPr>
      <w:r>
        <w:t>Critically, the peak-to-average ratio remained at 1.29 in both without-DSG and with-DSG scenarios, confirming that DSG integration uniformly scales down absolute demand without altering the underlying load structure. This demonstrates that intelligent DSG can be deployed without load scheduling or consumer disconnection</w:t>
      </w:r>
      <w:r w:rsidR="00AA7973">
        <w:t xml:space="preserve">, </w:t>
      </w:r>
      <w:r>
        <w:t>a fundamental requirement in water utility operations (Asghar et al., 2023; Lopes et al., 2007).</w:t>
      </w:r>
    </w:p>
    <w:p w14:paraId="6AC9367C" w14:textId="77777777" w:rsidR="00400227" w:rsidRDefault="007E4A27">
      <w:pPr>
        <w:spacing w:before="180" w:after="80"/>
      </w:pPr>
      <w:r>
        <w:rPr>
          <w:b/>
          <w:bCs/>
          <w:sz w:val="22"/>
          <w:szCs w:val="22"/>
        </w:rPr>
        <w:t>3.4 Load Diversity and Grid Profile Reshaping</w:t>
      </w:r>
    </w:p>
    <w:p w14:paraId="443C1ABF" w14:textId="7CC264D2" w:rsidR="00400227" w:rsidRDefault="007E4A27">
      <w:pPr>
        <w:spacing w:after="120" w:line="276" w:lineRule="auto"/>
        <w:jc w:val="both"/>
      </w:pPr>
      <w:r>
        <w:t>The CRSWB network exhibits a staggered peak demand structure across its three consumer categories. The residential staff quarters peak in the early evening (17:00–19:00), the administrative building peaks at midday (14:00–16:00), and the industrial treatment plant exhibits multiple peaks aligned with the production schedule. This diversity of peak times produces a combined network peak consistently less than the arithmetic sum of individual sub-system peaks</w:t>
      </w:r>
      <w:r w:rsidR="00AA7973">
        <w:t>,</w:t>
      </w:r>
      <w:r>
        <w:t xml:space="preserve"> a diversity effect that improves overall network efficiency and reduces the required DG capacity.</w:t>
      </w:r>
    </w:p>
    <w:p w14:paraId="50DAFA36" w14:textId="5085AB2E" w:rsidR="00400227" w:rsidRDefault="007E4A27">
      <w:pPr>
        <w:spacing w:after="120" w:line="276" w:lineRule="auto"/>
        <w:jc w:val="both"/>
      </w:pPr>
      <w:r>
        <w:t xml:space="preserve">The alignment of solar PV generation with the industrial peak window is particularly advantageous: solar irradiance naturally peaks during the hours when treatment plant demand is highest, enabling high </w:t>
      </w:r>
      <w:r w:rsidR="00AA7973">
        <w:t>utilization</w:t>
      </w:r>
      <w:r>
        <w:t xml:space="preserve"> of DSG output without requiring large battery storage buffers. This temporal alignment is consistent with findings reported by </w:t>
      </w:r>
      <w:r w:rsidR="00CF53FE">
        <w:t xml:space="preserve">Nouar et al. (2025). Furthermore, the importance of managing peak demand periods is underscored by Auffhammer et al. (2017), who demonstrated that peak demand concentrations place disproportionate stress on grid infrastructure </w:t>
      </w:r>
      <w:r w:rsidR="00CF53FE">
        <w:lastRenderedPageBreak/>
        <w:t>and necessitate adaptive generation strategies; a challenge directly addressed by the neural network-controlled DSG framework developed in this study</w:t>
      </w:r>
      <w:r>
        <w:t>.</w:t>
      </w:r>
    </w:p>
    <w:p w14:paraId="7BBDC7E0" w14:textId="77777777" w:rsidR="00400227" w:rsidRDefault="007E4A27">
      <w:pPr>
        <w:spacing w:before="240" w:after="120"/>
      </w:pPr>
      <w:r>
        <w:rPr>
          <w:b/>
          <w:bCs/>
          <w:sz w:val="22"/>
          <w:szCs w:val="22"/>
        </w:rPr>
        <w:t>4. CONCLUSION</w:t>
      </w:r>
    </w:p>
    <w:p w14:paraId="3AA9C98C" w14:textId="0A881209" w:rsidR="00400227" w:rsidRDefault="007E4A27">
      <w:pPr>
        <w:spacing w:after="120" w:line="276" w:lineRule="auto"/>
        <w:jc w:val="both"/>
      </w:pPr>
      <w:r>
        <w:t>This study quantified the energy demand implications of seasonal turbidity variability at the Cross River State Waterboard facility in Calabar, Nigeria, and evaluated the effectiveness of neural network-controlled distributed solar generation in mitigating the associated grid instability. Dry-season turbidity averaged 104 NTU against 25 NTU in the rainy season</w:t>
      </w:r>
      <w:r w:rsidR="00C862A1">
        <w:t xml:space="preserve">, </w:t>
      </w:r>
      <w:r>
        <w:t xml:space="preserve">a 4.2-fold difference that drove a statistically significant 23.5% increase in daily energy demand (24,542 kW vs. 19,876 kW; t = 5.82, </w:t>
      </w:r>
      <w:r>
        <w:rPr>
          <w:i/>
          <w:iCs/>
        </w:rPr>
        <w:t>P</w:t>
      </w:r>
      <w:r>
        <w:t xml:space="preserve"> &lt; .001; Cohen's d = 1.24) and a 45% increase in load variability (σ = 142 kW vs. 98 kW).</w:t>
      </w:r>
    </w:p>
    <w:p w14:paraId="1EA5CC5D" w14:textId="74BE1CC3" w:rsidR="00400227" w:rsidRDefault="007E4A27">
      <w:pPr>
        <w:spacing w:after="120" w:line="276" w:lineRule="auto"/>
        <w:jc w:val="both"/>
      </w:pPr>
      <w:r>
        <w:t>A 217.12 kW solar PV unit, dispatched by a Bayesian-regularized neural network (R = 0.9918), reduced peak demand by 30% (680 kW to 476 kW), daily energy consumption by 9.1%, and load variability by 37.3% (σ = 89 kW)</w:t>
      </w:r>
      <w:r w:rsidR="00AA7973">
        <w:t xml:space="preserve">, </w:t>
      </w:r>
      <w:r>
        <w:t>all without load scheduling or consumer disconnection (</w:t>
      </w:r>
      <w:r>
        <w:rPr>
          <w:i/>
          <w:iCs/>
        </w:rPr>
        <w:t>P</w:t>
      </w:r>
      <w:r>
        <w:t xml:space="preserve"> &lt; .001). The framework, built entirely on real operational network data rather than IEEE testbeds, constitutes a directly deployable and transferable blueprint for energy</w:t>
      </w:r>
      <w:r w:rsidR="00AA7973">
        <w:t xml:space="preserve"> </w:t>
      </w:r>
      <w:r>
        <w:t>resilient water infrastructure across seasonally variable, resource</w:t>
      </w:r>
      <w:r w:rsidR="00AA7973">
        <w:t xml:space="preserve"> </w:t>
      </w:r>
      <w:r>
        <w:t>constrained settings in sub-Saharan Africa.</w:t>
      </w:r>
    </w:p>
    <w:p w14:paraId="07819AD4" w14:textId="77777777" w:rsidR="003128F1" w:rsidRDefault="003128F1" w:rsidP="00AA5E69">
      <w:pPr>
        <w:spacing w:after="140" w:line="280" w:lineRule="auto"/>
        <w:jc w:val="both"/>
      </w:pPr>
    </w:p>
    <w:p w14:paraId="500C7E79" w14:textId="77777777" w:rsidR="003128F1" w:rsidRDefault="003128F1" w:rsidP="003128F1">
      <w:pPr>
        <w:spacing w:after="140" w:line="280" w:lineRule="auto"/>
        <w:jc w:val="both"/>
      </w:pPr>
      <w:r>
        <w:t>COMPETING INTERESTS DISCLAIMER:</w:t>
      </w:r>
    </w:p>
    <w:p w14:paraId="0C3244F8" w14:textId="0A5CBB22" w:rsidR="003128F1" w:rsidRDefault="003128F1" w:rsidP="003128F1">
      <w:pPr>
        <w:spacing w:after="140" w:line="280" w:lineRule="auto"/>
        <w:jc w:val="both"/>
      </w:pPr>
      <w:r>
        <w:t>Authors have declared that they have no known competing financial interests OR non-financial interests OR personal relationships that could have appeared to influence the work reported in this paper.</w:t>
      </w:r>
    </w:p>
    <w:p w14:paraId="4E0727BB" w14:textId="77777777" w:rsidR="003128F1" w:rsidRDefault="003128F1" w:rsidP="00AA5E69">
      <w:pPr>
        <w:spacing w:after="140" w:line="280" w:lineRule="auto"/>
        <w:jc w:val="both"/>
      </w:pPr>
    </w:p>
    <w:p w14:paraId="5F5309C7" w14:textId="77777777" w:rsidR="00400227" w:rsidRDefault="007E4A27">
      <w:pPr>
        <w:spacing w:before="240" w:after="120"/>
      </w:pPr>
      <w:r>
        <w:rPr>
          <w:b/>
          <w:bCs/>
          <w:sz w:val="22"/>
          <w:szCs w:val="22"/>
        </w:rPr>
        <w:t>REFERENCES</w:t>
      </w:r>
    </w:p>
    <w:p w14:paraId="0FAAEDFD" w14:textId="77777777" w:rsidR="00400227" w:rsidRDefault="007E4A27">
      <w:pPr>
        <w:spacing w:after="80"/>
        <w:ind w:left="360" w:hanging="360"/>
        <w:jc w:val="both"/>
      </w:pPr>
      <w:r>
        <w:t>Abdel-Rahman, A.A., Salama, M.M. and Kamel, S. (2019). Impact of distributed generation on distribution system reliability. IET Generation, Transmission &amp; Distribution, 13(16), 3618–3626.</w:t>
      </w:r>
    </w:p>
    <w:p w14:paraId="2B78BC75" w14:textId="77777777" w:rsidR="00400227" w:rsidRDefault="007E4A27">
      <w:pPr>
        <w:spacing w:after="80"/>
        <w:ind w:left="360" w:hanging="360"/>
        <w:jc w:val="both"/>
      </w:pPr>
      <w:r>
        <w:t>Akpama, E.J., Ntem, T.S. and Iwueze, I.M. (2020). Distributed energy system automation using distributed intelligence for power quality supply. American Journal of Engineering Research (AJER), 9(8), 149–154.</w:t>
      </w:r>
    </w:p>
    <w:p w14:paraId="51E29B29" w14:textId="77777777" w:rsidR="00400227" w:rsidRDefault="007E4A27">
      <w:pPr>
        <w:spacing w:after="80"/>
        <w:ind w:left="360" w:hanging="360"/>
        <w:jc w:val="both"/>
      </w:pPr>
      <w:r>
        <w:t>Asghar, Z., Hafeez, K., Sabir, D., Ijaz, B., Bukhari, S. and Ro, J. (2023). RECLAIM: Renewable energy based demand-side management using machine learning models. IEEE Access, 11, 3846–3857. https://doi.org/10.1109/ACCESS.2023.3235209</w:t>
      </w:r>
    </w:p>
    <w:p w14:paraId="7D6758BF" w14:textId="77777777" w:rsidR="00400227" w:rsidRDefault="007E4A27">
      <w:pPr>
        <w:spacing w:after="80"/>
        <w:ind w:left="360" w:hanging="360"/>
        <w:jc w:val="both"/>
      </w:pPr>
      <w:r>
        <w:t>Auffhammer, M., Baylis, P. and Hausman, C.H. (2017). Climate change is projected to have severe impacts on the frequency and intensity of peak electricity demand across the United States. Proceedings of the National Academy of Sciences, 114(8), 1886–1891.</w:t>
      </w:r>
    </w:p>
    <w:p w14:paraId="00C483F6" w14:textId="1B4172FF" w:rsidR="00400227" w:rsidRDefault="007E4A27">
      <w:pPr>
        <w:spacing w:after="80"/>
        <w:ind w:left="360" w:hanging="360"/>
        <w:jc w:val="both"/>
      </w:pPr>
      <w:r>
        <w:t xml:space="preserve">Blaabjerg, F., Teodorescu, R., Liserre, M. and Timbus, A. (2006). Overview of control and grid synchronization for distributed power generation systems. IEEE Transactions on Industrial Electronics, 53(5), 1398–1409. </w:t>
      </w:r>
      <w:hyperlink r:id="rId11" w:history="1">
        <w:r w:rsidR="00430FD6" w:rsidRPr="00C87D11">
          <w:rPr>
            <w:rStyle w:val="Hyperlink"/>
          </w:rPr>
          <w:t>https://doi.org/10.1109/TIE.2006.881997</w:t>
        </w:r>
      </w:hyperlink>
    </w:p>
    <w:p w14:paraId="7C9AF3AF" w14:textId="77777777" w:rsidR="00400227" w:rsidRDefault="007E4A27">
      <w:pPr>
        <w:spacing w:after="80"/>
        <w:ind w:left="360" w:hanging="360"/>
        <w:jc w:val="both"/>
      </w:pPr>
      <w:r>
        <w:t>Kavya, B., Mohanasundaram, K. and Ashok, L. (2021). ANN-based dynamic control and energy management of inverter and battery in a grid-tied hybrid renewable power system fed through Z-source converter. Electrical Engineering, 103, 2285–2301.</w:t>
      </w:r>
    </w:p>
    <w:p w14:paraId="52326C93" w14:textId="77777777" w:rsidR="00400227" w:rsidRDefault="007E4A27">
      <w:pPr>
        <w:spacing w:after="80"/>
        <w:ind w:left="360" w:hanging="360"/>
        <w:jc w:val="both"/>
      </w:pPr>
      <w:r>
        <w:t>Lopes, J.A.P., Hatziargyriou, N., Mutale, J., Djapic, P. and Jenkins, N. (2007). Integrating distributed generation into electric power systems: A review of drivers, challenges, and opportunities. Electric Power Systems Research, 77(9), 1189–1203.</w:t>
      </w:r>
    </w:p>
    <w:p w14:paraId="211C802D" w14:textId="033A10BA" w:rsidR="009D1557" w:rsidRDefault="009D1557" w:rsidP="009D1557">
      <w:pPr>
        <w:spacing w:after="80"/>
        <w:ind w:left="360" w:hanging="360"/>
      </w:pPr>
      <w:r>
        <w:rPr>
          <w:sz w:val="18"/>
          <w:szCs w:val="18"/>
        </w:rPr>
        <w:t>Magni, M., Jones, E. R., Bierkens, M. F. P., &amp; van Vliet, M. T. H. (2025). Global energy consumption of water treatment technologies. Water Research, 277, 123245. https://doi.org/10.1016/j.watres.2025.123245</w:t>
      </w:r>
    </w:p>
    <w:p w14:paraId="75B54C15" w14:textId="77777777" w:rsidR="00400227" w:rsidRDefault="007E4A27">
      <w:pPr>
        <w:spacing w:after="80"/>
        <w:ind w:left="360" w:hanging="360"/>
        <w:jc w:val="both"/>
      </w:pPr>
      <w:r>
        <w:t>Montgomery, D.C. and Peck, E.A. (2021). Introduction to Linear Regression Analysis. 6th ed. Hoboken, NJ: Wiley.</w:t>
      </w:r>
    </w:p>
    <w:p w14:paraId="06E2E78B" w14:textId="5291DD83" w:rsidR="002848A0" w:rsidRDefault="002848A0">
      <w:pPr>
        <w:spacing w:after="80"/>
        <w:ind w:left="360" w:hanging="360"/>
        <w:jc w:val="both"/>
      </w:pPr>
      <w:r w:rsidRPr="002848A0">
        <w:lastRenderedPageBreak/>
        <w:t>Nouar, Y., Boukadoum, A., &amp; Boudebbouz, O. (2025). Optimization of Microgrid Energy Management using a Genetic Algorithm. </w:t>
      </w:r>
      <w:r w:rsidRPr="002848A0">
        <w:rPr>
          <w:i/>
          <w:iCs/>
        </w:rPr>
        <w:t>Engineering, Technology &amp; Applied Science Research</w:t>
      </w:r>
      <w:r w:rsidRPr="002848A0">
        <w:t>.</w:t>
      </w:r>
    </w:p>
    <w:p w14:paraId="4734C8B9" w14:textId="77777777" w:rsidR="00400227" w:rsidRDefault="007E4A27">
      <w:pPr>
        <w:spacing w:after="80"/>
        <w:ind w:left="360" w:hanging="360"/>
        <w:jc w:val="both"/>
      </w:pPr>
      <w:r>
        <w:t>Olsson, G. (2012). Water and Energy: Threats and Opportunities. London: IWA Publishing. https://doi.org/10.2166/9781780400809</w:t>
      </w:r>
    </w:p>
    <w:p w14:paraId="4F054E3A" w14:textId="0683AB17" w:rsidR="00400227" w:rsidRDefault="007E4A27">
      <w:pPr>
        <w:spacing w:after="80"/>
        <w:ind w:left="360" w:hanging="360"/>
        <w:jc w:val="both"/>
      </w:pPr>
      <w:bookmarkStart w:id="9" w:name="_Hlk225108238"/>
      <w:r>
        <w:t xml:space="preserve">Plappally, A.K. and Lienhard V, J.H. (2012). Energy requirements for water production, treatment, end use, reclamation, and disposal. Renewable and Sustainable Energy Reviews, 16(7), 4818–4848. </w:t>
      </w:r>
      <w:hyperlink r:id="rId12" w:history="1">
        <w:r w:rsidR="002973A5" w:rsidRPr="00C87D11">
          <w:rPr>
            <w:rStyle w:val="Hyperlink"/>
          </w:rPr>
          <w:t>https://doi.org/10.1016/j.rser.2012.05.022</w:t>
        </w:r>
      </w:hyperlink>
    </w:p>
    <w:bookmarkEnd w:id="9"/>
    <w:p w14:paraId="094BC121" w14:textId="2AD7B0FE" w:rsidR="002973A5" w:rsidRDefault="002973A5" w:rsidP="002973A5">
      <w:pPr>
        <w:spacing w:after="80"/>
        <w:ind w:left="360" w:hanging="360"/>
        <w:jc w:val="both"/>
      </w:pPr>
      <w:r w:rsidRPr="002973A5">
        <w:t>Quintana, K., &amp; Sowby, R. (2025). Minimal effect of raw water turbidity on operational energy use of drinking water treatment. Case Studies in Chemical and Environmental Engineering, 12, 101282. https://doi.org/10.1016/j.cscee.2025.101282</w:t>
      </w:r>
    </w:p>
    <w:p w14:paraId="1996EBED" w14:textId="77777777" w:rsidR="00400227" w:rsidRDefault="007E4A27">
      <w:pPr>
        <w:spacing w:after="80"/>
        <w:ind w:left="360" w:hanging="360"/>
        <w:jc w:val="both"/>
      </w:pPr>
      <w:r>
        <w:t>Singh, B., Shahani, D. and Verma, A. (2014). Neural network-controlled grid interfaced solar photovoltaic power generation. IET Power Electronics, 7(3), 614–626. https://doi.org/10.1049/iet-pel.2013.0166</w:t>
      </w:r>
    </w:p>
    <w:p w14:paraId="4DE5A94E" w14:textId="77777777" w:rsidR="00400227" w:rsidRDefault="007E4A27">
      <w:pPr>
        <w:spacing w:after="80"/>
        <w:ind w:left="360" w:hanging="360"/>
        <w:jc w:val="both"/>
      </w:pPr>
      <w:r>
        <w:t>U.S. Environmental Protection Agency (EPA). (2009). National primary drinking water regulations. Available at: https://www.epa.gov/ground-water-and-drinking-water/national-primary-drinking-water-regulations [Accessed 15 January 2025].</w:t>
      </w:r>
    </w:p>
    <w:p w14:paraId="7E9CF6BD" w14:textId="77777777" w:rsidR="00400227" w:rsidRDefault="007E4A27">
      <w:pPr>
        <w:spacing w:after="80"/>
        <w:ind w:left="360" w:hanging="360"/>
        <w:jc w:val="both"/>
      </w:pPr>
      <w:r>
        <w:t>World Health Organization (WHO). (2017). Guidelines for Drinking-Water Quality. 4th ed. Geneva: WHO Press.</w:t>
      </w:r>
    </w:p>
    <w:p w14:paraId="66B2B5F5" w14:textId="2EA04D12" w:rsidR="00400227" w:rsidRDefault="002654D9">
      <w:pPr>
        <w:spacing w:after="80"/>
        <w:ind w:left="360" w:hanging="360"/>
        <w:jc w:val="both"/>
      </w:pPr>
      <w:r>
        <w:t>Zar, J.H. (2019). Biostatistical Analysis. 5th ed. Upper Saddle River, NJ: Pearson.</w:t>
      </w:r>
    </w:p>
    <w:sectPr w:rsidR="00400227">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08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uper Magashi" w:date="2026-03-25T08:38:00Z" w:initials="LM">
    <w:p w14:paraId="12744384" w14:textId="46E66A47" w:rsidR="007D410E" w:rsidRDefault="007D410E">
      <w:pPr>
        <w:pStyle w:val="CommentText"/>
      </w:pPr>
      <w:r>
        <w:rPr>
          <w:rStyle w:val="CommentReference"/>
        </w:rPr>
        <w:annotationRef/>
      </w:r>
      <w:r>
        <w:t>They are more than five. Except if it is in</w:t>
      </w:r>
      <w:r w:rsidR="00374FD0">
        <w:t xml:space="preserve"> </w:t>
      </w:r>
      <w:r>
        <w:t>line with your policy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7443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732CBA" w16cex:dateUtc="2026-03-25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744384" w16cid:durableId="02732C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0FF59" w14:textId="77777777" w:rsidR="0032729D" w:rsidRDefault="0032729D">
      <w:r>
        <w:separator/>
      </w:r>
    </w:p>
  </w:endnote>
  <w:endnote w:type="continuationSeparator" w:id="0">
    <w:p w14:paraId="3C670D8E" w14:textId="77777777" w:rsidR="0032729D" w:rsidRDefault="00327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6736" w14:textId="77777777" w:rsidR="002858F5" w:rsidRDefault="00285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88D29" w14:textId="77777777" w:rsidR="00400227" w:rsidRDefault="007E4A27">
    <w:pPr>
      <w:jc w:val="center"/>
    </w:pPr>
    <w:r>
      <w:rPr>
        <w:sz w:val="18"/>
        <w:szCs w:val="18"/>
      </w:rPr>
      <w:fldChar w:fldCharType="begin"/>
    </w:r>
    <w:r>
      <w:rPr>
        <w:sz w:val="18"/>
        <w:szCs w:val="18"/>
      </w:rPr>
      <w:instrText>PAGE</w:instrText>
    </w:r>
    <w:r>
      <w:rPr>
        <w:sz w:val="18"/>
        <w:szCs w:val="18"/>
      </w:rPr>
      <w:fldChar w:fldCharType="separate"/>
    </w:r>
    <w:r w:rsidR="00AA7973">
      <w:rPr>
        <w:noProof/>
        <w:sz w:val="18"/>
        <w:szCs w:val="18"/>
      </w:rPr>
      <w:t>1</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24CF" w14:textId="77777777" w:rsidR="002858F5" w:rsidRDefault="00285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E306A" w14:textId="77777777" w:rsidR="0032729D" w:rsidRDefault="0032729D">
      <w:r>
        <w:separator/>
      </w:r>
    </w:p>
  </w:footnote>
  <w:footnote w:type="continuationSeparator" w:id="0">
    <w:p w14:paraId="4ECF90DD" w14:textId="77777777" w:rsidR="0032729D" w:rsidRDefault="00327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0111D" w14:textId="3C46BDA5" w:rsidR="002858F5" w:rsidRDefault="00000000">
    <w:pPr>
      <w:pStyle w:val="Header"/>
    </w:pPr>
    <w:r>
      <w:rPr>
        <w:noProof/>
      </w:rPr>
      <w:pict w14:anchorId="7EB68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60001" o:spid="_x0000_s1026" type="#_x0000_t136" style="position:absolute;margin-left:0;margin-top:0;width:638.5pt;height:72.0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BE015" w14:textId="2EAE892A" w:rsidR="002858F5" w:rsidRDefault="00000000">
    <w:pPr>
      <w:pStyle w:val="Header"/>
    </w:pPr>
    <w:r>
      <w:rPr>
        <w:noProof/>
      </w:rPr>
      <w:pict w14:anchorId="5F0A71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60002" o:spid="_x0000_s1027" type="#_x0000_t136" style="position:absolute;margin-left:0;margin-top:0;width:638.5pt;height:72.0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1C343" w14:textId="25F731F4" w:rsidR="002858F5" w:rsidRDefault="00000000">
    <w:pPr>
      <w:pStyle w:val="Header"/>
    </w:pPr>
    <w:r>
      <w:rPr>
        <w:noProof/>
      </w:rPr>
      <w:pict w14:anchorId="26EE7B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60000" o:spid="_x0000_s1025" type="#_x0000_t136" style="position:absolute;margin-left:0;margin-top:0;width:638.5pt;height:72.0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3118BC"/>
    <w:multiLevelType w:val="hybridMultilevel"/>
    <w:tmpl w:val="7A1C0A68"/>
    <w:lvl w:ilvl="0" w:tplc="7A685172">
      <w:start w:val="1"/>
      <w:numFmt w:val="bullet"/>
      <w:lvlText w:val="●"/>
      <w:lvlJc w:val="left"/>
      <w:pPr>
        <w:ind w:left="720" w:hanging="360"/>
      </w:pPr>
    </w:lvl>
    <w:lvl w:ilvl="1" w:tplc="ECDC5C6C">
      <w:start w:val="1"/>
      <w:numFmt w:val="bullet"/>
      <w:lvlText w:val="○"/>
      <w:lvlJc w:val="left"/>
      <w:pPr>
        <w:ind w:left="1440" w:hanging="360"/>
      </w:pPr>
    </w:lvl>
    <w:lvl w:ilvl="2" w:tplc="00F6204A">
      <w:start w:val="1"/>
      <w:numFmt w:val="bullet"/>
      <w:lvlText w:val="■"/>
      <w:lvlJc w:val="left"/>
      <w:pPr>
        <w:ind w:left="2160" w:hanging="360"/>
      </w:pPr>
    </w:lvl>
    <w:lvl w:ilvl="3" w:tplc="F906E654">
      <w:start w:val="1"/>
      <w:numFmt w:val="bullet"/>
      <w:lvlText w:val="●"/>
      <w:lvlJc w:val="left"/>
      <w:pPr>
        <w:ind w:left="2880" w:hanging="360"/>
      </w:pPr>
    </w:lvl>
    <w:lvl w:ilvl="4" w:tplc="B96ABF5E">
      <w:start w:val="1"/>
      <w:numFmt w:val="bullet"/>
      <w:lvlText w:val="○"/>
      <w:lvlJc w:val="left"/>
      <w:pPr>
        <w:ind w:left="3600" w:hanging="360"/>
      </w:pPr>
    </w:lvl>
    <w:lvl w:ilvl="5" w:tplc="150CAB84">
      <w:start w:val="1"/>
      <w:numFmt w:val="bullet"/>
      <w:lvlText w:val="■"/>
      <w:lvlJc w:val="left"/>
      <w:pPr>
        <w:ind w:left="4320" w:hanging="360"/>
      </w:pPr>
    </w:lvl>
    <w:lvl w:ilvl="6" w:tplc="83ACBE06">
      <w:start w:val="1"/>
      <w:numFmt w:val="bullet"/>
      <w:lvlText w:val="●"/>
      <w:lvlJc w:val="left"/>
      <w:pPr>
        <w:ind w:left="5040" w:hanging="360"/>
      </w:pPr>
    </w:lvl>
    <w:lvl w:ilvl="7" w:tplc="757EC98A">
      <w:start w:val="1"/>
      <w:numFmt w:val="bullet"/>
      <w:lvlText w:val="●"/>
      <w:lvlJc w:val="left"/>
      <w:pPr>
        <w:ind w:left="5760" w:hanging="360"/>
      </w:pPr>
    </w:lvl>
    <w:lvl w:ilvl="8" w:tplc="3B162E36">
      <w:start w:val="1"/>
      <w:numFmt w:val="bullet"/>
      <w:lvlText w:val="●"/>
      <w:lvlJc w:val="left"/>
      <w:pPr>
        <w:ind w:left="6480" w:hanging="360"/>
      </w:pPr>
    </w:lvl>
  </w:abstractNum>
  <w:num w:numId="1" w16cid:durableId="799148827">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per Magashi">
    <w15:presenceInfo w15:providerId="AD" w15:userId="S::magashism@bsum.edu.ng::f1791d9f-d1e7-4b14-925e-bee1acb572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227"/>
    <w:rsid w:val="0004350E"/>
    <w:rsid w:val="000D5445"/>
    <w:rsid w:val="000D5CB8"/>
    <w:rsid w:val="002477AC"/>
    <w:rsid w:val="002654D9"/>
    <w:rsid w:val="00276BA6"/>
    <w:rsid w:val="002848A0"/>
    <w:rsid w:val="002858F5"/>
    <w:rsid w:val="002973A5"/>
    <w:rsid w:val="003128F1"/>
    <w:rsid w:val="003148F8"/>
    <w:rsid w:val="0032729D"/>
    <w:rsid w:val="00346FBA"/>
    <w:rsid w:val="00374FD0"/>
    <w:rsid w:val="003B1F2E"/>
    <w:rsid w:val="003C56D2"/>
    <w:rsid w:val="003C5B37"/>
    <w:rsid w:val="00400227"/>
    <w:rsid w:val="00411CFD"/>
    <w:rsid w:val="00430FD6"/>
    <w:rsid w:val="004527D1"/>
    <w:rsid w:val="004A4C93"/>
    <w:rsid w:val="005241C8"/>
    <w:rsid w:val="00585AA4"/>
    <w:rsid w:val="005E731C"/>
    <w:rsid w:val="005F19C8"/>
    <w:rsid w:val="006227A8"/>
    <w:rsid w:val="006B2CE5"/>
    <w:rsid w:val="006F1C3B"/>
    <w:rsid w:val="007A6674"/>
    <w:rsid w:val="007D410E"/>
    <w:rsid w:val="007D4270"/>
    <w:rsid w:val="007E2D67"/>
    <w:rsid w:val="007E4A27"/>
    <w:rsid w:val="00811E2B"/>
    <w:rsid w:val="008F66A4"/>
    <w:rsid w:val="009D1557"/>
    <w:rsid w:val="00A165EC"/>
    <w:rsid w:val="00A53639"/>
    <w:rsid w:val="00A73F72"/>
    <w:rsid w:val="00AA5E69"/>
    <w:rsid w:val="00AA7973"/>
    <w:rsid w:val="00AD1595"/>
    <w:rsid w:val="00BA5D25"/>
    <w:rsid w:val="00C862A1"/>
    <w:rsid w:val="00CB0D35"/>
    <w:rsid w:val="00CF53FE"/>
    <w:rsid w:val="00D95CB5"/>
    <w:rsid w:val="00DB37D2"/>
    <w:rsid w:val="00DE4C5F"/>
    <w:rsid w:val="00E543EF"/>
    <w:rsid w:val="00F01256"/>
    <w:rsid w:val="00F2464E"/>
    <w:rsid w:val="00FB3FF1"/>
    <w:rsid w:val="00FC5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04353"/>
  <w15:docId w15:val="{57C1304B-7E7A-4BF4-9973-8CA0EDC00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01256"/>
    <w:pPr>
      <w:tabs>
        <w:tab w:val="center" w:pos="4680"/>
        <w:tab w:val="right" w:pos="9360"/>
      </w:tabs>
    </w:pPr>
  </w:style>
  <w:style w:type="character" w:customStyle="1" w:styleId="HeaderChar">
    <w:name w:val="Header Char"/>
    <w:basedOn w:val="DefaultParagraphFont"/>
    <w:link w:val="Header"/>
    <w:uiPriority w:val="99"/>
    <w:rsid w:val="00F01256"/>
  </w:style>
  <w:style w:type="paragraph" w:styleId="Footer">
    <w:name w:val="footer"/>
    <w:basedOn w:val="Normal"/>
    <w:link w:val="FooterChar"/>
    <w:uiPriority w:val="99"/>
    <w:unhideWhenUsed/>
    <w:rsid w:val="00F01256"/>
    <w:pPr>
      <w:tabs>
        <w:tab w:val="center" w:pos="4680"/>
        <w:tab w:val="right" w:pos="9360"/>
      </w:tabs>
    </w:pPr>
  </w:style>
  <w:style w:type="character" w:customStyle="1" w:styleId="FooterChar">
    <w:name w:val="Footer Char"/>
    <w:basedOn w:val="DefaultParagraphFont"/>
    <w:link w:val="Footer"/>
    <w:uiPriority w:val="99"/>
    <w:rsid w:val="00F01256"/>
  </w:style>
  <w:style w:type="character" w:styleId="UnresolvedMention">
    <w:name w:val="Unresolved Mention"/>
    <w:basedOn w:val="DefaultParagraphFont"/>
    <w:uiPriority w:val="99"/>
    <w:semiHidden/>
    <w:unhideWhenUsed/>
    <w:rsid w:val="00430FD6"/>
    <w:rPr>
      <w:color w:val="605E5C"/>
      <w:shd w:val="clear" w:color="auto" w:fill="E1DFDD"/>
    </w:rPr>
  </w:style>
  <w:style w:type="character" w:styleId="CommentReference">
    <w:name w:val="annotation reference"/>
    <w:basedOn w:val="DefaultParagraphFont"/>
    <w:uiPriority w:val="99"/>
    <w:semiHidden/>
    <w:unhideWhenUsed/>
    <w:rsid w:val="007D410E"/>
    <w:rPr>
      <w:sz w:val="16"/>
      <w:szCs w:val="16"/>
    </w:rPr>
  </w:style>
  <w:style w:type="paragraph" w:styleId="CommentText">
    <w:name w:val="annotation text"/>
    <w:basedOn w:val="Normal"/>
    <w:link w:val="CommentTextChar"/>
    <w:uiPriority w:val="99"/>
    <w:semiHidden/>
    <w:unhideWhenUsed/>
    <w:rsid w:val="007D410E"/>
  </w:style>
  <w:style w:type="character" w:customStyle="1" w:styleId="CommentTextChar">
    <w:name w:val="Comment Text Char"/>
    <w:basedOn w:val="DefaultParagraphFont"/>
    <w:link w:val="CommentText"/>
    <w:uiPriority w:val="99"/>
    <w:semiHidden/>
    <w:rsid w:val="007D410E"/>
  </w:style>
  <w:style w:type="paragraph" w:styleId="CommentSubject">
    <w:name w:val="annotation subject"/>
    <w:basedOn w:val="CommentText"/>
    <w:next w:val="CommentText"/>
    <w:link w:val="CommentSubjectChar"/>
    <w:uiPriority w:val="99"/>
    <w:semiHidden/>
    <w:unhideWhenUsed/>
    <w:rsid w:val="007D410E"/>
    <w:rPr>
      <w:b/>
      <w:bCs/>
    </w:rPr>
  </w:style>
  <w:style w:type="character" w:customStyle="1" w:styleId="CommentSubjectChar">
    <w:name w:val="Comment Subject Char"/>
    <w:basedOn w:val="CommentTextChar"/>
    <w:link w:val="CommentSubject"/>
    <w:uiPriority w:val="99"/>
    <w:semiHidden/>
    <w:rsid w:val="007D41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doi.org/10.1016/j.rser.2012.05.02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9/TIE.2006.881997"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9</Pages>
  <Words>4405</Words>
  <Characters>25115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Luper Magashi</cp:lastModifiedBy>
  <cp:revision>35</cp:revision>
  <dcterms:created xsi:type="dcterms:W3CDTF">2026-03-22T18:01:00Z</dcterms:created>
  <dcterms:modified xsi:type="dcterms:W3CDTF">2026-03-25T16:39:00Z</dcterms:modified>
</cp:coreProperties>
</file>