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236612" w:rsidTr="00107C72">
        <w:trPr>
          <w:trHeight w:val="290"/>
        </w:trPr>
        <w:tc>
          <w:tcPr>
            <w:tcW w:w="5000" w:type="pct"/>
            <w:gridSpan w:val="2"/>
            <w:tcBorders>
              <w:top w:val="nil"/>
              <w:left w:val="nil"/>
              <w:right w:val="nil"/>
            </w:tcBorders>
          </w:tcPr>
          <w:p w:rsidR="008F1B16" w:rsidRPr="00236612" w:rsidRDefault="008F1B16" w:rsidP="001B33CF">
            <w:pPr>
              <w:rPr>
                <w:rFonts w:ascii="Arial" w:hAnsi="Arial" w:cs="Arial"/>
                <w:sz w:val="20"/>
                <w:szCs w:val="20"/>
                <w:lang w:val="en-GB"/>
              </w:rPr>
            </w:pPr>
          </w:p>
        </w:tc>
      </w:tr>
      <w:tr w:rsidR="008F1B16" w:rsidRPr="00236612" w:rsidTr="00107C72">
        <w:trPr>
          <w:trHeight w:val="290"/>
        </w:trPr>
        <w:tc>
          <w:tcPr>
            <w:tcW w:w="1186" w:type="pct"/>
          </w:tcPr>
          <w:p w:rsidR="008F1B16" w:rsidRPr="00236612" w:rsidRDefault="008F1B16" w:rsidP="00696CAD">
            <w:pPr>
              <w:pStyle w:val="BodyText"/>
              <w:ind w:left="90"/>
              <w:jc w:val="left"/>
              <w:rPr>
                <w:rFonts w:ascii="Arial" w:hAnsi="Arial" w:cs="Arial"/>
                <w:bCs/>
                <w:sz w:val="20"/>
                <w:szCs w:val="20"/>
                <w:lang w:val="en-GB" w:eastAsia="en-US"/>
              </w:rPr>
            </w:pPr>
            <w:r w:rsidRPr="0023661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F1B16" w:rsidRPr="00236612" w:rsidRDefault="00F415EA" w:rsidP="00E65EB7">
            <w:pPr>
              <w:rPr>
                <w:rFonts w:ascii="Arial" w:hAnsi="Arial" w:cs="Arial"/>
                <w:b/>
                <w:bCs/>
                <w:color w:val="0000CC"/>
                <w:sz w:val="20"/>
                <w:szCs w:val="20"/>
                <w:lang w:val="en-IN"/>
              </w:rPr>
            </w:pPr>
            <w:hyperlink r:id="rId7" w:tgtFrame="_parent" w:history="1">
              <w:r w:rsidR="008F1B16" w:rsidRPr="00236612">
                <w:rPr>
                  <w:rFonts w:ascii="Arial" w:hAnsi="Arial" w:cs="Arial"/>
                  <w:b/>
                  <w:bCs/>
                  <w:noProof/>
                  <w:color w:val="0000CC"/>
                  <w:sz w:val="20"/>
                  <w:szCs w:val="20"/>
                  <w:lang w:val="en-IN"/>
                </w:rPr>
                <w:t xml:space="preserve">Journal of Experimental Agriculture International </w:t>
              </w:r>
            </w:hyperlink>
          </w:p>
        </w:tc>
      </w:tr>
      <w:tr w:rsidR="008F1B16" w:rsidRPr="00236612" w:rsidTr="00107C72">
        <w:trPr>
          <w:trHeight w:val="290"/>
        </w:trPr>
        <w:tc>
          <w:tcPr>
            <w:tcW w:w="1186" w:type="pct"/>
          </w:tcPr>
          <w:p w:rsidR="008F1B16" w:rsidRPr="00236612" w:rsidRDefault="008F1B16" w:rsidP="00696CAD">
            <w:pPr>
              <w:pStyle w:val="BodyText"/>
              <w:ind w:left="90"/>
              <w:jc w:val="left"/>
              <w:rPr>
                <w:rFonts w:ascii="Arial" w:hAnsi="Arial" w:cs="Arial"/>
                <w:bCs/>
                <w:sz w:val="20"/>
                <w:szCs w:val="20"/>
                <w:lang w:val="en-GB" w:eastAsia="en-US"/>
              </w:rPr>
            </w:pPr>
            <w:r w:rsidRPr="0023661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F1B16" w:rsidRPr="00236612" w:rsidRDefault="004D3C64" w:rsidP="00F3669D">
            <w:pPr>
              <w:pStyle w:val="NormalWeb"/>
              <w:spacing w:before="0" w:beforeAutospacing="0" w:after="0" w:afterAutospacing="0"/>
              <w:rPr>
                <w:rFonts w:ascii="Arial" w:hAnsi="Arial" w:cs="Arial"/>
                <w:b/>
                <w:bCs/>
                <w:sz w:val="20"/>
                <w:szCs w:val="20"/>
                <w:lang w:val="en-GB"/>
              </w:rPr>
            </w:pPr>
            <w:r w:rsidRPr="00236612">
              <w:rPr>
                <w:rFonts w:ascii="Arial" w:hAnsi="Arial" w:cs="Arial"/>
                <w:b/>
                <w:bCs/>
                <w:sz w:val="20"/>
                <w:szCs w:val="20"/>
                <w:lang w:val="en-GB"/>
              </w:rPr>
              <w:t>Ms_JEAI_155491</w:t>
            </w:r>
          </w:p>
        </w:tc>
      </w:tr>
      <w:tr w:rsidR="008F1B16" w:rsidRPr="00236612" w:rsidTr="00107C72">
        <w:trPr>
          <w:trHeight w:val="650"/>
        </w:trPr>
        <w:tc>
          <w:tcPr>
            <w:tcW w:w="1186" w:type="pct"/>
          </w:tcPr>
          <w:p w:rsidR="008F1B16" w:rsidRPr="00236612" w:rsidRDefault="008F1B16" w:rsidP="00696CAD">
            <w:pPr>
              <w:pStyle w:val="BodyText"/>
              <w:ind w:left="90"/>
              <w:jc w:val="left"/>
              <w:rPr>
                <w:rFonts w:ascii="Arial" w:hAnsi="Arial" w:cs="Arial"/>
                <w:bCs/>
                <w:sz w:val="20"/>
                <w:szCs w:val="20"/>
                <w:lang w:val="en-GB" w:eastAsia="en-US"/>
              </w:rPr>
            </w:pPr>
            <w:r w:rsidRPr="0023661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F1B16" w:rsidRPr="00236612" w:rsidRDefault="004D3C64" w:rsidP="000450FC">
            <w:pPr>
              <w:pStyle w:val="NormalWeb"/>
              <w:spacing w:before="0" w:beforeAutospacing="0" w:after="0" w:afterAutospacing="0"/>
              <w:rPr>
                <w:rFonts w:ascii="Arial" w:hAnsi="Arial" w:cs="Arial"/>
                <w:b/>
                <w:sz w:val="20"/>
                <w:szCs w:val="20"/>
                <w:lang w:val="en-GB"/>
              </w:rPr>
            </w:pPr>
            <w:r w:rsidRPr="00236612">
              <w:rPr>
                <w:rFonts w:ascii="Arial" w:hAnsi="Arial" w:cs="Arial"/>
                <w:b/>
                <w:sz w:val="20"/>
                <w:szCs w:val="20"/>
                <w:lang w:val="en-GB"/>
              </w:rPr>
              <w:t>Export Composition and Competitiveness of India’s Fresh Mangoes in the Global Market</w:t>
            </w:r>
          </w:p>
        </w:tc>
      </w:tr>
      <w:tr w:rsidR="008F1B16" w:rsidRPr="00236612" w:rsidTr="00107C72">
        <w:trPr>
          <w:trHeight w:val="332"/>
        </w:trPr>
        <w:tc>
          <w:tcPr>
            <w:tcW w:w="1186" w:type="pct"/>
          </w:tcPr>
          <w:p w:rsidR="008F1B16" w:rsidRPr="00236612" w:rsidRDefault="008F1B16" w:rsidP="00696CAD">
            <w:pPr>
              <w:pStyle w:val="BodyText"/>
              <w:ind w:left="90"/>
              <w:jc w:val="left"/>
              <w:rPr>
                <w:rFonts w:ascii="Arial" w:hAnsi="Arial" w:cs="Arial"/>
                <w:bCs/>
                <w:sz w:val="20"/>
                <w:szCs w:val="20"/>
                <w:lang w:val="en-GB" w:eastAsia="en-US"/>
              </w:rPr>
            </w:pPr>
            <w:r w:rsidRPr="0023661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F1B16" w:rsidRPr="00236612" w:rsidRDefault="008F1B16" w:rsidP="000450FC">
            <w:pPr>
              <w:pStyle w:val="NormalWeb"/>
              <w:spacing w:before="0" w:beforeAutospacing="0" w:after="0" w:afterAutospacing="0"/>
              <w:rPr>
                <w:rFonts w:ascii="Arial" w:hAnsi="Arial" w:cs="Arial"/>
                <w:b/>
                <w:sz w:val="20"/>
                <w:szCs w:val="20"/>
                <w:lang w:val="en-GB"/>
              </w:rPr>
            </w:pPr>
            <w:r w:rsidRPr="00236612">
              <w:rPr>
                <w:rFonts w:ascii="Arial" w:hAnsi="Arial" w:cs="Arial"/>
                <w:b/>
                <w:sz w:val="20"/>
                <w:szCs w:val="20"/>
                <w:lang w:val="en-GB"/>
              </w:rPr>
              <w:t>Research Article</w:t>
            </w:r>
          </w:p>
        </w:tc>
      </w:tr>
    </w:tbl>
    <w:p w:rsidR="008F1B16" w:rsidRPr="00236612" w:rsidRDefault="008F1B16" w:rsidP="008F1B16">
      <w:pPr>
        <w:pStyle w:val="BodyText"/>
        <w:rPr>
          <w:rFonts w:ascii="Arial" w:hAnsi="Arial" w:cs="Arial"/>
          <w:b/>
          <w:bCs/>
          <w:sz w:val="20"/>
          <w:szCs w:val="20"/>
          <w:u w:val="single"/>
          <w:lang w:val="en-GB"/>
        </w:rPr>
      </w:pPr>
    </w:p>
    <w:p w:rsidR="008F1B16" w:rsidRPr="00236612" w:rsidRDefault="008F1B16" w:rsidP="008F1B16">
      <w:pPr>
        <w:pStyle w:val="BodyText"/>
        <w:rPr>
          <w:rFonts w:ascii="Arial" w:hAnsi="Arial" w:cs="Arial"/>
          <w:sz w:val="20"/>
          <w:szCs w:val="20"/>
          <w:lang w:val="en-GB"/>
        </w:rPr>
      </w:pPr>
    </w:p>
    <w:p w:rsidR="008F1B16" w:rsidRPr="00236612" w:rsidRDefault="008F1B16" w:rsidP="008F1B16">
      <w:pPr>
        <w:pStyle w:val="BodyText"/>
        <w:rPr>
          <w:rFonts w:ascii="Arial" w:hAnsi="Arial" w:cs="Arial"/>
          <w:b/>
          <w:sz w:val="20"/>
          <w:szCs w:val="20"/>
          <w:lang w:val="en-GB"/>
        </w:rPr>
      </w:pPr>
      <w:r w:rsidRPr="00236612">
        <w:rPr>
          <w:rFonts w:ascii="Arial" w:hAnsi="Arial" w:cs="Arial"/>
          <w:b/>
          <w:sz w:val="20"/>
          <w:szCs w:val="20"/>
          <w:highlight w:val="yellow"/>
          <w:lang w:val="en-GB"/>
        </w:rPr>
        <w:t>PART 1</w:t>
      </w:r>
    </w:p>
    <w:p w:rsidR="008F1B16" w:rsidRPr="00236612" w:rsidRDefault="008F1B16" w:rsidP="008F1B16">
      <w:pPr>
        <w:pStyle w:val="BodyText"/>
        <w:rPr>
          <w:rFonts w:ascii="Arial" w:hAnsi="Arial" w:cs="Arial"/>
          <w:b/>
          <w:sz w:val="20"/>
          <w:szCs w:val="20"/>
          <w:u w:val="single"/>
          <w:lang w:val="en-GB"/>
        </w:rPr>
      </w:pPr>
    </w:p>
    <w:p w:rsidR="008F1B16" w:rsidRPr="00236612"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8F1B16" w:rsidRPr="00236612" w:rsidTr="00770EEE">
        <w:tc>
          <w:tcPr>
            <w:tcW w:w="1789" w:type="pct"/>
            <w:noWrap/>
          </w:tcPr>
          <w:p w:rsidR="008F1B16" w:rsidRPr="00236612" w:rsidRDefault="008F1B16" w:rsidP="00EF2F8A">
            <w:pPr>
              <w:pStyle w:val="Heading2"/>
              <w:jc w:val="left"/>
              <w:rPr>
                <w:rFonts w:ascii="Arial" w:hAnsi="Arial" w:cs="Arial"/>
                <w:lang w:val="en-GB" w:eastAsia="en-US"/>
              </w:rPr>
            </w:pPr>
          </w:p>
        </w:tc>
        <w:tc>
          <w:tcPr>
            <w:tcW w:w="1844" w:type="pct"/>
          </w:tcPr>
          <w:p w:rsidR="008F1B16" w:rsidRPr="00236612" w:rsidRDefault="008F1B16" w:rsidP="0037074A">
            <w:pPr>
              <w:pStyle w:val="Heading2"/>
              <w:jc w:val="left"/>
              <w:rPr>
                <w:rFonts w:ascii="Arial" w:hAnsi="Arial" w:cs="Arial"/>
                <w:lang w:val="en-GB" w:eastAsia="en-US"/>
              </w:rPr>
            </w:pPr>
            <w:r w:rsidRPr="00236612">
              <w:rPr>
                <w:rFonts w:ascii="Arial" w:hAnsi="Arial" w:cs="Arial"/>
                <w:lang w:val="en-GB" w:eastAsia="en-US"/>
              </w:rPr>
              <w:t>Comments of the Reviewers</w:t>
            </w:r>
          </w:p>
        </w:tc>
        <w:tc>
          <w:tcPr>
            <w:tcW w:w="1367" w:type="pct"/>
          </w:tcPr>
          <w:p w:rsidR="008F1B16" w:rsidRPr="00236612" w:rsidRDefault="008F1B16" w:rsidP="00EF2F8A">
            <w:pPr>
              <w:spacing w:after="160" w:line="259" w:lineRule="auto"/>
              <w:rPr>
                <w:rFonts w:ascii="Arial" w:eastAsia="Calibri" w:hAnsi="Arial" w:cs="Arial"/>
                <w:kern w:val="2"/>
                <w:sz w:val="20"/>
                <w:szCs w:val="20"/>
                <w:lang w:val="en-GB"/>
              </w:rPr>
            </w:pPr>
            <w:r w:rsidRPr="00236612">
              <w:rPr>
                <w:rFonts w:ascii="Arial" w:eastAsia="Calibri" w:hAnsi="Arial" w:cs="Arial"/>
                <w:b/>
                <w:kern w:val="2"/>
                <w:sz w:val="20"/>
                <w:szCs w:val="20"/>
                <w:lang w:val="en-GB"/>
              </w:rPr>
              <w:t>Author’s Feedback</w:t>
            </w:r>
            <w:r w:rsidRPr="00236612">
              <w:rPr>
                <w:rFonts w:ascii="Arial" w:eastAsia="Calibri" w:hAnsi="Arial" w:cs="Arial"/>
                <w:kern w:val="2"/>
                <w:sz w:val="20"/>
                <w:szCs w:val="20"/>
                <w:lang w:val="en-GB"/>
              </w:rPr>
              <w:t xml:space="preserve"> </w:t>
            </w:r>
          </w:p>
          <w:p w:rsidR="008F1B16" w:rsidRPr="00236612" w:rsidRDefault="008F1B16" w:rsidP="00EF2F8A">
            <w:pPr>
              <w:pStyle w:val="Heading2"/>
              <w:jc w:val="left"/>
              <w:rPr>
                <w:rFonts w:ascii="Arial" w:hAnsi="Arial" w:cs="Arial"/>
                <w:b w:val="0"/>
                <w:lang w:val="en-GB" w:eastAsia="en-US"/>
              </w:rPr>
            </w:pPr>
          </w:p>
        </w:tc>
      </w:tr>
      <w:tr w:rsidR="008F1B16" w:rsidRPr="00236612" w:rsidTr="00770EEE">
        <w:trPr>
          <w:trHeight w:val="1264"/>
        </w:trPr>
        <w:tc>
          <w:tcPr>
            <w:tcW w:w="1789" w:type="pct"/>
            <w:noWrap/>
          </w:tcPr>
          <w:p w:rsidR="008F1B16" w:rsidRPr="00236612" w:rsidRDefault="008F1B16" w:rsidP="00EF2F8A">
            <w:pPr>
              <w:rPr>
                <w:rFonts w:ascii="Arial" w:eastAsia="MS Mincho" w:hAnsi="Arial" w:cs="Arial"/>
                <w:bCs/>
                <w:sz w:val="20"/>
                <w:szCs w:val="20"/>
                <w:lang w:val="en-GB"/>
              </w:rPr>
            </w:pPr>
            <w:r w:rsidRPr="00236612">
              <w:rPr>
                <w:rFonts w:ascii="Arial" w:hAnsi="Arial" w:cs="Arial"/>
                <w:b/>
                <w:bCs/>
                <w:sz w:val="20"/>
                <w:szCs w:val="20"/>
                <w:lang w:val="en-GB"/>
              </w:rPr>
              <w:t>Please write a few sentences regarding the importance of this manuscript for the scientific community.</w:t>
            </w:r>
            <w:r w:rsidRPr="00236612">
              <w:rPr>
                <w:rFonts w:ascii="Arial" w:hAnsi="Arial" w:cs="Arial"/>
                <w:bCs/>
                <w:sz w:val="20"/>
                <w:szCs w:val="20"/>
                <w:lang w:val="en-GB"/>
              </w:rPr>
              <w:t xml:space="preserve"> A minimum of 3-4 sentences may be required for this part.</w:t>
            </w:r>
          </w:p>
        </w:tc>
        <w:tc>
          <w:tcPr>
            <w:tcW w:w="1844" w:type="pct"/>
          </w:tcPr>
          <w:p w:rsidR="008F1B16" w:rsidRPr="00236612" w:rsidRDefault="0065161E" w:rsidP="00EF2F8A">
            <w:pPr>
              <w:pStyle w:val="ListParagraph"/>
              <w:ind w:left="0"/>
              <w:rPr>
                <w:rFonts w:ascii="Arial" w:hAnsi="Arial" w:cs="Arial"/>
                <w:bCs/>
                <w:sz w:val="20"/>
                <w:szCs w:val="20"/>
                <w:lang w:val="en-GB"/>
              </w:rPr>
            </w:pPr>
            <w:r w:rsidRPr="00236612">
              <w:rPr>
                <w:rFonts w:ascii="Arial" w:hAnsi="Arial" w:cs="Arial"/>
                <w:bCs/>
                <w:sz w:val="20"/>
                <w:szCs w:val="20"/>
                <w:lang w:val="en-GB"/>
              </w:rPr>
              <w:t>This manuscript provides a systematic, variety-wise analysis of India’s fresh mango exports over a recent and policy</w:t>
            </w:r>
            <w:r w:rsidRPr="00236612">
              <w:rPr>
                <w:rFonts w:ascii="Cambria Math" w:hAnsi="Cambria Math" w:cs="Cambria Math"/>
                <w:bCs/>
                <w:sz w:val="20"/>
                <w:szCs w:val="20"/>
                <w:lang w:val="en-GB"/>
              </w:rPr>
              <w:t>‑</w:t>
            </w:r>
            <w:r w:rsidRPr="00236612">
              <w:rPr>
                <w:rFonts w:ascii="Arial" w:hAnsi="Arial" w:cs="Arial"/>
                <w:bCs/>
                <w:sz w:val="20"/>
                <w:szCs w:val="20"/>
                <w:lang w:val="en-GB"/>
              </w:rPr>
              <w:t>relevant period (2020–21 to 2023–24), filling a clear gap in the agribusiness and agricultural economics literature where most studies focus either on aggregate mango exports or broader horticultural trade. By combining varietal export composition, growth performance, and formal competitiveness indicators (RCA, RSCA, HHI), it offers an integrated view of how specific cultivars such as Alphonso, Kesar, and Chausa perform in global markets, which is directly useful for exporters, producer organizations, and policymakers. The documentation of a weakening comparative advantage and a highly concentrated market structure centred on the UAE raises important strategic questions for diversification, value addition, and quality upgrading in India’s mango value chain. Overall, the study contributes empirical evidence that can inform export promotion strategies, investment in post</w:t>
            </w:r>
            <w:r w:rsidRPr="00236612">
              <w:rPr>
                <w:rFonts w:ascii="Cambria Math" w:hAnsi="Cambria Math" w:cs="Cambria Math"/>
                <w:bCs/>
                <w:sz w:val="20"/>
                <w:szCs w:val="20"/>
                <w:lang w:val="en-GB"/>
              </w:rPr>
              <w:t>‑</w:t>
            </w:r>
            <w:r w:rsidRPr="00236612">
              <w:rPr>
                <w:rFonts w:ascii="Arial" w:hAnsi="Arial" w:cs="Arial"/>
                <w:bCs/>
                <w:sz w:val="20"/>
                <w:szCs w:val="20"/>
                <w:lang w:val="en-GB"/>
              </w:rPr>
              <w:t>harvest infrastructure, and varietal promotion policies in one of India’s most important high</w:t>
            </w:r>
            <w:r w:rsidRPr="00236612">
              <w:rPr>
                <w:rFonts w:ascii="Cambria Math" w:hAnsi="Cambria Math" w:cs="Cambria Math"/>
                <w:bCs/>
                <w:sz w:val="20"/>
                <w:szCs w:val="20"/>
                <w:lang w:val="en-GB"/>
              </w:rPr>
              <w:t>‑</w:t>
            </w:r>
            <w:r w:rsidRPr="00236612">
              <w:rPr>
                <w:rFonts w:ascii="Arial" w:hAnsi="Arial" w:cs="Arial"/>
                <w:bCs/>
                <w:sz w:val="20"/>
                <w:szCs w:val="20"/>
                <w:lang w:val="en-GB"/>
              </w:rPr>
              <w:t>value fruit crops.</w:t>
            </w:r>
          </w:p>
        </w:tc>
        <w:tc>
          <w:tcPr>
            <w:tcW w:w="1367" w:type="pct"/>
          </w:tcPr>
          <w:p w:rsidR="008F1B16" w:rsidRPr="00236612" w:rsidRDefault="008F1B16" w:rsidP="00EF2F8A">
            <w:pPr>
              <w:pStyle w:val="Heading2"/>
              <w:jc w:val="left"/>
              <w:rPr>
                <w:rFonts w:ascii="Arial" w:hAnsi="Arial" w:cs="Arial"/>
                <w:b w:val="0"/>
                <w:lang w:val="en-GB" w:eastAsia="en-US"/>
              </w:rPr>
            </w:pPr>
          </w:p>
        </w:tc>
      </w:tr>
    </w:tbl>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rPr>
          <w:rFonts w:ascii="Arial" w:hAnsi="Arial" w:cs="Arial"/>
          <w:sz w:val="20"/>
          <w:szCs w:val="20"/>
          <w:lang w:val="en-GB"/>
        </w:rPr>
      </w:pPr>
    </w:p>
    <w:p w:rsidR="008F1B16" w:rsidRPr="00236612" w:rsidRDefault="008F1B16" w:rsidP="008F1B16">
      <w:pPr>
        <w:pStyle w:val="Heading2"/>
        <w:jc w:val="left"/>
        <w:rPr>
          <w:rFonts w:ascii="Arial" w:hAnsi="Arial" w:cs="Arial"/>
          <w:lang w:val="en-GB" w:eastAsia="en-US"/>
        </w:rPr>
      </w:pPr>
      <w:r w:rsidRPr="00236612">
        <w:rPr>
          <w:rFonts w:ascii="Arial" w:hAnsi="Arial" w:cs="Arial"/>
          <w:highlight w:val="yellow"/>
          <w:lang w:val="en-GB" w:eastAsia="en-US"/>
        </w:rPr>
        <w:t>PART  2</w:t>
      </w:r>
    </w:p>
    <w:p w:rsidR="008F1B16" w:rsidRPr="00236612"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8F1B16" w:rsidRPr="00236612" w:rsidTr="00107C72">
        <w:tc>
          <w:tcPr>
            <w:tcW w:w="5000" w:type="pct"/>
            <w:gridSpan w:val="3"/>
            <w:tcBorders>
              <w:top w:val="nil"/>
              <w:left w:val="nil"/>
              <w:right w:val="nil"/>
            </w:tcBorders>
            <w:noWrap/>
          </w:tcPr>
          <w:p w:rsidR="008F1B16" w:rsidRPr="00236612" w:rsidRDefault="008F1B16" w:rsidP="00177B84">
            <w:pPr>
              <w:rPr>
                <w:rFonts w:ascii="Arial" w:hAnsi="Arial" w:cs="Arial"/>
                <w:sz w:val="20"/>
                <w:szCs w:val="20"/>
                <w:lang w:val="en-GB"/>
              </w:rPr>
            </w:pPr>
          </w:p>
          <w:p w:rsidR="008F1B16" w:rsidRPr="00236612" w:rsidRDefault="008F1B16">
            <w:pPr>
              <w:rPr>
                <w:rFonts w:ascii="Arial" w:hAnsi="Arial" w:cs="Arial"/>
                <w:sz w:val="20"/>
                <w:szCs w:val="20"/>
                <w:lang w:val="en-GB"/>
              </w:rPr>
            </w:pPr>
          </w:p>
        </w:tc>
      </w:tr>
      <w:tr w:rsidR="008F1B16" w:rsidRPr="00236612" w:rsidTr="00107C72">
        <w:tc>
          <w:tcPr>
            <w:tcW w:w="1790" w:type="pct"/>
            <w:noWrap/>
          </w:tcPr>
          <w:p w:rsidR="008F1B16" w:rsidRPr="00236612" w:rsidRDefault="008F1B16">
            <w:pPr>
              <w:pStyle w:val="Heading2"/>
              <w:jc w:val="left"/>
              <w:rPr>
                <w:rFonts w:ascii="Arial" w:hAnsi="Arial" w:cs="Arial"/>
                <w:lang w:val="en-GB" w:eastAsia="en-US"/>
              </w:rPr>
            </w:pPr>
          </w:p>
        </w:tc>
        <w:tc>
          <w:tcPr>
            <w:tcW w:w="1843" w:type="pct"/>
          </w:tcPr>
          <w:p w:rsidR="008F1B16" w:rsidRPr="00236612" w:rsidRDefault="008F1B16" w:rsidP="0037074A">
            <w:pPr>
              <w:pStyle w:val="Heading2"/>
              <w:jc w:val="left"/>
              <w:rPr>
                <w:rFonts w:ascii="Arial" w:hAnsi="Arial" w:cs="Arial"/>
                <w:lang w:val="en-GB" w:eastAsia="en-US"/>
              </w:rPr>
            </w:pPr>
            <w:r w:rsidRPr="00236612">
              <w:rPr>
                <w:rFonts w:ascii="Arial" w:hAnsi="Arial" w:cs="Arial"/>
                <w:lang w:val="en-GB" w:eastAsia="en-US"/>
              </w:rPr>
              <w:t>Rating of the Reviewers</w:t>
            </w:r>
          </w:p>
        </w:tc>
        <w:tc>
          <w:tcPr>
            <w:tcW w:w="1367" w:type="pct"/>
          </w:tcPr>
          <w:p w:rsidR="008F1B16" w:rsidRPr="00236612" w:rsidRDefault="008F1B16" w:rsidP="00113BA5">
            <w:pPr>
              <w:spacing w:after="160" w:line="259" w:lineRule="auto"/>
              <w:rPr>
                <w:rFonts w:ascii="Arial" w:hAnsi="Arial" w:cs="Arial"/>
                <w:b/>
                <w:sz w:val="20"/>
                <w:szCs w:val="20"/>
                <w:lang w:val="en-GB"/>
              </w:rPr>
            </w:pPr>
            <w:r w:rsidRPr="00236612">
              <w:rPr>
                <w:rFonts w:ascii="Arial" w:eastAsia="Calibri" w:hAnsi="Arial" w:cs="Arial"/>
                <w:b/>
                <w:kern w:val="2"/>
                <w:sz w:val="20"/>
                <w:szCs w:val="20"/>
                <w:lang w:val="en-GB"/>
              </w:rPr>
              <w:t>Author’s Feedback</w:t>
            </w:r>
            <w:r w:rsidRPr="00236612">
              <w:rPr>
                <w:rFonts w:ascii="Arial" w:eastAsia="Calibri" w:hAnsi="Arial" w:cs="Arial"/>
                <w:kern w:val="2"/>
                <w:sz w:val="20"/>
                <w:szCs w:val="20"/>
                <w:lang w:val="en-GB"/>
              </w:rPr>
              <w:t xml:space="preserve"> </w:t>
            </w:r>
          </w:p>
        </w:tc>
      </w:tr>
      <w:tr w:rsidR="008F1B16" w:rsidRPr="00236612" w:rsidTr="00107C72">
        <w:trPr>
          <w:trHeight w:val="1262"/>
        </w:trPr>
        <w:tc>
          <w:tcPr>
            <w:tcW w:w="1790" w:type="pct"/>
            <w:noWrap/>
          </w:tcPr>
          <w:p w:rsidR="008F1B16" w:rsidRPr="00236612" w:rsidRDefault="008F1B16" w:rsidP="00993080">
            <w:pPr>
              <w:rPr>
                <w:rFonts w:ascii="Arial" w:hAnsi="Arial" w:cs="Arial"/>
                <w:b/>
                <w:bCs/>
                <w:sz w:val="20"/>
                <w:szCs w:val="20"/>
                <w:lang w:val="en-GB"/>
              </w:rPr>
            </w:pPr>
            <w:r w:rsidRPr="00236612">
              <w:rPr>
                <w:rFonts w:ascii="Arial" w:hAnsi="Arial" w:cs="Arial"/>
                <w:b/>
                <w:bCs/>
                <w:sz w:val="20"/>
                <w:szCs w:val="20"/>
                <w:lang w:val="en-GB"/>
              </w:rPr>
              <w:t xml:space="preserve">1. Is the title clear and appropriate for the study? </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u w:val="single"/>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5 (Excellent)</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title accurately reflects the core focus of the paper: it clearly mentions “Export Composition” and “Competitiveness” of India’s fresh mangoes in the global market, which corresponds directly to the analysis of varietal trade composition, RCA/RSCA, and HHI presented in the manuscript</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eastAsia="en-US"/>
              </w:rPr>
            </w:pPr>
            <w:r w:rsidRPr="00236612">
              <w:rPr>
                <w:rFonts w:ascii="Arial" w:hAnsi="Arial" w:cs="Arial"/>
                <w:lang w:val="en-GB" w:eastAsia="en-US"/>
              </w:rPr>
              <w:lastRenderedPageBreak/>
              <w:t xml:space="preserve">2. Is the abstract of the article comprehensive? </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236612" w:rsidRDefault="0065161E" w:rsidP="0065161E">
            <w:pPr>
              <w:rPr>
                <w:rFonts w:ascii="Arial" w:hAnsi="Arial" w:cs="Arial"/>
                <w:bCs/>
                <w:sz w:val="20"/>
                <w:szCs w:val="20"/>
                <w:lang w:val="en-GB"/>
              </w:rPr>
            </w:pPr>
            <w:r w:rsidRPr="00236612">
              <w:rPr>
                <w:rFonts w:ascii="Arial" w:hAnsi="Arial" w:cs="Arial"/>
                <w:bCs/>
                <w:sz w:val="20"/>
                <w:szCs w:val="20"/>
              </w:rPr>
              <w:t>Rating: 4 (Good)</w:t>
            </w:r>
            <w:r w:rsidRPr="00236612">
              <w:rPr>
                <w:rFonts w:ascii="Arial" w:hAnsi="Arial" w:cs="Arial"/>
                <w:bCs/>
                <w:sz w:val="20"/>
                <w:szCs w:val="20"/>
              </w:rPr>
              <w:br/>
              <w:t>The abstract concisely presents the period of analysis, data sources (APEDA and ITC Trade Map), main quantitative results on growth (CAGR in volume and value), varietal performance (Kesar, Chausa, Alphonso), declining RCA/RSCA, and market concentration in the UAE. It is comprehensive but could be slightly strengthened by stating the methods (RCA, RSCA, HHI) more explicitly and tightening a couple of long sentences.</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3. Are the keywords appropriate and useful?</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eastAsia="x-none"/>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5 (Excellent)</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keywords (“Mango exports, Trade composition, Market concentration, Revealed Comparative Advantage”) correspond well to the main analytical dimensions of the paper and are standard terms in agribusiness and trade economics, making the manuscript easily discoverable for relevant audiences.</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4. Is the background information of the paper sufficient and well organized?</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eastAsia="x-none"/>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introduction provides adequate global and national context on mango origin, global production, India’s production share, and international trade trends, supported by references. The background is rich and logically structured, though some historical details could be shortened to focus more on the trade and competitiveness problem.</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5. Are the research objectives/hypotheses clearly stated?</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eastAsia="x-none"/>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objectives—to analyse trade composition and growth of fresh mango varieties, assess India’s export competitiveness using RCA/RSCA, and evaluate market concentration via HHI—are clearly implied and traceable in the methodology and results sections, even if not formulated as numbered objectives or hypotheses.</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6. Is the literature review relevant and up to date?</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eastAsia="x-none"/>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manuscript cites relevant work on mango production, global trade, export competitiveness and agricultural export composition, including recent FAO/FAOSTAT and related studies. It is adequate and pertinent, though there is scope to incorporate a few more recent empirical studies specifically on mango export competitiveness.</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7. Is the research methodology appropriate for the study?</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5 (Excellent)</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use of descriptive statistics, Balassa’s RCA, RSCA, and Herfindahl–Hirschman Index is methodologically sound and standard for analysing export performance, comparative advantage, and market concentration in agricultural trade. The chosen tools are well matched to the research questions and data structure.</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1262"/>
        </w:trPr>
        <w:tc>
          <w:tcPr>
            <w:tcW w:w="1790" w:type="pct"/>
            <w:noWrap/>
          </w:tcPr>
          <w:p w:rsidR="008F1B16" w:rsidRPr="00236612" w:rsidRDefault="008F1B16" w:rsidP="00993080">
            <w:pPr>
              <w:pStyle w:val="Heading2"/>
              <w:jc w:val="left"/>
              <w:rPr>
                <w:rFonts w:ascii="Arial" w:hAnsi="Arial" w:cs="Arial"/>
                <w:lang w:val="en-GB"/>
              </w:rPr>
            </w:pPr>
            <w:r w:rsidRPr="00236612">
              <w:rPr>
                <w:rFonts w:ascii="Arial" w:hAnsi="Arial" w:cs="Arial"/>
                <w:lang w:val="en-GB"/>
              </w:rPr>
              <w:t>8. Were ethical issues properly addressed (if applicable)?</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eastAsia="x-none"/>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N/A (Not Applicable)</w:t>
            </w:r>
          </w:p>
          <w:p w:rsidR="008F1B16" w:rsidRPr="00236612" w:rsidRDefault="0065161E" w:rsidP="0065161E">
            <w:pPr>
              <w:rPr>
                <w:rFonts w:ascii="Arial" w:hAnsi="Arial" w:cs="Arial"/>
                <w:bCs/>
                <w:sz w:val="20"/>
                <w:szCs w:val="20"/>
                <w:lang w:val="en-GB"/>
              </w:rPr>
            </w:pPr>
            <w:r w:rsidRPr="00236612">
              <w:rPr>
                <w:rFonts w:ascii="Arial" w:hAnsi="Arial" w:cs="Arial"/>
                <w:bCs/>
                <w:sz w:val="20"/>
                <w:szCs w:val="20"/>
                <w:lang w:val="en-GB"/>
              </w:rPr>
              <w:t>The study is entirely based on secondary data from official sources and does not involve human or animal subjects, experiments, or primary surveys; therefore, explicit ethical procedures are not applicable in this context.</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 xml:space="preserve">9. Are the results presented clearly? </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bCs/>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Results are presented in a logical order: varietal growth in volume and value (Tables 1–4), competitiveness indicators over time (Table 5), market shares of importing countries (Table 6), and HHI-based concentration (Table 7). The narrative clearly explains key trends such as the rise of Kesar and Chausa, decline of Alphonso, and declining RCA, although a few sentences could be streamlined for even greater clarity.</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10. Are tables and figures clear, relevant, and necessary?</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The tables provide detailed varietal breakdowns, growth rates, competitiveness indices, and market concentration measures that are essential for supporting the conclusions. The figures summarizing percentage shares by variety and value are relevant and helpful, though consistent formatting and clearer labelling of axes and units would further improve presentation.</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11. Does the discussion relate findings to existing literature?</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3 (Satisfactory)</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The discussion occasionally links the findings (e.g., declining comparative advantage and export composition) to previous studies such as Dastagiri et al. (2013) and Thomas and Sheikh (2011). However, these comparisons are relatively brief, and the integration with existing literature could be more systematic</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12. Are the conclusions supported by the data?</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lastRenderedPageBreak/>
              <w:t>Rating: 5 (Excellent)</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 xml:space="preserve">The conclusions about uneven varietal performance, dominance of “Other Mangoes”, weakening </w:t>
            </w:r>
            <w:r w:rsidRPr="00236612">
              <w:rPr>
                <w:rFonts w:ascii="Arial" w:hAnsi="Arial" w:cs="Arial"/>
                <w:bCs/>
                <w:sz w:val="20"/>
                <w:szCs w:val="20"/>
                <w:lang w:val="en-GB"/>
              </w:rPr>
              <w:lastRenderedPageBreak/>
              <w:t>comparative advantage (RCA/RSCA), and high market concentration in favour of the UAE are directly supported by the empirical evidence in Tables 1–7. The recommended need for diversification, quality improvement, and market expansion follows logically from the presented results</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13. Are the limitations of the study discussed?</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3 (Satisfactory)</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The manuscript alludes to constraints such as limited years of varietal data and reliance on secondary sources, but these limitations are not elaborated in a dedicated section. A more explicit statement of limitations (e.g., exclusion of price/competitiveness on cost side, focus only on fresh and not processed mangoes) would strengthen the methodological transparency.</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14. Are the references relevant and sufficient (in number)?</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5 = Excellent 4 = Good 3 = Satisfactory 2 = Needs Improvement 1 = Poor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The references include key scientific and institutional sources relevant to mango production, trade, and competitiveness, and they adequately support the conceptual and empirical framework. While sufficient in number, adding a few more recent empirical studies on horticultural export competitiveness could further reinforce the reference base.</w:t>
            </w:r>
          </w:p>
        </w:tc>
        <w:tc>
          <w:tcPr>
            <w:tcW w:w="1367" w:type="pct"/>
          </w:tcPr>
          <w:p w:rsidR="008F1B16" w:rsidRPr="00236612" w:rsidRDefault="008F1B16">
            <w:pPr>
              <w:pStyle w:val="Heading2"/>
              <w:jc w:val="left"/>
              <w:rPr>
                <w:rFonts w:ascii="Arial" w:hAnsi="Arial" w:cs="Arial"/>
                <w:b w:val="0"/>
                <w:lang w:val="en-GB" w:eastAsia="en-US"/>
              </w:rPr>
            </w:pPr>
          </w:p>
        </w:tc>
      </w:tr>
      <w:tr w:rsidR="008F1B16" w:rsidRPr="00236612" w:rsidTr="00107C72">
        <w:trPr>
          <w:trHeight w:val="703"/>
        </w:trPr>
        <w:tc>
          <w:tcPr>
            <w:tcW w:w="1790" w:type="pct"/>
            <w:noWrap/>
          </w:tcPr>
          <w:p w:rsidR="008F1B16" w:rsidRPr="00236612" w:rsidRDefault="008F1B16" w:rsidP="00993080">
            <w:pPr>
              <w:rPr>
                <w:rFonts w:ascii="Arial" w:hAnsi="Arial" w:cs="Arial"/>
                <w:b/>
                <w:sz w:val="20"/>
                <w:szCs w:val="20"/>
                <w:lang w:val="en-GB"/>
              </w:rPr>
            </w:pPr>
            <w:r w:rsidRPr="00236612">
              <w:rPr>
                <w:rFonts w:ascii="Arial" w:hAnsi="Arial" w:cs="Arial"/>
                <w:b/>
                <w:sz w:val="20"/>
                <w:szCs w:val="20"/>
                <w:lang w:val="en-GB"/>
              </w:rPr>
              <w:t>15. Is the manuscript written in clear and understandable language?</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Rating Scale: </w:t>
            </w:r>
          </w:p>
          <w:p w:rsidR="008F1B16" w:rsidRPr="00236612" w:rsidRDefault="008F1B16" w:rsidP="0075138B">
            <w:pPr>
              <w:rPr>
                <w:rFonts w:ascii="Arial" w:hAnsi="Arial" w:cs="Arial"/>
                <w:color w:val="404040"/>
                <w:sz w:val="20"/>
                <w:szCs w:val="20"/>
                <w:shd w:val="clear" w:color="auto" w:fill="FFFFFF"/>
                <w:lang w:val="en-GB"/>
              </w:rPr>
            </w:pPr>
            <w:r w:rsidRPr="00236612">
              <w:rPr>
                <w:rFonts w:ascii="Arial" w:hAnsi="Arial" w:cs="Arial"/>
                <w:color w:val="404040"/>
                <w:sz w:val="20"/>
                <w:szCs w:val="20"/>
                <w:shd w:val="clear" w:color="auto" w:fill="FFFFFF"/>
                <w:lang w:val="en-GB"/>
              </w:rPr>
              <w:t xml:space="preserve">5 = Excellent 4 = Good 3 = Satisfactory 2 = Needs Improvement 1 = Poor </w:t>
            </w:r>
          </w:p>
          <w:p w:rsidR="008F1B16" w:rsidRPr="00236612" w:rsidRDefault="008F1B16" w:rsidP="0075138B">
            <w:pPr>
              <w:rPr>
                <w:rFonts w:ascii="Arial" w:hAnsi="Arial" w:cs="Arial"/>
                <w:sz w:val="20"/>
                <w:szCs w:val="20"/>
                <w:lang w:val="en-GB"/>
              </w:rPr>
            </w:pPr>
            <w:r w:rsidRPr="00236612">
              <w:rPr>
                <w:rFonts w:ascii="Arial" w:hAnsi="Arial" w:cs="Arial"/>
                <w:color w:val="404040"/>
                <w:sz w:val="20"/>
                <w:szCs w:val="20"/>
                <w:shd w:val="clear" w:color="auto" w:fill="FFFFFF"/>
                <w:lang w:val="en-GB"/>
              </w:rPr>
              <w:t>N/A = Not Applicable</w:t>
            </w:r>
          </w:p>
        </w:tc>
        <w:tc>
          <w:tcPr>
            <w:tcW w:w="1843" w:type="pct"/>
          </w:tcPr>
          <w:p w:rsidR="0065161E" w:rsidRPr="00236612" w:rsidRDefault="0065161E" w:rsidP="0065161E">
            <w:pPr>
              <w:rPr>
                <w:rFonts w:ascii="Arial" w:hAnsi="Arial" w:cs="Arial"/>
                <w:bCs/>
                <w:sz w:val="20"/>
                <w:szCs w:val="20"/>
                <w:lang w:val="en-GB"/>
              </w:rPr>
            </w:pPr>
            <w:r w:rsidRPr="00236612">
              <w:rPr>
                <w:rFonts w:ascii="Arial" w:hAnsi="Arial" w:cs="Arial"/>
                <w:bCs/>
                <w:sz w:val="20"/>
                <w:szCs w:val="20"/>
                <w:lang w:val="en-GB"/>
              </w:rPr>
              <w:t>Rating: 4 (Good)</w:t>
            </w:r>
          </w:p>
          <w:p w:rsidR="008F1B16" w:rsidRPr="00236612" w:rsidRDefault="0065161E" w:rsidP="0065161E">
            <w:pPr>
              <w:pStyle w:val="ListParagraph"/>
              <w:ind w:left="0"/>
              <w:rPr>
                <w:rFonts w:ascii="Arial" w:hAnsi="Arial" w:cs="Arial"/>
                <w:bCs/>
                <w:sz w:val="20"/>
                <w:szCs w:val="20"/>
                <w:lang w:val="en-GB"/>
              </w:rPr>
            </w:pPr>
            <w:r w:rsidRPr="00236612">
              <w:rPr>
                <w:rFonts w:ascii="Arial" w:hAnsi="Arial" w:cs="Arial"/>
                <w:bCs/>
                <w:sz w:val="20"/>
                <w:szCs w:val="20"/>
                <w:lang w:val="en-GB"/>
              </w:rPr>
              <w:t>The manuscript is generally written in clear, scholarly language suitable for agribusiness and agricultural economics audiences, with appropriate technical terminology. There are a few long or slightly awkward sentences, especially in the introduction and abstract, but these are minor and can be corrected through light language editing.</w:t>
            </w:r>
          </w:p>
        </w:tc>
        <w:tc>
          <w:tcPr>
            <w:tcW w:w="1367" w:type="pct"/>
          </w:tcPr>
          <w:p w:rsidR="008F1B16" w:rsidRPr="00236612" w:rsidRDefault="008F1B16">
            <w:pPr>
              <w:pStyle w:val="Heading2"/>
              <w:jc w:val="left"/>
              <w:rPr>
                <w:rFonts w:ascii="Arial" w:hAnsi="Arial" w:cs="Arial"/>
                <w:b w:val="0"/>
                <w:lang w:val="en-GB" w:eastAsia="en-US"/>
              </w:rPr>
            </w:pPr>
          </w:p>
        </w:tc>
      </w:tr>
    </w:tbl>
    <w:p w:rsidR="008F1B16" w:rsidRPr="00236612" w:rsidRDefault="008F1B16" w:rsidP="008F1B16">
      <w:pPr>
        <w:pStyle w:val="BodyText"/>
        <w:rPr>
          <w:rFonts w:ascii="Arial" w:hAnsi="Arial" w:cs="Arial"/>
          <w:b/>
          <w:bCs/>
          <w:sz w:val="20"/>
          <w:szCs w:val="20"/>
          <w:u w:val="single"/>
          <w:lang w:val="en-GB"/>
        </w:rPr>
      </w:pPr>
    </w:p>
    <w:p w:rsidR="008F1B16" w:rsidRPr="00236612" w:rsidRDefault="008F1B16" w:rsidP="008F1B16">
      <w:pPr>
        <w:pStyle w:val="BodyText"/>
        <w:rPr>
          <w:rFonts w:ascii="Arial" w:hAnsi="Arial" w:cs="Arial"/>
          <w:b/>
          <w:bCs/>
          <w:sz w:val="20"/>
          <w:szCs w:val="20"/>
          <w:u w:val="single"/>
          <w:lang w:val="en-GB"/>
        </w:rPr>
      </w:pPr>
    </w:p>
    <w:p w:rsidR="008F1B16" w:rsidRPr="00236612" w:rsidRDefault="008F1B16" w:rsidP="008F1B1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8F1B16" w:rsidRPr="00236612" w:rsidTr="00107C72">
        <w:tc>
          <w:tcPr>
            <w:tcW w:w="5000" w:type="pct"/>
            <w:gridSpan w:val="2"/>
            <w:tcBorders>
              <w:top w:val="nil"/>
              <w:left w:val="nil"/>
              <w:right w:val="nil"/>
            </w:tcBorders>
            <w:noWrap/>
            <w:tcMar>
              <w:top w:w="0" w:type="dxa"/>
              <w:left w:w="108" w:type="dxa"/>
              <w:bottom w:w="0" w:type="dxa"/>
              <w:right w:w="108" w:type="dxa"/>
            </w:tcMar>
            <w:vAlign w:val="center"/>
          </w:tcPr>
          <w:p w:rsidR="008F1B16" w:rsidRPr="00236612" w:rsidRDefault="008F1B16">
            <w:pPr>
              <w:pStyle w:val="NormalWeb"/>
              <w:spacing w:before="0" w:beforeAutospacing="0" w:after="0" w:afterAutospacing="0"/>
              <w:rPr>
                <w:rFonts w:ascii="Arial" w:hAnsi="Arial" w:cs="Arial"/>
                <w:b/>
                <w:bCs/>
                <w:sz w:val="20"/>
                <w:szCs w:val="20"/>
                <w:u w:val="single"/>
                <w:lang w:val="en-GB"/>
              </w:rPr>
            </w:pPr>
            <w:r w:rsidRPr="00236612">
              <w:rPr>
                <w:rFonts w:ascii="Arial" w:hAnsi="Arial" w:cs="Arial"/>
                <w:b/>
                <w:bCs/>
                <w:sz w:val="20"/>
                <w:szCs w:val="20"/>
                <w:u w:val="single"/>
                <w:lang w:val="en-GB"/>
              </w:rPr>
              <w:t>Editorial Comments (This section is reserved for the comments from journal editorial office and editors):</w:t>
            </w:r>
          </w:p>
          <w:p w:rsidR="008F1B16" w:rsidRPr="00236612" w:rsidRDefault="008F1B16">
            <w:pPr>
              <w:pStyle w:val="NormalWeb"/>
              <w:spacing w:before="0" w:beforeAutospacing="0" w:after="0" w:afterAutospacing="0"/>
              <w:rPr>
                <w:rFonts w:ascii="Arial" w:hAnsi="Arial" w:cs="Arial"/>
                <w:b/>
                <w:bCs/>
                <w:sz w:val="20"/>
                <w:szCs w:val="20"/>
                <w:u w:val="single"/>
                <w:lang w:val="en-GB"/>
              </w:rPr>
            </w:pPr>
          </w:p>
        </w:tc>
      </w:tr>
      <w:tr w:rsidR="008F1B16" w:rsidRPr="00236612" w:rsidTr="00107C72">
        <w:tc>
          <w:tcPr>
            <w:tcW w:w="2784" w:type="pct"/>
            <w:noWrap/>
            <w:tcMar>
              <w:top w:w="0" w:type="dxa"/>
              <w:left w:w="108" w:type="dxa"/>
              <w:bottom w:w="0" w:type="dxa"/>
              <w:right w:w="108" w:type="dxa"/>
            </w:tcMar>
            <w:vAlign w:val="center"/>
          </w:tcPr>
          <w:p w:rsidR="008F1B16" w:rsidRPr="00236612" w:rsidRDefault="008F1B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8F1B16" w:rsidRPr="00236612" w:rsidRDefault="008F1B16">
            <w:pPr>
              <w:pStyle w:val="NormalWeb"/>
              <w:spacing w:before="0" w:beforeAutospacing="0" w:after="0" w:afterAutospacing="0"/>
              <w:rPr>
                <w:rFonts w:ascii="Arial" w:hAnsi="Arial" w:cs="Arial"/>
                <w:b/>
                <w:bCs/>
                <w:sz w:val="20"/>
                <w:szCs w:val="20"/>
                <w:lang w:val="en-GB"/>
              </w:rPr>
            </w:pPr>
            <w:r w:rsidRPr="00236612">
              <w:rPr>
                <w:rFonts w:ascii="Arial" w:hAnsi="Arial" w:cs="Arial"/>
                <w:sz w:val="20"/>
                <w:szCs w:val="20"/>
                <w:lang w:val="en-GB"/>
              </w:rPr>
              <w:t>Author’s Feedback</w:t>
            </w:r>
          </w:p>
        </w:tc>
      </w:tr>
      <w:tr w:rsidR="008F1B16" w:rsidRPr="00236612" w:rsidTr="00107C72">
        <w:tc>
          <w:tcPr>
            <w:tcW w:w="2784" w:type="pct"/>
            <w:noWrap/>
            <w:tcMar>
              <w:top w:w="0" w:type="dxa"/>
              <w:left w:w="108" w:type="dxa"/>
              <w:bottom w:w="0" w:type="dxa"/>
              <w:right w:w="108" w:type="dxa"/>
            </w:tcMar>
            <w:vAlign w:val="center"/>
          </w:tcPr>
          <w:p w:rsidR="008F1B16" w:rsidRPr="00236612" w:rsidRDefault="008F1B16">
            <w:pPr>
              <w:pStyle w:val="NormalWeb"/>
              <w:spacing w:before="0" w:beforeAutospacing="0" w:after="0" w:afterAutospacing="0"/>
              <w:rPr>
                <w:rFonts w:ascii="Arial" w:hAnsi="Arial" w:cs="Arial"/>
                <w:sz w:val="20"/>
                <w:szCs w:val="20"/>
                <w:lang w:val="en-GB"/>
              </w:rPr>
            </w:pP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Title: The title is clear, specific, and accurately reflects the main focus on export composition and competitiveness of India’s fresh mangoes in the global market.</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Abstract: The abstract captures the study period, data sources, main varietal trends, and key findings on growth, competitiveness, and market concentration, though the methods could be named more explicitly.</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Keywords: The keywords are well chosen, aligned with the core analytical themes of the paper, and suitable for indexing in agribusiness and agricultural economics databases.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Background information: The background provides sufficient global and national context on mango production and trade; however, a modest tightening of the historical narrative would sharpen the focus on the trade problem.</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Research objectives/hypotheses: The objectives of analyzing varietal export composition, competitiveness (RCA/RSCA), and market concentration (HHI) are clear, but could be presented more explicitly as formal objectives or hypotheses.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Literature review: The literature cited is relevant and generally up to date for the topic, although the discussion could engage more directly with recent empirical work on mango export competitiveness.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Research methodology: The combination of descriptive statistics with RCA, RSCA, and HHI is methodologically appropriate and consistent with standard practice in trade and agricultural economics.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Ethical issues: The study is based entirely on secondary data from recognized institutions, so no ethical concerns arise; an explicit statement to this effect could be added for completeness.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Results presentation: Results are logically structured and clearly described, highlighting key varietal trends and changes in competitiveness, though some paragraphs could be slightly condensed for greater clarity.</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Tables and figures: Tables and figures are relevant, necessary, and generally well-constructed, effectively supporting the text; minor improvements in formatting and labelling would further enhance readability.</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Discussion and linkage to literature: The discussion touches on existing literature and notes areas of agreement, but the linkage to previous studies could be deepened to better situate the findings within the broader empirical debate.</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Conclusions and data support: The conclusions are consistent with and well supported by the empirical evidence on varietal performance, RCA/RSCA trends, market shares, and HHI values.</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t>Limitations: Study limitations are only briefly implied; a short, explicit statement on data constraints and scope (e.g., fresh versus processed, cost/price aspects) would strengthen transparency.</w:t>
            </w:r>
          </w:p>
          <w:p w:rsidR="00B92DEE" w:rsidRPr="00236612" w:rsidRDefault="00B92DEE" w:rsidP="00B92DEE">
            <w:pPr>
              <w:numPr>
                <w:ilvl w:val="0"/>
                <w:numId w:val="16"/>
              </w:numPr>
              <w:spacing w:line="259" w:lineRule="auto"/>
              <w:jc w:val="both"/>
              <w:rPr>
                <w:rFonts w:ascii="Arial" w:hAnsi="Arial" w:cs="Arial"/>
                <w:sz w:val="20"/>
                <w:szCs w:val="20"/>
              </w:rPr>
            </w:pPr>
            <w:r w:rsidRPr="00236612">
              <w:rPr>
                <w:rFonts w:ascii="Arial" w:hAnsi="Arial" w:cs="Arial"/>
                <w:sz w:val="20"/>
                <w:szCs w:val="20"/>
              </w:rPr>
              <w:lastRenderedPageBreak/>
              <w:t>References: References are adequate in number and appropriate in scope, drawing on both scientific and institutional sources, with some scope to incorporate a few more recent empirical studies.</w:t>
            </w:r>
          </w:p>
          <w:p w:rsidR="008F1B16" w:rsidRPr="00236612" w:rsidRDefault="00B92DEE" w:rsidP="00E44E84">
            <w:pPr>
              <w:pStyle w:val="NormalWeb"/>
              <w:numPr>
                <w:ilvl w:val="0"/>
                <w:numId w:val="16"/>
              </w:numPr>
              <w:spacing w:before="0" w:beforeAutospacing="0" w:after="0" w:afterAutospacing="0"/>
              <w:rPr>
                <w:rFonts w:ascii="Arial" w:hAnsi="Arial" w:cs="Arial"/>
                <w:sz w:val="20"/>
                <w:szCs w:val="20"/>
                <w:lang w:val="en-GB"/>
              </w:rPr>
            </w:pPr>
            <w:r w:rsidRPr="00236612">
              <w:rPr>
                <w:rFonts w:ascii="Arial" w:hAnsi="Arial" w:cs="Arial"/>
                <w:sz w:val="20"/>
                <w:szCs w:val="20"/>
              </w:rPr>
              <w:t>Language and clarity: The manuscript is written in generally clear and understandable language suitable for a scientific audience, with only minor stylistic and grammatical issues that could be corrected through light editing.</w:t>
            </w:r>
          </w:p>
          <w:p w:rsidR="008F1B16" w:rsidRPr="00236612" w:rsidRDefault="008F1B16">
            <w:pPr>
              <w:pStyle w:val="NormalWeb"/>
              <w:spacing w:before="0" w:beforeAutospacing="0" w:after="0" w:afterAutospacing="0"/>
              <w:rPr>
                <w:rFonts w:ascii="Arial" w:hAnsi="Arial" w:cs="Arial"/>
                <w:sz w:val="20"/>
                <w:szCs w:val="20"/>
                <w:lang w:val="en-GB"/>
              </w:rPr>
            </w:pPr>
          </w:p>
          <w:p w:rsidR="008F1B16" w:rsidRPr="00236612" w:rsidRDefault="008F1B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8F1B16" w:rsidRPr="00236612" w:rsidRDefault="008F1B16">
            <w:pPr>
              <w:pStyle w:val="NormalWeb"/>
              <w:spacing w:before="0" w:beforeAutospacing="0" w:after="0" w:afterAutospacing="0"/>
              <w:rPr>
                <w:rFonts w:ascii="Arial" w:hAnsi="Arial" w:cs="Arial"/>
                <w:b/>
                <w:bCs/>
                <w:sz w:val="20"/>
                <w:szCs w:val="20"/>
                <w:lang w:val="en-GB"/>
              </w:rPr>
            </w:pPr>
          </w:p>
        </w:tc>
      </w:tr>
    </w:tbl>
    <w:p w:rsidR="008F1B16" w:rsidRPr="00236612" w:rsidRDefault="008F1B16" w:rsidP="008F1B16">
      <w:pPr>
        <w:rPr>
          <w:rFonts w:ascii="Arial" w:eastAsia="Arial Unicode MS" w:hAnsi="Arial" w:cs="Arial"/>
          <w:b/>
          <w:bCs/>
          <w:sz w:val="20"/>
          <w:szCs w:val="20"/>
          <w:highlight w:val="yellow"/>
          <w:u w:val="single"/>
          <w:lang w:val="en-GB"/>
        </w:rPr>
      </w:pPr>
    </w:p>
    <w:p w:rsidR="008F1B16" w:rsidRPr="00236612" w:rsidRDefault="008F1B16" w:rsidP="008F1B16">
      <w:pPr>
        <w:rPr>
          <w:rFonts w:ascii="Arial" w:eastAsia="Arial Unicode MS" w:hAnsi="Arial" w:cs="Arial"/>
          <w:b/>
          <w:bCs/>
          <w:sz w:val="20"/>
          <w:szCs w:val="20"/>
          <w:u w:val="single"/>
          <w:lang w:val="en-GB"/>
        </w:rPr>
      </w:pPr>
    </w:p>
    <w:p w:rsidR="008F1B16" w:rsidRPr="00236612" w:rsidRDefault="008F1B16" w:rsidP="008F1B16">
      <w:pPr>
        <w:rPr>
          <w:rFonts w:ascii="Arial" w:eastAsia="Arial Unicode MS" w:hAnsi="Arial" w:cs="Arial"/>
          <w:b/>
          <w:bCs/>
          <w:sz w:val="20"/>
          <w:szCs w:val="20"/>
          <w:u w:val="single"/>
          <w:lang w:val="en-GB"/>
        </w:rPr>
      </w:pPr>
    </w:p>
    <w:p w:rsidR="00406DC8" w:rsidRPr="00236612" w:rsidRDefault="00406DC8" w:rsidP="008F1B16">
      <w:pPr>
        <w:rPr>
          <w:rFonts w:ascii="Arial" w:eastAsia="Arial Unicode MS" w:hAnsi="Arial" w:cs="Arial"/>
          <w:b/>
          <w:bCs/>
          <w:sz w:val="20"/>
          <w:szCs w:val="20"/>
          <w:u w:val="single"/>
          <w:lang w:val="en-GB"/>
        </w:rPr>
      </w:pPr>
    </w:p>
    <w:p w:rsidR="00406DC8" w:rsidRPr="00236612" w:rsidRDefault="00406DC8" w:rsidP="008F1B16">
      <w:pPr>
        <w:rPr>
          <w:rFonts w:ascii="Arial" w:eastAsia="Arial Unicode MS" w:hAnsi="Arial" w:cs="Arial"/>
          <w:b/>
          <w:bCs/>
          <w:sz w:val="20"/>
          <w:szCs w:val="20"/>
          <w:u w:val="single"/>
          <w:lang w:val="en-GB"/>
        </w:rPr>
      </w:pPr>
    </w:p>
    <w:p w:rsidR="00A45686" w:rsidRPr="00236612" w:rsidRDefault="00A45686" w:rsidP="008F1B16">
      <w:pPr>
        <w:rPr>
          <w:rFonts w:ascii="Arial" w:eastAsia="Arial Unicode MS" w:hAnsi="Arial" w:cs="Arial"/>
          <w:b/>
          <w:bCs/>
          <w:sz w:val="20"/>
          <w:szCs w:val="20"/>
          <w:u w:val="single"/>
          <w:lang w:val="en-GB"/>
        </w:rPr>
      </w:pPr>
    </w:p>
    <w:p w:rsidR="00A45686" w:rsidRPr="00236612" w:rsidRDefault="00A45686" w:rsidP="008F1B16">
      <w:pPr>
        <w:rPr>
          <w:rFonts w:ascii="Arial" w:eastAsia="Arial Unicode MS" w:hAnsi="Arial" w:cs="Arial"/>
          <w:b/>
          <w:bCs/>
          <w:sz w:val="20"/>
          <w:szCs w:val="20"/>
          <w:u w:val="single"/>
          <w:lang w:val="en-GB"/>
        </w:rPr>
      </w:pPr>
    </w:p>
    <w:p w:rsidR="00A45686" w:rsidRPr="00236612" w:rsidRDefault="00A45686" w:rsidP="008F1B16">
      <w:pPr>
        <w:rPr>
          <w:rFonts w:ascii="Arial" w:eastAsia="Arial Unicode MS" w:hAnsi="Arial" w:cs="Arial"/>
          <w:b/>
          <w:bCs/>
          <w:sz w:val="20"/>
          <w:szCs w:val="20"/>
          <w:u w:val="single"/>
          <w:lang w:val="en-GB"/>
        </w:rPr>
      </w:pPr>
    </w:p>
    <w:p w:rsidR="00A45686" w:rsidRPr="00236612" w:rsidRDefault="00A45686" w:rsidP="008F1B1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406DC8" w:rsidRPr="00236612" w:rsidTr="00406DC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06DC8" w:rsidRPr="00236612" w:rsidRDefault="00406DC8" w:rsidP="00406DC8">
            <w:pPr>
              <w:spacing w:line="276" w:lineRule="auto"/>
              <w:rPr>
                <w:rFonts w:ascii="Arial" w:eastAsia="Arial Unicode MS" w:hAnsi="Arial" w:cs="Arial"/>
                <w:b/>
                <w:sz w:val="20"/>
                <w:szCs w:val="20"/>
                <w:u w:val="single"/>
                <w:lang w:val="en-GB"/>
              </w:rPr>
            </w:pPr>
            <w:bookmarkStart w:id="0" w:name="_Hlk156057883"/>
            <w:bookmarkStart w:id="1" w:name="_Hlk156057704"/>
            <w:r w:rsidRPr="00236612">
              <w:rPr>
                <w:rFonts w:ascii="Arial" w:eastAsia="Arial Unicode MS" w:hAnsi="Arial" w:cs="Arial"/>
                <w:b/>
                <w:sz w:val="20"/>
                <w:szCs w:val="20"/>
                <w:highlight w:val="yellow"/>
                <w:u w:val="single"/>
                <w:lang w:val="en-GB"/>
              </w:rPr>
              <w:t>PART  3:</w:t>
            </w:r>
            <w:r w:rsidRPr="00236612">
              <w:rPr>
                <w:rFonts w:ascii="Arial" w:eastAsia="Arial Unicode MS" w:hAnsi="Arial" w:cs="Arial"/>
                <w:b/>
                <w:sz w:val="20"/>
                <w:szCs w:val="20"/>
                <w:u w:val="single"/>
                <w:lang w:val="en-GB"/>
              </w:rPr>
              <w:t xml:space="preserve"> </w:t>
            </w:r>
          </w:p>
          <w:p w:rsidR="00406DC8" w:rsidRPr="00236612" w:rsidRDefault="00406DC8" w:rsidP="00406DC8">
            <w:pPr>
              <w:spacing w:line="276" w:lineRule="auto"/>
              <w:rPr>
                <w:rFonts w:ascii="Arial" w:eastAsia="Arial Unicode MS" w:hAnsi="Arial" w:cs="Arial"/>
                <w:b/>
                <w:sz w:val="20"/>
                <w:szCs w:val="20"/>
                <w:u w:val="single"/>
                <w:lang w:val="en-GB"/>
              </w:rPr>
            </w:pPr>
          </w:p>
        </w:tc>
      </w:tr>
      <w:tr w:rsidR="00406DC8" w:rsidRPr="00236612" w:rsidTr="00406DC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06DC8" w:rsidRPr="00236612" w:rsidRDefault="00406DC8" w:rsidP="00406D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06DC8" w:rsidRPr="00236612" w:rsidRDefault="00406DC8" w:rsidP="00406DC8">
            <w:pPr>
              <w:keepNext/>
              <w:spacing w:line="276" w:lineRule="auto"/>
              <w:outlineLvl w:val="1"/>
              <w:rPr>
                <w:rFonts w:ascii="Arial" w:eastAsia="MS Mincho" w:hAnsi="Arial" w:cs="Arial"/>
                <w:b/>
                <w:bCs/>
                <w:sz w:val="20"/>
                <w:szCs w:val="20"/>
                <w:lang w:val="en-GB"/>
              </w:rPr>
            </w:pPr>
            <w:r w:rsidRPr="0023661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06DC8" w:rsidRPr="00236612" w:rsidRDefault="00406DC8" w:rsidP="00406DC8">
            <w:pPr>
              <w:spacing w:after="160" w:line="252" w:lineRule="auto"/>
              <w:rPr>
                <w:rFonts w:ascii="Arial" w:eastAsia="Calibri" w:hAnsi="Arial" w:cs="Arial"/>
                <w:kern w:val="2"/>
                <w:sz w:val="20"/>
                <w:szCs w:val="20"/>
                <w:lang w:val="en-IN"/>
              </w:rPr>
            </w:pPr>
            <w:r w:rsidRPr="00236612">
              <w:rPr>
                <w:rFonts w:ascii="Arial" w:eastAsia="Calibri" w:hAnsi="Arial" w:cs="Arial"/>
                <w:b/>
                <w:kern w:val="2"/>
                <w:sz w:val="20"/>
                <w:szCs w:val="20"/>
                <w:lang w:val="en-IN"/>
              </w:rPr>
              <w:t>Author’s Feedback</w:t>
            </w:r>
            <w:r w:rsidRPr="00236612">
              <w:rPr>
                <w:rFonts w:ascii="Arial" w:eastAsia="Calibri" w:hAnsi="Arial" w:cs="Arial"/>
                <w:kern w:val="2"/>
                <w:sz w:val="20"/>
                <w:szCs w:val="20"/>
                <w:lang w:val="en-IN"/>
              </w:rPr>
              <w:t xml:space="preserve"> (It is mandatory that authors should write his/her feedback here)</w:t>
            </w:r>
          </w:p>
          <w:p w:rsidR="00406DC8" w:rsidRPr="00236612" w:rsidRDefault="00406DC8" w:rsidP="00406DC8">
            <w:pPr>
              <w:keepNext/>
              <w:spacing w:line="276" w:lineRule="auto"/>
              <w:outlineLvl w:val="1"/>
              <w:rPr>
                <w:rFonts w:ascii="Arial" w:eastAsia="MS Mincho" w:hAnsi="Arial" w:cs="Arial"/>
                <w:bCs/>
                <w:sz w:val="20"/>
                <w:szCs w:val="20"/>
                <w:lang w:val="en-GB"/>
              </w:rPr>
            </w:pPr>
          </w:p>
        </w:tc>
      </w:tr>
      <w:tr w:rsidR="00406DC8" w:rsidRPr="00236612" w:rsidTr="00406DC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06DC8" w:rsidRPr="00236612" w:rsidRDefault="00406DC8" w:rsidP="00406DC8">
            <w:pPr>
              <w:spacing w:line="276" w:lineRule="auto"/>
              <w:rPr>
                <w:rFonts w:ascii="Arial" w:eastAsia="Arial Unicode MS" w:hAnsi="Arial" w:cs="Arial"/>
                <w:b/>
                <w:sz w:val="20"/>
                <w:szCs w:val="20"/>
                <w:lang w:val="en-GB"/>
              </w:rPr>
            </w:pPr>
            <w:r w:rsidRPr="00236612">
              <w:rPr>
                <w:rFonts w:ascii="Arial" w:eastAsia="Arial Unicode MS" w:hAnsi="Arial" w:cs="Arial"/>
                <w:b/>
                <w:sz w:val="20"/>
                <w:szCs w:val="20"/>
                <w:lang w:val="en-GB"/>
              </w:rPr>
              <w:t xml:space="preserve">Are there ethical issues in this manuscript? </w:t>
            </w:r>
          </w:p>
          <w:p w:rsidR="00406DC8" w:rsidRPr="00236612" w:rsidRDefault="00406DC8" w:rsidP="00406D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6DC8" w:rsidRPr="00236612" w:rsidRDefault="00406DC8" w:rsidP="00406DC8">
            <w:pPr>
              <w:spacing w:line="276" w:lineRule="auto"/>
              <w:rPr>
                <w:rFonts w:ascii="Arial" w:eastAsia="Arial Unicode MS" w:hAnsi="Arial" w:cs="Arial"/>
                <w:i/>
                <w:iCs/>
                <w:sz w:val="20"/>
                <w:szCs w:val="20"/>
                <w:u w:val="single"/>
                <w:lang w:val="en-GB"/>
              </w:rPr>
            </w:pPr>
            <w:r w:rsidRPr="00236612">
              <w:rPr>
                <w:rFonts w:ascii="Arial" w:eastAsia="Arial Unicode MS" w:hAnsi="Arial" w:cs="Arial"/>
                <w:i/>
                <w:iCs/>
                <w:sz w:val="20"/>
                <w:szCs w:val="20"/>
                <w:u w:val="single"/>
                <w:lang w:val="en-GB"/>
              </w:rPr>
              <w:t>(If yes, Kindly please write down the ethical issues here in details)</w:t>
            </w:r>
          </w:p>
          <w:p w:rsidR="00406DC8" w:rsidRPr="00236612" w:rsidRDefault="00406DC8" w:rsidP="00406DC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06DC8" w:rsidRPr="00236612" w:rsidRDefault="00406DC8" w:rsidP="00406DC8">
            <w:pPr>
              <w:spacing w:line="276" w:lineRule="auto"/>
              <w:rPr>
                <w:rFonts w:ascii="Arial" w:eastAsia="Arial Unicode MS" w:hAnsi="Arial" w:cs="Arial"/>
                <w:sz w:val="20"/>
                <w:szCs w:val="20"/>
                <w:lang w:val="en-GB"/>
              </w:rPr>
            </w:pPr>
          </w:p>
          <w:p w:rsidR="00406DC8" w:rsidRPr="00236612" w:rsidRDefault="00406DC8" w:rsidP="00406DC8">
            <w:pPr>
              <w:spacing w:line="276" w:lineRule="auto"/>
              <w:rPr>
                <w:rFonts w:ascii="Arial" w:eastAsia="Arial Unicode MS" w:hAnsi="Arial" w:cs="Arial"/>
                <w:sz w:val="20"/>
                <w:szCs w:val="20"/>
                <w:lang w:val="en-GB"/>
              </w:rPr>
            </w:pPr>
          </w:p>
          <w:p w:rsidR="00406DC8" w:rsidRPr="00236612" w:rsidRDefault="00406DC8" w:rsidP="00406DC8">
            <w:pPr>
              <w:spacing w:line="276" w:lineRule="auto"/>
              <w:rPr>
                <w:rFonts w:ascii="Arial" w:eastAsia="Arial Unicode MS" w:hAnsi="Arial" w:cs="Arial"/>
                <w:sz w:val="20"/>
                <w:szCs w:val="20"/>
                <w:lang w:val="en-GB"/>
              </w:rPr>
            </w:pPr>
          </w:p>
        </w:tc>
      </w:tr>
      <w:bookmarkEnd w:id="0"/>
    </w:tbl>
    <w:p w:rsidR="00406DC8" w:rsidRPr="00236612" w:rsidRDefault="00406DC8" w:rsidP="00406DC8">
      <w:pPr>
        <w:rPr>
          <w:rFonts w:ascii="Arial" w:hAnsi="Arial" w:cs="Arial"/>
          <w:sz w:val="20"/>
          <w:szCs w:val="20"/>
        </w:rPr>
      </w:pPr>
    </w:p>
    <w:p w:rsidR="00406DC8" w:rsidRPr="00236612" w:rsidRDefault="00406DC8" w:rsidP="00406DC8">
      <w:pPr>
        <w:rPr>
          <w:rFonts w:ascii="Arial" w:hAnsi="Arial" w:cs="Arial"/>
          <w:sz w:val="20"/>
          <w:szCs w:val="20"/>
        </w:rPr>
      </w:pPr>
    </w:p>
    <w:p w:rsidR="00406DC8" w:rsidRPr="00236612" w:rsidRDefault="00A45686" w:rsidP="00406DC8">
      <w:pPr>
        <w:rPr>
          <w:rFonts w:ascii="Arial" w:hAnsi="Arial" w:cs="Arial"/>
          <w:b/>
          <w:bCs/>
          <w:sz w:val="20"/>
          <w:szCs w:val="20"/>
          <w:u w:val="single"/>
          <w:lang w:val="en-GB"/>
        </w:rPr>
      </w:pPr>
      <w:r w:rsidRPr="00236612">
        <w:rPr>
          <w:rFonts w:ascii="Arial" w:hAnsi="Arial" w:cs="Arial"/>
          <w:b/>
          <w:bCs/>
          <w:sz w:val="20"/>
          <w:szCs w:val="20"/>
          <w:u w:val="single"/>
          <w:lang w:val="en-GB"/>
        </w:rPr>
        <w:t>Reviewer details:</w:t>
      </w:r>
    </w:p>
    <w:bookmarkEnd w:id="1"/>
    <w:p w:rsidR="00406DC8" w:rsidRPr="00236612" w:rsidRDefault="00406DC8" w:rsidP="00406DC8">
      <w:pPr>
        <w:rPr>
          <w:rFonts w:ascii="Arial" w:hAnsi="Arial" w:cs="Arial"/>
          <w:sz w:val="20"/>
          <w:szCs w:val="20"/>
        </w:rPr>
      </w:pPr>
    </w:p>
    <w:p w:rsidR="0065161E" w:rsidRPr="00236612" w:rsidRDefault="00236612">
      <w:pPr>
        <w:rPr>
          <w:rFonts w:ascii="Arial" w:hAnsi="Arial" w:cs="Arial"/>
          <w:b/>
          <w:sz w:val="20"/>
          <w:szCs w:val="20"/>
        </w:rPr>
      </w:pPr>
      <w:r w:rsidRPr="00236612">
        <w:rPr>
          <w:rFonts w:ascii="Arial" w:hAnsi="Arial" w:cs="Arial"/>
          <w:b/>
          <w:sz w:val="20"/>
          <w:szCs w:val="20"/>
        </w:rPr>
        <w:t>Mama Julius, Innovative Institute of Agriculture, Business and Capacity Building (IABC), Uganda</w:t>
      </w:r>
      <w:bookmarkStart w:id="2" w:name="_GoBack"/>
      <w:bookmarkEnd w:id="2"/>
    </w:p>
    <w:sectPr w:rsidR="0065161E" w:rsidRPr="0023661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EA" w:rsidRPr="0000007A" w:rsidRDefault="00F415EA" w:rsidP="0099583E">
      <w:r>
        <w:separator/>
      </w:r>
    </w:p>
  </w:endnote>
  <w:endnote w:type="continuationSeparator" w:id="0">
    <w:p w:rsidR="00F415EA" w:rsidRPr="0000007A" w:rsidRDefault="00F415E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16" w:rsidRDefault="008F1B16" w:rsidP="008F1B16">
    <w:pPr>
      <w:pStyle w:val="Footer"/>
      <w:jc w:val="right"/>
    </w:pPr>
  </w:p>
  <w:p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36612">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36612">
      <w:rPr>
        <w:b/>
        <w:noProof/>
        <w:sz w:val="20"/>
      </w:rPr>
      <w:t>4</w:t>
    </w:r>
    <w:r w:rsidRPr="00585FC6">
      <w:rPr>
        <w:b/>
        <w:sz w:val="20"/>
      </w:rPr>
      <w:fldChar w:fldCharType="end"/>
    </w:r>
  </w:p>
  <w:p w:rsidR="008F1B16" w:rsidRDefault="008F1B16" w:rsidP="008F1B16">
    <w:pPr>
      <w:pStyle w:val="Footer"/>
      <w:jc w:val="right"/>
      <w:rPr>
        <w:b/>
        <w:sz w:val="20"/>
      </w:rPr>
    </w:pPr>
    <w:r>
      <w:rPr>
        <w:b/>
        <w:sz w:val="20"/>
      </w:rPr>
      <w:t>V180326</w:t>
    </w:r>
  </w:p>
  <w:p w:rsidR="008F1B16" w:rsidRDefault="008F1B16" w:rsidP="008F1B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EA" w:rsidRPr="0000007A" w:rsidRDefault="00F415EA" w:rsidP="0099583E">
      <w:r>
        <w:separator/>
      </w:r>
    </w:p>
  </w:footnote>
  <w:footnote w:type="continuationSeparator" w:id="0">
    <w:p w:rsidR="00F415EA" w:rsidRPr="0000007A" w:rsidRDefault="00F415E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16" w:rsidRDefault="008F1B16" w:rsidP="008F1B16">
    <w:pPr>
      <w:spacing w:before="100" w:beforeAutospacing="1" w:after="100" w:afterAutospacing="1"/>
      <w:jc w:val="center"/>
      <w:rPr>
        <w:rFonts w:ascii="Arial" w:hAnsi="Arial" w:cs="Arial"/>
        <w:b/>
        <w:bCs/>
        <w:color w:val="003399"/>
        <w:szCs w:val="20"/>
        <w:u w:val="single"/>
        <w:lang w:val="en-GB"/>
      </w:rPr>
    </w:pPr>
  </w:p>
  <w:p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0375"/>
    <w:multiLevelType w:val="multilevel"/>
    <w:tmpl w:val="04EA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73659"/>
    <w:multiLevelType w:val="hybridMultilevel"/>
    <w:tmpl w:val="4F586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26E3321"/>
    <w:multiLevelType w:val="multilevel"/>
    <w:tmpl w:val="57CC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1436C6"/>
    <w:multiLevelType w:val="multilevel"/>
    <w:tmpl w:val="04EA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12"/>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612"/>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6DC8"/>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433"/>
    <w:rsid w:val="004C3DF1"/>
    <w:rsid w:val="004D2E36"/>
    <w:rsid w:val="004D3C64"/>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161E"/>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A43"/>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6094D"/>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5686"/>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AF7ADC"/>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2DEE"/>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0D78"/>
    <w:rsid w:val="00CE199A"/>
    <w:rsid w:val="00CE5AC7"/>
    <w:rsid w:val="00CF0553"/>
    <w:rsid w:val="00CF0BBB"/>
    <w:rsid w:val="00D1283A"/>
    <w:rsid w:val="00D17957"/>
    <w:rsid w:val="00D17979"/>
    <w:rsid w:val="00D2075F"/>
    <w:rsid w:val="00D3257B"/>
    <w:rsid w:val="00D40416"/>
    <w:rsid w:val="00D42992"/>
    <w:rsid w:val="00D45CF7"/>
    <w:rsid w:val="00D4740B"/>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4E84"/>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15EA"/>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5989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E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
    <w:name w:val="Unresolved Mention"/>
    <w:basedOn w:val="DefaultParagraphFont"/>
    <w:uiPriority w:val="99"/>
    <w:semiHidden/>
    <w:unhideWhenUsed/>
    <w:rsid w:val="00E4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946148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6551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23829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1951</Words>
  <Characters>11125</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13050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8</cp:revision>
  <dcterms:created xsi:type="dcterms:W3CDTF">2026-03-21T12:08:00Z</dcterms:created>
  <dcterms:modified xsi:type="dcterms:W3CDTF">2026-03-26T10:42:00Z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