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E0E4" w14:textId="77777777" w:rsidR="00754C9A" w:rsidRDefault="00754C9A" w:rsidP="00441B6F">
      <w:pPr>
        <w:pStyle w:val="Ttulo"/>
        <w:spacing w:after="0"/>
        <w:jc w:val="both"/>
        <w:rPr>
          <w:rFonts w:ascii="Arial" w:hAnsi="Arial" w:cs="Arial"/>
        </w:rPr>
      </w:pPr>
    </w:p>
    <w:p w14:paraId="52F21C3D" w14:textId="77777777" w:rsidR="00E64D6C" w:rsidRPr="00E64D6C" w:rsidRDefault="00E64D6C" w:rsidP="00E64D6C">
      <w:pPr>
        <w:pStyle w:val="Articletitle"/>
        <w:spacing w:before="113" w:after="113"/>
        <w:ind w:left="720"/>
        <w:rPr>
          <w:rFonts w:ascii="Arial" w:hAnsi="Arial" w:cs="Arial"/>
          <w:bCs/>
          <w:i/>
          <w:iCs/>
          <w:sz w:val="36"/>
          <w:szCs w:val="36"/>
          <w:u w:val="single"/>
          <w:lang w:val="en-US"/>
        </w:rPr>
      </w:pPr>
      <w:r w:rsidRPr="00E64D6C">
        <w:rPr>
          <w:rFonts w:ascii="Arial" w:hAnsi="Arial" w:cs="Arial"/>
          <w:bCs/>
          <w:i/>
          <w:iCs/>
          <w:sz w:val="36"/>
          <w:szCs w:val="36"/>
          <w:u w:val="single"/>
          <w:lang w:val="en-US"/>
        </w:rPr>
        <w:t>Original Research Article</w:t>
      </w:r>
    </w:p>
    <w:p w14:paraId="1D03CF5A" w14:textId="77777777" w:rsidR="0079795B" w:rsidRPr="0079795B" w:rsidRDefault="0079795B" w:rsidP="0079795B">
      <w:pPr>
        <w:pStyle w:val="Articletitle"/>
        <w:spacing w:before="113" w:after="113" w:line="240" w:lineRule="auto"/>
        <w:ind w:left="720"/>
        <w:jc w:val="right"/>
        <w:rPr>
          <w:rFonts w:ascii="Arial" w:hAnsi="Arial" w:cs="Arial"/>
          <w:sz w:val="36"/>
          <w:szCs w:val="36"/>
        </w:rPr>
      </w:pPr>
      <w:r w:rsidRPr="0079795B">
        <w:rPr>
          <w:rFonts w:ascii="Arial" w:hAnsi="Arial" w:cs="Arial"/>
          <w:bCs/>
          <w:sz w:val="36"/>
          <w:szCs w:val="36"/>
        </w:rPr>
        <w:t xml:space="preserve">Impact of Foliar-Applied Signal Molecules on Morpho-Physiological and Biochemical Responses of Rice </w:t>
      </w:r>
      <w:bookmarkStart w:id="0" w:name="_Hlk180244072"/>
      <w:r w:rsidRPr="0079795B">
        <w:rPr>
          <w:rFonts w:ascii="Arial" w:hAnsi="Arial" w:cs="Arial"/>
          <w:bCs/>
          <w:sz w:val="36"/>
          <w:szCs w:val="36"/>
        </w:rPr>
        <w:t>(</w:t>
      </w:r>
      <w:r w:rsidRPr="0079795B">
        <w:rPr>
          <w:rFonts w:ascii="Arial" w:hAnsi="Arial" w:cs="Arial"/>
          <w:bCs/>
          <w:i/>
          <w:iCs/>
          <w:sz w:val="36"/>
          <w:szCs w:val="36"/>
        </w:rPr>
        <w:t>Oryza sativa.</w:t>
      </w:r>
      <w:r w:rsidRPr="0079795B">
        <w:rPr>
          <w:rFonts w:ascii="Arial" w:hAnsi="Arial" w:cs="Arial"/>
          <w:bCs/>
          <w:sz w:val="36"/>
          <w:szCs w:val="36"/>
        </w:rPr>
        <w:t xml:space="preserve"> L)</w:t>
      </w:r>
      <w:bookmarkEnd w:id="0"/>
      <w:r w:rsidRPr="0079795B">
        <w:rPr>
          <w:rFonts w:ascii="Arial" w:hAnsi="Arial" w:cs="Arial"/>
          <w:bCs/>
          <w:sz w:val="36"/>
          <w:szCs w:val="36"/>
        </w:rPr>
        <w:t xml:space="preserve"> under Salinity Stress</w:t>
      </w:r>
    </w:p>
    <w:p w14:paraId="69753C2B" w14:textId="77777777" w:rsidR="00A258C3" w:rsidRPr="00790ADA" w:rsidRDefault="00A258C3" w:rsidP="00441B6F">
      <w:pPr>
        <w:pStyle w:val="Author"/>
        <w:spacing w:line="240" w:lineRule="auto"/>
        <w:jc w:val="both"/>
        <w:rPr>
          <w:rFonts w:ascii="Arial" w:hAnsi="Arial" w:cs="Arial"/>
          <w:sz w:val="36"/>
        </w:rPr>
      </w:pPr>
    </w:p>
    <w:p w14:paraId="7AACCD52" w14:textId="6423F4D3" w:rsidR="00B01FCD" w:rsidRPr="00FB3A86" w:rsidRDefault="00B01FCD" w:rsidP="00441B6F">
      <w:pPr>
        <w:pStyle w:val="Copyright"/>
        <w:spacing w:after="0" w:line="240" w:lineRule="auto"/>
        <w:jc w:val="both"/>
        <w:rPr>
          <w:rFonts w:ascii="Arial" w:hAnsi="Arial" w:cs="Arial"/>
        </w:rPr>
        <w:sectPr w:rsidR="00B01FCD" w:rsidRPr="00FB3A86" w:rsidSect="00603D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24DCBE8" w14:textId="102B3A1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946C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4798FA7" w14:textId="77777777" w:rsidTr="001E44FE">
        <w:tc>
          <w:tcPr>
            <w:tcW w:w="9576" w:type="dxa"/>
            <w:shd w:val="clear" w:color="auto" w:fill="F2F2F2"/>
          </w:tcPr>
          <w:p w14:paraId="289DE459" w14:textId="77777777" w:rsidR="0079795B" w:rsidRPr="0079795B" w:rsidRDefault="00BA1B01" w:rsidP="00441B6F">
            <w:pPr>
              <w:pStyle w:val="Body"/>
              <w:spacing w:after="0"/>
              <w:rPr>
                <w:rFonts w:ascii="Arial" w:eastAsia="Calibri" w:hAnsi="Arial" w:cs="Arial"/>
                <w:b/>
              </w:rPr>
            </w:pPr>
            <w:r w:rsidRPr="0079795B">
              <w:rPr>
                <w:rFonts w:ascii="Arial" w:eastAsia="Calibri" w:hAnsi="Arial" w:cs="Arial"/>
                <w:b/>
              </w:rPr>
              <w:t xml:space="preserve">Aims: </w:t>
            </w:r>
            <w:r w:rsidR="0079795B" w:rsidRPr="0079795B">
              <w:rPr>
                <w:rFonts w:ascii="Arial" w:hAnsi="Arial" w:cs="Arial"/>
                <w:bCs/>
              </w:rPr>
              <w:t xml:space="preserve">The present study highlights the </w:t>
            </w:r>
            <w:r w:rsidR="0079795B" w:rsidRPr="0079795B">
              <w:rPr>
                <w:rFonts w:ascii="Arial" w:hAnsi="Arial" w:cs="Arial"/>
                <w:lang w:eastAsia="en-IN"/>
              </w:rPr>
              <w:t xml:space="preserve">effect of foliar application of signal molecules on </w:t>
            </w:r>
            <w:r w:rsidR="0079795B" w:rsidRPr="0079795B">
              <w:rPr>
                <w:rFonts w:ascii="Arial" w:hAnsi="Arial" w:cs="Arial"/>
              </w:rPr>
              <w:t xml:space="preserve">morpho – physiological and biochemical parameters </w:t>
            </w:r>
            <w:r w:rsidR="0079795B" w:rsidRPr="0079795B">
              <w:rPr>
                <w:rFonts w:ascii="Arial" w:hAnsi="Arial" w:cs="Arial"/>
                <w:lang w:eastAsia="en-IN"/>
              </w:rPr>
              <w:t>of rice under salinity</w:t>
            </w:r>
            <w:r w:rsidR="0079795B" w:rsidRPr="0079795B">
              <w:rPr>
                <w:rFonts w:ascii="Arial" w:hAnsi="Arial" w:cs="Arial"/>
              </w:rPr>
              <w:t xml:space="preserve"> stress. </w:t>
            </w:r>
          </w:p>
          <w:p w14:paraId="4314E1F4" w14:textId="7BFB47D3" w:rsidR="00BA1B01" w:rsidRPr="0079795B" w:rsidRDefault="00BA1B01" w:rsidP="00441B6F">
            <w:pPr>
              <w:pStyle w:val="Body"/>
              <w:spacing w:after="0"/>
              <w:rPr>
                <w:rFonts w:ascii="Arial" w:eastAsia="Calibri" w:hAnsi="Arial" w:cs="Arial"/>
              </w:rPr>
            </w:pPr>
            <w:r w:rsidRPr="0079795B">
              <w:rPr>
                <w:rFonts w:ascii="Arial" w:eastAsia="Calibri" w:hAnsi="Arial" w:cs="Arial"/>
                <w:b/>
              </w:rPr>
              <w:t>Study design:</w:t>
            </w:r>
            <w:r w:rsidRPr="0079795B">
              <w:rPr>
                <w:rFonts w:ascii="Arial" w:eastAsia="Calibri" w:hAnsi="Arial" w:cs="Arial"/>
              </w:rPr>
              <w:t xml:space="preserve">  </w:t>
            </w:r>
            <w:r w:rsidR="0079795B" w:rsidRPr="0079795B">
              <w:rPr>
                <w:rFonts w:ascii="Arial" w:eastAsia="Calibri" w:hAnsi="Arial" w:cs="Arial"/>
              </w:rPr>
              <w:t>R</w:t>
            </w:r>
            <w:r w:rsidR="0079795B" w:rsidRPr="0079795B">
              <w:rPr>
                <w:rFonts w:ascii="Arial" w:hAnsi="Arial" w:cs="Arial"/>
              </w:rPr>
              <w:t>andomized block design</w:t>
            </w:r>
          </w:p>
          <w:p w14:paraId="132D32DF" w14:textId="0BDFE6CC" w:rsidR="00BA1B01" w:rsidRPr="0079795B" w:rsidRDefault="00BA1B01" w:rsidP="00441B6F">
            <w:pPr>
              <w:pStyle w:val="Body"/>
              <w:spacing w:after="0"/>
              <w:rPr>
                <w:rFonts w:ascii="Arial" w:eastAsia="Calibri" w:hAnsi="Arial" w:cs="Arial"/>
              </w:rPr>
            </w:pPr>
            <w:r w:rsidRPr="0079795B">
              <w:rPr>
                <w:rFonts w:ascii="Arial" w:eastAsia="Calibri" w:hAnsi="Arial" w:cs="Arial"/>
                <w:b/>
              </w:rPr>
              <w:t>Place and Duration of Study:</w:t>
            </w:r>
            <w:r w:rsidRPr="0079795B">
              <w:rPr>
                <w:rFonts w:ascii="Arial" w:eastAsia="Calibri" w:hAnsi="Arial" w:cs="Arial"/>
              </w:rPr>
              <w:t xml:space="preserve"> </w:t>
            </w:r>
            <w:r w:rsidR="0079795B" w:rsidRPr="0079795B">
              <w:rPr>
                <w:rFonts w:ascii="Arial" w:hAnsi="Arial" w:cs="Arial"/>
              </w:rPr>
              <w:t xml:space="preserve">Agricultural College Farm, </w:t>
            </w:r>
            <w:proofErr w:type="spellStart"/>
            <w:r w:rsidR="0079795B" w:rsidRPr="0079795B">
              <w:rPr>
                <w:rFonts w:ascii="Arial" w:hAnsi="Arial" w:cs="Arial"/>
              </w:rPr>
              <w:t>Bapatla</w:t>
            </w:r>
            <w:proofErr w:type="spellEnd"/>
            <w:r w:rsidR="0079795B" w:rsidRPr="0079795B">
              <w:rPr>
                <w:rFonts w:ascii="Arial" w:hAnsi="Arial" w:cs="Arial"/>
              </w:rPr>
              <w:t xml:space="preserve">, Andhra Pradesh during </w:t>
            </w:r>
            <w:r w:rsidR="0079795B" w:rsidRPr="0079795B">
              <w:rPr>
                <w:rFonts w:ascii="Arial" w:hAnsi="Arial" w:cs="Arial"/>
                <w:i/>
                <w:iCs/>
              </w:rPr>
              <w:t>kharif</w:t>
            </w:r>
            <w:r w:rsidR="0079795B" w:rsidRPr="0079795B">
              <w:rPr>
                <w:rFonts w:ascii="Arial" w:hAnsi="Arial" w:cs="Arial"/>
              </w:rPr>
              <w:t>, 2023-24</w:t>
            </w:r>
          </w:p>
          <w:p w14:paraId="480557B3" w14:textId="1ECFB1A5" w:rsidR="00BA1B01" w:rsidRPr="0079795B" w:rsidRDefault="00BA1B01" w:rsidP="0079795B">
            <w:pPr>
              <w:spacing w:before="120"/>
              <w:rPr>
                <w:rFonts w:ascii="Arial" w:hAnsi="Arial" w:cs="Arial"/>
              </w:rPr>
            </w:pPr>
            <w:r w:rsidRPr="0079795B">
              <w:rPr>
                <w:rFonts w:ascii="Arial" w:eastAsia="Calibri" w:hAnsi="Arial" w:cs="Arial"/>
                <w:b/>
                <w:bCs/>
              </w:rPr>
              <w:t>Methodology:</w:t>
            </w:r>
            <w:r w:rsidRPr="0079795B">
              <w:rPr>
                <w:rFonts w:ascii="Arial" w:eastAsia="Calibri" w:hAnsi="Arial" w:cs="Arial"/>
              </w:rPr>
              <w:t xml:space="preserve"> </w:t>
            </w:r>
            <w:r w:rsidR="0079795B" w:rsidRPr="0079795B">
              <w:rPr>
                <w:rFonts w:ascii="Arial" w:hAnsi="Arial" w:cs="Arial"/>
              </w:rPr>
              <w:t xml:space="preserve">Experiment was carried out with two contrast varieties (MCM103- Salt tolerant, as a check; BPT 5204- Salt susceptible) and with eight treatments </w:t>
            </w:r>
            <w:r w:rsidR="0079795B" w:rsidRPr="0079795B">
              <w:rPr>
                <w:rFonts w:ascii="Arial" w:hAnsi="Arial" w:cs="Arial"/>
                <w:i/>
                <w:iCs/>
              </w:rPr>
              <w:t>viz.,</w:t>
            </w:r>
            <w:r w:rsidR="0079795B" w:rsidRPr="0079795B">
              <w:rPr>
                <w:rFonts w:ascii="Arial" w:hAnsi="Arial" w:cs="Arial"/>
              </w:rPr>
              <w:t xml:space="preserve"> MCM 103 (Check variety) - T</w:t>
            </w:r>
            <w:r w:rsidR="0079795B" w:rsidRPr="0079795B">
              <w:rPr>
                <w:rFonts w:ascii="Arial" w:hAnsi="Arial" w:cs="Arial"/>
                <w:vertAlign w:val="subscript"/>
              </w:rPr>
              <w:t>1</w:t>
            </w:r>
            <w:r w:rsidR="0079795B" w:rsidRPr="0079795B">
              <w:rPr>
                <w:rFonts w:ascii="Arial" w:hAnsi="Arial" w:cs="Arial"/>
              </w:rPr>
              <w:t>, 0.25 mM/L of SNP - T</w:t>
            </w:r>
            <w:r w:rsidR="0079795B" w:rsidRPr="0079795B">
              <w:rPr>
                <w:rFonts w:ascii="Arial" w:hAnsi="Arial" w:cs="Arial"/>
                <w:vertAlign w:val="subscript"/>
              </w:rPr>
              <w:t>2</w:t>
            </w:r>
            <w:r w:rsidR="0079795B" w:rsidRPr="0079795B">
              <w:rPr>
                <w:rFonts w:ascii="Arial" w:hAnsi="Arial" w:cs="Arial"/>
              </w:rPr>
              <w:t>, 0.50 mM/L of SA -T</w:t>
            </w:r>
            <w:r w:rsidR="0079795B" w:rsidRPr="0079795B">
              <w:rPr>
                <w:rFonts w:ascii="Arial" w:hAnsi="Arial" w:cs="Arial"/>
                <w:vertAlign w:val="subscript"/>
              </w:rPr>
              <w:t>3</w:t>
            </w:r>
            <w:r w:rsidR="0079795B" w:rsidRPr="0079795B">
              <w:rPr>
                <w:rFonts w:ascii="Arial" w:hAnsi="Arial" w:cs="Arial"/>
              </w:rPr>
              <w:t>, 0.50 mM/L of BR -T</w:t>
            </w:r>
            <w:r w:rsidR="0079795B" w:rsidRPr="0079795B">
              <w:rPr>
                <w:rFonts w:ascii="Arial" w:hAnsi="Arial" w:cs="Arial"/>
                <w:vertAlign w:val="subscript"/>
              </w:rPr>
              <w:t>4</w:t>
            </w:r>
            <w:r w:rsidR="0079795B" w:rsidRPr="0079795B">
              <w:rPr>
                <w:rFonts w:ascii="Arial" w:hAnsi="Arial" w:cs="Arial"/>
              </w:rPr>
              <w:t>, 0.25 mM/L SNP+ 0.50 mM/L SA -T</w:t>
            </w:r>
            <w:r w:rsidR="0079795B" w:rsidRPr="0079795B">
              <w:rPr>
                <w:rFonts w:ascii="Arial" w:hAnsi="Arial" w:cs="Arial"/>
                <w:vertAlign w:val="subscript"/>
              </w:rPr>
              <w:t>5</w:t>
            </w:r>
            <w:r w:rsidR="0079795B" w:rsidRPr="0079795B">
              <w:rPr>
                <w:rFonts w:ascii="Arial" w:hAnsi="Arial" w:cs="Arial"/>
              </w:rPr>
              <w:t>, 0.25 mM/L SNP+ 0.50 mM/L BR -T</w:t>
            </w:r>
            <w:r w:rsidR="0079795B" w:rsidRPr="0079795B">
              <w:rPr>
                <w:rFonts w:ascii="Arial" w:hAnsi="Arial" w:cs="Arial"/>
                <w:vertAlign w:val="subscript"/>
              </w:rPr>
              <w:t>6</w:t>
            </w:r>
            <w:r w:rsidR="0079795B" w:rsidRPr="0079795B">
              <w:rPr>
                <w:rFonts w:ascii="Arial" w:hAnsi="Arial" w:cs="Arial"/>
              </w:rPr>
              <w:t>, 0.25 mM/L SNP+ 0.50 mM/L SA+ 0.50 mM/L BR -T</w:t>
            </w:r>
            <w:r w:rsidR="0079795B" w:rsidRPr="0079795B">
              <w:rPr>
                <w:rFonts w:ascii="Arial" w:hAnsi="Arial" w:cs="Arial"/>
                <w:vertAlign w:val="subscript"/>
              </w:rPr>
              <w:t>7</w:t>
            </w:r>
            <w:r w:rsidR="0079795B" w:rsidRPr="0079795B">
              <w:rPr>
                <w:rFonts w:ascii="Arial" w:hAnsi="Arial" w:cs="Arial"/>
              </w:rPr>
              <w:t xml:space="preserve"> and No spray control -T</w:t>
            </w:r>
            <w:r w:rsidR="0079795B" w:rsidRPr="0079795B">
              <w:rPr>
                <w:rFonts w:ascii="Arial" w:hAnsi="Arial" w:cs="Arial"/>
                <w:vertAlign w:val="subscript"/>
              </w:rPr>
              <w:t>8</w:t>
            </w:r>
            <w:r w:rsidR="0079795B" w:rsidRPr="0079795B">
              <w:rPr>
                <w:rFonts w:ascii="Arial" w:hAnsi="Arial" w:cs="Arial"/>
              </w:rPr>
              <w:t xml:space="preserve"> in three replications.</w:t>
            </w:r>
          </w:p>
          <w:p w14:paraId="6CEB5426" w14:textId="1BB0B54A" w:rsidR="0079795B" w:rsidRPr="0079795B" w:rsidRDefault="00BA1B01" w:rsidP="00441B6F">
            <w:pPr>
              <w:pStyle w:val="Body"/>
              <w:spacing w:after="0"/>
              <w:rPr>
                <w:rFonts w:ascii="Arial" w:eastAsia="Calibri" w:hAnsi="Arial" w:cs="Arial"/>
                <w:b/>
                <w:bCs/>
              </w:rPr>
            </w:pPr>
            <w:r w:rsidRPr="0079795B">
              <w:rPr>
                <w:rFonts w:ascii="Arial" w:eastAsia="Calibri" w:hAnsi="Arial" w:cs="Arial"/>
                <w:b/>
                <w:bCs/>
              </w:rPr>
              <w:t>Results:</w:t>
            </w:r>
            <w:r w:rsidRPr="0079795B">
              <w:rPr>
                <w:rFonts w:ascii="Arial" w:eastAsia="Calibri" w:hAnsi="Arial" w:cs="Arial"/>
              </w:rPr>
              <w:t xml:space="preserve"> </w:t>
            </w:r>
            <w:r w:rsidR="0079795B" w:rsidRPr="0079795B">
              <w:rPr>
                <w:rFonts w:ascii="Arial" w:hAnsi="Arial" w:cs="Arial"/>
              </w:rPr>
              <w:t>The present study revealed that the salt tolerant MCM 103 recorded superior performance over salt sensitive BPT 5204 under salinity stress. The foliar application of signal molecules had positive effects on leaf water potential, chlorophyll stability index, root dry weight and volume, proline, MDA, SOD, Catalase, Na</w:t>
            </w:r>
            <w:r w:rsidR="0079795B" w:rsidRPr="0079795B">
              <w:rPr>
                <w:rFonts w:ascii="Arial" w:hAnsi="Arial" w:cs="Arial"/>
                <w:vertAlign w:val="superscript"/>
              </w:rPr>
              <w:t>+</w:t>
            </w:r>
            <w:r w:rsidR="0079795B" w:rsidRPr="0079795B">
              <w:rPr>
                <w:rFonts w:ascii="Arial" w:hAnsi="Arial" w:cs="Arial"/>
              </w:rPr>
              <w:t>/K</w:t>
            </w:r>
            <w:r w:rsidR="0079795B" w:rsidRPr="0079795B">
              <w:rPr>
                <w:rFonts w:ascii="Arial" w:hAnsi="Arial" w:cs="Arial"/>
                <w:vertAlign w:val="superscript"/>
              </w:rPr>
              <w:t>+</w:t>
            </w:r>
            <w:r w:rsidR="0079795B" w:rsidRPr="0079795B">
              <w:rPr>
                <w:rFonts w:ascii="Arial" w:hAnsi="Arial" w:cs="Arial"/>
              </w:rPr>
              <w:t xml:space="preserve"> ratio. </w:t>
            </w:r>
          </w:p>
          <w:p w14:paraId="1773E735" w14:textId="470FEF36" w:rsidR="00505F06" w:rsidRPr="00BA1B01" w:rsidRDefault="00BA1B01" w:rsidP="00441B6F">
            <w:pPr>
              <w:pStyle w:val="Body"/>
              <w:spacing w:after="0"/>
              <w:rPr>
                <w:rFonts w:ascii="Arial" w:eastAsia="Calibri" w:hAnsi="Arial" w:cs="Arial"/>
                <w:szCs w:val="22"/>
              </w:rPr>
            </w:pPr>
            <w:r w:rsidRPr="0079795B">
              <w:rPr>
                <w:rFonts w:ascii="Arial" w:eastAsia="Calibri" w:hAnsi="Arial" w:cs="Arial"/>
                <w:b/>
                <w:bCs/>
              </w:rPr>
              <w:t>Conclusion:</w:t>
            </w:r>
            <w:r w:rsidRPr="0079795B">
              <w:rPr>
                <w:rFonts w:ascii="Arial" w:eastAsia="Calibri" w:hAnsi="Arial" w:cs="Arial"/>
              </w:rPr>
              <w:t xml:space="preserve"> </w:t>
            </w:r>
            <w:r w:rsidR="0079795B" w:rsidRPr="0079795B">
              <w:rPr>
                <w:rFonts w:ascii="Arial" w:hAnsi="Arial" w:cs="Arial"/>
              </w:rPr>
              <w:t xml:space="preserve">Among all the foliar treatments, the </w:t>
            </w:r>
            <w:r w:rsidR="0079795B" w:rsidRPr="0079795B">
              <w:rPr>
                <w:rFonts w:ascii="Arial" w:hAnsi="Arial" w:cs="Arial"/>
                <w:lang w:eastAsia="en-IN"/>
              </w:rPr>
              <w:t xml:space="preserve">foliar application of 0.25 mM/L of Sodium nitro </w:t>
            </w:r>
            <w:proofErr w:type="spellStart"/>
            <w:r w:rsidR="0079795B" w:rsidRPr="0079795B">
              <w:rPr>
                <w:rFonts w:ascii="Arial" w:hAnsi="Arial" w:cs="Arial"/>
                <w:lang w:eastAsia="en-IN"/>
              </w:rPr>
              <w:t>prusside</w:t>
            </w:r>
            <w:proofErr w:type="spellEnd"/>
            <w:r w:rsidR="0079795B" w:rsidRPr="0079795B">
              <w:rPr>
                <w:rFonts w:ascii="Arial" w:hAnsi="Arial" w:cs="Arial"/>
                <w:lang w:eastAsia="en-IN"/>
              </w:rPr>
              <w:t xml:space="preserve"> + 0.50 mM/L of Salicylic acid + 0.50 mM/L of </w:t>
            </w:r>
            <w:proofErr w:type="spellStart"/>
            <w:r w:rsidR="0079795B" w:rsidRPr="0079795B">
              <w:rPr>
                <w:rFonts w:ascii="Arial" w:hAnsi="Arial" w:cs="Arial"/>
                <w:lang w:eastAsia="en-IN"/>
              </w:rPr>
              <w:t>Brassinosteroids</w:t>
            </w:r>
            <w:proofErr w:type="spellEnd"/>
            <w:r w:rsidR="0079795B" w:rsidRPr="0079795B">
              <w:rPr>
                <w:rFonts w:ascii="Arial" w:hAnsi="Arial" w:cs="Arial"/>
              </w:rPr>
              <w:t xml:space="preserve"> found to be the best, significantly improved morpho – physiological and biochemical parameters and was consistent with MCM 103 under salinity stress</w:t>
            </w:r>
          </w:p>
        </w:tc>
      </w:tr>
    </w:tbl>
    <w:p w14:paraId="5688EABC" w14:textId="77777777" w:rsidR="00636EB2" w:rsidRDefault="00636EB2" w:rsidP="00441B6F">
      <w:pPr>
        <w:pStyle w:val="Body"/>
        <w:spacing w:after="0"/>
        <w:rPr>
          <w:rFonts w:ascii="Arial" w:hAnsi="Arial" w:cs="Arial"/>
          <w:i/>
        </w:rPr>
      </w:pPr>
    </w:p>
    <w:p w14:paraId="5DA20BCE" w14:textId="20DB5843" w:rsidR="00A24E7E" w:rsidRPr="0079795B" w:rsidRDefault="00A24E7E" w:rsidP="00441B6F">
      <w:pPr>
        <w:pStyle w:val="Body"/>
        <w:spacing w:after="0"/>
        <w:rPr>
          <w:rFonts w:ascii="Arial" w:hAnsi="Arial" w:cs="Arial"/>
          <w:i/>
        </w:rPr>
      </w:pPr>
      <w:r>
        <w:rPr>
          <w:rFonts w:ascii="Arial" w:hAnsi="Arial" w:cs="Arial"/>
          <w:i/>
        </w:rPr>
        <w:t>Keywords</w:t>
      </w:r>
      <w:r w:rsidRPr="0079795B">
        <w:rPr>
          <w:rFonts w:ascii="Arial" w:hAnsi="Arial" w:cs="Arial"/>
          <w:i/>
        </w:rPr>
        <w:t xml:space="preserve">: </w:t>
      </w:r>
      <w:r w:rsidR="0079795B" w:rsidRPr="0079795B">
        <w:rPr>
          <w:rFonts w:ascii="Arial" w:hAnsi="Arial" w:cs="Arial"/>
          <w:i/>
          <w:iCs/>
        </w:rPr>
        <w:t>salinity stress; signal molecules; osmoregulation; ion balance; antioxidant enzymes</w:t>
      </w:r>
    </w:p>
    <w:p w14:paraId="2CABD20D" w14:textId="77777777" w:rsidR="00790ADA" w:rsidRDefault="00790ADA" w:rsidP="00441B6F">
      <w:pPr>
        <w:pStyle w:val="Body"/>
        <w:spacing w:after="0"/>
        <w:rPr>
          <w:rFonts w:ascii="Arial" w:hAnsi="Arial" w:cs="Arial"/>
          <w:i/>
        </w:rPr>
      </w:pPr>
    </w:p>
    <w:p w14:paraId="133DBE83" w14:textId="0BDA48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B2C241" w14:textId="0ED74E99" w:rsidR="0079795B" w:rsidRPr="0091276E" w:rsidRDefault="0079795B" w:rsidP="00244E08">
      <w:pPr>
        <w:pStyle w:val="NormalWeb"/>
        <w:spacing w:before="0" w:beforeAutospacing="0" w:after="0" w:afterAutospacing="0"/>
        <w:jc w:val="both"/>
        <w:rPr>
          <w:rFonts w:ascii="Arial" w:hAnsi="Arial" w:cs="Arial"/>
          <w:sz w:val="20"/>
          <w:szCs w:val="20"/>
        </w:rPr>
      </w:pPr>
      <w:r w:rsidRPr="0091276E">
        <w:rPr>
          <w:rFonts w:ascii="Arial" w:hAnsi="Arial" w:cs="Arial"/>
          <w:sz w:val="20"/>
          <w:szCs w:val="20"/>
        </w:rPr>
        <w:t>Soil salinity is a significant abiotic stressor, resulting from the excessive buildup of salts in the soil, which adversely affects crop growth and development. The two main factors contributing to the increasing salinisation of agricultural land are the rising mean sea level and inefficient irrigation practices (</w:t>
      </w:r>
      <w:proofErr w:type="spellStart"/>
      <w:r w:rsidR="00244E08" w:rsidRPr="0091276E">
        <w:rPr>
          <w:rFonts w:ascii="Arial" w:hAnsi="Arial" w:cs="Arial"/>
          <w:sz w:val="20"/>
          <w:szCs w:val="20"/>
        </w:rPr>
        <w:t>Negacz</w:t>
      </w:r>
      <w:proofErr w:type="spellEnd"/>
      <w:r w:rsidR="00244E08" w:rsidRPr="0091276E">
        <w:rPr>
          <w:rFonts w:ascii="Arial" w:hAnsi="Arial" w:cs="Arial"/>
          <w:sz w:val="20"/>
          <w:szCs w:val="20"/>
        </w:rPr>
        <w:t xml:space="preserve"> </w:t>
      </w:r>
      <w:r w:rsidR="00244E08" w:rsidRPr="0091276E">
        <w:rPr>
          <w:rFonts w:ascii="Arial" w:hAnsi="Arial" w:cs="Arial"/>
          <w:i/>
          <w:iCs/>
          <w:sz w:val="20"/>
          <w:szCs w:val="20"/>
        </w:rPr>
        <w:t>et al.</w:t>
      </w:r>
      <w:r w:rsidR="00244E08" w:rsidRPr="0091276E">
        <w:rPr>
          <w:rFonts w:ascii="Arial" w:hAnsi="Arial" w:cs="Arial"/>
          <w:sz w:val="20"/>
          <w:szCs w:val="20"/>
        </w:rPr>
        <w:t xml:space="preserve"> 2022</w:t>
      </w:r>
      <w:r w:rsidRPr="0091276E">
        <w:rPr>
          <w:rFonts w:ascii="Arial" w:hAnsi="Arial" w:cs="Arial"/>
          <w:sz w:val="20"/>
          <w:szCs w:val="20"/>
        </w:rPr>
        <w:t>). High salt levels currently impact over 833 million hectares of land globally. Salinity degrades 6.73 million hectares of irrigated land in India. Salinity affects more than 10 percent of the world's agricultural land, posing a severe risk to global food security (</w:t>
      </w:r>
      <w:r w:rsidR="00244E08" w:rsidRPr="0091276E">
        <w:rPr>
          <w:rFonts w:ascii="Arial" w:hAnsi="Arial" w:cs="Arial"/>
          <w:sz w:val="20"/>
          <w:szCs w:val="20"/>
          <w:shd w:val="clear" w:color="auto" w:fill="FFFFFF"/>
        </w:rPr>
        <w:t>FAO 2021</w:t>
      </w:r>
      <w:r w:rsidRPr="0091276E">
        <w:rPr>
          <w:rFonts w:ascii="Arial" w:hAnsi="Arial" w:cs="Arial"/>
          <w:sz w:val="20"/>
          <w:szCs w:val="20"/>
        </w:rPr>
        <w:t>).</w:t>
      </w:r>
    </w:p>
    <w:p w14:paraId="16D30EFC" w14:textId="14D02D2A"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Nearly half of the world's population relies on rice, a crucial cereal crop, as a staple food. Asia is the largest rice producer, accounting for approximately 90 per cent of global rice production, with an annual yield of around 650 million tonnes cultivated on 145 million hectares of land (</w:t>
      </w:r>
      <w:r w:rsidR="00244E08" w:rsidRPr="0091276E">
        <w:rPr>
          <w:rFonts w:ascii="Arial" w:hAnsi="Arial" w:cs="Arial"/>
          <w:sz w:val="20"/>
          <w:szCs w:val="20"/>
        </w:rPr>
        <w:t>Gross and Zhao, 2014</w:t>
      </w:r>
      <w:r w:rsidRPr="0091276E">
        <w:rPr>
          <w:rFonts w:ascii="Arial" w:hAnsi="Arial" w:cs="Arial"/>
          <w:sz w:val="20"/>
          <w:szCs w:val="20"/>
        </w:rPr>
        <w:t xml:space="preserve">). In India alone, rice production exceeded 135 million metric tonnes in the 2023 fiscal year. However, rice is highly sensitive to salt stress, </w:t>
      </w:r>
      <w:r w:rsidRPr="0091276E">
        <w:rPr>
          <w:rFonts w:ascii="Arial" w:hAnsi="Arial" w:cs="Arial"/>
          <w:sz w:val="20"/>
          <w:szCs w:val="20"/>
        </w:rPr>
        <w:lastRenderedPageBreak/>
        <w:t xml:space="preserve">tolerating salinity levels of around 3 </w:t>
      </w:r>
      <w:proofErr w:type="spellStart"/>
      <w:r w:rsidRPr="0091276E">
        <w:rPr>
          <w:rFonts w:ascii="Arial" w:hAnsi="Arial" w:cs="Arial"/>
          <w:sz w:val="20"/>
          <w:szCs w:val="20"/>
        </w:rPr>
        <w:t>dS</w:t>
      </w:r>
      <w:proofErr w:type="spellEnd"/>
      <w:r w:rsidRPr="0091276E">
        <w:rPr>
          <w:rFonts w:ascii="Arial" w:hAnsi="Arial" w:cs="Arial"/>
          <w:sz w:val="20"/>
          <w:szCs w:val="20"/>
        </w:rPr>
        <w:t xml:space="preserve"> m</w:t>
      </w:r>
      <w:r w:rsidRPr="0091276E">
        <w:rPr>
          <w:rFonts w:ascii="Arial" w:hAnsi="Arial" w:cs="Arial"/>
          <w:sz w:val="20"/>
          <w:szCs w:val="20"/>
          <w:vertAlign w:val="superscript"/>
        </w:rPr>
        <w:t>-1</w:t>
      </w:r>
      <w:r w:rsidRPr="0091276E">
        <w:rPr>
          <w:rFonts w:ascii="Arial" w:hAnsi="Arial" w:cs="Arial"/>
          <w:sz w:val="20"/>
          <w:szCs w:val="20"/>
        </w:rPr>
        <w:t>. Higher levels are associated with significant yield losses, especially during critical growth stages such as the seedling, early vegetative, and reproductive (booting) phases (</w:t>
      </w:r>
      <w:r w:rsidR="00244E08" w:rsidRPr="0091276E">
        <w:rPr>
          <w:rFonts w:ascii="Arial" w:hAnsi="Arial" w:cs="Arial"/>
          <w:sz w:val="20"/>
          <w:szCs w:val="20"/>
          <w:shd w:val="clear" w:color="auto" w:fill="FCFCFC"/>
        </w:rPr>
        <w:t xml:space="preserve">Lutts </w:t>
      </w:r>
      <w:r w:rsidR="00244E08" w:rsidRPr="0091276E">
        <w:rPr>
          <w:rFonts w:ascii="Arial" w:hAnsi="Arial" w:cs="Arial"/>
          <w:i/>
          <w:iCs/>
          <w:sz w:val="20"/>
          <w:szCs w:val="20"/>
          <w:shd w:val="clear" w:color="auto" w:fill="FCFCFC"/>
        </w:rPr>
        <w:t>et al.</w:t>
      </w:r>
      <w:r w:rsidR="00244E08" w:rsidRPr="0091276E">
        <w:rPr>
          <w:rFonts w:ascii="Arial" w:hAnsi="Arial" w:cs="Arial"/>
          <w:sz w:val="20"/>
          <w:szCs w:val="20"/>
          <w:shd w:val="clear" w:color="auto" w:fill="FCFCFC"/>
        </w:rPr>
        <w:t> </w:t>
      </w:r>
      <w:hyperlink r:id="rId14" w:anchor="ref-CR24" w:tooltip="Lutts S, Kinet JM, Bouharmont J (1995) Changes in plant response to NaCl during development of rice (Oryza sativa L.) varieties differing in salinity resistance. J Exp Bot 46:1843–1852. &#10;                              https://doi.org/10.1093/jxb/46.12.1843&#10;    " w:history="1">
        <w:r w:rsidR="00244E08" w:rsidRPr="0091276E">
          <w:rPr>
            <w:rStyle w:val="Hyperlink"/>
            <w:rFonts w:ascii="Arial" w:hAnsi="Arial" w:cs="Arial"/>
            <w:color w:val="auto"/>
            <w:sz w:val="20"/>
            <w:szCs w:val="20"/>
            <w:u w:val="none"/>
            <w:shd w:val="clear" w:color="auto" w:fill="FCFCFC"/>
          </w:rPr>
          <w:t>1995</w:t>
        </w:r>
      </w:hyperlink>
      <w:r w:rsidR="00244E08" w:rsidRPr="0091276E">
        <w:rPr>
          <w:rFonts w:ascii="Arial" w:hAnsi="Arial" w:cs="Arial"/>
          <w:sz w:val="20"/>
          <w:szCs w:val="20"/>
        </w:rPr>
        <w:t xml:space="preserve"> and Singh </w:t>
      </w:r>
      <w:r w:rsidR="00244E08" w:rsidRPr="0091276E">
        <w:rPr>
          <w:rFonts w:ascii="Arial" w:hAnsi="Arial" w:cs="Arial"/>
          <w:i/>
          <w:iCs/>
          <w:sz w:val="20"/>
          <w:szCs w:val="20"/>
        </w:rPr>
        <w:t>et al.</w:t>
      </w:r>
      <w:r w:rsidR="00244E08" w:rsidRPr="0091276E">
        <w:rPr>
          <w:rFonts w:ascii="Arial" w:hAnsi="Arial" w:cs="Arial"/>
          <w:sz w:val="20"/>
          <w:szCs w:val="20"/>
        </w:rPr>
        <w:t> </w:t>
      </w:r>
      <w:hyperlink r:id="rId15" w:anchor="ref-CR39" w:tooltip="Singh RK, Redoña E, Refuerzo L (2009) Varietal improvement for abiotic stress tolerance in crop plants: special reference to salinity in rice. In: Abiotic stress adaptation in plants. Springer, Dordrecht, pp 387–415" w:history="1">
        <w:r w:rsidR="00244E08" w:rsidRPr="0091276E">
          <w:rPr>
            <w:rStyle w:val="Hyperlink"/>
            <w:rFonts w:ascii="Arial" w:hAnsi="Arial" w:cs="Arial"/>
            <w:color w:val="auto"/>
            <w:sz w:val="20"/>
            <w:szCs w:val="20"/>
            <w:u w:val="none"/>
          </w:rPr>
          <w:t>2009</w:t>
        </w:r>
      </w:hyperlink>
      <w:r w:rsidRPr="0091276E">
        <w:rPr>
          <w:rFonts w:ascii="Arial" w:hAnsi="Arial" w:cs="Arial"/>
          <w:sz w:val="20"/>
          <w:szCs w:val="20"/>
        </w:rPr>
        <w:t>).</w:t>
      </w:r>
    </w:p>
    <w:p w14:paraId="39F28515" w14:textId="396E97EA"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Rice plants face two primary challenges under saline conditions: osmotic stress and ionic stress. Upon exposure to saline environments, the plant experiences water and solute imbalances due to the reduction in the external solution's water potential. This results in rapid stomatal closure, leading to reduced CO</w:t>
      </w:r>
      <w:r w:rsidRPr="0091276E">
        <w:rPr>
          <w:rFonts w:ascii="Arial" w:hAnsi="Arial" w:cs="Arial"/>
          <w:sz w:val="20"/>
          <w:szCs w:val="20"/>
          <w:vertAlign w:val="subscript"/>
        </w:rPr>
        <w:t>2</w:t>
      </w:r>
      <w:r w:rsidRPr="0091276E">
        <w:rPr>
          <w:rFonts w:ascii="Arial" w:hAnsi="Arial" w:cs="Arial"/>
          <w:sz w:val="20"/>
          <w:szCs w:val="20"/>
        </w:rPr>
        <w:t xml:space="preserve"> assimilation and suppressed photosynthesis (</w:t>
      </w:r>
      <w:r w:rsidR="00244E08" w:rsidRPr="0091276E">
        <w:rPr>
          <w:rFonts w:ascii="Arial" w:hAnsi="Arial" w:cs="Arial"/>
          <w:sz w:val="20"/>
          <w:szCs w:val="20"/>
        </w:rPr>
        <w:t xml:space="preserve">Wegner </w:t>
      </w:r>
      <w:r w:rsidR="00244E08" w:rsidRPr="0091276E">
        <w:rPr>
          <w:rFonts w:ascii="Arial" w:hAnsi="Arial" w:cs="Arial"/>
          <w:i/>
          <w:iCs/>
          <w:sz w:val="20"/>
          <w:szCs w:val="20"/>
        </w:rPr>
        <w:t>et al.</w:t>
      </w:r>
      <w:r w:rsidR="00244E08" w:rsidRPr="0091276E">
        <w:rPr>
          <w:rFonts w:ascii="Arial" w:hAnsi="Arial" w:cs="Arial"/>
          <w:sz w:val="20"/>
          <w:szCs w:val="20"/>
        </w:rPr>
        <w:t xml:space="preserve"> 2011</w:t>
      </w:r>
      <w:r w:rsidRPr="0091276E">
        <w:rPr>
          <w:rFonts w:ascii="Arial" w:hAnsi="Arial" w:cs="Arial"/>
          <w:sz w:val="20"/>
          <w:szCs w:val="20"/>
        </w:rPr>
        <w:t>). Ionic stress also happens when too many Na</w:t>
      </w:r>
      <w:r w:rsidRPr="0091276E">
        <w:rPr>
          <w:rFonts w:ascii="Arial" w:hAnsi="Arial" w:cs="Arial"/>
          <w:sz w:val="20"/>
          <w:szCs w:val="20"/>
          <w:vertAlign w:val="superscript"/>
        </w:rPr>
        <w:t>+</w:t>
      </w:r>
      <w:r w:rsidRPr="0091276E">
        <w:rPr>
          <w:rFonts w:ascii="Arial" w:hAnsi="Arial" w:cs="Arial"/>
          <w:sz w:val="20"/>
          <w:szCs w:val="20"/>
        </w:rPr>
        <w:t xml:space="preserve"> and Cl</w:t>
      </w:r>
      <w:r w:rsidRPr="0091276E">
        <w:rPr>
          <w:rFonts w:ascii="Arial" w:hAnsi="Arial" w:cs="Arial"/>
          <w:sz w:val="20"/>
          <w:szCs w:val="20"/>
          <w:vertAlign w:val="superscript"/>
        </w:rPr>
        <w:t>-</w:t>
      </w:r>
      <w:r w:rsidRPr="0091276E">
        <w:rPr>
          <w:rFonts w:ascii="Arial" w:hAnsi="Arial" w:cs="Arial"/>
          <w:sz w:val="20"/>
          <w:szCs w:val="20"/>
        </w:rPr>
        <w:t xml:space="preserve"> ions build up and become toxic, which speeds up leaf senescence and could even kill the plant (</w:t>
      </w:r>
      <w:r w:rsidR="00244E08" w:rsidRPr="0091276E">
        <w:rPr>
          <w:rFonts w:ascii="Arial" w:hAnsi="Arial" w:cs="Arial"/>
          <w:sz w:val="20"/>
          <w:szCs w:val="20"/>
        </w:rPr>
        <w:t>Munns and Tester, 2008</w:t>
      </w:r>
      <w:r w:rsidRPr="0091276E">
        <w:rPr>
          <w:rFonts w:ascii="Arial" w:hAnsi="Arial" w:cs="Arial"/>
          <w:sz w:val="20"/>
          <w:szCs w:val="20"/>
        </w:rPr>
        <w:t>). Maintaining a balanced cellular concentration of Na</w:t>
      </w:r>
      <w:r w:rsidRPr="0091276E">
        <w:rPr>
          <w:rFonts w:ascii="Arial" w:hAnsi="Arial" w:cs="Arial"/>
          <w:sz w:val="20"/>
          <w:szCs w:val="20"/>
          <w:vertAlign w:val="superscript"/>
        </w:rPr>
        <w:t>+</w:t>
      </w:r>
      <w:r w:rsidRPr="0091276E">
        <w:rPr>
          <w:rFonts w:ascii="Arial" w:hAnsi="Arial" w:cs="Arial"/>
          <w:sz w:val="20"/>
          <w:szCs w:val="20"/>
        </w:rPr>
        <w:t xml:space="preserve"> and K</w:t>
      </w:r>
      <w:r w:rsidRPr="0091276E">
        <w:rPr>
          <w:rFonts w:ascii="Arial" w:hAnsi="Arial" w:cs="Arial"/>
          <w:sz w:val="20"/>
          <w:szCs w:val="20"/>
          <w:vertAlign w:val="superscript"/>
        </w:rPr>
        <w:t>+</w:t>
      </w:r>
      <w:r w:rsidRPr="0091276E">
        <w:rPr>
          <w:rFonts w:ascii="Arial" w:hAnsi="Arial" w:cs="Arial"/>
          <w:sz w:val="20"/>
          <w:szCs w:val="20"/>
        </w:rPr>
        <w:t xml:space="preserve"> is critical for plant survival under saline stress (</w:t>
      </w:r>
      <w:r w:rsidR="00244E08" w:rsidRPr="0091276E">
        <w:rPr>
          <w:rFonts w:ascii="Arial" w:hAnsi="Arial" w:cs="Arial"/>
          <w:sz w:val="20"/>
          <w:szCs w:val="20"/>
        </w:rPr>
        <w:t>Yang and Guo, 2018</w:t>
      </w:r>
      <w:r w:rsidRPr="0091276E">
        <w:rPr>
          <w:rFonts w:ascii="Arial" w:hAnsi="Arial" w:cs="Arial"/>
          <w:sz w:val="20"/>
          <w:szCs w:val="20"/>
        </w:rPr>
        <w:t>).</w:t>
      </w:r>
    </w:p>
    <w:p w14:paraId="27E83E90" w14:textId="50F166DD"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Plants have developed several adaptive mechanisms to cope with salt stress, including the accumulation of compatible solutes such as proline. In areas with a lot of salt, plants can't make as much food, so their chloroplasts make more reactive oxygen species (ROS) like H</w:t>
      </w:r>
      <w:r w:rsidRPr="0091276E">
        <w:rPr>
          <w:rFonts w:ascii="Arial" w:hAnsi="Arial" w:cs="Arial"/>
          <w:sz w:val="20"/>
          <w:szCs w:val="20"/>
          <w:vertAlign w:val="subscript"/>
        </w:rPr>
        <w:t>2</w:t>
      </w:r>
      <w:r w:rsidRPr="0091276E">
        <w:rPr>
          <w:rFonts w:ascii="Arial" w:hAnsi="Arial" w:cs="Arial"/>
          <w:sz w:val="20"/>
          <w:szCs w:val="20"/>
        </w:rPr>
        <w:t>O</w:t>
      </w:r>
      <w:r w:rsidRPr="0091276E">
        <w:rPr>
          <w:rFonts w:ascii="Arial" w:hAnsi="Arial" w:cs="Arial"/>
          <w:sz w:val="20"/>
          <w:szCs w:val="20"/>
          <w:vertAlign w:val="subscript"/>
        </w:rPr>
        <w:t>2</w:t>
      </w:r>
      <w:r w:rsidRPr="0091276E">
        <w:rPr>
          <w:rFonts w:ascii="Arial" w:hAnsi="Arial" w:cs="Arial"/>
          <w:sz w:val="20"/>
          <w:szCs w:val="20"/>
        </w:rPr>
        <w:t>, O</w:t>
      </w:r>
      <w:r w:rsidRPr="0091276E">
        <w:rPr>
          <w:rFonts w:ascii="Arial" w:hAnsi="Arial" w:cs="Arial"/>
          <w:sz w:val="20"/>
          <w:szCs w:val="20"/>
          <w:vertAlign w:val="subscript"/>
        </w:rPr>
        <w:t>2</w:t>
      </w:r>
      <w:r w:rsidRPr="0091276E">
        <w:rPr>
          <w:rFonts w:ascii="Arial" w:hAnsi="Arial" w:cs="Arial"/>
          <w:sz w:val="20"/>
          <w:szCs w:val="20"/>
          <w:vertAlign w:val="superscript"/>
        </w:rPr>
        <w:t>-</w:t>
      </w:r>
      <w:r w:rsidRPr="0091276E">
        <w:rPr>
          <w:rFonts w:ascii="Arial" w:hAnsi="Arial" w:cs="Arial"/>
          <w:sz w:val="20"/>
          <w:szCs w:val="20"/>
        </w:rPr>
        <w:t xml:space="preserve">, </w:t>
      </w:r>
      <w:r w:rsidRPr="0091276E">
        <w:rPr>
          <w:rFonts w:ascii="Arial" w:hAnsi="Arial" w:cs="Arial"/>
          <w:sz w:val="20"/>
          <w:szCs w:val="20"/>
          <w:vertAlign w:val="superscript"/>
        </w:rPr>
        <w:t>1</w:t>
      </w:r>
      <w:r w:rsidRPr="0091276E">
        <w:rPr>
          <w:rFonts w:ascii="Arial" w:hAnsi="Arial" w:cs="Arial"/>
          <w:sz w:val="20"/>
          <w:szCs w:val="20"/>
        </w:rPr>
        <w:t>O</w:t>
      </w:r>
      <w:r w:rsidRPr="0091276E">
        <w:rPr>
          <w:rFonts w:ascii="Arial" w:hAnsi="Arial" w:cs="Arial"/>
          <w:sz w:val="20"/>
          <w:szCs w:val="20"/>
          <w:vertAlign w:val="subscript"/>
        </w:rPr>
        <w:t>2</w:t>
      </w:r>
      <w:r w:rsidRPr="0091276E">
        <w:rPr>
          <w:rFonts w:ascii="Arial" w:hAnsi="Arial" w:cs="Arial"/>
          <w:sz w:val="20"/>
          <w:szCs w:val="20"/>
        </w:rPr>
        <w:t>, and OH</w:t>
      </w:r>
      <w:r w:rsidRPr="0091276E">
        <w:rPr>
          <w:rFonts w:ascii="Arial" w:hAnsi="Arial" w:cs="Arial"/>
          <w:sz w:val="20"/>
          <w:szCs w:val="20"/>
          <w:vertAlign w:val="superscript"/>
        </w:rPr>
        <w:noBreakHyphen/>
      </w:r>
      <w:r w:rsidRPr="0091276E">
        <w:rPr>
          <w:rFonts w:ascii="Arial" w:hAnsi="Arial" w:cs="Arial"/>
          <w:sz w:val="20"/>
          <w:szCs w:val="20"/>
        </w:rPr>
        <w:t>. This causes oxidative stress. This oxidative stress can damage DNA, proteins, and lipids. So, plants use enzymes like superoxide dismutase (SOD), catalase (CAT), ascorbate peroxidase (APX), and glutathione reductase (GR) to get rid of ROS and keep redox homeostasis (</w:t>
      </w:r>
      <w:r w:rsidR="00244E08" w:rsidRPr="0091276E">
        <w:rPr>
          <w:rFonts w:ascii="Arial" w:hAnsi="Arial" w:cs="Arial"/>
          <w:sz w:val="20"/>
          <w:szCs w:val="20"/>
        </w:rPr>
        <w:t>Gill and Tuteja, 2010</w:t>
      </w:r>
      <w:r w:rsidRPr="0091276E">
        <w:rPr>
          <w:rFonts w:ascii="Arial" w:hAnsi="Arial" w:cs="Arial"/>
          <w:sz w:val="20"/>
          <w:szCs w:val="20"/>
        </w:rPr>
        <w:t xml:space="preserve">). </w:t>
      </w:r>
    </w:p>
    <w:p w14:paraId="13B4DC2D" w14:textId="55364B58"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 xml:space="preserve">Plant Growth Regulators (PGRs) are also critical </w:t>
      </w:r>
      <w:proofErr w:type="spellStart"/>
      <w:r w:rsidRPr="0091276E">
        <w:rPr>
          <w:rFonts w:ascii="Arial" w:hAnsi="Arial" w:cs="Arial"/>
          <w:sz w:val="20"/>
          <w:szCs w:val="20"/>
        </w:rPr>
        <w:t>signaling</w:t>
      </w:r>
      <w:proofErr w:type="spellEnd"/>
      <w:r w:rsidRPr="0091276E">
        <w:rPr>
          <w:rFonts w:ascii="Arial" w:hAnsi="Arial" w:cs="Arial"/>
          <w:sz w:val="20"/>
          <w:szCs w:val="20"/>
        </w:rPr>
        <w:t xml:space="preserve"> molecules, helping plants mitigate salt stress through various physiological and developmental changes (</w:t>
      </w:r>
      <w:r w:rsidR="00244E08" w:rsidRPr="0091276E">
        <w:rPr>
          <w:rFonts w:ascii="Arial" w:hAnsi="Arial" w:cs="Arial"/>
          <w:sz w:val="20"/>
          <w:szCs w:val="20"/>
        </w:rPr>
        <w:t xml:space="preserve">Pal </w:t>
      </w:r>
      <w:r w:rsidR="00244E08" w:rsidRPr="0091276E">
        <w:rPr>
          <w:rFonts w:ascii="Arial" w:hAnsi="Arial" w:cs="Arial"/>
          <w:i/>
          <w:iCs/>
          <w:sz w:val="20"/>
          <w:szCs w:val="20"/>
        </w:rPr>
        <w:t>et al</w:t>
      </w:r>
      <w:r w:rsidR="00244E08" w:rsidRPr="0091276E">
        <w:rPr>
          <w:rFonts w:ascii="Arial" w:hAnsi="Arial" w:cs="Arial"/>
          <w:sz w:val="20"/>
          <w:szCs w:val="20"/>
        </w:rPr>
        <w:t>. 2018</w:t>
      </w:r>
      <w:r w:rsidRPr="0091276E">
        <w:rPr>
          <w:rFonts w:ascii="Arial" w:hAnsi="Arial" w:cs="Arial"/>
          <w:sz w:val="20"/>
          <w:szCs w:val="20"/>
        </w:rPr>
        <w:t xml:space="preserve">). </w:t>
      </w:r>
      <w:proofErr w:type="spellStart"/>
      <w:r w:rsidRPr="0091276E">
        <w:rPr>
          <w:rFonts w:ascii="Arial" w:hAnsi="Arial" w:cs="Arial"/>
          <w:sz w:val="20"/>
          <w:szCs w:val="20"/>
        </w:rPr>
        <w:t>Brassinosteroids</w:t>
      </w:r>
      <w:proofErr w:type="spellEnd"/>
      <w:r w:rsidRPr="0091276E">
        <w:rPr>
          <w:rFonts w:ascii="Arial" w:hAnsi="Arial" w:cs="Arial"/>
          <w:sz w:val="20"/>
          <w:szCs w:val="20"/>
        </w:rPr>
        <w:t xml:space="preserve"> (BRs), which are polyhydroxylated, sterol-derived PGRs, have been shown to improve the activity of antioxidant enzymes under salt stress conditions. The exogenous application of BRs decreases the Na</w:t>
      </w:r>
      <w:r w:rsidRPr="0091276E">
        <w:rPr>
          <w:rFonts w:ascii="Arial" w:hAnsi="Arial" w:cs="Arial"/>
          <w:sz w:val="20"/>
          <w:szCs w:val="20"/>
          <w:vertAlign w:val="superscript"/>
        </w:rPr>
        <w:t>+</w:t>
      </w:r>
      <w:r w:rsidRPr="0091276E">
        <w:rPr>
          <w:rFonts w:ascii="Arial" w:hAnsi="Arial" w:cs="Arial"/>
          <w:sz w:val="20"/>
          <w:szCs w:val="20"/>
        </w:rPr>
        <w:t xml:space="preserve"> and Cl</w:t>
      </w:r>
      <w:r w:rsidRPr="0091276E">
        <w:rPr>
          <w:rFonts w:ascii="Arial" w:hAnsi="Arial" w:cs="Arial"/>
          <w:sz w:val="20"/>
          <w:szCs w:val="20"/>
          <w:vertAlign w:val="superscript"/>
        </w:rPr>
        <w:t>-</w:t>
      </w:r>
      <w:r w:rsidRPr="0091276E">
        <w:rPr>
          <w:rFonts w:ascii="Arial" w:hAnsi="Arial" w:cs="Arial"/>
          <w:sz w:val="20"/>
          <w:szCs w:val="20"/>
        </w:rPr>
        <w:t xml:space="preserve"> ion content while increasing K</w:t>
      </w:r>
      <w:r w:rsidRPr="0091276E">
        <w:rPr>
          <w:rFonts w:ascii="Arial" w:hAnsi="Arial" w:cs="Arial"/>
          <w:sz w:val="20"/>
          <w:szCs w:val="20"/>
          <w:vertAlign w:val="superscript"/>
        </w:rPr>
        <w:t>+</w:t>
      </w:r>
      <w:r w:rsidRPr="0091276E">
        <w:rPr>
          <w:rFonts w:ascii="Arial" w:hAnsi="Arial" w:cs="Arial"/>
          <w:sz w:val="20"/>
          <w:szCs w:val="20"/>
        </w:rPr>
        <w:t xml:space="preserve"> and Ca</w:t>
      </w:r>
      <w:r w:rsidRPr="0091276E">
        <w:rPr>
          <w:rFonts w:ascii="Arial" w:hAnsi="Arial" w:cs="Arial"/>
          <w:sz w:val="20"/>
          <w:szCs w:val="20"/>
          <w:vertAlign w:val="superscript"/>
        </w:rPr>
        <w:t>+</w:t>
      </w:r>
      <w:r w:rsidRPr="0091276E">
        <w:rPr>
          <w:rFonts w:ascii="Arial" w:hAnsi="Arial" w:cs="Arial"/>
          <w:sz w:val="20"/>
          <w:szCs w:val="20"/>
        </w:rPr>
        <w:t xml:space="preserve"> levels, thereby enhancing physiological processes such as the maximum quantum efficiency of PSII, net photosynthetic rate, transpiration rate, stomatal conductance, and chlorophyll content (</w:t>
      </w:r>
      <w:r w:rsidR="00244E08" w:rsidRPr="0091276E">
        <w:rPr>
          <w:rFonts w:ascii="Arial" w:hAnsi="Arial" w:cs="Arial"/>
          <w:sz w:val="20"/>
          <w:szCs w:val="20"/>
        </w:rPr>
        <w:t xml:space="preserve">Yue </w:t>
      </w:r>
      <w:r w:rsidR="00244E08" w:rsidRPr="0091276E">
        <w:rPr>
          <w:rFonts w:ascii="Arial" w:hAnsi="Arial" w:cs="Arial"/>
          <w:i/>
          <w:iCs/>
          <w:sz w:val="20"/>
          <w:szCs w:val="20"/>
        </w:rPr>
        <w:t>et al.</w:t>
      </w:r>
      <w:r w:rsidR="00244E08" w:rsidRPr="0091276E">
        <w:rPr>
          <w:rFonts w:ascii="Arial" w:hAnsi="Arial" w:cs="Arial"/>
          <w:sz w:val="20"/>
          <w:szCs w:val="20"/>
        </w:rPr>
        <w:t xml:space="preserve"> 2019</w:t>
      </w:r>
      <w:r w:rsidRPr="0091276E">
        <w:rPr>
          <w:rFonts w:ascii="Arial" w:hAnsi="Arial" w:cs="Arial"/>
          <w:sz w:val="20"/>
          <w:szCs w:val="20"/>
        </w:rPr>
        <w:t xml:space="preserve">), which helps alleviate the harmful effects of salinity. </w:t>
      </w:r>
    </w:p>
    <w:p w14:paraId="1C6F773A" w14:textId="1D574CB5" w:rsidR="0079795B" w:rsidRPr="0091276E" w:rsidRDefault="0079795B" w:rsidP="00244E08">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Similarly, Sodium Nitroprusside (SNP) acts as a signalling molecule by serving as a Nitric Oxide (NO) donor. Exogenous NO application has been found to enhance plant adaptation to various abiotic stresses, including salinity. NO treatment helps keep the right amount of Na</w:t>
      </w:r>
      <w:r w:rsidRPr="0091276E">
        <w:rPr>
          <w:rFonts w:ascii="Arial" w:hAnsi="Arial" w:cs="Arial"/>
          <w:sz w:val="20"/>
          <w:szCs w:val="20"/>
          <w:vertAlign w:val="superscript"/>
        </w:rPr>
        <w:t>+</w:t>
      </w:r>
      <w:r w:rsidRPr="0091276E">
        <w:rPr>
          <w:rFonts w:ascii="Arial" w:hAnsi="Arial" w:cs="Arial"/>
          <w:sz w:val="20"/>
          <w:szCs w:val="20"/>
        </w:rPr>
        <w:t xml:space="preserve"> and K</w:t>
      </w:r>
      <w:r w:rsidRPr="0091276E">
        <w:rPr>
          <w:rFonts w:ascii="Arial" w:hAnsi="Arial" w:cs="Arial"/>
          <w:sz w:val="20"/>
          <w:szCs w:val="20"/>
          <w:vertAlign w:val="superscript"/>
        </w:rPr>
        <w:t>+</w:t>
      </w:r>
      <w:r w:rsidRPr="0091276E">
        <w:rPr>
          <w:rFonts w:ascii="Arial" w:hAnsi="Arial" w:cs="Arial"/>
          <w:sz w:val="20"/>
          <w:szCs w:val="20"/>
        </w:rPr>
        <w:t xml:space="preserve"> in the cell, lowers osmotic stress by increasing the activity of antioxidant enzymes, and protects mitochondria from oxidative damage by increasing ATP synthesis, all of which lead to higher yield (</w:t>
      </w:r>
      <w:r w:rsidR="00244E08" w:rsidRPr="0091276E">
        <w:rPr>
          <w:rFonts w:ascii="Arial" w:hAnsi="Arial" w:cs="Arial"/>
          <w:sz w:val="20"/>
          <w:szCs w:val="20"/>
        </w:rPr>
        <w:t xml:space="preserve">Ali </w:t>
      </w:r>
      <w:r w:rsidR="00244E08" w:rsidRPr="0091276E">
        <w:rPr>
          <w:rFonts w:ascii="Arial" w:hAnsi="Arial" w:cs="Arial"/>
          <w:i/>
          <w:iCs/>
          <w:sz w:val="20"/>
          <w:szCs w:val="20"/>
        </w:rPr>
        <w:t>et al</w:t>
      </w:r>
      <w:r w:rsidR="00244E08" w:rsidRPr="0091276E">
        <w:rPr>
          <w:rFonts w:ascii="Arial" w:hAnsi="Arial" w:cs="Arial"/>
          <w:sz w:val="20"/>
          <w:szCs w:val="20"/>
        </w:rPr>
        <w:t>. 2017</w:t>
      </w:r>
      <w:r w:rsidRPr="0091276E">
        <w:rPr>
          <w:rFonts w:ascii="Arial" w:hAnsi="Arial" w:cs="Arial"/>
          <w:sz w:val="20"/>
          <w:szCs w:val="20"/>
        </w:rPr>
        <w:t xml:space="preserve">). Salicylic acid (SA), a phenolic compound, is another key endogenous growth regulator that helps plants cope with both biotic and abiotic stress. SA's exogenous application plays a critical role in reducing salinity stress by regulating ion uptake and transport, maintaining membrane permeability, preserving cellular redox homeostasis, and alleviating salinity-induced oxidative damage. SA also enhances the production of </w:t>
      </w:r>
      <w:proofErr w:type="spellStart"/>
      <w:r w:rsidRPr="0091276E">
        <w:rPr>
          <w:rFonts w:ascii="Arial" w:hAnsi="Arial" w:cs="Arial"/>
          <w:sz w:val="20"/>
          <w:szCs w:val="20"/>
        </w:rPr>
        <w:t>osmoprotectants</w:t>
      </w:r>
      <w:proofErr w:type="spellEnd"/>
      <w:r w:rsidRPr="0091276E">
        <w:rPr>
          <w:rFonts w:ascii="Arial" w:hAnsi="Arial" w:cs="Arial"/>
          <w:sz w:val="20"/>
          <w:szCs w:val="20"/>
        </w:rPr>
        <w:t xml:space="preserve"> like proline and glycine betaine (GB), which further aid in stress mitigation (</w:t>
      </w:r>
      <w:proofErr w:type="spellStart"/>
      <w:r w:rsidR="0091276E" w:rsidRPr="0091276E">
        <w:rPr>
          <w:rFonts w:ascii="Arial" w:hAnsi="Arial" w:cs="Arial"/>
          <w:color w:val="303030"/>
          <w:sz w:val="20"/>
          <w:szCs w:val="20"/>
          <w:shd w:val="clear" w:color="auto" w:fill="FFFFFF"/>
        </w:rPr>
        <w:t>Dolatabadian</w:t>
      </w:r>
      <w:proofErr w:type="spellEnd"/>
      <w:r w:rsidR="0091276E" w:rsidRPr="0091276E">
        <w:rPr>
          <w:rFonts w:ascii="Arial" w:hAnsi="Arial" w:cs="Arial"/>
          <w:color w:val="303030"/>
          <w:sz w:val="20"/>
          <w:szCs w:val="20"/>
          <w:shd w:val="clear" w:color="auto" w:fill="FFFFFF"/>
        </w:rPr>
        <w:t xml:space="preserve"> </w:t>
      </w:r>
      <w:r w:rsidR="0091276E" w:rsidRPr="0091276E">
        <w:rPr>
          <w:rFonts w:ascii="Arial" w:hAnsi="Arial" w:cs="Arial"/>
          <w:i/>
          <w:iCs/>
          <w:color w:val="303030"/>
          <w:sz w:val="20"/>
          <w:szCs w:val="20"/>
          <w:shd w:val="clear" w:color="auto" w:fill="FFFFFF"/>
        </w:rPr>
        <w:t>et al. 2</w:t>
      </w:r>
      <w:r w:rsidR="0091276E" w:rsidRPr="0091276E">
        <w:rPr>
          <w:rFonts w:ascii="Arial" w:hAnsi="Arial" w:cs="Arial"/>
          <w:color w:val="303030"/>
          <w:sz w:val="20"/>
          <w:szCs w:val="20"/>
          <w:shd w:val="clear" w:color="auto" w:fill="FFFFFF"/>
        </w:rPr>
        <w:t>009</w:t>
      </w:r>
      <w:r w:rsidRPr="0091276E">
        <w:rPr>
          <w:rFonts w:ascii="Arial" w:hAnsi="Arial" w:cs="Arial"/>
          <w:sz w:val="20"/>
          <w:szCs w:val="20"/>
        </w:rPr>
        <w:t xml:space="preserve">). Therefore, </w:t>
      </w:r>
      <w:r w:rsidRPr="0091276E">
        <w:rPr>
          <w:rFonts w:ascii="Arial" w:hAnsi="Arial" w:cs="Arial"/>
          <w:color w:val="212121"/>
          <w:sz w:val="20"/>
          <w:szCs w:val="20"/>
          <w:shd w:val="clear" w:color="auto" w:fill="FFFFFF"/>
        </w:rPr>
        <w:t>the exogenous application of signalling molecules may be the promising methodology to increase productivity of paddy in the saline areas, where rice is grown especially BPT 5204.</w:t>
      </w:r>
    </w:p>
    <w:p w14:paraId="61D99C4C" w14:textId="001BC00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44DFE6D" w14:textId="77777777" w:rsidR="00790ADA" w:rsidRPr="00FB3A86" w:rsidRDefault="00790ADA" w:rsidP="00441B6F">
      <w:pPr>
        <w:pStyle w:val="AbstHead"/>
        <w:spacing w:after="0"/>
        <w:jc w:val="both"/>
        <w:rPr>
          <w:rFonts w:ascii="Arial" w:hAnsi="Arial" w:cs="Arial"/>
        </w:rPr>
      </w:pPr>
    </w:p>
    <w:p w14:paraId="47EBD0EC" w14:textId="6BEA60BD" w:rsidR="009957FF" w:rsidRPr="0091276E" w:rsidRDefault="00CF2606" w:rsidP="0091276E">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9957FF" w:rsidRPr="0091276E">
        <w:rPr>
          <w:rFonts w:ascii="Arial" w:hAnsi="Arial" w:cs="Arial"/>
          <w:sz w:val="20"/>
          <w:szCs w:val="20"/>
        </w:rPr>
        <w:t xml:space="preserve">A field experiment was </w:t>
      </w:r>
      <w:r w:rsidR="00492B28" w:rsidRPr="00492B28">
        <w:rPr>
          <w:rFonts w:ascii="Arial" w:hAnsi="Arial" w:cs="Arial"/>
          <w:b/>
          <w:color w:val="EE0000"/>
          <w:sz w:val="20"/>
          <w:szCs w:val="20"/>
        </w:rPr>
        <w:t>REALIZED</w:t>
      </w:r>
      <w:r w:rsidR="009957FF" w:rsidRPr="0091276E">
        <w:rPr>
          <w:rFonts w:ascii="Arial" w:hAnsi="Arial" w:cs="Arial"/>
          <w:sz w:val="20"/>
          <w:szCs w:val="20"/>
        </w:rPr>
        <w:t xml:space="preserve"> during the kharif season of 2023-24 at the Agricultural College Farm in </w:t>
      </w:r>
      <w:proofErr w:type="spellStart"/>
      <w:r w:rsidR="009957FF" w:rsidRPr="0091276E">
        <w:rPr>
          <w:rFonts w:ascii="Arial" w:hAnsi="Arial" w:cs="Arial"/>
          <w:sz w:val="20"/>
          <w:szCs w:val="20"/>
        </w:rPr>
        <w:t>Bapatla</w:t>
      </w:r>
      <w:proofErr w:type="spellEnd"/>
      <w:r w:rsidR="009957FF" w:rsidRPr="0091276E">
        <w:rPr>
          <w:rFonts w:ascii="Arial" w:hAnsi="Arial" w:cs="Arial"/>
          <w:sz w:val="20"/>
          <w:szCs w:val="20"/>
        </w:rPr>
        <w:t xml:space="preserve">, Andhra Pradesh. Geographically, the site is situated at 15°54′N </w:t>
      </w:r>
      <w:r w:rsidR="009957FF" w:rsidRPr="00492B28">
        <w:rPr>
          <w:rFonts w:ascii="Arial" w:hAnsi="Arial" w:cs="Arial"/>
          <w:b/>
          <w:bCs/>
          <w:color w:val="00B050"/>
          <w:sz w:val="20"/>
          <w:szCs w:val="20"/>
        </w:rPr>
        <w:t>latitude</w:t>
      </w:r>
      <w:r w:rsidR="009957FF" w:rsidRPr="0091276E">
        <w:rPr>
          <w:rFonts w:ascii="Arial" w:hAnsi="Arial" w:cs="Arial"/>
          <w:sz w:val="20"/>
          <w:szCs w:val="20"/>
        </w:rPr>
        <w:t xml:space="preserve"> and 80°25′E </w:t>
      </w:r>
      <w:r w:rsidR="009957FF" w:rsidRPr="00492B28">
        <w:rPr>
          <w:rFonts w:ascii="Arial" w:hAnsi="Arial" w:cs="Arial"/>
          <w:b/>
          <w:bCs/>
          <w:color w:val="00B050"/>
          <w:sz w:val="20"/>
          <w:szCs w:val="20"/>
        </w:rPr>
        <w:t>longitude</w:t>
      </w:r>
      <w:r w:rsidR="009957FF" w:rsidRPr="0091276E">
        <w:rPr>
          <w:rFonts w:ascii="Arial" w:hAnsi="Arial" w:cs="Arial"/>
          <w:sz w:val="20"/>
          <w:szCs w:val="20"/>
        </w:rPr>
        <w:t>, with an elevation of 5.49</w:t>
      </w:r>
      <w:r w:rsidR="00492B28" w:rsidRPr="00492B28">
        <w:rPr>
          <w:rFonts w:ascii="Arial" w:hAnsi="Arial" w:cs="Arial"/>
          <w:b/>
          <w:bCs/>
          <w:color w:val="EE0000"/>
          <w:sz w:val="20"/>
          <w:szCs w:val="20"/>
        </w:rPr>
        <w:t>m</w:t>
      </w:r>
      <w:r w:rsidR="009957FF" w:rsidRPr="0091276E">
        <w:rPr>
          <w:rFonts w:ascii="Arial" w:hAnsi="Arial" w:cs="Arial"/>
          <w:sz w:val="20"/>
          <w:szCs w:val="20"/>
        </w:rPr>
        <w:t xml:space="preserve"> </w:t>
      </w:r>
      <w:r w:rsidR="009957FF" w:rsidRPr="00492B28">
        <w:rPr>
          <w:rFonts w:ascii="Arial" w:hAnsi="Arial" w:cs="Arial"/>
          <w:b/>
          <w:bCs/>
          <w:color w:val="00B050"/>
          <w:sz w:val="20"/>
          <w:szCs w:val="20"/>
        </w:rPr>
        <w:t>meters</w:t>
      </w:r>
      <w:r w:rsidR="009957FF" w:rsidRPr="0091276E">
        <w:rPr>
          <w:rFonts w:ascii="Arial" w:hAnsi="Arial" w:cs="Arial"/>
          <w:sz w:val="20"/>
          <w:szCs w:val="20"/>
        </w:rPr>
        <w:t xml:space="preserve"> </w:t>
      </w:r>
      <w:r w:rsidR="00492B28" w:rsidRPr="00492B28">
        <w:rPr>
          <w:rFonts w:ascii="Arial" w:hAnsi="Arial" w:cs="Arial"/>
          <w:b/>
          <w:bCs/>
          <w:color w:val="EE0000"/>
          <w:sz w:val="20"/>
          <w:szCs w:val="20"/>
        </w:rPr>
        <w:t>asl</w:t>
      </w:r>
      <w:r w:rsidR="00492B28">
        <w:rPr>
          <w:rFonts w:ascii="Arial" w:hAnsi="Arial" w:cs="Arial"/>
          <w:sz w:val="20"/>
          <w:szCs w:val="20"/>
        </w:rPr>
        <w:t xml:space="preserve"> </w:t>
      </w:r>
      <w:r w:rsidR="009957FF" w:rsidRPr="00492B28">
        <w:rPr>
          <w:rFonts w:ascii="Arial" w:hAnsi="Arial" w:cs="Arial"/>
          <w:b/>
          <w:color w:val="00B050"/>
          <w:sz w:val="20"/>
          <w:szCs w:val="20"/>
        </w:rPr>
        <w:t>above mean sea level (MSL)</w:t>
      </w:r>
      <w:r w:rsidR="009957FF" w:rsidRPr="0091276E">
        <w:rPr>
          <w:rFonts w:ascii="Arial" w:hAnsi="Arial" w:cs="Arial"/>
          <w:sz w:val="20"/>
          <w:szCs w:val="20"/>
        </w:rPr>
        <w:t xml:space="preserve">, approximately 8 km from the Bay of Bengal, within the Krishna </w:t>
      </w:r>
      <w:proofErr w:type="spellStart"/>
      <w:r w:rsidR="009957FF" w:rsidRPr="0091276E">
        <w:rPr>
          <w:rFonts w:ascii="Arial" w:hAnsi="Arial" w:cs="Arial"/>
          <w:sz w:val="20"/>
          <w:szCs w:val="20"/>
        </w:rPr>
        <w:t>Agro</w:t>
      </w:r>
      <w:proofErr w:type="spellEnd"/>
      <w:r w:rsidR="009957FF" w:rsidRPr="0091276E">
        <w:rPr>
          <w:rFonts w:ascii="Arial" w:hAnsi="Arial" w:cs="Arial"/>
          <w:sz w:val="20"/>
          <w:szCs w:val="20"/>
        </w:rPr>
        <w:t>-Climatic Zone of Andhra Pradesh. Two rice varieties, differing in salt tolerance, were selected for the study. The variety BPT 5204, known to be salt-sensitive, was compared against MCM 103, a salt-tolerant variety used as a check to evaluate the effects of foliar-applied signal molecules on BPT 5204. The study employed a randomized block design with eight treatments: MCM 103 (control)  - T</w:t>
      </w:r>
      <w:r w:rsidR="009957FF" w:rsidRPr="0091276E">
        <w:rPr>
          <w:rFonts w:ascii="Arial" w:hAnsi="Arial" w:cs="Arial"/>
          <w:sz w:val="20"/>
          <w:szCs w:val="20"/>
          <w:vertAlign w:val="subscript"/>
        </w:rPr>
        <w:t>1</w:t>
      </w:r>
      <w:r w:rsidR="009957FF" w:rsidRPr="0091276E">
        <w:rPr>
          <w:rFonts w:ascii="Arial" w:hAnsi="Arial" w:cs="Arial"/>
          <w:sz w:val="20"/>
          <w:szCs w:val="20"/>
        </w:rPr>
        <w:t>, 0.25 mM/L of SNP - T</w:t>
      </w:r>
      <w:r w:rsidR="009957FF" w:rsidRPr="0091276E">
        <w:rPr>
          <w:rFonts w:ascii="Arial" w:hAnsi="Arial" w:cs="Arial"/>
          <w:sz w:val="20"/>
          <w:szCs w:val="20"/>
          <w:vertAlign w:val="subscript"/>
        </w:rPr>
        <w:t>2</w:t>
      </w:r>
      <w:r w:rsidR="009957FF" w:rsidRPr="0091276E">
        <w:rPr>
          <w:rFonts w:ascii="Arial" w:hAnsi="Arial" w:cs="Arial"/>
          <w:sz w:val="20"/>
          <w:szCs w:val="20"/>
        </w:rPr>
        <w:t>, 0.50 mM/L of SA -T</w:t>
      </w:r>
      <w:r w:rsidR="009957FF" w:rsidRPr="0091276E">
        <w:rPr>
          <w:rFonts w:ascii="Arial" w:hAnsi="Arial" w:cs="Arial"/>
          <w:sz w:val="20"/>
          <w:szCs w:val="20"/>
          <w:vertAlign w:val="subscript"/>
        </w:rPr>
        <w:t>3</w:t>
      </w:r>
      <w:r w:rsidR="009957FF" w:rsidRPr="0091276E">
        <w:rPr>
          <w:rFonts w:ascii="Arial" w:hAnsi="Arial" w:cs="Arial"/>
          <w:sz w:val="20"/>
          <w:szCs w:val="20"/>
        </w:rPr>
        <w:t>, 0.50 mM/L of BR -T</w:t>
      </w:r>
      <w:r w:rsidR="009957FF" w:rsidRPr="0091276E">
        <w:rPr>
          <w:rFonts w:ascii="Arial" w:hAnsi="Arial" w:cs="Arial"/>
          <w:sz w:val="20"/>
          <w:szCs w:val="20"/>
          <w:vertAlign w:val="subscript"/>
        </w:rPr>
        <w:t>4</w:t>
      </w:r>
      <w:r w:rsidR="009957FF" w:rsidRPr="0091276E">
        <w:rPr>
          <w:rFonts w:ascii="Arial" w:hAnsi="Arial" w:cs="Arial"/>
          <w:sz w:val="20"/>
          <w:szCs w:val="20"/>
        </w:rPr>
        <w:t>, 0.25 mM/L SNP+ 0.50 mM/L SA -T</w:t>
      </w:r>
      <w:r w:rsidR="009957FF" w:rsidRPr="0091276E">
        <w:rPr>
          <w:rFonts w:ascii="Arial" w:hAnsi="Arial" w:cs="Arial"/>
          <w:sz w:val="20"/>
          <w:szCs w:val="20"/>
          <w:vertAlign w:val="subscript"/>
        </w:rPr>
        <w:t>5</w:t>
      </w:r>
      <w:r w:rsidR="009957FF" w:rsidRPr="0091276E">
        <w:rPr>
          <w:rFonts w:ascii="Arial" w:hAnsi="Arial" w:cs="Arial"/>
          <w:sz w:val="20"/>
          <w:szCs w:val="20"/>
        </w:rPr>
        <w:t>, 0.25 mM/L SNP+ 0.50 mM/L BR -T</w:t>
      </w:r>
      <w:r w:rsidR="009957FF" w:rsidRPr="0091276E">
        <w:rPr>
          <w:rFonts w:ascii="Arial" w:hAnsi="Arial" w:cs="Arial"/>
          <w:sz w:val="20"/>
          <w:szCs w:val="20"/>
          <w:vertAlign w:val="subscript"/>
        </w:rPr>
        <w:t>6</w:t>
      </w:r>
      <w:r w:rsidR="009957FF" w:rsidRPr="0091276E">
        <w:rPr>
          <w:rFonts w:ascii="Arial" w:hAnsi="Arial" w:cs="Arial"/>
          <w:sz w:val="20"/>
          <w:szCs w:val="20"/>
        </w:rPr>
        <w:t>, 0.25 mM/L SNP+ 0.50 mM/L SA+ 0.50 mM/L BR -T</w:t>
      </w:r>
      <w:r w:rsidR="009957FF" w:rsidRPr="0091276E">
        <w:rPr>
          <w:rFonts w:ascii="Arial" w:hAnsi="Arial" w:cs="Arial"/>
          <w:sz w:val="20"/>
          <w:szCs w:val="20"/>
          <w:vertAlign w:val="subscript"/>
        </w:rPr>
        <w:t>7</w:t>
      </w:r>
      <w:r w:rsidR="009957FF" w:rsidRPr="0091276E">
        <w:rPr>
          <w:rFonts w:ascii="Arial" w:hAnsi="Arial" w:cs="Arial"/>
          <w:sz w:val="20"/>
          <w:szCs w:val="20"/>
        </w:rPr>
        <w:t>, and an untreated control - T</w:t>
      </w:r>
      <w:r w:rsidR="009957FF" w:rsidRPr="0091276E">
        <w:rPr>
          <w:rFonts w:ascii="Arial" w:hAnsi="Arial" w:cs="Arial"/>
          <w:sz w:val="20"/>
          <w:szCs w:val="20"/>
          <w:vertAlign w:val="subscript"/>
        </w:rPr>
        <w:t>8</w:t>
      </w:r>
      <w:r w:rsidR="009957FF" w:rsidRPr="0091276E">
        <w:rPr>
          <w:rFonts w:ascii="Arial" w:hAnsi="Arial" w:cs="Arial"/>
          <w:sz w:val="20"/>
          <w:szCs w:val="20"/>
        </w:rPr>
        <w:t xml:space="preserve">, </w:t>
      </w:r>
      <w:r w:rsidR="009957FF" w:rsidRPr="0091276E">
        <w:rPr>
          <w:rFonts w:ascii="Arial" w:hAnsi="Arial" w:cs="Arial"/>
          <w:sz w:val="20"/>
          <w:szCs w:val="20"/>
        </w:rPr>
        <w:lastRenderedPageBreak/>
        <w:t>replicated three times under salinity conditions of 4 dSm</w:t>
      </w:r>
      <w:r w:rsidR="009957FF" w:rsidRPr="0091276E">
        <w:rPr>
          <w:rFonts w:ascii="Arial" w:hAnsi="Arial" w:cs="Arial"/>
          <w:sz w:val="20"/>
          <w:szCs w:val="20"/>
          <w:vertAlign w:val="superscript"/>
        </w:rPr>
        <w:t>-1</w:t>
      </w:r>
      <w:r w:rsidR="009957FF" w:rsidRPr="0091276E">
        <w:rPr>
          <w:rFonts w:ascii="Arial" w:hAnsi="Arial" w:cs="Arial"/>
          <w:sz w:val="20"/>
          <w:szCs w:val="20"/>
        </w:rPr>
        <w:t>. Foliar applications of the signal molecules were carried out at two key growth stages</w:t>
      </w:r>
      <w:r w:rsidR="00492B28" w:rsidRPr="00492B28">
        <w:rPr>
          <w:rFonts w:ascii="Arial" w:hAnsi="Arial" w:cs="Arial"/>
          <w:b/>
          <w:color w:val="EE0000"/>
          <w:sz w:val="20"/>
          <w:szCs w:val="20"/>
        </w:rPr>
        <w:t>,</w:t>
      </w:r>
      <w:r w:rsidR="009957FF" w:rsidRPr="0091276E">
        <w:rPr>
          <w:rFonts w:ascii="Arial" w:hAnsi="Arial" w:cs="Arial"/>
          <w:sz w:val="20"/>
          <w:szCs w:val="20"/>
        </w:rPr>
        <w:t xml:space="preserve"> </w:t>
      </w:r>
      <w:r w:rsidR="009957FF" w:rsidRPr="00492B28">
        <w:rPr>
          <w:rFonts w:ascii="Arial" w:hAnsi="Arial" w:cs="Arial"/>
          <w:b/>
          <w:color w:val="00B050"/>
          <w:sz w:val="20"/>
          <w:szCs w:val="20"/>
        </w:rPr>
        <w:t>(</w:t>
      </w:r>
      <w:r w:rsidR="009957FF" w:rsidRPr="0091276E">
        <w:rPr>
          <w:rFonts w:ascii="Arial" w:hAnsi="Arial" w:cs="Arial"/>
          <w:sz w:val="20"/>
          <w:szCs w:val="20"/>
        </w:rPr>
        <w:t>before and after the reproductive phase</w:t>
      </w:r>
      <w:r w:rsidR="009957FF" w:rsidRPr="00492B28">
        <w:rPr>
          <w:rFonts w:ascii="Arial" w:hAnsi="Arial" w:cs="Arial"/>
          <w:b/>
          <w:color w:val="00B050"/>
          <w:sz w:val="20"/>
          <w:szCs w:val="20"/>
        </w:rPr>
        <w:t>)</w:t>
      </w:r>
      <w:r w:rsidR="00D7425A" w:rsidRPr="00D7425A">
        <w:t xml:space="preserve"> </w:t>
      </w:r>
      <w:r w:rsidR="00D7425A" w:rsidRPr="00D7425A">
        <w:rPr>
          <w:rFonts w:ascii="Arial" w:hAnsi="Arial" w:cs="Arial"/>
          <w:b/>
          <w:color w:val="00B050"/>
          <w:sz w:val="20"/>
          <w:szCs w:val="20"/>
        </w:rPr>
        <w:t>Remove unnecessary parentheses</w:t>
      </w:r>
      <w:r w:rsidR="00D7425A">
        <w:rPr>
          <w:rFonts w:ascii="Arial" w:hAnsi="Arial" w:cs="Arial"/>
          <w:b/>
          <w:color w:val="00B050"/>
          <w:sz w:val="20"/>
          <w:szCs w:val="20"/>
        </w:rPr>
        <w:t xml:space="preserve"> </w:t>
      </w:r>
      <w:r w:rsidR="009957FF" w:rsidRPr="0091276E">
        <w:rPr>
          <w:rFonts w:ascii="Arial" w:hAnsi="Arial" w:cs="Arial"/>
          <w:sz w:val="20"/>
          <w:szCs w:val="20"/>
        </w:rPr>
        <w:t>. Data on various morpho-physiological and biochemical traits associated with salinity tolerance were collected at four growth stages: maximum tillering, panicle initiation, anthesis, and physiological maturity.</w:t>
      </w:r>
    </w:p>
    <w:p w14:paraId="3CBADBF4" w14:textId="52C95280" w:rsidR="009957FF" w:rsidRPr="0091276E" w:rsidRDefault="009957FF" w:rsidP="0091276E">
      <w:pPr>
        <w:tabs>
          <w:tab w:val="num" w:pos="0"/>
        </w:tabs>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t>The leaf water potential was measured with a Dew Point Potentiometer (Meter group Decagon model: WP4C) and expressed in megapascals (MPa). The Chlorophyll Stability Index (CSI), which measures membrane integrity or chlorophyll stability under stress, was calculated using the Dimethyl sulfoxide (DMSO) method to compare light transmission differences between treated (incubated at 65°C for one hour)</w:t>
      </w:r>
      <w:r w:rsidR="00D7425A" w:rsidRPr="00D7425A">
        <w:t xml:space="preserve"> </w:t>
      </w:r>
      <w:r w:rsidR="00D7425A" w:rsidRPr="00D7425A">
        <w:rPr>
          <w:rFonts w:ascii="Arial" w:hAnsi="Arial" w:cs="Arial"/>
          <w:b/>
          <w:bCs/>
          <w:color w:val="00B050"/>
          <w:lang w:val="en-IN" w:eastAsia="en-IN"/>
        </w:rPr>
        <w:t>Remove unnecessary parentheses</w:t>
      </w:r>
      <w:r w:rsidRPr="0091276E">
        <w:rPr>
          <w:rFonts w:ascii="Arial" w:hAnsi="Arial" w:cs="Arial"/>
          <w:lang w:val="en-IN" w:eastAsia="en-IN"/>
        </w:rPr>
        <w:t xml:space="preserve"> and untreated leaf samples (kept at ambient temperature)</w:t>
      </w:r>
      <w:r w:rsidR="00D7425A" w:rsidRPr="00D7425A">
        <w:t xml:space="preserve"> </w:t>
      </w:r>
      <w:r w:rsidR="00D7425A" w:rsidRPr="00D7425A">
        <w:rPr>
          <w:rFonts w:ascii="Arial" w:hAnsi="Arial" w:cs="Arial"/>
          <w:b/>
          <w:color w:val="00B050"/>
          <w:lang w:val="en-IN" w:eastAsia="en-IN"/>
        </w:rPr>
        <w:t>Remove unnecessary parentheses</w:t>
      </w:r>
      <w:r w:rsidR="00492B28">
        <w:rPr>
          <w:rFonts w:ascii="Arial" w:hAnsi="Arial" w:cs="Arial"/>
          <w:lang w:val="en-IN" w:eastAsia="en-IN"/>
        </w:rPr>
        <w:t xml:space="preserve"> </w:t>
      </w:r>
      <w:r w:rsidRPr="0091276E">
        <w:rPr>
          <w:rFonts w:ascii="Arial" w:hAnsi="Arial" w:cs="Arial"/>
          <w:lang w:val="en-IN" w:eastAsia="en-IN"/>
        </w:rPr>
        <w:t>. The chlorophyll extract's absorbance was measured at 652 nm with a spectrophotometer. The CSI was computed using the following formulas (Eqn. 1 and 2).</w:t>
      </w:r>
    </w:p>
    <w:p w14:paraId="679500E5" w14:textId="0B70B796" w:rsidR="009957FF" w:rsidRPr="0091276E" w:rsidRDefault="009957FF" w:rsidP="0091276E">
      <w:pPr>
        <w:spacing w:before="113" w:after="113"/>
        <w:rPr>
          <w:rFonts w:ascii="Arial" w:hAnsi="Arial" w:cs="Arial"/>
        </w:rPr>
      </w:pPr>
      <m:oMath>
        <m:r>
          <m:rPr>
            <m:sty m:val="b"/>
          </m:rPr>
          <w:rPr>
            <w:rFonts w:ascii="Cambria Math" w:hAnsi="Cambria Math" w:cs="Arial"/>
          </w:rPr>
          <m:t>mg Total chlorophyll /g tissue= A652 ×</m:t>
        </m:r>
        <m:f>
          <m:fPr>
            <m:ctrlPr>
              <w:rPr>
                <w:rFonts w:ascii="Cambria Math" w:hAnsi="Cambria Math" w:cs="Arial"/>
                <w:b/>
                <w:iCs/>
              </w:rPr>
            </m:ctrlPr>
          </m:fPr>
          <m:num>
            <m:r>
              <m:rPr>
                <m:sty m:val="b"/>
              </m:rPr>
              <w:rPr>
                <w:rFonts w:ascii="Cambria Math" w:hAnsi="Cambria Math" w:cs="Arial"/>
              </w:rPr>
              <m:t>1000</m:t>
            </m:r>
          </m:num>
          <m:den>
            <m:r>
              <m:rPr>
                <m:sty m:val="b"/>
              </m:rPr>
              <w:rPr>
                <w:rFonts w:ascii="Cambria Math" w:hAnsi="Cambria Math" w:cs="Arial"/>
              </w:rPr>
              <m:t>34.5</m:t>
            </m:r>
          </m:den>
        </m:f>
        <m:r>
          <m:rPr>
            <m:sty m:val="b"/>
          </m:rPr>
          <w:rPr>
            <w:rFonts w:ascii="Cambria Math" w:hAnsi="Cambria Math" w:cs="Arial"/>
          </w:rPr>
          <m:t>×</m:t>
        </m:r>
        <m:f>
          <m:fPr>
            <m:ctrlPr>
              <w:rPr>
                <w:rFonts w:ascii="Cambria Math" w:hAnsi="Cambria Math" w:cs="Arial"/>
                <w:b/>
                <w:iCs/>
              </w:rPr>
            </m:ctrlPr>
          </m:fPr>
          <m:num>
            <m:r>
              <m:rPr>
                <m:sty m:val="b"/>
              </m:rPr>
              <w:rPr>
                <w:rFonts w:ascii="Cambria Math" w:hAnsi="Cambria Math" w:cs="Arial"/>
              </w:rPr>
              <m:t>V</m:t>
            </m:r>
          </m:num>
          <m:den>
            <m:r>
              <m:rPr>
                <m:sty m:val="b"/>
              </m:rPr>
              <w:rPr>
                <w:rFonts w:ascii="Cambria Math" w:hAnsi="Cambria Math" w:cs="Arial"/>
              </w:rPr>
              <m:t>1000×W</m:t>
            </m:r>
          </m:den>
        </m:f>
      </m:oMath>
      <w:r w:rsidRPr="0091276E">
        <w:rPr>
          <w:rFonts w:ascii="Arial" w:hAnsi="Arial" w:cs="Arial"/>
        </w:rPr>
        <w:t xml:space="preserve">  </w:t>
      </w:r>
      <w:r w:rsidRPr="0091276E">
        <w:rPr>
          <w:rFonts w:ascii="Arial" w:hAnsi="Arial" w:cs="Arial"/>
        </w:rPr>
        <w:tab/>
      </w:r>
      <w:r w:rsidRPr="0091276E">
        <w:rPr>
          <w:rFonts w:ascii="Arial" w:hAnsi="Arial" w:cs="Arial"/>
        </w:rPr>
        <w:tab/>
        <w:t xml:space="preserve">(Eqn.1)                                  </w:t>
      </w:r>
    </w:p>
    <w:p w14:paraId="5A50488D" w14:textId="1D99B2DD" w:rsidR="009957FF" w:rsidRPr="0091276E" w:rsidRDefault="009957FF" w:rsidP="0091276E">
      <w:pPr>
        <w:rPr>
          <w:rFonts w:ascii="Arial" w:hAnsi="Arial" w:cs="Arial"/>
        </w:rPr>
      </w:pPr>
      <m:oMath>
        <m:r>
          <m:rPr>
            <m:sty m:val="b"/>
          </m:rPr>
          <w:rPr>
            <w:rFonts w:ascii="Cambria Math" w:hAnsi="Cambria Math" w:cs="Arial"/>
          </w:rPr>
          <m:t>CSI</m:t>
        </m:r>
        <m:d>
          <m:dPr>
            <m:ctrlPr>
              <w:rPr>
                <w:rFonts w:ascii="Cambria Math" w:hAnsi="Cambria Math" w:cs="Arial"/>
                <w:iCs/>
              </w:rPr>
            </m:ctrlPr>
          </m:dPr>
          <m:e>
            <m:r>
              <m:rPr>
                <m:sty m:val="b"/>
              </m:rPr>
              <w:rPr>
                <w:rFonts w:ascii="Cambria Math" w:hAnsi="Cambria Math" w:cs="Arial"/>
              </w:rPr>
              <m:t>%</m:t>
            </m:r>
          </m:e>
        </m:d>
        <m:r>
          <m:rPr>
            <m:sty m:val="b"/>
          </m:rPr>
          <w:rPr>
            <w:rFonts w:ascii="Cambria Math" w:hAnsi="Cambria Math" w:cs="Arial"/>
          </w:rPr>
          <m:t>=</m:t>
        </m:r>
      </m:oMath>
      <w:r w:rsidRPr="0091276E">
        <w:rPr>
          <w:rFonts w:ascii="Arial" w:hAnsi="Arial" w:cs="Arial"/>
        </w:rPr>
        <w:t xml:space="preserve"> </w:t>
      </w:r>
      <m:oMath>
        <m:f>
          <m:fPr>
            <m:ctrlPr>
              <w:rPr>
                <w:rFonts w:ascii="Cambria Math" w:hAnsi="Cambria Math" w:cs="Arial"/>
                <w:iCs/>
              </w:rPr>
            </m:ctrlPr>
          </m:fPr>
          <m:num>
            <m:r>
              <m:rPr>
                <m:sty m:val="b"/>
              </m:rPr>
              <w:rPr>
                <w:rFonts w:ascii="Cambria Math" w:hAnsi="Cambria Math" w:cs="Arial"/>
              </w:rPr>
              <m:t>Total chlorophyll content of treated sample</m:t>
            </m:r>
          </m:num>
          <m:den>
            <m:r>
              <m:rPr>
                <m:sty m:val="b"/>
              </m:rPr>
              <w:rPr>
                <w:rFonts w:ascii="Cambria Math" w:hAnsi="Cambria Math" w:cs="Arial"/>
              </w:rPr>
              <m:t xml:space="preserve">Total chlorophyll content of untreated sample </m:t>
            </m:r>
          </m:den>
        </m:f>
        <m:r>
          <m:rPr>
            <m:sty m:val="b"/>
          </m:rPr>
          <w:rPr>
            <w:rFonts w:ascii="Cambria Math" w:hAnsi="Cambria Math" w:cs="Arial"/>
          </w:rPr>
          <m:t>×100</m:t>
        </m:r>
      </m:oMath>
      <w:r w:rsidRPr="0091276E">
        <w:rPr>
          <w:rFonts w:ascii="Arial" w:hAnsi="Arial" w:cs="Arial"/>
        </w:rPr>
        <w:tab/>
        <w:t xml:space="preserve">          </w:t>
      </w:r>
      <w:r w:rsidR="00951CB2">
        <w:rPr>
          <w:rFonts w:ascii="Arial" w:hAnsi="Arial" w:cs="Arial"/>
        </w:rPr>
        <w:t xml:space="preserve">             </w:t>
      </w:r>
      <w:r w:rsidRPr="0091276E">
        <w:rPr>
          <w:rFonts w:ascii="Arial" w:hAnsi="Arial" w:cs="Arial"/>
        </w:rPr>
        <w:t xml:space="preserve">   (Eqn.2)</w:t>
      </w:r>
    </w:p>
    <w:p w14:paraId="75458A50" w14:textId="77777777" w:rsidR="009957FF" w:rsidRPr="0091276E" w:rsidRDefault="009957FF" w:rsidP="0091276E">
      <w:pPr>
        <w:tabs>
          <w:tab w:val="num" w:pos="0"/>
        </w:tabs>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r>
    </w:p>
    <w:p w14:paraId="54FC309F" w14:textId="29D229A2" w:rsidR="009957FF" w:rsidRPr="0091276E" w:rsidRDefault="009957FF" w:rsidP="0091276E">
      <w:pPr>
        <w:tabs>
          <w:tab w:val="num" w:pos="0"/>
        </w:tabs>
        <w:jc w:val="both"/>
        <w:rPr>
          <w:rFonts w:ascii="Arial" w:hAnsi="Arial" w:cs="Arial"/>
          <w:lang w:val="en-IN" w:eastAsia="en-IN"/>
        </w:rPr>
      </w:pPr>
      <w:r w:rsidRPr="0091276E">
        <w:rPr>
          <w:rFonts w:ascii="Arial" w:hAnsi="Arial" w:cs="Arial"/>
          <w:lang w:val="en-IN" w:eastAsia="en-IN"/>
        </w:rPr>
        <w:tab/>
        <w:t xml:space="preserve">Root samples were meticulously extracted from each treatment plot at three developmental stages: maximum tillering, panicle initiation, and anthesis. Following the meticulous washing of the roots under running water to eliminate soil particles, the samples were dried to a constant weight in a hot-air oven at 65°C for three days. Dry weights were measured in grams, and root images were obtained for analysis utilizing ImageJ software. The images were subsequently </w:t>
      </w:r>
      <w:proofErr w:type="spellStart"/>
      <w:r w:rsidRPr="0091276E">
        <w:rPr>
          <w:rFonts w:ascii="Arial" w:hAnsi="Arial" w:cs="Arial"/>
          <w:lang w:val="en-IN" w:eastAsia="en-IN"/>
        </w:rPr>
        <w:t>analyzed</w:t>
      </w:r>
      <w:proofErr w:type="spellEnd"/>
      <w:r w:rsidRPr="0091276E">
        <w:rPr>
          <w:rFonts w:ascii="Arial" w:hAnsi="Arial" w:cs="Arial"/>
          <w:lang w:val="en-IN" w:eastAsia="en-IN"/>
        </w:rPr>
        <w:t xml:space="preserve"> using the </w:t>
      </w:r>
      <w:proofErr w:type="spellStart"/>
      <w:r w:rsidRPr="0091276E">
        <w:rPr>
          <w:rFonts w:ascii="Arial" w:hAnsi="Arial" w:cs="Arial"/>
          <w:lang w:val="en-IN" w:eastAsia="en-IN"/>
        </w:rPr>
        <w:t>RhizoVision</w:t>
      </w:r>
      <w:proofErr w:type="spellEnd"/>
      <w:r w:rsidRPr="0091276E">
        <w:rPr>
          <w:rFonts w:ascii="Arial" w:hAnsi="Arial" w:cs="Arial"/>
          <w:lang w:val="en-IN" w:eastAsia="en-IN"/>
        </w:rPr>
        <w:t xml:space="preserve"> Explorer application to quantify root volume, expressed in cubic </w:t>
      </w:r>
      <w:proofErr w:type="spellStart"/>
      <w:r w:rsidRPr="0091276E">
        <w:rPr>
          <w:rFonts w:ascii="Arial" w:hAnsi="Arial" w:cs="Arial"/>
          <w:lang w:val="en-IN" w:eastAsia="en-IN"/>
        </w:rPr>
        <w:t>centimeters</w:t>
      </w:r>
      <w:proofErr w:type="spellEnd"/>
      <w:r w:rsidRPr="0091276E">
        <w:rPr>
          <w:rFonts w:ascii="Arial" w:hAnsi="Arial" w:cs="Arial"/>
          <w:lang w:val="en-IN" w:eastAsia="en-IN"/>
        </w:rPr>
        <w:t xml:space="preserve"> per plant.</w:t>
      </w:r>
    </w:p>
    <w:p w14:paraId="69E23713" w14:textId="457620A1" w:rsidR="009957FF" w:rsidRPr="0091276E" w:rsidRDefault="009957FF" w:rsidP="0091276E">
      <w:pPr>
        <w:tabs>
          <w:tab w:val="num" w:pos="0"/>
        </w:tabs>
        <w:spacing w:after="240"/>
        <w:jc w:val="both"/>
        <w:rPr>
          <w:rFonts w:ascii="Arial" w:hAnsi="Arial" w:cs="Arial"/>
          <w:lang w:val="en-IN" w:eastAsia="en-IN"/>
        </w:rPr>
      </w:pPr>
      <w:r w:rsidRPr="0091276E">
        <w:rPr>
          <w:rFonts w:ascii="Arial" w:hAnsi="Arial" w:cs="Arial"/>
          <w:lang w:val="en-IN" w:eastAsia="en-IN"/>
        </w:rPr>
        <w:t xml:space="preserve"> </w:t>
      </w:r>
      <w:r w:rsidRPr="0091276E">
        <w:rPr>
          <w:rFonts w:ascii="Arial" w:hAnsi="Arial" w:cs="Arial"/>
          <w:lang w:val="en-IN" w:eastAsia="en-IN"/>
        </w:rPr>
        <w:tab/>
        <w:t xml:space="preserve">Dried, pulverized plant material was subjected to digestion in a di-acid mixture and gently heated on a hot plate until the solution turned </w:t>
      </w:r>
      <w:proofErr w:type="spellStart"/>
      <w:r w:rsidRPr="0091276E">
        <w:rPr>
          <w:rFonts w:ascii="Arial" w:hAnsi="Arial" w:cs="Arial"/>
          <w:lang w:val="en-IN" w:eastAsia="en-IN"/>
        </w:rPr>
        <w:t>colorless</w:t>
      </w:r>
      <w:proofErr w:type="spellEnd"/>
      <w:r w:rsidRPr="0091276E">
        <w:rPr>
          <w:rFonts w:ascii="Arial" w:hAnsi="Arial" w:cs="Arial"/>
          <w:lang w:val="en-IN" w:eastAsia="en-IN"/>
        </w:rPr>
        <w:t>. The solution was subsequently diluted to a final volume of 100 mL using distilled water. The sodium and potassium concentrations were quantified using a Flame Photometer (</w:t>
      </w:r>
      <w:proofErr w:type="spellStart"/>
      <w:r w:rsidRPr="0091276E">
        <w:rPr>
          <w:rFonts w:ascii="Arial" w:hAnsi="Arial" w:cs="Arial"/>
          <w:lang w:val="en-IN" w:eastAsia="en-IN"/>
        </w:rPr>
        <w:t>Elico</w:t>
      </w:r>
      <w:proofErr w:type="spellEnd"/>
      <w:r w:rsidRPr="0091276E">
        <w:rPr>
          <w:rFonts w:ascii="Arial" w:hAnsi="Arial" w:cs="Arial"/>
          <w:lang w:val="en-IN" w:eastAsia="en-IN"/>
        </w:rPr>
        <w:t xml:space="preserve">, India) at a wavelength of 548 nm, with results reported in ppm. The photometer was calibrated for sodium and potassium at concentrations of 0–100 ppm and 0–1000 ppm, respectively, utilizing graded solutions of NaCl and </w:t>
      </w:r>
      <w:proofErr w:type="spellStart"/>
      <w:r w:rsidRPr="0091276E">
        <w:rPr>
          <w:rFonts w:ascii="Arial" w:hAnsi="Arial" w:cs="Arial"/>
          <w:lang w:val="en-IN" w:eastAsia="en-IN"/>
        </w:rPr>
        <w:t>KCl</w:t>
      </w:r>
      <w:proofErr w:type="spellEnd"/>
      <w:r w:rsidRPr="0091276E">
        <w:rPr>
          <w:rFonts w:ascii="Arial" w:hAnsi="Arial" w:cs="Arial"/>
          <w:lang w:val="en-IN" w:eastAsia="en-IN"/>
        </w:rPr>
        <w:t>. The ppm values were subsequently converted to mg g</w:t>
      </w:r>
      <w:r w:rsidRPr="0091276E">
        <w:rPr>
          <w:rFonts w:ascii="Cambria Math" w:hAnsi="Cambria Math" w:cs="Cambria Math"/>
          <w:lang w:val="en-IN" w:eastAsia="en-IN"/>
        </w:rPr>
        <w:t>⁻</w:t>
      </w:r>
      <w:r w:rsidRPr="0091276E">
        <w:rPr>
          <w:rFonts w:ascii="Arial" w:hAnsi="Arial" w:cs="Arial"/>
          <w:lang w:val="en-IN" w:eastAsia="en-IN"/>
        </w:rPr>
        <w:t xml:space="preserve">¹ on a dry weight (DW) basis. The digest was diluted to an appropriate concentration to guarantee the final reading ranged between 0 and 5 ppm. </w:t>
      </w:r>
      <w:r w:rsidRPr="0091276E">
        <w:rPr>
          <w:rFonts w:ascii="Arial" w:hAnsi="Arial" w:cs="Arial"/>
          <w:lang w:val="en-IN" w:eastAsia="en-IN"/>
        </w:rPr>
        <w:br/>
        <w:t>Proline was selectively extracted from plant tissues using aqueous sulfosalicylic acid, and its concentration was quantified using the ninhydrin method. The reaction of proline with ninhydrin in acidic conditions yielded a red complex, measured at 520 nm, and proline concentration was determined (</w:t>
      </w:r>
      <w:r w:rsidR="0091276E">
        <w:rPr>
          <w:rFonts w:ascii="Arial" w:hAnsi="Arial" w:cs="Arial"/>
          <w:lang w:val="en-IN" w:eastAsia="en-IN"/>
        </w:rPr>
        <w:t xml:space="preserve">Bates </w:t>
      </w:r>
      <w:r w:rsidR="0091276E" w:rsidRPr="0091276E">
        <w:rPr>
          <w:rFonts w:ascii="Arial" w:hAnsi="Arial" w:cs="Arial"/>
          <w:i/>
          <w:iCs/>
          <w:lang w:val="en-IN" w:eastAsia="en-IN"/>
        </w:rPr>
        <w:t>et al</w:t>
      </w:r>
      <w:r w:rsidR="0091276E">
        <w:rPr>
          <w:rFonts w:ascii="Arial" w:hAnsi="Arial" w:cs="Arial"/>
          <w:lang w:val="en-IN" w:eastAsia="en-IN"/>
        </w:rPr>
        <w:t>. 1973</w:t>
      </w:r>
      <w:r w:rsidRPr="0091276E">
        <w:rPr>
          <w:rFonts w:ascii="Arial" w:hAnsi="Arial" w:cs="Arial"/>
          <w:lang w:val="en-IN" w:eastAsia="en-IN"/>
        </w:rPr>
        <w:t>) using the following formula (eqn.3).</w:t>
      </w:r>
    </w:p>
    <w:p w14:paraId="2667C2A6" w14:textId="59AC10A6" w:rsidR="009957FF" w:rsidRPr="0091276E" w:rsidRDefault="009957FF" w:rsidP="0091276E">
      <w:pPr>
        <w:spacing w:before="240" w:after="200"/>
        <w:rPr>
          <w:rFonts w:ascii="Arial" w:hAnsi="Arial" w:cs="Arial"/>
          <w:b/>
          <w:bCs/>
        </w:rPr>
      </w:pPr>
      <w:r w:rsidRPr="0091276E">
        <w:rPr>
          <w:rFonts w:ascii="Arial" w:hAnsi="Arial" w:cs="Arial"/>
        </w:rPr>
        <w:t>Proline (µg g</w:t>
      </w:r>
      <w:r w:rsidRPr="0091276E">
        <w:rPr>
          <w:rFonts w:ascii="Arial" w:hAnsi="Arial" w:cs="Arial"/>
          <w:vertAlign w:val="superscript"/>
        </w:rPr>
        <w:t>-1</w:t>
      </w:r>
      <w:r w:rsidRPr="0091276E">
        <w:rPr>
          <w:rFonts w:ascii="Arial" w:hAnsi="Arial" w:cs="Arial"/>
        </w:rPr>
        <w:t xml:space="preserve"> fresh weight)  </w:t>
      </w:r>
      <m:oMath>
        <m:r>
          <m:rPr>
            <m:sty m:val="bi"/>
          </m:rPr>
          <w:rPr>
            <w:rFonts w:ascii="Cambria Math" w:hAnsi="Cambria Math" w:cs="Arial"/>
          </w:rPr>
          <m:t>=</m:t>
        </m:r>
        <m:f>
          <m:fPr>
            <m:ctrlPr>
              <w:rPr>
                <w:rFonts w:ascii="Cambria Math" w:hAnsi="Cambria Math" w:cs="Arial"/>
                <w:iCs/>
              </w:rPr>
            </m:ctrlPr>
          </m:fPr>
          <m:num>
            <m:r>
              <m:rPr>
                <m:sty m:val="b"/>
              </m:rPr>
              <w:rPr>
                <w:rFonts w:ascii="Cambria Math" w:hAnsi="Cambria Math" w:cs="Arial"/>
              </w:rPr>
              <m:t>A520 × 36.321 × V</m:t>
            </m:r>
          </m:num>
          <m:den>
            <m:r>
              <m:rPr>
                <m:sty m:val="b"/>
              </m:rPr>
              <w:rPr>
                <w:rFonts w:ascii="Cambria Math" w:hAnsi="Cambria Math" w:cs="Arial"/>
              </w:rPr>
              <m:t>Y × W</m:t>
            </m:r>
          </m:den>
        </m:f>
      </m:oMath>
      <w:r w:rsidRPr="0091276E">
        <w:rPr>
          <w:rFonts w:ascii="Arial" w:hAnsi="Arial" w:cs="Arial"/>
          <w:b/>
          <w:bCs/>
        </w:rPr>
        <w:tab/>
      </w:r>
      <w:r w:rsidRPr="0091276E">
        <w:rPr>
          <w:rFonts w:ascii="Arial" w:hAnsi="Arial" w:cs="Arial"/>
          <w:b/>
          <w:bCs/>
        </w:rPr>
        <w:tab/>
      </w:r>
      <w:r w:rsidRPr="0091276E">
        <w:rPr>
          <w:rFonts w:ascii="Arial" w:hAnsi="Arial" w:cs="Arial"/>
          <w:b/>
          <w:bCs/>
        </w:rPr>
        <w:tab/>
      </w:r>
      <w:r w:rsidRPr="0091276E">
        <w:rPr>
          <w:rFonts w:ascii="Arial" w:hAnsi="Arial" w:cs="Arial"/>
          <w:b/>
          <w:bCs/>
        </w:rPr>
        <w:tab/>
        <w:t>(</w:t>
      </w:r>
      <w:r w:rsidRPr="0091276E">
        <w:rPr>
          <w:rFonts w:ascii="Arial" w:hAnsi="Arial" w:cs="Arial"/>
        </w:rPr>
        <w:t>Eqn.3)</w:t>
      </w:r>
      <w:r w:rsidRPr="0091276E">
        <w:rPr>
          <w:rFonts w:ascii="Arial" w:hAnsi="Arial" w:cs="Arial"/>
          <w:b/>
          <w:bCs/>
        </w:rPr>
        <w:tab/>
      </w:r>
      <w:r w:rsidRPr="0091276E">
        <w:rPr>
          <w:rFonts w:ascii="Arial" w:hAnsi="Arial" w:cs="Arial"/>
          <w:b/>
          <w:bCs/>
        </w:rPr>
        <w:tab/>
        <w:t xml:space="preserve">         </w:t>
      </w:r>
    </w:p>
    <w:p w14:paraId="75A31F9C" w14:textId="78EDAF39" w:rsidR="009957FF" w:rsidRPr="0091276E" w:rsidRDefault="009957FF" w:rsidP="0091276E">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 xml:space="preserve">Lipid peroxidation was assessed by measuring malondialdehyde (MDA) levels in plant tissues. The MDA content in leaves was determined via the </w:t>
      </w:r>
      <w:proofErr w:type="spellStart"/>
      <w:r w:rsidRPr="0091276E">
        <w:rPr>
          <w:rFonts w:ascii="Arial" w:hAnsi="Arial" w:cs="Arial"/>
          <w:sz w:val="20"/>
          <w:szCs w:val="20"/>
        </w:rPr>
        <w:t>thiobarbituric</w:t>
      </w:r>
      <w:proofErr w:type="spellEnd"/>
      <w:r w:rsidRPr="0091276E">
        <w:rPr>
          <w:rFonts w:ascii="Arial" w:hAnsi="Arial" w:cs="Arial"/>
          <w:sz w:val="20"/>
          <w:szCs w:val="20"/>
        </w:rPr>
        <w:t xml:space="preserve"> acid (TBA) reaction, as described by (</w:t>
      </w:r>
      <w:r w:rsidR="0091276E" w:rsidRPr="0091276E">
        <w:rPr>
          <w:rFonts w:ascii="Arial" w:hAnsi="Arial" w:cs="Arial"/>
          <w:sz w:val="20"/>
          <w:szCs w:val="20"/>
        </w:rPr>
        <w:t xml:space="preserve">Dionisio-Sese and </w:t>
      </w:r>
      <w:proofErr w:type="spellStart"/>
      <w:r w:rsidR="0091276E" w:rsidRPr="0091276E">
        <w:rPr>
          <w:rFonts w:ascii="Arial" w:hAnsi="Arial" w:cs="Arial"/>
          <w:sz w:val="20"/>
          <w:szCs w:val="20"/>
        </w:rPr>
        <w:t>Tobita</w:t>
      </w:r>
      <w:proofErr w:type="spellEnd"/>
      <w:r w:rsidR="0091276E" w:rsidRPr="0091276E">
        <w:rPr>
          <w:rFonts w:ascii="Arial" w:hAnsi="Arial" w:cs="Arial"/>
          <w:sz w:val="20"/>
          <w:szCs w:val="20"/>
        </w:rPr>
        <w:t>, 1998</w:t>
      </w:r>
      <w:r w:rsidRPr="0091276E">
        <w:rPr>
          <w:rFonts w:ascii="Arial" w:hAnsi="Arial" w:cs="Arial"/>
          <w:sz w:val="20"/>
          <w:szCs w:val="20"/>
        </w:rPr>
        <w:t>). MDA concentrations were calculated by subtracting nonspecific absorbance at 600 nm from the absorbance at 532 nm, using an extinction coefficient of 155 mM</w:t>
      </w:r>
      <w:r w:rsidRPr="0091276E">
        <w:rPr>
          <w:rFonts w:ascii="Cambria Math" w:hAnsi="Cambria Math" w:cs="Cambria Math"/>
          <w:sz w:val="20"/>
          <w:szCs w:val="20"/>
        </w:rPr>
        <w:t>⁻</w:t>
      </w:r>
      <w:r w:rsidRPr="0091276E">
        <w:rPr>
          <w:rFonts w:ascii="Arial" w:hAnsi="Arial" w:cs="Arial"/>
          <w:sz w:val="20"/>
          <w:szCs w:val="20"/>
        </w:rPr>
        <w:t>¹ cm</w:t>
      </w:r>
      <w:r w:rsidRPr="0091276E">
        <w:rPr>
          <w:rFonts w:ascii="Cambria Math" w:hAnsi="Cambria Math" w:cs="Cambria Math"/>
          <w:sz w:val="20"/>
          <w:szCs w:val="20"/>
        </w:rPr>
        <w:t>⁻</w:t>
      </w:r>
      <w:r w:rsidRPr="0091276E">
        <w:rPr>
          <w:rFonts w:ascii="Arial" w:hAnsi="Arial" w:cs="Arial"/>
          <w:sz w:val="20"/>
          <w:szCs w:val="20"/>
        </w:rPr>
        <w:t>¹, and expressed in µmol g</w:t>
      </w:r>
      <w:r w:rsidRPr="0091276E">
        <w:rPr>
          <w:rFonts w:ascii="Cambria Math" w:hAnsi="Cambria Math" w:cs="Cambria Math"/>
          <w:sz w:val="20"/>
          <w:szCs w:val="20"/>
        </w:rPr>
        <w:t>⁻</w:t>
      </w:r>
      <w:r w:rsidRPr="0091276E">
        <w:rPr>
          <w:rFonts w:ascii="Arial" w:hAnsi="Arial" w:cs="Arial"/>
          <w:sz w:val="20"/>
          <w:szCs w:val="20"/>
        </w:rPr>
        <w:t>¹ fresh weight.</w:t>
      </w:r>
    </w:p>
    <w:p w14:paraId="0E00A48D" w14:textId="1AEC7A18" w:rsidR="009957FF" w:rsidRPr="0091276E" w:rsidRDefault="009957FF" w:rsidP="0091276E">
      <w:pPr>
        <w:pStyle w:val="NormalWeb"/>
        <w:spacing w:before="0" w:beforeAutospacing="0" w:after="0" w:afterAutospacing="0"/>
        <w:ind w:firstLine="720"/>
        <w:jc w:val="both"/>
        <w:rPr>
          <w:rFonts w:ascii="Arial" w:hAnsi="Arial" w:cs="Arial"/>
          <w:sz w:val="20"/>
          <w:szCs w:val="20"/>
        </w:rPr>
      </w:pPr>
      <w:r w:rsidRPr="0091276E">
        <w:rPr>
          <w:rFonts w:ascii="Arial" w:hAnsi="Arial" w:cs="Arial"/>
          <w:sz w:val="20"/>
          <w:szCs w:val="20"/>
        </w:rPr>
        <w:t xml:space="preserve">Fresh leaf samples were ground with phosphate buffer, centrifuged at 10,000 rpm for 10 minutes, and the supernatant was collected. Superoxide dismutase (SOD) activity was assessed by measuring its ability to inhibit the photochemical reduction of nitro blue tetrazolium (NBT). The absence of enzyme in the reaction mixture leads to maximum colour development, and the intensity of colour decreases as enzyme activity increases. Absorbance was read at 560 nm using a UV-VIS spectrophotometer in kinetic mode. The 50 </w:t>
      </w:r>
      <w:r w:rsidRPr="0091276E">
        <w:rPr>
          <w:rFonts w:ascii="Arial" w:hAnsi="Arial" w:cs="Arial"/>
          <w:sz w:val="20"/>
          <w:szCs w:val="20"/>
        </w:rPr>
        <w:lastRenderedPageBreak/>
        <w:t>Per cent inhibition of the reaction between riboflavin and NBT in the presence of methionine was defined as one unit of SOD activity, expressed as OD min</w:t>
      </w:r>
      <w:r w:rsidRPr="0091276E">
        <w:rPr>
          <w:rFonts w:ascii="Cambria Math" w:hAnsi="Cambria Math" w:cs="Cambria Math"/>
          <w:sz w:val="20"/>
          <w:szCs w:val="20"/>
        </w:rPr>
        <w:t>⁻</w:t>
      </w:r>
      <w:r w:rsidRPr="0091276E">
        <w:rPr>
          <w:rFonts w:ascii="Arial" w:hAnsi="Arial" w:cs="Arial"/>
          <w:sz w:val="20"/>
          <w:szCs w:val="20"/>
        </w:rPr>
        <w:t>¹ g</w:t>
      </w:r>
      <w:r w:rsidRPr="0091276E">
        <w:rPr>
          <w:rFonts w:ascii="Cambria Math" w:hAnsi="Cambria Math" w:cs="Cambria Math"/>
          <w:sz w:val="20"/>
          <w:szCs w:val="20"/>
        </w:rPr>
        <w:t>⁻</w:t>
      </w:r>
      <w:r w:rsidRPr="0091276E">
        <w:rPr>
          <w:rFonts w:ascii="Arial" w:hAnsi="Arial" w:cs="Arial"/>
          <w:sz w:val="20"/>
          <w:szCs w:val="20"/>
        </w:rPr>
        <w:t>¹. Catalase activity, measured by the decomposition of hydrogen peroxide, was recorded by monitoring the decrease in absorbance at 240 nm using a UV-VIS spectrophotometer. Enzyme activity was calculated as (Maximum absorbance - Minimum absorbance)</w:t>
      </w:r>
      <w:r w:rsidR="00D7425A" w:rsidRPr="00D7425A">
        <w:t xml:space="preserve"> </w:t>
      </w:r>
      <w:r w:rsidR="00D7425A" w:rsidRPr="00D7425A">
        <w:rPr>
          <w:rFonts w:ascii="Arial" w:hAnsi="Arial" w:cs="Arial"/>
          <w:b/>
          <w:color w:val="00B050"/>
          <w:sz w:val="20"/>
          <w:szCs w:val="20"/>
        </w:rPr>
        <w:t>Remove unnecessary parentheses</w:t>
      </w:r>
      <w:r w:rsidRPr="0091276E">
        <w:rPr>
          <w:rFonts w:ascii="Arial" w:hAnsi="Arial" w:cs="Arial"/>
          <w:sz w:val="20"/>
          <w:szCs w:val="20"/>
        </w:rPr>
        <w:t xml:space="preserve"> × 60 × 2, and expressed as OD min</w:t>
      </w:r>
      <w:r w:rsidRPr="0091276E">
        <w:rPr>
          <w:rFonts w:ascii="Cambria Math" w:hAnsi="Cambria Math" w:cs="Cambria Math"/>
          <w:sz w:val="20"/>
          <w:szCs w:val="20"/>
        </w:rPr>
        <w:t>⁻</w:t>
      </w:r>
      <w:r w:rsidRPr="0091276E">
        <w:rPr>
          <w:rFonts w:ascii="Arial" w:hAnsi="Arial" w:cs="Arial"/>
          <w:sz w:val="20"/>
          <w:szCs w:val="20"/>
        </w:rPr>
        <w:t>¹ g</w:t>
      </w:r>
      <w:r w:rsidRPr="0091276E">
        <w:rPr>
          <w:rFonts w:ascii="Cambria Math" w:hAnsi="Cambria Math" w:cs="Cambria Math"/>
          <w:sz w:val="20"/>
          <w:szCs w:val="20"/>
        </w:rPr>
        <w:t>⁻</w:t>
      </w:r>
      <w:r w:rsidRPr="0091276E">
        <w:rPr>
          <w:rFonts w:ascii="Arial" w:hAnsi="Arial" w:cs="Arial"/>
          <w:sz w:val="20"/>
          <w:szCs w:val="20"/>
        </w:rPr>
        <w:t>¹.</w:t>
      </w:r>
    </w:p>
    <w:p w14:paraId="45CF7DEB" w14:textId="77777777" w:rsidR="00790ADA" w:rsidRPr="0091276E" w:rsidRDefault="00790ADA" w:rsidP="0091276E">
      <w:pPr>
        <w:pStyle w:val="Body"/>
        <w:spacing w:after="0"/>
        <w:rPr>
          <w:rFonts w:ascii="Arial" w:hAnsi="Arial" w:cs="Arial"/>
        </w:rPr>
      </w:pPr>
    </w:p>
    <w:p w14:paraId="68386A77" w14:textId="77777777" w:rsidR="00902823" w:rsidRDefault="00000F8F" w:rsidP="0057754D">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6A015B" w14:textId="1EC45102" w:rsidR="009957FF" w:rsidRPr="00E16006" w:rsidRDefault="009957FF" w:rsidP="0057754D">
      <w:pPr>
        <w:pStyle w:val="Body"/>
        <w:rPr>
          <w:rFonts w:ascii="Arial" w:hAnsi="Arial" w:cs="Arial"/>
        </w:rPr>
      </w:pPr>
      <w:r w:rsidRPr="00E16006">
        <w:rPr>
          <w:rFonts w:ascii="Arial" w:hAnsi="Arial" w:cs="Arial"/>
          <w:b/>
          <w:bCs/>
        </w:rPr>
        <w:t>3.1 Physiological parameters</w:t>
      </w:r>
      <w:r w:rsidRPr="00E16006">
        <w:rPr>
          <w:rFonts w:ascii="Arial" w:hAnsi="Arial" w:cs="Arial"/>
        </w:rPr>
        <w:t xml:space="preserve"> </w:t>
      </w:r>
    </w:p>
    <w:p w14:paraId="15E77FF0" w14:textId="0E173F4E" w:rsidR="008E02CE" w:rsidRPr="00E16006" w:rsidRDefault="008E02CE" w:rsidP="00E16006">
      <w:pPr>
        <w:pStyle w:val="Body"/>
        <w:spacing w:after="0"/>
        <w:rPr>
          <w:rFonts w:ascii="Arial" w:hAnsi="Arial" w:cs="Arial"/>
        </w:rPr>
      </w:pPr>
      <w:r w:rsidRPr="00E16006">
        <w:rPr>
          <w:rFonts w:ascii="Arial" w:hAnsi="Arial" w:cs="Arial"/>
        </w:rPr>
        <w:t>3.1.1 Leaf water potential</w:t>
      </w:r>
    </w:p>
    <w:p w14:paraId="04E60D2F" w14:textId="3A6EBF4A" w:rsidR="009957FF" w:rsidRPr="00E16006" w:rsidRDefault="008E02CE" w:rsidP="00E16006">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ab/>
      </w:r>
      <w:r w:rsidR="009957FF" w:rsidRPr="00E16006">
        <w:rPr>
          <w:rFonts w:ascii="Arial" w:hAnsi="Arial" w:cs="Arial"/>
          <w:sz w:val="20"/>
          <w:szCs w:val="20"/>
        </w:rPr>
        <w:t xml:space="preserve">The impact of foliar-applied </w:t>
      </w:r>
      <w:proofErr w:type="spellStart"/>
      <w:r w:rsidR="009957FF" w:rsidRPr="00E16006">
        <w:rPr>
          <w:rFonts w:ascii="Arial" w:hAnsi="Arial" w:cs="Arial"/>
          <w:sz w:val="20"/>
          <w:szCs w:val="20"/>
        </w:rPr>
        <w:t>signaling</w:t>
      </w:r>
      <w:proofErr w:type="spellEnd"/>
      <w:r w:rsidR="009957FF" w:rsidRPr="00E16006">
        <w:rPr>
          <w:rFonts w:ascii="Arial" w:hAnsi="Arial" w:cs="Arial"/>
          <w:sz w:val="20"/>
          <w:szCs w:val="20"/>
        </w:rPr>
        <w:t xml:space="preserve"> molecules on Leaf Water Potential (LWP) during salinity stress is illustrated in Table 1. During the maximal tillering stage, no significant differences were seen across the treatments. During the panicle initiation, anthesis, and physiological maturity stages, all foliar treatments demonstrated significantly elevated leaf water potential values relative to the control. The foliar application of 0.25 mM/L SNP, 0.50 mM/L SA, and 0.50 mM/L BR yielded the greatest leaf water potential (LWP) values of -0.65, -0.70, and -0.77 MPa, closely resembling the performance of the control variety MCM 103. Conversely, the control demonstrated the lowest values of -0.89, -0.89, and -0.96 MPa at the corresponding stages. In both MCM 103 and BPT 5204, treated with 0.25 mM/L SNP, 0.50 mM/L SA, and 0.50 mM/L BR, leaf water potential (LWP) increased by 34.1 per cent, 35.2 per cent, and 35.1 per cent in MCM 103, and by 26.6 per cent, 21.7 per cent, and 19.8 per cent in BPT 5204, relative to untreated BPT 5204.</w:t>
      </w:r>
    </w:p>
    <w:p w14:paraId="6029A81C" w14:textId="2352BD2E" w:rsidR="008E02CE" w:rsidRDefault="008E02CE" w:rsidP="0057754D">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ab/>
        <w:t>The study found that leaf water potential decreased under salinity stress. Soluble sugars in plant cells act as osmolytes, playing a key role in regulating osmotic potential and leaf water potential. Increased salt concentration in the root zone reduces leaf water potential, negatively affecting various plant processes (</w:t>
      </w:r>
      <w:proofErr w:type="spellStart"/>
      <w:r w:rsidR="0091276E" w:rsidRPr="00E16006">
        <w:rPr>
          <w:rFonts w:ascii="Arial" w:hAnsi="Arial" w:cs="Arial"/>
          <w:sz w:val="20"/>
          <w:szCs w:val="20"/>
        </w:rPr>
        <w:t>Siringam</w:t>
      </w:r>
      <w:proofErr w:type="spellEnd"/>
      <w:r w:rsidR="0091276E" w:rsidRPr="00E16006">
        <w:rPr>
          <w:rFonts w:ascii="Arial" w:hAnsi="Arial" w:cs="Arial"/>
          <w:sz w:val="20"/>
          <w:szCs w:val="20"/>
        </w:rPr>
        <w:t xml:space="preserve"> </w:t>
      </w:r>
      <w:r w:rsidR="0091276E" w:rsidRPr="00E16006">
        <w:rPr>
          <w:rFonts w:ascii="Arial" w:hAnsi="Arial" w:cs="Arial"/>
          <w:i/>
          <w:iCs/>
          <w:sz w:val="20"/>
          <w:szCs w:val="20"/>
        </w:rPr>
        <w:t>et al</w:t>
      </w:r>
      <w:r w:rsidR="0091276E" w:rsidRPr="00E16006">
        <w:rPr>
          <w:rFonts w:ascii="Arial" w:hAnsi="Arial" w:cs="Arial"/>
          <w:sz w:val="20"/>
          <w:szCs w:val="20"/>
        </w:rPr>
        <w:t>. 2012</w:t>
      </w:r>
      <w:r w:rsidRPr="00E16006">
        <w:rPr>
          <w:rFonts w:ascii="Arial" w:hAnsi="Arial" w:cs="Arial"/>
          <w:sz w:val="20"/>
          <w:szCs w:val="20"/>
        </w:rPr>
        <w:t>). Similar reductions in leaf water potential have been reported in wheat (</w:t>
      </w:r>
      <w:r w:rsidR="0091276E" w:rsidRPr="00E16006">
        <w:rPr>
          <w:rFonts w:ascii="Arial" w:hAnsi="Arial" w:cs="Arial"/>
          <w:sz w:val="20"/>
          <w:szCs w:val="20"/>
        </w:rPr>
        <w:t>Ashraf and O’Leary 1996</w:t>
      </w:r>
      <w:r w:rsidRPr="00E16006">
        <w:rPr>
          <w:rFonts w:ascii="Arial" w:hAnsi="Arial" w:cs="Arial"/>
          <w:sz w:val="20"/>
          <w:szCs w:val="20"/>
        </w:rPr>
        <w:t>) and maize (</w:t>
      </w:r>
      <w:r w:rsidR="0091276E" w:rsidRPr="00E16006">
        <w:rPr>
          <w:rFonts w:ascii="Arial" w:hAnsi="Arial" w:cs="Arial"/>
          <w:sz w:val="20"/>
          <w:szCs w:val="20"/>
        </w:rPr>
        <w:t>Rodriguez 1997</w:t>
      </w:r>
      <w:r w:rsidRPr="00E16006">
        <w:rPr>
          <w:rFonts w:ascii="Arial" w:hAnsi="Arial" w:cs="Arial"/>
          <w:sz w:val="20"/>
          <w:szCs w:val="20"/>
        </w:rPr>
        <w:t>). Hormones acting as signal molecules can mitigate the adverse effects of abiotic stress, as observed by (</w:t>
      </w:r>
      <w:r w:rsidR="0091276E" w:rsidRPr="00E16006">
        <w:rPr>
          <w:rFonts w:ascii="Arial" w:hAnsi="Arial" w:cs="Arial"/>
          <w:sz w:val="20"/>
          <w:szCs w:val="20"/>
        </w:rPr>
        <w:t>Hasan 2011</w:t>
      </w:r>
      <w:r w:rsidRPr="00E16006">
        <w:rPr>
          <w:rFonts w:ascii="Arial" w:hAnsi="Arial" w:cs="Arial"/>
          <w:sz w:val="20"/>
          <w:szCs w:val="20"/>
        </w:rPr>
        <w:t>) in tomato cultivars under cadmium-induced stress and (</w:t>
      </w:r>
      <w:r w:rsidR="0091276E" w:rsidRPr="00E16006">
        <w:rPr>
          <w:rFonts w:ascii="Arial" w:hAnsi="Arial" w:cs="Arial"/>
          <w:sz w:val="20"/>
          <w:szCs w:val="20"/>
        </w:rPr>
        <w:t xml:space="preserve">Mimouni </w:t>
      </w:r>
      <w:r w:rsidR="0091276E" w:rsidRPr="00E16006">
        <w:rPr>
          <w:rFonts w:ascii="Arial" w:hAnsi="Arial" w:cs="Arial"/>
          <w:i/>
          <w:iCs/>
          <w:sz w:val="20"/>
          <w:szCs w:val="20"/>
        </w:rPr>
        <w:t>et al</w:t>
      </w:r>
      <w:r w:rsidR="0091276E" w:rsidRPr="00E16006">
        <w:rPr>
          <w:rFonts w:ascii="Arial" w:hAnsi="Arial" w:cs="Arial"/>
          <w:sz w:val="20"/>
          <w:szCs w:val="20"/>
        </w:rPr>
        <w:t>. 2016</w:t>
      </w:r>
      <w:r w:rsidRPr="00E16006">
        <w:rPr>
          <w:rFonts w:ascii="Arial" w:hAnsi="Arial" w:cs="Arial"/>
          <w:sz w:val="20"/>
          <w:szCs w:val="20"/>
        </w:rPr>
        <w:t>) in maize and tomato cultivars under salinity stress, aligning with the present study.</w:t>
      </w:r>
    </w:p>
    <w:p w14:paraId="0AB72997" w14:textId="77777777" w:rsidR="007342F9" w:rsidRPr="007342F9" w:rsidRDefault="007342F9" w:rsidP="0057754D">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3</w:t>
      </w:r>
      <w:r w:rsidRPr="007342F9">
        <w:rPr>
          <w:rFonts w:ascii="Arial" w:hAnsi="Arial" w:cs="Arial"/>
          <w:sz w:val="20"/>
          <w:szCs w:val="20"/>
        </w:rPr>
        <w:t>.1.2 Chlorophyll stability index (CSI)</w:t>
      </w:r>
    </w:p>
    <w:p w14:paraId="104BE542" w14:textId="09F96288" w:rsidR="007342F9" w:rsidRPr="00E16006" w:rsidRDefault="007342F9" w:rsidP="007342F9">
      <w:pPr>
        <w:pStyle w:val="Body"/>
        <w:spacing w:after="0"/>
        <w:rPr>
          <w:rFonts w:ascii="Arial" w:hAnsi="Arial" w:cs="Arial"/>
        </w:rPr>
      </w:pPr>
      <w:r w:rsidRPr="007342F9">
        <w:rPr>
          <w:rFonts w:ascii="Arial" w:hAnsi="Arial" w:cs="Arial"/>
        </w:rPr>
        <w:tab/>
        <w:t>The chlorophyll stability index (CSI) was markedly influenced by the foliar treatments at all growth stages (Table 1). During the maximum tillering stage, MCM 103 exhibited the highest CSI at 49.70 per cent, but no significant effects were noted in the sensitive variety BPT 5204. All treatments, save the 0.50 mM/L SA spray, significantly enhanced CSI during the panicle initiation, anthesis, and physiological maturity stages. The maximum CSI values of 61.10 per cent, 72.57 per cent, and 67.15 per cent were observed with the application of</w:t>
      </w:r>
      <w:r w:rsidR="000C7234">
        <w:rPr>
          <w:rFonts w:ascii="Arial" w:hAnsi="Arial" w:cs="Arial"/>
        </w:rPr>
        <w:t xml:space="preserve"> </w:t>
      </w:r>
      <w:r w:rsidRPr="00E16006">
        <w:rPr>
          <w:rFonts w:ascii="Arial" w:hAnsi="Arial" w:cs="Arial"/>
        </w:rPr>
        <w:t>0.25 mM/L SNP, 0.50 mM/L SA, and 0.50 mM/L BR in BPT 5204, which were equivalent to MCM 103. The CSI in MCM 103 rose by 34.8 per cent, 27.2 per cent, and 139.1 per cent, whereas the identical treatment in BPT 5204 resulted in a CSI increase of 18.7 per cent, 17.0 per cent, and 115.0 per cent compared to untreated BPT 5204.</w:t>
      </w:r>
    </w:p>
    <w:p w14:paraId="379FA724" w14:textId="77777777" w:rsidR="001B13AD" w:rsidRPr="00E16006" w:rsidRDefault="001B13AD" w:rsidP="00E16006">
      <w:pPr>
        <w:pStyle w:val="Legenda"/>
        <w:keepNext/>
        <w:spacing w:line="240" w:lineRule="auto"/>
        <w:rPr>
          <w:rFonts w:ascii="Arial" w:hAnsi="Arial" w:cs="Arial"/>
          <w:i w:val="0"/>
          <w:iCs w:val="0"/>
          <w:sz w:val="20"/>
          <w:szCs w:val="20"/>
        </w:rPr>
      </w:pPr>
      <w:bookmarkStart w:id="1" w:name="_Ref175230821"/>
      <w:bookmarkStart w:id="2" w:name="_Ref175231973"/>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1</w:t>
      </w:r>
      <w:r w:rsidRPr="00E16006">
        <w:rPr>
          <w:rFonts w:ascii="Arial" w:hAnsi="Arial" w:cs="Arial"/>
          <w:b/>
          <w:bCs/>
          <w:i w:val="0"/>
          <w:iCs w:val="0"/>
          <w:sz w:val="20"/>
          <w:szCs w:val="20"/>
        </w:rPr>
        <w:fldChar w:fldCharType="end"/>
      </w:r>
      <w:bookmarkEnd w:id="1"/>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Influence of Signal molecules on Leaf Water Potential and Chlorophyll stability index in rice under salinity stress</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0"/>
        <w:gridCol w:w="862"/>
        <w:gridCol w:w="789"/>
        <w:gridCol w:w="799"/>
        <w:gridCol w:w="1159"/>
        <w:gridCol w:w="862"/>
        <w:gridCol w:w="789"/>
        <w:gridCol w:w="799"/>
        <w:gridCol w:w="1159"/>
      </w:tblGrid>
      <w:tr w:rsidR="001B13AD" w:rsidRPr="00E16006" w14:paraId="71B67C1E" w14:textId="77777777" w:rsidTr="001B13AD">
        <w:trPr>
          <w:trHeight w:val="19"/>
          <w:jc w:val="center"/>
        </w:trPr>
        <w:tc>
          <w:tcPr>
            <w:tcW w:w="596" w:type="pct"/>
            <w:vMerge w:val="restart"/>
            <w:shd w:val="clear" w:color="auto" w:fill="auto"/>
            <w:vAlign w:val="center"/>
          </w:tcPr>
          <w:p w14:paraId="02DBD23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lang w:eastAsia="en-IN"/>
              </w:rPr>
              <w:t>Treatments</w:t>
            </w:r>
          </w:p>
        </w:tc>
        <w:tc>
          <w:tcPr>
            <w:tcW w:w="2202" w:type="pct"/>
            <w:gridSpan w:val="4"/>
            <w:shd w:val="clear" w:color="auto" w:fill="auto"/>
            <w:vAlign w:val="center"/>
          </w:tcPr>
          <w:p w14:paraId="461D56E9"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eastAsia="Calibri" w:hAnsi="Arial" w:cs="Arial"/>
                <w:b/>
                <w:bCs/>
                <w:kern w:val="2"/>
                <w:sz w:val="18"/>
                <w:szCs w:val="18"/>
              </w:rPr>
              <w:t>Leaf Water Potential (MPa)</w:t>
            </w:r>
          </w:p>
        </w:tc>
        <w:tc>
          <w:tcPr>
            <w:tcW w:w="2202" w:type="pct"/>
            <w:gridSpan w:val="4"/>
            <w:shd w:val="clear" w:color="auto" w:fill="auto"/>
            <w:vAlign w:val="center"/>
          </w:tcPr>
          <w:p w14:paraId="6E9BFFF0"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eastAsia="Calibri" w:hAnsi="Arial" w:cs="Arial"/>
                <w:b/>
                <w:bCs/>
                <w:kern w:val="2"/>
                <w:sz w:val="18"/>
                <w:szCs w:val="18"/>
              </w:rPr>
              <w:t>Chlorophyll stability index (Per cent)</w:t>
            </w:r>
          </w:p>
        </w:tc>
      </w:tr>
      <w:tr w:rsidR="001B13AD" w:rsidRPr="00E16006" w14:paraId="4CCCFEAD" w14:textId="77777777" w:rsidTr="001B13AD">
        <w:trPr>
          <w:trHeight w:val="19"/>
          <w:jc w:val="center"/>
        </w:trPr>
        <w:tc>
          <w:tcPr>
            <w:tcW w:w="596" w:type="pct"/>
            <w:vMerge/>
            <w:shd w:val="clear" w:color="auto" w:fill="auto"/>
            <w:vAlign w:val="center"/>
          </w:tcPr>
          <w:p w14:paraId="00C47454" w14:textId="77777777" w:rsidR="001B13AD" w:rsidRPr="00E16006" w:rsidRDefault="001B13AD" w:rsidP="00E16006">
            <w:pPr>
              <w:widowControl w:val="0"/>
              <w:jc w:val="center"/>
              <w:rPr>
                <w:rFonts w:ascii="Arial" w:eastAsia="Calibri" w:hAnsi="Arial" w:cs="Arial"/>
                <w:b/>
                <w:bCs/>
                <w:kern w:val="2"/>
                <w:sz w:val="18"/>
                <w:szCs w:val="18"/>
                <w:lang w:eastAsia="en-IN"/>
              </w:rPr>
            </w:pPr>
          </w:p>
        </w:tc>
        <w:tc>
          <w:tcPr>
            <w:tcW w:w="526" w:type="pct"/>
            <w:shd w:val="clear" w:color="auto" w:fill="auto"/>
            <w:vAlign w:val="center"/>
          </w:tcPr>
          <w:p w14:paraId="0BAF5D83"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t xml:space="preserve">Maximum tillering </w:t>
            </w:r>
            <w:r w:rsidRPr="00E16006">
              <w:rPr>
                <w:rFonts w:ascii="Arial" w:hAnsi="Arial" w:cs="Arial"/>
                <w:b/>
                <w:bCs/>
                <w:sz w:val="18"/>
                <w:szCs w:val="18"/>
                <w:lang w:eastAsia="en-IN"/>
              </w:rPr>
              <w:lastRenderedPageBreak/>
              <w:t>stage</w:t>
            </w:r>
          </w:p>
        </w:tc>
        <w:tc>
          <w:tcPr>
            <w:tcW w:w="482" w:type="pct"/>
            <w:shd w:val="clear" w:color="auto" w:fill="auto"/>
            <w:vAlign w:val="center"/>
          </w:tcPr>
          <w:p w14:paraId="61A3176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lastRenderedPageBreak/>
              <w:t>Panicle initiation stage</w:t>
            </w:r>
          </w:p>
        </w:tc>
        <w:tc>
          <w:tcPr>
            <w:tcW w:w="488" w:type="pct"/>
            <w:shd w:val="clear" w:color="auto" w:fill="auto"/>
            <w:vAlign w:val="center"/>
          </w:tcPr>
          <w:p w14:paraId="48C57ADC"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t>Anthesis stage</w:t>
            </w:r>
          </w:p>
        </w:tc>
        <w:tc>
          <w:tcPr>
            <w:tcW w:w="705" w:type="pct"/>
            <w:shd w:val="clear" w:color="auto" w:fill="auto"/>
            <w:vAlign w:val="center"/>
          </w:tcPr>
          <w:p w14:paraId="5B072123"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sz w:val="18"/>
                <w:szCs w:val="18"/>
                <w:lang w:eastAsia="en-IN"/>
              </w:rPr>
              <w:t>Physiological maturity Stage</w:t>
            </w:r>
          </w:p>
        </w:tc>
        <w:tc>
          <w:tcPr>
            <w:tcW w:w="526" w:type="pct"/>
            <w:shd w:val="clear" w:color="auto" w:fill="auto"/>
            <w:vAlign w:val="center"/>
          </w:tcPr>
          <w:p w14:paraId="3B8F260A"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t xml:space="preserve">Maximum tillering </w:t>
            </w:r>
            <w:r w:rsidRPr="00E16006">
              <w:rPr>
                <w:rFonts w:ascii="Arial" w:hAnsi="Arial" w:cs="Arial"/>
                <w:b/>
                <w:bCs/>
                <w:sz w:val="18"/>
                <w:szCs w:val="18"/>
                <w:lang w:eastAsia="en-IN"/>
              </w:rPr>
              <w:lastRenderedPageBreak/>
              <w:t>stage</w:t>
            </w:r>
          </w:p>
        </w:tc>
        <w:tc>
          <w:tcPr>
            <w:tcW w:w="482" w:type="pct"/>
            <w:shd w:val="clear" w:color="auto" w:fill="auto"/>
            <w:vAlign w:val="center"/>
          </w:tcPr>
          <w:p w14:paraId="7DB31DCD"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lastRenderedPageBreak/>
              <w:t>Panicle initiation stage</w:t>
            </w:r>
          </w:p>
        </w:tc>
        <w:tc>
          <w:tcPr>
            <w:tcW w:w="488" w:type="pct"/>
            <w:shd w:val="clear" w:color="auto" w:fill="auto"/>
            <w:vAlign w:val="center"/>
          </w:tcPr>
          <w:p w14:paraId="5B8B4F50"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t>Anthesis stage</w:t>
            </w:r>
          </w:p>
        </w:tc>
        <w:tc>
          <w:tcPr>
            <w:tcW w:w="705" w:type="pct"/>
            <w:shd w:val="clear" w:color="auto" w:fill="auto"/>
            <w:vAlign w:val="center"/>
          </w:tcPr>
          <w:p w14:paraId="0A6E8410" w14:textId="77777777" w:rsidR="001B13AD" w:rsidRPr="00E16006" w:rsidRDefault="001B13AD" w:rsidP="00E16006">
            <w:pPr>
              <w:widowControl w:val="0"/>
              <w:jc w:val="center"/>
              <w:rPr>
                <w:rFonts w:ascii="Arial" w:hAnsi="Arial" w:cs="Arial"/>
                <w:b/>
                <w:bCs/>
                <w:sz w:val="18"/>
                <w:szCs w:val="18"/>
                <w:lang w:eastAsia="en-IN"/>
              </w:rPr>
            </w:pPr>
            <w:r w:rsidRPr="00E16006">
              <w:rPr>
                <w:rFonts w:ascii="Arial" w:hAnsi="Arial" w:cs="Arial"/>
                <w:b/>
                <w:bCs/>
                <w:sz w:val="18"/>
                <w:szCs w:val="18"/>
                <w:lang w:eastAsia="en-IN"/>
              </w:rPr>
              <w:t>Physiological maturity Stage</w:t>
            </w:r>
          </w:p>
        </w:tc>
      </w:tr>
      <w:tr w:rsidR="001B13AD" w:rsidRPr="00E16006" w14:paraId="0360798B" w14:textId="77777777" w:rsidTr="001B13AD">
        <w:trPr>
          <w:trHeight w:val="295"/>
          <w:jc w:val="center"/>
        </w:trPr>
        <w:tc>
          <w:tcPr>
            <w:tcW w:w="596" w:type="pct"/>
            <w:tcBorders>
              <w:bottom w:val="single" w:sz="4" w:space="0" w:color="auto"/>
            </w:tcBorders>
            <w:shd w:val="clear" w:color="auto" w:fill="auto"/>
            <w:vAlign w:val="center"/>
          </w:tcPr>
          <w:p w14:paraId="6F531AC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1</w:t>
            </w:r>
          </w:p>
        </w:tc>
        <w:tc>
          <w:tcPr>
            <w:tcW w:w="526" w:type="pct"/>
            <w:shd w:val="clear" w:color="auto" w:fill="auto"/>
            <w:vAlign w:val="bottom"/>
          </w:tcPr>
          <w:p w14:paraId="6236F54B"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-0.57</w:t>
            </w:r>
          </w:p>
        </w:tc>
        <w:tc>
          <w:tcPr>
            <w:tcW w:w="482" w:type="pct"/>
            <w:shd w:val="clear" w:color="auto" w:fill="auto"/>
            <w:vAlign w:val="bottom"/>
          </w:tcPr>
          <w:p w14:paraId="716D36A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-0.59*</w:t>
            </w:r>
          </w:p>
        </w:tc>
        <w:tc>
          <w:tcPr>
            <w:tcW w:w="488" w:type="pct"/>
            <w:shd w:val="clear" w:color="auto" w:fill="auto"/>
            <w:vAlign w:val="bottom"/>
          </w:tcPr>
          <w:p w14:paraId="05D6A0E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-0.58*</w:t>
            </w:r>
          </w:p>
        </w:tc>
        <w:tc>
          <w:tcPr>
            <w:tcW w:w="705" w:type="pct"/>
            <w:shd w:val="clear" w:color="auto" w:fill="auto"/>
            <w:vAlign w:val="bottom"/>
          </w:tcPr>
          <w:p w14:paraId="15E777B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-0.62*</w:t>
            </w:r>
          </w:p>
        </w:tc>
        <w:tc>
          <w:tcPr>
            <w:tcW w:w="526" w:type="pct"/>
            <w:shd w:val="clear" w:color="auto" w:fill="auto"/>
            <w:vAlign w:val="bottom"/>
          </w:tcPr>
          <w:p w14:paraId="6BE7767F"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49.70</w:t>
            </w:r>
          </w:p>
        </w:tc>
        <w:tc>
          <w:tcPr>
            <w:tcW w:w="482" w:type="pct"/>
            <w:shd w:val="clear" w:color="auto" w:fill="auto"/>
            <w:vAlign w:val="bottom"/>
          </w:tcPr>
          <w:p w14:paraId="29B9E4F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69.37*</w:t>
            </w:r>
          </w:p>
        </w:tc>
        <w:tc>
          <w:tcPr>
            <w:tcW w:w="488" w:type="pct"/>
            <w:shd w:val="clear" w:color="auto" w:fill="auto"/>
            <w:vAlign w:val="bottom"/>
          </w:tcPr>
          <w:p w14:paraId="5B92ABA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78.86*</w:t>
            </w:r>
          </w:p>
        </w:tc>
        <w:tc>
          <w:tcPr>
            <w:tcW w:w="705" w:type="pct"/>
            <w:shd w:val="clear" w:color="auto" w:fill="auto"/>
            <w:vAlign w:val="bottom"/>
          </w:tcPr>
          <w:p w14:paraId="24D1100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74.67*</w:t>
            </w:r>
          </w:p>
        </w:tc>
      </w:tr>
      <w:tr w:rsidR="001B13AD" w:rsidRPr="00E16006" w14:paraId="1B007CC9" w14:textId="77777777" w:rsidTr="001B13AD">
        <w:trPr>
          <w:trHeight w:val="295"/>
          <w:jc w:val="center"/>
        </w:trPr>
        <w:tc>
          <w:tcPr>
            <w:tcW w:w="596" w:type="pct"/>
            <w:tcBorders>
              <w:bottom w:val="single" w:sz="4" w:space="0" w:color="auto"/>
            </w:tcBorders>
            <w:shd w:val="clear" w:color="auto" w:fill="auto"/>
            <w:vAlign w:val="center"/>
          </w:tcPr>
          <w:p w14:paraId="2723884A"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2</w:t>
            </w:r>
          </w:p>
        </w:tc>
        <w:tc>
          <w:tcPr>
            <w:tcW w:w="526" w:type="pct"/>
            <w:shd w:val="clear" w:color="auto" w:fill="auto"/>
            <w:vAlign w:val="bottom"/>
          </w:tcPr>
          <w:p w14:paraId="19303A9A"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-0.80</w:t>
            </w:r>
          </w:p>
        </w:tc>
        <w:tc>
          <w:tcPr>
            <w:tcW w:w="482" w:type="pct"/>
            <w:shd w:val="clear" w:color="auto" w:fill="auto"/>
            <w:vAlign w:val="bottom"/>
          </w:tcPr>
          <w:p w14:paraId="6A44F6D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8" w:type="pct"/>
            <w:shd w:val="clear" w:color="auto" w:fill="auto"/>
            <w:vAlign w:val="bottom"/>
          </w:tcPr>
          <w:p w14:paraId="72BF8314"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705" w:type="pct"/>
            <w:shd w:val="clear" w:color="auto" w:fill="auto"/>
            <w:vAlign w:val="bottom"/>
          </w:tcPr>
          <w:p w14:paraId="38148DB4"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-0.83*</w:t>
            </w:r>
          </w:p>
        </w:tc>
        <w:tc>
          <w:tcPr>
            <w:tcW w:w="526" w:type="pct"/>
            <w:shd w:val="clear" w:color="auto" w:fill="auto"/>
            <w:vAlign w:val="bottom"/>
          </w:tcPr>
          <w:p w14:paraId="078CFA8D"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39.90</w:t>
            </w:r>
          </w:p>
        </w:tc>
        <w:tc>
          <w:tcPr>
            <w:tcW w:w="482" w:type="pct"/>
            <w:shd w:val="clear" w:color="auto" w:fill="auto"/>
            <w:vAlign w:val="bottom"/>
          </w:tcPr>
          <w:p w14:paraId="4674A3A0"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59.75*</w:t>
            </w:r>
          </w:p>
        </w:tc>
        <w:tc>
          <w:tcPr>
            <w:tcW w:w="488" w:type="pct"/>
            <w:shd w:val="clear" w:color="auto" w:fill="auto"/>
            <w:vAlign w:val="bottom"/>
          </w:tcPr>
          <w:p w14:paraId="03B61801"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69.46*</w:t>
            </w:r>
          </w:p>
        </w:tc>
        <w:tc>
          <w:tcPr>
            <w:tcW w:w="705" w:type="pct"/>
            <w:shd w:val="clear" w:color="auto" w:fill="auto"/>
            <w:vAlign w:val="bottom"/>
          </w:tcPr>
          <w:p w14:paraId="7BC3A0E5"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41.07*</w:t>
            </w:r>
          </w:p>
        </w:tc>
      </w:tr>
      <w:tr w:rsidR="001B13AD" w:rsidRPr="00E16006" w14:paraId="512B1568" w14:textId="77777777" w:rsidTr="001B13AD">
        <w:trPr>
          <w:trHeight w:val="295"/>
          <w:jc w:val="center"/>
        </w:trPr>
        <w:tc>
          <w:tcPr>
            <w:tcW w:w="596" w:type="pct"/>
            <w:shd w:val="clear" w:color="auto" w:fill="auto"/>
            <w:vAlign w:val="center"/>
          </w:tcPr>
          <w:p w14:paraId="7CBFEDC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3</w:t>
            </w:r>
          </w:p>
        </w:tc>
        <w:tc>
          <w:tcPr>
            <w:tcW w:w="526" w:type="pct"/>
            <w:shd w:val="clear" w:color="auto" w:fill="auto"/>
            <w:vAlign w:val="bottom"/>
          </w:tcPr>
          <w:p w14:paraId="6A11E56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482" w:type="pct"/>
            <w:shd w:val="clear" w:color="auto" w:fill="auto"/>
            <w:vAlign w:val="bottom"/>
          </w:tcPr>
          <w:p w14:paraId="4B9B636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-0.76*</w:t>
            </w:r>
          </w:p>
        </w:tc>
        <w:tc>
          <w:tcPr>
            <w:tcW w:w="488" w:type="pct"/>
            <w:shd w:val="clear" w:color="auto" w:fill="auto"/>
            <w:vAlign w:val="bottom"/>
          </w:tcPr>
          <w:p w14:paraId="2342753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705" w:type="pct"/>
            <w:shd w:val="clear" w:color="auto" w:fill="auto"/>
            <w:vAlign w:val="bottom"/>
          </w:tcPr>
          <w:p w14:paraId="4796807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-0.83*</w:t>
            </w:r>
          </w:p>
        </w:tc>
        <w:tc>
          <w:tcPr>
            <w:tcW w:w="526" w:type="pct"/>
            <w:shd w:val="clear" w:color="auto" w:fill="auto"/>
            <w:vAlign w:val="bottom"/>
          </w:tcPr>
          <w:p w14:paraId="73CA25E5"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40.17</w:t>
            </w:r>
          </w:p>
        </w:tc>
        <w:tc>
          <w:tcPr>
            <w:tcW w:w="482" w:type="pct"/>
            <w:shd w:val="clear" w:color="auto" w:fill="auto"/>
            <w:vAlign w:val="bottom"/>
          </w:tcPr>
          <w:p w14:paraId="2D1CC0E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58.55</w:t>
            </w:r>
          </w:p>
        </w:tc>
        <w:tc>
          <w:tcPr>
            <w:tcW w:w="488" w:type="pct"/>
            <w:shd w:val="clear" w:color="auto" w:fill="auto"/>
            <w:vAlign w:val="bottom"/>
          </w:tcPr>
          <w:p w14:paraId="4320F10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68.57</w:t>
            </w:r>
          </w:p>
        </w:tc>
        <w:tc>
          <w:tcPr>
            <w:tcW w:w="705" w:type="pct"/>
            <w:shd w:val="clear" w:color="auto" w:fill="auto"/>
            <w:vAlign w:val="bottom"/>
          </w:tcPr>
          <w:p w14:paraId="61CB593B"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38.65</w:t>
            </w:r>
          </w:p>
        </w:tc>
      </w:tr>
      <w:tr w:rsidR="001B13AD" w:rsidRPr="00E16006" w14:paraId="7B6137C8" w14:textId="77777777" w:rsidTr="001B13AD">
        <w:trPr>
          <w:trHeight w:val="295"/>
          <w:jc w:val="center"/>
        </w:trPr>
        <w:tc>
          <w:tcPr>
            <w:tcW w:w="596" w:type="pct"/>
            <w:shd w:val="clear" w:color="auto" w:fill="auto"/>
            <w:vAlign w:val="center"/>
          </w:tcPr>
          <w:p w14:paraId="7CE122F9"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4</w:t>
            </w:r>
          </w:p>
        </w:tc>
        <w:tc>
          <w:tcPr>
            <w:tcW w:w="526" w:type="pct"/>
            <w:shd w:val="clear" w:color="auto" w:fill="auto"/>
            <w:vAlign w:val="bottom"/>
          </w:tcPr>
          <w:p w14:paraId="6407B5B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482" w:type="pct"/>
            <w:shd w:val="clear" w:color="auto" w:fill="auto"/>
            <w:vAlign w:val="bottom"/>
          </w:tcPr>
          <w:p w14:paraId="16D4540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488" w:type="pct"/>
            <w:shd w:val="clear" w:color="auto" w:fill="auto"/>
            <w:vAlign w:val="bottom"/>
          </w:tcPr>
          <w:p w14:paraId="6AA7684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705" w:type="pct"/>
            <w:shd w:val="clear" w:color="auto" w:fill="auto"/>
            <w:vAlign w:val="bottom"/>
          </w:tcPr>
          <w:p w14:paraId="335760C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526" w:type="pct"/>
            <w:shd w:val="clear" w:color="auto" w:fill="auto"/>
            <w:vAlign w:val="bottom"/>
          </w:tcPr>
          <w:p w14:paraId="3A29747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38.62</w:t>
            </w:r>
          </w:p>
        </w:tc>
        <w:tc>
          <w:tcPr>
            <w:tcW w:w="482" w:type="pct"/>
            <w:shd w:val="clear" w:color="auto" w:fill="auto"/>
            <w:vAlign w:val="bottom"/>
          </w:tcPr>
          <w:p w14:paraId="636694FB"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59.97*</w:t>
            </w:r>
          </w:p>
        </w:tc>
        <w:tc>
          <w:tcPr>
            <w:tcW w:w="488" w:type="pct"/>
            <w:shd w:val="clear" w:color="auto" w:fill="auto"/>
            <w:vAlign w:val="bottom"/>
          </w:tcPr>
          <w:p w14:paraId="716E5C83"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69.59*</w:t>
            </w:r>
          </w:p>
        </w:tc>
        <w:tc>
          <w:tcPr>
            <w:tcW w:w="705" w:type="pct"/>
            <w:shd w:val="clear" w:color="auto" w:fill="auto"/>
            <w:vAlign w:val="bottom"/>
          </w:tcPr>
          <w:p w14:paraId="31E00D0B"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42.59*</w:t>
            </w:r>
          </w:p>
        </w:tc>
      </w:tr>
      <w:tr w:rsidR="001B13AD" w:rsidRPr="00E16006" w14:paraId="58042EBA" w14:textId="77777777" w:rsidTr="001B13AD">
        <w:trPr>
          <w:trHeight w:val="295"/>
          <w:jc w:val="center"/>
        </w:trPr>
        <w:tc>
          <w:tcPr>
            <w:tcW w:w="596" w:type="pct"/>
            <w:shd w:val="clear" w:color="auto" w:fill="auto"/>
            <w:vAlign w:val="center"/>
          </w:tcPr>
          <w:p w14:paraId="5BA5FD39"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5</w:t>
            </w:r>
          </w:p>
        </w:tc>
        <w:tc>
          <w:tcPr>
            <w:tcW w:w="526" w:type="pct"/>
            <w:shd w:val="clear" w:color="auto" w:fill="auto"/>
            <w:vAlign w:val="bottom"/>
          </w:tcPr>
          <w:p w14:paraId="09F0606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482" w:type="pct"/>
            <w:shd w:val="clear" w:color="auto" w:fill="auto"/>
            <w:vAlign w:val="bottom"/>
          </w:tcPr>
          <w:p w14:paraId="65B024F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488" w:type="pct"/>
            <w:shd w:val="clear" w:color="auto" w:fill="auto"/>
            <w:vAlign w:val="bottom"/>
          </w:tcPr>
          <w:p w14:paraId="3186083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-0.74*</w:t>
            </w:r>
          </w:p>
        </w:tc>
        <w:tc>
          <w:tcPr>
            <w:tcW w:w="705" w:type="pct"/>
            <w:shd w:val="clear" w:color="auto" w:fill="auto"/>
            <w:vAlign w:val="bottom"/>
          </w:tcPr>
          <w:p w14:paraId="7DF7126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-0.79*</w:t>
            </w:r>
          </w:p>
        </w:tc>
        <w:tc>
          <w:tcPr>
            <w:tcW w:w="526" w:type="pct"/>
            <w:shd w:val="clear" w:color="auto" w:fill="auto"/>
            <w:vAlign w:val="bottom"/>
          </w:tcPr>
          <w:p w14:paraId="0A8AF2F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39.29</w:t>
            </w:r>
          </w:p>
        </w:tc>
        <w:tc>
          <w:tcPr>
            <w:tcW w:w="482" w:type="pct"/>
            <w:shd w:val="clear" w:color="auto" w:fill="auto"/>
            <w:vAlign w:val="bottom"/>
          </w:tcPr>
          <w:p w14:paraId="0F986C1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60.25*</w:t>
            </w:r>
          </w:p>
        </w:tc>
        <w:tc>
          <w:tcPr>
            <w:tcW w:w="488" w:type="pct"/>
            <w:shd w:val="clear" w:color="auto" w:fill="auto"/>
            <w:vAlign w:val="bottom"/>
          </w:tcPr>
          <w:p w14:paraId="657861B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69.99*</w:t>
            </w:r>
          </w:p>
        </w:tc>
        <w:tc>
          <w:tcPr>
            <w:tcW w:w="705" w:type="pct"/>
            <w:shd w:val="clear" w:color="auto" w:fill="auto"/>
            <w:vAlign w:val="bottom"/>
          </w:tcPr>
          <w:p w14:paraId="56496067"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50.37*</w:t>
            </w:r>
          </w:p>
        </w:tc>
      </w:tr>
      <w:tr w:rsidR="001B13AD" w:rsidRPr="00E16006" w14:paraId="44563E5B" w14:textId="77777777" w:rsidTr="001B13AD">
        <w:trPr>
          <w:trHeight w:val="295"/>
          <w:jc w:val="center"/>
        </w:trPr>
        <w:tc>
          <w:tcPr>
            <w:tcW w:w="596" w:type="pct"/>
            <w:shd w:val="clear" w:color="auto" w:fill="auto"/>
            <w:vAlign w:val="center"/>
          </w:tcPr>
          <w:p w14:paraId="3381713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6</w:t>
            </w:r>
          </w:p>
        </w:tc>
        <w:tc>
          <w:tcPr>
            <w:tcW w:w="526" w:type="pct"/>
            <w:shd w:val="clear" w:color="auto" w:fill="auto"/>
            <w:vAlign w:val="bottom"/>
          </w:tcPr>
          <w:p w14:paraId="07E0DDB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2" w:type="pct"/>
            <w:shd w:val="clear" w:color="auto" w:fill="auto"/>
            <w:vAlign w:val="bottom"/>
          </w:tcPr>
          <w:p w14:paraId="58A678B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488" w:type="pct"/>
            <w:shd w:val="clear" w:color="auto" w:fill="auto"/>
            <w:vAlign w:val="bottom"/>
          </w:tcPr>
          <w:p w14:paraId="0570F58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-0.72*</w:t>
            </w:r>
          </w:p>
        </w:tc>
        <w:tc>
          <w:tcPr>
            <w:tcW w:w="705" w:type="pct"/>
            <w:shd w:val="clear" w:color="auto" w:fill="auto"/>
            <w:vAlign w:val="bottom"/>
          </w:tcPr>
          <w:p w14:paraId="5987B346"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-0.78*</w:t>
            </w:r>
          </w:p>
        </w:tc>
        <w:tc>
          <w:tcPr>
            <w:tcW w:w="526" w:type="pct"/>
            <w:shd w:val="clear" w:color="auto" w:fill="auto"/>
            <w:vAlign w:val="bottom"/>
          </w:tcPr>
          <w:p w14:paraId="45F57AF7"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39.90</w:t>
            </w:r>
          </w:p>
        </w:tc>
        <w:tc>
          <w:tcPr>
            <w:tcW w:w="482" w:type="pct"/>
            <w:shd w:val="clear" w:color="auto" w:fill="auto"/>
            <w:vAlign w:val="bottom"/>
          </w:tcPr>
          <w:p w14:paraId="757B3D34"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60.98*</w:t>
            </w:r>
          </w:p>
        </w:tc>
        <w:tc>
          <w:tcPr>
            <w:tcW w:w="488" w:type="pct"/>
            <w:shd w:val="clear" w:color="auto" w:fill="auto"/>
            <w:vAlign w:val="bottom"/>
          </w:tcPr>
          <w:p w14:paraId="13E7EE2D"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70.93*</w:t>
            </w:r>
          </w:p>
        </w:tc>
        <w:tc>
          <w:tcPr>
            <w:tcW w:w="705" w:type="pct"/>
            <w:shd w:val="clear" w:color="auto" w:fill="auto"/>
            <w:vAlign w:val="bottom"/>
          </w:tcPr>
          <w:p w14:paraId="43A8F89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63.63*</w:t>
            </w:r>
          </w:p>
        </w:tc>
      </w:tr>
      <w:tr w:rsidR="001B13AD" w:rsidRPr="00E16006" w14:paraId="414894F1" w14:textId="77777777" w:rsidTr="001B13AD">
        <w:trPr>
          <w:trHeight w:val="295"/>
          <w:jc w:val="center"/>
        </w:trPr>
        <w:tc>
          <w:tcPr>
            <w:tcW w:w="596" w:type="pct"/>
            <w:shd w:val="clear" w:color="auto" w:fill="auto"/>
            <w:vAlign w:val="center"/>
          </w:tcPr>
          <w:p w14:paraId="3BA3000D"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7</w:t>
            </w:r>
          </w:p>
        </w:tc>
        <w:tc>
          <w:tcPr>
            <w:tcW w:w="526" w:type="pct"/>
            <w:shd w:val="clear" w:color="auto" w:fill="auto"/>
            <w:vAlign w:val="bottom"/>
          </w:tcPr>
          <w:p w14:paraId="7745C823"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482" w:type="pct"/>
            <w:shd w:val="clear" w:color="auto" w:fill="auto"/>
            <w:vAlign w:val="bottom"/>
          </w:tcPr>
          <w:p w14:paraId="4B1BE99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-0.65*</w:t>
            </w:r>
          </w:p>
        </w:tc>
        <w:tc>
          <w:tcPr>
            <w:tcW w:w="488" w:type="pct"/>
            <w:shd w:val="clear" w:color="auto" w:fill="auto"/>
            <w:vAlign w:val="bottom"/>
          </w:tcPr>
          <w:p w14:paraId="08DE1277"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-0.70*</w:t>
            </w:r>
          </w:p>
        </w:tc>
        <w:tc>
          <w:tcPr>
            <w:tcW w:w="705" w:type="pct"/>
            <w:shd w:val="clear" w:color="auto" w:fill="auto"/>
            <w:vAlign w:val="bottom"/>
          </w:tcPr>
          <w:p w14:paraId="4A771E52"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-0.77*</w:t>
            </w:r>
          </w:p>
        </w:tc>
        <w:tc>
          <w:tcPr>
            <w:tcW w:w="526" w:type="pct"/>
            <w:shd w:val="clear" w:color="auto" w:fill="auto"/>
            <w:vAlign w:val="bottom"/>
          </w:tcPr>
          <w:p w14:paraId="56D30761"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38.78</w:t>
            </w:r>
          </w:p>
        </w:tc>
        <w:tc>
          <w:tcPr>
            <w:tcW w:w="482" w:type="pct"/>
            <w:shd w:val="clear" w:color="auto" w:fill="auto"/>
            <w:vAlign w:val="bottom"/>
          </w:tcPr>
          <w:p w14:paraId="78CEFB09"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61.10*</w:t>
            </w:r>
          </w:p>
        </w:tc>
        <w:tc>
          <w:tcPr>
            <w:tcW w:w="488" w:type="pct"/>
            <w:shd w:val="clear" w:color="auto" w:fill="auto"/>
            <w:vAlign w:val="bottom"/>
          </w:tcPr>
          <w:p w14:paraId="37819091"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72.57*</w:t>
            </w:r>
          </w:p>
        </w:tc>
        <w:tc>
          <w:tcPr>
            <w:tcW w:w="705" w:type="pct"/>
            <w:shd w:val="clear" w:color="auto" w:fill="auto"/>
            <w:vAlign w:val="bottom"/>
          </w:tcPr>
          <w:p w14:paraId="0093CDBE"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67.15*</w:t>
            </w:r>
          </w:p>
        </w:tc>
      </w:tr>
      <w:tr w:rsidR="001B13AD" w:rsidRPr="00E16006" w14:paraId="675B6952" w14:textId="77777777" w:rsidTr="001B13AD">
        <w:trPr>
          <w:trHeight w:val="295"/>
          <w:jc w:val="center"/>
        </w:trPr>
        <w:tc>
          <w:tcPr>
            <w:tcW w:w="596" w:type="pct"/>
            <w:shd w:val="clear" w:color="auto" w:fill="auto"/>
            <w:vAlign w:val="center"/>
          </w:tcPr>
          <w:p w14:paraId="1886ADC2"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eastAsia="Calibri" w:hAnsi="Arial" w:cs="Arial"/>
                <w:b/>
                <w:bCs/>
                <w:kern w:val="2"/>
                <w:sz w:val="18"/>
                <w:szCs w:val="18"/>
              </w:rPr>
              <w:t>T</w:t>
            </w:r>
            <w:r w:rsidRPr="00E16006">
              <w:rPr>
                <w:rFonts w:ascii="Arial" w:eastAsia="Calibri" w:hAnsi="Arial" w:cs="Arial"/>
                <w:b/>
                <w:bCs/>
                <w:kern w:val="2"/>
                <w:sz w:val="18"/>
                <w:szCs w:val="18"/>
                <w:vertAlign w:val="subscript"/>
              </w:rPr>
              <w:t>8</w:t>
            </w:r>
          </w:p>
        </w:tc>
        <w:tc>
          <w:tcPr>
            <w:tcW w:w="526" w:type="pct"/>
            <w:shd w:val="clear" w:color="auto" w:fill="auto"/>
            <w:vAlign w:val="bottom"/>
          </w:tcPr>
          <w:p w14:paraId="01C4A001"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-0.75</w:t>
            </w:r>
          </w:p>
        </w:tc>
        <w:tc>
          <w:tcPr>
            <w:tcW w:w="482" w:type="pct"/>
            <w:shd w:val="clear" w:color="auto" w:fill="auto"/>
            <w:vAlign w:val="bottom"/>
          </w:tcPr>
          <w:p w14:paraId="6F3B0680"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-0.89</w:t>
            </w:r>
          </w:p>
        </w:tc>
        <w:tc>
          <w:tcPr>
            <w:tcW w:w="488" w:type="pct"/>
            <w:shd w:val="clear" w:color="auto" w:fill="auto"/>
            <w:vAlign w:val="bottom"/>
          </w:tcPr>
          <w:p w14:paraId="467548EC"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-0.89</w:t>
            </w:r>
          </w:p>
        </w:tc>
        <w:tc>
          <w:tcPr>
            <w:tcW w:w="705" w:type="pct"/>
            <w:shd w:val="clear" w:color="auto" w:fill="auto"/>
            <w:vAlign w:val="bottom"/>
          </w:tcPr>
          <w:p w14:paraId="1C7B7036"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color w:val="000000"/>
                <w:sz w:val="18"/>
                <w:szCs w:val="18"/>
                <w:lang w:eastAsia="en-IN"/>
              </w:rPr>
              <w:t>-0.96</w:t>
            </w:r>
          </w:p>
        </w:tc>
        <w:tc>
          <w:tcPr>
            <w:tcW w:w="526" w:type="pct"/>
            <w:shd w:val="clear" w:color="auto" w:fill="auto"/>
            <w:vAlign w:val="bottom"/>
          </w:tcPr>
          <w:p w14:paraId="468C7F5D"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hAnsi="Arial" w:cs="Arial"/>
                <w:color w:val="000000"/>
                <w:sz w:val="18"/>
                <w:szCs w:val="18"/>
              </w:rPr>
              <w:t>38.89</w:t>
            </w:r>
          </w:p>
        </w:tc>
        <w:tc>
          <w:tcPr>
            <w:tcW w:w="482" w:type="pct"/>
            <w:shd w:val="clear" w:color="auto" w:fill="auto"/>
            <w:vAlign w:val="bottom"/>
          </w:tcPr>
          <w:p w14:paraId="16FEF206"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51.47</w:t>
            </w:r>
          </w:p>
        </w:tc>
        <w:tc>
          <w:tcPr>
            <w:tcW w:w="488" w:type="pct"/>
            <w:shd w:val="clear" w:color="auto" w:fill="auto"/>
            <w:vAlign w:val="bottom"/>
          </w:tcPr>
          <w:p w14:paraId="4D977E7C"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62.00</w:t>
            </w:r>
          </w:p>
        </w:tc>
        <w:tc>
          <w:tcPr>
            <w:tcW w:w="705" w:type="pct"/>
            <w:shd w:val="clear" w:color="auto" w:fill="auto"/>
            <w:vAlign w:val="bottom"/>
          </w:tcPr>
          <w:p w14:paraId="47DC3EA0" w14:textId="77777777" w:rsidR="001B13AD" w:rsidRPr="00E16006" w:rsidRDefault="001B13AD" w:rsidP="00E16006">
            <w:pPr>
              <w:widowControl w:val="0"/>
              <w:jc w:val="center"/>
              <w:rPr>
                <w:rFonts w:ascii="Arial" w:eastAsia="Calibri" w:hAnsi="Arial" w:cs="Arial"/>
                <w:b/>
                <w:bCs/>
                <w:color w:val="000000"/>
                <w:kern w:val="2"/>
                <w:sz w:val="18"/>
                <w:szCs w:val="18"/>
              </w:rPr>
            </w:pPr>
            <w:r w:rsidRPr="00E16006">
              <w:rPr>
                <w:rFonts w:ascii="Arial" w:eastAsia="Calibri" w:hAnsi="Arial" w:cs="Arial"/>
                <w:color w:val="000000"/>
                <w:kern w:val="2"/>
                <w:sz w:val="18"/>
                <w:szCs w:val="18"/>
              </w:rPr>
              <w:t>31.23</w:t>
            </w:r>
          </w:p>
        </w:tc>
      </w:tr>
      <w:tr w:rsidR="001B13AD" w:rsidRPr="00E16006" w14:paraId="613413F9" w14:textId="77777777" w:rsidTr="001B13AD">
        <w:trPr>
          <w:trHeight w:val="295"/>
          <w:jc w:val="center"/>
        </w:trPr>
        <w:tc>
          <w:tcPr>
            <w:tcW w:w="596" w:type="pct"/>
            <w:shd w:val="clear" w:color="auto" w:fill="auto"/>
            <w:vAlign w:val="center"/>
          </w:tcPr>
          <w:p w14:paraId="38E46FE4" w14:textId="77777777" w:rsidR="001B13AD" w:rsidRPr="00E16006" w:rsidRDefault="001B13AD" w:rsidP="00E16006">
            <w:pPr>
              <w:widowControl w:val="0"/>
              <w:rPr>
                <w:rFonts w:ascii="Arial" w:eastAsia="Calibri" w:hAnsi="Arial" w:cs="Arial"/>
                <w:b/>
                <w:bCs/>
                <w:kern w:val="2"/>
                <w:sz w:val="18"/>
                <w:szCs w:val="18"/>
              </w:rPr>
            </w:pPr>
            <w:proofErr w:type="spellStart"/>
            <w:r w:rsidRPr="00E16006">
              <w:rPr>
                <w:rFonts w:ascii="Arial" w:hAnsi="Arial" w:cs="Arial"/>
                <w:b/>
                <w:bCs/>
                <w:color w:val="000000"/>
                <w:sz w:val="18"/>
                <w:szCs w:val="18"/>
                <w:lang w:eastAsia="en-IN"/>
              </w:rPr>
              <w:t>SE.m</w:t>
            </w:r>
            <w:proofErr w:type="spellEnd"/>
            <w:r w:rsidRPr="00E16006">
              <w:rPr>
                <w:rFonts w:ascii="Arial" w:hAnsi="Arial" w:cs="Arial"/>
                <w:b/>
                <w:bCs/>
                <w:color w:val="000000"/>
                <w:sz w:val="18"/>
                <w:szCs w:val="18"/>
                <w:lang w:eastAsia="en-IN"/>
              </w:rPr>
              <w:t>±</w:t>
            </w:r>
          </w:p>
        </w:tc>
        <w:tc>
          <w:tcPr>
            <w:tcW w:w="526" w:type="pct"/>
            <w:shd w:val="clear" w:color="auto" w:fill="auto"/>
            <w:vAlign w:val="bottom"/>
          </w:tcPr>
          <w:p w14:paraId="2EA55665"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482" w:type="pct"/>
            <w:shd w:val="clear" w:color="auto" w:fill="auto"/>
            <w:vAlign w:val="bottom"/>
          </w:tcPr>
          <w:p w14:paraId="17F02EF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488" w:type="pct"/>
            <w:shd w:val="clear" w:color="auto" w:fill="auto"/>
            <w:vAlign w:val="bottom"/>
          </w:tcPr>
          <w:p w14:paraId="744798F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0.03</w:t>
            </w:r>
          </w:p>
        </w:tc>
        <w:tc>
          <w:tcPr>
            <w:tcW w:w="705" w:type="pct"/>
            <w:shd w:val="clear" w:color="auto" w:fill="auto"/>
            <w:vAlign w:val="bottom"/>
          </w:tcPr>
          <w:p w14:paraId="79C5367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0.02</w:t>
            </w:r>
          </w:p>
        </w:tc>
        <w:tc>
          <w:tcPr>
            <w:tcW w:w="526" w:type="pct"/>
            <w:shd w:val="clear" w:color="auto" w:fill="auto"/>
            <w:vAlign w:val="bottom"/>
          </w:tcPr>
          <w:p w14:paraId="1DC8611C"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1.62</w:t>
            </w:r>
          </w:p>
        </w:tc>
        <w:tc>
          <w:tcPr>
            <w:tcW w:w="482" w:type="pct"/>
            <w:shd w:val="clear" w:color="auto" w:fill="auto"/>
            <w:vAlign w:val="bottom"/>
          </w:tcPr>
          <w:p w14:paraId="2B4220DA"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2.34</w:t>
            </w:r>
          </w:p>
        </w:tc>
        <w:tc>
          <w:tcPr>
            <w:tcW w:w="488" w:type="pct"/>
            <w:shd w:val="clear" w:color="auto" w:fill="auto"/>
            <w:vAlign w:val="bottom"/>
          </w:tcPr>
          <w:p w14:paraId="22F30F15"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2.27</w:t>
            </w:r>
          </w:p>
        </w:tc>
        <w:tc>
          <w:tcPr>
            <w:tcW w:w="705" w:type="pct"/>
            <w:shd w:val="clear" w:color="auto" w:fill="auto"/>
            <w:vAlign w:val="bottom"/>
          </w:tcPr>
          <w:p w14:paraId="619661D5"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2.80</w:t>
            </w:r>
          </w:p>
        </w:tc>
      </w:tr>
      <w:tr w:rsidR="001B13AD" w:rsidRPr="00E16006" w14:paraId="3CDCC243" w14:textId="77777777" w:rsidTr="001B13AD">
        <w:trPr>
          <w:trHeight w:val="295"/>
          <w:jc w:val="center"/>
        </w:trPr>
        <w:tc>
          <w:tcPr>
            <w:tcW w:w="596" w:type="pct"/>
            <w:shd w:val="clear" w:color="auto" w:fill="auto"/>
            <w:vAlign w:val="center"/>
          </w:tcPr>
          <w:p w14:paraId="25EF315E" w14:textId="6BA66046" w:rsidR="001B13AD" w:rsidRPr="00E16006" w:rsidRDefault="001B13AD" w:rsidP="00E16006">
            <w:pPr>
              <w:widowControl w:val="0"/>
              <w:rPr>
                <w:rFonts w:ascii="Arial" w:eastAsia="Calibri" w:hAnsi="Arial" w:cs="Arial"/>
                <w:b/>
                <w:bCs/>
                <w:kern w:val="2"/>
                <w:sz w:val="18"/>
                <w:szCs w:val="18"/>
              </w:rPr>
            </w:pPr>
            <w:r w:rsidRPr="00E16006">
              <w:rPr>
                <w:rFonts w:ascii="Arial" w:hAnsi="Arial" w:cs="Arial"/>
                <w:b/>
                <w:bCs/>
                <w:color w:val="000000"/>
                <w:sz w:val="18"/>
                <w:szCs w:val="18"/>
                <w:lang w:eastAsia="en-IN"/>
              </w:rPr>
              <w:t>CD(p=0.05)</w:t>
            </w:r>
          </w:p>
        </w:tc>
        <w:tc>
          <w:tcPr>
            <w:tcW w:w="526" w:type="pct"/>
            <w:shd w:val="clear" w:color="auto" w:fill="auto"/>
            <w:vAlign w:val="bottom"/>
          </w:tcPr>
          <w:p w14:paraId="6445AAE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0.06</w:t>
            </w:r>
          </w:p>
        </w:tc>
        <w:tc>
          <w:tcPr>
            <w:tcW w:w="482" w:type="pct"/>
            <w:shd w:val="clear" w:color="auto" w:fill="auto"/>
            <w:vAlign w:val="bottom"/>
          </w:tcPr>
          <w:p w14:paraId="5FBB46B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0.06</w:t>
            </w:r>
          </w:p>
        </w:tc>
        <w:tc>
          <w:tcPr>
            <w:tcW w:w="488" w:type="pct"/>
            <w:shd w:val="clear" w:color="auto" w:fill="auto"/>
            <w:vAlign w:val="bottom"/>
          </w:tcPr>
          <w:p w14:paraId="2E9608DF"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0.08</w:t>
            </w:r>
          </w:p>
        </w:tc>
        <w:tc>
          <w:tcPr>
            <w:tcW w:w="705" w:type="pct"/>
            <w:shd w:val="clear" w:color="auto" w:fill="auto"/>
            <w:vAlign w:val="bottom"/>
          </w:tcPr>
          <w:p w14:paraId="4CDF13AD"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0.07</w:t>
            </w:r>
          </w:p>
        </w:tc>
        <w:tc>
          <w:tcPr>
            <w:tcW w:w="526" w:type="pct"/>
            <w:shd w:val="clear" w:color="auto" w:fill="auto"/>
            <w:vAlign w:val="bottom"/>
          </w:tcPr>
          <w:p w14:paraId="2502A453"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4.91</w:t>
            </w:r>
          </w:p>
        </w:tc>
        <w:tc>
          <w:tcPr>
            <w:tcW w:w="482" w:type="pct"/>
            <w:shd w:val="clear" w:color="auto" w:fill="auto"/>
            <w:vAlign w:val="bottom"/>
          </w:tcPr>
          <w:p w14:paraId="7166BAC6"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hAnsi="Arial" w:cs="Arial"/>
                <w:b/>
                <w:bCs/>
                <w:color w:val="000000"/>
                <w:sz w:val="18"/>
                <w:szCs w:val="18"/>
                <w:lang w:eastAsia="en-IN"/>
              </w:rPr>
              <w:t>7.11</w:t>
            </w:r>
          </w:p>
        </w:tc>
        <w:tc>
          <w:tcPr>
            <w:tcW w:w="488" w:type="pct"/>
            <w:shd w:val="clear" w:color="auto" w:fill="auto"/>
            <w:vAlign w:val="bottom"/>
          </w:tcPr>
          <w:p w14:paraId="0D1827BB"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6.99</w:t>
            </w:r>
          </w:p>
        </w:tc>
        <w:tc>
          <w:tcPr>
            <w:tcW w:w="705" w:type="pct"/>
            <w:shd w:val="clear" w:color="auto" w:fill="auto"/>
            <w:vAlign w:val="bottom"/>
          </w:tcPr>
          <w:p w14:paraId="72B8F6B0" w14:textId="77777777" w:rsidR="001B13AD" w:rsidRPr="00E16006" w:rsidRDefault="001B13AD" w:rsidP="00E16006">
            <w:pPr>
              <w:widowControl w:val="0"/>
              <w:jc w:val="center"/>
              <w:rPr>
                <w:rFonts w:ascii="Arial" w:eastAsia="Calibri" w:hAnsi="Arial" w:cs="Arial"/>
                <w:b/>
                <w:bCs/>
                <w:kern w:val="2"/>
                <w:sz w:val="18"/>
                <w:szCs w:val="18"/>
              </w:rPr>
            </w:pPr>
            <w:r w:rsidRPr="00E16006">
              <w:rPr>
                <w:rFonts w:ascii="Arial" w:eastAsia="Calibri" w:hAnsi="Arial" w:cs="Arial"/>
                <w:b/>
                <w:bCs/>
                <w:kern w:val="2"/>
                <w:sz w:val="18"/>
                <w:szCs w:val="18"/>
              </w:rPr>
              <w:t>8.49</w:t>
            </w:r>
          </w:p>
        </w:tc>
      </w:tr>
      <w:tr w:rsidR="001B13AD" w:rsidRPr="00E16006" w14:paraId="45FB7571" w14:textId="77777777" w:rsidTr="001B13AD">
        <w:trPr>
          <w:trHeight w:val="295"/>
          <w:jc w:val="center"/>
        </w:trPr>
        <w:tc>
          <w:tcPr>
            <w:tcW w:w="596" w:type="pct"/>
            <w:shd w:val="clear" w:color="auto" w:fill="auto"/>
            <w:vAlign w:val="center"/>
          </w:tcPr>
          <w:p w14:paraId="7C1555C9" w14:textId="77777777" w:rsidR="001B13AD" w:rsidRPr="00E16006" w:rsidRDefault="001B13AD" w:rsidP="00E16006">
            <w:pPr>
              <w:widowControl w:val="0"/>
              <w:rPr>
                <w:rFonts w:ascii="Arial" w:eastAsia="Calibri" w:hAnsi="Arial" w:cs="Arial"/>
                <w:b/>
                <w:bCs/>
                <w:kern w:val="2"/>
                <w:sz w:val="18"/>
                <w:szCs w:val="18"/>
              </w:rPr>
            </w:pPr>
            <w:r w:rsidRPr="00E16006">
              <w:rPr>
                <w:rFonts w:ascii="Arial" w:hAnsi="Arial" w:cs="Arial"/>
                <w:b/>
                <w:bCs/>
                <w:color w:val="000000"/>
                <w:sz w:val="18"/>
                <w:szCs w:val="18"/>
                <w:lang w:eastAsia="en-IN"/>
              </w:rPr>
              <w:t>CV (%)</w:t>
            </w:r>
          </w:p>
        </w:tc>
        <w:tc>
          <w:tcPr>
            <w:tcW w:w="526" w:type="pct"/>
            <w:shd w:val="clear" w:color="auto" w:fill="auto"/>
            <w:vAlign w:val="bottom"/>
          </w:tcPr>
          <w:p w14:paraId="5988EADE"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4.72</w:t>
            </w:r>
          </w:p>
        </w:tc>
        <w:tc>
          <w:tcPr>
            <w:tcW w:w="482" w:type="pct"/>
            <w:shd w:val="clear" w:color="auto" w:fill="auto"/>
            <w:vAlign w:val="bottom"/>
          </w:tcPr>
          <w:p w14:paraId="74A72162"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4.81</w:t>
            </w:r>
          </w:p>
        </w:tc>
        <w:tc>
          <w:tcPr>
            <w:tcW w:w="488" w:type="pct"/>
            <w:shd w:val="clear" w:color="auto" w:fill="auto"/>
            <w:vAlign w:val="bottom"/>
          </w:tcPr>
          <w:p w14:paraId="4AB8AB88"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6.03</w:t>
            </w:r>
          </w:p>
        </w:tc>
        <w:tc>
          <w:tcPr>
            <w:tcW w:w="705" w:type="pct"/>
            <w:shd w:val="clear" w:color="auto" w:fill="auto"/>
            <w:vAlign w:val="bottom"/>
          </w:tcPr>
          <w:p w14:paraId="29994EDC" w14:textId="77777777" w:rsidR="001B13AD" w:rsidRPr="00E16006" w:rsidRDefault="001B13AD" w:rsidP="00E16006">
            <w:pPr>
              <w:widowControl w:val="0"/>
              <w:jc w:val="center"/>
              <w:rPr>
                <w:rFonts w:ascii="Arial" w:eastAsia="Calibri" w:hAnsi="Arial" w:cs="Arial"/>
                <w:b/>
                <w:bCs/>
                <w:kern w:val="2"/>
                <w:sz w:val="18"/>
                <w:szCs w:val="18"/>
                <w:lang w:eastAsia="en-IN"/>
              </w:rPr>
            </w:pPr>
            <w:r w:rsidRPr="00E16006">
              <w:rPr>
                <w:rFonts w:ascii="Arial" w:hAnsi="Arial" w:cs="Arial"/>
                <w:b/>
                <w:bCs/>
                <w:color w:val="000000"/>
                <w:sz w:val="18"/>
                <w:szCs w:val="18"/>
                <w:lang w:eastAsia="en-IN"/>
              </w:rPr>
              <w:t>5.08</w:t>
            </w:r>
          </w:p>
        </w:tc>
        <w:tc>
          <w:tcPr>
            <w:tcW w:w="526" w:type="pct"/>
            <w:shd w:val="clear" w:color="auto" w:fill="auto"/>
            <w:vAlign w:val="bottom"/>
          </w:tcPr>
          <w:p w14:paraId="79730837"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6.90</w:t>
            </w:r>
          </w:p>
        </w:tc>
        <w:tc>
          <w:tcPr>
            <w:tcW w:w="482" w:type="pct"/>
            <w:shd w:val="clear" w:color="auto" w:fill="auto"/>
            <w:vAlign w:val="bottom"/>
          </w:tcPr>
          <w:p w14:paraId="4D0F0BF5"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6.74</w:t>
            </w:r>
          </w:p>
        </w:tc>
        <w:tc>
          <w:tcPr>
            <w:tcW w:w="488" w:type="pct"/>
            <w:shd w:val="clear" w:color="auto" w:fill="auto"/>
            <w:vAlign w:val="bottom"/>
          </w:tcPr>
          <w:p w14:paraId="554A9816"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eastAsia="Calibri" w:hAnsi="Arial" w:cs="Arial"/>
                <w:b/>
                <w:bCs/>
                <w:kern w:val="2"/>
                <w:sz w:val="18"/>
                <w:szCs w:val="18"/>
              </w:rPr>
              <w:t>5.68</w:t>
            </w:r>
          </w:p>
        </w:tc>
        <w:tc>
          <w:tcPr>
            <w:tcW w:w="705" w:type="pct"/>
            <w:shd w:val="clear" w:color="auto" w:fill="auto"/>
            <w:vAlign w:val="bottom"/>
          </w:tcPr>
          <w:p w14:paraId="29B954EB" w14:textId="77777777" w:rsidR="001B13AD" w:rsidRPr="00E16006" w:rsidRDefault="001B13AD" w:rsidP="00E16006">
            <w:pPr>
              <w:widowControl w:val="0"/>
              <w:jc w:val="center"/>
              <w:rPr>
                <w:rFonts w:ascii="Arial" w:hAnsi="Arial" w:cs="Arial"/>
                <w:b/>
                <w:bCs/>
                <w:color w:val="000000"/>
                <w:sz w:val="18"/>
                <w:szCs w:val="18"/>
                <w:lang w:eastAsia="en-IN"/>
              </w:rPr>
            </w:pPr>
            <w:r w:rsidRPr="00E16006">
              <w:rPr>
                <w:rFonts w:ascii="Arial" w:hAnsi="Arial" w:cs="Arial"/>
                <w:b/>
                <w:bCs/>
                <w:color w:val="000000"/>
                <w:sz w:val="18"/>
                <w:szCs w:val="18"/>
                <w:lang w:eastAsia="en-IN"/>
              </w:rPr>
              <w:t>9.48</w:t>
            </w:r>
          </w:p>
        </w:tc>
      </w:tr>
    </w:tbl>
    <w:p w14:paraId="5AD5411F" w14:textId="77777777" w:rsidR="001B13AD" w:rsidRPr="00E16006" w:rsidRDefault="001B13AD" w:rsidP="00E16006">
      <w:pPr>
        <w:rPr>
          <w:rFonts w:ascii="Arial" w:hAnsi="Arial" w:cs="Arial"/>
        </w:rPr>
      </w:pPr>
    </w:p>
    <w:p w14:paraId="26A87032" w14:textId="17819181" w:rsidR="001B13AD" w:rsidRDefault="001B13AD"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CSI indicates membrane stability under stress, with higher CSI associated with increased photosynthetic rates, dry matter production, and productivity (</w:t>
      </w:r>
      <w:r w:rsidR="0091276E" w:rsidRPr="00E16006">
        <w:rPr>
          <w:rFonts w:ascii="Arial" w:hAnsi="Arial" w:cs="Arial"/>
          <w:sz w:val="20"/>
          <w:szCs w:val="20"/>
        </w:rPr>
        <w:t>M</w:t>
      </w:r>
      <w:r w:rsidR="0091276E" w:rsidRPr="00E16006">
        <w:rPr>
          <w:rFonts w:ascii="Arial" w:hAnsi="Arial" w:cs="Arial"/>
          <w:sz w:val="20"/>
          <w:szCs w:val="20"/>
          <w:lang w:val="sv-SE"/>
        </w:rPr>
        <w:t xml:space="preserve">adhanMohan </w:t>
      </w:r>
      <w:r w:rsidR="0091276E" w:rsidRPr="00E16006">
        <w:rPr>
          <w:rFonts w:ascii="Arial" w:hAnsi="Arial" w:cs="Arial"/>
          <w:i/>
          <w:iCs/>
          <w:sz w:val="20"/>
          <w:szCs w:val="20"/>
          <w:lang w:val="sv-SE"/>
        </w:rPr>
        <w:t>et al.</w:t>
      </w:r>
      <w:r w:rsidR="0091276E" w:rsidRPr="00E16006">
        <w:rPr>
          <w:rFonts w:ascii="Arial" w:hAnsi="Arial" w:cs="Arial"/>
          <w:sz w:val="20"/>
          <w:szCs w:val="20"/>
          <w:lang w:val="sv-SE"/>
        </w:rPr>
        <w:t xml:space="preserve"> 2000</w:t>
      </w:r>
      <w:r w:rsidRPr="00E16006">
        <w:rPr>
          <w:rFonts w:ascii="Arial" w:hAnsi="Arial" w:cs="Arial"/>
          <w:sz w:val="20"/>
          <w:szCs w:val="20"/>
        </w:rPr>
        <w:t>). The study's findings agree with (</w:t>
      </w:r>
      <w:r w:rsidR="0091276E" w:rsidRPr="00E16006">
        <w:rPr>
          <w:rFonts w:ascii="Arial" w:hAnsi="Arial" w:cs="Arial"/>
          <w:sz w:val="20"/>
          <w:szCs w:val="20"/>
        </w:rPr>
        <w:t>B</w:t>
      </w:r>
      <w:r w:rsidR="0091276E" w:rsidRPr="00E16006">
        <w:rPr>
          <w:rFonts w:ascii="Arial" w:hAnsi="Arial" w:cs="Arial"/>
          <w:sz w:val="20"/>
          <w:szCs w:val="20"/>
          <w:lang w:val="pt-BR"/>
        </w:rPr>
        <w:t xml:space="preserve">ipin </w:t>
      </w:r>
      <w:r w:rsidR="0091276E" w:rsidRPr="00E16006">
        <w:rPr>
          <w:rFonts w:ascii="Arial" w:hAnsi="Arial" w:cs="Arial"/>
          <w:i/>
          <w:iCs/>
          <w:sz w:val="20"/>
          <w:szCs w:val="20"/>
          <w:lang w:val="pt-BR"/>
        </w:rPr>
        <w:t>et al.</w:t>
      </w:r>
      <w:r w:rsidR="0091276E" w:rsidRPr="00E16006">
        <w:rPr>
          <w:rFonts w:ascii="Arial" w:hAnsi="Arial" w:cs="Arial"/>
          <w:sz w:val="20"/>
          <w:szCs w:val="20"/>
          <w:lang w:val="pt-BR"/>
        </w:rPr>
        <w:t xml:space="preserve"> 2022</w:t>
      </w:r>
      <w:r w:rsidRPr="00E16006">
        <w:rPr>
          <w:rFonts w:ascii="Arial" w:hAnsi="Arial" w:cs="Arial"/>
          <w:sz w:val="20"/>
          <w:szCs w:val="20"/>
        </w:rPr>
        <w:t xml:space="preserve">), who observed decreased CSI under NaCl stress in </w:t>
      </w:r>
      <w:r w:rsidRPr="00E16006">
        <w:rPr>
          <w:rStyle w:val="nfase"/>
          <w:rFonts w:ascii="Arial" w:hAnsi="Arial" w:cs="Arial"/>
          <w:sz w:val="20"/>
          <w:szCs w:val="20"/>
        </w:rPr>
        <w:t xml:space="preserve">Panicum </w:t>
      </w:r>
      <w:proofErr w:type="spellStart"/>
      <w:r w:rsidRPr="00E16006">
        <w:rPr>
          <w:rStyle w:val="nfase"/>
          <w:rFonts w:ascii="Arial" w:hAnsi="Arial" w:cs="Arial"/>
          <w:sz w:val="20"/>
          <w:szCs w:val="20"/>
        </w:rPr>
        <w:t>miliaceum</w:t>
      </w:r>
      <w:proofErr w:type="spellEnd"/>
      <w:r w:rsidRPr="00E16006">
        <w:rPr>
          <w:rFonts w:ascii="Arial" w:hAnsi="Arial" w:cs="Arial"/>
          <w:sz w:val="20"/>
          <w:szCs w:val="20"/>
        </w:rPr>
        <w:t>. Various studies, such as those by (</w:t>
      </w:r>
      <w:r w:rsidR="00C54F2E" w:rsidRPr="00E16006">
        <w:rPr>
          <w:rFonts w:ascii="Arial" w:hAnsi="Arial" w:cs="Arial"/>
          <w:sz w:val="20"/>
          <w:szCs w:val="20"/>
        </w:rPr>
        <w:t>Gursoy 2022</w:t>
      </w:r>
      <w:r w:rsidRPr="00E16006">
        <w:rPr>
          <w:rFonts w:ascii="Arial" w:hAnsi="Arial" w:cs="Arial"/>
          <w:sz w:val="20"/>
          <w:szCs w:val="20"/>
        </w:rPr>
        <w:t>), have shown that the exogenous application of plant growth regulators like SA and GA</w:t>
      </w:r>
      <w:r w:rsidRPr="00E16006">
        <w:rPr>
          <w:rFonts w:ascii="Arial" w:hAnsi="Arial" w:cs="Arial"/>
          <w:sz w:val="20"/>
          <w:szCs w:val="20"/>
          <w:vertAlign w:val="subscript"/>
        </w:rPr>
        <w:t xml:space="preserve">3 </w:t>
      </w:r>
      <w:r w:rsidRPr="00E16006">
        <w:rPr>
          <w:rFonts w:ascii="Arial" w:hAnsi="Arial" w:cs="Arial"/>
          <w:sz w:val="20"/>
          <w:szCs w:val="20"/>
        </w:rPr>
        <w:t>can enhance CSI in stressful environments, supporting the current findings.</w:t>
      </w:r>
    </w:p>
    <w:p w14:paraId="4AB17511" w14:textId="77777777" w:rsidR="00E16006" w:rsidRPr="00E16006" w:rsidRDefault="00E16006" w:rsidP="00E16006">
      <w:pPr>
        <w:pStyle w:val="NormalWeb"/>
        <w:spacing w:before="0" w:beforeAutospacing="0" w:after="0" w:afterAutospacing="0"/>
        <w:ind w:firstLine="720"/>
        <w:jc w:val="both"/>
        <w:rPr>
          <w:rFonts w:ascii="Arial" w:hAnsi="Arial" w:cs="Arial"/>
          <w:sz w:val="20"/>
          <w:szCs w:val="20"/>
        </w:rPr>
      </w:pPr>
    </w:p>
    <w:p w14:paraId="7CDED14E" w14:textId="1FCB6A34" w:rsidR="009957FF" w:rsidRPr="00E16006" w:rsidRDefault="009957FF" w:rsidP="0057754D">
      <w:pPr>
        <w:pStyle w:val="Ttulo3"/>
        <w:spacing w:before="0" w:line="240" w:lineRule="auto"/>
        <w:jc w:val="both"/>
        <w:rPr>
          <w:rFonts w:ascii="Arial" w:hAnsi="Arial" w:cs="Arial"/>
          <w:b/>
          <w:bCs w:val="0"/>
          <w:i w:val="0"/>
          <w:iCs/>
          <w:sz w:val="20"/>
          <w:szCs w:val="20"/>
        </w:rPr>
      </w:pPr>
      <w:r w:rsidRPr="00E16006">
        <w:rPr>
          <w:rFonts w:ascii="Arial" w:hAnsi="Arial" w:cs="Arial"/>
          <w:b/>
          <w:bCs w:val="0"/>
          <w:i w:val="0"/>
          <w:iCs/>
          <w:sz w:val="20"/>
          <w:szCs w:val="20"/>
        </w:rPr>
        <w:t>3.2 Morphological Parameters</w:t>
      </w:r>
    </w:p>
    <w:p w14:paraId="4EA63AED" w14:textId="47569923" w:rsidR="009957FF" w:rsidRPr="00E16006" w:rsidRDefault="009957FF" w:rsidP="00E16006">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Marked disparities in root dry weight (RDW) were noted at every stage (Table 2). The check variety MCM 103 exhibited the highest RDW (1.02 g) at the maximum tillering stage, whereas BPT 5204 displayed no significant differences. The foliar application of 0.25 mM/L SNP+ 0.50 mM/L SA+ 0.50 mM/L BR (1.62 g) and 0.25 mM/L SNP+ 0.50 mM/L BR (1.55 g) resulted in a significant enhancement of RDW at the panicle initiation stage, comparable to MCM 103 (1.71 g). During the anthesis stage, the treatment combinations of 0.25 mM/L SNP+ 0.50 mM/L SA+ 0.50 mM/L BR (1.95 g), 0.25 mM/L SNP + 0.50 mM/L BR (1.93 g), and 0.50 mM/L SA (1.89 g) significantly enhanced RDW, consistent with MCM 103. RDW in MCM 103 rose by 42.2 per cent at panicle initiation and 48.6 per cent at anthesis, whereas the foliar application of 0.25 mM/L SNP</w:t>
      </w:r>
      <w:r w:rsidRPr="00E16006">
        <w:rPr>
          <w:rFonts w:ascii="Arial" w:hAnsi="Arial" w:cs="Arial"/>
          <w:sz w:val="20"/>
          <w:szCs w:val="20"/>
          <w:vertAlign w:val="superscript"/>
        </w:rPr>
        <w:t>+</w:t>
      </w:r>
      <w:r w:rsidRPr="00E16006">
        <w:rPr>
          <w:rFonts w:ascii="Arial" w:hAnsi="Arial" w:cs="Arial"/>
          <w:sz w:val="20"/>
          <w:szCs w:val="20"/>
        </w:rPr>
        <w:t xml:space="preserve"> 0.50 mM/L SA+ 0.50 mM/L BR enhanced RDW by 34.9 per cent and 38.6 per cent compared to untreated BPT 5204 at the corresponding stages.</w:t>
      </w:r>
      <w:r w:rsidR="00301EFF" w:rsidRPr="00E16006">
        <w:rPr>
          <w:rFonts w:ascii="Arial" w:hAnsi="Arial" w:cs="Arial"/>
          <w:sz w:val="20"/>
          <w:szCs w:val="20"/>
        </w:rPr>
        <w:t xml:space="preserve"> The root volume exhibited a notable response to treatments at all growth stages (Table 2). During maximal tillering, MCM 103 demonstrated the greatest root volume (2.97 cc/plant), but BPT 5204 displayed no notable differences. All foliar treatments led to enhanced root volumes at the panicle initiation and anthesis stages. The foliar application of 0.25 mM/L SNP, 0.50 mM/L SA, and 0.50 mM/L BR yielded the greatest root volume values (4.17 and 4.83 cc/plant, respectively), indicating increases of 43.7 per cent and 34.3 per cent compared to untreated BPT 5204. MCM 103 had even more significant enhancements in root volume of 52.9 per cent and 59.3 per cent at the corresponding stages.</w:t>
      </w:r>
    </w:p>
    <w:p w14:paraId="2F7ABE33" w14:textId="1DD876B0" w:rsidR="001B13AD" w:rsidRPr="00E16006" w:rsidRDefault="001B13AD" w:rsidP="00E16006">
      <w:pPr>
        <w:pStyle w:val="Legenda"/>
        <w:keepNext/>
        <w:spacing w:line="240" w:lineRule="auto"/>
        <w:ind w:hanging="426"/>
        <w:rPr>
          <w:rFonts w:ascii="Arial" w:hAnsi="Arial" w:cs="Arial"/>
          <w:b/>
          <w:bCs/>
          <w:i w:val="0"/>
          <w:iCs w:val="0"/>
          <w:sz w:val="20"/>
          <w:szCs w:val="20"/>
          <w:lang w:val="en-US"/>
        </w:rPr>
      </w:pPr>
      <w:bookmarkStart w:id="3" w:name="_Ref175230851"/>
      <w:bookmarkStart w:id="4" w:name="_Ref175231996"/>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2</w:t>
      </w:r>
      <w:r w:rsidRPr="00E16006">
        <w:rPr>
          <w:rFonts w:ascii="Arial" w:hAnsi="Arial" w:cs="Arial"/>
          <w:b/>
          <w:bCs/>
          <w:i w:val="0"/>
          <w:iCs w:val="0"/>
          <w:sz w:val="20"/>
          <w:szCs w:val="20"/>
        </w:rPr>
        <w:fldChar w:fldCharType="end"/>
      </w:r>
      <w:bookmarkEnd w:id="3"/>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 xml:space="preserve">Influence of Signal molecules on Root dry weight, and </w:t>
      </w:r>
      <w:r w:rsidR="00301EFF" w:rsidRPr="00E16006">
        <w:rPr>
          <w:rFonts w:ascii="Arial" w:hAnsi="Arial" w:cs="Arial"/>
          <w:b/>
          <w:bCs/>
          <w:i w:val="0"/>
          <w:iCs w:val="0"/>
          <w:sz w:val="20"/>
          <w:szCs w:val="20"/>
        </w:rPr>
        <w:t xml:space="preserve">volume </w:t>
      </w:r>
      <w:r w:rsidRPr="00E16006">
        <w:rPr>
          <w:rFonts w:ascii="Arial" w:hAnsi="Arial" w:cs="Arial"/>
          <w:b/>
          <w:bCs/>
          <w:i w:val="0"/>
          <w:iCs w:val="0"/>
          <w:sz w:val="20"/>
          <w:szCs w:val="20"/>
        </w:rPr>
        <w:t>in rice under salinity stress</w:t>
      </w:r>
      <w:bookmarkEnd w:id="4"/>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5"/>
        <w:gridCol w:w="1304"/>
        <w:gridCol w:w="1191"/>
        <w:gridCol w:w="1205"/>
        <w:gridCol w:w="1301"/>
        <w:gridCol w:w="1191"/>
        <w:gridCol w:w="1208"/>
      </w:tblGrid>
      <w:tr w:rsidR="001B13AD" w:rsidRPr="00E16006" w14:paraId="4F4B45E1" w14:textId="77777777" w:rsidTr="0080622F">
        <w:trPr>
          <w:trHeight w:val="241"/>
          <w:jc w:val="center"/>
        </w:trPr>
        <w:tc>
          <w:tcPr>
            <w:tcW w:w="836" w:type="pct"/>
            <w:vMerge w:val="restart"/>
            <w:shd w:val="clear" w:color="auto" w:fill="auto"/>
            <w:vAlign w:val="center"/>
          </w:tcPr>
          <w:p w14:paraId="12DF86B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br w:type="page"/>
            </w:r>
            <w:r w:rsidRPr="00E16006">
              <w:rPr>
                <w:rFonts w:ascii="Arial" w:eastAsia="Calibri" w:hAnsi="Arial" w:cs="Arial"/>
                <w:b/>
                <w:bCs/>
                <w:kern w:val="2"/>
                <w:lang w:eastAsia="en-IN"/>
              </w:rPr>
              <w:t>Treatments</w:t>
            </w:r>
          </w:p>
        </w:tc>
        <w:tc>
          <w:tcPr>
            <w:tcW w:w="2082" w:type="pct"/>
            <w:gridSpan w:val="3"/>
            <w:shd w:val="clear" w:color="auto" w:fill="auto"/>
            <w:vAlign w:val="center"/>
          </w:tcPr>
          <w:p w14:paraId="243EF7D0"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Root dry weight (g)</w:t>
            </w:r>
          </w:p>
        </w:tc>
        <w:tc>
          <w:tcPr>
            <w:tcW w:w="2082" w:type="pct"/>
            <w:gridSpan w:val="3"/>
            <w:shd w:val="clear" w:color="auto" w:fill="auto"/>
            <w:vAlign w:val="center"/>
          </w:tcPr>
          <w:p w14:paraId="1EB5B34B"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Root Volume (</w:t>
            </w:r>
            <w:r w:rsidRPr="00E16006">
              <w:rPr>
                <w:rFonts w:ascii="Arial" w:eastAsia="Calibri" w:hAnsi="Arial" w:cs="Arial"/>
                <w:b/>
                <w:bCs/>
                <w:kern w:val="2"/>
              </w:rPr>
              <w:t>cc plant</w:t>
            </w:r>
            <w:r w:rsidRPr="00E16006">
              <w:rPr>
                <w:rFonts w:ascii="Arial" w:eastAsia="Calibri" w:hAnsi="Arial" w:cs="Arial"/>
                <w:b/>
                <w:bCs/>
                <w:kern w:val="2"/>
                <w:vertAlign w:val="superscript"/>
              </w:rPr>
              <w:t>-1</w:t>
            </w:r>
            <w:r w:rsidRPr="00E16006">
              <w:rPr>
                <w:rFonts w:ascii="Arial" w:hAnsi="Arial" w:cs="Arial"/>
                <w:b/>
                <w:bCs/>
                <w:lang w:eastAsia="en-IN"/>
              </w:rPr>
              <w:t>)</w:t>
            </w:r>
          </w:p>
        </w:tc>
      </w:tr>
      <w:tr w:rsidR="001B13AD" w:rsidRPr="00E16006" w14:paraId="4884A6D6" w14:textId="77777777" w:rsidTr="0080622F">
        <w:trPr>
          <w:trHeight w:val="110"/>
          <w:jc w:val="center"/>
        </w:trPr>
        <w:tc>
          <w:tcPr>
            <w:tcW w:w="836" w:type="pct"/>
            <w:vMerge/>
            <w:shd w:val="clear" w:color="auto" w:fill="auto"/>
            <w:vAlign w:val="center"/>
          </w:tcPr>
          <w:p w14:paraId="15C4A221" w14:textId="77777777" w:rsidR="001B13AD" w:rsidRPr="00E16006" w:rsidRDefault="001B13AD" w:rsidP="00E16006">
            <w:pPr>
              <w:widowControl w:val="0"/>
              <w:jc w:val="center"/>
              <w:rPr>
                <w:rFonts w:ascii="Arial" w:eastAsia="Calibri" w:hAnsi="Arial" w:cs="Arial"/>
                <w:b/>
                <w:bCs/>
                <w:kern w:val="2"/>
                <w:lang w:eastAsia="en-IN"/>
              </w:rPr>
            </w:pPr>
          </w:p>
        </w:tc>
        <w:tc>
          <w:tcPr>
            <w:tcW w:w="734" w:type="pct"/>
            <w:shd w:val="clear" w:color="auto" w:fill="auto"/>
            <w:vAlign w:val="center"/>
          </w:tcPr>
          <w:p w14:paraId="338C9A3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hAnsi="Arial" w:cs="Arial"/>
                <w:b/>
                <w:bCs/>
                <w:lang w:eastAsia="en-IN"/>
              </w:rPr>
              <w:t>Maximum tillering stage</w:t>
            </w:r>
          </w:p>
        </w:tc>
        <w:tc>
          <w:tcPr>
            <w:tcW w:w="670" w:type="pct"/>
            <w:shd w:val="clear" w:color="auto" w:fill="auto"/>
            <w:vAlign w:val="center"/>
          </w:tcPr>
          <w:p w14:paraId="3404FBBC"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hAnsi="Arial" w:cs="Arial"/>
                <w:b/>
                <w:bCs/>
                <w:lang w:eastAsia="en-IN"/>
              </w:rPr>
              <w:t>Panicle initiation stage</w:t>
            </w:r>
          </w:p>
        </w:tc>
        <w:tc>
          <w:tcPr>
            <w:tcW w:w="678" w:type="pct"/>
            <w:shd w:val="clear" w:color="auto" w:fill="auto"/>
            <w:vAlign w:val="center"/>
          </w:tcPr>
          <w:p w14:paraId="3E3A2746"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hAnsi="Arial" w:cs="Arial"/>
                <w:b/>
                <w:bCs/>
                <w:lang w:eastAsia="en-IN"/>
              </w:rPr>
              <w:t>Anthesis stage</w:t>
            </w:r>
          </w:p>
        </w:tc>
        <w:tc>
          <w:tcPr>
            <w:tcW w:w="732" w:type="pct"/>
            <w:shd w:val="clear" w:color="auto" w:fill="auto"/>
            <w:vAlign w:val="center"/>
          </w:tcPr>
          <w:p w14:paraId="58018950"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Maximum tillering stage</w:t>
            </w:r>
          </w:p>
        </w:tc>
        <w:tc>
          <w:tcPr>
            <w:tcW w:w="670" w:type="pct"/>
            <w:shd w:val="clear" w:color="auto" w:fill="auto"/>
            <w:vAlign w:val="center"/>
          </w:tcPr>
          <w:p w14:paraId="4DFD9695"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Panicle initiation stage</w:t>
            </w:r>
          </w:p>
        </w:tc>
        <w:tc>
          <w:tcPr>
            <w:tcW w:w="680" w:type="pct"/>
            <w:shd w:val="clear" w:color="auto" w:fill="auto"/>
            <w:vAlign w:val="center"/>
          </w:tcPr>
          <w:p w14:paraId="1486A7C6" w14:textId="77777777" w:rsidR="001B13AD" w:rsidRPr="00E16006" w:rsidRDefault="001B13AD" w:rsidP="00E16006">
            <w:pPr>
              <w:widowControl w:val="0"/>
              <w:jc w:val="center"/>
              <w:rPr>
                <w:rFonts w:ascii="Arial" w:hAnsi="Arial" w:cs="Arial"/>
                <w:b/>
                <w:bCs/>
                <w:lang w:eastAsia="en-IN"/>
              </w:rPr>
            </w:pPr>
            <w:r w:rsidRPr="00E16006">
              <w:rPr>
                <w:rFonts w:ascii="Arial" w:hAnsi="Arial" w:cs="Arial"/>
                <w:b/>
                <w:bCs/>
                <w:lang w:eastAsia="en-IN"/>
              </w:rPr>
              <w:t>Anthesis stage</w:t>
            </w:r>
          </w:p>
        </w:tc>
      </w:tr>
      <w:tr w:rsidR="001B13AD" w:rsidRPr="00E16006" w14:paraId="34EB5385" w14:textId="77777777" w:rsidTr="0080622F">
        <w:trPr>
          <w:trHeight w:val="264"/>
          <w:jc w:val="center"/>
        </w:trPr>
        <w:tc>
          <w:tcPr>
            <w:tcW w:w="836" w:type="pct"/>
            <w:tcBorders>
              <w:bottom w:val="single" w:sz="4" w:space="0" w:color="auto"/>
            </w:tcBorders>
            <w:shd w:val="clear" w:color="auto" w:fill="auto"/>
            <w:vAlign w:val="center"/>
          </w:tcPr>
          <w:p w14:paraId="24014AD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1</w:t>
            </w:r>
          </w:p>
        </w:tc>
        <w:tc>
          <w:tcPr>
            <w:tcW w:w="734" w:type="pct"/>
            <w:shd w:val="clear" w:color="auto" w:fill="auto"/>
            <w:vAlign w:val="bottom"/>
          </w:tcPr>
          <w:p w14:paraId="609FFD0E"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1.02</w:t>
            </w:r>
          </w:p>
        </w:tc>
        <w:tc>
          <w:tcPr>
            <w:tcW w:w="670" w:type="pct"/>
            <w:shd w:val="clear" w:color="auto" w:fill="auto"/>
            <w:vAlign w:val="bottom"/>
          </w:tcPr>
          <w:p w14:paraId="74BBE6B6"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1.71*</w:t>
            </w:r>
          </w:p>
        </w:tc>
        <w:tc>
          <w:tcPr>
            <w:tcW w:w="678" w:type="pct"/>
            <w:shd w:val="clear" w:color="auto" w:fill="auto"/>
            <w:vAlign w:val="bottom"/>
          </w:tcPr>
          <w:p w14:paraId="678ED22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2.09*</w:t>
            </w:r>
          </w:p>
        </w:tc>
        <w:tc>
          <w:tcPr>
            <w:tcW w:w="732" w:type="pct"/>
            <w:shd w:val="clear" w:color="auto" w:fill="auto"/>
            <w:vAlign w:val="bottom"/>
          </w:tcPr>
          <w:p w14:paraId="6D20C35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2.97</w:t>
            </w:r>
          </w:p>
        </w:tc>
        <w:tc>
          <w:tcPr>
            <w:tcW w:w="670" w:type="pct"/>
            <w:shd w:val="clear" w:color="auto" w:fill="auto"/>
            <w:vAlign w:val="bottom"/>
          </w:tcPr>
          <w:p w14:paraId="1CF38C2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4.43*</w:t>
            </w:r>
          </w:p>
        </w:tc>
        <w:tc>
          <w:tcPr>
            <w:tcW w:w="680" w:type="pct"/>
            <w:shd w:val="clear" w:color="auto" w:fill="auto"/>
            <w:vAlign w:val="bottom"/>
          </w:tcPr>
          <w:p w14:paraId="46552F41"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5.73*</w:t>
            </w:r>
          </w:p>
        </w:tc>
      </w:tr>
      <w:tr w:rsidR="001B13AD" w:rsidRPr="00E16006" w14:paraId="169D4A48" w14:textId="77777777" w:rsidTr="0080622F">
        <w:trPr>
          <w:trHeight w:val="264"/>
          <w:jc w:val="center"/>
        </w:trPr>
        <w:tc>
          <w:tcPr>
            <w:tcW w:w="836" w:type="pct"/>
            <w:tcBorders>
              <w:bottom w:val="single" w:sz="4" w:space="0" w:color="auto"/>
            </w:tcBorders>
            <w:shd w:val="clear" w:color="auto" w:fill="auto"/>
            <w:vAlign w:val="center"/>
          </w:tcPr>
          <w:p w14:paraId="42EFD2D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lastRenderedPageBreak/>
              <w:t>T</w:t>
            </w:r>
            <w:r w:rsidRPr="00E16006">
              <w:rPr>
                <w:rFonts w:ascii="Arial" w:eastAsia="Calibri" w:hAnsi="Arial" w:cs="Arial"/>
                <w:b/>
                <w:bCs/>
                <w:kern w:val="2"/>
                <w:vertAlign w:val="subscript"/>
              </w:rPr>
              <w:t>2</w:t>
            </w:r>
          </w:p>
        </w:tc>
        <w:tc>
          <w:tcPr>
            <w:tcW w:w="734" w:type="pct"/>
            <w:shd w:val="clear" w:color="auto" w:fill="auto"/>
            <w:vAlign w:val="bottom"/>
          </w:tcPr>
          <w:p w14:paraId="0578141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6AA7809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1.36</w:t>
            </w:r>
          </w:p>
        </w:tc>
        <w:tc>
          <w:tcPr>
            <w:tcW w:w="678" w:type="pct"/>
            <w:shd w:val="clear" w:color="auto" w:fill="auto"/>
            <w:vAlign w:val="bottom"/>
          </w:tcPr>
          <w:p w14:paraId="36FDBABD"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1.67</w:t>
            </w:r>
          </w:p>
        </w:tc>
        <w:tc>
          <w:tcPr>
            <w:tcW w:w="732" w:type="pct"/>
            <w:shd w:val="clear" w:color="auto" w:fill="auto"/>
            <w:vAlign w:val="bottom"/>
          </w:tcPr>
          <w:p w14:paraId="3EF1A4E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2.45</w:t>
            </w:r>
          </w:p>
        </w:tc>
        <w:tc>
          <w:tcPr>
            <w:tcW w:w="670" w:type="pct"/>
            <w:shd w:val="clear" w:color="auto" w:fill="auto"/>
            <w:vAlign w:val="bottom"/>
          </w:tcPr>
          <w:p w14:paraId="574EF266"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3.82*</w:t>
            </w:r>
          </w:p>
        </w:tc>
        <w:tc>
          <w:tcPr>
            <w:tcW w:w="680" w:type="pct"/>
            <w:shd w:val="clear" w:color="auto" w:fill="auto"/>
            <w:vAlign w:val="bottom"/>
          </w:tcPr>
          <w:p w14:paraId="0AB628C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4.47*</w:t>
            </w:r>
          </w:p>
        </w:tc>
      </w:tr>
      <w:tr w:rsidR="001B13AD" w:rsidRPr="00E16006" w14:paraId="411D70B0" w14:textId="77777777" w:rsidTr="0080622F">
        <w:trPr>
          <w:trHeight w:val="264"/>
          <w:jc w:val="center"/>
        </w:trPr>
        <w:tc>
          <w:tcPr>
            <w:tcW w:w="836" w:type="pct"/>
            <w:shd w:val="clear" w:color="auto" w:fill="auto"/>
            <w:vAlign w:val="center"/>
          </w:tcPr>
          <w:p w14:paraId="2B3773F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3</w:t>
            </w:r>
          </w:p>
        </w:tc>
        <w:tc>
          <w:tcPr>
            <w:tcW w:w="734" w:type="pct"/>
            <w:shd w:val="clear" w:color="auto" w:fill="auto"/>
            <w:vAlign w:val="bottom"/>
          </w:tcPr>
          <w:p w14:paraId="0967987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0.60</w:t>
            </w:r>
          </w:p>
        </w:tc>
        <w:tc>
          <w:tcPr>
            <w:tcW w:w="670" w:type="pct"/>
            <w:shd w:val="clear" w:color="auto" w:fill="auto"/>
            <w:vAlign w:val="bottom"/>
          </w:tcPr>
          <w:p w14:paraId="6651557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1.31</w:t>
            </w:r>
          </w:p>
        </w:tc>
        <w:tc>
          <w:tcPr>
            <w:tcW w:w="678" w:type="pct"/>
            <w:shd w:val="clear" w:color="auto" w:fill="auto"/>
            <w:vAlign w:val="bottom"/>
          </w:tcPr>
          <w:p w14:paraId="594790B6"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1.58</w:t>
            </w:r>
          </w:p>
        </w:tc>
        <w:tc>
          <w:tcPr>
            <w:tcW w:w="732" w:type="pct"/>
            <w:shd w:val="clear" w:color="auto" w:fill="auto"/>
            <w:vAlign w:val="bottom"/>
          </w:tcPr>
          <w:p w14:paraId="29878CF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503749A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3.76*</w:t>
            </w:r>
          </w:p>
        </w:tc>
        <w:tc>
          <w:tcPr>
            <w:tcW w:w="680" w:type="pct"/>
            <w:shd w:val="clear" w:color="auto" w:fill="auto"/>
            <w:vAlign w:val="bottom"/>
          </w:tcPr>
          <w:p w14:paraId="741068E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4.33*</w:t>
            </w:r>
          </w:p>
        </w:tc>
      </w:tr>
      <w:tr w:rsidR="001B13AD" w:rsidRPr="00E16006" w14:paraId="208F2D93" w14:textId="77777777" w:rsidTr="0080622F">
        <w:trPr>
          <w:trHeight w:val="264"/>
          <w:jc w:val="center"/>
        </w:trPr>
        <w:tc>
          <w:tcPr>
            <w:tcW w:w="836" w:type="pct"/>
            <w:shd w:val="clear" w:color="auto" w:fill="auto"/>
            <w:vAlign w:val="center"/>
          </w:tcPr>
          <w:p w14:paraId="2178F46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4</w:t>
            </w:r>
          </w:p>
        </w:tc>
        <w:tc>
          <w:tcPr>
            <w:tcW w:w="734" w:type="pct"/>
            <w:shd w:val="clear" w:color="auto" w:fill="auto"/>
            <w:vAlign w:val="bottom"/>
          </w:tcPr>
          <w:p w14:paraId="3845769A"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5BE3C19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1.37</w:t>
            </w:r>
          </w:p>
        </w:tc>
        <w:tc>
          <w:tcPr>
            <w:tcW w:w="678" w:type="pct"/>
            <w:shd w:val="clear" w:color="auto" w:fill="auto"/>
            <w:vAlign w:val="bottom"/>
          </w:tcPr>
          <w:p w14:paraId="4B86C14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1.88*</w:t>
            </w:r>
          </w:p>
        </w:tc>
        <w:tc>
          <w:tcPr>
            <w:tcW w:w="732" w:type="pct"/>
            <w:shd w:val="clear" w:color="auto" w:fill="auto"/>
            <w:vAlign w:val="bottom"/>
          </w:tcPr>
          <w:p w14:paraId="0BB1B19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2.40</w:t>
            </w:r>
          </w:p>
        </w:tc>
        <w:tc>
          <w:tcPr>
            <w:tcW w:w="670" w:type="pct"/>
            <w:shd w:val="clear" w:color="auto" w:fill="auto"/>
            <w:vAlign w:val="bottom"/>
          </w:tcPr>
          <w:p w14:paraId="3AF5A2F3"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3.78*</w:t>
            </w:r>
          </w:p>
        </w:tc>
        <w:tc>
          <w:tcPr>
            <w:tcW w:w="680" w:type="pct"/>
            <w:shd w:val="clear" w:color="auto" w:fill="auto"/>
            <w:vAlign w:val="bottom"/>
          </w:tcPr>
          <w:p w14:paraId="7C79229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4.37*</w:t>
            </w:r>
          </w:p>
        </w:tc>
      </w:tr>
      <w:tr w:rsidR="001B13AD" w:rsidRPr="00E16006" w14:paraId="6A501C72" w14:textId="77777777" w:rsidTr="0080622F">
        <w:trPr>
          <w:trHeight w:val="264"/>
          <w:jc w:val="center"/>
        </w:trPr>
        <w:tc>
          <w:tcPr>
            <w:tcW w:w="836" w:type="pct"/>
            <w:shd w:val="clear" w:color="auto" w:fill="auto"/>
            <w:vAlign w:val="center"/>
          </w:tcPr>
          <w:p w14:paraId="2FD4112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5</w:t>
            </w:r>
          </w:p>
        </w:tc>
        <w:tc>
          <w:tcPr>
            <w:tcW w:w="734" w:type="pct"/>
            <w:shd w:val="clear" w:color="auto" w:fill="auto"/>
            <w:vAlign w:val="bottom"/>
          </w:tcPr>
          <w:p w14:paraId="75A3F51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0.60</w:t>
            </w:r>
          </w:p>
        </w:tc>
        <w:tc>
          <w:tcPr>
            <w:tcW w:w="670" w:type="pct"/>
            <w:shd w:val="clear" w:color="auto" w:fill="auto"/>
            <w:vAlign w:val="bottom"/>
          </w:tcPr>
          <w:p w14:paraId="2DFD6179"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1.41</w:t>
            </w:r>
          </w:p>
        </w:tc>
        <w:tc>
          <w:tcPr>
            <w:tcW w:w="678" w:type="pct"/>
            <w:shd w:val="clear" w:color="auto" w:fill="auto"/>
            <w:vAlign w:val="bottom"/>
          </w:tcPr>
          <w:p w14:paraId="6C911FC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1.89*</w:t>
            </w:r>
          </w:p>
        </w:tc>
        <w:tc>
          <w:tcPr>
            <w:tcW w:w="732" w:type="pct"/>
            <w:shd w:val="clear" w:color="auto" w:fill="auto"/>
            <w:vAlign w:val="bottom"/>
          </w:tcPr>
          <w:p w14:paraId="167CA6FB"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2.33</w:t>
            </w:r>
          </w:p>
        </w:tc>
        <w:tc>
          <w:tcPr>
            <w:tcW w:w="670" w:type="pct"/>
            <w:shd w:val="clear" w:color="auto" w:fill="auto"/>
            <w:vAlign w:val="bottom"/>
          </w:tcPr>
          <w:p w14:paraId="471E9990"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3.88*</w:t>
            </w:r>
          </w:p>
        </w:tc>
        <w:tc>
          <w:tcPr>
            <w:tcW w:w="680" w:type="pct"/>
            <w:shd w:val="clear" w:color="auto" w:fill="auto"/>
            <w:vAlign w:val="bottom"/>
          </w:tcPr>
          <w:p w14:paraId="7BF613DB"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4.57*</w:t>
            </w:r>
          </w:p>
        </w:tc>
      </w:tr>
      <w:tr w:rsidR="001B13AD" w:rsidRPr="00E16006" w14:paraId="666CCDD4" w14:textId="77777777" w:rsidTr="0080622F">
        <w:trPr>
          <w:trHeight w:val="264"/>
          <w:jc w:val="center"/>
        </w:trPr>
        <w:tc>
          <w:tcPr>
            <w:tcW w:w="836" w:type="pct"/>
            <w:shd w:val="clear" w:color="auto" w:fill="auto"/>
            <w:vAlign w:val="center"/>
          </w:tcPr>
          <w:p w14:paraId="1E6040D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6</w:t>
            </w:r>
          </w:p>
        </w:tc>
        <w:tc>
          <w:tcPr>
            <w:tcW w:w="734" w:type="pct"/>
            <w:shd w:val="clear" w:color="auto" w:fill="auto"/>
            <w:vAlign w:val="bottom"/>
          </w:tcPr>
          <w:p w14:paraId="6DA55D5C"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0.59</w:t>
            </w:r>
          </w:p>
        </w:tc>
        <w:tc>
          <w:tcPr>
            <w:tcW w:w="670" w:type="pct"/>
            <w:shd w:val="clear" w:color="auto" w:fill="auto"/>
            <w:vAlign w:val="bottom"/>
          </w:tcPr>
          <w:p w14:paraId="7BFB9505"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1.55*</w:t>
            </w:r>
          </w:p>
        </w:tc>
        <w:tc>
          <w:tcPr>
            <w:tcW w:w="678" w:type="pct"/>
            <w:shd w:val="clear" w:color="auto" w:fill="auto"/>
            <w:vAlign w:val="bottom"/>
          </w:tcPr>
          <w:p w14:paraId="7D90D1B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1.93*</w:t>
            </w:r>
          </w:p>
        </w:tc>
        <w:tc>
          <w:tcPr>
            <w:tcW w:w="732" w:type="pct"/>
            <w:shd w:val="clear" w:color="auto" w:fill="auto"/>
            <w:vAlign w:val="bottom"/>
          </w:tcPr>
          <w:p w14:paraId="37CAE8F2"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7E57690C"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4.00*</w:t>
            </w:r>
          </w:p>
        </w:tc>
        <w:tc>
          <w:tcPr>
            <w:tcW w:w="680" w:type="pct"/>
            <w:shd w:val="clear" w:color="auto" w:fill="auto"/>
            <w:vAlign w:val="bottom"/>
          </w:tcPr>
          <w:p w14:paraId="7A65E917"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4.77*</w:t>
            </w:r>
          </w:p>
        </w:tc>
      </w:tr>
      <w:tr w:rsidR="001B13AD" w:rsidRPr="00E16006" w14:paraId="06602B12" w14:textId="77777777" w:rsidTr="0080622F">
        <w:trPr>
          <w:trHeight w:val="264"/>
          <w:jc w:val="center"/>
        </w:trPr>
        <w:tc>
          <w:tcPr>
            <w:tcW w:w="836" w:type="pct"/>
            <w:shd w:val="clear" w:color="auto" w:fill="auto"/>
            <w:vAlign w:val="center"/>
          </w:tcPr>
          <w:p w14:paraId="77212B09"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T</w:t>
            </w:r>
            <w:r w:rsidRPr="00E16006">
              <w:rPr>
                <w:rFonts w:ascii="Arial" w:eastAsia="Calibri" w:hAnsi="Arial" w:cs="Arial"/>
                <w:b/>
                <w:bCs/>
                <w:kern w:val="2"/>
                <w:vertAlign w:val="subscript"/>
              </w:rPr>
              <w:t>7</w:t>
            </w:r>
          </w:p>
        </w:tc>
        <w:tc>
          <w:tcPr>
            <w:tcW w:w="734" w:type="pct"/>
            <w:shd w:val="clear" w:color="auto" w:fill="auto"/>
            <w:vAlign w:val="bottom"/>
          </w:tcPr>
          <w:p w14:paraId="4E7CDD1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273BDAFC"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1.62*</w:t>
            </w:r>
          </w:p>
        </w:tc>
        <w:tc>
          <w:tcPr>
            <w:tcW w:w="678" w:type="pct"/>
            <w:shd w:val="clear" w:color="auto" w:fill="auto"/>
            <w:vAlign w:val="bottom"/>
          </w:tcPr>
          <w:p w14:paraId="3E4CBE8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1.95*</w:t>
            </w:r>
          </w:p>
        </w:tc>
        <w:tc>
          <w:tcPr>
            <w:tcW w:w="732" w:type="pct"/>
            <w:shd w:val="clear" w:color="auto" w:fill="auto"/>
            <w:vAlign w:val="bottom"/>
          </w:tcPr>
          <w:p w14:paraId="213617BD"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2.37</w:t>
            </w:r>
          </w:p>
        </w:tc>
        <w:tc>
          <w:tcPr>
            <w:tcW w:w="670" w:type="pct"/>
            <w:shd w:val="clear" w:color="auto" w:fill="auto"/>
            <w:vAlign w:val="bottom"/>
          </w:tcPr>
          <w:p w14:paraId="3339673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4.17*</w:t>
            </w:r>
          </w:p>
        </w:tc>
        <w:tc>
          <w:tcPr>
            <w:tcW w:w="680" w:type="pct"/>
            <w:shd w:val="clear" w:color="auto" w:fill="auto"/>
            <w:vAlign w:val="bottom"/>
          </w:tcPr>
          <w:p w14:paraId="3C3922E9"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4.83*</w:t>
            </w:r>
          </w:p>
        </w:tc>
      </w:tr>
      <w:tr w:rsidR="001B13AD" w:rsidRPr="00E16006" w14:paraId="0B757A1F" w14:textId="77777777" w:rsidTr="0080622F">
        <w:trPr>
          <w:trHeight w:val="264"/>
          <w:jc w:val="center"/>
        </w:trPr>
        <w:tc>
          <w:tcPr>
            <w:tcW w:w="836" w:type="pct"/>
            <w:shd w:val="clear" w:color="auto" w:fill="auto"/>
            <w:vAlign w:val="center"/>
          </w:tcPr>
          <w:p w14:paraId="3260F94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8</w:t>
            </w:r>
          </w:p>
        </w:tc>
        <w:tc>
          <w:tcPr>
            <w:tcW w:w="734" w:type="pct"/>
            <w:shd w:val="clear" w:color="auto" w:fill="auto"/>
            <w:vAlign w:val="bottom"/>
          </w:tcPr>
          <w:p w14:paraId="4D46F06E"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0.61</w:t>
            </w:r>
          </w:p>
        </w:tc>
        <w:tc>
          <w:tcPr>
            <w:tcW w:w="670" w:type="pct"/>
            <w:shd w:val="clear" w:color="auto" w:fill="auto"/>
            <w:vAlign w:val="bottom"/>
          </w:tcPr>
          <w:p w14:paraId="3582802E"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1.20</w:t>
            </w:r>
          </w:p>
        </w:tc>
        <w:tc>
          <w:tcPr>
            <w:tcW w:w="678" w:type="pct"/>
            <w:shd w:val="clear" w:color="auto" w:fill="auto"/>
            <w:vAlign w:val="bottom"/>
          </w:tcPr>
          <w:p w14:paraId="6A7C44D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1.41</w:t>
            </w:r>
          </w:p>
        </w:tc>
        <w:tc>
          <w:tcPr>
            <w:tcW w:w="732" w:type="pct"/>
            <w:shd w:val="clear" w:color="auto" w:fill="auto"/>
            <w:vAlign w:val="bottom"/>
          </w:tcPr>
          <w:p w14:paraId="3C69EE08"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670" w:type="pct"/>
            <w:shd w:val="clear" w:color="auto" w:fill="auto"/>
            <w:vAlign w:val="bottom"/>
          </w:tcPr>
          <w:p w14:paraId="46DD8165"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2.90</w:t>
            </w:r>
          </w:p>
        </w:tc>
        <w:tc>
          <w:tcPr>
            <w:tcW w:w="680" w:type="pct"/>
            <w:shd w:val="clear" w:color="auto" w:fill="auto"/>
            <w:vAlign w:val="bottom"/>
          </w:tcPr>
          <w:p w14:paraId="3AB9ED63" w14:textId="77777777" w:rsidR="001B13AD" w:rsidRPr="00E16006" w:rsidRDefault="001B13AD"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3.60</w:t>
            </w:r>
          </w:p>
        </w:tc>
      </w:tr>
      <w:tr w:rsidR="001B13AD" w:rsidRPr="00E16006" w14:paraId="5E1BE751" w14:textId="77777777" w:rsidTr="0080622F">
        <w:trPr>
          <w:trHeight w:val="264"/>
          <w:jc w:val="center"/>
        </w:trPr>
        <w:tc>
          <w:tcPr>
            <w:tcW w:w="836" w:type="pct"/>
            <w:shd w:val="clear" w:color="auto" w:fill="auto"/>
            <w:vAlign w:val="center"/>
          </w:tcPr>
          <w:p w14:paraId="34DAAF75" w14:textId="77777777" w:rsidR="001B13AD" w:rsidRPr="00E16006" w:rsidRDefault="001B13AD" w:rsidP="00E16006">
            <w:pPr>
              <w:widowControl w:val="0"/>
              <w:jc w:val="center"/>
              <w:rPr>
                <w:rFonts w:ascii="Arial" w:eastAsia="Calibri" w:hAnsi="Arial" w:cs="Arial"/>
                <w:b/>
                <w:bCs/>
                <w:kern w:val="2"/>
              </w:rPr>
            </w:pPr>
            <w:proofErr w:type="spellStart"/>
            <w:r w:rsidRPr="00E16006">
              <w:rPr>
                <w:rFonts w:ascii="Arial" w:hAnsi="Arial" w:cs="Arial"/>
                <w:b/>
                <w:bCs/>
                <w:color w:val="000000"/>
                <w:lang w:eastAsia="en-IN"/>
              </w:rPr>
              <w:t>SE.m</w:t>
            </w:r>
            <w:proofErr w:type="spellEnd"/>
            <w:r w:rsidRPr="00E16006">
              <w:rPr>
                <w:rFonts w:ascii="Arial" w:hAnsi="Arial" w:cs="Arial"/>
                <w:b/>
                <w:bCs/>
                <w:color w:val="000000"/>
                <w:lang w:eastAsia="en-IN"/>
              </w:rPr>
              <w:t>±</w:t>
            </w:r>
          </w:p>
        </w:tc>
        <w:tc>
          <w:tcPr>
            <w:tcW w:w="734" w:type="pct"/>
            <w:shd w:val="clear" w:color="auto" w:fill="auto"/>
            <w:vAlign w:val="bottom"/>
          </w:tcPr>
          <w:p w14:paraId="4489FE2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0.05</w:t>
            </w:r>
          </w:p>
        </w:tc>
        <w:tc>
          <w:tcPr>
            <w:tcW w:w="670" w:type="pct"/>
            <w:shd w:val="clear" w:color="auto" w:fill="auto"/>
            <w:vAlign w:val="bottom"/>
          </w:tcPr>
          <w:p w14:paraId="7CE93360"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0.10</w:t>
            </w:r>
          </w:p>
        </w:tc>
        <w:tc>
          <w:tcPr>
            <w:tcW w:w="678" w:type="pct"/>
            <w:shd w:val="clear" w:color="auto" w:fill="auto"/>
            <w:vAlign w:val="bottom"/>
          </w:tcPr>
          <w:p w14:paraId="1964F612"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0.15</w:t>
            </w:r>
          </w:p>
        </w:tc>
        <w:tc>
          <w:tcPr>
            <w:tcW w:w="732" w:type="pct"/>
            <w:shd w:val="clear" w:color="auto" w:fill="auto"/>
            <w:vAlign w:val="bottom"/>
          </w:tcPr>
          <w:p w14:paraId="5140BE52"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0.08</w:t>
            </w:r>
          </w:p>
        </w:tc>
        <w:tc>
          <w:tcPr>
            <w:tcW w:w="670" w:type="pct"/>
            <w:shd w:val="clear" w:color="auto" w:fill="auto"/>
            <w:vAlign w:val="bottom"/>
          </w:tcPr>
          <w:p w14:paraId="3BD228F4"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0.10</w:t>
            </w:r>
          </w:p>
        </w:tc>
        <w:tc>
          <w:tcPr>
            <w:tcW w:w="680" w:type="pct"/>
            <w:shd w:val="clear" w:color="auto" w:fill="auto"/>
            <w:vAlign w:val="bottom"/>
          </w:tcPr>
          <w:p w14:paraId="0879F854"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0.22</w:t>
            </w:r>
          </w:p>
        </w:tc>
      </w:tr>
      <w:tr w:rsidR="001B13AD" w:rsidRPr="00E16006" w14:paraId="274E1D74" w14:textId="77777777" w:rsidTr="0080622F">
        <w:trPr>
          <w:trHeight w:val="264"/>
          <w:jc w:val="center"/>
        </w:trPr>
        <w:tc>
          <w:tcPr>
            <w:tcW w:w="836" w:type="pct"/>
            <w:shd w:val="clear" w:color="auto" w:fill="auto"/>
            <w:vAlign w:val="center"/>
          </w:tcPr>
          <w:p w14:paraId="6F860615" w14:textId="77777777" w:rsidR="001B13AD" w:rsidRPr="00E16006" w:rsidRDefault="001B13AD" w:rsidP="00E16006">
            <w:pPr>
              <w:widowControl w:val="0"/>
              <w:jc w:val="center"/>
              <w:rPr>
                <w:rFonts w:ascii="Arial" w:eastAsia="Calibri" w:hAnsi="Arial" w:cs="Arial"/>
                <w:b/>
                <w:bCs/>
                <w:kern w:val="2"/>
              </w:rPr>
            </w:pPr>
            <w:r w:rsidRPr="00E16006">
              <w:rPr>
                <w:rFonts w:ascii="Arial" w:hAnsi="Arial" w:cs="Arial"/>
                <w:b/>
                <w:bCs/>
                <w:color w:val="000000"/>
                <w:lang w:eastAsia="en-IN"/>
              </w:rPr>
              <w:t>CD(p=0.05)</w:t>
            </w:r>
          </w:p>
        </w:tc>
        <w:tc>
          <w:tcPr>
            <w:tcW w:w="734" w:type="pct"/>
            <w:shd w:val="clear" w:color="auto" w:fill="auto"/>
            <w:vAlign w:val="bottom"/>
          </w:tcPr>
          <w:p w14:paraId="03A456E8"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0.17</w:t>
            </w:r>
          </w:p>
        </w:tc>
        <w:tc>
          <w:tcPr>
            <w:tcW w:w="670" w:type="pct"/>
            <w:shd w:val="clear" w:color="auto" w:fill="auto"/>
            <w:vAlign w:val="bottom"/>
          </w:tcPr>
          <w:p w14:paraId="52A6BEBF"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0.30</w:t>
            </w:r>
          </w:p>
        </w:tc>
        <w:tc>
          <w:tcPr>
            <w:tcW w:w="678" w:type="pct"/>
            <w:shd w:val="clear" w:color="auto" w:fill="auto"/>
            <w:vAlign w:val="bottom"/>
          </w:tcPr>
          <w:p w14:paraId="61F095A1"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0.44</w:t>
            </w:r>
          </w:p>
        </w:tc>
        <w:tc>
          <w:tcPr>
            <w:tcW w:w="732" w:type="pct"/>
            <w:shd w:val="clear" w:color="auto" w:fill="auto"/>
            <w:vAlign w:val="bottom"/>
          </w:tcPr>
          <w:p w14:paraId="65A91F12"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0.24</w:t>
            </w:r>
          </w:p>
        </w:tc>
        <w:tc>
          <w:tcPr>
            <w:tcW w:w="670" w:type="pct"/>
            <w:shd w:val="clear" w:color="auto" w:fill="auto"/>
            <w:vAlign w:val="bottom"/>
          </w:tcPr>
          <w:p w14:paraId="2419F0B9"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0.29</w:t>
            </w:r>
          </w:p>
        </w:tc>
        <w:tc>
          <w:tcPr>
            <w:tcW w:w="680" w:type="pct"/>
            <w:shd w:val="clear" w:color="auto" w:fill="auto"/>
            <w:vAlign w:val="bottom"/>
          </w:tcPr>
          <w:p w14:paraId="1234B45D" w14:textId="77777777" w:rsidR="001B13AD" w:rsidRPr="00E16006" w:rsidRDefault="001B13AD" w:rsidP="00E16006">
            <w:pPr>
              <w:widowControl w:val="0"/>
              <w:jc w:val="center"/>
              <w:rPr>
                <w:rFonts w:ascii="Arial" w:eastAsia="Calibri" w:hAnsi="Arial" w:cs="Arial"/>
                <w:b/>
                <w:bCs/>
                <w:kern w:val="2"/>
              </w:rPr>
            </w:pPr>
            <w:r w:rsidRPr="00E16006">
              <w:rPr>
                <w:rFonts w:ascii="Arial" w:eastAsia="Calibri" w:hAnsi="Arial" w:cs="Arial"/>
                <w:b/>
                <w:bCs/>
                <w:kern w:val="2"/>
              </w:rPr>
              <w:t>0.67</w:t>
            </w:r>
          </w:p>
        </w:tc>
      </w:tr>
      <w:tr w:rsidR="001B13AD" w:rsidRPr="00E16006" w14:paraId="646F2719" w14:textId="77777777" w:rsidTr="0080622F">
        <w:trPr>
          <w:trHeight w:val="264"/>
          <w:jc w:val="center"/>
        </w:trPr>
        <w:tc>
          <w:tcPr>
            <w:tcW w:w="836" w:type="pct"/>
            <w:shd w:val="clear" w:color="auto" w:fill="auto"/>
            <w:vAlign w:val="center"/>
          </w:tcPr>
          <w:p w14:paraId="7ACCB624" w14:textId="77777777" w:rsidR="001B13AD" w:rsidRPr="00E16006" w:rsidRDefault="001B13AD" w:rsidP="00E16006">
            <w:pPr>
              <w:widowControl w:val="0"/>
              <w:jc w:val="center"/>
              <w:rPr>
                <w:rFonts w:ascii="Arial" w:eastAsia="Calibri" w:hAnsi="Arial" w:cs="Arial"/>
                <w:b/>
                <w:bCs/>
                <w:kern w:val="2"/>
              </w:rPr>
            </w:pPr>
            <w:r w:rsidRPr="00E16006">
              <w:rPr>
                <w:rFonts w:ascii="Arial" w:hAnsi="Arial" w:cs="Arial"/>
                <w:b/>
                <w:bCs/>
                <w:color w:val="000000"/>
                <w:lang w:eastAsia="en-IN"/>
              </w:rPr>
              <w:t>CV (%)</w:t>
            </w:r>
          </w:p>
        </w:tc>
        <w:tc>
          <w:tcPr>
            <w:tcW w:w="734" w:type="pct"/>
            <w:shd w:val="clear" w:color="auto" w:fill="auto"/>
            <w:vAlign w:val="bottom"/>
          </w:tcPr>
          <w:p w14:paraId="1A747C77"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14.43</w:t>
            </w:r>
          </w:p>
        </w:tc>
        <w:tc>
          <w:tcPr>
            <w:tcW w:w="670" w:type="pct"/>
            <w:shd w:val="clear" w:color="auto" w:fill="auto"/>
            <w:vAlign w:val="bottom"/>
          </w:tcPr>
          <w:p w14:paraId="01D79E9A"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11.77</w:t>
            </w:r>
          </w:p>
        </w:tc>
        <w:tc>
          <w:tcPr>
            <w:tcW w:w="678" w:type="pct"/>
            <w:shd w:val="clear" w:color="auto" w:fill="auto"/>
            <w:vAlign w:val="bottom"/>
          </w:tcPr>
          <w:p w14:paraId="47EC245B" w14:textId="77777777" w:rsidR="001B13AD" w:rsidRPr="00E16006" w:rsidRDefault="001B13AD"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13.01</w:t>
            </w:r>
          </w:p>
        </w:tc>
        <w:tc>
          <w:tcPr>
            <w:tcW w:w="732" w:type="pct"/>
            <w:shd w:val="clear" w:color="auto" w:fill="auto"/>
            <w:vAlign w:val="bottom"/>
          </w:tcPr>
          <w:p w14:paraId="493B898F"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5.55</w:t>
            </w:r>
          </w:p>
        </w:tc>
        <w:tc>
          <w:tcPr>
            <w:tcW w:w="670" w:type="pct"/>
            <w:shd w:val="clear" w:color="auto" w:fill="auto"/>
            <w:vAlign w:val="bottom"/>
          </w:tcPr>
          <w:p w14:paraId="0C18FCE8"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4.32</w:t>
            </w:r>
          </w:p>
        </w:tc>
        <w:tc>
          <w:tcPr>
            <w:tcW w:w="680" w:type="pct"/>
            <w:shd w:val="clear" w:color="auto" w:fill="auto"/>
            <w:vAlign w:val="bottom"/>
          </w:tcPr>
          <w:p w14:paraId="35AB0E79" w14:textId="77777777" w:rsidR="001B13AD" w:rsidRPr="00E16006" w:rsidRDefault="001B13AD" w:rsidP="00E16006">
            <w:pPr>
              <w:widowControl w:val="0"/>
              <w:jc w:val="center"/>
              <w:rPr>
                <w:rFonts w:ascii="Arial" w:hAnsi="Arial" w:cs="Arial"/>
                <w:b/>
                <w:bCs/>
                <w:lang w:eastAsia="en-IN"/>
              </w:rPr>
            </w:pPr>
            <w:r w:rsidRPr="00E16006">
              <w:rPr>
                <w:rFonts w:ascii="Arial" w:eastAsia="Calibri" w:hAnsi="Arial" w:cs="Arial"/>
                <w:b/>
                <w:bCs/>
                <w:kern w:val="2"/>
              </w:rPr>
              <w:t>8.33</w:t>
            </w:r>
          </w:p>
        </w:tc>
      </w:tr>
    </w:tbl>
    <w:p w14:paraId="23C9E10A" w14:textId="77777777" w:rsidR="00301EFF" w:rsidRPr="003366D3" w:rsidRDefault="00301EFF" w:rsidP="00E16006">
      <w:pPr>
        <w:pStyle w:val="NormalWeb"/>
        <w:spacing w:before="0" w:beforeAutospacing="0" w:after="0" w:afterAutospacing="0"/>
        <w:jc w:val="both"/>
        <w:rPr>
          <w:rFonts w:ascii="Arial" w:hAnsi="Arial" w:cs="Arial"/>
          <w:sz w:val="20"/>
          <w:szCs w:val="20"/>
        </w:rPr>
      </w:pPr>
    </w:p>
    <w:p w14:paraId="26B068EC" w14:textId="5805C02A" w:rsidR="009957FF" w:rsidRPr="003366D3" w:rsidRDefault="009957FF" w:rsidP="00E16006">
      <w:pPr>
        <w:pStyle w:val="NormalWeb"/>
        <w:spacing w:before="0" w:beforeAutospacing="0" w:after="0" w:afterAutospacing="0"/>
        <w:jc w:val="both"/>
        <w:rPr>
          <w:rFonts w:ascii="Arial" w:hAnsi="Arial" w:cs="Arial"/>
          <w:sz w:val="20"/>
          <w:szCs w:val="20"/>
        </w:rPr>
      </w:pPr>
      <w:r w:rsidRPr="003366D3">
        <w:rPr>
          <w:rFonts w:ascii="Arial" w:hAnsi="Arial" w:cs="Arial"/>
          <w:sz w:val="20"/>
          <w:szCs w:val="20"/>
        </w:rPr>
        <w:t>The results align with those of (</w:t>
      </w:r>
      <w:r w:rsidR="00C54F2E" w:rsidRPr="003366D3">
        <w:rPr>
          <w:rFonts w:ascii="Arial" w:hAnsi="Arial" w:cs="Arial"/>
          <w:sz w:val="20"/>
          <w:szCs w:val="20"/>
        </w:rPr>
        <w:t xml:space="preserve">Chen </w:t>
      </w:r>
      <w:r w:rsidR="00C54F2E" w:rsidRPr="003366D3">
        <w:rPr>
          <w:rFonts w:ascii="Arial" w:hAnsi="Arial" w:cs="Arial"/>
          <w:i/>
          <w:iCs/>
          <w:sz w:val="20"/>
          <w:szCs w:val="20"/>
        </w:rPr>
        <w:t>et al.</w:t>
      </w:r>
      <w:r w:rsidR="00C54F2E" w:rsidRPr="003366D3">
        <w:rPr>
          <w:rFonts w:ascii="Arial" w:hAnsi="Arial" w:cs="Arial"/>
          <w:sz w:val="20"/>
          <w:szCs w:val="20"/>
        </w:rPr>
        <w:t xml:space="preserve"> 2022</w:t>
      </w:r>
      <w:r w:rsidRPr="003366D3">
        <w:rPr>
          <w:rFonts w:ascii="Arial" w:hAnsi="Arial" w:cs="Arial"/>
          <w:sz w:val="20"/>
          <w:szCs w:val="20"/>
        </w:rPr>
        <w:t>), who found that salt-tolerant rice cultivars had higher root dry weights under salinity stress. BR treatment has also been shown to increase RDW in rice (</w:t>
      </w:r>
      <w:r w:rsidR="00C54F2E" w:rsidRPr="003366D3">
        <w:rPr>
          <w:rFonts w:ascii="Arial" w:hAnsi="Arial" w:cs="Arial"/>
          <w:sz w:val="20"/>
          <w:szCs w:val="20"/>
        </w:rPr>
        <w:t xml:space="preserve">Mu </w:t>
      </w:r>
      <w:r w:rsidR="00C54F2E" w:rsidRPr="003366D3">
        <w:rPr>
          <w:rFonts w:ascii="Arial" w:hAnsi="Arial" w:cs="Arial"/>
          <w:i/>
          <w:iCs/>
          <w:sz w:val="20"/>
          <w:szCs w:val="20"/>
        </w:rPr>
        <w:t>et al.</w:t>
      </w:r>
      <w:r w:rsidR="00C54F2E" w:rsidRPr="003366D3">
        <w:rPr>
          <w:rFonts w:ascii="Arial" w:hAnsi="Arial" w:cs="Arial"/>
          <w:sz w:val="20"/>
          <w:szCs w:val="20"/>
        </w:rPr>
        <w:t xml:space="preserve"> 2022</w:t>
      </w:r>
      <w:r w:rsidRPr="003366D3">
        <w:rPr>
          <w:rFonts w:ascii="Arial" w:hAnsi="Arial" w:cs="Arial"/>
          <w:sz w:val="20"/>
          <w:szCs w:val="20"/>
        </w:rPr>
        <w:t>). Salinity stress decreases root dry weight due to ionic toxicity from Na</w:t>
      </w:r>
      <w:r w:rsidRPr="003366D3">
        <w:rPr>
          <w:rFonts w:ascii="Arial" w:hAnsi="Arial" w:cs="Arial"/>
          <w:sz w:val="20"/>
          <w:szCs w:val="20"/>
          <w:vertAlign w:val="superscript"/>
        </w:rPr>
        <w:t>+</w:t>
      </w:r>
      <w:r w:rsidRPr="003366D3">
        <w:rPr>
          <w:rFonts w:ascii="Arial" w:hAnsi="Arial" w:cs="Arial"/>
          <w:sz w:val="20"/>
          <w:szCs w:val="20"/>
        </w:rPr>
        <w:t xml:space="preserve"> and Cl</w:t>
      </w:r>
      <w:r w:rsidRPr="003366D3">
        <w:rPr>
          <w:rFonts w:ascii="Arial" w:hAnsi="Arial" w:cs="Arial"/>
          <w:sz w:val="20"/>
          <w:szCs w:val="20"/>
          <w:vertAlign w:val="superscript"/>
        </w:rPr>
        <w:t>-</w:t>
      </w:r>
      <w:r w:rsidRPr="003366D3">
        <w:rPr>
          <w:rFonts w:ascii="Arial" w:hAnsi="Arial" w:cs="Arial"/>
          <w:sz w:val="20"/>
          <w:szCs w:val="20"/>
        </w:rPr>
        <w:t>, leading to reduced root function (</w:t>
      </w:r>
      <w:proofErr w:type="spellStart"/>
      <w:r w:rsidR="00C54F2E" w:rsidRPr="003366D3">
        <w:rPr>
          <w:rFonts w:ascii="Arial" w:hAnsi="Arial" w:cs="Arial"/>
          <w:sz w:val="20"/>
          <w:szCs w:val="20"/>
        </w:rPr>
        <w:t>Taffouo</w:t>
      </w:r>
      <w:proofErr w:type="spellEnd"/>
      <w:r w:rsidR="00C54F2E" w:rsidRPr="003366D3">
        <w:rPr>
          <w:rFonts w:ascii="Arial" w:hAnsi="Arial" w:cs="Arial"/>
          <w:sz w:val="20"/>
          <w:szCs w:val="20"/>
        </w:rPr>
        <w:t xml:space="preserve"> </w:t>
      </w:r>
      <w:r w:rsidR="00C54F2E" w:rsidRPr="003366D3">
        <w:rPr>
          <w:rFonts w:ascii="Arial" w:hAnsi="Arial" w:cs="Arial"/>
          <w:i/>
          <w:iCs/>
          <w:sz w:val="20"/>
          <w:szCs w:val="20"/>
        </w:rPr>
        <w:t>et al.</w:t>
      </w:r>
      <w:r w:rsidR="00C54F2E" w:rsidRPr="003366D3">
        <w:rPr>
          <w:rFonts w:ascii="Arial" w:hAnsi="Arial" w:cs="Arial"/>
          <w:sz w:val="20"/>
          <w:szCs w:val="20"/>
        </w:rPr>
        <w:t xml:space="preserve"> 2010</w:t>
      </w:r>
      <w:r w:rsidRPr="003366D3">
        <w:rPr>
          <w:rFonts w:ascii="Arial" w:hAnsi="Arial" w:cs="Arial"/>
          <w:sz w:val="20"/>
          <w:szCs w:val="20"/>
        </w:rPr>
        <w:t>). These results are consistent with the findings of (</w:t>
      </w:r>
      <w:proofErr w:type="spellStart"/>
      <w:r w:rsidR="000C7234">
        <w:rPr>
          <w:rFonts w:ascii="Arial" w:hAnsi="Arial" w:cs="Arial"/>
          <w:sz w:val="20"/>
          <w:szCs w:val="20"/>
        </w:rPr>
        <w:t>Netondo</w:t>
      </w:r>
      <w:proofErr w:type="spellEnd"/>
      <w:r w:rsidR="000C7234">
        <w:rPr>
          <w:rFonts w:ascii="Arial" w:hAnsi="Arial" w:cs="Arial"/>
          <w:sz w:val="20"/>
          <w:szCs w:val="20"/>
        </w:rPr>
        <w:t xml:space="preserve"> </w:t>
      </w:r>
      <w:r w:rsidR="000C7234" w:rsidRPr="000C7234">
        <w:rPr>
          <w:rFonts w:ascii="Arial" w:hAnsi="Arial" w:cs="Arial"/>
          <w:i/>
          <w:iCs/>
          <w:sz w:val="20"/>
          <w:szCs w:val="20"/>
        </w:rPr>
        <w:t>et al.</w:t>
      </w:r>
      <w:r w:rsidR="000C7234">
        <w:rPr>
          <w:rFonts w:ascii="Arial" w:hAnsi="Arial" w:cs="Arial"/>
          <w:sz w:val="20"/>
          <w:szCs w:val="20"/>
        </w:rPr>
        <w:t xml:space="preserve"> 2004</w:t>
      </w:r>
      <w:r w:rsidRPr="003366D3">
        <w:rPr>
          <w:rFonts w:ascii="Arial" w:hAnsi="Arial" w:cs="Arial"/>
          <w:sz w:val="20"/>
          <w:szCs w:val="20"/>
        </w:rPr>
        <w:t>), who reported that decreased root dry weight reflects the energy costs associated with salt adaptation.</w:t>
      </w:r>
      <w:r w:rsidR="003366D3" w:rsidRPr="003366D3">
        <w:rPr>
          <w:rFonts w:ascii="Arial" w:hAnsi="Arial" w:cs="Arial"/>
          <w:sz w:val="20"/>
          <w:szCs w:val="20"/>
          <w:lang w:val="en-US" w:eastAsia="en-US"/>
        </w:rPr>
        <w:t xml:space="preserve"> </w:t>
      </w:r>
      <w:r w:rsidR="003366D3" w:rsidRPr="003366D3">
        <w:rPr>
          <w:rFonts w:ascii="Arial" w:hAnsi="Arial" w:cs="Arial"/>
          <w:sz w:val="20"/>
          <w:szCs w:val="20"/>
          <w:lang w:val="en-US"/>
        </w:rPr>
        <w:t>Salt stress reduces root growth more than shoots, lowering root-to-shoot ratio and root system development (</w:t>
      </w:r>
      <w:proofErr w:type="spellStart"/>
      <w:r w:rsidR="003366D3" w:rsidRPr="003366D3">
        <w:rPr>
          <w:rFonts w:ascii="Arial" w:hAnsi="Arial" w:cs="Arial"/>
          <w:sz w:val="20"/>
          <w:szCs w:val="20"/>
        </w:rPr>
        <w:t>Ologundudu</w:t>
      </w:r>
      <w:proofErr w:type="spellEnd"/>
      <w:r w:rsidR="003366D3" w:rsidRPr="003366D3">
        <w:rPr>
          <w:rFonts w:ascii="Arial" w:hAnsi="Arial" w:cs="Arial"/>
          <w:sz w:val="20"/>
          <w:szCs w:val="20"/>
        </w:rPr>
        <w:t xml:space="preserve"> </w:t>
      </w:r>
      <w:r w:rsidR="003366D3" w:rsidRPr="003366D3">
        <w:rPr>
          <w:rFonts w:ascii="Arial" w:hAnsi="Arial" w:cs="Arial"/>
          <w:i/>
          <w:iCs/>
          <w:sz w:val="20"/>
          <w:szCs w:val="20"/>
        </w:rPr>
        <w:t xml:space="preserve">et al. </w:t>
      </w:r>
      <w:r w:rsidR="003366D3" w:rsidRPr="003366D3">
        <w:rPr>
          <w:rFonts w:ascii="Arial" w:hAnsi="Arial" w:cs="Arial"/>
          <w:sz w:val="20"/>
          <w:szCs w:val="20"/>
        </w:rPr>
        <w:t>2014</w:t>
      </w:r>
      <w:r w:rsidR="003366D3" w:rsidRPr="003366D3">
        <w:rPr>
          <w:rFonts w:ascii="Arial" w:hAnsi="Arial" w:cs="Arial"/>
          <w:sz w:val="20"/>
          <w:szCs w:val="20"/>
          <w:lang w:val="en-US"/>
        </w:rPr>
        <w:t>)</w:t>
      </w:r>
    </w:p>
    <w:p w14:paraId="0E867757" w14:textId="77777777" w:rsidR="00E16006" w:rsidRPr="00E16006" w:rsidRDefault="00E16006" w:rsidP="00E16006">
      <w:pPr>
        <w:pStyle w:val="NormalWeb"/>
        <w:spacing w:before="0" w:beforeAutospacing="0" w:after="0" w:afterAutospacing="0"/>
        <w:jc w:val="both"/>
        <w:rPr>
          <w:rFonts w:ascii="Arial" w:hAnsi="Arial" w:cs="Arial"/>
          <w:sz w:val="20"/>
          <w:szCs w:val="20"/>
        </w:rPr>
      </w:pPr>
    </w:p>
    <w:p w14:paraId="07519D55" w14:textId="77777777" w:rsidR="009957FF" w:rsidRPr="00E16006" w:rsidRDefault="009957FF" w:rsidP="0057754D">
      <w:pPr>
        <w:pStyle w:val="Ttulo3"/>
        <w:spacing w:before="0" w:line="240" w:lineRule="auto"/>
        <w:jc w:val="both"/>
        <w:rPr>
          <w:rFonts w:ascii="Arial" w:hAnsi="Arial" w:cs="Arial"/>
          <w:b/>
          <w:bCs w:val="0"/>
          <w:i w:val="0"/>
          <w:iCs/>
          <w:sz w:val="20"/>
          <w:szCs w:val="20"/>
        </w:rPr>
      </w:pPr>
      <w:r w:rsidRPr="00E16006">
        <w:rPr>
          <w:rFonts w:ascii="Arial" w:hAnsi="Arial" w:cs="Arial"/>
          <w:b/>
          <w:bCs w:val="0"/>
          <w:sz w:val="20"/>
          <w:szCs w:val="20"/>
        </w:rPr>
        <w:t>3.3</w:t>
      </w:r>
      <w:r w:rsidRPr="00E16006">
        <w:rPr>
          <w:rFonts w:ascii="Arial" w:hAnsi="Arial" w:cs="Arial"/>
          <w:sz w:val="20"/>
          <w:szCs w:val="20"/>
        </w:rPr>
        <w:t xml:space="preserve"> </w:t>
      </w:r>
      <w:r w:rsidRPr="00E16006">
        <w:rPr>
          <w:rFonts w:ascii="Arial" w:hAnsi="Arial" w:cs="Arial"/>
          <w:b/>
          <w:bCs w:val="0"/>
          <w:i w:val="0"/>
          <w:iCs/>
          <w:sz w:val="20"/>
          <w:szCs w:val="20"/>
        </w:rPr>
        <w:t>Biochemical Parameters</w:t>
      </w:r>
    </w:p>
    <w:p w14:paraId="07427F31" w14:textId="77777777" w:rsidR="008E02CE" w:rsidRPr="00E16006" w:rsidRDefault="008E02CE" w:rsidP="0057754D">
      <w:pPr>
        <w:pStyle w:val="NormalWeb"/>
        <w:spacing w:before="240" w:beforeAutospacing="0" w:after="0" w:afterAutospacing="0"/>
        <w:jc w:val="both"/>
        <w:rPr>
          <w:rFonts w:ascii="Arial" w:hAnsi="Arial" w:cs="Arial"/>
          <w:sz w:val="20"/>
          <w:szCs w:val="20"/>
        </w:rPr>
      </w:pPr>
      <w:r w:rsidRPr="00E16006">
        <w:rPr>
          <w:rFonts w:ascii="Arial" w:hAnsi="Arial" w:cs="Arial"/>
          <w:sz w:val="20"/>
          <w:szCs w:val="20"/>
        </w:rPr>
        <w:t>3.3.1 Proline</w:t>
      </w:r>
    </w:p>
    <w:p w14:paraId="243B868B" w14:textId="237ACC81" w:rsidR="008E02CE" w:rsidRDefault="008E02CE" w:rsidP="0057754D">
      <w:pPr>
        <w:pStyle w:val="NormalWeb"/>
        <w:spacing w:before="240" w:beforeAutospacing="0" w:after="0" w:afterAutospacing="0"/>
        <w:jc w:val="both"/>
        <w:rPr>
          <w:rFonts w:ascii="Arial" w:hAnsi="Arial" w:cs="Arial"/>
          <w:sz w:val="20"/>
          <w:szCs w:val="20"/>
        </w:rPr>
      </w:pPr>
      <w:r w:rsidRPr="00E16006">
        <w:rPr>
          <w:rFonts w:ascii="Arial" w:hAnsi="Arial" w:cs="Arial"/>
          <w:sz w:val="20"/>
          <w:szCs w:val="20"/>
        </w:rPr>
        <w:tab/>
        <w:t>Proline accumulation was markedly influenced by all treatments during the various growth phases (Table 3). At peak tillering, MCM 103 demonstrated the highest proline concentration (366.46 µg/g fresh weight)</w:t>
      </w:r>
      <w:r w:rsidR="00D7425A" w:rsidRPr="00D7425A">
        <w:t xml:space="preserve"> </w:t>
      </w:r>
      <w:r w:rsidR="00D7425A" w:rsidRPr="00D7425A">
        <w:rPr>
          <w:rFonts w:ascii="Arial" w:hAnsi="Arial" w:cs="Arial"/>
          <w:b/>
          <w:color w:val="00B050"/>
          <w:sz w:val="20"/>
          <w:szCs w:val="20"/>
        </w:rPr>
        <w:t>Remove unnecessary parentheses</w:t>
      </w:r>
      <w:r w:rsidRPr="00E16006">
        <w:rPr>
          <w:rFonts w:ascii="Arial" w:hAnsi="Arial" w:cs="Arial"/>
          <w:sz w:val="20"/>
          <w:szCs w:val="20"/>
        </w:rPr>
        <w:t>, with no significant fluctuation observed in BPT 5204. The proline content markedly rose at panicle commencement, anthesis, and physiological maturity in all treatments, with the exception at physiological maturity with the application of 0.25 mM/L of SNP and 0.50 mM/L of SA. The administration of 0.25 mM/L SNP, 0.50 mM/L SA, and 0.50 mM/L BR, akin to MCM 103, resulted in the greatest proline concentrations (628.80, 806.47, and 532.55 µg/g fresh weight), reflecting increases of 5.0 per cent, 5.4 per cent, and 5.6 per cent compared to untreated BPT 5204, respectively.</w:t>
      </w:r>
    </w:p>
    <w:p w14:paraId="5E177CCC" w14:textId="77777777" w:rsidR="000C7234" w:rsidRPr="005A32BC" w:rsidRDefault="000C7234" w:rsidP="000C7234">
      <w:pPr>
        <w:pStyle w:val="NormalWeb"/>
        <w:spacing w:before="0" w:beforeAutospacing="0" w:after="0" w:afterAutospacing="0"/>
        <w:ind w:firstLine="720"/>
        <w:jc w:val="both"/>
        <w:rPr>
          <w:rFonts w:ascii="Arial" w:hAnsi="Arial" w:cs="Arial"/>
          <w:sz w:val="20"/>
          <w:szCs w:val="20"/>
        </w:rPr>
      </w:pPr>
      <w:r w:rsidRPr="005A32BC">
        <w:rPr>
          <w:rFonts w:ascii="Arial" w:hAnsi="Arial" w:cs="Arial"/>
          <w:sz w:val="20"/>
          <w:szCs w:val="20"/>
        </w:rPr>
        <w:t>Proline accumulation under salinity stress helps modulate osmotic pressure and detoxify reactive oxygen species (Z</w:t>
      </w:r>
      <w:r w:rsidRPr="005A32BC">
        <w:rPr>
          <w:rFonts w:ascii="Arial" w:hAnsi="Arial" w:cs="Arial"/>
          <w:sz w:val="20"/>
          <w:szCs w:val="20"/>
          <w:lang w:val="sv-SE"/>
        </w:rPr>
        <w:t xml:space="preserve">hao </w:t>
      </w:r>
      <w:r w:rsidRPr="005A32BC">
        <w:rPr>
          <w:rFonts w:ascii="Arial" w:hAnsi="Arial" w:cs="Arial"/>
          <w:i/>
          <w:iCs/>
          <w:sz w:val="20"/>
          <w:szCs w:val="20"/>
          <w:lang w:val="sv-SE"/>
        </w:rPr>
        <w:t xml:space="preserve">et al. </w:t>
      </w:r>
      <w:r w:rsidRPr="005A32BC">
        <w:rPr>
          <w:rFonts w:ascii="Arial" w:hAnsi="Arial" w:cs="Arial"/>
          <w:sz w:val="20"/>
          <w:szCs w:val="20"/>
          <w:lang w:val="sv-SE"/>
        </w:rPr>
        <w:t>2014</w:t>
      </w:r>
      <w:r w:rsidRPr="005A32BC">
        <w:rPr>
          <w:rFonts w:ascii="Arial" w:hAnsi="Arial" w:cs="Arial"/>
          <w:sz w:val="20"/>
          <w:szCs w:val="20"/>
        </w:rPr>
        <w:t>). The results align with those of (</w:t>
      </w:r>
      <w:r w:rsidRPr="005A32BC">
        <w:rPr>
          <w:rFonts w:ascii="Arial" w:hAnsi="Arial" w:cs="Arial"/>
          <w:sz w:val="20"/>
          <w:szCs w:val="20"/>
          <w:lang w:val="pt-BR"/>
        </w:rPr>
        <w:t>Kibria</w:t>
      </w:r>
      <w:r w:rsidRPr="005A32BC">
        <w:rPr>
          <w:rFonts w:ascii="Arial" w:hAnsi="Arial" w:cs="Arial"/>
          <w:i/>
          <w:iCs/>
          <w:sz w:val="20"/>
          <w:szCs w:val="20"/>
          <w:lang w:val="pt-BR"/>
        </w:rPr>
        <w:t xml:space="preserve"> et al. </w:t>
      </w:r>
      <w:r w:rsidRPr="005A32BC">
        <w:rPr>
          <w:rFonts w:ascii="Arial" w:hAnsi="Arial" w:cs="Arial"/>
          <w:sz w:val="20"/>
          <w:szCs w:val="20"/>
          <w:lang w:val="pt-BR"/>
        </w:rPr>
        <w:t>2017</w:t>
      </w:r>
      <w:r w:rsidRPr="005A32BC">
        <w:rPr>
          <w:rFonts w:ascii="Arial" w:hAnsi="Arial" w:cs="Arial"/>
          <w:sz w:val="20"/>
          <w:szCs w:val="20"/>
        </w:rPr>
        <w:t xml:space="preserve">), who observed higher proline content in salt-tolerant cultivars. The application of </w:t>
      </w:r>
      <w:proofErr w:type="spellStart"/>
      <w:r w:rsidRPr="005A32BC">
        <w:rPr>
          <w:rFonts w:ascii="Arial" w:hAnsi="Arial" w:cs="Arial"/>
          <w:sz w:val="20"/>
          <w:szCs w:val="20"/>
        </w:rPr>
        <w:t>brassinosteroids</w:t>
      </w:r>
      <w:proofErr w:type="spellEnd"/>
      <w:r w:rsidRPr="005A32BC">
        <w:rPr>
          <w:rFonts w:ascii="Arial" w:hAnsi="Arial" w:cs="Arial"/>
          <w:sz w:val="20"/>
          <w:szCs w:val="20"/>
        </w:rPr>
        <w:t xml:space="preserve"> has been shown to increase proline accumulation, as reported by (</w:t>
      </w:r>
      <w:r w:rsidRPr="005A32BC">
        <w:rPr>
          <w:rFonts w:ascii="Arial" w:hAnsi="Arial" w:cs="Arial"/>
          <w:sz w:val="20"/>
          <w:szCs w:val="20"/>
          <w:lang w:val="pt-BR"/>
        </w:rPr>
        <w:t xml:space="preserve">Chetana </w:t>
      </w:r>
      <w:r w:rsidRPr="005A32BC">
        <w:rPr>
          <w:rFonts w:ascii="Arial" w:hAnsi="Arial" w:cs="Arial"/>
          <w:i/>
          <w:iCs/>
          <w:sz w:val="20"/>
          <w:szCs w:val="20"/>
          <w:lang w:val="pt-BR"/>
        </w:rPr>
        <w:t>et al.</w:t>
      </w:r>
      <w:r w:rsidRPr="005A32BC">
        <w:rPr>
          <w:rFonts w:ascii="Arial" w:hAnsi="Arial" w:cs="Arial"/>
          <w:sz w:val="20"/>
          <w:szCs w:val="20"/>
          <w:lang w:val="pt-BR"/>
        </w:rPr>
        <w:t xml:space="preserve"> 2014</w:t>
      </w:r>
      <w:r w:rsidRPr="005A32BC">
        <w:rPr>
          <w:rFonts w:ascii="Arial" w:hAnsi="Arial" w:cs="Arial"/>
          <w:sz w:val="20"/>
          <w:szCs w:val="20"/>
        </w:rPr>
        <w:t xml:space="preserve">), corroborating the current findings. </w:t>
      </w:r>
      <w:r w:rsidRPr="005A32BC">
        <w:rPr>
          <w:rFonts w:ascii="Arial" w:hAnsi="Arial" w:cs="Arial"/>
          <w:sz w:val="20"/>
          <w:szCs w:val="20"/>
          <w:lang w:val="en-US"/>
        </w:rPr>
        <w:t>This may reflect its role in osmoregulation and antioxidant activity. Also, (</w:t>
      </w:r>
      <w:r w:rsidRPr="005A32BC">
        <w:rPr>
          <w:rFonts w:ascii="Arial" w:hAnsi="Arial" w:cs="Arial"/>
          <w:sz w:val="20"/>
          <w:szCs w:val="20"/>
          <w:lang w:val="pt-BR"/>
        </w:rPr>
        <w:t>Pai and Sharma 2023</w:t>
      </w:r>
      <w:r w:rsidRPr="005A32BC">
        <w:rPr>
          <w:rFonts w:ascii="Arial" w:hAnsi="Arial" w:cs="Arial"/>
          <w:sz w:val="20"/>
          <w:szCs w:val="20"/>
          <w:lang w:val="en-US"/>
        </w:rPr>
        <w:t>) and (</w:t>
      </w:r>
      <w:r w:rsidRPr="005A32BC">
        <w:rPr>
          <w:rFonts w:ascii="Arial" w:hAnsi="Arial" w:cs="Arial"/>
          <w:sz w:val="20"/>
          <w:szCs w:val="20"/>
        </w:rPr>
        <w:t xml:space="preserve">Habib </w:t>
      </w:r>
      <w:r w:rsidRPr="005A32BC">
        <w:rPr>
          <w:rFonts w:ascii="Arial" w:hAnsi="Arial" w:cs="Arial"/>
          <w:i/>
          <w:iCs/>
          <w:sz w:val="20"/>
          <w:szCs w:val="20"/>
        </w:rPr>
        <w:t xml:space="preserve">et al. </w:t>
      </w:r>
      <w:r w:rsidRPr="005A32BC">
        <w:rPr>
          <w:rFonts w:ascii="Arial" w:hAnsi="Arial" w:cs="Arial"/>
          <w:sz w:val="20"/>
          <w:szCs w:val="20"/>
        </w:rPr>
        <w:t>2016</w:t>
      </w:r>
      <w:r w:rsidRPr="005A32BC">
        <w:rPr>
          <w:rFonts w:ascii="Arial" w:hAnsi="Arial" w:cs="Arial"/>
          <w:sz w:val="20"/>
          <w:szCs w:val="20"/>
          <w:lang w:val="en-US"/>
        </w:rPr>
        <w:t>) found salicylic acid and SNP increased proline in salt-stressed rice seedlings.</w:t>
      </w:r>
    </w:p>
    <w:p w14:paraId="3E63C183" w14:textId="156180BC" w:rsidR="008E02CE" w:rsidRPr="00E16006" w:rsidRDefault="008E02CE" w:rsidP="00E16006">
      <w:pPr>
        <w:pStyle w:val="NormalWeb"/>
        <w:spacing w:before="0" w:beforeAutospacing="0" w:after="0" w:afterAutospacing="0"/>
        <w:jc w:val="both"/>
        <w:rPr>
          <w:rFonts w:ascii="Arial" w:hAnsi="Arial" w:cs="Arial"/>
          <w:sz w:val="20"/>
          <w:szCs w:val="20"/>
        </w:rPr>
      </w:pPr>
      <w:bookmarkStart w:id="5" w:name="_Ref175231341"/>
      <w:bookmarkStart w:id="6" w:name="_Ref175232010"/>
      <w:r w:rsidRPr="00E16006">
        <w:rPr>
          <w:rFonts w:ascii="Arial" w:hAnsi="Arial" w:cs="Arial"/>
          <w:b/>
          <w:bCs/>
          <w:sz w:val="20"/>
          <w:szCs w:val="20"/>
        </w:rPr>
        <w:t xml:space="preserve">Table </w:t>
      </w:r>
      <w:r w:rsidRPr="00E16006">
        <w:rPr>
          <w:rFonts w:ascii="Arial" w:hAnsi="Arial" w:cs="Arial"/>
          <w:b/>
          <w:bCs/>
          <w:i/>
          <w:iCs/>
          <w:sz w:val="20"/>
          <w:szCs w:val="20"/>
        </w:rPr>
        <w:fldChar w:fldCharType="begin"/>
      </w:r>
      <w:r w:rsidRPr="00E16006">
        <w:rPr>
          <w:rFonts w:ascii="Arial" w:hAnsi="Arial" w:cs="Arial"/>
          <w:b/>
          <w:bCs/>
          <w:sz w:val="20"/>
          <w:szCs w:val="20"/>
        </w:rPr>
        <w:instrText xml:space="preserve"> SEQ Table \* ARABIC </w:instrText>
      </w:r>
      <w:r w:rsidRPr="00E16006">
        <w:rPr>
          <w:rFonts w:ascii="Arial" w:hAnsi="Arial" w:cs="Arial"/>
          <w:b/>
          <w:bCs/>
          <w:i/>
          <w:iCs/>
          <w:sz w:val="20"/>
          <w:szCs w:val="20"/>
        </w:rPr>
        <w:fldChar w:fldCharType="separate"/>
      </w:r>
      <w:r w:rsidRPr="00E16006">
        <w:rPr>
          <w:rFonts w:ascii="Arial" w:hAnsi="Arial" w:cs="Arial"/>
          <w:b/>
          <w:bCs/>
          <w:noProof/>
          <w:sz w:val="20"/>
          <w:szCs w:val="20"/>
        </w:rPr>
        <w:t>3</w:t>
      </w:r>
      <w:r w:rsidRPr="00E16006">
        <w:rPr>
          <w:rFonts w:ascii="Arial" w:hAnsi="Arial" w:cs="Arial"/>
          <w:b/>
          <w:bCs/>
          <w:i/>
          <w:iCs/>
          <w:sz w:val="20"/>
          <w:szCs w:val="20"/>
        </w:rPr>
        <w:fldChar w:fldCharType="end"/>
      </w:r>
      <w:r w:rsidRPr="00E16006">
        <w:rPr>
          <w:rFonts w:ascii="Arial" w:hAnsi="Arial" w:cs="Arial"/>
          <w:b/>
          <w:bCs/>
          <w:sz w:val="20"/>
          <w:szCs w:val="20"/>
        </w:rPr>
        <w:t>. Influence of Signal molecules on Proline and Malondialdehyde content in rice under salinity stress</w:t>
      </w:r>
    </w:p>
    <w:tbl>
      <w:tblPr>
        <w:tblW w:w="5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1039"/>
        <w:gridCol w:w="950"/>
        <w:gridCol w:w="961"/>
        <w:gridCol w:w="1406"/>
        <w:gridCol w:w="1039"/>
        <w:gridCol w:w="950"/>
        <w:gridCol w:w="961"/>
        <w:gridCol w:w="1406"/>
      </w:tblGrid>
      <w:tr w:rsidR="001B13AD" w:rsidRPr="00E16006" w14:paraId="3D52F485" w14:textId="77777777" w:rsidTr="001B13AD">
        <w:trPr>
          <w:trHeight w:val="285"/>
          <w:jc w:val="center"/>
        </w:trPr>
        <w:tc>
          <w:tcPr>
            <w:tcW w:w="602" w:type="pct"/>
            <w:vMerge w:val="restart"/>
            <w:shd w:val="clear" w:color="auto" w:fill="auto"/>
            <w:vAlign w:val="center"/>
          </w:tcPr>
          <w:bookmarkEnd w:id="5"/>
          <w:bookmarkEnd w:id="6"/>
          <w:p w14:paraId="3DA0016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lang w:eastAsia="en-IN"/>
              </w:rPr>
              <w:t>Treatments</w:t>
            </w:r>
          </w:p>
        </w:tc>
        <w:tc>
          <w:tcPr>
            <w:tcW w:w="2203" w:type="pct"/>
            <w:gridSpan w:val="4"/>
            <w:shd w:val="clear" w:color="auto" w:fill="auto"/>
            <w:vAlign w:val="center"/>
          </w:tcPr>
          <w:p w14:paraId="3E618EC6" w14:textId="77777777" w:rsidR="001B13AD" w:rsidRPr="00E16006" w:rsidRDefault="001B13AD" w:rsidP="00E16006">
            <w:pPr>
              <w:widowControl w:val="0"/>
              <w:spacing w:after="80"/>
              <w:jc w:val="center"/>
              <w:rPr>
                <w:rFonts w:ascii="Arial" w:hAnsi="Arial" w:cs="Arial"/>
                <w:b/>
                <w:bCs/>
                <w:lang w:eastAsia="en-IN"/>
              </w:rPr>
            </w:pPr>
            <w:r w:rsidRPr="00E16006">
              <w:rPr>
                <w:rFonts w:ascii="Arial" w:eastAsia="Calibri" w:hAnsi="Arial" w:cs="Arial"/>
                <w:b/>
                <w:bCs/>
                <w:kern w:val="2"/>
              </w:rPr>
              <w:t>Proline (µg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fr. wt.)  </w:t>
            </w:r>
          </w:p>
        </w:tc>
        <w:tc>
          <w:tcPr>
            <w:tcW w:w="2195" w:type="pct"/>
            <w:gridSpan w:val="4"/>
            <w:shd w:val="clear" w:color="auto" w:fill="auto"/>
            <w:vAlign w:val="center"/>
          </w:tcPr>
          <w:p w14:paraId="3FAF2609" w14:textId="77777777" w:rsidR="001B13AD" w:rsidRPr="00E16006" w:rsidRDefault="001B13AD" w:rsidP="00E16006">
            <w:pPr>
              <w:widowControl w:val="0"/>
              <w:spacing w:after="80"/>
              <w:jc w:val="center"/>
              <w:rPr>
                <w:rFonts w:ascii="Arial" w:hAnsi="Arial" w:cs="Arial"/>
                <w:b/>
                <w:bCs/>
                <w:lang w:eastAsia="en-IN"/>
              </w:rPr>
            </w:pPr>
            <w:r w:rsidRPr="00E16006">
              <w:rPr>
                <w:rFonts w:ascii="Arial" w:eastAsia="Calibri" w:hAnsi="Arial" w:cs="Arial"/>
                <w:b/>
                <w:bCs/>
                <w:kern w:val="2"/>
              </w:rPr>
              <w:t xml:space="preserve">Malondialdehyde </w:t>
            </w:r>
            <w:r w:rsidRPr="00E16006">
              <w:rPr>
                <w:rFonts w:ascii="Arial" w:eastAsia="Calibri" w:hAnsi="Arial" w:cs="Arial"/>
                <w:b/>
                <w:bCs/>
              </w:rPr>
              <w:t>(µmol g</w:t>
            </w:r>
            <w:r w:rsidRPr="00E16006">
              <w:rPr>
                <w:rFonts w:ascii="Arial" w:eastAsia="Calibri" w:hAnsi="Arial" w:cs="Arial"/>
                <w:b/>
                <w:bCs/>
                <w:vertAlign w:val="superscript"/>
              </w:rPr>
              <w:t>-</w:t>
            </w:r>
            <w:r w:rsidRPr="00E16006">
              <w:rPr>
                <w:rFonts w:ascii="Arial" w:eastAsia="Calibri" w:hAnsi="Arial" w:cs="Arial"/>
                <w:b/>
                <w:bCs/>
              </w:rPr>
              <w:t>¹ fr. wt.)</w:t>
            </w:r>
          </w:p>
        </w:tc>
      </w:tr>
      <w:tr w:rsidR="001B13AD" w:rsidRPr="00E16006" w14:paraId="0FA8CD9B" w14:textId="77777777" w:rsidTr="0080622F">
        <w:trPr>
          <w:trHeight w:val="144"/>
          <w:jc w:val="center"/>
        </w:trPr>
        <w:tc>
          <w:tcPr>
            <w:tcW w:w="602" w:type="pct"/>
            <w:vMerge/>
            <w:shd w:val="clear" w:color="auto" w:fill="auto"/>
            <w:vAlign w:val="center"/>
          </w:tcPr>
          <w:p w14:paraId="327B7692" w14:textId="77777777" w:rsidR="001B13AD" w:rsidRPr="00E16006" w:rsidRDefault="001B13AD" w:rsidP="00E16006">
            <w:pPr>
              <w:widowControl w:val="0"/>
              <w:spacing w:after="80"/>
              <w:jc w:val="center"/>
              <w:rPr>
                <w:rFonts w:ascii="Arial" w:eastAsia="Calibri" w:hAnsi="Arial" w:cs="Arial"/>
                <w:b/>
                <w:bCs/>
                <w:kern w:val="2"/>
                <w:lang w:eastAsia="en-IN"/>
              </w:rPr>
            </w:pPr>
          </w:p>
        </w:tc>
        <w:tc>
          <w:tcPr>
            <w:tcW w:w="534" w:type="pct"/>
            <w:shd w:val="clear" w:color="auto" w:fill="auto"/>
            <w:vAlign w:val="center"/>
          </w:tcPr>
          <w:p w14:paraId="45809A3A"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Maximum tillering stage</w:t>
            </w:r>
          </w:p>
        </w:tc>
        <w:tc>
          <w:tcPr>
            <w:tcW w:w="477" w:type="pct"/>
            <w:shd w:val="clear" w:color="auto" w:fill="auto"/>
            <w:vAlign w:val="center"/>
          </w:tcPr>
          <w:p w14:paraId="71A97F14"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Panicle initiation stage</w:t>
            </w:r>
          </w:p>
        </w:tc>
        <w:tc>
          <w:tcPr>
            <w:tcW w:w="484" w:type="pct"/>
            <w:shd w:val="clear" w:color="auto" w:fill="auto"/>
            <w:vAlign w:val="center"/>
          </w:tcPr>
          <w:p w14:paraId="0E7D249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Anthesis stage</w:t>
            </w:r>
          </w:p>
        </w:tc>
        <w:tc>
          <w:tcPr>
            <w:tcW w:w="708" w:type="pct"/>
            <w:shd w:val="clear" w:color="auto" w:fill="auto"/>
            <w:vAlign w:val="center"/>
          </w:tcPr>
          <w:p w14:paraId="71F0A3B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lang w:eastAsia="en-IN"/>
              </w:rPr>
              <w:t>Physiological maturity Stage</w:t>
            </w:r>
          </w:p>
        </w:tc>
        <w:tc>
          <w:tcPr>
            <w:tcW w:w="525" w:type="pct"/>
            <w:shd w:val="clear" w:color="auto" w:fill="auto"/>
            <w:vAlign w:val="center"/>
          </w:tcPr>
          <w:p w14:paraId="37C5A9E7"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Maximum tillering stage</w:t>
            </w:r>
          </w:p>
        </w:tc>
        <w:tc>
          <w:tcPr>
            <w:tcW w:w="485" w:type="pct"/>
            <w:shd w:val="clear" w:color="auto" w:fill="auto"/>
            <w:vAlign w:val="center"/>
          </w:tcPr>
          <w:p w14:paraId="3513D7AA"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Panicle initiation stage</w:t>
            </w:r>
          </w:p>
        </w:tc>
        <w:tc>
          <w:tcPr>
            <w:tcW w:w="484" w:type="pct"/>
            <w:shd w:val="clear" w:color="auto" w:fill="auto"/>
            <w:vAlign w:val="center"/>
          </w:tcPr>
          <w:p w14:paraId="554558F1"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Anthesis stage</w:t>
            </w:r>
          </w:p>
        </w:tc>
        <w:tc>
          <w:tcPr>
            <w:tcW w:w="701" w:type="pct"/>
            <w:shd w:val="clear" w:color="auto" w:fill="auto"/>
            <w:vAlign w:val="center"/>
          </w:tcPr>
          <w:p w14:paraId="6071FAA1" w14:textId="77777777" w:rsidR="001B13AD" w:rsidRPr="00E16006" w:rsidRDefault="001B13AD" w:rsidP="00E16006">
            <w:pPr>
              <w:widowControl w:val="0"/>
              <w:spacing w:after="80"/>
              <w:jc w:val="center"/>
              <w:rPr>
                <w:rFonts w:ascii="Arial" w:hAnsi="Arial" w:cs="Arial"/>
                <w:b/>
                <w:bCs/>
                <w:lang w:eastAsia="en-IN"/>
              </w:rPr>
            </w:pPr>
            <w:r w:rsidRPr="00E16006">
              <w:rPr>
                <w:rFonts w:ascii="Arial" w:hAnsi="Arial" w:cs="Arial"/>
                <w:b/>
                <w:bCs/>
                <w:lang w:eastAsia="en-IN"/>
              </w:rPr>
              <w:t>Physiological maturity Stage</w:t>
            </w:r>
          </w:p>
        </w:tc>
      </w:tr>
      <w:tr w:rsidR="001B13AD" w:rsidRPr="00E16006" w14:paraId="7B1BBE64" w14:textId="77777777" w:rsidTr="0080622F">
        <w:trPr>
          <w:trHeight w:val="296"/>
          <w:jc w:val="center"/>
        </w:trPr>
        <w:tc>
          <w:tcPr>
            <w:tcW w:w="602" w:type="pct"/>
            <w:tcBorders>
              <w:bottom w:val="single" w:sz="4" w:space="0" w:color="auto"/>
            </w:tcBorders>
            <w:shd w:val="clear" w:color="auto" w:fill="auto"/>
            <w:vAlign w:val="center"/>
          </w:tcPr>
          <w:p w14:paraId="59E461F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1</w:t>
            </w:r>
          </w:p>
        </w:tc>
        <w:tc>
          <w:tcPr>
            <w:tcW w:w="534" w:type="pct"/>
            <w:shd w:val="clear" w:color="auto" w:fill="auto"/>
            <w:vAlign w:val="bottom"/>
          </w:tcPr>
          <w:p w14:paraId="299006F8"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366.46</w:t>
            </w:r>
          </w:p>
        </w:tc>
        <w:tc>
          <w:tcPr>
            <w:tcW w:w="477" w:type="pct"/>
            <w:shd w:val="clear" w:color="auto" w:fill="auto"/>
            <w:vAlign w:val="bottom"/>
          </w:tcPr>
          <w:p w14:paraId="15682CB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641.19*</w:t>
            </w:r>
          </w:p>
        </w:tc>
        <w:tc>
          <w:tcPr>
            <w:tcW w:w="484" w:type="pct"/>
            <w:shd w:val="clear" w:color="auto" w:fill="auto"/>
            <w:vAlign w:val="bottom"/>
          </w:tcPr>
          <w:p w14:paraId="5887388C"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820.30*</w:t>
            </w:r>
          </w:p>
        </w:tc>
        <w:tc>
          <w:tcPr>
            <w:tcW w:w="708" w:type="pct"/>
            <w:shd w:val="clear" w:color="auto" w:fill="auto"/>
            <w:vAlign w:val="bottom"/>
          </w:tcPr>
          <w:p w14:paraId="5691402E"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545.79*</w:t>
            </w:r>
          </w:p>
        </w:tc>
        <w:tc>
          <w:tcPr>
            <w:tcW w:w="525" w:type="pct"/>
            <w:shd w:val="clear" w:color="auto" w:fill="auto"/>
            <w:vAlign w:val="bottom"/>
          </w:tcPr>
          <w:p w14:paraId="1D57FF14"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1.37</w:t>
            </w:r>
          </w:p>
        </w:tc>
        <w:tc>
          <w:tcPr>
            <w:tcW w:w="485" w:type="pct"/>
            <w:shd w:val="clear" w:color="auto" w:fill="auto"/>
            <w:vAlign w:val="bottom"/>
          </w:tcPr>
          <w:p w14:paraId="53E157FD"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1.29*</w:t>
            </w:r>
          </w:p>
        </w:tc>
        <w:tc>
          <w:tcPr>
            <w:tcW w:w="484" w:type="pct"/>
            <w:shd w:val="clear" w:color="auto" w:fill="auto"/>
            <w:vAlign w:val="bottom"/>
          </w:tcPr>
          <w:p w14:paraId="06F967D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0.99*</w:t>
            </w:r>
          </w:p>
        </w:tc>
        <w:tc>
          <w:tcPr>
            <w:tcW w:w="701" w:type="pct"/>
            <w:shd w:val="clear" w:color="auto" w:fill="auto"/>
            <w:vAlign w:val="bottom"/>
          </w:tcPr>
          <w:p w14:paraId="29108DC6"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1.16*</w:t>
            </w:r>
          </w:p>
        </w:tc>
      </w:tr>
      <w:tr w:rsidR="001B13AD" w:rsidRPr="00E16006" w14:paraId="1F2E151C" w14:textId="77777777" w:rsidTr="0080622F">
        <w:trPr>
          <w:trHeight w:val="285"/>
          <w:jc w:val="center"/>
        </w:trPr>
        <w:tc>
          <w:tcPr>
            <w:tcW w:w="602" w:type="pct"/>
            <w:tcBorders>
              <w:bottom w:val="single" w:sz="4" w:space="0" w:color="auto"/>
            </w:tcBorders>
            <w:shd w:val="clear" w:color="auto" w:fill="auto"/>
            <w:vAlign w:val="center"/>
          </w:tcPr>
          <w:p w14:paraId="7263FDE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2</w:t>
            </w:r>
          </w:p>
        </w:tc>
        <w:tc>
          <w:tcPr>
            <w:tcW w:w="534" w:type="pct"/>
            <w:shd w:val="clear" w:color="auto" w:fill="auto"/>
            <w:vAlign w:val="bottom"/>
          </w:tcPr>
          <w:p w14:paraId="010FB52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281.33</w:t>
            </w:r>
          </w:p>
        </w:tc>
        <w:tc>
          <w:tcPr>
            <w:tcW w:w="477" w:type="pct"/>
            <w:shd w:val="clear" w:color="auto" w:fill="auto"/>
            <w:vAlign w:val="bottom"/>
          </w:tcPr>
          <w:p w14:paraId="52A62C6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623.67*</w:t>
            </w:r>
          </w:p>
        </w:tc>
        <w:tc>
          <w:tcPr>
            <w:tcW w:w="484" w:type="pct"/>
            <w:shd w:val="clear" w:color="auto" w:fill="auto"/>
            <w:vAlign w:val="bottom"/>
          </w:tcPr>
          <w:p w14:paraId="4C01657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788.18*</w:t>
            </w:r>
          </w:p>
        </w:tc>
        <w:tc>
          <w:tcPr>
            <w:tcW w:w="708" w:type="pct"/>
            <w:shd w:val="clear" w:color="auto" w:fill="auto"/>
            <w:vAlign w:val="bottom"/>
          </w:tcPr>
          <w:p w14:paraId="6C9DB468"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519.83</w:t>
            </w:r>
          </w:p>
        </w:tc>
        <w:tc>
          <w:tcPr>
            <w:tcW w:w="525" w:type="pct"/>
            <w:shd w:val="clear" w:color="auto" w:fill="auto"/>
            <w:vAlign w:val="bottom"/>
          </w:tcPr>
          <w:p w14:paraId="791EEC7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1.74</w:t>
            </w:r>
          </w:p>
        </w:tc>
        <w:tc>
          <w:tcPr>
            <w:tcW w:w="485" w:type="pct"/>
            <w:shd w:val="clear" w:color="auto" w:fill="auto"/>
            <w:vAlign w:val="bottom"/>
          </w:tcPr>
          <w:p w14:paraId="3263A193"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1.63*</w:t>
            </w:r>
          </w:p>
        </w:tc>
        <w:tc>
          <w:tcPr>
            <w:tcW w:w="484" w:type="pct"/>
            <w:shd w:val="clear" w:color="auto" w:fill="auto"/>
            <w:vAlign w:val="bottom"/>
          </w:tcPr>
          <w:p w14:paraId="333A4B5C"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1.40*</w:t>
            </w:r>
          </w:p>
        </w:tc>
        <w:tc>
          <w:tcPr>
            <w:tcW w:w="701" w:type="pct"/>
            <w:shd w:val="clear" w:color="auto" w:fill="auto"/>
            <w:vAlign w:val="bottom"/>
          </w:tcPr>
          <w:p w14:paraId="5E69E2C9"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1.75*</w:t>
            </w:r>
          </w:p>
        </w:tc>
      </w:tr>
      <w:tr w:rsidR="001B13AD" w:rsidRPr="00E16006" w14:paraId="71144941" w14:textId="77777777" w:rsidTr="0080622F">
        <w:trPr>
          <w:trHeight w:val="285"/>
          <w:jc w:val="center"/>
        </w:trPr>
        <w:tc>
          <w:tcPr>
            <w:tcW w:w="602" w:type="pct"/>
            <w:shd w:val="clear" w:color="auto" w:fill="auto"/>
            <w:vAlign w:val="center"/>
          </w:tcPr>
          <w:p w14:paraId="45EC8FB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lastRenderedPageBreak/>
              <w:t>T</w:t>
            </w:r>
            <w:r w:rsidRPr="00E16006">
              <w:rPr>
                <w:rFonts w:ascii="Arial" w:eastAsia="Calibri" w:hAnsi="Arial" w:cs="Arial"/>
                <w:b/>
                <w:bCs/>
                <w:kern w:val="2"/>
                <w:vertAlign w:val="subscript"/>
              </w:rPr>
              <w:t>3</w:t>
            </w:r>
          </w:p>
        </w:tc>
        <w:tc>
          <w:tcPr>
            <w:tcW w:w="534" w:type="pct"/>
            <w:shd w:val="clear" w:color="auto" w:fill="auto"/>
            <w:vAlign w:val="bottom"/>
          </w:tcPr>
          <w:p w14:paraId="1F52305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286.20</w:t>
            </w:r>
          </w:p>
        </w:tc>
        <w:tc>
          <w:tcPr>
            <w:tcW w:w="477" w:type="pct"/>
            <w:shd w:val="clear" w:color="auto" w:fill="auto"/>
            <w:vAlign w:val="bottom"/>
          </w:tcPr>
          <w:p w14:paraId="2F14DFF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616.40*</w:t>
            </w:r>
          </w:p>
        </w:tc>
        <w:tc>
          <w:tcPr>
            <w:tcW w:w="484" w:type="pct"/>
            <w:shd w:val="clear" w:color="auto" w:fill="auto"/>
            <w:vAlign w:val="bottom"/>
          </w:tcPr>
          <w:p w14:paraId="4EE1756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787.90*</w:t>
            </w:r>
          </w:p>
        </w:tc>
        <w:tc>
          <w:tcPr>
            <w:tcW w:w="708" w:type="pct"/>
            <w:shd w:val="clear" w:color="auto" w:fill="auto"/>
            <w:vAlign w:val="bottom"/>
          </w:tcPr>
          <w:p w14:paraId="3A60D1D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517.82</w:t>
            </w:r>
          </w:p>
        </w:tc>
        <w:tc>
          <w:tcPr>
            <w:tcW w:w="525" w:type="pct"/>
            <w:shd w:val="clear" w:color="auto" w:fill="auto"/>
            <w:vAlign w:val="bottom"/>
          </w:tcPr>
          <w:p w14:paraId="2F60245D"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1.78</w:t>
            </w:r>
          </w:p>
        </w:tc>
        <w:tc>
          <w:tcPr>
            <w:tcW w:w="485" w:type="pct"/>
            <w:shd w:val="clear" w:color="auto" w:fill="auto"/>
            <w:vAlign w:val="bottom"/>
          </w:tcPr>
          <w:p w14:paraId="165FE126"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1.76</w:t>
            </w:r>
          </w:p>
        </w:tc>
        <w:tc>
          <w:tcPr>
            <w:tcW w:w="484" w:type="pct"/>
            <w:shd w:val="clear" w:color="auto" w:fill="auto"/>
            <w:vAlign w:val="bottom"/>
          </w:tcPr>
          <w:p w14:paraId="774D2EB7"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1.43*</w:t>
            </w:r>
          </w:p>
        </w:tc>
        <w:tc>
          <w:tcPr>
            <w:tcW w:w="701" w:type="pct"/>
            <w:shd w:val="clear" w:color="auto" w:fill="auto"/>
            <w:vAlign w:val="bottom"/>
          </w:tcPr>
          <w:p w14:paraId="6706205C"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1.83*</w:t>
            </w:r>
          </w:p>
        </w:tc>
      </w:tr>
      <w:tr w:rsidR="001B13AD" w:rsidRPr="00E16006" w14:paraId="07BF5950" w14:textId="77777777" w:rsidTr="0080622F">
        <w:trPr>
          <w:trHeight w:val="285"/>
          <w:jc w:val="center"/>
        </w:trPr>
        <w:tc>
          <w:tcPr>
            <w:tcW w:w="602" w:type="pct"/>
            <w:shd w:val="clear" w:color="auto" w:fill="auto"/>
            <w:vAlign w:val="center"/>
          </w:tcPr>
          <w:p w14:paraId="324B28A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4</w:t>
            </w:r>
          </w:p>
        </w:tc>
        <w:tc>
          <w:tcPr>
            <w:tcW w:w="534" w:type="pct"/>
            <w:shd w:val="clear" w:color="auto" w:fill="auto"/>
            <w:vAlign w:val="bottom"/>
          </w:tcPr>
          <w:p w14:paraId="0863EAE3"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280.90</w:t>
            </w:r>
          </w:p>
        </w:tc>
        <w:tc>
          <w:tcPr>
            <w:tcW w:w="477" w:type="pct"/>
            <w:shd w:val="clear" w:color="auto" w:fill="auto"/>
            <w:vAlign w:val="bottom"/>
          </w:tcPr>
          <w:p w14:paraId="7C36B3DE"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625.46*</w:t>
            </w:r>
          </w:p>
        </w:tc>
        <w:tc>
          <w:tcPr>
            <w:tcW w:w="484" w:type="pct"/>
            <w:shd w:val="clear" w:color="auto" w:fill="auto"/>
            <w:vAlign w:val="bottom"/>
          </w:tcPr>
          <w:p w14:paraId="599F4EB2"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791.17*</w:t>
            </w:r>
          </w:p>
        </w:tc>
        <w:tc>
          <w:tcPr>
            <w:tcW w:w="708" w:type="pct"/>
            <w:shd w:val="clear" w:color="auto" w:fill="auto"/>
            <w:vAlign w:val="bottom"/>
          </w:tcPr>
          <w:p w14:paraId="4F9AF70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521.29*</w:t>
            </w:r>
          </w:p>
        </w:tc>
        <w:tc>
          <w:tcPr>
            <w:tcW w:w="525" w:type="pct"/>
            <w:shd w:val="clear" w:color="auto" w:fill="auto"/>
            <w:vAlign w:val="bottom"/>
          </w:tcPr>
          <w:p w14:paraId="0703A4C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1.53</w:t>
            </w:r>
          </w:p>
        </w:tc>
        <w:tc>
          <w:tcPr>
            <w:tcW w:w="485" w:type="pct"/>
            <w:shd w:val="clear" w:color="auto" w:fill="auto"/>
            <w:vAlign w:val="bottom"/>
          </w:tcPr>
          <w:p w14:paraId="31D45874"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1.54*</w:t>
            </w:r>
          </w:p>
        </w:tc>
        <w:tc>
          <w:tcPr>
            <w:tcW w:w="484" w:type="pct"/>
            <w:shd w:val="clear" w:color="auto" w:fill="auto"/>
            <w:vAlign w:val="bottom"/>
          </w:tcPr>
          <w:p w14:paraId="3A5239E6"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1.39*</w:t>
            </w:r>
          </w:p>
        </w:tc>
        <w:tc>
          <w:tcPr>
            <w:tcW w:w="701" w:type="pct"/>
            <w:shd w:val="clear" w:color="auto" w:fill="auto"/>
            <w:vAlign w:val="bottom"/>
          </w:tcPr>
          <w:p w14:paraId="7F840BA3"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1.53*</w:t>
            </w:r>
          </w:p>
        </w:tc>
      </w:tr>
      <w:tr w:rsidR="001B13AD" w:rsidRPr="00E16006" w14:paraId="7CB9150B" w14:textId="77777777" w:rsidTr="0080622F">
        <w:trPr>
          <w:trHeight w:val="285"/>
          <w:jc w:val="center"/>
        </w:trPr>
        <w:tc>
          <w:tcPr>
            <w:tcW w:w="602" w:type="pct"/>
            <w:shd w:val="clear" w:color="auto" w:fill="auto"/>
            <w:vAlign w:val="center"/>
          </w:tcPr>
          <w:p w14:paraId="52D2178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5</w:t>
            </w:r>
          </w:p>
        </w:tc>
        <w:tc>
          <w:tcPr>
            <w:tcW w:w="534" w:type="pct"/>
            <w:shd w:val="clear" w:color="auto" w:fill="auto"/>
            <w:vAlign w:val="bottom"/>
          </w:tcPr>
          <w:p w14:paraId="60DD31C4"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278.61</w:t>
            </w:r>
          </w:p>
        </w:tc>
        <w:tc>
          <w:tcPr>
            <w:tcW w:w="477" w:type="pct"/>
            <w:shd w:val="clear" w:color="auto" w:fill="auto"/>
            <w:vAlign w:val="bottom"/>
          </w:tcPr>
          <w:p w14:paraId="20CB0DF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625.99*</w:t>
            </w:r>
          </w:p>
        </w:tc>
        <w:tc>
          <w:tcPr>
            <w:tcW w:w="484" w:type="pct"/>
            <w:shd w:val="clear" w:color="auto" w:fill="auto"/>
            <w:vAlign w:val="bottom"/>
          </w:tcPr>
          <w:p w14:paraId="28E457F6"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794.62*</w:t>
            </w:r>
          </w:p>
        </w:tc>
        <w:tc>
          <w:tcPr>
            <w:tcW w:w="708" w:type="pct"/>
            <w:shd w:val="clear" w:color="auto" w:fill="auto"/>
            <w:vAlign w:val="bottom"/>
          </w:tcPr>
          <w:p w14:paraId="5B0F42E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523.28*</w:t>
            </w:r>
          </w:p>
        </w:tc>
        <w:tc>
          <w:tcPr>
            <w:tcW w:w="525" w:type="pct"/>
            <w:shd w:val="clear" w:color="auto" w:fill="auto"/>
            <w:vAlign w:val="bottom"/>
          </w:tcPr>
          <w:p w14:paraId="7387274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1.63</w:t>
            </w:r>
          </w:p>
        </w:tc>
        <w:tc>
          <w:tcPr>
            <w:tcW w:w="485" w:type="pct"/>
            <w:shd w:val="clear" w:color="auto" w:fill="auto"/>
            <w:vAlign w:val="bottom"/>
          </w:tcPr>
          <w:p w14:paraId="22FBD7CB"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1.52*</w:t>
            </w:r>
          </w:p>
        </w:tc>
        <w:tc>
          <w:tcPr>
            <w:tcW w:w="484" w:type="pct"/>
            <w:shd w:val="clear" w:color="auto" w:fill="auto"/>
            <w:vAlign w:val="bottom"/>
          </w:tcPr>
          <w:p w14:paraId="32925559"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1.36*</w:t>
            </w:r>
          </w:p>
        </w:tc>
        <w:tc>
          <w:tcPr>
            <w:tcW w:w="701" w:type="pct"/>
            <w:shd w:val="clear" w:color="auto" w:fill="auto"/>
            <w:vAlign w:val="bottom"/>
          </w:tcPr>
          <w:p w14:paraId="32E0FF90"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1.50*</w:t>
            </w:r>
          </w:p>
        </w:tc>
      </w:tr>
      <w:tr w:rsidR="001B13AD" w:rsidRPr="00E16006" w14:paraId="362A5306" w14:textId="77777777" w:rsidTr="0080622F">
        <w:trPr>
          <w:trHeight w:val="296"/>
          <w:jc w:val="center"/>
        </w:trPr>
        <w:tc>
          <w:tcPr>
            <w:tcW w:w="602" w:type="pct"/>
            <w:shd w:val="clear" w:color="auto" w:fill="auto"/>
            <w:vAlign w:val="center"/>
          </w:tcPr>
          <w:p w14:paraId="6369501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6</w:t>
            </w:r>
          </w:p>
        </w:tc>
        <w:tc>
          <w:tcPr>
            <w:tcW w:w="534" w:type="pct"/>
            <w:shd w:val="clear" w:color="auto" w:fill="auto"/>
            <w:vAlign w:val="bottom"/>
          </w:tcPr>
          <w:p w14:paraId="5A3351F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283.76</w:t>
            </w:r>
          </w:p>
        </w:tc>
        <w:tc>
          <w:tcPr>
            <w:tcW w:w="477" w:type="pct"/>
            <w:shd w:val="clear" w:color="auto" w:fill="auto"/>
            <w:vAlign w:val="bottom"/>
          </w:tcPr>
          <w:p w14:paraId="7DDC13A5"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627.11*</w:t>
            </w:r>
          </w:p>
        </w:tc>
        <w:tc>
          <w:tcPr>
            <w:tcW w:w="484" w:type="pct"/>
            <w:shd w:val="clear" w:color="auto" w:fill="auto"/>
            <w:vAlign w:val="bottom"/>
          </w:tcPr>
          <w:p w14:paraId="7EEA938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795.45*</w:t>
            </w:r>
          </w:p>
        </w:tc>
        <w:tc>
          <w:tcPr>
            <w:tcW w:w="708" w:type="pct"/>
            <w:shd w:val="clear" w:color="auto" w:fill="auto"/>
            <w:vAlign w:val="bottom"/>
          </w:tcPr>
          <w:p w14:paraId="0829B1B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524.31*</w:t>
            </w:r>
          </w:p>
        </w:tc>
        <w:tc>
          <w:tcPr>
            <w:tcW w:w="525" w:type="pct"/>
            <w:shd w:val="clear" w:color="auto" w:fill="auto"/>
            <w:vAlign w:val="bottom"/>
          </w:tcPr>
          <w:p w14:paraId="4293FBC5"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1.60</w:t>
            </w:r>
          </w:p>
        </w:tc>
        <w:tc>
          <w:tcPr>
            <w:tcW w:w="485" w:type="pct"/>
            <w:shd w:val="clear" w:color="auto" w:fill="auto"/>
            <w:vAlign w:val="bottom"/>
          </w:tcPr>
          <w:p w14:paraId="422E8E2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1.42*</w:t>
            </w:r>
          </w:p>
        </w:tc>
        <w:tc>
          <w:tcPr>
            <w:tcW w:w="484" w:type="pct"/>
            <w:shd w:val="clear" w:color="auto" w:fill="auto"/>
            <w:vAlign w:val="bottom"/>
          </w:tcPr>
          <w:p w14:paraId="0F115DD8"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1.24*</w:t>
            </w:r>
          </w:p>
        </w:tc>
        <w:tc>
          <w:tcPr>
            <w:tcW w:w="701" w:type="pct"/>
            <w:shd w:val="clear" w:color="auto" w:fill="auto"/>
            <w:vAlign w:val="bottom"/>
          </w:tcPr>
          <w:p w14:paraId="2849E6DC"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1.43*</w:t>
            </w:r>
          </w:p>
        </w:tc>
      </w:tr>
      <w:tr w:rsidR="001B13AD" w:rsidRPr="00E16006" w14:paraId="05998FC7" w14:textId="77777777" w:rsidTr="0080622F">
        <w:trPr>
          <w:trHeight w:val="285"/>
          <w:jc w:val="center"/>
        </w:trPr>
        <w:tc>
          <w:tcPr>
            <w:tcW w:w="602" w:type="pct"/>
            <w:shd w:val="clear" w:color="auto" w:fill="auto"/>
            <w:vAlign w:val="center"/>
          </w:tcPr>
          <w:p w14:paraId="10BFE380"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eastAsia="Calibri" w:hAnsi="Arial" w:cs="Arial"/>
                <w:b/>
                <w:bCs/>
                <w:kern w:val="2"/>
              </w:rPr>
              <w:t>T</w:t>
            </w:r>
            <w:r w:rsidRPr="00E16006">
              <w:rPr>
                <w:rFonts w:ascii="Arial" w:eastAsia="Calibri" w:hAnsi="Arial" w:cs="Arial"/>
                <w:b/>
                <w:bCs/>
                <w:kern w:val="2"/>
                <w:vertAlign w:val="subscript"/>
              </w:rPr>
              <w:t>7</w:t>
            </w:r>
          </w:p>
        </w:tc>
        <w:tc>
          <w:tcPr>
            <w:tcW w:w="534" w:type="pct"/>
            <w:shd w:val="clear" w:color="auto" w:fill="auto"/>
            <w:vAlign w:val="bottom"/>
          </w:tcPr>
          <w:p w14:paraId="2C87629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285.03</w:t>
            </w:r>
          </w:p>
        </w:tc>
        <w:tc>
          <w:tcPr>
            <w:tcW w:w="477" w:type="pct"/>
            <w:shd w:val="clear" w:color="auto" w:fill="auto"/>
            <w:vAlign w:val="bottom"/>
          </w:tcPr>
          <w:p w14:paraId="60DD2FF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628.80*</w:t>
            </w:r>
          </w:p>
        </w:tc>
        <w:tc>
          <w:tcPr>
            <w:tcW w:w="484" w:type="pct"/>
            <w:shd w:val="clear" w:color="auto" w:fill="auto"/>
            <w:vAlign w:val="bottom"/>
          </w:tcPr>
          <w:p w14:paraId="2084ED2C"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806.47*</w:t>
            </w:r>
          </w:p>
        </w:tc>
        <w:tc>
          <w:tcPr>
            <w:tcW w:w="708" w:type="pct"/>
            <w:shd w:val="clear" w:color="auto" w:fill="auto"/>
            <w:vAlign w:val="bottom"/>
          </w:tcPr>
          <w:p w14:paraId="268B6270"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532.55*</w:t>
            </w:r>
          </w:p>
        </w:tc>
        <w:tc>
          <w:tcPr>
            <w:tcW w:w="525" w:type="pct"/>
            <w:shd w:val="clear" w:color="auto" w:fill="auto"/>
            <w:vAlign w:val="bottom"/>
          </w:tcPr>
          <w:p w14:paraId="4C4C3808"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1.77</w:t>
            </w:r>
          </w:p>
        </w:tc>
        <w:tc>
          <w:tcPr>
            <w:tcW w:w="485" w:type="pct"/>
            <w:shd w:val="clear" w:color="auto" w:fill="auto"/>
            <w:vAlign w:val="bottom"/>
          </w:tcPr>
          <w:p w14:paraId="230E607A"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1.39*</w:t>
            </w:r>
          </w:p>
        </w:tc>
        <w:tc>
          <w:tcPr>
            <w:tcW w:w="484" w:type="pct"/>
            <w:shd w:val="clear" w:color="auto" w:fill="auto"/>
            <w:vAlign w:val="bottom"/>
          </w:tcPr>
          <w:p w14:paraId="7997EC6D"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1.17*</w:t>
            </w:r>
          </w:p>
        </w:tc>
        <w:tc>
          <w:tcPr>
            <w:tcW w:w="701" w:type="pct"/>
            <w:shd w:val="clear" w:color="auto" w:fill="auto"/>
            <w:vAlign w:val="bottom"/>
          </w:tcPr>
          <w:p w14:paraId="5456161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1.28*</w:t>
            </w:r>
          </w:p>
        </w:tc>
      </w:tr>
      <w:tr w:rsidR="001B13AD" w:rsidRPr="00E16006" w14:paraId="3FB0AC5B" w14:textId="77777777" w:rsidTr="0080622F">
        <w:trPr>
          <w:trHeight w:val="285"/>
          <w:jc w:val="center"/>
        </w:trPr>
        <w:tc>
          <w:tcPr>
            <w:tcW w:w="602" w:type="pct"/>
            <w:shd w:val="clear" w:color="auto" w:fill="auto"/>
            <w:vAlign w:val="center"/>
          </w:tcPr>
          <w:p w14:paraId="6F2D7399"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T</w:t>
            </w:r>
            <w:r w:rsidRPr="00E16006">
              <w:rPr>
                <w:rFonts w:ascii="Arial" w:eastAsia="Calibri" w:hAnsi="Arial" w:cs="Arial"/>
                <w:b/>
                <w:bCs/>
                <w:kern w:val="2"/>
                <w:vertAlign w:val="subscript"/>
              </w:rPr>
              <w:t>8</w:t>
            </w:r>
          </w:p>
        </w:tc>
        <w:tc>
          <w:tcPr>
            <w:tcW w:w="534" w:type="pct"/>
            <w:shd w:val="clear" w:color="auto" w:fill="auto"/>
            <w:vAlign w:val="bottom"/>
          </w:tcPr>
          <w:p w14:paraId="3DB8982A"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color w:val="000000"/>
              </w:rPr>
              <w:t>281.12</w:t>
            </w:r>
          </w:p>
        </w:tc>
        <w:tc>
          <w:tcPr>
            <w:tcW w:w="477" w:type="pct"/>
            <w:shd w:val="clear" w:color="auto" w:fill="auto"/>
            <w:vAlign w:val="bottom"/>
          </w:tcPr>
          <w:p w14:paraId="6DB2462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593.05</w:t>
            </w:r>
          </w:p>
        </w:tc>
        <w:tc>
          <w:tcPr>
            <w:tcW w:w="484" w:type="pct"/>
            <w:shd w:val="clear" w:color="auto" w:fill="auto"/>
            <w:vAlign w:val="bottom"/>
          </w:tcPr>
          <w:p w14:paraId="6B3AC153"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765.13</w:t>
            </w:r>
          </w:p>
        </w:tc>
        <w:tc>
          <w:tcPr>
            <w:tcW w:w="708" w:type="pct"/>
            <w:shd w:val="clear" w:color="auto" w:fill="auto"/>
            <w:vAlign w:val="bottom"/>
          </w:tcPr>
          <w:p w14:paraId="481787F6"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color w:val="000000"/>
                <w:kern w:val="2"/>
              </w:rPr>
              <w:t>504.25</w:t>
            </w:r>
          </w:p>
        </w:tc>
        <w:tc>
          <w:tcPr>
            <w:tcW w:w="525" w:type="pct"/>
            <w:shd w:val="clear" w:color="auto" w:fill="auto"/>
            <w:vAlign w:val="bottom"/>
          </w:tcPr>
          <w:p w14:paraId="49C7B71E"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hAnsi="Arial" w:cs="Arial"/>
                <w:color w:val="000000"/>
              </w:rPr>
              <w:t>1.64</w:t>
            </w:r>
          </w:p>
        </w:tc>
        <w:tc>
          <w:tcPr>
            <w:tcW w:w="485" w:type="pct"/>
            <w:shd w:val="clear" w:color="auto" w:fill="auto"/>
            <w:vAlign w:val="bottom"/>
          </w:tcPr>
          <w:p w14:paraId="0DC8D012"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1.92</w:t>
            </w:r>
          </w:p>
        </w:tc>
        <w:tc>
          <w:tcPr>
            <w:tcW w:w="484" w:type="pct"/>
            <w:shd w:val="clear" w:color="auto" w:fill="auto"/>
            <w:vAlign w:val="bottom"/>
          </w:tcPr>
          <w:p w14:paraId="6BE2F1AB"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2.06</w:t>
            </w:r>
          </w:p>
        </w:tc>
        <w:tc>
          <w:tcPr>
            <w:tcW w:w="701" w:type="pct"/>
            <w:shd w:val="clear" w:color="auto" w:fill="auto"/>
            <w:vAlign w:val="bottom"/>
          </w:tcPr>
          <w:p w14:paraId="7C5E109F" w14:textId="77777777" w:rsidR="001B13AD" w:rsidRPr="00E16006" w:rsidRDefault="001B13AD" w:rsidP="00E16006">
            <w:pPr>
              <w:widowControl w:val="0"/>
              <w:spacing w:after="80"/>
              <w:jc w:val="center"/>
              <w:rPr>
                <w:rFonts w:ascii="Arial" w:eastAsia="Calibri" w:hAnsi="Arial" w:cs="Arial"/>
                <w:b/>
                <w:bCs/>
                <w:color w:val="000000"/>
                <w:kern w:val="2"/>
              </w:rPr>
            </w:pPr>
            <w:r w:rsidRPr="00E16006">
              <w:rPr>
                <w:rFonts w:ascii="Arial" w:eastAsia="Calibri" w:hAnsi="Arial" w:cs="Arial"/>
                <w:color w:val="000000"/>
                <w:kern w:val="2"/>
              </w:rPr>
              <w:t>2.02</w:t>
            </w:r>
          </w:p>
        </w:tc>
      </w:tr>
      <w:tr w:rsidR="001B13AD" w:rsidRPr="00E16006" w14:paraId="73D9D6F8" w14:textId="77777777" w:rsidTr="0080622F">
        <w:trPr>
          <w:trHeight w:val="285"/>
          <w:jc w:val="center"/>
        </w:trPr>
        <w:tc>
          <w:tcPr>
            <w:tcW w:w="602" w:type="pct"/>
            <w:shd w:val="clear" w:color="auto" w:fill="auto"/>
            <w:vAlign w:val="center"/>
          </w:tcPr>
          <w:p w14:paraId="77D0FDFD" w14:textId="77777777" w:rsidR="001B13AD" w:rsidRPr="00E16006" w:rsidRDefault="001B13AD" w:rsidP="00E16006">
            <w:pPr>
              <w:widowControl w:val="0"/>
              <w:spacing w:after="80"/>
              <w:rPr>
                <w:rFonts w:ascii="Arial" w:eastAsia="Calibri" w:hAnsi="Arial" w:cs="Arial"/>
                <w:b/>
                <w:bCs/>
                <w:kern w:val="2"/>
              </w:rPr>
            </w:pPr>
            <w:proofErr w:type="spellStart"/>
            <w:r w:rsidRPr="00E16006">
              <w:rPr>
                <w:rFonts w:ascii="Arial" w:hAnsi="Arial" w:cs="Arial"/>
                <w:b/>
                <w:bCs/>
                <w:color w:val="000000"/>
                <w:lang w:eastAsia="en-IN"/>
              </w:rPr>
              <w:t>SE.m</w:t>
            </w:r>
            <w:proofErr w:type="spellEnd"/>
            <w:r w:rsidRPr="00E16006">
              <w:rPr>
                <w:rFonts w:ascii="Arial" w:hAnsi="Arial" w:cs="Arial"/>
                <w:b/>
                <w:bCs/>
                <w:color w:val="000000"/>
                <w:lang w:eastAsia="en-IN"/>
              </w:rPr>
              <w:t>±</w:t>
            </w:r>
          </w:p>
        </w:tc>
        <w:tc>
          <w:tcPr>
            <w:tcW w:w="534" w:type="pct"/>
            <w:shd w:val="clear" w:color="auto" w:fill="auto"/>
            <w:vAlign w:val="bottom"/>
          </w:tcPr>
          <w:p w14:paraId="27ACD86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eastAsia="Calibri" w:hAnsi="Arial" w:cs="Arial"/>
                <w:b/>
                <w:bCs/>
                <w:kern w:val="2"/>
              </w:rPr>
              <w:t>6.32</w:t>
            </w:r>
          </w:p>
        </w:tc>
        <w:tc>
          <w:tcPr>
            <w:tcW w:w="477" w:type="pct"/>
            <w:shd w:val="clear" w:color="auto" w:fill="auto"/>
            <w:vAlign w:val="bottom"/>
          </w:tcPr>
          <w:p w14:paraId="2CF7E82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4.60</w:t>
            </w:r>
          </w:p>
        </w:tc>
        <w:tc>
          <w:tcPr>
            <w:tcW w:w="484" w:type="pct"/>
            <w:shd w:val="clear" w:color="auto" w:fill="auto"/>
            <w:vAlign w:val="bottom"/>
          </w:tcPr>
          <w:p w14:paraId="3D92D59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4.97</w:t>
            </w:r>
          </w:p>
        </w:tc>
        <w:tc>
          <w:tcPr>
            <w:tcW w:w="708" w:type="pct"/>
            <w:shd w:val="clear" w:color="auto" w:fill="auto"/>
            <w:vAlign w:val="bottom"/>
          </w:tcPr>
          <w:p w14:paraId="451A1558"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5.37</w:t>
            </w:r>
          </w:p>
        </w:tc>
        <w:tc>
          <w:tcPr>
            <w:tcW w:w="525" w:type="pct"/>
            <w:shd w:val="clear" w:color="auto" w:fill="auto"/>
            <w:vAlign w:val="bottom"/>
          </w:tcPr>
          <w:p w14:paraId="14B1AFFB"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0.07</w:t>
            </w:r>
          </w:p>
        </w:tc>
        <w:tc>
          <w:tcPr>
            <w:tcW w:w="485" w:type="pct"/>
            <w:shd w:val="clear" w:color="auto" w:fill="auto"/>
            <w:vAlign w:val="bottom"/>
          </w:tcPr>
          <w:p w14:paraId="7FB8EFF2"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hAnsi="Arial" w:cs="Arial"/>
                <w:b/>
                <w:bCs/>
                <w:color w:val="000000"/>
                <w:lang w:eastAsia="en-IN"/>
              </w:rPr>
              <w:t>0.05</w:t>
            </w:r>
          </w:p>
        </w:tc>
        <w:tc>
          <w:tcPr>
            <w:tcW w:w="484" w:type="pct"/>
            <w:shd w:val="clear" w:color="auto" w:fill="auto"/>
            <w:vAlign w:val="bottom"/>
          </w:tcPr>
          <w:p w14:paraId="74DA06DB"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hAnsi="Arial" w:cs="Arial"/>
                <w:b/>
                <w:bCs/>
                <w:color w:val="000000"/>
                <w:lang w:eastAsia="en-IN"/>
              </w:rPr>
              <w:t>0.06</w:t>
            </w:r>
          </w:p>
        </w:tc>
        <w:tc>
          <w:tcPr>
            <w:tcW w:w="701" w:type="pct"/>
            <w:shd w:val="clear" w:color="auto" w:fill="auto"/>
            <w:vAlign w:val="bottom"/>
          </w:tcPr>
          <w:p w14:paraId="6B45E7C8"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hAnsi="Arial" w:cs="Arial"/>
                <w:b/>
                <w:bCs/>
                <w:color w:val="000000"/>
                <w:lang w:eastAsia="en-IN"/>
              </w:rPr>
              <w:t>0.04</w:t>
            </w:r>
          </w:p>
        </w:tc>
      </w:tr>
      <w:tr w:rsidR="001B13AD" w:rsidRPr="00E16006" w14:paraId="28A4794A" w14:textId="77777777" w:rsidTr="0080622F">
        <w:trPr>
          <w:trHeight w:val="234"/>
          <w:jc w:val="center"/>
        </w:trPr>
        <w:tc>
          <w:tcPr>
            <w:tcW w:w="602" w:type="pct"/>
            <w:shd w:val="clear" w:color="auto" w:fill="auto"/>
            <w:vAlign w:val="center"/>
          </w:tcPr>
          <w:p w14:paraId="0718D6EB" w14:textId="77777777" w:rsidR="001B13AD" w:rsidRPr="00E16006" w:rsidRDefault="001B13AD" w:rsidP="00E16006">
            <w:pPr>
              <w:widowControl w:val="0"/>
              <w:spacing w:after="80"/>
              <w:rPr>
                <w:rFonts w:ascii="Arial" w:eastAsia="Calibri" w:hAnsi="Arial" w:cs="Arial"/>
                <w:b/>
                <w:bCs/>
                <w:kern w:val="2"/>
              </w:rPr>
            </w:pPr>
            <w:r w:rsidRPr="00E16006">
              <w:rPr>
                <w:rFonts w:ascii="Arial" w:hAnsi="Arial" w:cs="Arial"/>
                <w:b/>
                <w:bCs/>
                <w:color w:val="000000"/>
                <w:lang w:eastAsia="en-IN"/>
              </w:rPr>
              <w:t>CD (p= 0.05)</w:t>
            </w:r>
          </w:p>
        </w:tc>
        <w:tc>
          <w:tcPr>
            <w:tcW w:w="534" w:type="pct"/>
            <w:shd w:val="clear" w:color="auto" w:fill="auto"/>
            <w:vAlign w:val="bottom"/>
          </w:tcPr>
          <w:p w14:paraId="5EF99B5C"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19.16</w:t>
            </w:r>
          </w:p>
        </w:tc>
        <w:tc>
          <w:tcPr>
            <w:tcW w:w="477" w:type="pct"/>
            <w:shd w:val="clear" w:color="auto" w:fill="auto"/>
            <w:vAlign w:val="bottom"/>
          </w:tcPr>
          <w:p w14:paraId="28C9F5C9"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13.96</w:t>
            </w:r>
          </w:p>
        </w:tc>
        <w:tc>
          <w:tcPr>
            <w:tcW w:w="484" w:type="pct"/>
            <w:shd w:val="clear" w:color="auto" w:fill="auto"/>
            <w:vAlign w:val="bottom"/>
          </w:tcPr>
          <w:p w14:paraId="66E6DFEE"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15.08</w:t>
            </w:r>
          </w:p>
        </w:tc>
        <w:tc>
          <w:tcPr>
            <w:tcW w:w="708" w:type="pct"/>
            <w:shd w:val="clear" w:color="auto" w:fill="auto"/>
            <w:vAlign w:val="bottom"/>
          </w:tcPr>
          <w:p w14:paraId="4229AB57"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16.2</w:t>
            </w:r>
          </w:p>
        </w:tc>
        <w:tc>
          <w:tcPr>
            <w:tcW w:w="525" w:type="pct"/>
            <w:shd w:val="clear" w:color="auto" w:fill="auto"/>
            <w:vAlign w:val="bottom"/>
          </w:tcPr>
          <w:p w14:paraId="539F0870"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eastAsia="Calibri" w:hAnsi="Arial" w:cs="Arial"/>
                <w:b/>
                <w:bCs/>
                <w:kern w:val="2"/>
              </w:rPr>
              <w:t>0.22</w:t>
            </w:r>
          </w:p>
        </w:tc>
        <w:tc>
          <w:tcPr>
            <w:tcW w:w="485" w:type="pct"/>
            <w:shd w:val="clear" w:color="auto" w:fill="auto"/>
            <w:vAlign w:val="bottom"/>
          </w:tcPr>
          <w:p w14:paraId="171396BE"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hAnsi="Arial" w:cs="Arial"/>
                <w:b/>
                <w:bCs/>
                <w:color w:val="000000"/>
                <w:lang w:eastAsia="en-IN"/>
              </w:rPr>
              <w:t>0.16</w:t>
            </w:r>
          </w:p>
        </w:tc>
        <w:tc>
          <w:tcPr>
            <w:tcW w:w="484" w:type="pct"/>
            <w:shd w:val="clear" w:color="auto" w:fill="auto"/>
            <w:vAlign w:val="bottom"/>
          </w:tcPr>
          <w:p w14:paraId="658AB9A2"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hAnsi="Arial" w:cs="Arial"/>
                <w:b/>
                <w:bCs/>
                <w:color w:val="000000"/>
                <w:lang w:eastAsia="en-IN"/>
              </w:rPr>
              <w:t>0.17</w:t>
            </w:r>
          </w:p>
        </w:tc>
        <w:tc>
          <w:tcPr>
            <w:tcW w:w="701" w:type="pct"/>
            <w:shd w:val="clear" w:color="auto" w:fill="auto"/>
            <w:vAlign w:val="bottom"/>
          </w:tcPr>
          <w:p w14:paraId="1600680D" w14:textId="77777777" w:rsidR="001B13AD" w:rsidRPr="00E16006" w:rsidRDefault="001B13AD" w:rsidP="00E16006">
            <w:pPr>
              <w:widowControl w:val="0"/>
              <w:spacing w:after="80"/>
              <w:jc w:val="center"/>
              <w:rPr>
                <w:rFonts w:ascii="Arial" w:eastAsia="Calibri" w:hAnsi="Arial" w:cs="Arial"/>
                <w:b/>
                <w:bCs/>
                <w:kern w:val="2"/>
              </w:rPr>
            </w:pPr>
            <w:r w:rsidRPr="00E16006">
              <w:rPr>
                <w:rFonts w:ascii="Arial" w:hAnsi="Arial" w:cs="Arial"/>
                <w:b/>
                <w:bCs/>
                <w:color w:val="000000"/>
                <w:lang w:eastAsia="en-IN"/>
              </w:rPr>
              <w:t>0.13</w:t>
            </w:r>
          </w:p>
        </w:tc>
      </w:tr>
      <w:tr w:rsidR="001B13AD" w:rsidRPr="00E16006" w14:paraId="3A345A9B" w14:textId="77777777" w:rsidTr="0080622F">
        <w:trPr>
          <w:trHeight w:val="285"/>
          <w:jc w:val="center"/>
        </w:trPr>
        <w:tc>
          <w:tcPr>
            <w:tcW w:w="602" w:type="pct"/>
            <w:shd w:val="clear" w:color="auto" w:fill="auto"/>
            <w:vAlign w:val="center"/>
          </w:tcPr>
          <w:p w14:paraId="48CDD90F" w14:textId="77777777" w:rsidR="001B13AD" w:rsidRPr="00E16006" w:rsidRDefault="001B13AD" w:rsidP="00E16006">
            <w:pPr>
              <w:widowControl w:val="0"/>
              <w:spacing w:after="80"/>
              <w:rPr>
                <w:rFonts w:ascii="Arial" w:eastAsia="Calibri" w:hAnsi="Arial" w:cs="Arial"/>
                <w:b/>
                <w:bCs/>
                <w:kern w:val="2"/>
              </w:rPr>
            </w:pPr>
            <w:r w:rsidRPr="00E16006">
              <w:rPr>
                <w:rFonts w:ascii="Arial" w:hAnsi="Arial" w:cs="Arial"/>
                <w:b/>
                <w:bCs/>
                <w:color w:val="000000"/>
                <w:lang w:eastAsia="en-IN"/>
              </w:rPr>
              <w:t>CV (%)</w:t>
            </w:r>
          </w:p>
        </w:tc>
        <w:tc>
          <w:tcPr>
            <w:tcW w:w="534" w:type="pct"/>
            <w:shd w:val="clear" w:color="auto" w:fill="auto"/>
            <w:vAlign w:val="bottom"/>
          </w:tcPr>
          <w:p w14:paraId="1C0CF1BD"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3.74</w:t>
            </w:r>
          </w:p>
        </w:tc>
        <w:tc>
          <w:tcPr>
            <w:tcW w:w="477" w:type="pct"/>
            <w:shd w:val="clear" w:color="auto" w:fill="auto"/>
            <w:vAlign w:val="bottom"/>
          </w:tcPr>
          <w:p w14:paraId="37A2989B"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1.28</w:t>
            </w:r>
          </w:p>
        </w:tc>
        <w:tc>
          <w:tcPr>
            <w:tcW w:w="484" w:type="pct"/>
            <w:shd w:val="clear" w:color="auto" w:fill="auto"/>
            <w:vAlign w:val="bottom"/>
          </w:tcPr>
          <w:p w14:paraId="73C54DF1"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1.08</w:t>
            </w:r>
          </w:p>
        </w:tc>
        <w:tc>
          <w:tcPr>
            <w:tcW w:w="708" w:type="pct"/>
            <w:shd w:val="clear" w:color="auto" w:fill="auto"/>
            <w:vAlign w:val="bottom"/>
          </w:tcPr>
          <w:p w14:paraId="734C1C5F" w14:textId="77777777" w:rsidR="001B13AD" w:rsidRPr="00E16006" w:rsidRDefault="001B13AD" w:rsidP="00E16006">
            <w:pPr>
              <w:widowControl w:val="0"/>
              <w:spacing w:after="80"/>
              <w:jc w:val="center"/>
              <w:rPr>
                <w:rFonts w:ascii="Arial" w:eastAsia="Calibri" w:hAnsi="Arial" w:cs="Arial"/>
                <w:b/>
                <w:bCs/>
                <w:kern w:val="2"/>
                <w:lang w:eastAsia="en-IN"/>
              </w:rPr>
            </w:pPr>
            <w:r w:rsidRPr="00E16006">
              <w:rPr>
                <w:rFonts w:ascii="Arial" w:hAnsi="Arial" w:cs="Arial"/>
                <w:b/>
                <w:bCs/>
                <w:color w:val="000000"/>
                <w:lang w:eastAsia="en-IN"/>
              </w:rPr>
              <w:t>1.78</w:t>
            </w:r>
          </w:p>
        </w:tc>
        <w:tc>
          <w:tcPr>
            <w:tcW w:w="525" w:type="pct"/>
            <w:shd w:val="clear" w:color="auto" w:fill="auto"/>
            <w:vAlign w:val="bottom"/>
          </w:tcPr>
          <w:p w14:paraId="49E9523C"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7.77</w:t>
            </w:r>
          </w:p>
        </w:tc>
        <w:tc>
          <w:tcPr>
            <w:tcW w:w="485" w:type="pct"/>
            <w:shd w:val="clear" w:color="auto" w:fill="auto"/>
            <w:vAlign w:val="bottom"/>
          </w:tcPr>
          <w:p w14:paraId="1704AD07"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5.89</w:t>
            </w:r>
          </w:p>
        </w:tc>
        <w:tc>
          <w:tcPr>
            <w:tcW w:w="484" w:type="pct"/>
            <w:shd w:val="clear" w:color="auto" w:fill="auto"/>
            <w:vAlign w:val="bottom"/>
          </w:tcPr>
          <w:p w14:paraId="296EA83B"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7.19</w:t>
            </w:r>
          </w:p>
        </w:tc>
        <w:tc>
          <w:tcPr>
            <w:tcW w:w="701" w:type="pct"/>
            <w:shd w:val="clear" w:color="auto" w:fill="auto"/>
            <w:vAlign w:val="bottom"/>
          </w:tcPr>
          <w:p w14:paraId="1538AC3D" w14:textId="77777777" w:rsidR="001B13AD" w:rsidRPr="00E16006" w:rsidRDefault="001B13AD" w:rsidP="00E16006">
            <w:pPr>
              <w:widowControl w:val="0"/>
              <w:spacing w:after="80"/>
              <w:jc w:val="center"/>
              <w:rPr>
                <w:rFonts w:ascii="Arial" w:hAnsi="Arial" w:cs="Arial"/>
                <w:b/>
                <w:bCs/>
                <w:color w:val="000000"/>
                <w:lang w:eastAsia="en-IN"/>
              </w:rPr>
            </w:pPr>
            <w:r w:rsidRPr="00E16006">
              <w:rPr>
                <w:rFonts w:ascii="Arial" w:eastAsia="Calibri" w:hAnsi="Arial" w:cs="Arial"/>
                <w:b/>
                <w:bCs/>
                <w:kern w:val="2"/>
              </w:rPr>
              <w:t>4.87</w:t>
            </w:r>
          </w:p>
        </w:tc>
      </w:tr>
    </w:tbl>
    <w:p w14:paraId="56E3A5A1" w14:textId="401B1896" w:rsidR="008E02CE" w:rsidRPr="00E16006" w:rsidRDefault="008E02CE" w:rsidP="0057754D">
      <w:pPr>
        <w:pStyle w:val="NormalWeb"/>
        <w:spacing w:before="240" w:beforeAutospacing="0" w:after="240" w:afterAutospacing="0"/>
        <w:jc w:val="both"/>
        <w:rPr>
          <w:rFonts w:ascii="Arial" w:hAnsi="Arial" w:cs="Arial"/>
          <w:sz w:val="20"/>
          <w:szCs w:val="20"/>
        </w:rPr>
      </w:pPr>
      <w:r w:rsidRPr="00E16006">
        <w:rPr>
          <w:rFonts w:ascii="Arial" w:hAnsi="Arial" w:cs="Arial"/>
          <w:sz w:val="20"/>
          <w:szCs w:val="20"/>
        </w:rPr>
        <w:t>3.3.2 Malondialdehyde (MDA)</w:t>
      </w:r>
    </w:p>
    <w:p w14:paraId="5E3C6C28" w14:textId="1DED02E8" w:rsidR="008E02CE" w:rsidRPr="00E16006" w:rsidRDefault="008E02CE"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 xml:space="preserve">The malondialdehyde (MDA) content exhibited notable variations at each stage (Table 3). MCM 103 had the lowest MDA accumulation (1.37 µmol/g fr. wt.) during maximum tillering, whereas BPT 5204 demonstrated no significant difference. In later stages, all treatments diminished MDA buildup, with the combination of 0.25 mM/L SNP, 0.50 mM/L SA, and 0.50 mM/L BR exhibiting the lowest MDA level, comparable to MCM 103. This therapy decreased MDA content by 27.7 per cent, 43.2 per cent, and 36.0 per cent, whereas MCM 103 exhibited reductions of 33.0 per cent, 51.8 per cent, and 42.7 per cent compared to control BPT 5204 at panicle start, anthesis, and physiological maturity, respectively. </w:t>
      </w:r>
    </w:p>
    <w:p w14:paraId="7AD4119E" w14:textId="73AB09B8" w:rsidR="007342F9" w:rsidRPr="007342F9" w:rsidRDefault="007342F9" w:rsidP="0057754D">
      <w:pPr>
        <w:pStyle w:val="NormalWeb"/>
        <w:spacing w:before="0" w:beforeAutospacing="0" w:after="240" w:afterAutospacing="0"/>
        <w:ind w:firstLine="720"/>
        <w:jc w:val="both"/>
        <w:rPr>
          <w:rFonts w:ascii="Arial" w:hAnsi="Arial" w:cs="Arial"/>
          <w:sz w:val="20"/>
          <w:szCs w:val="20"/>
        </w:rPr>
      </w:pPr>
      <w:r w:rsidRPr="007342F9">
        <w:rPr>
          <w:rFonts w:ascii="Arial" w:hAnsi="Arial" w:cs="Arial"/>
          <w:sz w:val="20"/>
          <w:szCs w:val="20"/>
          <w:lang w:val="en-US"/>
        </w:rPr>
        <w:t>Malondialdehyde (MDA), a marker of oxidative stress from ROS accumulation, decreases with exogenous phytohormone application (</w:t>
      </w:r>
      <w:r w:rsidRPr="007342F9">
        <w:rPr>
          <w:rFonts w:ascii="Arial" w:hAnsi="Arial" w:cs="Arial"/>
          <w:sz w:val="20"/>
          <w:szCs w:val="20"/>
        </w:rPr>
        <w:t xml:space="preserve">Jain </w:t>
      </w:r>
      <w:r w:rsidRPr="007342F9">
        <w:rPr>
          <w:rFonts w:ascii="Arial" w:hAnsi="Arial" w:cs="Arial"/>
          <w:i/>
          <w:iCs/>
          <w:sz w:val="20"/>
          <w:szCs w:val="20"/>
        </w:rPr>
        <w:t>et al.</w:t>
      </w:r>
      <w:r w:rsidRPr="007342F9">
        <w:rPr>
          <w:rFonts w:ascii="Arial" w:hAnsi="Arial" w:cs="Arial"/>
          <w:sz w:val="20"/>
          <w:szCs w:val="20"/>
        </w:rPr>
        <w:t xml:space="preserve"> 2001</w:t>
      </w:r>
      <w:r w:rsidRPr="007342F9">
        <w:rPr>
          <w:rFonts w:ascii="Arial" w:hAnsi="Arial" w:cs="Arial"/>
          <w:sz w:val="20"/>
          <w:szCs w:val="20"/>
          <w:lang w:val="en-US"/>
        </w:rPr>
        <w:t>). This study aligns with (</w:t>
      </w:r>
      <w:r w:rsidRPr="007342F9">
        <w:rPr>
          <w:rFonts w:ascii="Arial" w:hAnsi="Arial" w:cs="Arial"/>
          <w:sz w:val="20"/>
          <w:szCs w:val="20"/>
        </w:rPr>
        <w:t xml:space="preserve">Mu </w:t>
      </w:r>
      <w:r w:rsidRPr="007342F9">
        <w:rPr>
          <w:rFonts w:ascii="Arial" w:hAnsi="Arial" w:cs="Arial"/>
          <w:i/>
          <w:iCs/>
          <w:sz w:val="20"/>
          <w:szCs w:val="20"/>
        </w:rPr>
        <w:t>et al.</w:t>
      </w:r>
      <w:r w:rsidRPr="007342F9">
        <w:rPr>
          <w:rFonts w:ascii="Arial" w:hAnsi="Arial" w:cs="Arial"/>
          <w:sz w:val="20"/>
          <w:szCs w:val="20"/>
        </w:rPr>
        <w:t xml:space="preserve"> 2022</w:t>
      </w:r>
      <w:r w:rsidRPr="007342F9">
        <w:rPr>
          <w:rFonts w:ascii="Arial" w:hAnsi="Arial" w:cs="Arial"/>
          <w:sz w:val="20"/>
          <w:szCs w:val="20"/>
          <w:lang w:val="en-US"/>
        </w:rPr>
        <w:t xml:space="preserve">), showing reduced MDA with </w:t>
      </w:r>
      <w:proofErr w:type="spellStart"/>
      <w:r w:rsidRPr="007342F9">
        <w:rPr>
          <w:rFonts w:ascii="Arial" w:hAnsi="Arial" w:cs="Arial"/>
          <w:sz w:val="20"/>
          <w:szCs w:val="20"/>
          <w:lang w:val="en-US"/>
        </w:rPr>
        <w:t>brassinolide</w:t>
      </w:r>
      <w:proofErr w:type="spellEnd"/>
      <w:r w:rsidRPr="007342F9">
        <w:rPr>
          <w:rFonts w:ascii="Arial" w:hAnsi="Arial" w:cs="Arial"/>
          <w:sz w:val="20"/>
          <w:szCs w:val="20"/>
          <w:lang w:val="en-US"/>
        </w:rPr>
        <w:t>. Similarly, salicylic acid and SNP lowered MDA levels (</w:t>
      </w:r>
      <w:r w:rsidRPr="007342F9">
        <w:rPr>
          <w:rFonts w:ascii="Arial" w:hAnsi="Arial" w:cs="Arial"/>
          <w:sz w:val="20"/>
          <w:szCs w:val="20"/>
        </w:rPr>
        <w:t xml:space="preserve">Kim </w:t>
      </w:r>
      <w:r w:rsidRPr="007342F9">
        <w:rPr>
          <w:rFonts w:ascii="Arial" w:hAnsi="Arial" w:cs="Arial"/>
          <w:i/>
          <w:iCs/>
          <w:sz w:val="20"/>
          <w:szCs w:val="20"/>
        </w:rPr>
        <w:t>et al.</w:t>
      </w:r>
      <w:r w:rsidRPr="007342F9">
        <w:rPr>
          <w:rFonts w:ascii="Arial" w:hAnsi="Arial" w:cs="Arial"/>
          <w:sz w:val="20"/>
          <w:szCs w:val="20"/>
        </w:rPr>
        <w:t xml:space="preserve"> 2018</w:t>
      </w:r>
      <w:r w:rsidRPr="007342F9">
        <w:rPr>
          <w:rFonts w:ascii="Arial" w:hAnsi="Arial" w:cs="Arial"/>
          <w:sz w:val="20"/>
          <w:szCs w:val="20"/>
          <w:lang w:val="en-US"/>
        </w:rPr>
        <w:t xml:space="preserve"> and </w:t>
      </w:r>
      <w:r w:rsidRPr="007342F9">
        <w:rPr>
          <w:rFonts w:ascii="Arial" w:hAnsi="Arial" w:cs="Arial"/>
          <w:sz w:val="20"/>
          <w:szCs w:val="20"/>
        </w:rPr>
        <w:t>Sanam</w:t>
      </w:r>
      <w:r w:rsidRPr="007342F9">
        <w:rPr>
          <w:rFonts w:ascii="Arial" w:hAnsi="Arial" w:cs="Arial"/>
          <w:i/>
          <w:iCs/>
          <w:sz w:val="20"/>
          <w:szCs w:val="20"/>
        </w:rPr>
        <w:t xml:space="preserve"> et al.</w:t>
      </w:r>
      <w:r w:rsidRPr="007342F9">
        <w:rPr>
          <w:rFonts w:ascii="Arial" w:hAnsi="Arial" w:cs="Arial"/>
          <w:sz w:val="20"/>
          <w:szCs w:val="20"/>
        </w:rPr>
        <w:t xml:space="preserve"> 2015</w:t>
      </w:r>
      <w:r w:rsidRPr="007342F9">
        <w:rPr>
          <w:rFonts w:ascii="Arial" w:hAnsi="Arial" w:cs="Arial"/>
          <w:sz w:val="20"/>
          <w:szCs w:val="20"/>
          <w:lang w:val="en-US"/>
        </w:rPr>
        <w:t>), likely due to enhanced antioxidant enzyme activity and reduced ROS, mitigating oxidative damage under stress.</w:t>
      </w:r>
    </w:p>
    <w:p w14:paraId="7C270942" w14:textId="3881FAE4" w:rsidR="008E02CE" w:rsidRPr="00E16006" w:rsidRDefault="008E02CE" w:rsidP="0057754D">
      <w:pPr>
        <w:pStyle w:val="NormalWeb"/>
        <w:spacing w:before="0" w:beforeAutospacing="0" w:after="240" w:afterAutospacing="0"/>
        <w:jc w:val="both"/>
        <w:rPr>
          <w:rFonts w:ascii="Arial" w:hAnsi="Arial" w:cs="Arial"/>
          <w:sz w:val="20"/>
          <w:szCs w:val="20"/>
        </w:rPr>
      </w:pPr>
      <w:r w:rsidRPr="00E16006">
        <w:rPr>
          <w:rFonts w:ascii="Arial" w:hAnsi="Arial" w:cs="Arial"/>
          <w:sz w:val="20"/>
          <w:szCs w:val="20"/>
        </w:rPr>
        <w:t>3.3.3 Catalase and superoxide dismutase enzymes activity</w:t>
      </w:r>
    </w:p>
    <w:p w14:paraId="55D256F0" w14:textId="237D6D3E" w:rsidR="0080622F" w:rsidRPr="00E16006" w:rsidRDefault="0080622F"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All treatments significantly affected catalase activity (Table 4). At maximum tillering, MCM 103 exhibited the highest catalase activity (47.84 U/g FW min</w:t>
      </w:r>
      <w:r w:rsidRPr="00E16006">
        <w:rPr>
          <w:rFonts w:ascii="Cambria Math" w:hAnsi="Cambria Math" w:cs="Cambria Math"/>
          <w:sz w:val="20"/>
          <w:szCs w:val="20"/>
        </w:rPr>
        <w:t>⁻</w:t>
      </w:r>
      <w:r w:rsidRPr="00E16006">
        <w:rPr>
          <w:rFonts w:ascii="Arial" w:hAnsi="Arial" w:cs="Arial"/>
          <w:sz w:val="20"/>
          <w:szCs w:val="20"/>
        </w:rPr>
        <w:t>¹), with no significant difference observed in BPT 5204. In subsequent phases, all treatments demonstrated increased catalase activity, with exception of the 0.50 mM/L BR application. The peak catalase activity (52.54, 65.66, and 51.69 U/g FW min</w:t>
      </w:r>
      <w:r w:rsidRPr="00E16006">
        <w:rPr>
          <w:rFonts w:ascii="Cambria Math" w:hAnsi="Cambria Math" w:cs="Cambria Math"/>
          <w:sz w:val="20"/>
          <w:szCs w:val="20"/>
        </w:rPr>
        <w:t>⁻</w:t>
      </w:r>
      <w:r w:rsidRPr="00E16006">
        <w:rPr>
          <w:rFonts w:ascii="Arial" w:hAnsi="Arial" w:cs="Arial"/>
          <w:sz w:val="20"/>
          <w:szCs w:val="20"/>
        </w:rPr>
        <w:t>¹)</w:t>
      </w:r>
      <w:r w:rsidR="00D7425A" w:rsidRPr="00D7425A">
        <w:rPr>
          <w:rFonts w:ascii="Arial" w:hAnsi="Arial" w:cs="Arial"/>
          <w:b/>
          <w:color w:val="00B050"/>
          <w:sz w:val="20"/>
          <w:szCs w:val="20"/>
        </w:rPr>
        <w:t>Remove unnecessary parentheses</w:t>
      </w:r>
      <w:r w:rsidRPr="00E16006">
        <w:rPr>
          <w:rFonts w:ascii="Arial" w:hAnsi="Arial" w:cs="Arial"/>
          <w:sz w:val="20"/>
          <w:szCs w:val="20"/>
        </w:rPr>
        <w:t xml:space="preserve"> was seen with the treatment of 0.25 mM/L SNP+ 0.50 mM/L SA+ 0.50 mM/L BR, equivalent to the check variety.</w:t>
      </w:r>
    </w:p>
    <w:p w14:paraId="1312C8F3" w14:textId="77777777" w:rsidR="009957FF" w:rsidRPr="00E16006" w:rsidRDefault="009957FF" w:rsidP="00E16006">
      <w:pPr>
        <w:pStyle w:val="NormalWeb"/>
        <w:spacing w:before="0" w:beforeAutospacing="0" w:after="0" w:afterAutospacing="0"/>
        <w:ind w:firstLine="720"/>
        <w:jc w:val="both"/>
        <w:rPr>
          <w:rFonts w:ascii="Arial" w:hAnsi="Arial" w:cs="Arial"/>
          <w:sz w:val="20"/>
          <w:szCs w:val="20"/>
        </w:rPr>
      </w:pPr>
      <w:r w:rsidRPr="00E16006">
        <w:rPr>
          <w:rFonts w:ascii="Arial" w:hAnsi="Arial" w:cs="Arial"/>
          <w:sz w:val="20"/>
          <w:szCs w:val="20"/>
        </w:rPr>
        <w:t>The treatments considerably affected superoxide dismutase (SOD) activity, as illustrated in Table 4. At maximum tillering, MCM 103 exhibited the highest SOD activity (1.86 U/g FW min</w:t>
      </w:r>
      <w:r w:rsidRPr="00E16006">
        <w:rPr>
          <w:rFonts w:ascii="Cambria Math" w:hAnsi="Cambria Math" w:cs="Cambria Math"/>
          <w:sz w:val="20"/>
          <w:szCs w:val="20"/>
        </w:rPr>
        <w:t>⁻</w:t>
      </w:r>
      <w:r w:rsidRPr="00E16006">
        <w:rPr>
          <w:rFonts w:ascii="Arial" w:hAnsi="Arial" w:cs="Arial"/>
          <w:sz w:val="20"/>
          <w:szCs w:val="20"/>
        </w:rPr>
        <w:t>¹), with no significant changes observed in BPT 5204. In later stages, all treatments demonstrated elevated SOD activity, with the peak activity noted in plants treated with 0.25 mM/L SNP</w:t>
      </w:r>
      <w:r w:rsidRPr="00E16006">
        <w:rPr>
          <w:rFonts w:ascii="Arial" w:hAnsi="Arial" w:cs="Arial"/>
          <w:sz w:val="20"/>
          <w:szCs w:val="20"/>
          <w:vertAlign w:val="superscript"/>
        </w:rPr>
        <w:t>+</w:t>
      </w:r>
      <w:r w:rsidRPr="00E16006">
        <w:rPr>
          <w:rFonts w:ascii="Arial" w:hAnsi="Arial" w:cs="Arial"/>
          <w:sz w:val="20"/>
          <w:szCs w:val="20"/>
        </w:rPr>
        <w:t xml:space="preserve"> 0.50 mM/L SA</w:t>
      </w:r>
      <w:r w:rsidRPr="00E16006">
        <w:rPr>
          <w:rFonts w:ascii="Arial" w:hAnsi="Arial" w:cs="Arial"/>
          <w:sz w:val="20"/>
          <w:szCs w:val="20"/>
          <w:vertAlign w:val="superscript"/>
        </w:rPr>
        <w:t>+</w:t>
      </w:r>
      <w:r w:rsidRPr="00E16006">
        <w:rPr>
          <w:rFonts w:ascii="Arial" w:hAnsi="Arial" w:cs="Arial"/>
          <w:sz w:val="20"/>
          <w:szCs w:val="20"/>
        </w:rPr>
        <w:t xml:space="preserve"> 0.50 mM/L BR, comparable to MCM 103.</w:t>
      </w:r>
    </w:p>
    <w:p w14:paraId="22DC57B0" w14:textId="42707D09" w:rsidR="0080622F" w:rsidRPr="00E16006" w:rsidRDefault="0080622F" w:rsidP="00E16006">
      <w:pPr>
        <w:pStyle w:val="Legenda"/>
        <w:keepNext/>
        <w:spacing w:line="240" w:lineRule="auto"/>
        <w:rPr>
          <w:rFonts w:ascii="Arial" w:hAnsi="Arial" w:cs="Arial"/>
          <w:b/>
          <w:bCs/>
          <w:i w:val="0"/>
          <w:iCs w:val="0"/>
          <w:sz w:val="20"/>
          <w:szCs w:val="20"/>
        </w:rPr>
      </w:pPr>
      <w:bookmarkStart w:id="7" w:name="_Ref175231414"/>
      <w:bookmarkStart w:id="8" w:name="_Ref175232042"/>
      <w:r w:rsidRPr="00E16006">
        <w:rPr>
          <w:rFonts w:ascii="Arial" w:hAnsi="Arial" w:cs="Arial"/>
          <w:b/>
          <w:bCs/>
          <w:i w:val="0"/>
          <w:iCs w:val="0"/>
          <w:sz w:val="20"/>
          <w:szCs w:val="20"/>
        </w:rPr>
        <w:t xml:space="preserve">Table </w:t>
      </w:r>
      <w:r w:rsidRPr="00E16006">
        <w:rPr>
          <w:rFonts w:ascii="Arial" w:hAnsi="Arial" w:cs="Arial"/>
          <w:b/>
          <w:bCs/>
          <w:i w:val="0"/>
          <w:iCs w:val="0"/>
          <w:sz w:val="20"/>
          <w:szCs w:val="20"/>
        </w:rPr>
        <w:fldChar w:fldCharType="begin"/>
      </w:r>
      <w:r w:rsidRPr="00E16006">
        <w:rPr>
          <w:rFonts w:ascii="Arial" w:hAnsi="Arial" w:cs="Arial"/>
          <w:b/>
          <w:bCs/>
          <w:i w:val="0"/>
          <w:iCs w:val="0"/>
          <w:sz w:val="20"/>
          <w:szCs w:val="20"/>
        </w:rPr>
        <w:instrText xml:space="preserve"> SEQ Table \* ARABIC </w:instrText>
      </w:r>
      <w:r w:rsidRPr="00E16006">
        <w:rPr>
          <w:rFonts w:ascii="Arial" w:hAnsi="Arial" w:cs="Arial"/>
          <w:b/>
          <w:bCs/>
          <w:i w:val="0"/>
          <w:iCs w:val="0"/>
          <w:sz w:val="20"/>
          <w:szCs w:val="20"/>
        </w:rPr>
        <w:fldChar w:fldCharType="separate"/>
      </w:r>
      <w:r w:rsidRPr="00E16006">
        <w:rPr>
          <w:rFonts w:ascii="Arial" w:hAnsi="Arial" w:cs="Arial"/>
          <w:b/>
          <w:bCs/>
          <w:i w:val="0"/>
          <w:iCs w:val="0"/>
          <w:noProof/>
          <w:sz w:val="20"/>
          <w:szCs w:val="20"/>
        </w:rPr>
        <w:t>4</w:t>
      </w:r>
      <w:r w:rsidRPr="00E16006">
        <w:rPr>
          <w:rFonts w:ascii="Arial" w:hAnsi="Arial" w:cs="Arial"/>
          <w:b/>
          <w:bCs/>
          <w:i w:val="0"/>
          <w:iCs w:val="0"/>
          <w:sz w:val="20"/>
          <w:szCs w:val="20"/>
        </w:rPr>
        <w:fldChar w:fldCharType="end"/>
      </w:r>
      <w:bookmarkEnd w:id="7"/>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Influence of Signal molecules on catalase and super oxide dismutase activity content in rice under salinity stress</w:t>
      </w:r>
      <w:bookmarkEnd w:id="8"/>
    </w:p>
    <w:tbl>
      <w:tblPr>
        <w:tblW w:w="5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1039"/>
        <w:gridCol w:w="950"/>
        <w:gridCol w:w="961"/>
        <w:gridCol w:w="1406"/>
        <w:gridCol w:w="1039"/>
        <w:gridCol w:w="950"/>
        <w:gridCol w:w="961"/>
        <w:gridCol w:w="1406"/>
      </w:tblGrid>
      <w:tr w:rsidR="0080622F" w:rsidRPr="00E16006" w14:paraId="3CBF7102" w14:textId="77777777" w:rsidTr="0080622F">
        <w:trPr>
          <w:trHeight w:val="449"/>
          <w:jc w:val="center"/>
        </w:trPr>
        <w:tc>
          <w:tcPr>
            <w:tcW w:w="597" w:type="pct"/>
            <w:vMerge w:val="restart"/>
            <w:shd w:val="clear" w:color="auto" w:fill="auto"/>
            <w:vAlign w:val="center"/>
          </w:tcPr>
          <w:p w14:paraId="7A1CCC4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lang w:eastAsia="en-IN"/>
              </w:rPr>
              <w:t>Treatments</w:t>
            </w:r>
          </w:p>
        </w:tc>
        <w:tc>
          <w:tcPr>
            <w:tcW w:w="2202" w:type="pct"/>
            <w:gridSpan w:val="4"/>
            <w:shd w:val="clear" w:color="auto" w:fill="auto"/>
            <w:vAlign w:val="center"/>
          </w:tcPr>
          <w:p w14:paraId="3DD6ED95" w14:textId="77777777" w:rsidR="0080622F" w:rsidRPr="00E16006" w:rsidRDefault="0080622F" w:rsidP="00E16006">
            <w:pPr>
              <w:widowControl w:val="0"/>
              <w:jc w:val="center"/>
              <w:rPr>
                <w:rFonts w:ascii="Arial" w:hAnsi="Arial" w:cs="Arial"/>
                <w:b/>
                <w:bCs/>
                <w:lang w:eastAsia="en-IN"/>
              </w:rPr>
            </w:pPr>
            <w:r w:rsidRPr="00E16006">
              <w:rPr>
                <w:rFonts w:ascii="Arial" w:eastAsia="Calibri" w:hAnsi="Arial" w:cs="Arial"/>
                <w:b/>
                <w:bCs/>
                <w:kern w:val="2"/>
              </w:rPr>
              <w:t>Catalase Activity (U.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FW min</w:t>
            </w:r>
            <w:r w:rsidRPr="00E16006">
              <w:rPr>
                <w:rFonts w:ascii="Arial" w:eastAsia="Calibri" w:hAnsi="Arial" w:cs="Arial"/>
                <w:b/>
                <w:bCs/>
                <w:kern w:val="2"/>
                <w:vertAlign w:val="superscript"/>
              </w:rPr>
              <w:t>−1</w:t>
            </w:r>
            <w:r w:rsidRPr="00E16006">
              <w:rPr>
                <w:rFonts w:ascii="Arial" w:eastAsia="Calibri" w:hAnsi="Arial" w:cs="Arial"/>
                <w:b/>
                <w:bCs/>
                <w:kern w:val="2"/>
              </w:rPr>
              <w:t>)</w:t>
            </w:r>
          </w:p>
        </w:tc>
        <w:tc>
          <w:tcPr>
            <w:tcW w:w="2201" w:type="pct"/>
            <w:gridSpan w:val="4"/>
            <w:shd w:val="clear" w:color="auto" w:fill="auto"/>
            <w:vAlign w:val="center"/>
          </w:tcPr>
          <w:p w14:paraId="796542C5" w14:textId="77777777" w:rsidR="0080622F" w:rsidRPr="00E16006" w:rsidRDefault="0080622F" w:rsidP="00E16006">
            <w:pPr>
              <w:widowControl w:val="0"/>
              <w:jc w:val="center"/>
              <w:rPr>
                <w:rFonts w:ascii="Arial" w:hAnsi="Arial" w:cs="Arial"/>
                <w:b/>
                <w:bCs/>
                <w:lang w:eastAsia="en-IN"/>
              </w:rPr>
            </w:pPr>
            <w:r w:rsidRPr="00E16006">
              <w:rPr>
                <w:rFonts w:ascii="Arial" w:eastAsia="Calibri" w:hAnsi="Arial" w:cs="Arial"/>
                <w:b/>
                <w:bCs/>
                <w:kern w:val="2"/>
              </w:rPr>
              <w:t>Super oxide dismutase Activity (U. g</w:t>
            </w:r>
            <w:r w:rsidRPr="00E16006">
              <w:rPr>
                <w:rFonts w:ascii="Arial" w:eastAsia="Calibri" w:hAnsi="Arial" w:cs="Arial"/>
                <w:b/>
                <w:bCs/>
                <w:kern w:val="2"/>
                <w:vertAlign w:val="superscript"/>
              </w:rPr>
              <w:t>−1</w:t>
            </w:r>
            <w:r w:rsidRPr="00E16006">
              <w:rPr>
                <w:rFonts w:ascii="Arial" w:eastAsia="Calibri" w:hAnsi="Arial" w:cs="Arial"/>
                <w:b/>
                <w:bCs/>
                <w:kern w:val="2"/>
              </w:rPr>
              <w:t xml:space="preserve"> FW min</w:t>
            </w:r>
            <w:r w:rsidRPr="00E16006">
              <w:rPr>
                <w:rFonts w:ascii="Arial" w:eastAsia="Calibri" w:hAnsi="Arial" w:cs="Arial"/>
                <w:b/>
                <w:bCs/>
                <w:kern w:val="2"/>
                <w:vertAlign w:val="superscript"/>
              </w:rPr>
              <w:t>−1</w:t>
            </w:r>
            <w:r w:rsidRPr="00E16006">
              <w:rPr>
                <w:rFonts w:ascii="Arial" w:eastAsia="Calibri" w:hAnsi="Arial" w:cs="Arial"/>
                <w:b/>
                <w:bCs/>
                <w:kern w:val="2"/>
              </w:rPr>
              <w:t>)</w:t>
            </w:r>
          </w:p>
        </w:tc>
      </w:tr>
      <w:tr w:rsidR="0080622F" w:rsidRPr="00E16006" w14:paraId="613B6CC8" w14:textId="77777777" w:rsidTr="0080622F">
        <w:trPr>
          <w:trHeight w:val="154"/>
          <w:jc w:val="center"/>
        </w:trPr>
        <w:tc>
          <w:tcPr>
            <w:tcW w:w="597" w:type="pct"/>
            <w:vMerge/>
            <w:shd w:val="clear" w:color="auto" w:fill="auto"/>
            <w:vAlign w:val="center"/>
          </w:tcPr>
          <w:p w14:paraId="175F33DE" w14:textId="77777777" w:rsidR="0080622F" w:rsidRPr="00E16006" w:rsidRDefault="0080622F" w:rsidP="00E16006">
            <w:pPr>
              <w:widowControl w:val="0"/>
              <w:jc w:val="center"/>
              <w:rPr>
                <w:rFonts w:ascii="Arial" w:eastAsia="Calibri" w:hAnsi="Arial" w:cs="Arial"/>
                <w:b/>
                <w:bCs/>
                <w:kern w:val="2"/>
                <w:lang w:eastAsia="en-IN"/>
              </w:rPr>
            </w:pPr>
          </w:p>
        </w:tc>
        <w:tc>
          <w:tcPr>
            <w:tcW w:w="526" w:type="pct"/>
            <w:shd w:val="clear" w:color="auto" w:fill="auto"/>
            <w:vAlign w:val="center"/>
          </w:tcPr>
          <w:p w14:paraId="3A5592D5"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Maximum tillering stage</w:t>
            </w:r>
          </w:p>
        </w:tc>
        <w:tc>
          <w:tcPr>
            <w:tcW w:w="481" w:type="pct"/>
            <w:shd w:val="clear" w:color="auto" w:fill="auto"/>
            <w:vAlign w:val="center"/>
          </w:tcPr>
          <w:p w14:paraId="7FEEBE48"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Panicle initiation stage</w:t>
            </w:r>
          </w:p>
        </w:tc>
        <w:tc>
          <w:tcPr>
            <w:tcW w:w="487" w:type="pct"/>
            <w:shd w:val="clear" w:color="auto" w:fill="auto"/>
            <w:vAlign w:val="center"/>
          </w:tcPr>
          <w:p w14:paraId="0506C63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Anthesis stage</w:t>
            </w:r>
          </w:p>
        </w:tc>
        <w:tc>
          <w:tcPr>
            <w:tcW w:w="707" w:type="pct"/>
            <w:shd w:val="clear" w:color="auto" w:fill="auto"/>
            <w:vAlign w:val="center"/>
          </w:tcPr>
          <w:p w14:paraId="6FF01C8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lang w:eastAsia="en-IN"/>
              </w:rPr>
              <w:t>Physiological maturity Stage</w:t>
            </w:r>
          </w:p>
        </w:tc>
        <w:tc>
          <w:tcPr>
            <w:tcW w:w="525" w:type="pct"/>
            <w:shd w:val="clear" w:color="auto" w:fill="auto"/>
            <w:vAlign w:val="center"/>
          </w:tcPr>
          <w:p w14:paraId="698439DE"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Maximum tillering stage</w:t>
            </w:r>
          </w:p>
        </w:tc>
        <w:tc>
          <w:tcPr>
            <w:tcW w:w="481" w:type="pct"/>
            <w:shd w:val="clear" w:color="auto" w:fill="auto"/>
            <w:vAlign w:val="center"/>
          </w:tcPr>
          <w:p w14:paraId="10ACE22D"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Panicle initiation stage</w:t>
            </w:r>
          </w:p>
        </w:tc>
        <w:tc>
          <w:tcPr>
            <w:tcW w:w="487" w:type="pct"/>
            <w:shd w:val="clear" w:color="auto" w:fill="auto"/>
            <w:vAlign w:val="center"/>
          </w:tcPr>
          <w:p w14:paraId="536D9ABC"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Anthesis stage</w:t>
            </w:r>
          </w:p>
        </w:tc>
        <w:tc>
          <w:tcPr>
            <w:tcW w:w="707" w:type="pct"/>
            <w:shd w:val="clear" w:color="auto" w:fill="auto"/>
            <w:vAlign w:val="center"/>
          </w:tcPr>
          <w:p w14:paraId="2ED5F597" w14:textId="77777777" w:rsidR="0080622F" w:rsidRPr="00E16006" w:rsidRDefault="0080622F" w:rsidP="00E16006">
            <w:pPr>
              <w:widowControl w:val="0"/>
              <w:jc w:val="center"/>
              <w:rPr>
                <w:rFonts w:ascii="Arial" w:hAnsi="Arial" w:cs="Arial"/>
                <w:b/>
                <w:bCs/>
                <w:lang w:eastAsia="en-IN"/>
              </w:rPr>
            </w:pPr>
            <w:r w:rsidRPr="00E16006">
              <w:rPr>
                <w:rFonts w:ascii="Arial" w:hAnsi="Arial" w:cs="Arial"/>
                <w:b/>
                <w:bCs/>
                <w:lang w:eastAsia="en-IN"/>
              </w:rPr>
              <w:t>Physiological maturity Stage</w:t>
            </w:r>
          </w:p>
        </w:tc>
      </w:tr>
      <w:tr w:rsidR="0080622F" w:rsidRPr="00E16006" w14:paraId="597F3683" w14:textId="77777777" w:rsidTr="0080622F">
        <w:trPr>
          <w:trHeight w:val="224"/>
          <w:jc w:val="center"/>
        </w:trPr>
        <w:tc>
          <w:tcPr>
            <w:tcW w:w="597" w:type="pct"/>
            <w:tcBorders>
              <w:bottom w:val="single" w:sz="4" w:space="0" w:color="auto"/>
            </w:tcBorders>
            <w:shd w:val="clear" w:color="auto" w:fill="auto"/>
            <w:vAlign w:val="center"/>
          </w:tcPr>
          <w:p w14:paraId="3FC92712"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lastRenderedPageBreak/>
              <w:t>T1</w:t>
            </w:r>
          </w:p>
        </w:tc>
        <w:tc>
          <w:tcPr>
            <w:tcW w:w="526" w:type="pct"/>
            <w:shd w:val="clear" w:color="auto" w:fill="auto"/>
            <w:vAlign w:val="bottom"/>
          </w:tcPr>
          <w:p w14:paraId="22ECC56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47.84</w:t>
            </w:r>
          </w:p>
        </w:tc>
        <w:tc>
          <w:tcPr>
            <w:tcW w:w="481" w:type="pct"/>
            <w:shd w:val="clear" w:color="auto" w:fill="auto"/>
            <w:vAlign w:val="bottom"/>
          </w:tcPr>
          <w:p w14:paraId="705D5DB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54.99*</w:t>
            </w:r>
          </w:p>
        </w:tc>
        <w:tc>
          <w:tcPr>
            <w:tcW w:w="487" w:type="pct"/>
            <w:shd w:val="clear" w:color="auto" w:fill="auto"/>
            <w:vAlign w:val="bottom"/>
          </w:tcPr>
          <w:p w14:paraId="48E17E9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70.96*</w:t>
            </w:r>
          </w:p>
        </w:tc>
        <w:tc>
          <w:tcPr>
            <w:tcW w:w="707" w:type="pct"/>
            <w:shd w:val="clear" w:color="auto" w:fill="auto"/>
            <w:vAlign w:val="bottom"/>
          </w:tcPr>
          <w:p w14:paraId="0DC22E6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56.22*</w:t>
            </w:r>
          </w:p>
        </w:tc>
        <w:tc>
          <w:tcPr>
            <w:tcW w:w="525" w:type="pct"/>
            <w:shd w:val="clear" w:color="auto" w:fill="auto"/>
            <w:vAlign w:val="bottom"/>
          </w:tcPr>
          <w:p w14:paraId="6D7B5DE4"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1.86</w:t>
            </w:r>
          </w:p>
        </w:tc>
        <w:tc>
          <w:tcPr>
            <w:tcW w:w="481" w:type="pct"/>
            <w:shd w:val="clear" w:color="auto" w:fill="auto"/>
            <w:vAlign w:val="bottom"/>
          </w:tcPr>
          <w:p w14:paraId="30CDD55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2.38*</w:t>
            </w:r>
          </w:p>
        </w:tc>
        <w:tc>
          <w:tcPr>
            <w:tcW w:w="487" w:type="pct"/>
            <w:shd w:val="clear" w:color="auto" w:fill="auto"/>
            <w:vAlign w:val="bottom"/>
          </w:tcPr>
          <w:p w14:paraId="637D1DAD"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2.85*</w:t>
            </w:r>
          </w:p>
        </w:tc>
        <w:tc>
          <w:tcPr>
            <w:tcW w:w="707" w:type="pct"/>
            <w:shd w:val="clear" w:color="auto" w:fill="auto"/>
            <w:vAlign w:val="bottom"/>
          </w:tcPr>
          <w:p w14:paraId="51E857DA"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1.89*</w:t>
            </w:r>
          </w:p>
        </w:tc>
      </w:tr>
      <w:tr w:rsidR="0080622F" w:rsidRPr="00E16006" w14:paraId="7018CDDB" w14:textId="77777777" w:rsidTr="0080622F">
        <w:trPr>
          <w:trHeight w:val="211"/>
          <w:jc w:val="center"/>
        </w:trPr>
        <w:tc>
          <w:tcPr>
            <w:tcW w:w="597" w:type="pct"/>
            <w:tcBorders>
              <w:bottom w:val="single" w:sz="4" w:space="0" w:color="auto"/>
            </w:tcBorders>
            <w:shd w:val="clear" w:color="auto" w:fill="auto"/>
            <w:vAlign w:val="center"/>
          </w:tcPr>
          <w:p w14:paraId="005B242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T2</w:t>
            </w:r>
          </w:p>
        </w:tc>
        <w:tc>
          <w:tcPr>
            <w:tcW w:w="526" w:type="pct"/>
            <w:shd w:val="clear" w:color="auto" w:fill="auto"/>
            <w:vAlign w:val="bottom"/>
          </w:tcPr>
          <w:p w14:paraId="4386702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36.98</w:t>
            </w:r>
          </w:p>
        </w:tc>
        <w:tc>
          <w:tcPr>
            <w:tcW w:w="481" w:type="pct"/>
            <w:shd w:val="clear" w:color="auto" w:fill="auto"/>
            <w:vAlign w:val="bottom"/>
          </w:tcPr>
          <w:p w14:paraId="1788E09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43.37*</w:t>
            </w:r>
          </w:p>
        </w:tc>
        <w:tc>
          <w:tcPr>
            <w:tcW w:w="487" w:type="pct"/>
            <w:shd w:val="clear" w:color="auto" w:fill="auto"/>
            <w:vAlign w:val="bottom"/>
          </w:tcPr>
          <w:p w14:paraId="791D862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47.59*</w:t>
            </w:r>
          </w:p>
        </w:tc>
        <w:tc>
          <w:tcPr>
            <w:tcW w:w="707" w:type="pct"/>
            <w:shd w:val="clear" w:color="auto" w:fill="auto"/>
            <w:vAlign w:val="bottom"/>
          </w:tcPr>
          <w:p w14:paraId="7CAF886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43.48*</w:t>
            </w:r>
          </w:p>
        </w:tc>
        <w:tc>
          <w:tcPr>
            <w:tcW w:w="525" w:type="pct"/>
            <w:shd w:val="clear" w:color="auto" w:fill="auto"/>
            <w:vAlign w:val="bottom"/>
          </w:tcPr>
          <w:p w14:paraId="7512129E"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1.04</w:t>
            </w:r>
          </w:p>
        </w:tc>
        <w:tc>
          <w:tcPr>
            <w:tcW w:w="481" w:type="pct"/>
            <w:shd w:val="clear" w:color="auto" w:fill="auto"/>
            <w:vAlign w:val="bottom"/>
          </w:tcPr>
          <w:p w14:paraId="516120D2"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1.86*</w:t>
            </w:r>
          </w:p>
        </w:tc>
        <w:tc>
          <w:tcPr>
            <w:tcW w:w="487" w:type="pct"/>
            <w:shd w:val="clear" w:color="auto" w:fill="auto"/>
            <w:vAlign w:val="bottom"/>
          </w:tcPr>
          <w:p w14:paraId="16350803"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1.92*</w:t>
            </w:r>
          </w:p>
        </w:tc>
        <w:tc>
          <w:tcPr>
            <w:tcW w:w="707" w:type="pct"/>
            <w:shd w:val="clear" w:color="auto" w:fill="auto"/>
            <w:vAlign w:val="bottom"/>
          </w:tcPr>
          <w:p w14:paraId="0B8107E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1.66*</w:t>
            </w:r>
          </w:p>
        </w:tc>
      </w:tr>
      <w:tr w:rsidR="0080622F" w:rsidRPr="00E16006" w14:paraId="200A3ADD" w14:textId="77777777" w:rsidTr="0080622F">
        <w:trPr>
          <w:trHeight w:val="224"/>
          <w:jc w:val="center"/>
        </w:trPr>
        <w:tc>
          <w:tcPr>
            <w:tcW w:w="597" w:type="pct"/>
            <w:shd w:val="clear" w:color="auto" w:fill="auto"/>
            <w:vAlign w:val="center"/>
          </w:tcPr>
          <w:p w14:paraId="029E3975"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T3</w:t>
            </w:r>
          </w:p>
        </w:tc>
        <w:tc>
          <w:tcPr>
            <w:tcW w:w="526" w:type="pct"/>
            <w:shd w:val="clear" w:color="auto" w:fill="auto"/>
            <w:vAlign w:val="bottom"/>
          </w:tcPr>
          <w:p w14:paraId="0B0EEA6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34.14</w:t>
            </w:r>
          </w:p>
        </w:tc>
        <w:tc>
          <w:tcPr>
            <w:tcW w:w="481" w:type="pct"/>
            <w:shd w:val="clear" w:color="auto" w:fill="auto"/>
            <w:vAlign w:val="bottom"/>
          </w:tcPr>
          <w:p w14:paraId="5642AA3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41.19</w:t>
            </w:r>
          </w:p>
        </w:tc>
        <w:tc>
          <w:tcPr>
            <w:tcW w:w="487" w:type="pct"/>
            <w:shd w:val="clear" w:color="auto" w:fill="auto"/>
            <w:vAlign w:val="bottom"/>
          </w:tcPr>
          <w:p w14:paraId="5689C19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44.53</w:t>
            </w:r>
          </w:p>
        </w:tc>
        <w:tc>
          <w:tcPr>
            <w:tcW w:w="707" w:type="pct"/>
            <w:shd w:val="clear" w:color="auto" w:fill="auto"/>
            <w:vAlign w:val="bottom"/>
          </w:tcPr>
          <w:p w14:paraId="7DD392F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41.65</w:t>
            </w:r>
          </w:p>
        </w:tc>
        <w:tc>
          <w:tcPr>
            <w:tcW w:w="525" w:type="pct"/>
            <w:shd w:val="clear" w:color="auto" w:fill="auto"/>
            <w:vAlign w:val="bottom"/>
          </w:tcPr>
          <w:p w14:paraId="38B91B64"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1.39</w:t>
            </w:r>
          </w:p>
        </w:tc>
        <w:tc>
          <w:tcPr>
            <w:tcW w:w="481" w:type="pct"/>
            <w:shd w:val="clear" w:color="auto" w:fill="auto"/>
            <w:vAlign w:val="bottom"/>
          </w:tcPr>
          <w:p w14:paraId="305C9E46"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1.69</w:t>
            </w:r>
          </w:p>
        </w:tc>
        <w:tc>
          <w:tcPr>
            <w:tcW w:w="487" w:type="pct"/>
            <w:shd w:val="clear" w:color="auto" w:fill="auto"/>
            <w:vAlign w:val="bottom"/>
          </w:tcPr>
          <w:p w14:paraId="6C30C03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1.88*</w:t>
            </w:r>
          </w:p>
        </w:tc>
        <w:tc>
          <w:tcPr>
            <w:tcW w:w="707" w:type="pct"/>
            <w:shd w:val="clear" w:color="auto" w:fill="auto"/>
            <w:vAlign w:val="bottom"/>
          </w:tcPr>
          <w:p w14:paraId="2549ECB2"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1.55*</w:t>
            </w:r>
          </w:p>
        </w:tc>
      </w:tr>
      <w:tr w:rsidR="0080622F" w:rsidRPr="00E16006" w14:paraId="2FA861E7" w14:textId="77777777" w:rsidTr="0080622F">
        <w:trPr>
          <w:trHeight w:val="224"/>
          <w:jc w:val="center"/>
        </w:trPr>
        <w:tc>
          <w:tcPr>
            <w:tcW w:w="597" w:type="pct"/>
            <w:shd w:val="clear" w:color="auto" w:fill="auto"/>
            <w:vAlign w:val="center"/>
          </w:tcPr>
          <w:p w14:paraId="4380EDB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T4</w:t>
            </w:r>
          </w:p>
        </w:tc>
        <w:tc>
          <w:tcPr>
            <w:tcW w:w="526" w:type="pct"/>
            <w:shd w:val="clear" w:color="auto" w:fill="auto"/>
            <w:vAlign w:val="bottom"/>
          </w:tcPr>
          <w:p w14:paraId="442CD05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34.05</w:t>
            </w:r>
          </w:p>
        </w:tc>
        <w:tc>
          <w:tcPr>
            <w:tcW w:w="481" w:type="pct"/>
            <w:shd w:val="clear" w:color="auto" w:fill="auto"/>
            <w:vAlign w:val="bottom"/>
          </w:tcPr>
          <w:p w14:paraId="06405B7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45.58*</w:t>
            </w:r>
          </w:p>
        </w:tc>
        <w:tc>
          <w:tcPr>
            <w:tcW w:w="487" w:type="pct"/>
            <w:shd w:val="clear" w:color="auto" w:fill="auto"/>
            <w:vAlign w:val="bottom"/>
          </w:tcPr>
          <w:p w14:paraId="6E00B16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50.71*</w:t>
            </w:r>
          </w:p>
        </w:tc>
        <w:tc>
          <w:tcPr>
            <w:tcW w:w="707" w:type="pct"/>
            <w:shd w:val="clear" w:color="auto" w:fill="auto"/>
            <w:vAlign w:val="bottom"/>
          </w:tcPr>
          <w:p w14:paraId="2BA199F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44.37*</w:t>
            </w:r>
          </w:p>
        </w:tc>
        <w:tc>
          <w:tcPr>
            <w:tcW w:w="525" w:type="pct"/>
            <w:shd w:val="clear" w:color="auto" w:fill="auto"/>
            <w:vAlign w:val="bottom"/>
          </w:tcPr>
          <w:p w14:paraId="719CC716"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1.31</w:t>
            </w:r>
          </w:p>
        </w:tc>
        <w:tc>
          <w:tcPr>
            <w:tcW w:w="481" w:type="pct"/>
            <w:shd w:val="clear" w:color="auto" w:fill="auto"/>
            <w:vAlign w:val="bottom"/>
          </w:tcPr>
          <w:p w14:paraId="268E8AD5"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1.88*</w:t>
            </w:r>
          </w:p>
        </w:tc>
        <w:tc>
          <w:tcPr>
            <w:tcW w:w="487" w:type="pct"/>
            <w:shd w:val="clear" w:color="auto" w:fill="auto"/>
            <w:vAlign w:val="bottom"/>
          </w:tcPr>
          <w:p w14:paraId="4570E053"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2.02*</w:t>
            </w:r>
          </w:p>
        </w:tc>
        <w:tc>
          <w:tcPr>
            <w:tcW w:w="707" w:type="pct"/>
            <w:shd w:val="clear" w:color="auto" w:fill="auto"/>
            <w:vAlign w:val="bottom"/>
          </w:tcPr>
          <w:p w14:paraId="165AACEB"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1.69*</w:t>
            </w:r>
          </w:p>
        </w:tc>
      </w:tr>
      <w:tr w:rsidR="0080622F" w:rsidRPr="00E16006" w14:paraId="1F5C8516" w14:textId="77777777" w:rsidTr="0080622F">
        <w:trPr>
          <w:trHeight w:val="224"/>
          <w:jc w:val="center"/>
        </w:trPr>
        <w:tc>
          <w:tcPr>
            <w:tcW w:w="597" w:type="pct"/>
            <w:shd w:val="clear" w:color="auto" w:fill="auto"/>
            <w:vAlign w:val="center"/>
          </w:tcPr>
          <w:p w14:paraId="69C0AD0A"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T5</w:t>
            </w:r>
          </w:p>
        </w:tc>
        <w:tc>
          <w:tcPr>
            <w:tcW w:w="526" w:type="pct"/>
            <w:shd w:val="clear" w:color="auto" w:fill="auto"/>
            <w:vAlign w:val="bottom"/>
          </w:tcPr>
          <w:p w14:paraId="1FBB357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36.59</w:t>
            </w:r>
          </w:p>
        </w:tc>
        <w:tc>
          <w:tcPr>
            <w:tcW w:w="481" w:type="pct"/>
            <w:shd w:val="clear" w:color="auto" w:fill="auto"/>
            <w:vAlign w:val="bottom"/>
          </w:tcPr>
          <w:p w14:paraId="6BFF187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47.94*</w:t>
            </w:r>
          </w:p>
        </w:tc>
        <w:tc>
          <w:tcPr>
            <w:tcW w:w="487" w:type="pct"/>
            <w:shd w:val="clear" w:color="auto" w:fill="auto"/>
            <w:vAlign w:val="bottom"/>
          </w:tcPr>
          <w:p w14:paraId="345A0E8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53.85*</w:t>
            </w:r>
          </w:p>
        </w:tc>
        <w:tc>
          <w:tcPr>
            <w:tcW w:w="707" w:type="pct"/>
            <w:shd w:val="clear" w:color="auto" w:fill="auto"/>
            <w:vAlign w:val="bottom"/>
          </w:tcPr>
          <w:p w14:paraId="7DEB4825"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46.43*</w:t>
            </w:r>
          </w:p>
        </w:tc>
        <w:tc>
          <w:tcPr>
            <w:tcW w:w="525" w:type="pct"/>
            <w:shd w:val="clear" w:color="auto" w:fill="auto"/>
            <w:vAlign w:val="bottom"/>
          </w:tcPr>
          <w:p w14:paraId="463BB91D"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1.02</w:t>
            </w:r>
          </w:p>
        </w:tc>
        <w:tc>
          <w:tcPr>
            <w:tcW w:w="481" w:type="pct"/>
            <w:shd w:val="clear" w:color="auto" w:fill="auto"/>
            <w:vAlign w:val="bottom"/>
          </w:tcPr>
          <w:p w14:paraId="7C39692B"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1.95*</w:t>
            </w:r>
          </w:p>
        </w:tc>
        <w:tc>
          <w:tcPr>
            <w:tcW w:w="487" w:type="pct"/>
            <w:shd w:val="clear" w:color="auto" w:fill="auto"/>
            <w:vAlign w:val="bottom"/>
          </w:tcPr>
          <w:p w14:paraId="41849C71"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2.16*</w:t>
            </w:r>
          </w:p>
        </w:tc>
        <w:tc>
          <w:tcPr>
            <w:tcW w:w="707" w:type="pct"/>
            <w:shd w:val="clear" w:color="auto" w:fill="auto"/>
            <w:vAlign w:val="bottom"/>
          </w:tcPr>
          <w:p w14:paraId="177284C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1.75*</w:t>
            </w:r>
          </w:p>
        </w:tc>
      </w:tr>
      <w:tr w:rsidR="0080622F" w:rsidRPr="00E16006" w14:paraId="48BF2A75" w14:textId="77777777" w:rsidTr="0080622F">
        <w:trPr>
          <w:trHeight w:val="224"/>
          <w:jc w:val="center"/>
        </w:trPr>
        <w:tc>
          <w:tcPr>
            <w:tcW w:w="597" w:type="pct"/>
            <w:shd w:val="clear" w:color="auto" w:fill="auto"/>
            <w:vAlign w:val="center"/>
          </w:tcPr>
          <w:p w14:paraId="3B6A58B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T6</w:t>
            </w:r>
          </w:p>
        </w:tc>
        <w:tc>
          <w:tcPr>
            <w:tcW w:w="526" w:type="pct"/>
            <w:shd w:val="clear" w:color="auto" w:fill="auto"/>
            <w:vAlign w:val="bottom"/>
          </w:tcPr>
          <w:p w14:paraId="79DA0F0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34.72</w:t>
            </w:r>
          </w:p>
        </w:tc>
        <w:tc>
          <w:tcPr>
            <w:tcW w:w="481" w:type="pct"/>
            <w:shd w:val="clear" w:color="auto" w:fill="auto"/>
            <w:vAlign w:val="bottom"/>
          </w:tcPr>
          <w:p w14:paraId="3D7FD31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48.94*</w:t>
            </w:r>
          </w:p>
        </w:tc>
        <w:tc>
          <w:tcPr>
            <w:tcW w:w="487" w:type="pct"/>
            <w:shd w:val="clear" w:color="auto" w:fill="auto"/>
            <w:vAlign w:val="bottom"/>
          </w:tcPr>
          <w:p w14:paraId="6BD10452"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56.24*</w:t>
            </w:r>
          </w:p>
        </w:tc>
        <w:tc>
          <w:tcPr>
            <w:tcW w:w="707" w:type="pct"/>
            <w:shd w:val="clear" w:color="auto" w:fill="auto"/>
            <w:vAlign w:val="bottom"/>
          </w:tcPr>
          <w:p w14:paraId="4C9FB320"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48.59*</w:t>
            </w:r>
          </w:p>
        </w:tc>
        <w:tc>
          <w:tcPr>
            <w:tcW w:w="525" w:type="pct"/>
            <w:shd w:val="clear" w:color="auto" w:fill="auto"/>
            <w:vAlign w:val="bottom"/>
          </w:tcPr>
          <w:p w14:paraId="25A7BDD9"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1.37</w:t>
            </w:r>
          </w:p>
        </w:tc>
        <w:tc>
          <w:tcPr>
            <w:tcW w:w="481" w:type="pct"/>
            <w:shd w:val="clear" w:color="auto" w:fill="auto"/>
            <w:vAlign w:val="bottom"/>
          </w:tcPr>
          <w:p w14:paraId="2F2B04E6"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1.99*</w:t>
            </w:r>
          </w:p>
        </w:tc>
        <w:tc>
          <w:tcPr>
            <w:tcW w:w="487" w:type="pct"/>
            <w:shd w:val="clear" w:color="auto" w:fill="auto"/>
            <w:vAlign w:val="bottom"/>
          </w:tcPr>
          <w:p w14:paraId="2067C7F2"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2.35*</w:t>
            </w:r>
          </w:p>
        </w:tc>
        <w:tc>
          <w:tcPr>
            <w:tcW w:w="707" w:type="pct"/>
            <w:shd w:val="clear" w:color="auto" w:fill="auto"/>
            <w:vAlign w:val="bottom"/>
          </w:tcPr>
          <w:p w14:paraId="486E40F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1.79*</w:t>
            </w:r>
          </w:p>
        </w:tc>
      </w:tr>
      <w:tr w:rsidR="0080622F" w:rsidRPr="00E16006" w14:paraId="15F47B93" w14:textId="77777777" w:rsidTr="0080622F">
        <w:trPr>
          <w:trHeight w:val="224"/>
          <w:jc w:val="center"/>
        </w:trPr>
        <w:tc>
          <w:tcPr>
            <w:tcW w:w="597" w:type="pct"/>
            <w:shd w:val="clear" w:color="auto" w:fill="auto"/>
            <w:vAlign w:val="center"/>
          </w:tcPr>
          <w:p w14:paraId="68CCA577" w14:textId="77777777" w:rsidR="0080622F" w:rsidRPr="00E16006" w:rsidRDefault="0080622F" w:rsidP="00E16006">
            <w:pPr>
              <w:widowControl w:val="0"/>
              <w:jc w:val="center"/>
              <w:rPr>
                <w:rFonts w:ascii="Arial" w:eastAsia="Calibri" w:hAnsi="Arial" w:cs="Arial"/>
                <w:b/>
                <w:bCs/>
                <w:kern w:val="2"/>
              </w:rPr>
            </w:pPr>
            <w:r w:rsidRPr="00E16006">
              <w:rPr>
                <w:rFonts w:ascii="Arial" w:eastAsia="Calibri" w:hAnsi="Arial" w:cs="Arial"/>
                <w:b/>
                <w:bCs/>
                <w:kern w:val="2"/>
              </w:rPr>
              <w:t>T7</w:t>
            </w:r>
          </w:p>
        </w:tc>
        <w:tc>
          <w:tcPr>
            <w:tcW w:w="526" w:type="pct"/>
            <w:shd w:val="clear" w:color="auto" w:fill="auto"/>
            <w:vAlign w:val="bottom"/>
          </w:tcPr>
          <w:p w14:paraId="0DF4B3B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35.03</w:t>
            </w:r>
          </w:p>
        </w:tc>
        <w:tc>
          <w:tcPr>
            <w:tcW w:w="481" w:type="pct"/>
            <w:shd w:val="clear" w:color="auto" w:fill="auto"/>
            <w:vAlign w:val="bottom"/>
          </w:tcPr>
          <w:p w14:paraId="7F9EC253"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52.54*</w:t>
            </w:r>
          </w:p>
        </w:tc>
        <w:tc>
          <w:tcPr>
            <w:tcW w:w="487" w:type="pct"/>
            <w:shd w:val="clear" w:color="auto" w:fill="auto"/>
            <w:vAlign w:val="bottom"/>
          </w:tcPr>
          <w:p w14:paraId="0891E45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65.66*</w:t>
            </w:r>
          </w:p>
        </w:tc>
        <w:tc>
          <w:tcPr>
            <w:tcW w:w="707" w:type="pct"/>
            <w:shd w:val="clear" w:color="auto" w:fill="auto"/>
            <w:vAlign w:val="bottom"/>
          </w:tcPr>
          <w:p w14:paraId="5FF2812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51.69*</w:t>
            </w:r>
          </w:p>
        </w:tc>
        <w:tc>
          <w:tcPr>
            <w:tcW w:w="525" w:type="pct"/>
            <w:shd w:val="clear" w:color="auto" w:fill="auto"/>
            <w:vAlign w:val="bottom"/>
          </w:tcPr>
          <w:p w14:paraId="755185F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1.35</w:t>
            </w:r>
          </w:p>
        </w:tc>
        <w:tc>
          <w:tcPr>
            <w:tcW w:w="481" w:type="pct"/>
            <w:shd w:val="clear" w:color="auto" w:fill="auto"/>
            <w:vAlign w:val="bottom"/>
          </w:tcPr>
          <w:p w14:paraId="538C410C"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2.11*</w:t>
            </w:r>
          </w:p>
        </w:tc>
        <w:tc>
          <w:tcPr>
            <w:tcW w:w="487" w:type="pct"/>
            <w:shd w:val="clear" w:color="auto" w:fill="auto"/>
            <w:vAlign w:val="bottom"/>
          </w:tcPr>
          <w:p w14:paraId="46A842C0"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2.69*</w:t>
            </w:r>
          </w:p>
        </w:tc>
        <w:tc>
          <w:tcPr>
            <w:tcW w:w="707" w:type="pct"/>
            <w:shd w:val="clear" w:color="auto" w:fill="auto"/>
            <w:vAlign w:val="bottom"/>
          </w:tcPr>
          <w:p w14:paraId="40158DFA"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1.81*</w:t>
            </w:r>
          </w:p>
        </w:tc>
      </w:tr>
      <w:tr w:rsidR="0080622F" w:rsidRPr="00E16006" w14:paraId="4B7F7DBC" w14:textId="77777777" w:rsidTr="0080622F">
        <w:trPr>
          <w:trHeight w:val="224"/>
          <w:jc w:val="center"/>
        </w:trPr>
        <w:tc>
          <w:tcPr>
            <w:tcW w:w="597" w:type="pct"/>
            <w:shd w:val="clear" w:color="auto" w:fill="auto"/>
            <w:vAlign w:val="center"/>
          </w:tcPr>
          <w:p w14:paraId="5F358261"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T8</w:t>
            </w:r>
          </w:p>
        </w:tc>
        <w:tc>
          <w:tcPr>
            <w:tcW w:w="526" w:type="pct"/>
            <w:shd w:val="clear" w:color="auto" w:fill="auto"/>
            <w:vAlign w:val="bottom"/>
          </w:tcPr>
          <w:p w14:paraId="22D7A41F"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color w:val="000000"/>
              </w:rPr>
              <w:t>36.78</w:t>
            </w:r>
          </w:p>
        </w:tc>
        <w:tc>
          <w:tcPr>
            <w:tcW w:w="481" w:type="pct"/>
            <w:shd w:val="clear" w:color="auto" w:fill="auto"/>
            <w:vAlign w:val="bottom"/>
          </w:tcPr>
          <w:p w14:paraId="45C00DC8"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36.77</w:t>
            </w:r>
          </w:p>
        </w:tc>
        <w:tc>
          <w:tcPr>
            <w:tcW w:w="487" w:type="pct"/>
            <w:shd w:val="clear" w:color="auto" w:fill="auto"/>
            <w:vAlign w:val="bottom"/>
          </w:tcPr>
          <w:p w14:paraId="73DD874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40.12</w:t>
            </w:r>
          </w:p>
        </w:tc>
        <w:tc>
          <w:tcPr>
            <w:tcW w:w="707" w:type="pct"/>
            <w:shd w:val="clear" w:color="auto" w:fill="auto"/>
            <w:vAlign w:val="bottom"/>
          </w:tcPr>
          <w:p w14:paraId="149C600E"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color w:val="000000"/>
                <w:kern w:val="2"/>
              </w:rPr>
              <w:t>36.37</w:t>
            </w:r>
          </w:p>
        </w:tc>
        <w:tc>
          <w:tcPr>
            <w:tcW w:w="525" w:type="pct"/>
            <w:shd w:val="clear" w:color="auto" w:fill="auto"/>
            <w:vAlign w:val="bottom"/>
          </w:tcPr>
          <w:p w14:paraId="4E1DACDC"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hAnsi="Arial" w:cs="Arial"/>
                <w:color w:val="000000"/>
              </w:rPr>
              <w:t>1.11</w:t>
            </w:r>
          </w:p>
        </w:tc>
        <w:tc>
          <w:tcPr>
            <w:tcW w:w="481" w:type="pct"/>
            <w:shd w:val="clear" w:color="auto" w:fill="auto"/>
            <w:vAlign w:val="bottom"/>
          </w:tcPr>
          <w:p w14:paraId="637D6177"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1.34</w:t>
            </w:r>
          </w:p>
        </w:tc>
        <w:tc>
          <w:tcPr>
            <w:tcW w:w="487" w:type="pct"/>
            <w:shd w:val="clear" w:color="auto" w:fill="auto"/>
            <w:vAlign w:val="bottom"/>
          </w:tcPr>
          <w:p w14:paraId="5C11017F"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1.32</w:t>
            </w:r>
          </w:p>
        </w:tc>
        <w:tc>
          <w:tcPr>
            <w:tcW w:w="707" w:type="pct"/>
            <w:shd w:val="clear" w:color="auto" w:fill="auto"/>
            <w:vAlign w:val="bottom"/>
          </w:tcPr>
          <w:p w14:paraId="13735B3A" w14:textId="77777777" w:rsidR="0080622F" w:rsidRPr="00E16006" w:rsidRDefault="0080622F"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1.29</w:t>
            </w:r>
          </w:p>
        </w:tc>
      </w:tr>
      <w:tr w:rsidR="0080622F" w:rsidRPr="00E16006" w14:paraId="1C0E8905" w14:textId="77777777" w:rsidTr="0080622F">
        <w:trPr>
          <w:trHeight w:val="224"/>
          <w:jc w:val="center"/>
        </w:trPr>
        <w:tc>
          <w:tcPr>
            <w:tcW w:w="597" w:type="pct"/>
            <w:shd w:val="clear" w:color="auto" w:fill="auto"/>
            <w:vAlign w:val="center"/>
          </w:tcPr>
          <w:p w14:paraId="750781F1" w14:textId="77777777" w:rsidR="0080622F" w:rsidRPr="00E16006" w:rsidRDefault="0080622F" w:rsidP="00E16006">
            <w:pPr>
              <w:widowControl w:val="0"/>
              <w:rPr>
                <w:rFonts w:ascii="Arial" w:eastAsia="Calibri" w:hAnsi="Arial" w:cs="Arial"/>
                <w:b/>
                <w:bCs/>
                <w:kern w:val="2"/>
              </w:rPr>
            </w:pPr>
            <w:proofErr w:type="spellStart"/>
            <w:r w:rsidRPr="00E16006">
              <w:rPr>
                <w:rFonts w:ascii="Arial" w:hAnsi="Arial" w:cs="Arial"/>
                <w:b/>
                <w:bCs/>
                <w:color w:val="000000"/>
                <w:lang w:eastAsia="en-IN"/>
              </w:rPr>
              <w:t>SE.m</w:t>
            </w:r>
            <w:proofErr w:type="spellEnd"/>
            <w:r w:rsidRPr="00E16006">
              <w:rPr>
                <w:rFonts w:ascii="Arial" w:hAnsi="Arial" w:cs="Arial"/>
                <w:b/>
                <w:bCs/>
                <w:color w:val="000000"/>
                <w:lang w:eastAsia="en-IN"/>
              </w:rPr>
              <w:t>±</w:t>
            </w:r>
          </w:p>
        </w:tc>
        <w:tc>
          <w:tcPr>
            <w:tcW w:w="526" w:type="pct"/>
            <w:shd w:val="clear" w:color="auto" w:fill="auto"/>
            <w:vAlign w:val="bottom"/>
          </w:tcPr>
          <w:p w14:paraId="3C10E2E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1.71</w:t>
            </w:r>
          </w:p>
        </w:tc>
        <w:tc>
          <w:tcPr>
            <w:tcW w:w="481" w:type="pct"/>
            <w:shd w:val="clear" w:color="auto" w:fill="auto"/>
            <w:vAlign w:val="bottom"/>
          </w:tcPr>
          <w:p w14:paraId="6EDE78F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1.53</w:t>
            </w:r>
          </w:p>
        </w:tc>
        <w:tc>
          <w:tcPr>
            <w:tcW w:w="487" w:type="pct"/>
            <w:shd w:val="clear" w:color="auto" w:fill="auto"/>
            <w:vAlign w:val="bottom"/>
          </w:tcPr>
          <w:p w14:paraId="67D4420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1.94</w:t>
            </w:r>
          </w:p>
        </w:tc>
        <w:tc>
          <w:tcPr>
            <w:tcW w:w="707" w:type="pct"/>
            <w:shd w:val="clear" w:color="auto" w:fill="auto"/>
            <w:vAlign w:val="bottom"/>
          </w:tcPr>
          <w:p w14:paraId="54F6B2C8"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1.79</w:t>
            </w:r>
          </w:p>
        </w:tc>
        <w:tc>
          <w:tcPr>
            <w:tcW w:w="525" w:type="pct"/>
            <w:shd w:val="clear" w:color="auto" w:fill="auto"/>
            <w:vAlign w:val="bottom"/>
          </w:tcPr>
          <w:p w14:paraId="17357621"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0.06</w:t>
            </w:r>
          </w:p>
        </w:tc>
        <w:tc>
          <w:tcPr>
            <w:tcW w:w="481" w:type="pct"/>
            <w:shd w:val="clear" w:color="auto" w:fill="auto"/>
            <w:vAlign w:val="bottom"/>
          </w:tcPr>
          <w:p w14:paraId="790190CC"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0.12</w:t>
            </w:r>
          </w:p>
        </w:tc>
        <w:tc>
          <w:tcPr>
            <w:tcW w:w="487" w:type="pct"/>
            <w:shd w:val="clear" w:color="auto" w:fill="auto"/>
            <w:vAlign w:val="bottom"/>
          </w:tcPr>
          <w:p w14:paraId="4C1CE6E2"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0.09</w:t>
            </w:r>
          </w:p>
        </w:tc>
        <w:tc>
          <w:tcPr>
            <w:tcW w:w="707" w:type="pct"/>
            <w:shd w:val="clear" w:color="auto" w:fill="auto"/>
            <w:vAlign w:val="bottom"/>
          </w:tcPr>
          <w:p w14:paraId="0BD240D9"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0.07</w:t>
            </w:r>
          </w:p>
        </w:tc>
      </w:tr>
      <w:tr w:rsidR="0080622F" w:rsidRPr="00E16006" w14:paraId="3934AE7F" w14:textId="77777777" w:rsidTr="0080622F">
        <w:trPr>
          <w:trHeight w:val="241"/>
          <w:jc w:val="center"/>
        </w:trPr>
        <w:tc>
          <w:tcPr>
            <w:tcW w:w="597" w:type="pct"/>
            <w:shd w:val="clear" w:color="auto" w:fill="auto"/>
            <w:vAlign w:val="center"/>
          </w:tcPr>
          <w:p w14:paraId="74AB4387" w14:textId="77777777" w:rsidR="0080622F" w:rsidRPr="00E16006" w:rsidRDefault="0080622F" w:rsidP="00E16006">
            <w:pPr>
              <w:widowControl w:val="0"/>
              <w:rPr>
                <w:rFonts w:ascii="Arial" w:eastAsia="Calibri" w:hAnsi="Arial" w:cs="Arial"/>
                <w:b/>
                <w:bCs/>
                <w:kern w:val="2"/>
              </w:rPr>
            </w:pPr>
            <w:r w:rsidRPr="00E16006">
              <w:rPr>
                <w:rFonts w:ascii="Arial" w:hAnsi="Arial" w:cs="Arial"/>
                <w:b/>
                <w:bCs/>
                <w:color w:val="000000"/>
                <w:lang w:eastAsia="en-IN"/>
              </w:rPr>
              <w:t>CD (p= 0.05)</w:t>
            </w:r>
          </w:p>
        </w:tc>
        <w:tc>
          <w:tcPr>
            <w:tcW w:w="526" w:type="pct"/>
            <w:shd w:val="clear" w:color="auto" w:fill="auto"/>
            <w:vAlign w:val="bottom"/>
          </w:tcPr>
          <w:p w14:paraId="694A938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5.20</w:t>
            </w:r>
          </w:p>
        </w:tc>
        <w:tc>
          <w:tcPr>
            <w:tcW w:w="481" w:type="pct"/>
            <w:shd w:val="clear" w:color="auto" w:fill="auto"/>
            <w:vAlign w:val="bottom"/>
          </w:tcPr>
          <w:p w14:paraId="6D0A2A5C"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4.65</w:t>
            </w:r>
          </w:p>
        </w:tc>
        <w:tc>
          <w:tcPr>
            <w:tcW w:w="487" w:type="pct"/>
            <w:shd w:val="clear" w:color="auto" w:fill="auto"/>
            <w:vAlign w:val="bottom"/>
          </w:tcPr>
          <w:p w14:paraId="3A07EB7B"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5.89</w:t>
            </w:r>
          </w:p>
        </w:tc>
        <w:tc>
          <w:tcPr>
            <w:tcW w:w="707" w:type="pct"/>
            <w:shd w:val="clear" w:color="auto" w:fill="auto"/>
            <w:vAlign w:val="bottom"/>
          </w:tcPr>
          <w:p w14:paraId="5CE1A26D"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5.44</w:t>
            </w:r>
          </w:p>
        </w:tc>
        <w:tc>
          <w:tcPr>
            <w:tcW w:w="525" w:type="pct"/>
            <w:shd w:val="clear" w:color="auto" w:fill="auto"/>
            <w:vAlign w:val="bottom"/>
          </w:tcPr>
          <w:p w14:paraId="57211A25" w14:textId="77777777" w:rsidR="0080622F" w:rsidRPr="00E16006" w:rsidRDefault="0080622F" w:rsidP="00E16006">
            <w:pPr>
              <w:widowControl w:val="0"/>
              <w:jc w:val="center"/>
              <w:rPr>
                <w:rFonts w:ascii="Arial" w:eastAsia="Calibri" w:hAnsi="Arial" w:cs="Arial"/>
                <w:b/>
                <w:bCs/>
                <w:kern w:val="2"/>
              </w:rPr>
            </w:pPr>
            <w:r w:rsidRPr="00E16006">
              <w:rPr>
                <w:rFonts w:ascii="Arial" w:eastAsia="Calibri" w:hAnsi="Arial" w:cs="Arial"/>
                <w:b/>
                <w:bCs/>
                <w:kern w:val="2"/>
              </w:rPr>
              <w:t>0.17</w:t>
            </w:r>
          </w:p>
        </w:tc>
        <w:tc>
          <w:tcPr>
            <w:tcW w:w="481" w:type="pct"/>
            <w:shd w:val="clear" w:color="auto" w:fill="auto"/>
            <w:vAlign w:val="bottom"/>
          </w:tcPr>
          <w:p w14:paraId="2BF4E285" w14:textId="77777777" w:rsidR="0080622F" w:rsidRPr="00E16006" w:rsidRDefault="0080622F" w:rsidP="00E16006">
            <w:pPr>
              <w:widowControl w:val="0"/>
              <w:jc w:val="center"/>
              <w:rPr>
                <w:rFonts w:ascii="Arial" w:eastAsia="Calibri" w:hAnsi="Arial" w:cs="Arial"/>
                <w:b/>
                <w:bCs/>
                <w:kern w:val="2"/>
              </w:rPr>
            </w:pPr>
            <w:r w:rsidRPr="00E16006">
              <w:rPr>
                <w:rFonts w:ascii="Arial" w:eastAsia="Calibri" w:hAnsi="Arial" w:cs="Arial"/>
                <w:b/>
                <w:bCs/>
                <w:kern w:val="2"/>
              </w:rPr>
              <w:t>0.35</w:t>
            </w:r>
          </w:p>
        </w:tc>
        <w:tc>
          <w:tcPr>
            <w:tcW w:w="487" w:type="pct"/>
            <w:shd w:val="clear" w:color="auto" w:fill="auto"/>
            <w:vAlign w:val="bottom"/>
          </w:tcPr>
          <w:p w14:paraId="6CA2E36D" w14:textId="77777777" w:rsidR="0080622F" w:rsidRPr="00E16006" w:rsidRDefault="0080622F" w:rsidP="00E16006">
            <w:pPr>
              <w:widowControl w:val="0"/>
              <w:jc w:val="center"/>
              <w:rPr>
                <w:rFonts w:ascii="Arial" w:eastAsia="Calibri" w:hAnsi="Arial" w:cs="Arial"/>
                <w:b/>
                <w:bCs/>
                <w:kern w:val="2"/>
              </w:rPr>
            </w:pPr>
            <w:r w:rsidRPr="00E16006">
              <w:rPr>
                <w:rFonts w:ascii="Arial" w:hAnsi="Arial" w:cs="Arial"/>
                <w:b/>
                <w:bCs/>
                <w:color w:val="000000"/>
                <w:lang w:eastAsia="en-IN"/>
              </w:rPr>
              <w:t>0.28</w:t>
            </w:r>
          </w:p>
        </w:tc>
        <w:tc>
          <w:tcPr>
            <w:tcW w:w="707" w:type="pct"/>
            <w:shd w:val="clear" w:color="auto" w:fill="auto"/>
            <w:vAlign w:val="bottom"/>
          </w:tcPr>
          <w:p w14:paraId="3FFBC801" w14:textId="77777777" w:rsidR="0080622F" w:rsidRPr="00E16006" w:rsidRDefault="0080622F" w:rsidP="00E16006">
            <w:pPr>
              <w:widowControl w:val="0"/>
              <w:jc w:val="center"/>
              <w:rPr>
                <w:rFonts w:ascii="Arial" w:eastAsia="Calibri" w:hAnsi="Arial" w:cs="Arial"/>
                <w:b/>
                <w:bCs/>
                <w:kern w:val="2"/>
              </w:rPr>
            </w:pPr>
            <w:r w:rsidRPr="00E16006">
              <w:rPr>
                <w:rFonts w:ascii="Arial" w:hAnsi="Arial" w:cs="Arial"/>
                <w:b/>
                <w:bCs/>
                <w:color w:val="000000"/>
                <w:lang w:eastAsia="en-IN"/>
              </w:rPr>
              <w:t>0.20</w:t>
            </w:r>
          </w:p>
        </w:tc>
      </w:tr>
      <w:tr w:rsidR="0080622F" w:rsidRPr="00E16006" w14:paraId="369ED8AE" w14:textId="77777777" w:rsidTr="0080622F">
        <w:trPr>
          <w:trHeight w:val="211"/>
          <w:jc w:val="center"/>
        </w:trPr>
        <w:tc>
          <w:tcPr>
            <w:tcW w:w="597" w:type="pct"/>
            <w:shd w:val="clear" w:color="auto" w:fill="auto"/>
            <w:vAlign w:val="center"/>
          </w:tcPr>
          <w:p w14:paraId="351719B3" w14:textId="77777777" w:rsidR="0080622F" w:rsidRPr="00E16006" w:rsidRDefault="0080622F" w:rsidP="00E16006">
            <w:pPr>
              <w:widowControl w:val="0"/>
              <w:rPr>
                <w:rFonts w:ascii="Arial" w:eastAsia="Calibri" w:hAnsi="Arial" w:cs="Arial"/>
                <w:b/>
                <w:bCs/>
                <w:kern w:val="2"/>
              </w:rPr>
            </w:pPr>
            <w:r w:rsidRPr="00E16006">
              <w:rPr>
                <w:rFonts w:ascii="Arial" w:hAnsi="Arial" w:cs="Arial"/>
                <w:b/>
                <w:bCs/>
                <w:color w:val="000000"/>
                <w:lang w:eastAsia="en-IN"/>
              </w:rPr>
              <w:t>CV (%)</w:t>
            </w:r>
          </w:p>
        </w:tc>
        <w:tc>
          <w:tcPr>
            <w:tcW w:w="526" w:type="pct"/>
            <w:shd w:val="clear" w:color="auto" w:fill="auto"/>
            <w:vAlign w:val="bottom"/>
          </w:tcPr>
          <w:p w14:paraId="5241C084"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8.02</w:t>
            </w:r>
          </w:p>
        </w:tc>
        <w:tc>
          <w:tcPr>
            <w:tcW w:w="481" w:type="pct"/>
            <w:shd w:val="clear" w:color="auto" w:fill="auto"/>
            <w:vAlign w:val="bottom"/>
          </w:tcPr>
          <w:p w14:paraId="3F8375A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5.72</w:t>
            </w:r>
          </w:p>
        </w:tc>
        <w:tc>
          <w:tcPr>
            <w:tcW w:w="487" w:type="pct"/>
            <w:shd w:val="clear" w:color="auto" w:fill="auto"/>
            <w:vAlign w:val="bottom"/>
          </w:tcPr>
          <w:p w14:paraId="31453826"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hAnsi="Arial" w:cs="Arial"/>
                <w:b/>
                <w:bCs/>
                <w:color w:val="000000"/>
                <w:lang w:eastAsia="en-IN"/>
              </w:rPr>
              <w:t>6.27</w:t>
            </w:r>
          </w:p>
        </w:tc>
        <w:tc>
          <w:tcPr>
            <w:tcW w:w="707" w:type="pct"/>
            <w:shd w:val="clear" w:color="auto" w:fill="auto"/>
            <w:vAlign w:val="bottom"/>
          </w:tcPr>
          <w:p w14:paraId="4787D149" w14:textId="77777777" w:rsidR="0080622F" w:rsidRPr="00E16006" w:rsidRDefault="0080622F" w:rsidP="00E16006">
            <w:pPr>
              <w:widowControl w:val="0"/>
              <w:jc w:val="center"/>
              <w:rPr>
                <w:rFonts w:ascii="Arial" w:eastAsia="Calibri" w:hAnsi="Arial" w:cs="Arial"/>
                <w:b/>
                <w:bCs/>
                <w:kern w:val="2"/>
                <w:lang w:eastAsia="en-IN"/>
              </w:rPr>
            </w:pPr>
            <w:r w:rsidRPr="00E16006">
              <w:rPr>
                <w:rFonts w:ascii="Arial" w:eastAsia="Calibri" w:hAnsi="Arial" w:cs="Arial"/>
                <w:b/>
                <w:bCs/>
                <w:kern w:val="2"/>
              </w:rPr>
              <w:t>6.73</w:t>
            </w:r>
          </w:p>
        </w:tc>
        <w:tc>
          <w:tcPr>
            <w:tcW w:w="525" w:type="pct"/>
            <w:shd w:val="clear" w:color="auto" w:fill="auto"/>
            <w:vAlign w:val="bottom"/>
          </w:tcPr>
          <w:p w14:paraId="4074C24C"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6.89</w:t>
            </w:r>
          </w:p>
        </w:tc>
        <w:tc>
          <w:tcPr>
            <w:tcW w:w="481" w:type="pct"/>
            <w:shd w:val="clear" w:color="auto" w:fill="auto"/>
            <w:vAlign w:val="bottom"/>
          </w:tcPr>
          <w:p w14:paraId="5A4EC336" w14:textId="77777777" w:rsidR="0080622F" w:rsidRPr="00E16006" w:rsidRDefault="0080622F" w:rsidP="00E16006">
            <w:pPr>
              <w:widowControl w:val="0"/>
              <w:jc w:val="center"/>
              <w:rPr>
                <w:rFonts w:ascii="Arial" w:hAnsi="Arial" w:cs="Arial"/>
                <w:b/>
                <w:bCs/>
                <w:color w:val="000000"/>
                <w:lang w:eastAsia="en-IN"/>
              </w:rPr>
            </w:pPr>
            <w:r w:rsidRPr="00E16006">
              <w:rPr>
                <w:rFonts w:ascii="Arial" w:eastAsia="Calibri" w:hAnsi="Arial" w:cs="Arial"/>
                <w:b/>
                <w:bCs/>
                <w:kern w:val="2"/>
              </w:rPr>
              <w:t>10.49</w:t>
            </w:r>
          </w:p>
        </w:tc>
        <w:tc>
          <w:tcPr>
            <w:tcW w:w="487" w:type="pct"/>
            <w:shd w:val="clear" w:color="auto" w:fill="auto"/>
            <w:vAlign w:val="bottom"/>
          </w:tcPr>
          <w:p w14:paraId="1AA3D426"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7.51</w:t>
            </w:r>
          </w:p>
        </w:tc>
        <w:tc>
          <w:tcPr>
            <w:tcW w:w="707" w:type="pct"/>
            <w:shd w:val="clear" w:color="auto" w:fill="auto"/>
            <w:vAlign w:val="bottom"/>
          </w:tcPr>
          <w:p w14:paraId="1A0E6E01" w14:textId="77777777" w:rsidR="0080622F" w:rsidRPr="00E16006" w:rsidRDefault="0080622F" w:rsidP="00E16006">
            <w:pPr>
              <w:widowControl w:val="0"/>
              <w:jc w:val="center"/>
              <w:rPr>
                <w:rFonts w:ascii="Arial" w:hAnsi="Arial" w:cs="Arial"/>
                <w:b/>
                <w:bCs/>
                <w:color w:val="000000"/>
                <w:lang w:eastAsia="en-IN"/>
              </w:rPr>
            </w:pPr>
            <w:r w:rsidRPr="00E16006">
              <w:rPr>
                <w:rFonts w:ascii="Arial" w:hAnsi="Arial" w:cs="Arial"/>
                <w:b/>
                <w:bCs/>
                <w:color w:val="000000"/>
                <w:lang w:eastAsia="en-IN"/>
              </w:rPr>
              <w:t>6.95</w:t>
            </w:r>
          </w:p>
        </w:tc>
      </w:tr>
    </w:tbl>
    <w:p w14:paraId="06EB6D85" w14:textId="77777777" w:rsidR="0080622F" w:rsidRPr="00E16006" w:rsidRDefault="0080622F" w:rsidP="00E16006">
      <w:pPr>
        <w:rPr>
          <w:rFonts w:ascii="Arial" w:hAnsi="Arial" w:cs="Arial"/>
          <w:vanish/>
        </w:rPr>
      </w:pPr>
    </w:p>
    <w:p w14:paraId="35C82920" w14:textId="62C84372" w:rsidR="00301EFF" w:rsidRPr="00E16006" w:rsidRDefault="00CF2606" w:rsidP="00CF2606">
      <w:pPr>
        <w:pStyle w:val="NormalWeb"/>
        <w:spacing w:before="240" w:beforeAutospacing="0" w:after="0" w:afterAutospacing="0"/>
        <w:ind w:firstLine="720"/>
        <w:jc w:val="both"/>
        <w:rPr>
          <w:rFonts w:ascii="Arial" w:hAnsi="Arial" w:cs="Arial"/>
          <w:sz w:val="20"/>
          <w:szCs w:val="20"/>
        </w:rPr>
      </w:pPr>
      <w:r>
        <w:rPr>
          <w:rFonts w:ascii="Arial" w:hAnsi="Arial" w:cs="Arial"/>
          <w:sz w:val="20"/>
          <w:szCs w:val="20"/>
        </w:rPr>
        <w:t>C</w:t>
      </w:r>
      <w:r w:rsidR="008E02CE" w:rsidRPr="00E16006">
        <w:rPr>
          <w:rFonts w:ascii="Arial" w:hAnsi="Arial" w:cs="Arial"/>
          <w:sz w:val="20"/>
          <w:szCs w:val="20"/>
        </w:rPr>
        <w:t>atalase and SOD enzymes play a crucial role in mitigating oxidative damage caused by reactive oxygen species under salinity stress. The increased activity of these enzymes observed in this study agrees with the findings of (</w:t>
      </w:r>
      <w:r w:rsidR="006035A0" w:rsidRPr="00E16006">
        <w:rPr>
          <w:rFonts w:ascii="Arial" w:hAnsi="Arial" w:cs="Arial"/>
          <w:sz w:val="20"/>
          <w:szCs w:val="20"/>
        </w:rPr>
        <w:t>Sharma</w:t>
      </w:r>
      <w:r w:rsidR="006035A0" w:rsidRPr="00E16006">
        <w:rPr>
          <w:rFonts w:ascii="Arial" w:hAnsi="Arial" w:cs="Arial"/>
          <w:i/>
          <w:iCs/>
          <w:sz w:val="20"/>
          <w:szCs w:val="20"/>
        </w:rPr>
        <w:t xml:space="preserve"> et al.</w:t>
      </w:r>
      <w:r w:rsidR="006035A0" w:rsidRPr="00E16006">
        <w:rPr>
          <w:rFonts w:ascii="Arial" w:hAnsi="Arial" w:cs="Arial"/>
          <w:sz w:val="20"/>
          <w:szCs w:val="20"/>
        </w:rPr>
        <w:t xml:space="preserve"> 2013</w:t>
      </w:r>
      <w:r w:rsidR="008E02CE" w:rsidRPr="00E16006">
        <w:rPr>
          <w:rFonts w:ascii="Arial" w:hAnsi="Arial" w:cs="Arial"/>
          <w:sz w:val="20"/>
          <w:szCs w:val="20"/>
        </w:rPr>
        <w:t>) and (</w:t>
      </w:r>
      <w:r w:rsidR="006035A0" w:rsidRPr="00E16006">
        <w:rPr>
          <w:rFonts w:ascii="Arial" w:hAnsi="Arial" w:cs="Arial"/>
          <w:sz w:val="20"/>
          <w:szCs w:val="20"/>
          <w:lang w:val="sv-SE"/>
        </w:rPr>
        <w:t xml:space="preserve">Pan </w:t>
      </w:r>
      <w:r w:rsidR="006035A0" w:rsidRPr="00E16006">
        <w:rPr>
          <w:rFonts w:ascii="Arial" w:hAnsi="Arial" w:cs="Arial"/>
          <w:i/>
          <w:iCs/>
          <w:sz w:val="20"/>
          <w:szCs w:val="20"/>
          <w:lang w:val="sv-SE"/>
        </w:rPr>
        <w:t>et al</w:t>
      </w:r>
      <w:r w:rsidR="006035A0" w:rsidRPr="00E16006">
        <w:rPr>
          <w:rFonts w:ascii="Arial" w:hAnsi="Arial" w:cs="Arial"/>
          <w:sz w:val="20"/>
          <w:szCs w:val="20"/>
          <w:lang w:val="sv-SE"/>
        </w:rPr>
        <w:t>. 2013</w:t>
      </w:r>
      <w:r w:rsidR="008E02CE" w:rsidRPr="00E16006">
        <w:rPr>
          <w:rFonts w:ascii="Arial" w:hAnsi="Arial" w:cs="Arial"/>
          <w:sz w:val="20"/>
          <w:szCs w:val="20"/>
        </w:rPr>
        <w:t xml:space="preserve">), who reported higher antioxidant enzyme activities in salt-tolerant rice varieties. The role of phytohormones in modulating antioxidant enzyme activity under stress conditions has been well-documented by </w:t>
      </w:r>
      <w:proofErr w:type="spellStart"/>
      <w:r w:rsidR="006035A0" w:rsidRPr="00E16006">
        <w:rPr>
          <w:rFonts w:ascii="Arial" w:hAnsi="Arial" w:cs="Arial"/>
          <w:sz w:val="20"/>
          <w:szCs w:val="20"/>
        </w:rPr>
        <w:t>Farhangjoo</w:t>
      </w:r>
      <w:proofErr w:type="spellEnd"/>
      <w:r w:rsidR="006035A0" w:rsidRPr="00E16006">
        <w:rPr>
          <w:rFonts w:ascii="Arial" w:hAnsi="Arial" w:cs="Arial"/>
          <w:sz w:val="20"/>
          <w:szCs w:val="20"/>
        </w:rPr>
        <w:t xml:space="preserve"> </w:t>
      </w:r>
      <w:r w:rsidR="006035A0" w:rsidRPr="00E16006">
        <w:rPr>
          <w:rFonts w:ascii="Arial" w:hAnsi="Arial" w:cs="Arial"/>
          <w:i/>
          <w:iCs/>
          <w:sz w:val="20"/>
          <w:szCs w:val="20"/>
        </w:rPr>
        <w:t xml:space="preserve">et al. </w:t>
      </w:r>
      <w:r w:rsidR="006035A0" w:rsidRPr="00E16006">
        <w:rPr>
          <w:rFonts w:ascii="Arial" w:hAnsi="Arial" w:cs="Arial"/>
          <w:sz w:val="20"/>
          <w:szCs w:val="20"/>
        </w:rPr>
        <w:t>2020</w:t>
      </w:r>
      <w:r w:rsidR="008E02CE" w:rsidRPr="00E16006">
        <w:rPr>
          <w:rFonts w:ascii="Arial" w:hAnsi="Arial" w:cs="Arial"/>
          <w:sz w:val="20"/>
          <w:szCs w:val="20"/>
        </w:rPr>
        <w:t xml:space="preserve">, </w:t>
      </w:r>
      <w:r w:rsidR="006035A0" w:rsidRPr="00E16006">
        <w:rPr>
          <w:rFonts w:ascii="Arial" w:hAnsi="Arial" w:cs="Arial"/>
          <w:sz w:val="20"/>
          <w:szCs w:val="20"/>
        </w:rPr>
        <w:t xml:space="preserve">Singh </w:t>
      </w:r>
      <w:r w:rsidR="006035A0" w:rsidRPr="00E16006">
        <w:rPr>
          <w:rFonts w:ascii="Arial" w:hAnsi="Arial" w:cs="Arial"/>
          <w:i/>
          <w:iCs/>
          <w:sz w:val="20"/>
          <w:szCs w:val="20"/>
        </w:rPr>
        <w:t xml:space="preserve">et al. </w:t>
      </w:r>
      <w:r w:rsidR="006035A0" w:rsidRPr="00E16006">
        <w:rPr>
          <w:rFonts w:ascii="Arial" w:hAnsi="Arial" w:cs="Arial"/>
          <w:sz w:val="20"/>
          <w:szCs w:val="20"/>
        </w:rPr>
        <w:t>2007</w:t>
      </w:r>
      <w:r w:rsidR="008E02CE" w:rsidRPr="00E16006">
        <w:rPr>
          <w:rFonts w:ascii="Arial" w:hAnsi="Arial" w:cs="Arial"/>
          <w:sz w:val="20"/>
          <w:szCs w:val="20"/>
        </w:rPr>
        <w:t xml:space="preserve">, and </w:t>
      </w:r>
      <w:r w:rsidR="006035A0" w:rsidRPr="00E16006">
        <w:rPr>
          <w:rFonts w:ascii="Arial" w:hAnsi="Arial" w:cs="Arial"/>
          <w:sz w:val="20"/>
          <w:szCs w:val="20"/>
        </w:rPr>
        <w:t>Abbas 2018</w:t>
      </w:r>
      <w:r w:rsidR="008E02CE" w:rsidRPr="00E16006">
        <w:rPr>
          <w:rFonts w:ascii="Arial" w:hAnsi="Arial" w:cs="Arial"/>
          <w:sz w:val="20"/>
          <w:szCs w:val="20"/>
        </w:rPr>
        <w:t>, supporting the current results.</w:t>
      </w:r>
    </w:p>
    <w:p w14:paraId="0A1A1086" w14:textId="3242D815" w:rsidR="00301EFF" w:rsidRPr="00E16006" w:rsidRDefault="00301EFF" w:rsidP="00E16006">
      <w:pPr>
        <w:pStyle w:val="NormalWeb"/>
        <w:spacing w:before="0" w:beforeAutospacing="0" w:after="0" w:afterAutospacing="0"/>
        <w:jc w:val="both"/>
        <w:rPr>
          <w:rFonts w:ascii="Arial" w:hAnsi="Arial" w:cs="Arial"/>
          <w:sz w:val="20"/>
          <w:szCs w:val="20"/>
        </w:rPr>
      </w:pPr>
      <w:r w:rsidRPr="00E16006">
        <w:rPr>
          <w:rFonts w:ascii="Arial" w:hAnsi="Arial" w:cs="Arial"/>
          <w:sz w:val="20"/>
          <w:szCs w:val="20"/>
        </w:rPr>
        <w:t>3.3.4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w:t>
      </w:r>
    </w:p>
    <w:p w14:paraId="086413BC" w14:textId="58E1477F" w:rsidR="008E02CE" w:rsidRPr="00E16006" w:rsidRDefault="008E02CE" w:rsidP="00E16006">
      <w:pPr>
        <w:pStyle w:val="Legenda"/>
        <w:keepNext/>
        <w:spacing w:line="240" w:lineRule="auto"/>
        <w:rPr>
          <w:rFonts w:ascii="Arial" w:hAnsi="Arial" w:cs="Arial"/>
          <w:b/>
          <w:bCs/>
          <w:i w:val="0"/>
          <w:iCs w:val="0"/>
          <w:sz w:val="20"/>
          <w:szCs w:val="20"/>
        </w:rPr>
      </w:pPr>
      <w:r w:rsidRPr="00E16006">
        <w:rPr>
          <w:rFonts w:ascii="Arial" w:hAnsi="Arial" w:cs="Arial"/>
          <w:b/>
          <w:bCs/>
          <w:i w:val="0"/>
          <w:iCs w:val="0"/>
          <w:sz w:val="20"/>
          <w:szCs w:val="20"/>
        </w:rPr>
        <w:t xml:space="preserve">Table </w:t>
      </w:r>
      <w:r w:rsidR="00301EFF" w:rsidRPr="00E16006">
        <w:rPr>
          <w:rFonts w:ascii="Arial" w:hAnsi="Arial" w:cs="Arial"/>
          <w:b/>
          <w:bCs/>
          <w:i w:val="0"/>
          <w:iCs w:val="0"/>
          <w:sz w:val="20"/>
          <w:szCs w:val="20"/>
        </w:rPr>
        <w:t>5</w:t>
      </w:r>
      <w:r w:rsidRPr="00E16006">
        <w:rPr>
          <w:rFonts w:ascii="Arial" w:hAnsi="Arial" w:cs="Arial"/>
          <w:b/>
          <w:bCs/>
          <w:i w:val="0"/>
          <w:iCs w:val="0"/>
          <w:sz w:val="20"/>
          <w:szCs w:val="20"/>
          <w:lang w:eastAsia="en-IN"/>
        </w:rPr>
        <w:t xml:space="preserve">. </w:t>
      </w:r>
      <w:r w:rsidRPr="00E16006">
        <w:rPr>
          <w:rFonts w:ascii="Arial" w:hAnsi="Arial" w:cs="Arial"/>
          <w:b/>
          <w:bCs/>
          <w:i w:val="0"/>
          <w:iCs w:val="0"/>
          <w:sz w:val="20"/>
          <w:szCs w:val="20"/>
        </w:rPr>
        <w:t xml:space="preserve">Influence of Signal molecules on </w:t>
      </w:r>
      <w:r w:rsidRPr="00E16006">
        <w:rPr>
          <w:rFonts w:ascii="Arial" w:eastAsia="Calibri" w:hAnsi="Arial" w:cs="Arial"/>
          <w:b/>
          <w:bCs/>
          <w:i w:val="0"/>
          <w:iCs w:val="0"/>
          <w:kern w:val="2"/>
          <w:sz w:val="20"/>
          <w:szCs w:val="20"/>
        </w:rPr>
        <w:t>Na</w:t>
      </w:r>
      <w:r w:rsidRPr="00E16006">
        <w:rPr>
          <w:rFonts w:ascii="Arial" w:eastAsia="Calibri" w:hAnsi="Arial" w:cs="Arial"/>
          <w:b/>
          <w:bCs/>
          <w:i w:val="0"/>
          <w:iCs w:val="0"/>
          <w:kern w:val="2"/>
          <w:sz w:val="20"/>
          <w:szCs w:val="20"/>
          <w:vertAlign w:val="superscript"/>
        </w:rPr>
        <w:t>+</w:t>
      </w:r>
      <w:r w:rsidRPr="00E16006">
        <w:rPr>
          <w:rFonts w:ascii="Arial" w:eastAsia="Calibri" w:hAnsi="Arial" w:cs="Arial"/>
          <w:b/>
          <w:bCs/>
          <w:i w:val="0"/>
          <w:iCs w:val="0"/>
          <w:kern w:val="2"/>
          <w:sz w:val="20"/>
          <w:szCs w:val="20"/>
        </w:rPr>
        <w:t>/K</w:t>
      </w:r>
      <w:r w:rsidRPr="00E16006">
        <w:rPr>
          <w:rFonts w:ascii="Arial" w:eastAsia="Calibri" w:hAnsi="Arial" w:cs="Arial"/>
          <w:b/>
          <w:bCs/>
          <w:i w:val="0"/>
          <w:iCs w:val="0"/>
          <w:kern w:val="2"/>
          <w:sz w:val="20"/>
          <w:szCs w:val="20"/>
          <w:vertAlign w:val="superscript"/>
        </w:rPr>
        <w:t>+</w:t>
      </w:r>
      <w:r w:rsidRPr="00E16006">
        <w:rPr>
          <w:rFonts w:ascii="Arial" w:eastAsia="Calibri" w:hAnsi="Arial" w:cs="Arial"/>
          <w:b/>
          <w:bCs/>
          <w:i w:val="0"/>
          <w:iCs w:val="0"/>
          <w:kern w:val="2"/>
          <w:sz w:val="20"/>
          <w:szCs w:val="20"/>
        </w:rPr>
        <w:t xml:space="preserve"> ratio</w:t>
      </w:r>
      <w:r w:rsidRPr="00E16006">
        <w:rPr>
          <w:rFonts w:ascii="Arial" w:hAnsi="Arial" w:cs="Arial"/>
          <w:b/>
          <w:bCs/>
          <w:i w:val="0"/>
          <w:iCs w:val="0"/>
          <w:sz w:val="20"/>
          <w:szCs w:val="20"/>
        </w:rPr>
        <w:t xml:space="preserve"> in rice under salinity stress</w:t>
      </w:r>
    </w:p>
    <w:tbl>
      <w:tblPr>
        <w:tblW w:w="3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50"/>
        <w:gridCol w:w="1198"/>
        <w:gridCol w:w="1140"/>
        <w:gridCol w:w="1672"/>
      </w:tblGrid>
      <w:tr w:rsidR="008E02CE" w:rsidRPr="00E16006" w14:paraId="716061AF" w14:textId="77777777" w:rsidTr="0058019D">
        <w:trPr>
          <w:trHeight w:val="291"/>
          <w:jc w:val="center"/>
        </w:trPr>
        <w:tc>
          <w:tcPr>
            <w:tcW w:w="1882" w:type="pct"/>
            <w:gridSpan w:val="4"/>
            <w:shd w:val="clear" w:color="auto" w:fill="auto"/>
          </w:tcPr>
          <w:p w14:paraId="0780C05D"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Na</w:t>
            </w:r>
            <w:r w:rsidRPr="00E16006">
              <w:rPr>
                <w:rFonts w:ascii="Arial" w:eastAsia="Calibri" w:hAnsi="Arial" w:cs="Arial"/>
                <w:b/>
                <w:bCs/>
                <w:kern w:val="2"/>
                <w:vertAlign w:val="superscript"/>
              </w:rPr>
              <w:t>+</w:t>
            </w:r>
            <w:r w:rsidRPr="00E16006">
              <w:rPr>
                <w:rFonts w:ascii="Arial" w:eastAsia="Calibri" w:hAnsi="Arial" w:cs="Arial"/>
                <w:b/>
                <w:bCs/>
                <w:kern w:val="2"/>
              </w:rPr>
              <w:t>/K</w:t>
            </w:r>
            <w:r w:rsidRPr="00E16006">
              <w:rPr>
                <w:rFonts w:ascii="Arial" w:eastAsia="Calibri" w:hAnsi="Arial" w:cs="Arial"/>
                <w:b/>
                <w:bCs/>
                <w:kern w:val="2"/>
                <w:vertAlign w:val="superscript"/>
              </w:rPr>
              <w:t>+</w:t>
            </w:r>
            <w:r w:rsidRPr="00E16006">
              <w:rPr>
                <w:rFonts w:ascii="Arial" w:eastAsia="Calibri" w:hAnsi="Arial" w:cs="Arial"/>
                <w:b/>
                <w:bCs/>
                <w:kern w:val="2"/>
              </w:rPr>
              <w:t xml:space="preserve"> ratio</w:t>
            </w:r>
          </w:p>
        </w:tc>
      </w:tr>
      <w:tr w:rsidR="008E02CE" w:rsidRPr="00E16006" w14:paraId="29EFE133" w14:textId="77777777" w:rsidTr="0058019D">
        <w:trPr>
          <w:trHeight w:val="134"/>
          <w:jc w:val="center"/>
        </w:trPr>
        <w:tc>
          <w:tcPr>
            <w:tcW w:w="474" w:type="pct"/>
            <w:shd w:val="clear" w:color="auto" w:fill="auto"/>
            <w:vAlign w:val="center"/>
          </w:tcPr>
          <w:p w14:paraId="199075BB"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Maximum tillering stage</w:t>
            </w:r>
          </w:p>
        </w:tc>
        <w:tc>
          <w:tcPr>
            <w:tcW w:w="421" w:type="pct"/>
            <w:shd w:val="clear" w:color="auto" w:fill="auto"/>
            <w:vAlign w:val="center"/>
          </w:tcPr>
          <w:p w14:paraId="560143D9"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Panicle initiation stage</w:t>
            </w:r>
          </w:p>
        </w:tc>
        <w:tc>
          <w:tcPr>
            <w:tcW w:w="400" w:type="pct"/>
            <w:shd w:val="clear" w:color="auto" w:fill="auto"/>
            <w:vAlign w:val="center"/>
          </w:tcPr>
          <w:p w14:paraId="0994CF86"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Anthesis stage</w:t>
            </w:r>
          </w:p>
        </w:tc>
        <w:tc>
          <w:tcPr>
            <w:tcW w:w="587" w:type="pct"/>
            <w:shd w:val="clear" w:color="auto" w:fill="auto"/>
            <w:vAlign w:val="center"/>
          </w:tcPr>
          <w:p w14:paraId="2CEA0C8A" w14:textId="77777777" w:rsidR="008E02CE" w:rsidRPr="00E16006" w:rsidRDefault="008E02CE" w:rsidP="00E16006">
            <w:pPr>
              <w:widowControl w:val="0"/>
              <w:jc w:val="center"/>
              <w:rPr>
                <w:rFonts w:ascii="Arial" w:hAnsi="Arial" w:cs="Arial"/>
                <w:b/>
                <w:bCs/>
                <w:lang w:eastAsia="en-IN"/>
              </w:rPr>
            </w:pPr>
            <w:r w:rsidRPr="00E16006">
              <w:rPr>
                <w:rFonts w:ascii="Arial" w:hAnsi="Arial" w:cs="Arial"/>
                <w:b/>
                <w:bCs/>
                <w:lang w:eastAsia="en-IN"/>
              </w:rPr>
              <w:t>Physiological maturity Stage</w:t>
            </w:r>
          </w:p>
        </w:tc>
      </w:tr>
      <w:tr w:rsidR="008E02CE" w:rsidRPr="00E16006" w14:paraId="115332FD" w14:textId="77777777" w:rsidTr="0058019D">
        <w:trPr>
          <w:trHeight w:val="317"/>
          <w:jc w:val="center"/>
        </w:trPr>
        <w:tc>
          <w:tcPr>
            <w:tcW w:w="474" w:type="pct"/>
            <w:shd w:val="clear" w:color="auto" w:fill="auto"/>
            <w:vAlign w:val="bottom"/>
          </w:tcPr>
          <w:p w14:paraId="729F3DE9"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0.73</w:t>
            </w:r>
          </w:p>
        </w:tc>
        <w:tc>
          <w:tcPr>
            <w:tcW w:w="421" w:type="pct"/>
            <w:shd w:val="clear" w:color="auto" w:fill="auto"/>
            <w:vAlign w:val="bottom"/>
          </w:tcPr>
          <w:p w14:paraId="6217126C"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0.96*</w:t>
            </w:r>
          </w:p>
        </w:tc>
        <w:tc>
          <w:tcPr>
            <w:tcW w:w="400" w:type="pct"/>
            <w:shd w:val="clear" w:color="auto" w:fill="auto"/>
            <w:vAlign w:val="bottom"/>
          </w:tcPr>
          <w:p w14:paraId="2A2A9FF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0.88*</w:t>
            </w:r>
          </w:p>
        </w:tc>
        <w:tc>
          <w:tcPr>
            <w:tcW w:w="587" w:type="pct"/>
            <w:shd w:val="clear" w:color="auto" w:fill="auto"/>
            <w:vAlign w:val="bottom"/>
          </w:tcPr>
          <w:p w14:paraId="40477B5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0.63*</w:t>
            </w:r>
          </w:p>
        </w:tc>
      </w:tr>
      <w:tr w:rsidR="008E02CE" w:rsidRPr="00E16006" w14:paraId="75D949BC" w14:textId="77777777" w:rsidTr="0058019D">
        <w:trPr>
          <w:trHeight w:val="317"/>
          <w:jc w:val="center"/>
        </w:trPr>
        <w:tc>
          <w:tcPr>
            <w:tcW w:w="474" w:type="pct"/>
            <w:shd w:val="clear" w:color="auto" w:fill="auto"/>
            <w:vAlign w:val="bottom"/>
          </w:tcPr>
          <w:p w14:paraId="3FD7D5D9"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1.00</w:t>
            </w:r>
          </w:p>
        </w:tc>
        <w:tc>
          <w:tcPr>
            <w:tcW w:w="421" w:type="pct"/>
            <w:shd w:val="clear" w:color="auto" w:fill="auto"/>
            <w:vAlign w:val="bottom"/>
          </w:tcPr>
          <w:p w14:paraId="5633B9AD"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1.23*</w:t>
            </w:r>
          </w:p>
        </w:tc>
        <w:tc>
          <w:tcPr>
            <w:tcW w:w="400" w:type="pct"/>
            <w:shd w:val="clear" w:color="auto" w:fill="auto"/>
            <w:vAlign w:val="bottom"/>
          </w:tcPr>
          <w:p w14:paraId="19670581"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1.22*</w:t>
            </w:r>
          </w:p>
        </w:tc>
        <w:tc>
          <w:tcPr>
            <w:tcW w:w="587" w:type="pct"/>
            <w:shd w:val="clear" w:color="auto" w:fill="auto"/>
            <w:vAlign w:val="bottom"/>
          </w:tcPr>
          <w:p w14:paraId="204AEFAB"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1.37*</w:t>
            </w:r>
          </w:p>
        </w:tc>
      </w:tr>
      <w:tr w:rsidR="008E02CE" w:rsidRPr="00E16006" w14:paraId="2B65AFB7" w14:textId="77777777" w:rsidTr="0058019D">
        <w:trPr>
          <w:trHeight w:val="317"/>
          <w:jc w:val="center"/>
        </w:trPr>
        <w:tc>
          <w:tcPr>
            <w:tcW w:w="474" w:type="pct"/>
            <w:shd w:val="clear" w:color="auto" w:fill="auto"/>
            <w:vAlign w:val="bottom"/>
          </w:tcPr>
          <w:p w14:paraId="2BEEB09A"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0.87</w:t>
            </w:r>
          </w:p>
        </w:tc>
        <w:tc>
          <w:tcPr>
            <w:tcW w:w="421" w:type="pct"/>
            <w:shd w:val="clear" w:color="auto" w:fill="auto"/>
            <w:vAlign w:val="bottom"/>
          </w:tcPr>
          <w:p w14:paraId="7EF9CECC"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1.28</w:t>
            </w:r>
          </w:p>
        </w:tc>
        <w:tc>
          <w:tcPr>
            <w:tcW w:w="400" w:type="pct"/>
            <w:shd w:val="clear" w:color="auto" w:fill="auto"/>
            <w:vAlign w:val="bottom"/>
          </w:tcPr>
          <w:p w14:paraId="507F538E"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1.28*</w:t>
            </w:r>
          </w:p>
        </w:tc>
        <w:tc>
          <w:tcPr>
            <w:tcW w:w="587" w:type="pct"/>
            <w:shd w:val="clear" w:color="auto" w:fill="auto"/>
            <w:vAlign w:val="bottom"/>
          </w:tcPr>
          <w:p w14:paraId="3FB55AB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1.54*</w:t>
            </w:r>
          </w:p>
        </w:tc>
      </w:tr>
      <w:tr w:rsidR="008E02CE" w:rsidRPr="00E16006" w14:paraId="7BC7D093" w14:textId="77777777" w:rsidTr="0058019D">
        <w:trPr>
          <w:trHeight w:val="317"/>
          <w:jc w:val="center"/>
        </w:trPr>
        <w:tc>
          <w:tcPr>
            <w:tcW w:w="474" w:type="pct"/>
            <w:shd w:val="clear" w:color="auto" w:fill="auto"/>
            <w:vAlign w:val="bottom"/>
          </w:tcPr>
          <w:p w14:paraId="7712D0C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0.96</w:t>
            </w:r>
          </w:p>
        </w:tc>
        <w:tc>
          <w:tcPr>
            <w:tcW w:w="421" w:type="pct"/>
            <w:shd w:val="clear" w:color="auto" w:fill="auto"/>
            <w:vAlign w:val="bottom"/>
          </w:tcPr>
          <w:p w14:paraId="27E03F3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1.21*</w:t>
            </w:r>
          </w:p>
        </w:tc>
        <w:tc>
          <w:tcPr>
            <w:tcW w:w="400" w:type="pct"/>
            <w:shd w:val="clear" w:color="auto" w:fill="auto"/>
            <w:vAlign w:val="bottom"/>
          </w:tcPr>
          <w:p w14:paraId="60E590B8"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1.19*</w:t>
            </w:r>
          </w:p>
        </w:tc>
        <w:tc>
          <w:tcPr>
            <w:tcW w:w="587" w:type="pct"/>
            <w:shd w:val="clear" w:color="auto" w:fill="auto"/>
            <w:vAlign w:val="bottom"/>
          </w:tcPr>
          <w:p w14:paraId="61EDD31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1.34*</w:t>
            </w:r>
          </w:p>
        </w:tc>
      </w:tr>
      <w:tr w:rsidR="008E02CE" w:rsidRPr="00E16006" w14:paraId="21801385" w14:textId="77777777" w:rsidTr="0058019D">
        <w:trPr>
          <w:trHeight w:val="317"/>
          <w:jc w:val="center"/>
        </w:trPr>
        <w:tc>
          <w:tcPr>
            <w:tcW w:w="474" w:type="pct"/>
            <w:shd w:val="clear" w:color="auto" w:fill="auto"/>
            <w:vAlign w:val="bottom"/>
          </w:tcPr>
          <w:p w14:paraId="3B99929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1.13</w:t>
            </w:r>
          </w:p>
        </w:tc>
        <w:tc>
          <w:tcPr>
            <w:tcW w:w="421" w:type="pct"/>
            <w:shd w:val="clear" w:color="auto" w:fill="auto"/>
            <w:vAlign w:val="bottom"/>
          </w:tcPr>
          <w:p w14:paraId="0D994FA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1.18*</w:t>
            </w:r>
          </w:p>
        </w:tc>
        <w:tc>
          <w:tcPr>
            <w:tcW w:w="400" w:type="pct"/>
            <w:shd w:val="clear" w:color="auto" w:fill="auto"/>
            <w:vAlign w:val="bottom"/>
          </w:tcPr>
          <w:p w14:paraId="4D914DE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1.18*</w:t>
            </w:r>
          </w:p>
        </w:tc>
        <w:tc>
          <w:tcPr>
            <w:tcW w:w="587" w:type="pct"/>
            <w:shd w:val="clear" w:color="auto" w:fill="auto"/>
            <w:vAlign w:val="bottom"/>
          </w:tcPr>
          <w:p w14:paraId="5A664C0A"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1.05*</w:t>
            </w:r>
          </w:p>
        </w:tc>
      </w:tr>
      <w:tr w:rsidR="008E02CE" w:rsidRPr="00E16006" w14:paraId="5283DF82" w14:textId="77777777" w:rsidTr="0058019D">
        <w:trPr>
          <w:trHeight w:val="317"/>
          <w:jc w:val="center"/>
        </w:trPr>
        <w:tc>
          <w:tcPr>
            <w:tcW w:w="474" w:type="pct"/>
            <w:shd w:val="clear" w:color="auto" w:fill="auto"/>
            <w:vAlign w:val="bottom"/>
          </w:tcPr>
          <w:p w14:paraId="4979A0C5"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0.87</w:t>
            </w:r>
          </w:p>
        </w:tc>
        <w:tc>
          <w:tcPr>
            <w:tcW w:w="421" w:type="pct"/>
            <w:shd w:val="clear" w:color="auto" w:fill="auto"/>
            <w:vAlign w:val="bottom"/>
          </w:tcPr>
          <w:p w14:paraId="5A197C08"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1.10*</w:t>
            </w:r>
          </w:p>
        </w:tc>
        <w:tc>
          <w:tcPr>
            <w:tcW w:w="400" w:type="pct"/>
            <w:shd w:val="clear" w:color="auto" w:fill="auto"/>
            <w:vAlign w:val="bottom"/>
          </w:tcPr>
          <w:p w14:paraId="1EB8304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1.06*</w:t>
            </w:r>
          </w:p>
        </w:tc>
        <w:tc>
          <w:tcPr>
            <w:tcW w:w="587" w:type="pct"/>
            <w:shd w:val="clear" w:color="auto" w:fill="auto"/>
            <w:vAlign w:val="bottom"/>
          </w:tcPr>
          <w:p w14:paraId="1B20C074"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1.03*</w:t>
            </w:r>
          </w:p>
        </w:tc>
      </w:tr>
      <w:tr w:rsidR="008E02CE" w:rsidRPr="00E16006" w14:paraId="36673FEE" w14:textId="77777777" w:rsidTr="0058019D">
        <w:trPr>
          <w:trHeight w:val="317"/>
          <w:jc w:val="center"/>
        </w:trPr>
        <w:tc>
          <w:tcPr>
            <w:tcW w:w="474" w:type="pct"/>
            <w:shd w:val="clear" w:color="auto" w:fill="auto"/>
            <w:vAlign w:val="bottom"/>
          </w:tcPr>
          <w:p w14:paraId="28224F00"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1.18</w:t>
            </w:r>
          </w:p>
        </w:tc>
        <w:tc>
          <w:tcPr>
            <w:tcW w:w="421" w:type="pct"/>
            <w:shd w:val="clear" w:color="auto" w:fill="auto"/>
            <w:vAlign w:val="bottom"/>
          </w:tcPr>
          <w:p w14:paraId="473D857F"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1.05*</w:t>
            </w:r>
          </w:p>
        </w:tc>
        <w:tc>
          <w:tcPr>
            <w:tcW w:w="400" w:type="pct"/>
            <w:shd w:val="clear" w:color="auto" w:fill="auto"/>
            <w:vAlign w:val="bottom"/>
          </w:tcPr>
          <w:p w14:paraId="1E373274"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0.95*</w:t>
            </w:r>
          </w:p>
        </w:tc>
        <w:tc>
          <w:tcPr>
            <w:tcW w:w="587" w:type="pct"/>
            <w:shd w:val="clear" w:color="auto" w:fill="auto"/>
            <w:vAlign w:val="bottom"/>
          </w:tcPr>
          <w:p w14:paraId="46975366"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0.71*</w:t>
            </w:r>
          </w:p>
        </w:tc>
      </w:tr>
      <w:tr w:rsidR="008E02CE" w:rsidRPr="00E16006" w14:paraId="56C4C773" w14:textId="77777777" w:rsidTr="0058019D">
        <w:trPr>
          <w:trHeight w:val="317"/>
          <w:jc w:val="center"/>
        </w:trPr>
        <w:tc>
          <w:tcPr>
            <w:tcW w:w="474" w:type="pct"/>
            <w:shd w:val="clear" w:color="auto" w:fill="auto"/>
            <w:vAlign w:val="bottom"/>
          </w:tcPr>
          <w:p w14:paraId="320C5911"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hAnsi="Arial" w:cs="Arial"/>
                <w:color w:val="000000"/>
              </w:rPr>
              <w:t>0.92</w:t>
            </w:r>
          </w:p>
        </w:tc>
        <w:tc>
          <w:tcPr>
            <w:tcW w:w="421" w:type="pct"/>
            <w:shd w:val="clear" w:color="auto" w:fill="auto"/>
            <w:vAlign w:val="bottom"/>
          </w:tcPr>
          <w:p w14:paraId="1EC19F38"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1.37</w:t>
            </w:r>
          </w:p>
        </w:tc>
        <w:tc>
          <w:tcPr>
            <w:tcW w:w="400" w:type="pct"/>
            <w:shd w:val="clear" w:color="auto" w:fill="auto"/>
            <w:vAlign w:val="bottom"/>
          </w:tcPr>
          <w:p w14:paraId="0505EA1C"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1.77</w:t>
            </w:r>
          </w:p>
        </w:tc>
        <w:tc>
          <w:tcPr>
            <w:tcW w:w="587" w:type="pct"/>
            <w:shd w:val="clear" w:color="auto" w:fill="auto"/>
            <w:vAlign w:val="bottom"/>
          </w:tcPr>
          <w:p w14:paraId="4EF2E194" w14:textId="77777777" w:rsidR="008E02CE" w:rsidRPr="00E16006" w:rsidRDefault="008E02CE" w:rsidP="00E16006">
            <w:pPr>
              <w:widowControl w:val="0"/>
              <w:jc w:val="center"/>
              <w:rPr>
                <w:rFonts w:ascii="Arial" w:eastAsia="Calibri" w:hAnsi="Arial" w:cs="Arial"/>
                <w:b/>
                <w:bCs/>
                <w:color w:val="000000"/>
                <w:kern w:val="2"/>
              </w:rPr>
            </w:pPr>
            <w:r w:rsidRPr="00E16006">
              <w:rPr>
                <w:rFonts w:ascii="Arial" w:eastAsia="Calibri" w:hAnsi="Arial" w:cs="Arial"/>
                <w:color w:val="000000"/>
                <w:kern w:val="2"/>
              </w:rPr>
              <w:t>1.82</w:t>
            </w:r>
          </w:p>
        </w:tc>
      </w:tr>
      <w:tr w:rsidR="008E02CE" w:rsidRPr="00E16006" w14:paraId="6D6FBAF1" w14:textId="77777777" w:rsidTr="0058019D">
        <w:trPr>
          <w:trHeight w:val="317"/>
          <w:jc w:val="center"/>
        </w:trPr>
        <w:tc>
          <w:tcPr>
            <w:tcW w:w="474" w:type="pct"/>
            <w:shd w:val="clear" w:color="auto" w:fill="auto"/>
            <w:vAlign w:val="bottom"/>
          </w:tcPr>
          <w:p w14:paraId="56247B11" w14:textId="77777777" w:rsidR="008E02CE" w:rsidRPr="00E16006" w:rsidRDefault="008E02CE" w:rsidP="00E16006">
            <w:pPr>
              <w:widowControl w:val="0"/>
              <w:jc w:val="center"/>
              <w:rPr>
                <w:rFonts w:ascii="Arial" w:hAnsi="Arial" w:cs="Arial"/>
                <w:b/>
                <w:bCs/>
                <w:color w:val="000000"/>
                <w:lang w:eastAsia="en-IN"/>
              </w:rPr>
            </w:pPr>
            <w:r w:rsidRPr="00E16006">
              <w:rPr>
                <w:rFonts w:ascii="Arial" w:eastAsia="Calibri" w:hAnsi="Arial" w:cs="Arial"/>
                <w:b/>
                <w:bCs/>
                <w:kern w:val="2"/>
              </w:rPr>
              <w:t>0.03</w:t>
            </w:r>
          </w:p>
        </w:tc>
        <w:tc>
          <w:tcPr>
            <w:tcW w:w="421" w:type="pct"/>
            <w:shd w:val="clear" w:color="auto" w:fill="auto"/>
            <w:vAlign w:val="bottom"/>
          </w:tcPr>
          <w:p w14:paraId="5092116B" w14:textId="77777777" w:rsidR="008E02CE" w:rsidRPr="00E16006" w:rsidRDefault="008E02CE" w:rsidP="00E16006">
            <w:pPr>
              <w:widowControl w:val="0"/>
              <w:jc w:val="center"/>
              <w:rPr>
                <w:rFonts w:ascii="Arial" w:hAnsi="Arial" w:cs="Arial"/>
                <w:b/>
                <w:bCs/>
                <w:color w:val="000000"/>
                <w:lang w:eastAsia="en-IN"/>
              </w:rPr>
            </w:pPr>
            <w:r w:rsidRPr="00E16006">
              <w:rPr>
                <w:rFonts w:ascii="Arial" w:hAnsi="Arial" w:cs="Arial"/>
                <w:b/>
                <w:bCs/>
                <w:color w:val="000000"/>
                <w:lang w:eastAsia="en-IN"/>
              </w:rPr>
              <w:t>0.03</w:t>
            </w:r>
          </w:p>
        </w:tc>
        <w:tc>
          <w:tcPr>
            <w:tcW w:w="400" w:type="pct"/>
            <w:shd w:val="clear" w:color="auto" w:fill="auto"/>
            <w:vAlign w:val="bottom"/>
          </w:tcPr>
          <w:p w14:paraId="0EB31256" w14:textId="77777777" w:rsidR="008E02CE" w:rsidRPr="00E16006" w:rsidRDefault="008E02CE" w:rsidP="00E16006">
            <w:pPr>
              <w:widowControl w:val="0"/>
              <w:jc w:val="center"/>
              <w:rPr>
                <w:rFonts w:ascii="Arial" w:hAnsi="Arial" w:cs="Arial"/>
                <w:b/>
                <w:bCs/>
                <w:color w:val="000000"/>
                <w:lang w:eastAsia="en-IN"/>
              </w:rPr>
            </w:pPr>
            <w:r w:rsidRPr="00E16006">
              <w:rPr>
                <w:rFonts w:ascii="Arial" w:hAnsi="Arial" w:cs="Arial"/>
                <w:b/>
                <w:bCs/>
                <w:color w:val="000000"/>
                <w:lang w:eastAsia="en-IN"/>
              </w:rPr>
              <w:t>0.03</w:t>
            </w:r>
          </w:p>
        </w:tc>
        <w:tc>
          <w:tcPr>
            <w:tcW w:w="587" w:type="pct"/>
            <w:shd w:val="clear" w:color="auto" w:fill="auto"/>
            <w:vAlign w:val="bottom"/>
          </w:tcPr>
          <w:p w14:paraId="06D32644" w14:textId="77777777" w:rsidR="008E02CE" w:rsidRPr="00E16006" w:rsidRDefault="008E02CE" w:rsidP="00E16006">
            <w:pPr>
              <w:widowControl w:val="0"/>
              <w:jc w:val="center"/>
              <w:rPr>
                <w:rFonts w:ascii="Arial" w:hAnsi="Arial" w:cs="Arial"/>
                <w:b/>
                <w:bCs/>
                <w:color w:val="000000"/>
                <w:lang w:eastAsia="en-IN"/>
              </w:rPr>
            </w:pPr>
            <w:r w:rsidRPr="00E16006">
              <w:rPr>
                <w:rFonts w:ascii="Arial" w:hAnsi="Arial" w:cs="Arial"/>
                <w:b/>
                <w:bCs/>
                <w:color w:val="000000"/>
                <w:lang w:eastAsia="en-IN"/>
              </w:rPr>
              <w:t>0.03</w:t>
            </w:r>
          </w:p>
        </w:tc>
      </w:tr>
      <w:tr w:rsidR="008E02CE" w:rsidRPr="00E16006" w14:paraId="0633DF9D" w14:textId="77777777" w:rsidTr="0058019D">
        <w:trPr>
          <w:trHeight w:val="317"/>
          <w:jc w:val="center"/>
        </w:trPr>
        <w:tc>
          <w:tcPr>
            <w:tcW w:w="474" w:type="pct"/>
            <w:shd w:val="clear" w:color="auto" w:fill="auto"/>
            <w:vAlign w:val="bottom"/>
          </w:tcPr>
          <w:p w14:paraId="7263B140"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0.08</w:t>
            </w:r>
          </w:p>
        </w:tc>
        <w:tc>
          <w:tcPr>
            <w:tcW w:w="421" w:type="pct"/>
            <w:shd w:val="clear" w:color="auto" w:fill="auto"/>
            <w:vAlign w:val="bottom"/>
          </w:tcPr>
          <w:p w14:paraId="7593CE45" w14:textId="77777777" w:rsidR="008E02CE" w:rsidRPr="00E16006" w:rsidRDefault="008E02CE" w:rsidP="00E16006">
            <w:pPr>
              <w:widowControl w:val="0"/>
              <w:jc w:val="center"/>
              <w:rPr>
                <w:rFonts w:ascii="Arial" w:eastAsia="Calibri" w:hAnsi="Arial" w:cs="Arial"/>
                <w:b/>
                <w:bCs/>
                <w:kern w:val="2"/>
              </w:rPr>
            </w:pPr>
            <w:r w:rsidRPr="00E16006">
              <w:rPr>
                <w:rFonts w:ascii="Arial" w:hAnsi="Arial" w:cs="Arial"/>
                <w:b/>
                <w:bCs/>
                <w:color w:val="000000"/>
                <w:lang w:eastAsia="en-IN"/>
              </w:rPr>
              <w:t>0.10</w:t>
            </w:r>
          </w:p>
        </w:tc>
        <w:tc>
          <w:tcPr>
            <w:tcW w:w="400" w:type="pct"/>
            <w:shd w:val="clear" w:color="auto" w:fill="auto"/>
            <w:vAlign w:val="bottom"/>
          </w:tcPr>
          <w:p w14:paraId="425D2E2B" w14:textId="77777777" w:rsidR="008E02CE" w:rsidRPr="00E16006" w:rsidRDefault="008E02CE" w:rsidP="00E16006">
            <w:pPr>
              <w:widowControl w:val="0"/>
              <w:jc w:val="center"/>
              <w:rPr>
                <w:rFonts w:ascii="Arial" w:eastAsia="Calibri" w:hAnsi="Arial" w:cs="Arial"/>
                <w:b/>
                <w:bCs/>
                <w:kern w:val="2"/>
              </w:rPr>
            </w:pPr>
            <w:r w:rsidRPr="00E16006">
              <w:rPr>
                <w:rFonts w:ascii="Arial" w:hAnsi="Arial" w:cs="Arial"/>
                <w:b/>
                <w:bCs/>
                <w:color w:val="000000"/>
                <w:lang w:eastAsia="en-IN"/>
              </w:rPr>
              <w:t>0.09</w:t>
            </w:r>
          </w:p>
        </w:tc>
        <w:tc>
          <w:tcPr>
            <w:tcW w:w="587" w:type="pct"/>
            <w:shd w:val="clear" w:color="auto" w:fill="auto"/>
            <w:vAlign w:val="bottom"/>
          </w:tcPr>
          <w:p w14:paraId="0BC10044" w14:textId="77777777" w:rsidR="008E02CE" w:rsidRPr="00E16006" w:rsidRDefault="008E02CE" w:rsidP="00E16006">
            <w:pPr>
              <w:widowControl w:val="0"/>
              <w:jc w:val="center"/>
              <w:rPr>
                <w:rFonts w:ascii="Arial" w:eastAsia="Calibri" w:hAnsi="Arial" w:cs="Arial"/>
                <w:b/>
                <w:bCs/>
                <w:kern w:val="2"/>
              </w:rPr>
            </w:pPr>
            <w:r w:rsidRPr="00E16006">
              <w:rPr>
                <w:rFonts w:ascii="Arial" w:hAnsi="Arial" w:cs="Arial"/>
                <w:b/>
                <w:bCs/>
                <w:color w:val="000000"/>
                <w:lang w:eastAsia="en-IN"/>
              </w:rPr>
              <w:t>0.08</w:t>
            </w:r>
          </w:p>
        </w:tc>
      </w:tr>
      <w:tr w:rsidR="008E02CE" w:rsidRPr="00E16006" w14:paraId="3BDE0A73" w14:textId="77777777" w:rsidTr="0058019D">
        <w:trPr>
          <w:trHeight w:val="317"/>
          <w:jc w:val="center"/>
        </w:trPr>
        <w:tc>
          <w:tcPr>
            <w:tcW w:w="474" w:type="pct"/>
            <w:shd w:val="clear" w:color="auto" w:fill="auto"/>
            <w:vAlign w:val="bottom"/>
          </w:tcPr>
          <w:p w14:paraId="0F163246"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4.97</w:t>
            </w:r>
          </w:p>
        </w:tc>
        <w:tc>
          <w:tcPr>
            <w:tcW w:w="421" w:type="pct"/>
            <w:shd w:val="clear" w:color="auto" w:fill="auto"/>
            <w:vAlign w:val="bottom"/>
          </w:tcPr>
          <w:p w14:paraId="61936FA9"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4.65</w:t>
            </w:r>
          </w:p>
        </w:tc>
        <w:tc>
          <w:tcPr>
            <w:tcW w:w="400" w:type="pct"/>
            <w:shd w:val="clear" w:color="auto" w:fill="auto"/>
            <w:vAlign w:val="bottom"/>
          </w:tcPr>
          <w:p w14:paraId="702F8421"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4.30</w:t>
            </w:r>
          </w:p>
        </w:tc>
        <w:tc>
          <w:tcPr>
            <w:tcW w:w="587" w:type="pct"/>
            <w:shd w:val="clear" w:color="auto" w:fill="auto"/>
            <w:vAlign w:val="bottom"/>
          </w:tcPr>
          <w:p w14:paraId="69ECC8BE" w14:textId="77777777" w:rsidR="008E02CE" w:rsidRPr="00E16006" w:rsidRDefault="008E02CE" w:rsidP="00E16006">
            <w:pPr>
              <w:widowControl w:val="0"/>
              <w:jc w:val="center"/>
              <w:rPr>
                <w:rFonts w:ascii="Arial" w:eastAsia="Calibri" w:hAnsi="Arial" w:cs="Arial"/>
                <w:b/>
                <w:bCs/>
                <w:kern w:val="2"/>
              </w:rPr>
            </w:pPr>
            <w:r w:rsidRPr="00E16006">
              <w:rPr>
                <w:rFonts w:ascii="Arial" w:eastAsia="Calibri" w:hAnsi="Arial" w:cs="Arial"/>
                <w:b/>
                <w:bCs/>
                <w:kern w:val="2"/>
              </w:rPr>
              <w:t>3.95</w:t>
            </w:r>
          </w:p>
        </w:tc>
      </w:tr>
    </w:tbl>
    <w:p w14:paraId="7B3D6D6D" w14:textId="77777777" w:rsidR="008E02CE" w:rsidRPr="00E16006" w:rsidRDefault="008E02CE" w:rsidP="00E16006">
      <w:pPr>
        <w:pStyle w:val="NormalWeb"/>
        <w:spacing w:before="0" w:beforeAutospacing="0" w:after="0" w:afterAutospacing="0"/>
        <w:ind w:firstLine="720"/>
        <w:jc w:val="both"/>
        <w:rPr>
          <w:rFonts w:ascii="Arial" w:hAnsi="Arial" w:cs="Arial"/>
          <w:sz w:val="20"/>
          <w:szCs w:val="20"/>
        </w:rPr>
      </w:pPr>
    </w:p>
    <w:p w14:paraId="5E8FDDF0" w14:textId="7E9D43EE" w:rsidR="008E02CE" w:rsidRDefault="008E02CE" w:rsidP="00E16006">
      <w:pPr>
        <w:pStyle w:val="NormalWeb"/>
        <w:spacing w:before="0" w:beforeAutospacing="0" w:after="0" w:afterAutospacing="0"/>
        <w:jc w:val="both"/>
        <w:rPr>
          <w:rFonts w:ascii="Arial" w:hAnsi="Arial" w:cs="Arial"/>
          <w:b/>
          <w:bCs/>
          <w:sz w:val="20"/>
          <w:szCs w:val="20"/>
        </w:rPr>
      </w:pPr>
      <w:r w:rsidRPr="00E16006">
        <w:rPr>
          <w:rFonts w:ascii="Arial" w:hAnsi="Arial" w:cs="Arial"/>
          <w:sz w:val="20"/>
          <w:szCs w:val="20"/>
        </w:rPr>
        <w:tab/>
        <w:t>Table 5 demonstrates that all treatments significantly influenced the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 at each stage. BPT 5204 exhibited no notable fluctuation, but MCM 103 registered the lowest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 (0.73) during the maximal tillering stage. In later phases, all treatments, with exception of the 0.50 mM/L SA application during panicle onset, considerably decreased the </w:t>
      </w:r>
      <w:r w:rsidRPr="00041AB5">
        <w:rPr>
          <w:rFonts w:ascii="Arial" w:hAnsi="Arial" w:cs="Arial"/>
          <w:sz w:val="20"/>
          <w:szCs w:val="20"/>
        </w:rPr>
        <w:t>Na</w:t>
      </w:r>
      <w:r w:rsidRPr="00041AB5">
        <w:rPr>
          <w:rFonts w:ascii="Arial" w:hAnsi="Arial" w:cs="Arial"/>
          <w:sz w:val="20"/>
          <w:szCs w:val="20"/>
          <w:vertAlign w:val="superscript"/>
        </w:rPr>
        <w:t>+</w:t>
      </w:r>
      <w:r w:rsidRPr="00041AB5">
        <w:rPr>
          <w:rFonts w:ascii="Arial" w:hAnsi="Arial" w:cs="Arial"/>
          <w:sz w:val="20"/>
          <w:szCs w:val="20"/>
        </w:rPr>
        <w:t>/K</w:t>
      </w:r>
      <w:r w:rsidRPr="00041AB5">
        <w:rPr>
          <w:rFonts w:ascii="Arial" w:hAnsi="Arial" w:cs="Arial"/>
          <w:sz w:val="20"/>
          <w:szCs w:val="20"/>
          <w:vertAlign w:val="superscript"/>
        </w:rPr>
        <w:t>+</w:t>
      </w:r>
      <w:r w:rsidRPr="00041AB5">
        <w:rPr>
          <w:rFonts w:ascii="Arial" w:hAnsi="Arial" w:cs="Arial"/>
          <w:sz w:val="20"/>
          <w:szCs w:val="20"/>
        </w:rPr>
        <w:t xml:space="preserve"> ratio. The foliar application of 0.25 mM/L SNP, 0.50 mM/L SA, and 0.50 mM/L BR yielded </w:t>
      </w:r>
      <w:r w:rsidRPr="00E16006">
        <w:rPr>
          <w:rFonts w:ascii="Arial" w:hAnsi="Arial" w:cs="Arial"/>
          <w:sz w:val="20"/>
          <w:szCs w:val="20"/>
        </w:rPr>
        <w:t>the lowest Na</w:t>
      </w:r>
      <w:r w:rsidRPr="00E16006">
        <w:rPr>
          <w:rFonts w:ascii="Arial" w:hAnsi="Arial" w:cs="Arial"/>
          <w:sz w:val="20"/>
          <w:szCs w:val="20"/>
          <w:vertAlign w:val="superscript"/>
        </w:rPr>
        <w:t>+</w:t>
      </w:r>
      <w:r w:rsidRPr="00E16006">
        <w:rPr>
          <w:rFonts w:ascii="Arial" w:hAnsi="Arial" w:cs="Arial"/>
          <w:sz w:val="20"/>
          <w:szCs w:val="20"/>
        </w:rPr>
        <w:t>/K</w:t>
      </w:r>
      <w:r w:rsidRPr="00E16006">
        <w:rPr>
          <w:rFonts w:ascii="Arial" w:hAnsi="Arial" w:cs="Arial"/>
          <w:sz w:val="20"/>
          <w:szCs w:val="20"/>
          <w:vertAlign w:val="superscript"/>
        </w:rPr>
        <w:t>+</w:t>
      </w:r>
      <w:r w:rsidRPr="00E16006">
        <w:rPr>
          <w:rFonts w:ascii="Arial" w:hAnsi="Arial" w:cs="Arial"/>
          <w:sz w:val="20"/>
          <w:szCs w:val="20"/>
        </w:rPr>
        <w:t xml:space="preserve"> ratios (1.05, 0.95, and 0.71) at the corresponding stages, indicating reductions of 23.5 per cent, 46.4 per cent, and 61.1 per cent relative to the control BPT 5204, akin to the check variety MCM 103.</w:t>
      </w:r>
      <w:r w:rsidRPr="00E16006">
        <w:rPr>
          <w:rFonts w:ascii="Arial" w:hAnsi="Arial" w:cs="Arial"/>
          <w:b/>
          <w:bCs/>
          <w:sz w:val="20"/>
          <w:szCs w:val="20"/>
        </w:rPr>
        <w:t xml:space="preserve"> </w:t>
      </w:r>
    </w:p>
    <w:p w14:paraId="32D8E3F3" w14:textId="4D60F453" w:rsidR="00041AB5" w:rsidRPr="00041AB5" w:rsidRDefault="00CF2606" w:rsidP="00041AB5">
      <w:pPr>
        <w:pStyle w:val="NormalWeb"/>
        <w:spacing w:before="0" w:beforeAutospacing="0" w:after="0" w:afterAutospacing="0"/>
        <w:jc w:val="both"/>
        <w:rPr>
          <w:rFonts w:ascii="Arial" w:hAnsi="Arial" w:cs="Arial"/>
          <w:sz w:val="20"/>
          <w:szCs w:val="20"/>
        </w:rPr>
      </w:pPr>
      <w:r>
        <w:rPr>
          <w:rFonts w:ascii="Arial" w:hAnsi="Arial" w:cs="Arial"/>
          <w:sz w:val="20"/>
          <w:szCs w:val="20"/>
        </w:rPr>
        <w:lastRenderedPageBreak/>
        <w:tab/>
      </w:r>
      <w:r w:rsidR="00041AB5" w:rsidRPr="00041AB5">
        <w:rPr>
          <w:rFonts w:ascii="Arial" w:hAnsi="Arial" w:cs="Arial"/>
          <w:sz w:val="20"/>
          <w:szCs w:val="20"/>
        </w:rPr>
        <w:t>Salt tolerance in plants is linked to maintaining Na</w:t>
      </w:r>
      <w:r w:rsidR="00041AB5" w:rsidRPr="00041AB5">
        <w:rPr>
          <w:rFonts w:ascii="Cambria Math" w:hAnsi="Cambria Math" w:cs="Cambria Math"/>
          <w:sz w:val="20"/>
          <w:szCs w:val="20"/>
        </w:rPr>
        <w:t>⁺</w:t>
      </w:r>
      <w:r w:rsidR="00041AB5" w:rsidRPr="00041AB5">
        <w:rPr>
          <w:rFonts w:ascii="Arial" w:hAnsi="Arial" w:cs="Arial"/>
          <w:sz w:val="20"/>
          <w:szCs w:val="20"/>
        </w:rPr>
        <w:t>/K</w:t>
      </w:r>
      <w:r w:rsidR="00041AB5" w:rsidRPr="00041AB5">
        <w:rPr>
          <w:rFonts w:ascii="Cambria Math" w:hAnsi="Cambria Math" w:cs="Cambria Math"/>
          <w:sz w:val="20"/>
          <w:szCs w:val="20"/>
        </w:rPr>
        <w:t>⁺</w:t>
      </w:r>
      <w:r w:rsidR="00041AB5" w:rsidRPr="00041AB5">
        <w:rPr>
          <w:rFonts w:ascii="Arial" w:hAnsi="Arial" w:cs="Arial"/>
          <w:sz w:val="20"/>
          <w:szCs w:val="20"/>
        </w:rPr>
        <w:t xml:space="preserve"> homeostasis (Yang and Guo, 2018). Under salinity, Na</w:t>
      </w:r>
      <w:r w:rsidR="00041AB5" w:rsidRPr="00041AB5">
        <w:rPr>
          <w:rFonts w:ascii="Cambria Math" w:hAnsi="Cambria Math" w:cs="Cambria Math"/>
          <w:sz w:val="20"/>
          <w:szCs w:val="20"/>
        </w:rPr>
        <w:t>⁺</w:t>
      </w:r>
      <w:r w:rsidR="00041AB5" w:rsidRPr="00041AB5">
        <w:rPr>
          <w:rFonts w:ascii="Arial" w:hAnsi="Arial" w:cs="Arial"/>
          <w:sz w:val="20"/>
          <w:szCs w:val="20"/>
        </w:rPr>
        <w:t xml:space="preserve"> competes with K</w:t>
      </w:r>
      <w:r w:rsidR="00041AB5" w:rsidRPr="00041AB5">
        <w:rPr>
          <w:rFonts w:ascii="Cambria Math" w:hAnsi="Cambria Math" w:cs="Cambria Math"/>
          <w:sz w:val="20"/>
          <w:szCs w:val="20"/>
        </w:rPr>
        <w:t>⁺</w:t>
      </w:r>
      <w:r w:rsidR="00041AB5" w:rsidRPr="00041AB5">
        <w:rPr>
          <w:rFonts w:ascii="Arial" w:hAnsi="Arial" w:cs="Arial"/>
          <w:sz w:val="20"/>
          <w:szCs w:val="20"/>
        </w:rPr>
        <w:t>, impairing osmoregulation, protein synthesis, and photosynthesis (</w:t>
      </w:r>
      <w:proofErr w:type="spellStart"/>
      <w:r w:rsidR="00041AB5" w:rsidRPr="00041AB5">
        <w:rPr>
          <w:rFonts w:ascii="Arial" w:hAnsi="Arial" w:cs="Arial"/>
          <w:sz w:val="20"/>
          <w:szCs w:val="20"/>
        </w:rPr>
        <w:t>Lodeyro</w:t>
      </w:r>
      <w:proofErr w:type="spellEnd"/>
      <w:r w:rsidR="00041AB5" w:rsidRPr="00041AB5">
        <w:rPr>
          <w:rFonts w:ascii="Arial" w:hAnsi="Arial" w:cs="Arial"/>
          <w:sz w:val="20"/>
          <w:szCs w:val="20"/>
        </w:rPr>
        <w:t xml:space="preserve"> and Carrillo 2015). Salt-sensitive varieties show higher Na</w:t>
      </w:r>
      <w:r w:rsidR="00041AB5" w:rsidRPr="00041AB5">
        <w:rPr>
          <w:rFonts w:ascii="Cambria Math" w:hAnsi="Cambria Math" w:cs="Cambria Math"/>
          <w:sz w:val="20"/>
          <w:szCs w:val="20"/>
        </w:rPr>
        <w:t>⁺</w:t>
      </w:r>
      <w:r w:rsidR="00041AB5" w:rsidRPr="00041AB5">
        <w:rPr>
          <w:rFonts w:ascii="Arial" w:hAnsi="Arial" w:cs="Arial"/>
          <w:sz w:val="20"/>
          <w:szCs w:val="20"/>
        </w:rPr>
        <w:t>/K</w:t>
      </w:r>
      <w:r w:rsidR="00041AB5" w:rsidRPr="00041AB5">
        <w:rPr>
          <w:rFonts w:ascii="Cambria Math" w:hAnsi="Cambria Math" w:cs="Cambria Math"/>
          <w:sz w:val="20"/>
          <w:szCs w:val="20"/>
        </w:rPr>
        <w:t>⁺</w:t>
      </w:r>
      <w:r w:rsidR="00041AB5" w:rsidRPr="00041AB5">
        <w:rPr>
          <w:rFonts w:ascii="Arial" w:hAnsi="Arial" w:cs="Arial"/>
          <w:sz w:val="20"/>
          <w:szCs w:val="20"/>
        </w:rPr>
        <w:t xml:space="preserve"> ratios due to lower K</w:t>
      </w:r>
      <w:r w:rsidR="00041AB5" w:rsidRPr="00041AB5">
        <w:rPr>
          <w:rFonts w:ascii="Cambria Math" w:hAnsi="Cambria Math" w:cs="Cambria Math"/>
          <w:sz w:val="20"/>
          <w:szCs w:val="20"/>
        </w:rPr>
        <w:t>⁺</w:t>
      </w:r>
      <w:r w:rsidR="00041AB5" w:rsidRPr="00041AB5">
        <w:rPr>
          <w:rFonts w:ascii="Arial" w:hAnsi="Arial" w:cs="Arial"/>
          <w:sz w:val="20"/>
          <w:szCs w:val="20"/>
        </w:rPr>
        <w:t xml:space="preserve"> levels (Moradi and Ismail 2007 and Garg </w:t>
      </w:r>
      <w:r w:rsidR="00041AB5" w:rsidRPr="00041AB5">
        <w:rPr>
          <w:rFonts w:ascii="Arial" w:hAnsi="Arial" w:cs="Arial"/>
          <w:i/>
          <w:iCs/>
          <w:sz w:val="20"/>
          <w:szCs w:val="20"/>
        </w:rPr>
        <w:t xml:space="preserve">et al. </w:t>
      </w:r>
      <w:r w:rsidR="00041AB5" w:rsidRPr="00041AB5">
        <w:rPr>
          <w:rFonts w:ascii="Arial" w:hAnsi="Arial" w:cs="Arial"/>
          <w:sz w:val="20"/>
          <w:szCs w:val="20"/>
        </w:rPr>
        <w:t xml:space="preserve">2002). Nitric oxide enhances </w:t>
      </w:r>
      <w:proofErr w:type="spellStart"/>
      <w:r w:rsidR="00041AB5" w:rsidRPr="00041AB5">
        <w:rPr>
          <w:rFonts w:ascii="Arial" w:hAnsi="Arial" w:cs="Arial"/>
          <w:sz w:val="20"/>
          <w:szCs w:val="20"/>
        </w:rPr>
        <w:t>vacuolar</w:t>
      </w:r>
      <w:proofErr w:type="spellEnd"/>
      <w:r w:rsidR="00041AB5" w:rsidRPr="00041AB5">
        <w:rPr>
          <w:rFonts w:ascii="Arial" w:hAnsi="Arial" w:cs="Arial"/>
          <w:sz w:val="20"/>
          <w:szCs w:val="20"/>
        </w:rPr>
        <w:t xml:space="preserve"> H</w:t>
      </w:r>
      <w:r w:rsidR="00041AB5" w:rsidRPr="00041AB5">
        <w:rPr>
          <w:rFonts w:ascii="Cambria Math" w:hAnsi="Cambria Math" w:cs="Cambria Math"/>
          <w:sz w:val="20"/>
          <w:szCs w:val="20"/>
        </w:rPr>
        <w:t>⁺</w:t>
      </w:r>
      <w:r w:rsidR="00041AB5" w:rsidRPr="00041AB5">
        <w:rPr>
          <w:rFonts w:ascii="Arial" w:hAnsi="Arial" w:cs="Arial"/>
          <w:sz w:val="20"/>
          <w:szCs w:val="20"/>
        </w:rPr>
        <w:t>-ATPase, H</w:t>
      </w:r>
      <w:r w:rsidR="00041AB5" w:rsidRPr="00041AB5">
        <w:rPr>
          <w:rFonts w:ascii="Cambria Math" w:hAnsi="Cambria Math" w:cs="Cambria Math"/>
          <w:sz w:val="20"/>
          <w:szCs w:val="20"/>
        </w:rPr>
        <w:t>⁺</w:t>
      </w:r>
      <w:r w:rsidR="00041AB5" w:rsidRPr="00041AB5">
        <w:rPr>
          <w:rFonts w:ascii="Arial" w:hAnsi="Arial" w:cs="Arial"/>
          <w:sz w:val="20"/>
          <w:szCs w:val="20"/>
        </w:rPr>
        <w:t>-</w:t>
      </w:r>
      <w:proofErr w:type="spellStart"/>
      <w:r w:rsidR="00041AB5" w:rsidRPr="00041AB5">
        <w:rPr>
          <w:rFonts w:ascii="Arial" w:hAnsi="Arial" w:cs="Arial"/>
          <w:sz w:val="20"/>
          <w:szCs w:val="20"/>
        </w:rPr>
        <w:t>PPase</w:t>
      </w:r>
      <w:proofErr w:type="spellEnd"/>
      <w:r w:rsidR="00041AB5" w:rsidRPr="00041AB5">
        <w:rPr>
          <w:rFonts w:ascii="Arial" w:hAnsi="Arial" w:cs="Arial"/>
          <w:sz w:val="20"/>
          <w:szCs w:val="20"/>
        </w:rPr>
        <w:t>, and Na</w:t>
      </w:r>
      <w:r w:rsidR="00041AB5" w:rsidRPr="00041AB5">
        <w:rPr>
          <w:rFonts w:ascii="Cambria Math" w:hAnsi="Cambria Math" w:cs="Cambria Math"/>
          <w:sz w:val="20"/>
          <w:szCs w:val="20"/>
        </w:rPr>
        <w:t>⁺</w:t>
      </w:r>
      <w:r w:rsidR="00041AB5" w:rsidRPr="00041AB5">
        <w:rPr>
          <w:rFonts w:ascii="Arial" w:hAnsi="Arial" w:cs="Arial"/>
          <w:sz w:val="20"/>
          <w:szCs w:val="20"/>
        </w:rPr>
        <w:t>/H</w:t>
      </w:r>
      <w:r w:rsidR="00041AB5" w:rsidRPr="00041AB5">
        <w:rPr>
          <w:rFonts w:ascii="Cambria Math" w:hAnsi="Cambria Math" w:cs="Cambria Math"/>
          <w:sz w:val="20"/>
          <w:szCs w:val="20"/>
        </w:rPr>
        <w:t>⁺</w:t>
      </w:r>
      <w:r w:rsidR="00041AB5" w:rsidRPr="00041AB5">
        <w:rPr>
          <w:rFonts w:ascii="Arial" w:hAnsi="Arial" w:cs="Arial"/>
          <w:sz w:val="20"/>
          <w:szCs w:val="20"/>
        </w:rPr>
        <w:t xml:space="preserve"> exchange, improving tolerance (Zhang </w:t>
      </w:r>
      <w:r w:rsidR="00041AB5" w:rsidRPr="00041AB5">
        <w:rPr>
          <w:rFonts w:ascii="Arial" w:hAnsi="Arial" w:cs="Arial"/>
          <w:i/>
          <w:iCs/>
          <w:sz w:val="20"/>
          <w:szCs w:val="20"/>
        </w:rPr>
        <w:t xml:space="preserve">et al. </w:t>
      </w:r>
      <w:r w:rsidR="00041AB5" w:rsidRPr="00041AB5">
        <w:rPr>
          <w:rFonts w:ascii="Arial" w:hAnsi="Arial" w:cs="Arial"/>
          <w:sz w:val="20"/>
          <w:szCs w:val="20"/>
        </w:rPr>
        <w:t>2006). Foliar 24-epibrassinolide sustains higher K</w:t>
      </w:r>
      <w:r w:rsidR="00041AB5" w:rsidRPr="00041AB5">
        <w:rPr>
          <w:rFonts w:ascii="Cambria Math" w:hAnsi="Cambria Math" w:cs="Cambria Math"/>
          <w:sz w:val="20"/>
          <w:szCs w:val="20"/>
        </w:rPr>
        <w:t>⁺</w:t>
      </w:r>
      <w:r w:rsidR="00041AB5" w:rsidRPr="00041AB5">
        <w:rPr>
          <w:rFonts w:ascii="Arial" w:hAnsi="Arial" w:cs="Arial"/>
          <w:sz w:val="20"/>
          <w:szCs w:val="20"/>
        </w:rPr>
        <w:t>/Na</w:t>
      </w:r>
      <w:r w:rsidR="00041AB5" w:rsidRPr="00041AB5">
        <w:rPr>
          <w:rFonts w:ascii="Cambria Math" w:hAnsi="Cambria Math" w:cs="Cambria Math"/>
          <w:sz w:val="20"/>
          <w:szCs w:val="20"/>
        </w:rPr>
        <w:t>⁺</w:t>
      </w:r>
      <w:r w:rsidR="00041AB5" w:rsidRPr="00041AB5">
        <w:rPr>
          <w:rFonts w:ascii="Arial" w:hAnsi="Arial" w:cs="Arial"/>
          <w:sz w:val="20"/>
          <w:szCs w:val="20"/>
        </w:rPr>
        <w:t xml:space="preserve"> ratios (Shahzad </w:t>
      </w:r>
      <w:r w:rsidR="00041AB5" w:rsidRPr="00041AB5">
        <w:rPr>
          <w:rFonts w:ascii="Arial" w:hAnsi="Arial" w:cs="Arial"/>
          <w:i/>
          <w:iCs/>
          <w:sz w:val="20"/>
          <w:szCs w:val="20"/>
        </w:rPr>
        <w:t xml:space="preserve">et al. </w:t>
      </w:r>
      <w:r w:rsidR="00041AB5" w:rsidRPr="00041AB5">
        <w:rPr>
          <w:rFonts w:ascii="Arial" w:hAnsi="Arial" w:cs="Arial"/>
          <w:sz w:val="20"/>
          <w:szCs w:val="20"/>
        </w:rPr>
        <w:t>2021), and salicylic acid reduces Na</w:t>
      </w:r>
      <w:r w:rsidR="00041AB5" w:rsidRPr="00041AB5">
        <w:rPr>
          <w:rFonts w:ascii="Cambria Math" w:hAnsi="Cambria Math" w:cs="Cambria Math"/>
          <w:sz w:val="20"/>
          <w:szCs w:val="20"/>
        </w:rPr>
        <w:t>⁺</w:t>
      </w:r>
      <w:r w:rsidR="00041AB5" w:rsidRPr="00041AB5">
        <w:rPr>
          <w:rFonts w:ascii="Arial" w:hAnsi="Arial" w:cs="Arial"/>
          <w:sz w:val="20"/>
          <w:szCs w:val="20"/>
        </w:rPr>
        <w:t xml:space="preserve"> accumulation under salt stress, supporting our findings (Kim </w:t>
      </w:r>
      <w:r w:rsidR="00041AB5" w:rsidRPr="00041AB5">
        <w:rPr>
          <w:rFonts w:ascii="Arial" w:hAnsi="Arial" w:cs="Arial"/>
          <w:i/>
          <w:iCs/>
          <w:sz w:val="20"/>
          <w:szCs w:val="20"/>
        </w:rPr>
        <w:t xml:space="preserve">et al. </w:t>
      </w:r>
      <w:r w:rsidR="00041AB5" w:rsidRPr="00041AB5">
        <w:rPr>
          <w:rFonts w:ascii="Arial" w:hAnsi="Arial" w:cs="Arial"/>
          <w:sz w:val="20"/>
          <w:szCs w:val="20"/>
        </w:rPr>
        <w:t>2018).</w:t>
      </w:r>
    </w:p>
    <w:p w14:paraId="7E9050A6" w14:textId="610D8498" w:rsidR="009957FF" w:rsidRDefault="009957FF" w:rsidP="009957FF">
      <w:pPr>
        <w:pStyle w:val="Body"/>
        <w:spacing w:after="0"/>
        <w:rPr>
          <w:rFonts w:ascii="Arial" w:hAnsi="Arial" w:cs="Arial"/>
        </w:rPr>
      </w:pPr>
    </w:p>
    <w:p w14:paraId="42FBD9F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EC9E62" w14:textId="77777777" w:rsidR="00301EFF" w:rsidRPr="00301EFF" w:rsidRDefault="00301EFF" w:rsidP="00301EFF">
      <w:pPr>
        <w:pStyle w:val="NormalWeb"/>
        <w:spacing w:before="0" w:beforeAutospacing="0" w:after="0" w:afterAutospacing="0"/>
        <w:jc w:val="both"/>
        <w:rPr>
          <w:rFonts w:ascii="Arial" w:hAnsi="Arial" w:cs="Arial"/>
          <w:sz w:val="20"/>
          <w:szCs w:val="20"/>
        </w:rPr>
      </w:pPr>
      <w:r w:rsidRPr="00301EFF">
        <w:rPr>
          <w:rFonts w:ascii="Arial" w:hAnsi="Arial" w:cs="Arial"/>
          <w:sz w:val="20"/>
          <w:szCs w:val="20"/>
        </w:rPr>
        <w:t>This study demonstrated that the foliar application of 0.25mM/L SNP + 0.50mM/L SA + 0.50mM/L BR improved morpho-physiological and biochemical traits in the salt-sensitive variety BPT 5204 under salinity stress (4 dSm</w:t>
      </w:r>
      <w:r w:rsidRPr="00301EFF">
        <w:rPr>
          <w:rFonts w:ascii="Arial" w:hAnsi="Arial" w:cs="Arial"/>
          <w:sz w:val="20"/>
          <w:szCs w:val="20"/>
          <w:vertAlign w:val="superscript"/>
        </w:rPr>
        <w:t>-1</w:t>
      </w:r>
      <w:r w:rsidRPr="00301EFF">
        <w:rPr>
          <w:rFonts w:ascii="Arial" w:hAnsi="Arial" w:cs="Arial"/>
          <w:sz w:val="20"/>
          <w:szCs w:val="20"/>
        </w:rPr>
        <w:t>). This treatment can be recommended to farmers growing BPT 5204 in coastal areas, where salinity poses a significant challenge to achieving high yields.</w:t>
      </w:r>
    </w:p>
    <w:p w14:paraId="6BCDF45D" w14:textId="77777777" w:rsidR="00E16006" w:rsidRDefault="00E16006" w:rsidP="00441B6F">
      <w:pPr>
        <w:pStyle w:val="ReferHead"/>
        <w:spacing w:after="0"/>
        <w:jc w:val="both"/>
        <w:rPr>
          <w:rFonts w:ascii="Arial" w:hAnsi="Arial" w:cs="Arial"/>
        </w:rPr>
      </w:pPr>
    </w:p>
    <w:p w14:paraId="268A3C1E" w14:textId="5A0ACFAD" w:rsidR="00B01FCD" w:rsidRDefault="00B01FCD" w:rsidP="00441B6F">
      <w:pPr>
        <w:pStyle w:val="ReferHead"/>
        <w:spacing w:after="0"/>
        <w:jc w:val="both"/>
        <w:rPr>
          <w:rFonts w:ascii="Arial" w:hAnsi="Arial" w:cs="Arial"/>
        </w:rPr>
      </w:pPr>
      <w:r w:rsidRPr="00FB3A86">
        <w:rPr>
          <w:rFonts w:ascii="Arial" w:hAnsi="Arial" w:cs="Arial"/>
        </w:rPr>
        <w:t>References</w:t>
      </w:r>
    </w:p>
    <w:p w14:paraId="2D10A975"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 xml:space="preserve">Pan, S., Rasul, F., Li, W., Tian, H., Mo, Z., Duan, M., Tang, X. (2013). </w:t>
      </w:r>
      <w:r w:rsidRPr="002D31C9">
        <w:rPr>
          <w:rFonts w:ascii="Arial" w:hAnsi="Arial" w:cs="Arial"/>
          <w:sz w:val="20"/>
          <w:szCs w:val="20"/>
        </w:rPr>
        <w:t>Roles of Plant Growth Regulators on Yield, Grain Qualities and Antioxidant Enzyme Activities in Super Hybrid Rice (</w:t>
      </w:r>
      <w:r w:rsidRPr="002D31C9">
        <w:rPr>
          <w:rStyle w:val="nfase"/>
          <w:rFonts w:ascii="Arial" w:hAnsi="Arial" w:cs="Arial"/>
          <w:sz w:val="20"/>
          <w:szCs w:val="20"/>
        </w:rPr>
        <w:t>Oryza sativa L.</w:t>
      </w:r>
      <w:r w:rsidRPr="002D31C9">
        <w:rPr>
          <w:rFonts w:ascii="Arial" w:hAnsi="Arial" w:cs="Arial"/>
          <w:sz w:val="20"/>
          <w:szCs w:val="20"/>
        </w:rPr>
        <w:t xml:space="preserve">). </w:t>
      </w:r>
      <w:r w:rsidRPr="002D31C9">
        <w:rPr>
          <w:rStyle w:val="nfase"/>
          <w:rFonts w:ascii="Arial" w:hAnsi="Arial" w:cs="Arial"/>
          <w:sz w:val="20"/>
          <w:szCs w:val="20"/>
        </w:rPr>
        <w:t>Rice</w:t>
      </w:r>
      <w:r w:rsidRPr="002D31C9">
        <w:rPr>
          <w:rFonts w:ascii="Arial" w:hAnsi="Arial" w:cs="Arial"/>
          <w:sz w:val="20"/>
          <w:szCs w:val="20"/>
        </w:rPr>
        <w:t xml:space="preserve">, 6, 9. </w:t>
      </w:r>
      <w:hyperlink r:id="rId16" w:tgtFrame="_new" w:history="1">
        <w:r w:rsidRPr="002D31C9">
          <w:rPr>
            <w:rStyle w:val="Hyperlink"/>
            <w:rFonts w:ascii="Arial" w:hAnsi="Arial" w:cs="Arial"/>
            <w:sz w:val="20"/>
            <w:szCs w:val="20"/>
          </w:rPr>
          <w:t>https://doi.org/10.1186/1939-8433-6-9</w:t>
        </w:r>
      </w:hyperlink>
    </w:p>
    <w:p w14:paraId="7341AB78"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Farhangjoo</w:t>
      </w:r>
      <w:proofErr w:type="spellEnd"/>
      <w:r w:rsidRPr="002D31C9">
        <w:rPr>
          <w:rFonts w:ascii="Arial" w:hAnsi="Arial" w:cs="Arial"/>
          <w:sz w:val="20"/>
          <w:szCs w:val="20"/>
        </w:rPr>
        <w:t xml:space="preserve">, S.E., Khavari-Nejad, R.A., </w:t>
      </w:r>
      <w:proofErr w:type="spellStart"/>
      <w:r w:rsidRPr="002D31C9">
        <w:rPr>
          <w:rFonts w:ascii="Arial" w:hAnsi="Arial" w:cs="Arial"/>
          <w:sz w:val="20"/>
          <w:szCs w:val="20"/>
        </w:rPr>
        <w:t>Saadatman</w:t>
      </w:r>
      <w:proofErr w:type="spellEnd"/>
      <w:r w:rsidRPr="002D31C9">
        <w:rPr>
          <w:rFonts w:ascii="Arial" w:hAnsi="Arial" w:cs="Arial"/>
          <w:sz w:val="20"/>
          <w:szCs w:val="20"/>
        </w:rPr>
        <w:t xml:space="preserve">, S., Najafi, F., Babakhani, B. (2020). The Effects of Salicylic Acid on Certain Physiological Parameters in </w:t>
      </w:r>
      <w:r w:rsidRPr="002D31C9">
        <w:rPr>
          <w:rStyle w:val="nfase"/>
          <w:rFonts w:ascii="Arial" w:hAnsi="Arial" w:cs="Arial"/>
          <w:sz w:val="20"/>
          <w:szCs w:val="20"/>
        </w:rPr>
        <w:t>Oryza sativa L.</w:t>
      </w:r>
      <w:r w:rsidRPr="002D31C9">
        <w:rPr>
          <w:rFonts w:ascii="Arial" w:hAnsi="Arial" w:cs="Arial"/>
          <w:sz w:val="20"/>
          <w:szCs w:val="20"/>
        </w:rPr>
        <w:t xml:space="preserve"> under NaCl Salt Stress. </w:t>
      </w:r>
      <w:r w:rsidRPr="002D31C9">
        <w:rPr>
          <w:rStyle w:val="nfase"/>
          <w:rFonts w:ascii="Arial" w:hAnsi="Arial" w:cs="Arial"/>
          <w:sz w:val="20"/>
          <w:szCs w:val="20"/>
        </w:rPr>
        <w:t>International Journal of Pharmaceutical and Phytopharmacological Research</w:t>
      </w:r>
      <w:r w:rsidRPr="002D31C9">
        <w:rPr>
          <w:rFonts w:ascii="Arial" w:hAnsi="Arial" w:cs="Arial"/>
          <w:sz w:val="20"/>
          <w:szCs w:val="20"/>
        </w:rPr>
        <w:t xml:space="preserve">, 10(6), 1-14. </w:t>
      </w:r>
      <w:hyperlink r:id="rId17" w:tgtFrame="_new" w:history="1">
        <w:r w:rsidRPr="002D31C9">
          <w:rPr>
            <w:rStyle w:val="Hyperlink"/>
            <w:rFonts w:ascii="Arial" w:hAnsi="Arial" w:cs="Arial"/>
            <w:sz w:val="20"/>
            <w:szCs w:val="20"/>
          </w:rPr>
          <w:t>https://eijppr.com/z_kx1fO</w:t>
        </w:r>
      </w:hyperlink>
    </w:p>
    <w:p w14:paraId="395BFCC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Singh, M.P., Singh, D.K., Rai, M. (2007). Assessment of Growth, Physiological and Biochemical Parameters and Activities of Antioxidative Enzymes in Salinity Tolerant and Sensitive Basmati Rice Varieties. </w:t>
      </w:r>
      <w:r w:rsidRPr="002D31C9">
        <w:rPr>
          <w:rStyle w:val="nfase"/>
          <w:rFonts w:ascii="Arial" w:hAnsi="Arial" w:cs="Arial"/>
          <w:sz w:val="20"/>
          <w:szCs w:val="20"/>
        </w:rPr>
        <w:t>Journal of Agronomy and Crop Science</w:t>
      </w:r>
      <w:r w:rsidRPr="002D31C9">
        <w:rPr>
          <w:rFonts w:ascii="Arial" w:hAnsi="Arial" w:cs="Arial"/>
          <w:sz w:val="20"/>
          <w:szCs w:val="20"/>
        </w:rPr>
        <w:t xml:space="preserve">, 193(6), 398–412. </w:t>
      </w:r>
      <w:hyperlink r:id="rId18" w:tgtFrame="_new" w:history="1">
        <w:r w:rsidRPr="002D31C9">
          <w:rPr>
            <w:rStyle w:val="Hyperlink"/>
            <w:rFonts w:ascii="Arial" w:hAnsi="Arial" w:cs="Arial"/>
            <w:sz w:val="20"/>
            <w:szCs w:val="20"/>
          </w:rPr>
          <w:t>https://doi.org/10.1111/j.1439-037X.2007.00267.x</w:t>
        </w:r>
      </w:hyperlink>
    </w:p>
    <w:p w14:paraId="18FC29C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Abbas, Z.K. (2018). Sodium Nitroprusside Improves Performance of Barley (</w:t>
      </w:r>
      <w:r w:rsidRPr="002D31C9">
        <w:rPr>
          <w:rStyle w:val="nfase"/>
          <w:rFonts w:ascii="Arial" w:hAnsi="Arial" w:cs="Arial"/>
          <w:sz w:val="20"/>
          <w:szCs w:val="20"/>
        </w:rPr>
        <w:t>Hordeum Vulgare L.</w:t>
      </w:r>
      <w:r w:rsidRPr="002D31C9">
        <w:rPr>
          <w:rFonts w:ascii="Arial" w:hAnsi="Arial" w:cs="Arial"/>
          <w:sz w:val="20"/>
          <w:szCs w:val="20"/>
        </w:rPr>
        <w:t xml:space="preserve">) under Salt Stress. </w:t>
      </w:r>
      <w:r w:rsidRPr="002D31C9">
        <w:rPr>
          <w:rStyle w:val="nfase"/>
          <w:rFonts w:ascii="Arial" w:hAnsi="Arial" w:cs="Arial"/>
          <w:sz w:val="20"/>
          <w:szCs w:val="20"/>
        </w:rPr>
        <w:t>Biosciences Biotechnology Research Asia</w:t>
      </w:r>
      <w:r w:rsidRPr="002D31C9">
        <w:rPr>
          <w:rFonts w:ascii="Arial" w:hAnsi="Arial" w:cs="Arial"/>
          <w:sz w:val="20"/>
          <w:szCs w:val="20"/>
        </w:rPr>
        <w:t xml:space="preserve">, 15(3). </w:t>
      </w:r>
      <w:hyperlink r:id="rId19" w:tgtFrame="_new" w:history="1">
        <w:r w:rsidRPr="002D31C9">
          <w:rPr>
            <w:rStyle w:val="Hyperlink"/>
            <w:rFonts w:ascii="Arial" w:hAnsi="Arial" w:cs="Arial"/>
            <w:sz w:val="20"/>
            <w:szCs w:val="20"/>
          </w:rPr>
          <w:t>http://dx.doi.org/10.13005/bbra/2666</w:t>
        </w:r>
      </w:hyperlink>
    </w:p>
    <w:p w14:paraId="1CDC14A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9" w:name="_Hlk202821539"/>
      <w:r w:rsidRPr="002D31C9">
        <w:rPr>
          <w:rFonts w:ascii="Arial" w:hAnsi="Arial" w:cs="Arial"/>
          <w:sz w:val="20"/>
          <w:szCs w:val="20"/>
        </w:rPr>
        <w:t>Moradi, F., Ismail, A.M. (2007</w:t>
      </w:r>
      <w:bookmarkEnd w:id="9"/>
      <w:r w:rsidRPr="002D31C9">
        <w:rPr>
          <w:rFonts w:ascii="Arial" w:hAnsi="Arial" w:cs="Arial"/>
          <w:sz w:val="20"/>
          <w:szCs w:val="20"/>
        </w:rPr>
        <w:t xml:space="preserve">). Responses of Photosynthesis, Chlorophyll Fluorescence and ROS-Scavenging Systems to Salt Stress during Seedling and Reproductive Stages in Rice. </w:t>
      </w:r>
      <w:r w:rsidRPr="002D31C9">
        <w:rPr>
          <w:rStyle w:val="nfase"/>
          <w:rFonts w:ascii="Arial" w:hAnsi="Arial" w:cs="Arial"/>
          <w:sz w:val="20"/>
          <w:szCs w:val="20"/>
        </w:rPr>
        <w:t>Annals of Botany</w:t>
      </w:r>
      <w:r w:rsidRPr="002D31C9">
        <w:rPr>
          <w:rFonts w:ascii="Arial" w:hAnsi="Arial" w:cs="Arial"/>
          <w:sz w:val="20"/>
          <w:szCs w:val="20"/>
        </w:rPr>
        <w:t xml:space="preserve">, 99, 1161–1173. </w:t>
      </w:r>
      <w:hyperlink r:id="rId20" w:tgtFrame="_new" w:history="1">
        <w:r w:rsidRPr="002D31C9">
          <w:rPr>
            <w:rStyle w:val="Hyperlink"/>
            <w:rFonts w:ascii="Arial" w:hAnsi="Arial" w:cs="Arial"/>
            <w:sz w:val="20"/>
            <w:szCs w:val="20"/>
          </w:rPr>
          <w:t>https://doi.org/10.1093/aob/mcm052</w:t>
        </w:r>
      </w:hyperlink>
    </w:p>
    <w:p w14:paraId="4210540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Zhang, Y., Wang, L., Liu, Y., Zhang, Q., Wei, Q., Zhang, W. (2006). Nitric Oxide Enhances Salt Tolerance in Maize Seedlings through Increasing Activities of Proton-Pump and Na+/H+ Antiport in the Tonoplast. </w:t>
      </w:r>
      <w:r w:rsidRPr="002D31C9">
        <w:rPr>
          <w:rStyle w:val="nfase"/>
          <w:rFonts w:ascii="Arial" w:hAnsi="Arial" w:cs="Arial"/>
          <w:sz w:val="20"/>
          <w:szCs w:val="20"/>
        </w:rPr>
        <w:t>Planta</w:t>
      </w:r>
      <w:r w:rsidRPr="002D31C9">
        <w:rPr>
          <w:rFonts w:ascii="Arial" w:hAnsi="Arial" w:cs="Arial"/>
          <w:sz w:val="20"/>
          <w:szCs w:val="20"/>
        </w:rPr>
        <w:t xml:space="preserve">, 22, 545-555. </w:t>
      </w:r>
      <w:hyperlink r:id="rId21" w:tgtFrame="_new" w:history="1">
        <w:r w:rsidRPr="002D31C9">
          <w:rPr>
            <w:rStyle w:val="Hyperlink"/>
            <w:rFonts w:ascii="Arial" w:hAnsi="Arial" w:cs="Arial"/>
            <w:sz w:val="20"/>
            <w:szCs w:val="20"/>
          </w:rPr>
          <w:t>https://doi.org/10.1007/s00425-006-0242-z</w:t>
        </w:r>
      </w:hyperlink>
    </w:p>
    <w:p w14:paraId="077588B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Shahzad, R., </w:t>
      </w:r>
      <w:proofErr w:type="spellStart"/>
      <w:r w:rsidRPr="002D31C9">
        <w:rPr>
          <w:rFonts w:ascii="Arial" w:hAnsi="Arial" w:cs="Arial"/>
          <w:sz w:val="20"/>
          <w:szCs w:val="20"/>
        </w:rPr>
        <w:t>Harlina</w:t>
      </w:r>
      <w:proofErr w:type="spellEnd"/>
      <w:r w:rsidRPr="002D31C9">
        <w:rPr>
          <w:rFonts w:ascii="Arial" w:hAnsi="Arial" w:cs="Arial"/>
          <w:sz w:val="20"/>
          <w:szCs w:val="20"/>
        </w:rPr>
        <w:t xml:space="preserve">, P.W., Ewas, M., Pan, Z., Nie, X., Gallego, P.P., Ullah Khan, S., </w:t>
      </w:r>
      <w:proofErr w:type="spellStart"/>
      <w:r w:rsidRPr="002D31C9">
        <w:rPr>
          <w:rFonts w:ascii="Arial" w:hAnsi="Arial" w:cs="Arial"/>
          <w:sz w:val="20"/>
          <w:szCs w:val="20"/>
        </w:rPr>
        <w:t>Nishawy</w:t>
      </w:r>
      <w:proofErr w:type="spellEnd"/>
      <w:r w:rsidRPr="002D31C9">
        <w:rPr>
          <w:rFonts w:ascii="Arial" w:hAnsi="Arial" w:cs="Arial"/>
          <w:sz w:val="20"/>
          <w:szCs w:val="20"/>
        </w:rPr>
        <w:t>, E., Khan, A.H., Jia, H. (2021). Foliar Applied 24-Epibrassinolide Alleviates Salt Stress in Rice (</w:t>
      </w:r>
      <w:r w:rsidRPr="002D31C9">
        <w:rPr>
          <w:rStyle w:val="nfase"/>
          <w:rFonts w:ascii="Arial" w:hAnsi="Arial" w:cs="Arial"/>
          <w:sz w:val="20"/>
          <w:szCs w:val="20"/>
        </w:rPr>
        <w:t>Oryza sativa L.</w:t>
      </w:r>
      <w:r w:rsidRPr="002D31C9">
        <w:rPr>
          <w:rFonts w:ascii="Arial" w:hAnsi="Arial" w:cs="Arial"/>
          <w:sz w:val="20"/>
          <w:szCs w:val="20"/>
        </w:rPr>
        <w:t xml:space="preserve">) by Suppression of ABA Levels and Upregulation of Secondary Metabolites. </w:t>
      </w:r>
      <w:r w:rsidRPr="002D31C9">
        <w:rPr>
          <w:rStyle w:val="nfase"/>
          <w:rFonts w:ascii="Arial" w:hAnsi="Arial" w:cs="Arial"/>
          <w:sz w:val="20"/>
          <w:szCs w:val="20"/>
        </w:rPr>
        <w:t>Journal of Plant Interactions</w:t>
      </w:r>
      <w:r w:rsidRPr="002D31C9">
        <w:rPr>
          <w:rFonts w:ascii="Arial" w:hAnsi="Arial" w:cs="Arial"/>
          <w:sz w:val="20"/>
          <w:szCs w:val="20"/>
        </w:rPr>
        <w:t xml:space="preserve">, 16(1), 533-549. </w:t>
      </w:r>
      <w:hyperlink r:id="rId22" w:tgtFrame="_new" w:history="1">
        <w:r w:rsidRPr="002D31C9">
          <w:rPr>
            <w:rStyle w:val="Hyperlink"/>
            <w:rFonts w:ascii="Arial" w:hAnsi="Arial" w:cs="Arial"/>
            <w:sz w:val="20"/>
            <w:szCs w:val="20"/>
          </w:rPr>
          <w:t>https://doi.org/10.1080/17429145.2021.2002444</w:t>
        </w:r>
      </w:hyperlink>
    </w:p>
    <w:p w14:paraId="4309751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0" w:name="_Ref174804014"/>
      <w:proofErr w:type="spellStart"/>
      <w:r w:rsidRPr="002D31C9">
        <w:rPr>
          <w:rFonts w:ascii="Arial" w:hAnsi="Arial" w:cs="Arial"/>
          <w:sz w:val="20"/>
          <w:szCs w:val="20"/>
        </w:rPr>
        <w:lastRenderedPageBreak/>
        <w:t>Negacz</w:t>
      </w:r>
      <w:proofErr w:type="spellEnd"/>
      <w:r w:rsidRPr="002D31C9">
        <w:rPr>
          <w:rFonts w:ascii="Arial" w:hAnsi="Arial" w:cs="Arial"/>
          <w:sz w:val="20"/>
          <w:szCs w:val="20"/>
        </w:rPr>
        <w:t xml:space="preserve"> K, Malek Z, Vos AD, Vellinga P. Saline soils worldwide: Identifying the most promising areas for saline agriculture. </w:t>
      </w:r>
      <w:r w:rsidRPr="002D31C9">
        <w:rPr>
          <w:rStyle w:val="nfase"/>
          <w:rFonts w:ascii="Arial" w:hAnsi="Arial" w:cs="Arial"/>
          <w:sz w:val="20"/>
          <w:szCs w:val="20"/>
        </w:rPr>
        <w:t>Journal of Arid Environments</w:t>
      </w:r>
      <w:r w:rsidRPr="002D31C9">
        <w:rPr>
          <w:rFonts w:ascii="Arial" w:hAnsi="Arial" w:cs="Arial"/>
          <w:sz w:val="20"/>
          <w:szCs w:val="20"/>
        </w:rPr>
        <w:t xml:space="preserve">. 2022; 203: 104775. </w:t>
      </w:r>
      <w:hyperlink r:id="rId23" w:tgtFrame="_new" w:history="1">
        <w:r w:rsidRPr="002D31C9">
          <w:rPr>
            <w:rStyle w:val="Hyperlink"/>
            <w:rFonts w:ascii="Arial" w:hAnsi="Arial" w:cs="Arial"/>
            <w:sz w:val="20"/>
            <w:szCs w:val="20"/>
          </w:rPr>
          <w:t>https://doi.org/10.1016/j.jaridenv.2022.104775</w:t>
        </w:r>
      </w:hyperlink>
    </w:p>
    <w:p w14:paraId="5CDEEE0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World Soil Day: FAO highlights the threat of soil salinization to global food security. </w:t>
      </w:r>
      <w:hyperlink r:id="rId24" w:tgtFrame="_new" w:history="1">
        <w:r w:rsidRPr="002D31C9">
          <w:rPr>
            <w:rStyle w:val="Hyperlink"/>
            <w:rFonts w:ascii="Arial" w:hAnsi="Arial" w:cs="Arial"/>
            <w:sz w:val="20"/>
            <w:szCs w:val="20"/>
          </w:rPr>
          <w:t>https://www.fao.org/globalsoilpartnership/resources/highlights/detail/en/c/1458974</w:t>
        </w:r>
      </w:hyperlink>
      <w:r w:rsidRPr="002D31C9">
        <w:rPr>
          <w:rFonts w:ascii="Arial" w:hAnsi="Arial" w:cs="Arial"/>
          <w:sz w:val="20"/>
          <w:szCs w:val="20"/>
        </w:rPr>
        <w:t>.</w:t>
      </w:r>
    </w:p>
    <w:p w14:paraId="6F5EF648"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Gross BL, Zhao ZJ. Archaeological and genetic insights into the origins of domesticated rice. </w:t>
      </w:r>
      <w:r w:rsidRPr="002D31C9">
        <w:rPr>
          <w:rStyle w:val="nfase"/>
          <w:rFonts w:ascii="Arial" w:hAnsi="Arial" w:cs="Arial"/>
          <w:sz w:val="20"/>
          <w:szCs w:val="20"/>
        </w:rPr>
        <w:t>Proceedings of the National Academy of Sciences USA</w:t>
      </w:r>
      <w:r w:rsidRPr="002D31C9">
        <w:rPr>
          <w:rFonts w:ascii="Arial" w:hAnsi="Arial" w:cs="Arial"/>
          <w:sz w:val="20"/>
          <w:szCs w:val="20"/>
        </w:rPr>
        <w:t xml:space="preserve">. 2014; 111(17): 6190–6197. </w:t>
      </w:r>
      <w:hyperlink r:id="rId25" w:tgtFrame="_new" w:history="1">
        <w:r w:rsidRPr="002D31C9">
          <w:rPr>
            <w:rStyle w:val="Hyperlink"/>
            <w:rFonts w:ascii="Arial" w:hAnsi="Arial" w:cs="Arial"/>
            <w:sz w:val="20"/>
            <w:szCs w:val="20"/>
          </w:rPr>
          <w:t>https://doi.org/10.1073/pnas.1308942110</w:t>
        </w:r>
      </w:hyperlink>
    </w:p>
    <w:p w14:paraId="291B23A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Lutts S, Kinet JM, </w:t>
      </w:r>
      <w:proofErr w:type="spellStart"/>
      <w:r w:rsidRPr="002D31C9">
        <w:rPr>
          <w:rFonts w:ascii="Arial" w:hAnsi="Arial" w:cs="Arial"/>
          <w:sz w:val="20"/>
          <w:szCs w:val="20"/>
        </w:rPr>
        <w:t>Bouharmont</w:t>
      </w:r>
      <w:proofErr w:type="spellEnd"/>
      <w:r w:rsidRPr="002D31C9">
        <w:rPr>
          <w:rFonts w:ascii="Arial" w:hAnsi="Arial" w:cs="Arial"/>
          <w:sz w:val="20"/>
          <w:szCs w:val="20"/>
        </w:rPr>
        <w:t xml:space="preserve"> J. Changes in plant response to NaCl during development of rice (</w:t>
      </w:r>
      <w:r w:rsidRPr="002D31C9">
        <w:rPr>
          <w:rStyle w:val="nfase"/>
          <w:rFonts w:ascii="Arial" w:hAnsi="Arial" w:cs="Arial"/>
          <w:sz w:val="20"/>
          <w:szCs w:val="20"/>
        </w:rPr>
        <w:t>Oryza sativa</w:t>
      </w:r>
      <w:r w:rsidRPr="002D31C9">
        <w:rPr>
          <w:rFonts w:ascii="Arial" w:hAnsi="Arial" w:cs="Arial"/>
          <w:sz w:val="20"/>
          <w:szCs w:val="20"/>
        </w:rPr>
        <w:t xml:space="preserve"> L.) varieties differing in salinity resistance. </w:t>
      </w:r>
      <w:r w:rsidRPr="002D31C9">
        <w:rPr>
          <w:rStyle w:val="nfase"/>
          <w:rFonts w:ascii="Arial" w:hAnsi="Arial" w:cs="Arial"/>
          <w:sz w:val="20"/>
          <w:szCs w:val="20"/>
        </w:rPr>
        <w:t>Journal of Experimental Botany</w:t>
      </w:r>
      <w:r w:rsidRPr="002D31C9">
        <w:rPr>
          <w:rFonts w:ascii="Arial" w:hAnsi="Arial" w:cs="Arial"/>
          <w:sz w:val="20"/>
          <w:szCs w:val="20"/>
        </w:rPr>
        <w:t xml:space="preserve">. 1995; 46(12): 1843-1852. </w:t>
      </w:r>
      <w:hyperlink r:id="rId26" w:tgtFrame="_new" w:history="1">
        <w:r w:rsidRPr="002D31C9">
          <w:rPr>
            <w:rStyle w:val="Hyperlink"/>
            <w:rFonts w:ascii="Arial" w:hAnsi="Arial" w:cs="Arial"/>
            <w:sz w:val="20"/>
            <w:szCs w:val="20"/>
          </w:rPr>
          <w:t>https://doi.org/10.1093/jxb/46.12.1843</w:t>
        </w:r>
      </w:hyperlink>
    </w:p>
    <w:p w14:paraId="11330B3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Singh RK, Redona E, Refuerzo L. Varietal improvement for abiotic stress tolerance in crop plants: Special reference to salinity in rice. In: Abiotic stress adaptation in plants. Dordrecht: Springer; 2009; 387–415. </w:t>
      </w:r>
      <w:hyperlink r:id="rId27" w:tgtFrame="_new" w:history="1">
        <w:r w:rsidRPr="002D31C9">
          <w:rPr>
            <w:rStyle w:val="Hyperlink"/>
            <w:rFonts w:ascii="Arial" w:hAnsi="Arial" w:cs="Arial"/>
            <w:sz w:val="20"/>
            <w:szCs w:val="20"/>
          </w:rPr>
          <w:t>https://doi.org/10.1007/978-90-481-3112-9_18</w:t>
        </w:r>
      </w:hyperlink>
    </w:p>
    <w:p w14:paraId="6E4319FE"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Wegner LH, Stefano G, Shabala L, Rossi M, Mancuso S, Shabala S. Sequential depolarization of root cortical and stelar cells induced by an acute salt shock: Implications for Na+ and </w:t>
      </w:r>
      <w:proofErr w:type="spellStart"/>
      <w:r w:rsidRPr="002D31C9">
        <w:rPr>
          <w:rFonts w:ascii="Arial" w:hAnsi="Arial" w:cs="Arial"/>
          <w:sz w:val="20"/>
          <w:szCs w:val="20"/>
        </w:rPr>
        <w:t>K</w:t>
      </w:r>
      <w:r w:rsidRPr="002D31C9">
        <w:rPr>
          <w:rFonts w:ascii="Arial" w:hAnsi="Arial" w:cs="Arial"/>
          <w:sz w:val="20"/>
          <w:szCs w:val="20"/>
          <w:vertAlign w:val="superscript"/>
        </w:rPr>
        <w:t>+</w:t>
      </w:r>
      <w:r w:rsidRPr="002D31C9">
        <w:rPr>
          <w:rFonts w:ascii="Arial" w:hAnsi="Arial" w:cs="Arial"/>
          <w:sz w:val="20"/>
          <w:szCs w:val="20"/>
        </w:rPr>
        <w:t>transport</w:t>
      </w:r>
      <w:proofErr w:type="spellEnd"/>
      <w:r w:rsidRPr="002D31C9">
        <w:rPr>
          <w:rFonts w:ascii="Arial" w:hAnsi="Arial" w:cs="Arial"/>
          <w:sz w:val="20"/>
          <w:szCs w:val="20"/>
        </w:rPr>
        <w:t xml:space="preserve"> into xylem vessels. </w:t>
      </w:r>
      <w:r w:rsidRPr="002D31C9">
        <w:rPr>
          <w:rStyle w:val="nfase"/>
          <w:rFonts w:ascii="Arial" w:hAnsi="Arial" w:cs="Arial"/>
          <w:sz w:val="20"/>
          <w:szCs w:val="20"/>
        </w:rPr>
        <w:t>Plant, Cell &amp; Environment</w:t>
      </w:r>
      <w:r w:rsidRPr="002D31C9">
        <w:rPr>
          <w:rFonts w:ascii="Arial" w:hAnsi="Arial" w:cs="Arial"/>
          <w:sz w:val="20"/>
          <w:szCs w:val="20"/>
        </w:rPr>
        <w:t xml:space="preserve">. 2011; 34: 859–869. </w:t>
      </w:r>
      <w:hyperlink r:id="rId28" w:tgtFrame="_new" w:history="1">
        <w:r w:rsidRPr="002D31C9">
          <w:rPr>
            <w:rStyle w:val="Hyperlink"/>
            <w:rFonts w:ascii="Arial" w:hAnsi="Arial" w:cs="Arial"/>
            <w:sz w:val="20"/>
            <w:szCs w:val="20"/>
          </w:rPr>
          <w:t>https://doi.org/10.1111/j.1365-3040.2011.02291.x</w:t>
        </w:r>
      </w:hyperlink>
    </w:p>
    <w:p w14:paraId="1F4928A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Munns R, Tester M. Mechanisms of salinity tolerance. </w:t>
      </w:r>
      <w:r w:rsidRPr="002D31C9">
        <w:rPr>
          <w:rStyle w:val="nfase"/>
          <w:rFonts w:ascii="Arial" w:hAnsi="Arial" w:cs="Arial"/>
          <w:sz w:val="20"/>
          <w:szCs w:val="20"/>
        </w:rPr>
        <w:t>Annual Review of Plant Biology</w:t>
      </w:r>
      <w:r w:rsidRPr="002D31C9">
        <w:rPr>
          <w:rFonts w:ascii="Arial" w:hAnsi="Arial" w:cs="Arial"/>
          <w:sz w:val="20"/>
          <w:szCs w:val="20"/>
        </w:rPr>
        <w:t xml:space="preserve">. 2008; 59: 651–681. </w:t>
      </w:r>
      <w:hyperlink r:id="rId29" w:tgtFrame="_new" w:history="1">
        <w:r w:rsidRPr="002D31C9">
          <w:rPr>
            <w:rStyle w:val="Hyperlink"/>
            <w:rFonts w:ascii="Arial" w:hAnsi="Arial" w:cs="Arial"/>
            <w:sz w:val="20"/>
            <w:szCs w:val="20"/>
          </w:rPr>
          <w:t>https://doi.org/10.1146/annurev.arplant.59.032607.092911</w:t>
        </w:r>
      </w:hyperlink>
    </w:p>
    <w:p w14:paraId="54A845A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Yang Y, Guo Y. Elucidating the molecular mechanisms mediating plant salt stress responses. </w:t>
      </w:r>
      <w:r w:rsidRPr="002D31C9">
        <w:rPr>
          <w:rStyle w:val="nfase"/>
          <w:rFonts w:ascii="Arial" w:hAnsi="Arial" w:cs="Arial"/>
          <w:sz w:val="20"/>
          <w:szCs w:val="20"/>
        </w:rPr>
        <w:t>New Phytologist</w:t>
      </w:r>
      <w:r w:rsidRPr="002D31C9">
        <w:rPr>
          <w:rFonts w:ascii="Arial" w:hAnsi="Arial" w:cs="Arial"/>
          <w:sz w:val="20"/>
          <w:szCs w:val="20"/>
        </w:rPr>
        <w:t xml:space="preserve">. 2018; 217: 523-539. </w:t>
      </w:r>
      <w:hyperlink r:id="rId30" w:tgtFrame="_new" w:history="1">
        <w:r w:rsidRPr="002D31C9">
          <w:rPr>
            <w:rStyle w:val="Hyperlink"/>
            <w:rFonts w:ascii="Arial" w:hAnsi="Arial" w:cs="Arial"/>
            <w:sz w:val="20"/>
            <w:szCs w:val="20"/>
          </w:rPr>
          <w:t>https://doi.org/10.1111/nph.14920</w:t>
        </w:r>
      </w:hyperlink>
    </w:p>
    <w:p w14:paraId="56844AF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Gill SS, Tuteja N. Reactive oxygen species and antioxidant machinery in abiotic stress tolerance in crop plants. </w:t>
      </w:r>
      <w:r w:rsidRPr="002D31C9">
        <w:rPr>
          <w:rStyle w:val="nfase"/>
          <w:rFonts w:ascii="Arial" w:hAnsi="Arial" w:cs="Arial"/>
          <w:sz w:val="20"/>
          <w:szCs w:val="20"/>
        </w:rPr>
        <w:t>Plant Physiology and Biochemistry</w:t>
      </w:r>
      <w:r w:rsidRPr="002D31C9">
        <w:rPr>
          <w:rFonts w:ascii="Arial" w:hAnsi="Arial" w:cs="Arial"/>
          <w:sz w:val="20"/>
          <w:szCs w:val="20"/>
        </w:rPr>
        <w:t xml:space="preserve">. 2010; 48: 909-930. </w:t>
      </w:r>
      <w:hyperlink r:id="rId31" w:tgtFrame="_new" w:history="1">
        <w:r w:rsidRPr="002D31C9">
          <w:rPr>
            <w:rStyle w:val="Hyperlink"/>
            <w:rFonts w:ascii="Arial" w:hAnsi="Arial" w:cs="Arial"/>
            <w:sz w:val="20"/>
            <w:szCs w:val="20"/>
          </w:rPr>
          <w:t>https://doi.org/10.1016/j.plaphy.2010.08.016</w:t>
        </w:r>
      </w:hyperlink>
    </w:p>
    <w:p w14:paraId="2C3BD96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Pal M, Janda T, Szalai G. Interactions between plant hormones and thiol-related heavy metal chelators. </w:t>
      </w:r>
      <w:r w:rsidRPr="002D31C9">
        <w:rPr>
          <w:rStyle w:val="nfase"/>
          <w:rFonts w:ascii="Arial" w:hAnsi="Arial" w:cs="Arial"/>
          <w:sz w:val="20"/>
          <w:szCs w:val="20"/>
        </w:rPr>
        <w:t>Plant Growth Regulation</w:t>
      </w:r>
      <w:r w:rsidRPr="002D31C9">
        <w:rPr>
          <w:rFonts w:ascii="Arial" w:hAnsi="Arial" w:cs="Arial"/>
          <w:sz w:val="20"/>
          <w:szCs w:val="20"/>
        </w:rPr>
        <w:t xml:space="preserve">. 2018; 85: 173-185. </w:t>
      </w:r>
      <w:hyperlink r:id="rId32" w:tgtFrame="_new" w:history="1">
        <w:r w:rsidRPr="002D31C9">
          <w:rPr>
            <w:rStyle w:val="Hyperlink"/>
            <w:rFonts w:ascii="Arial" w:hAnsi="Arial" w:cs="Arial"/>
            <w:sz w:val="20"/>
            <w:szCs w:val="20"/>
          </w:rPr>
          <w:t>https://doi.org/10.1590/1678-4685-GMB-2016-0087</w:t>
        </w:r>
      </w:hyperlink>
    </w:p>
    <w:p w14:paraId="0F0FA30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Yue J, You Y, Zhang L, Fu Z, Wang J, Zhang J, Guy RD. Exogenous 24-epibrassinolide alleviates effects of salt stress on chloroplasts and photosynthesis in </w:t>
      </w:r>
      <w:r w:rsidRPr="002D31C9">
        <w:rPr>
          <w:rStyle w:val="nfase"/>
          <w:rFonts w:ascii="Arial" w:hAnsi="Arial" w:cs="Arial"/>
          <w:sz w:val="20"/>
          <w:szCs w:val="20"/>
        </w:rPr>
        <w:t xml:space="preserve">Robinia </w:t>
      </w:r>
      <w:proofErr w:type="spellStart"/>
      <w:r w:rsidRPr="002D31C9">
        <w:rPr>
          <w:rStyle w:val="nfase"/>
          <w:rFonts w:ascii="Arial" w:hAnsi="Arial" w:cs="Arial"/>
          <w:sz w:val="20"/>
          <w:szCs w:val="20"/>
        </w:rPr>
        <w:t>pseudoacacia</w:t>
      </w:r>
      <w:proofErr w:type="spellEnd"/>
      <w:r w:rsidRPr="002D31C9">
        <w:rPr>
          <w:rFonts w:ascii="Arial" w:hAnsi="Arial" w:cs="Arial"/>
          <w:sz w:val="20"/>
          <w:szCs w:val="20"/>
        </w:rPr>
        <w:t xml:space="preserve"> L. seedlings. </w:t>
      </w:r>
      <w:r w:rsidRPr="002D31C9">
        <w:rPr>
          <w:rStyle w:val="nfase"/>
          <w:rFonts w:ascii="Arial" w:hAnsi="Arial" w:cs="Arial"/>
          <w:sz w:val="20"/>
          <w:szCs w:val="20"/>
        </w:rPr>
        <w:t>Journal of Plant Growth Regulation</w:t>
      </w:r>
      <w:r w:rsidRPr="002D31C9">
        <w:rPr>
          <w:rFonts w:ascii="Arial" w:hAnsi="Arial" w:cs="Arial"/>
          <w:sz w:val="20"/>
          <w:szCs w:val="20"/>
        </w:rPr>
        <w:t xml:space="preserve">. 2019; 38: 669–682. </w:t>
      </w:r>
      <w:hyperlink r:id="rId33" w:tgtFrame="_new" w:history="1">
        <w:r w:rsidRPr="002D31C9">
          <w:rPr>
            <w:rStyle w:val="Hyperlink"/>
            <w:rFonts w:ascii="Arial" w:hAnsi="Arial" w:cs="Arial"/>
            <w:sz w:val="20"/>
            <w:szCs w:val="20"/>
          </w:rPr>
          <w:t>https://doi.org/10.1007/s00344-018-9881-0</w:t>
        </w:r>
      </w:hyperlink>
    </w:p>
    <w:p w14:paraId="65ED1063"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Ali Q, Daud M, Haider MZ, et al. Seed priming by sodium nitroprusside improves salt tolerance in wheat (</w:t>
      </w:r>
      <w:r w:rsidRPr="002D31C9">
        <w:rPr>
          <w:rStyle w:val="nfase"/>
          <w:rFonts w:ascii="Arial" w:hAnsi="Arial" w:cs="Arial"/>
          <w:sz w:val="20"/>
          <w:szCs w:val="20"/>
        </w:rPr>
        <w:t>Triticum aestivum</w:t>
      </w:r>
      <w:r w:rsidRPr="002D31C9">
        <w:rPr>
          <w:rFonts w:ascii="Arial" w:hAnsi="Arial" w:cs="Arial"/>
          <w:sz w:val="20"/>
          <w:szCs w:val="20"/>
        </w:rPr>
        <w:t xml:space="preserve"> L.) by enhancing physiological and biochemical parameters. </w:t>
      </w:r>
      <w:r w:rsidRPr="002D31C9">
        <w:rPr>
          <w:rStyle w:val="nfase"/>
          <w:rFonts w:ascii="Arial" w:hAnsi="Arial" w:cs="Arial"/>
          <w:sz w:val="20"/>
          <w:szCs w:val="20"/>
        </w:rPr>
        <w:t>Plant Physiology and Biochemistry</w:t>
      </w:r>
      <w:r w:rsidRPr="002D31C9">
        <w:rPr>
          <w:rFonts w:ascii="Arial" w:hAnsi="Arial" w:cs="Arial"/>
          <w:sz w:val="20"/>
          <w:szCs w:val="20"/>
        </w:rPr>
        <w:t xml:space="preserve">. 2017; 119: 50–58. </w:t>
      </w:r>
      <w:hyperlink r:id="rId34" w:tgtFrame="_new" w:history="1">
        <w:r w:rsidRPr="002D31C9">
          <w:rPr>
            <w:rStyle w:val="Hyperlink"/>
            <w:rFonts w:ascii="Arial" w:hAnsi="Arial" w:cs="Arial"/>
            <w:sz w:val="20"/>
            <w:szCs w:val="20"/>
          </w:rPr>
          <w:t>https://doi.org/10.1016/j.plaphy.2017.08.010</w:t>
        </w:r>
      </w:hyperlink>
    </w:p>
    <w:p w14:paraId="529A9A8D"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Dolatabadian</w:t>
      </w:r>
      <w:proofErr w:type="spellEnd"/>
      <w:r w:rsidRPr="002D31C9">
        <w:rPr>
          <w:rFonts w:ascii="Arial" w:hAnsi="Arial" w:cs="Arial"/>
          <w:sz w:val="20"/>
          <w:szCs w:val="20"/>
        </w:rPr>
        <w:t xml:space="preserve"> A, Modarres </w:t>
      </w:r>
      <w:proofErr w:type="spellStart"/>
      <w:r w:rsidRPr="002D31C9">
        <w:rPr>
          <w:rFonts w:ascii="Arial" w:hAnsi="Arial" w:cs="Arial"/>
          <w:sz w:val="20"/>
          <w:szCs w:val="20"/>
        </w:rPr>
        <w:t>Sanavy</w:t>
      </w:r>
      <w:proofErr w:type="spellEnd"/>
      <w:r w:rsidRPr="002D31C9">
        <w:rPr>
          <w:rFonts w:ascii="Arial" w:hAnsi="Arial" w:cs="Arial"/>
          <w:sz w:val="20"/>
          <w:szCs w:val="20"/>
        </w:rPr>
        <w:t xml:space="preserve"> SAM, Sharifi M. Effect of salicylic acid and salt on wheat seed germination. </w:t>
      </w:r>
      <w:r w:rsidRPr="002D31C9">
        <w:rPr>
          <w:rStyle w:val="nfase"/>
          <w:rFonts w:ascii="Arial" w:hAnsi="Arial" w:cs="Arial"/>
          <w:sz w:val="20"/>
          <w:szCs w:val="20"/>
        </w:rPr>
        <w:t xml:space="preserve">Acta </w:t>
      </w:r>
      <w:proofErr w:type="spellStart"/>
      <w:r w:rsidRPr="002D31C9">
        <w:rPr>
          <w:rStyle w:val="nfase"/>
          <w:rFonts w:ascii="Arial" w:hAnsi="Arial" w:cs="Arial"/>
          <w:sz w:val="20"/>
          <w:szCs w:val="20"/>
        </w:rPr>
        <w:t>Agriculturae</w:t>
      </w:r>
      <w:proofErr w:type="spellEnd"/>
      <w:r w:rsidRPr="002D31C9">
        <w:rPr>
          <w:rStyle w:val="nfase"/>
          <w:rFonts w:ascii="Arial" w:hAnsi="Arial" w:cs="Arial"/>
          <w:sz w:val="20"/>
          <w:szCs w:val="20"/>
        </w:rPr>
        <w:t xml:space="preserve"> Scandinavica, Section B - Soil &amp; Plant Science</w:t>
      </w:r>
      <w:r w:rsidRPr="002D31C9">
        <w:rPr>
          <w:rFonts w:ascii="Arial" w:hAnsi="Arial" w:cs="Arial"/>
          <w:sz w:val="20"/>
          <w:szCs w:val="20"/>
        </w:rPr>
        <w:t xml:space="preserve">. 2009; 59: 456–464. </w:t>
      </w:r>
      <w:hyperlink r:id="rId35" w:tgtFrame="_new" w:history="1">
        <w:r w:rsidRPr="002D31C9">
          <w:rPr>
            <w:rStyle w:val="Hyperlink"/>
            <w:rFonts w:ascii="Arial" w:hAnsi="Arial" w:cs="Arial"/>
            <w:sz w:val="20"/>
            <w:szCs w:val="20"/>
          </w:rPr>
          <w:t>https://doi.org/10.1080/09064710802342350</w:t>
        </w:r>
      </w:hyperlink>
    </w:p>
    <w:p w14:paraId="10280557"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lastRenderedPageBreak/>
        <w:t xml:space="preserve">Bates L, Waldren RP, Teare ID. Rapid determination of free proline for water stress studies. </w:t>
      </w:r>
      <w:r w:rsidRPr="002D31C9">
        <w:rPr>
          <w:rStyle w:val="nfase"/>
          <w:rFonts w:ascii="Arial" w:hAnsi="Arial" w:cs="Arial"/>
          <w:sz w:val="20"/>
          <w:szCs w:val="20"/>
        </w:rPr>
        <w:t>Plant and Soil</w:t>
      </w:r>
      <w:r w:rsidRPr="002D31C9">
        <w:rPr>
          <w:rFonts w:ascii="Arial" w:hAnsi="Arial" w:cs="Arial"/>
          <w:sz w:val="20"/>
          <w:szCs w:val="20"/>
        </w:rPr>
        <w:t xml:space="preserve">. 1973; 39: 205–207. </w:t>
      </w:r>
      <w:hyperlink r:id="rId36" w:tgtFrame="_new" w:history="1">
        <w:r w:rsidRPr="002D31C9">
          <w:rPr>
            <w:rStyle w:val="Hyperlink"/>
            <w:rFonts w:ascii="Arial" w:hAnsi="Arial" w:cs="Arial"/>
            <w:sz w:val="20"/>
            <w:szCs w:val="20"/>
          </w:rPr>
          <w:t>https://doi.org/10.1007/BF00018060</w:t>
        </w:r>
      </w:hyperlink>
    </w:p>
    <w:p w14:paraId="6A61A695"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Dionisio-Sese ML, </w:t>
      </w:r>
      <w:proofErr w:type="spellStart"/>
      <w:r w:rsidRPr="002D31C9">
        <w:rPr>
          <w:rFonts w:ascii="Arial" w:hAnsi="Arial" w:cs="Arial"/>
          <w:sz w:val="20"/>
          <w:szCs w:val="20"/>
        </w:rPr>
        <w:t>Tobita</w:t>
      </w:r>
      <w:proofErr w:type="spellEnd"/>
      <w:r w:rsidRPr="002D31C9">
        <w:rPr>
          <w:rFonts w:ascii="Arial" w:hAnsi="Arial" w:cs="Arial"/>
          <w:sz w:val="20"/>
          <w:szCs w:val="20"/>
        </w:rPr>
        <w:t xml:space="preserve"> S. Antioxidant responses of rice seedlings to salinity stress. </w:t>
      </w:r>
      <w:r w:rsidRPr="002D31C9">
        <w:rPr>
          <w:rStyle w:val="nfase"/>
          <w:rFonts w:ascii="Arial" w:hAnsi="Arial" w:cs="Arial"/>
          <w:sz w:val="20"/>
          <w:szCs w:val="20"/>
        </w:rPr>
        <w:t>Plant Science</w:t>
      </w:r>
      <w:r w:rsidRPr="002D31C9">
        <w:rPr>
          <w:rFonts w:ascii="Arial" w:hAnsi="Arial" w:cs="Arial"/>
          <w:sz w:val="20"/>
          <w:szCs w:val="20"/>
        </w:rPr>
        <w:t xml:space="preserve">. 1998; 135(1): 1-9. </w:t>
      </w:r>
      <w:hyperlink r:id="rId37" w:tgtFrame="_new" w:history="1">
        <w:r w:rsidRPr="002D31C9">
          <w:rPr>
            <w:rStyle w:val="Hyperlink"/>
            <w:rFonts w:ascii="Arial" w:hAnsi="Arial" w:cs="Arial"/>
            <w:sz w:val="20"/>
            <w:szCs w:val="20"/>
          </w:rPr>
          <w:t>https://doi.org/10.1016/S0168-9452(98)00025-9</w:t>
        </w:r>
      </w:hyperlink>
    </w:p>
    <w:p w14:paraId="3F408303"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Siringam</w:t>
      </w:r>
      <w:proofErr w:type="spellEnd"/>
      <w:r w:rsidRPr="002D31C9">
        <w:rPr>
          <w:rFonts w:ascii="Arial" w:hAnsi="Arial" w:cs="Arial"/>
          <w:sz w:val="20"/>
          <w:szCs w:val="20"/>
        </w:rPr>
        <w:t xml:space="preserve"> K, </w:t>
      </w:r>
      <w:proofErr w:type="spellStart"/>
      <w:r w:rsidRPr="002D31C9">
        <w:rPr>
          <w:rFonts w:ascii="Arial" w:hAnsi="Arial" w:cs="Arial"/>
          <w:sz w:val="20"/>
          <w:szCs w:val="20"/>
        </w:rPr>
        <w:t>Juntawong</w:t>
      </w:r>
      <w:proofErr w:type="spellEnd"/>
      <w:r w:rsidRPr="002D31C9">
        <w:rPr>
          <w:rFonts w:ascii="Arial" w:hAnsi="Arial" w:cs="Arial"/>
          <w:sz w:val="20"/>
          <w:szCs w:val="20"/>
        </w:rPr>
        <w:t xml:space="preserve"> N, Cha-Um S, </w:t>
      </w:r>
      <w:proofErr w:type="spellStart"/>
      <w:r w:rsidRPr="002D31C9">
        <w:rPr>
          <w:rFonts w:ascii="Arial" w:hAnsi="Arial" w:cs="Arial"/>
          <w:sz w:val="20"/>
          <w:szCs w:val="20"/>
        </w:rPr>
        <w:t>Kirdmanee</w:t>
      </w:r>
      <w:proofErr w:type="spellEnd"/>
      <w:r w:rsidRPr="002D31C9">
        <w:rPr>
          <w:rFonts w:ascii="Arial" w:hAnsi="Arial" w:cs="Arial"/>
          <w:sz w:val="20"/>
          <w:szCs w:val="20"/>
        </w:rPr>
        <w:t xml:space="preserve"> C. Salt stress induced ion accumulation, ion homeostasis, membrane injury and sugar contents in salt-sensitive rice roots under iso-osmotic conditions. </w:t>
      </w:r>
      <w:r w:rsidRPr="002D31C9">
        <w:rPr>
          <w:rStyle w:val="nfase"/>
          <w:rFonts w:ascii="Arial" w:hAnsi="Arial" w:cs="Arial"/>
          <w:sz w:val="20"/>
          <w:szCs w:val="20"/>
        </w:rPr>
        <w:t>African Journal of Biotechnology</w:t>
      </w:r>
      <w:r w:rsidRPr="002D31C9">
        <w:rPr>
          <w:rFonts w:ascii="Arial" w:hAnsi="Arial" w:cs="Arial"/>
          <w:sz w:val="20"/>
          <w:szCs w:val="20"/>
        </w:rPr>
        <w:t xml:space="preserve">. 2012; 10: 1340-1346. </w:t>
      </w:r>
      <w:hyperlink r:id="rId38" w:tgtFrame="_new" w:history="1">
        <w:r w:rsidRPr="002D31C9">
          <w:rPr>
            <w:rStyle w:val="Hyperlink"/>
            <w:rFonts w:ascii="Arial" w:hAnsi="Arial" w:cs="Arial"/>
            <w:sz w:val="20"/>
            <w:szCs w:val="20"/>
          </w:rPr>
          <w:t>https://doi.org/10.5897/AJB10.1805</w:t>
        </w:r>
      </w:hyperlink>
    </w:p>
    <w:p w14:paraId="28EEDE9C"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Ashraf M, O’Leary JW. Response of some newly developed salt tolerant genotypes of spring wheat to salt stress. II. Water relations and photosynthetic capacity. </w:t>
      </w:r>
      <w:r w:rsidRPr="002D31C9">
        <w:rPr>
          <w:rStyle w:val="nfase"/>
          <w:rFonts w:ascii="Arial" w:hAnsi="Arial" w:cs="Arial"/>
          <w:sz w:val="20"/>
          <w:szCs w:val="20"/>
        </w:rPr>
        <w:t xml:space="preserve">Acta Botanica </w:t>
      </w:r>
      <w:proofErr w:type="spellStart"/>
      <w:r w:rsidRPr="002D31C9">
        <w:rPr>
          <w:rStyle w:val="nfase"/>
          <w:rFonts w:ascii="Arial" w:hAnsi="Arial" w:cs="Arial"/>
          <w:sz w:val="20"/>
          <w:szCs w:val="20"/>
        </w:rPr>
        <w:t>Neerlandica</w:t>
      </w:r>
      <w:proofErr w:type="spellEnd"/>
      <w:r w:rsidRPr="002D31C9">
        <w:rPr>
          <w:rFonts w:ascii="Arial" w:hAnsi="Arial" w:cs="Arial"/>
          <w:sz w:val="20"/>
          <w:szCs w:val="20"/>
        </w:rPr>
        <w:t xml:space="preserve">. 1996; 45(1): 29-39. </w:t>
      </w:r>
      <w:hyperlink r:id="rId39" w:tgtFrame="_new" w:history="1">
        <w:r w:rsidRPr="002D31C9">
          <w:rPr>
            <w:rStyle w:val="Hyperlink"/>
            <w:rFonts w:ascii="Arial" w:hAnsi="Arial" w:cs="Arial"/>
            <w:sz w:val="20"/>
            <w:szCs w:val="20"/>
          </w:rPr>
          <w:t>https://doi.org/10.1111/j.1438-8677.1996.tb00493.x</w:t>
        </w:r>
      </w:hyperlink>
    </w:p>
    <w:p w14:paraId="6EDEDC5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Rodriguez HG, Roberts JK, Jordan WR, Drew MC. Growth, water relation and accumulation of organic and inorganic solutes in roots of maize seedling during salt stress. </w:t>
      </w:r>
      <w:r w:rsidRPr="002D31C9">
        <w:rPr>
          <w:rStyle w:val="nfase"/>
          <w:rFonts w:ascii="Arial" w:hAnsi="Arial" w:cs="Arial"/>
          <w:sz w:val="20"/>
          <w:szCs w:val="20"/>
        </w:rPr>
        <w:t>Plant Physiology</w:t>
      </w:r>
      <w:r w:rsidRPr="002D31C9">
        <w:rPr>
          <w:rFonts w:ascii="Arial" w:hAnsi="Arial" w:cs="Arial"/>
          <w:sz w:val="20"/>
          <w:szCs w:val="20"/>
        </w:rPr>
        <w:t xml:space="preserve">. 1997; 113: 881-893. </w:t>
      </w:r>
      <w:hyperlink r:id="rId40" w:tgtFrame="_new" w:history="1">
        <w:r w:rsidRPr="002D31C9">
          <w:rPr>
            <w:rStyle w:val="Hyperlink"/>
            <w:rFonts w:ascii="Arial" w:hAnsi="Arial" w:cs="Arial"/>
            <w:sz w:val="20"/>
            <w:szCs w:val="20"/>
          </w:rPr>
          <w:t>https://doi.org/10.1104/pp.113.3.881</w:t>
        </w:r>
      </w:hyperlink>
    </w:p>
    <w:p w14:paraId="76B6DA8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Hasan SA, Hayat S, Ahmad A. </w:t>
      </w:r>
      <w:proofErr w:type="spellStart"/>
      <w:r w:rsidRPr="002D31C9">
        <w:rPr>
          <w:rFonts w:ascii="Arial" w:hAnsi="Arial" w:cs="Arial"/>
          <w:sz w:val="20"/>
          <w:szCs w:val="20"/>
        </w:rPr>
        <w:t>Brassinosteroids</w:t>
      </w:r>
      <w:proofErr w:type="spellEnd"/>
      <w:r w:rsidRPr="002D31C9">
        <w:rPr>
          <w:rFonts w:ascii="Arial" w:hAnsi="Arial" w:cs="Arial"/>
          <w:sz w:val="20"/>
          <w:szCs w:val="20"/>
        </w:rPr>
        <w:t xml:space="preserve"> protect photosynthetic machinery against cadmium-induced oxidative stress in two tomato cultivars. </w:t>
      </w:r>
      <w:r w:rsidRPr="002D31C9">
        <w:rPr>
          <w:rStyle w:val="nfase"/>
          <w:rFonts w:ascii="Arial" w:hAnsi="Arial" w:cs="Arial"/>
          <w:sz w:val="20"/>
          <w:szCs w:val="20"/>
        </w:rPr>
        <w:t>Chemosphere</w:t>
      </w:r>
      <w:r w:rsidRPr="002D31C9">
        <w:rPr>
          <w:rFonts w:ascii="Arial" w:hAnsi="Arial" w:cs="Arial"/>
          <w:sz w:val="20"/>
          <w:szCs w:val="20"/>
        </w:rPr>
        <w:t xml:space="preserve">. 2011; 84(10): 1446-1451. </w:t>
      </w:r>
      <w:hyperlink r:id="rId41" w:tgtFrame="_new" w:history="1">
        <w:r w:rsidRPr="002D31C9">
          <w:rPr>
            <w:rStyle w:val="Hyperlink"/>
            <w:rFonts w:ascii="Arial" w:hAnsi="Arial" w:cs="Arial"/>
            <w:sz w:val="20"/>
            <w:szCs w:val="20"/>
          </w:rPr>
          <w:t>https://doi.org/10.1016/j.chemosphere.2011.04.047</w:t>
        </w:r>
      </w:hyperlink>
    </w:p>
    <w:bookmarkEnd w:id="10"/>
    <w:p w14:paraId="5FE96100"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Mimouni, H., Wasti, S., Manaa, A., Gharbi, E., </w:t>
      </w:r>
      <w:proofErr w:type="spellStart"/>
      <w:r w:rsidRPr="002D31C9">
        <w:rPr>
          <w:rFonts w:ascii="Arial" w:hAnsi="Arial" w:cs="Arial"/>
          <w:sz w:val="20"/>
          <w:szCs w:val="20"/>
        </w:rPr>
        <w:t>Chalh</w:t>
      </w:r>
      <w:proofErr w:type="spellEnd"/>
      <w:r w:rsidRPr="002D31C9">
        <w:rPr>
          <w:rFonts w:ascii="Arial" w:hAnsi="Arial" w:cs="Arial"/>
          <w:sz w:val="20"/>
          <w:szCs w:val="20"/>
        </w:rPr>
        <w:t xml:space="preserve">, A., Vandoorne, B., Ahmed, H.B. (2016). Does Salicylic Acid (SA) Improve Tolerance to Salt Stress in Plants? A Study of SA Effects on Tomato Plant Growth, Water Dynamics, Photosynthesis, and Biochemical Parameters. </w:t>
      </w:r>
      <w:r w:rsidRPr="002D31C9">
        <w:rPr>
          <w:rStyle w:val="nfase"/>
          <w:rFonts w:ascii="Arial" w:hAnsi="Arial" w:cs="Arial"/>
          <w:sz w:val="20"/>
          <w:szCs w:val="20"/>
        </w:rPr>
        <w:t>OMICS: A Journal of Integrative Biology</w:t>
      </w:r>
      <w:r w:rsidRPr="002D31C9">
        <w:rPr>
          <w:rFonts w:ascii="Arial" w:hAnsi="Arial" w:cs="Arial"/>
          <w:sz w:val="20"/>
          <w:szCs w:val="20"/>
        </w:rPr>
        <w:t xml:space="preserve">, 20(3), 180–190. </w:t>
      </w:r>
      <w:hyperlink r:id="rId42" w:tgtFrame="_new" w:history="1">
        <w:r w:rsidRPr="002D31C9">
          <w:rPr>
            <w:rStyle w:val="Hyperlink"/>
            <w:rFonts w:ascii="Arial" w:hAnsi="Arial" w:cs="Arial"/>
            <w:sz w:val="20"/>
            <w:szCs w:val="20"/>
          </w:rPr>
          <w:t>https://doi.org/10.1089/omi.2015.0161</w:t>
        </w:r>
      </w:hyperlink>
    </w:p>
    <w:p w14:paraId="173B2A9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 xml:space="preserve">MadhanMohan, M., Lakshmi Narayanan, S., Simran, I. (2000). </w:t>
      </w:r>
      <w:r w:rsidRPr="002D31C9">
        <w:rPr>
          <w:rFonts w:ascii="Arial" w:hAnsi="Arial" w:cs="Arial"/>
          <w:sz w:val="20"/>
          <w:szCs w:val="20"/>
        </w:rPr>
        <w:t xml:space="preserve">Chlorophyll Stability Index (CSI): Its Impact on Salt Tolerance in Rice. </w:t>
      </w:r>
      <w:r w:rsidRPr="002D31C9">
        <w:rPr>
          <w:rStyle w:val="nfase"/>
          <w:rFonts w:ascii="Arial" w:hAnsi="Arial" w:cs="Arial"/>
          <w:sz w:val="20"/>
          <w:szCs w:val="20"/>
        </w:rPr>
        <w:t>Crop Management and Physiology</w:t>
      </w:r>
      <w:r w:rsidRPr="002D31C9">
        <w:rPr>
          <w:rFonts w:ascii="Arial" w:hAnsi="Arial" w:cs="Arial"/>
          <w:sz w:val="20"/>
          <w:szCs w:val="20"/>
        </w:rPr>
        <w:t xml:space="preserve">, 25, 38-39. </w:t>
      </w:r>
      <w:hyperlink r:id="rId43" w:tgtFrame="_new" w:history="1">
        <w:r w:rsidRPr="002D31C9">
          <w:rPr>
            <w:rStyle w:val="Hyperlink"/>
            <w:rFonts w:ascii="Arial" w:hAnsi="Arial" w:cs="Arial"/>
            <w:sz w:val="20"/>
            <w:szCs w:val="20"/>
          </w:rPr>
          <w:t>https://www.cabidigitallibrary.org/doi/pdf/10.5555/20193166490</w:t>
        </w:r>
      </w:hyperlink>
    </w:p>
    <w:p w14:paraId="53DEE5A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Bipin, K.B., Uma, D., Rajesh, S., Raghu, R., Jeevanandhan, K. (2022). </w:t>
      </w:r>
      <w:r w:rsidRPr="002D31C9">
        <w:rPr>
          <w:rFonts w:ascii="Arial" w:hAnsi="Arial" w:cs="Arial"/>
          <w:sz w:val="20"/>
          <w:szCs w:val="20"/>
        </w:rPr>
        <w:t>Salinity Stress Tolerance Mechanism in Proso Millet (</w:t>
      </w:r>
      <w:r w:rsidRPr="002D31C9">
        <w:rPr>
          <w:rStyle w:val="nfase"/>
          <w:rFonts w:ascii="Arial" w:hAnsi="Arial" w:cs="Arial"/>
          <w:sz w:val="20"/>
          <w:szCs w:val="20"/>
        </w:rPr>
        <w:t xml:space="preserve">Panicum </w:t>
      </w:r>
      <w:proofErr w:type="spellStart"/>
      <w:r w:rsidRPr="002D31C9">
        <w:rPr>
          <w:rStyle w:val="nfase"/>
          <w:rFonts w:ascii="Arial" w:hAnsi="Arial" w:cs="Arial"/>
          <w:sz w:val="20"/>
          <w:szCs w:val="20"/>
        </w:rPr>
        <w:t>miliaceum</w:t>
      </w:r>
      <w:proofErr w:type="spellEnd"/>
      <w:r w:rsidRPr="002D31C9">
        <w:rPr>
          <w:rStyle w:val="nfase"/>
          <w:rFonts w:ascii="Arial" w:hAnsi="Arial" w:cs="Arial"/>
          <w:sz w:val="20"/>
          <w:szCs w:val="20"/>
        </w:rPr>
        <w:t xml:space="preserve"> L.</w:t>
      </w:r>
      <w:r w:rsidRPr="002D31C9">
        <w:rPr>
          <w:rFonts w:ascii="Arial" w:hAnsi="Arial" w:cs="Arial"/>
          <w:sz w:val="20"/>
          <w:szCs w:val="20"/>
        </w:rPr>
        <w:t xml:space="preserve">) Revealed by Physio-Biochemical Analysis under Different Salt Concentration. </w:t>
      </w:r>
      <w:r w:rsidRPr="002D31C9">
        <w:rPr>
          <w:rStyle w:val="nfase"/>
          <w:rFonts w:ascii="Arial" w:hAnsi="Arial" w:cs="Arial"/>
          <w:sz w:val="20"/>
          <w:szCs w:val="20"/>
        </w:rPr>
        <w:t>Pharma Innovation</w:t>
      </w:r>
      <w:r w:rsidRPr="002D31C9">
        <w:rPr>
          <w:rFonts w:ascii="Arial" w:hAnsi="Arial" w:cs="Arial"/>
          <w:sz w:val="20"/>
          <w:szCs w:val="20"/>
        </w:rPr>
        <w:t>, 11(7), 864-869.</w:t>
      </w:r>
    </w:p>
    <w:p w14:paraId="291C69D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Gursoy, M. (2022). Enhancing Germination Performance, Early Seedling Growth, Chlorophyll Stability Index and Salt Tolerance Percentage of Safflower (</w:t>
      </w:r>
      <w:r w:rsidRPr="002D31C9">
        <w:rPr>
          <w:rStyle w:val="nfase"/>
          <w:rFonts w:ascii="Arial" w:hAnsi="Arial" w:cs="Arial"/>
          <w:sz w:val="20"/>
          <w:szCs w:val="20"/>
        </w:rPr>
        <w:t>Carthamus tinctorius L.</w:t>
      </w:r>
      <w:r w:rsidRPr="002D31C9">
        <w:rPr>
          <w:rFonts w:ascii="Arial" w:hAnsi="Arial" w:cs="Arial"/>
          <w:sz w:val="20"/>
          <w:szCs w:val="20"/>
        </w:rPr>
        <w:t xml:space="preserve">) Seeds by Application of Different Plant Growth Regulators under Salinity Stress. </w:t>
      </w:r>
      <w:proofErr w:type="spellStart"/>
      <w:r w:rsidRPr="002D31C9">
        <w:rPr>
          <w:rStyle w:val="nfase"/>
          <w:rFonts w:ascii="Arial" w:hAnsi="Arial" w:cs="Arial"/>
          <w:sz w:val="20"/>
          <w:szCs w:val="20"/>
        </w:rPr>
        <w:t>Agrociencia</w:t>
      </w:r>
      <w:proofErr w:type="spellEnd"/>
      <w:r w:rsidRPr="002D31C9">
        <w:rPr>
          <w:rFonts w:ascii="Arial" w:hAnsi="Arial" w:cs="Arial"/>
          <w:sz w:val="20"/>
          <w:szCs w:val="20"/>
        </w:rPr>
        <w:t>, 56, 82-92.</w:t>
      </w:r>
    </w:p>
    <w:p w14:paraId="42145B5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Chen, G., Zheng, D., Feng, N., Zhou, H., Mu, D., Zhao, L., Shen, X., Rao, G., Meng, F., Huang, A. (2022). Physiological Mechanisms of ABA-Induced Salinity Tolerance in Leaves and Roots of Rice. </w:t>
      </w:r>
      <w:r w:rsidRPr="002D31C9">
        <w:rPr>
          <w:rStyle w:val="nfase"/>
          <w:rFonts w:ascii="Arial" w:hAnsi="Arial" w:cs="Arial"/>
          <w:sz w:val="20"/>
          <w:szCs w:val="20"/>
        </w:rPr>
        <w:t>Scientific Reports</w:t>
      </w:r>
      <w:r w:rsidRPr="002D31C9">
        <w:rPr>
          <w:rFonts w:ascii="Arial" w:hAnsi="Arial" w:cs="Arial"/>
          <w:sz w:val="20"/>
          <w:szCs w:val="20"/>
        </w:rPr>
        <w:t xml:space="preserve">, 12, 11408. </w:t>
      </w:r>
      <w:hyperlink r:id="rId44" w:tgtFrame="_new" w:history="1">
        <w:r w:rsidRPr="002D31C9">
          <w:rPr>
            <w:rStyle w:val="Hyperlink"/>
            <w:rFonts w:ascii="Arial" w:hAnsi="Arial" w:cs="Arial"/>
            <w:sz w:val="20"/>
            <w:szCs w:val="20"/>
          </w:rPr>
          <w:t>https://doi.org/10.1038/s41598-022-11408-0</w:t>
        </w:r>
      </w:hyperlink>
    </w:p>
    <w:p w14:paraId="22008EA4"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Mu, D.W., Feng, N.J., Zheng, D.F., Zhou, H., Liu, L., Chen, G.J., Mu, B. (2022). Physiological Mechanism of Exogenous </w:t>
      </w:r>
      <w:proofErr w:type="spellStart"/>
      <w:r w:rsidRPr="002D31C9">
        <w:rPr>
          <w:rFonts w:ascii="Arial" w:hAnsi="Arial" w:cs="Arial"/>
          <w:sz w:val="20"/>
          <w:szCs w:val="20"/>
        </w:rPr>
        <w:t>Brassinolide</w:t>
      </w:r>
      <w:proofErr w:type="spellEnd"/>
      <w:r w:rsidRPr="002D31C9">
        <w:rPr>
          <w:rFonts w:ascii="Arial" w:hAnsi="Arial" w:cs="Arial"/>
          <w:sz w:val="20"/>
          <w:szCs w:val="20"/>
        </w:rPr>
        <w:t xml:space="preserve"> Alleviating Salt Stress Injury in Rice Seedlings. </w:t>
      </w:r>
      <w:r w:rsidRPr="002D31C9">
        <w:rPr>
          <w:rStyle w:val="nfase"/>
          <w:rFonts w:ascii="Arial" w:hAnsi="Arial" w:cs="Arial"/>
          <w:sz w:val="20"/>
          <w:szCs w:val="20"/>
        </w:rPr>
        <w:t>Scientific Reports</w:t>
      </w:r>
      <w:r w:rsidRPr="002D31C9">
        <w:rPr>
          <w:rFonts w:ascii="Arial" w:hAnsi="Arial" w:cs="Arial"/>
          <w:sz w:val="20"/>
          <w:szCs w:val="20"/>
        </w:rPr>
        <w:t xml:space="preserve">, 12(1), 20439. </w:t>
      </w:r>
      <w:hyperlink r:id="rId45" w:tgtFrame="_new" w:history="1">
        <w:r w:rsidRPr="002D31C9">
          <w:rPr>
            <w:rStyle w:val="Hyperlink"/>
            <w:rFonts w:ascii="Arial" w:hAnsi="Arial" w:cs="Arial"/>
            <w:sz w:val="20"/>
            <w:szCs w:val="20"/>
          </w:rPr>
          <w:t>https://doi.org/10.1038/s41598-022-24747-9</w:t>
        </w:r>
      </w:hyperlink>
    </w:p>
    <w:p w14:paraId="0A6CFD5A"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Taffouo</w:t>
      </w:r>
      <w:proofErr w:type="spellEnd"/>
      <w:r w:rsidRPr="002D31C9">
        <w:rPr>
          <w:rFonts w:ascii="Arial" w:hAnsi="Arial" w:cs="Arial"/>
          <w:sz w:val="20"/>
          <w:szCs w:val="20"/>
        </w:rPr>
        <w:t>, V.D., Wamba, O.F., Youmbi, E., Nono, G.V., Akoa, A. (2010). Growth, Yield, Water Status and Ionic Distribution Response of Three Bambara Groundnut (</w:t>
      </w:r>
      <w:r w:rsidRPr="002D31C9">
        <w:rPr>
          <w:rStyle w:val="nfase"/>
          <w:rFonts w:ascii="Arial" w:hAnsi="Arial" w:cs="Arial"/>
          <w:sz w:val="20"/>
          <w:szCs w:val="20"/>
        </w:rPr>
        <w:t>Vigna subterranea</w:t>
      </w:r>
      <w:r w:rsidRPr="002D31C9">
        <w:rPr>
          <w:rFonts w:ascii="Arial" w:hAnsi="Arial" w:cs="Arial"/>
          <w:sz w:val="20"/>
          <w:szCs w:val="20"/>
        </w:rPr>
        <w:t xml:space="preserve"> (L.) </w:t>
      </w:r>
      <w:proofErr w:type="spellStart"/>
      <w:r w:rsidRPr="002D31C9">
        <w:rPr>
          <w:rFonts w:ascii="Arial" w:hAnsi="Arial" w:cs="Arial"/>
          <w:sz w:val="20"/>
          <w:szCs w:val="20"/>
        </w:rPr>
        <w:t>Verdc</w:t>
      </w:r>
      <w:proofErr w:type="spellEnd"/>
      <w:r w:rsidRPr="002D31C9">
        <w:rPr>
          <w:rFonts w:ascii="Arial" w:hAnsi="Arial" w:cs="Arial"/>
          <w:sz w:val="20"/>
          <w:szCs w:val="20"/>
        </w:rPr>
        <w:t xml:space="preserve">.) Landraces Grown under Saline Conditions. </w:t>
      </w:r>
      <w:r w:rsidRPr="002D31C9">
        <w:rPr>
          <w:rStyle w:val="nfase"/>
          <w:rFonts w:ascii="Arial" w:hAnsi="Arial" w:cs="Arial"/>
          <w:sz w:val="20"/>
          <w:szCs w:val="20"/>
        </w:rPr>
        <w:t>International Journal of Botany</w:t>
      </w:r>
      <w:r w:rsidRPr="002D31C9">
        <w:rPr>
          <w:rFonts w:ascii="Arial" w:hAnsi="Arial" w:cs="Arial"/>
          <w:sz w:val="20"/>
          <w:szCs w:val="20"/>
        </w:rPr>
        <w:t xml:space="preserve">, 6(1), 53-58. </w:t>
      </w:r>
      <w:hyperlink r:id="rId46" w:tgtFrame="_new" w:history="1">
        <w:r w:rsidRPr="002D31C9">
          <w:rPr>
            <w:rStyle w:val="Hyperlink"/>
            <w:rFonts w:ascii="Arial" w:hAnsi="Arial" w:cs="Arial"/>
            <w:sz w:val="20"/>
            <w:szCs w:val="20"/>
          </w:rPr>
          <w:t>https://doi.org/10.3923/ijb.2010.53.58</w:t>
        </w:r>
      </w:hyperlink>
    </w:p>
    <w:p w14:paraId="12401C05"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lastRenderedPageBreak/>
        <w:t>Netondo</w:t>
      </w:r>
      <w:proofErr w:type="spellEnd"/>
      <w:r w:rsidRPr="002D31C9">
        <w:rPr>
          <w:rFonts w:ascii="Arial" w:hAnsi="Arial" w:cs="Arial"/>
          <w:sz w:val="20"/>
          <w:szCs w:val="20"/>
        </w:rPr>
        <w:t xml:space="preserve">, G.W., Onyango, J.C., Beck, E. (2004). Sorghum and Salinity. </w:t>
      </w:r>
      <w:r w:rsidRPr="002D31C9">
        <w:rPr>
          <w:rStyle w:val="nfase"/>
          <w:rFonts w:ascii="Arial" w:hAnsi="Arial" w:cs="Arial"/>
          <w:sz w:val="20"/>
          <w:szCs w:val="20"/>
        </w:rPr>
        <w:t>Crop Science</w:t>
      </w:r>
      <w:r w:rsidRPr="002D31C9">
        <w:rPr>
          <w:rFonts w:ascii="Arial" w:hAnsi="Arial" w:cs="Arial"/>
          <w:sz w:val="20"/>
          <w:szCs w:val="20"/>
        </w:rPr>
        <w:t xml:space="preserve">, 44(3), 797-805. </w:t>
      </w:r>
      <w:hyperlink r:id="rId47" w:tgtFrame="_new" w:history="1">
        <w:r w:rsidRPr="002D31C9">
          <w:rPr>
            <w:rStyle w:val="Hyperlink"/>
            <w:rFonts w:ascii="Arial" w:hAnsi="Arial" w:cs="Arial"/>
            <w:sz w:val="20"/>
            <w:szCs w:val="20"/>
          </w:rPr>
          <w:t>https://doi.org/10.2135/cropsci2004.0797</w:t>
        </w:r>
      </w:hyperlink>
    </w:p>
    <w:p w14:paraId="407FB9BE"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1" w:name="_Hlk202866839"/>
      <w:proofErr w:type="spellStart"/>
      <w:r w:rsidRPr="002D31C9">
        <w:rPr>
          <w:rFonts w:ascii="Arial" w:hAnsi="Arial" w:cs="Arial"/>
          <w:sz w:val="20"/>
          <w:szCs w:val="20"/>
        </w:rPr>
        <w:t>Ologundudu</w:t>
      </w:r>
      <w:proofErr w:type="spellEnd"/>
      <w:r w:rsidRPr="002D31C9">
        <w:rPr>
          <w:rFonts w:ascii="Arial" w:hAnsi="Arial" w:cs="Arial"/>
          <w:sz w:val="20"/>
          <w:szCs w:val="20"/>
        </w:rPr>
        <w:t xml:space="preserve">, A.F., </w:t>
      </w:r>
      <w:proofErr w:type="spellStart"/>
      <w:r w:rsidRPr="002D31C9">
        <w:rPr>
          <w:rFonts w:ascii="Arial" w:hAnsi="Arial" w:cs="Arial"/>
          <w:sz w:val="20"/>
          <w:szCs w:val="20"/>
        </w:rPr>
        <w:t>Adelusi</w:t>
      </w:r>
      <w:proofErr w:type="spellEnd"/>
      <w:r w:rsidRPr="002D31C9">
        <w:rPr>
          <w:rFonts w:ascii="Arial" w:hAnsi="Arial" w:cs="Arial"/>
          <w:sz w:val="20"/>
          <w:szCs w:val="20"/>
        </w:rPr>
        <w:t>, A.A., Akinwale, R.O. (2014</w:t>
      </w:r>
      <w:bookmarkEnd w:id="11"/>
      <w:r w:rsidRPr="002D31C9">
        <w:rPr>
          <w:rFonts w:ascii="Arial" w:hAnsi="Arial" w:cs="Arial"/>
          <w:sz w:val="20"/>
          <w:szCs w:val="20"/>
        </w:rPr>
        <w:t>). Effect of Salt Stress on Germination and Growth Parameters of Rice (</w:t>
      </w:r>
      <w:r w:rsidRPr="002D31C9">
        <w:rPr>
          <w:rStyle w:val="nfase"/>
          <w:rFonts w:ascii="Arial" w:hAnsi="Arial" w:cs="Arial"/>
          <w:sz w:val="20"/>
          <w:szCs w:val="20"/>
        </w:rPr>
        <w:t>Oryza sativa L.</w:t>
      </w:r>
      <w:r w:rsidRPr="002D31C9">
        <w:rPr>
          <w:rFonts w:ascii="Arial" w:hAnsi="Arial" w:cs="Arial"/>
          <w:sz w:val="20"/>
          <w:szCs w:val="20"/>
        </w:rPr>
        <w:t xml:space="preserve">). </w:t>
      </w:r>
      <w:proofErr w:type="spellStart"/>
      <w:r w:rsidRPr="002D31C9">
        <w:rPr>
          <w:rStyle w:val="nfase"/>
          <w:rFonts w:ascii="Arial" w:hAnsi="Arial" w:cs="Arial"/>
          <w:sz w:val="20"/>
          <w:szCs w:val="20"/>
        </w:rPr>
        <w:t>Notulae</w:t>
      </w:r>
      <w:proofErr w:type="spellEnd"/>
      <w:r w:rsidRPr="002D31C9">
        <w:rPr>
          <w:rStyle w:val="nfase"/>
          <w:rFonts w:ascii="Arial" w:hAnsi="Arial" w:cs="Arial"/>
          <w:sz w:val="20"/>
          <w:szCs w:val="20"/>
        </w:rPr>
        <w:t xml:space="preserve"> Scientia </w:t>
      </w:r>
      <w:proofErr w:type="spellStart"/>
      <w:r w:rsidRPr="002D31C9">
        <w:rPr>
          <w:rStyle w:val="nfase"/>
          <w:rFonts w:ascii="Arial" w:hAnsi="Arial" w:cs="Arial"/>
          <w:sz w:val="20"/>
          <w:szCs w:val="20"/>
        </w:rPr>
        <w:t>Biologicae</w:t>
      </w:r>
      <w:proofErr w:type="spellEnd"/>
      <w:r w:rsidRPr="002D31C9">
        <w:rPr>
          <w:rFonts w:ascii="Arial" w:hAnsi="Arial" w:cs="Arial"/>
          <w:sz w:val="20"/>
          <w:szCs w:val="20"/>
        </w:rPr>
        <w:t xml:space="preserve">, 6(2), 6. </w:t>
      </w:r>
      <w:hyperlink r:id="rId48" w:tgtFrame="_new" w:history="1">
        <w:r w:rsidRPr="002D31C9">
          <w:rPr>
            <w:rStyle w:val="Hyperlink"/>
            <w:rFonts w:ascii="Arial" w:hAnsi="Arial" w:cs="Arial"/>
            <w:sz w:val="20"/>
            <w:szCs w:val="20"/>
          </w:rPr>
          <w:t>https://doi.org/10.15835/nsb629163</w:t>
        </w:r>
      </w:hyperlink>
    </w:p>
    <w:p w14:paraId="7F058443"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t>Z</w:t>
      </w:r>
      <w:bookmarkStart w:id="12" w:name="_Hlk202866461"/>
      <w:r w:rsidRPr="002D31C9">
        <w:rPr>
          <w:rFonts w:ascii="Arial" w:hAnsi="Arial" w:cs="Arial"/>
          <w:sz w:val="20"/>
          <w:szCs w:val="20"/>
          <w:lang w:val="sv-SE"/>
        </w:rPr>
        <w:t>hao, X., Wang, W., Zhang, F., Deng, J., Li, Z., Fu, B. (2014</w:t>
      </w:r>
      <w:bookmarkEnd w:id="12"/>
      <w:r w:rsidRPr="002D31C9">
        <w:rPr>
          <w:rFonts w:ascii="Arial" w:hAnsi="Arial" w:cs="Arial"/>
          <w:sz w:val="20"/>
          <w:szCs w:val="20"/>
          <w:lang w:val="sv-SE"/>
        </w:rPr>
        <w:t xml:space="preserve">). </w:t>
      </w:r>
      <w:r w:rsidRPr="002D31C9">
        <w:rPr>
          <w:rFonts w:ascii="Arial" w:hAnsi="Arial" w:cs="Arial"/>
          <w:sz w:val="20"/>
          <w:szCs w:val="20"/>
        </w:rPr>
        <w:t xml:space="preserve">Comparative Metabolite Profiling of Two Rice Genotypes with Contrasting Salt Stress Tolerance at the Seedling Stage. </w:t>
      </w:r>
      <w:proofErr w:type="spellStart"/>
      <w:r w:rsidRPr="002D31C9">
        <w:rPr>
          <w:rStyle w:val="nfase"/>
          <w:rFonts w:ascii="Arial" w:hAnsi="Arial" w:cs="Arial"/>
          <w:sz w:val="20"/>
          <w:szCs w:val="20"/>
        </w:rPr>
        <w:t>PLoS</w:t>
      </w:r>
      <w:proofErr w:type="spellEnd"/>
      <w:r w:rsidRPr="002D31C9">
        <w:rPr>
          <w:rStyle w:val="nfase"/>
          <w:rFonts w:ascii="Arial" w:hAnsi="Arial" w:cs="Arial"/>
          <w:sz w:val="20"/>
          <w:szCs w:val="20"/>
        </w:rPr>
        <w:t xml:space="preserve"> ONE</w:t>
      </w:r>
      <w:r w:rsidRPr="002D31C9">
        <w:rPr>
          <w:rFonts w:ascii="Arial" w:hAnsi="Arial" w:cs="Arial"/>
          <w:sz w:val="20"/>
          <w:szCs w:val="20"/>
        </w:rPr>
        <w:t xml:space="preserve">, 9(9), e108020. </w:t>
      </w:r>
      <w:hyperlink r:id="rId49" w:tgtFrame="_new" w:history="1">
        <w:r w:rsidRPr="002D31C9">
          <w:rPr>
            <w:rStyle w:val="Hyperlink"/>
            <w:rFonts w:ascii="Arial" w:hAnsi="Arial" w:cs="Arial"/>
            <w:sz w:val="20"/>
            <w:szCs w:val="20"/>
          </w:rPr>
          <w:t>https://doi.org/10.1371/journal.pone.0108020</w:t>
        </w:r>
      </w:hyperlink>
    </w:p>
    <w:p w14:paraId="11B0012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3" w:name="_Hlk202866564"/>
      <w:r w:rsidRPr="002D31C9">
        <w:rPr>
          <w:rFonts w:ascii="Arial" w:hAnsi="Arial" w:cs="Arial"/>
          <w:sz w:val="20"/>
          <w:szCs w:val="20"/>
          <w:lang w:val="pt-BR"/>
        </w:rPr>
        <w:t>Kibria, M.G., Hossain, M., Murata, Y., Hoque, M.A. (2017</w:t>
      </w:r>
      <w:bookmarkEnd w:id="13"/>
      <w:r w:rsidRPr="002D31C9">
        <w:rPr>
          <w:rFonts w:ascii="Arial" w:hAnsi="Arial" w:cs="Arial"/>
          <w:sz w:val="20"/>
          <w:szCs w:val="20"/>
          <w:lang w:val="pt-BR"/>
        </w:rPr>
        <w:t xml:space="preserve">). </w:t>
      </w:r>
      <w:r w:rsidRPr="002D31C9">
        <w:rPr>
          <w:rFonts w:ascii="Arial" w:hAnsi="Arial" w:cs="Arial"/>
          <w:sz w:val="20"/>
          <w:szCs w:val="20"/>
        </w:rPr>
        <w:t xml:space="preserve">Antioxidant </w:t>
      </w:r>
      <w:proofErr w:type="spellStart"/>
      <w:r w:rsidRPr="002D31C9">
        <w:rPr>
          <w:rFonts w:ascii="Arial" w:hAnsi="Arial" w:cs="Arial"/>
          <w:sz w:val="20"/>
          <w:szCs w:val="20"/>
        </w:rPr>
        <w:t>Defense</w:t>
      </w:r>
      <w:proofErr w:type="spellEnd"/>
      <w:r w:rsidRPr="002D31C9">
        <w:rPr>
          <w:rFonts w:ascii="Arial" w:hAnsi="Arial" w:cs="Arial"/>
          <w:sz w:val="20"/>
          <w:szCs w:val="20"/>
        </w:rPr>
        <w:t xml:space="preserve"> Mechanisms of Salinity Tolerance in Rice Genotypes. </w:t>
      </w:r>
      <w:r w:rsidRPr="002D31C9">
        <w:rPr>
          <w:rStyle w:val="nfase"/>
          <w:rFonts w:ascii="Arial" w:hAnsi="Arial" w:cs="Arial"/>
          <w:sz w:val="20"/>
          <w:szCs w:val="20"/>
        </w:rPr>
        <w:t>Rice Science</w:t>
      </w:r>
      <w:r w:rsidRPr="002D31C9">
        <w:rPr>
          <w:rFonts w:ascii="Arial" w:hAnsi="Arial" w:cs="Arial"/>
          <w:sz w:val="20"/>
          <w:szCs w:val="20"/>
        </w:rPr>
        <w:t xml:space="preserve">, 24, 155-162. </w:t>
      </w:r>
      <w:hyperlink r:id="rId50" w:tgtFrame="_new" w:history="1">
        <w:r w:rsidRPr="002D31C9">
          <w:rPr>
            <w:rStyle w:val="Hyperlink"/>
            <w:rFonts w:ascii="Arial" w:hAnsi="Arial" w:cs="Arial"/>
            <w:sz w:val="20"/>
            <w:szCs w:val="20"/>
          </w:rPr>
          <w:t>https://doi.org/10.1016/j.rsci.2017.05.001</w:t>
        </w:r>
      </w:hyperlink>
    </w:p>
    <w:p w14:paraId="282987C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Chetana, M., Pallaiv, C., Mandavia, M.K., Raval, L., Amol, G. (2014). </w:t>
      </w:r>
      <w:r w:rsidRPr="002D31C9">
        <w:rPr>
          <w:rFonts w:ascii="Arial" w:hAnsi="Arial" w:cs="Arial"/>
          <w:sz w:val="20"/>
          <w:szCs w:val="20"/>
        </w:rPr>
        <w:t xml:space="preserve">Influence of </w:t>
      </w:r>
      <w:proofErr w:type="spellStart"/>
      <w:r w:rsidRPr="002D31C9">
        <w:rPr>
          <w:rFonts w:ascii="Arial" w:hAnsi="Arial" w:cs="Arial"/>
          <w:sz w:val="20"/>
          <w:szCs w:val="20"/>
        </w:rPr>
        <w:t>Brassinolide</w:t>
      </w:r>
      <w:proofErr w:type="spellEnd"/>
      <w:r w:rsidRPr="002D31C9">
        <w:rPr>
          <w:rFonts w:ascii="Arial" w:hAnsi="Arial" w:cs="Arial"/>
          <w:sz w:val="20"/>
          <w:szCs w:val="20"/>
        </w:rPr>
        <w:t xml:space="preserve"> and Salicylic Acid on Biochemical Parameters of Wheat (</w:t>
      </w:r>
      <w:r w:rsidRPr="002D31C9">
        <w:rPr>
          <w:rStyle w:val="nfase"/>
          <w:rFonts w:ascii="Arial" w:hAnsi="Arial" w:cs="Arial"/>
          <w:sz w:val="20"/>
          <w:szCs w:val="20"/>
        </w:rPr>
        <w:t>Triticum aestivum L.</w:t>
      </w:r>
      <w:r w:rsidRPr="002D31C9">
        <w:rPr>
          <w:rFonts w:ascii="Arial" w:hAnsi="Arial" w:cs="Arial"/>
          <w:sz w:val="20"/>
          <w:szCs w:val="20"/>
        </w:rPr>
        <w:t xml:space="preserve">) under Salinity Stress. </w:t>
      </w:r>
      <w:r w:rsidRPr="002D31C9">
        <w:rPr>
          <w:rStyle w:val="nfase"/>
          <w:rFonts w:ascii="Arial" w:hAnsi="Arial" w:cs="Arial"/>
          <w:sz w:val="20"/>
          <w:szCs w:val="20"/>
        </w:rPr>
        <w:t>Indian Journal of Agricultural Biochemistry</w:t>
      </w:r>
      <w:r w:rsidRPr="002D31C9">
        <w:rPr>
          <w:rFonts w:ascii="Arial" w:hAnsi="Arial" w:cs="Arial"/>
          <w:sz w:val="20"/>
          <w:szCs w:val="20"/>
        </w:rPr>
        <w:t xml:space="preserve">, 27, 73–76. </w:t>
      </w:r>
      <w:hyperlink r:id="rId51" w:tgtFrame="_new" w:history="1">
        <w:r w:rsidRPr="002D31C9">
          <w:rPr>
            <w:rStyle w:val="Hyperlink"/>
            <w:rFonts w:ascii="Arial" w:hAnsi="Arial" w:cs="Arial"/>
            <w:sz w:val="20"/>
            <w:szCs w:val="20"/>
          </w:rPr>
          <w:t>https://www.cabidigitallibrary.org/doi/pdf/10.5555/20143271740</w:t>
        </w:r>
      </w:hyperlink>
    </w:p>
    <w:p w14:paraId="5C4B40EC"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pt-BR"/>
        </w:rPr>
        <w:t xml:space="preserve">Pai, R., Sharma, P.K. (2023). </w:t>
      </w:r>
      <w:r w:rsidRPr="002D31C9">
        <w:rPr>
          <w:rFonts w:ascii="Arial" w:hAnsi="Arial" w:cs="Arial"/>
          <w:sz w:val="20"/>
          <w:szCs w:val="20"/>
        </w:rPr>
        <w:t xml:space="preserve">Exogenous Application of Salicylic Acid Mitigates Salt Stress in Rice Seedlings by Regulating Plant Water Status and Preventing Oxidative Damage. </w:t>
      </w:r>
      <w:r w:rsidRPr="002D31C9">
        <w:rPr>
          <w:rStyle w:val="nfase"/>
          <w:rFonts w:ascii="Arial" w:hAnsi="Arial" w:cs="Arial"/>
          <w:sz w:val="20"/>
          <w:szCs w:val="20"/>
        </w:rPr>
        <w:t>Environmental and Experimental Biology</w:t>
      </w:r>
      <w:r w:rsidRPr="002D31C9">
        <w:rPr>
          <w:rFonts w:ascii="Arial" w:hAnsi="Arial" w:cs="Arial"/>
          <w:sz w:val="20"/>
          <w:szCs w:val="20"/>
        </w:rPr>
        <w:t xml:space="preserve">, 20(4), 193–204. </w:t>
      </w:r>
      <w:hyperlink r:id="rId52" w:tgtFrame="_new" w:history="1">
        <w:r w:rsidRPr="002D31C9">
          <w:rPr>
            <w:rStyle w:val="Hyperlink"/>
            <w:rFonts w:ascii="Arial" w:hAnsi="Arial" w:cs="Arial"/>
            <w:sz w:val="20"/>
            <w:szCs w:val="20"/>
          </w:rPr>
          <w:t>https://doi.org/10.22364/eeb.20.18</w:t>
        </w:r>
      </w:hyperlink>
    </w:p>
    <w:p w14:paraId="4E06973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4" w:name="_Hlk202866666"/>
      <w:r w:rsidRPr="002D31C9">
        <w:rPr>
          <w:rFonts w:ascii="Arial" w:hAnsi="Arial" w:cs="Arial"/>
          <w:sz w:val="20"/>
          <w:szCs w:val="20"/>
        </w:rPr>
        <w:t>Habib, N., Akram, M.S., Javed, M.T., Azeem, M., Ali, Q., Shaheen, H.L., Shaheen, H.L., Ashraf, M. (2016</w:t>
      </w:r>
      <w:bookmarkEnd w:id="14"/>
      <w:r w:rsidRPr="002D31C9">
        <w:rPr>
          <w:rFonts w:ascii="Arial" w:hAnsi="Arial" w:cs="Arial"/>
          <w:sz w:val="20"/>
          <w:szCs w:val="20"/>
        </w:rPr>
        <w:t xml:space="preserve">). Nitric Oxide Regulated Improvement in Growth and Yield of Rice Plants Grown under Salinity Stress: Antioxidant </w:t>
      </w:r>
      <w:proofErr w:type="spellStart"/>
      <w:r w:rsidRPr="002D31C9">
        <w:rPr>
          <w:rFonts w:ascii="Arial" w:hAnsi="Arial" w:cs="Arial"/>
          <w:sz w:val="20"/>
          <w:szCs w:val="20"/>
        </w:rPr>
        <w:t>Defense</w:t>
      </w:r>
      <w:proofErr w:type="spellEnd"/>
      <w:r w:rsidRPr="002D31C9">
        <w:rPr>
          <w:rFonts w:ascii="Arial" w:hAnsi="Arial" w:cs="Arial"/>
          <w:sz w:val="20"/>
          <w:szCs w:val="20"/>
        </w:rPr>
        <w:t xml:space="preserve"> System. </w:t>
      </w:r>
      <w:r w:rsidRPr="002D31C9">
        <w:rPr>
          <w:rStyle w:val="nfase"/>
          <w:rFonts w:ascii="Arial" w:hAnsi="Arial" w:cs="Arial"/>
          <w:sz w:val="20"/>
          <w:szCs w:val="20"/>
        </w:rPr>
        <w:t>Applied Ecology and Environmental Research</w:t>
      </w:r>
      <w:r w:rsidRPr="002D31C9">
        <w:rPr>
          <w:rFonts w:ascii="Arial" w:hAnsi="Arial" w:cs="Arial"/>
          <w:sz w:val="20"/>
          <w:szCs w:val="20"/>
        </w:rPr>
        <w:t xml:space="preserve">, 14, 91-105. </w:t>
      </w:r>
      <w:hyperlink r:id="rId53" w:tgtFrame="_new" w:history="1">
        <w:r w:rsidRPr="002D31C9">
          <w:rPr>
            <w:rStyle w:val="Hyperlink"/>
            <w:rFonts w:ascii="Arial" w:hAnsi="Arial" w:cs="Arial"/>
            <w:sz w:val="20"/>
            <w:szCs w:val="20"/>
          </w:rPr>
          <w:t>http://dx.doi.org/10.15666/aeer/1405_091105</w:t>
        </w:r>
      </w:hyperlink>
    </w:p>
    <w:p w14:paraId="6DE31D7F"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5" w:name="_Hlk202867767"/>
      <w:r w:rsidRPr="002D31C9">
        <w:rPr>
          <w:rFonts w:ascii="Arial" w:hAnsi="Arial" w:cs="Arial"/>
          <w:sz w:val="20"/>
          <w:szCs w:val="20"/>
        </w:rPr>
        <w:t>Jain, M., Mathur, G., Koul, S., Sarin, N.B. (2001</w:t>
      </w:r>
      <w:bookmarkEnd w:id="15"/>
      <w:r w:rsidRPr="002D31C9">
        <w:rPr>
          <w:rFonts w:ascii="Arial" w:hAnsi="Arial" w:cs="Arial"/>
          <w:sz w:val="20"/>
          <w:szCs w:val="20"/>
        </w:rPr>
        <w:t>). Ameliorative Effects of Proline on Salt Stress-Induced Lipid Peroxidation in Cell Lines of Groundnut (</w:t>
      </w:r>
      <w:r w:rsidRPr="002D31C9">
        <w:rPr>
          <w:rStyle w:val="nfase"/>
          <w:rFonts w:ascii="Arial" w:hAnsi="Arial" w:cs="Arial"/>
          <w:sz w:val="20"/>
          <w:szCs w:val="20"/>
        </w:rPr>
        <w:t>Arachis hypogea L.</w:t>
      </w:r>
      <w:r w:rsidRPr="002D31C9">
        <w:rPr>
          <w:rFonts w:ascii="Arial" w:hAnsi="Arial" w:cs="Arial"/>
          <w:sz w:val="20"/>
          <w:szCs w:val="20"/>
        </w:rPr>
        <w:t xml:space="preserve">). </w:t>
      </w:r>
      <w:r w:rsidRPr="002D31C9">
        <w:rPr>
          <w:rStyle w:val="nfase"/>
          <w:rFonts w:ascii="Arial" w:hAnsi="Arial" w:cs="Arial"/>
          <w:sz w:val="20"/>
          <w:szCs w:val="20"/>
        </w:rPr>
        <w:t>Plant Cell Reports</w:t>
      </w:r>
      <w:r w:rsidRPr="002D31C9">
        <w:rPr>
          <w:rFonts w:ascii="Arial" w:hAnsi="Arial" w:cs="Arial"/>
          <w:sz w:val="20"/>
          <w:szCs w:val="20"/>
        </w:rPr>
        <w:t xml:space="preserve">, 20, 463–468. </w:t>
      </w:r>
      <w:hyperlink r:id="rId54" w:tgtFrame="_new" w:history="1">
        <w:r w:rsidRPr="002D31C9">
          <w:rPr>
            <w:rStyle w:val="Hyperlink"/>
            <w:rFonts w:ascii="Arial" w:hAnsi="Arial" w:cs="Arial"/>
            <w:sz w:val="20"/>
            <w:szCs w:val="20"/>
          </w:rPr>
          <w:t>https://doi.org/10.1007/s002990100353</w:t>
        </w:r>
      </w:hyperlink>
    </w:p>
    <w:p w14:paraId="3CEF8427"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Kim, Y., Mun, B.G., Khan, A.L., Waqas, N., Shahzad, R., Imran, M., Lee, I.J. (2018). Regulation of Reactive Oxygen and Nitrogen Species by Salicylic Acid in Rice Plants under Salinity Stress Conditions. </w:t>
      </w:r>
      <w:proofErr w:type="spellStart"/>
      <w:r w:rsidRPr="002D31C9">
        <w:rPr>
          <w:rStyle w:val="nfase"/>
          <w:rFonts w:ascii="Arial" w:hAnsi="Arial" w:cs="Arial"/>
          <w:sz w:val="20"/>
          <w:szCs w:val="20"/>
        </w:rPr>
        <w:t>PLoS</w:t>
      </w:r>
      <w:proofErr w:type="spellEnd"/>
      <w:r w:rsidRPr="002D31C9">
        <w:rPr>
          <w:rStyle w:val="nfase"/>
          <w:rFonts w:ascii="Arial" w:hAnsi="Arial" w:cs="Arial"/>
          <w:sz w:val="20"/>
          <w:szCs w:val="20"/>
        </w:rPr>
        <w:t xml:space="preserve"> ONE</w:t>
      </w:r>
      <w:r w:rsidRPr="002D31C9">
        <w:rPr>
          <w:rFonts w:ascii="Arial" w:hAnsi="Arial" w:cs="Arial"/>
          <w:sz w:val="20"/>
          <w:szCs w:val="20"/>
        </w:rPr>
        <w:t xml:space="preserve">, 13(3), e0192650. </w:t>
      </w:r>
      <w:hyperlink r:id="rId55" w:tgtFrame="_new" w:history="1">
        <w:r w:rsidRPr="002D31C9">
          <w:rPr>
            <w:rStyle w:val="Hyperlink"/>
            <w:rFonts w:ascii="Arial" w:hAnsi="Arial" w:cs="Arial"/>
            <w:sz w:val="20"/>
            <w:szCs w:val="20"/>
          </w:rPr>
          <w:t>https://doi.org/10.1371/journal.pone.0192650</w:t>
        </w:r>
      </w:hyperlink>
    </w:p>
    <w:p w14:paraId="4BAD9F1D"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bookmarkStart w:id="16" w:name="_Hlk202867874"/>
      <w:r w:rsidRPr="002D31C9">
        <w:rPr>
          <w:rFonts w:ascii="Arial" w:hAnsi="Arial" w:cs="Arial"/>
          <w:sz w:val="20"/>
          <w:szCs w:val="20"/>
        </w:rPr>
        <w:t xml:space="preserve">Sanam, S.A., </w:t>
      </w:r>
      <w:proofErr w:type="spellStart"/>
      <w:r w:rsidRPr="002D31C9">
        <w:rPr>
          <w:rFonts w:ascii="Arial" w:hAnsi="Arial" w:cs="Arial"/>
          <w:sz w:val="20"/>
          <w:szCs w:val="20"/>
        </w:rPr>
        <w:t>Zavareh</w:t>
      </w:r>
      <w:proofErr w:type="spellEnd"/>
      <w:r w:rsidRPr="002D31C9">
        <w:rPr>
          <w:rFonts w:ascii="Arial" w:hAnsi="Arial" w:cs="Arial"/>
          <w:sz w:val="20"/>
          <w:szCs w:val="20"/>
        </w:rPr>
        <w:t>, M., Hashempour, A. (2015</w:t>
      </w:r>
      <w:bookmarkEnd w:id="16"/>
      <w:r w:rsidRPr="002D31C9">
        <w:rPr>
          <w:rFonts w:ascii="Arial" w:hAnsi="Arial" w:cs="Arial"/>
          <w:sz w:val="20"/>
          <w:szCs w:val="20"/>
        </w:rPr>
        <w:t>). Protective Effect of Exogenous Nitric Oxide on Alleviation of Oxidative Damage Induced by High Salinity in Rice (</w:t>
      </w:r>
      <w:r w:rsidRPr="002D31C9">
        <w:rPr>
          <w:rStyle w:val="nfase"/>
          <w:rFonts w:ascii="Arial" w:hAnsi="Arial" w:cs="Arial"/>
          <w:sz w:val="20"/>
          <w:szCs w:val="20"/>
        </w:rPr>
        <w:t>Oryza sativa L.</w:t>
      </w:r>
      <w:r w:rsidRPr="002D31C9">
        <w:rPr>
          <w:rFonts w:ascii="Arial" w:hAnsi="Arial" w:cs="Arial"/>
          <w:sz w:val="20"/>
          <w:szCs w:val="20"/>
        </w:rPr>
        <w:t xml:space="preserve">) Seedlings. </w:t>
      </w:r>
      <w:r w:rsidRPr="002D31C9">
        <w:rPr>
          <w:rStyle w:val="nfase"/>
          <w:rFonts w:ascii="Arial" w:hAnsi="Arial" w:cs="Arial"/>
          <w:sz w:val="20"/>
          <w:szCs w:val="20"/>
        </w:rPr>
        <w:t>Iran Agricultural Research</w:t>
      </w:r>
      <w:r w:rsidRPr="002D31C9">
        <w:rPr>
          <w:rFonts w:ascii="Arial" w:hAnsi="Arial" w:cs="Arial"/>
          <w:sz w:val="20"/>
          <w:szCs w:val="20"/>
        </w:rPr>
        <w:t xml:space="preserve">, 34, 63-70. </w:t>
      </w:r>
      <w:hyperlink r:id="rId56" w:tgtFrame="_new" w:history="1">
        <w:r w:rsidRPr="002D31C9">
          <w:rPr>
            <w:rStyle w:val="Hyperlink"/>
            <w:rFonts w:ascii="Arial" w:hAnsi="Arial" w:cs="Arial"/>
            <w:sz w:val="20"/>
            <w:szCs w:val="20"/>
          </w:rPr>
          <w:t>https://doi.org/10.22099/iar.2015.3066</w:t>
        </w:r>
      </w:hyperlink>
    </w:p>
    <w:p w14:paraId="5EBDF84B"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Sharma, I., Ching, E., Saini, S., Bhardwaj, R., Pati, P.K. (2013). Exogenous Application of </w:t>
      </w:r>
      <w:proofErr w:type="spellStart"/>
      <w:r w:rsidRPr="002D31C9">
        <w:rPr>
          <w:rFonts w:ascii="Arial" w:hAnsi="Arial" w:cs="Arial"/>
          <w:sz w:val="20"/>
          <w:szCs w:val="20"/>
        </w:rPr>
        <w:t>Brassinosteroid</w:t>
      </w:r>
      <w:proofErr w:type="spellEnd"/>
      <w:r w:rsidRPr="002D31C9">
        <w:rPr>
          <w:rFonts w:ascii="Arial" w:hAnsi="Arial" w:cs="Arial"/>
          <w:sz w:val="20"/>
          <w:szCs w:val="20"/>
        </w:rPr>
        <w:t xml:space="preserve"> Offers Tolerance to Salinity by Altering Stress Responses in Rice Variety Pusa Basmati-1. </w:t>
      </w:r>
      <w:r w:rsidRPr="002D31C9">
        <w:rPr>
          <w:rStyle w:val="nfase"/>
          <w:rFonts w:ascii="Arial" w:hAnsi="Arial" w:cs="Arial"/>
          <w:sz w:val="20"/>
          <w:szCs w:val="20"/>
        </w:rPr>
        <w:t>Plant Physiology and Biochemistry</w:t>
      </w:r>
      <w:r w:rsidRPr="002D31C9">
        <w:rPr>
          <w:rFonts w:ascii="Arial" w:hAnsi="Arial" w:cs="Arial"/>
          <w:sz w:val="20"/>
          <w:szCs w:val="20"/>
        </w:rPr>
        <w:t xml:space="preserve">, 69, 17–26. </w:t>
      </w:r>
      <w:hyperlink r:id="rId57" w:tgtFrame="_new" w:history="1">
        <w:r w:rsidRPr="002D31C9">
          <w:rPr>
            <w:rStyle w:val="Hyperlink"/>
            <w:rFonts w:ascii="Arial" w:hAnsi="Arial" w:cs="Arial"/>
            <w:sz w:val="20"/>
            <w:szCs w:val="20"/>
          </w:rPr>
          <w:t>https://doi.org/10.1016/j.plaphy.2013.04.013</w:t>
        </w:r>
      </w:hyperlink>
    </w:p>
    <w:p w14:paraId="38EB5081"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lang w:val="sv-SE"/>
        </w:rPr>
        <w:lastRenderedPageBreak/>
        <w:t xml:space="preserve">Pan, S., Rasul, F., Li, W., Tian, H., Mo, Z., Duan, M., Tang, X. (2013). </w:t>
      </w:r>
      <w:r w:rsidRPr="002D31C9">
        <w:rPr>
          <w:rFonts w:ascii="Arial" w:hAnsi="Arial" w:cs="Arial"/>
          <w:sz w:val="20"/>
          <w:szCs w:val="20"/>
        </w:rPr>
        <w:t>Roles of Plant Growth Regulators on Yield, Grain Qualities and Antioxidant Enzyme Activities in Super Hybrid Rice (</w:t>
      </w:r>
      <w:r w:rsidRPr="002D31C9">
        <w:rPr>
          <w:rStyle w:val="nfase"/>
          <w:rFonts w:ascii="Arial" w:hAnsi="Arial" w:cs="Arial"/>
          <w:sz w:val="20"/>
          <w:szCs w:val="20"/>
        </w:rPr>
        <w:t>Oryza sativa L.</w:t>
      </w:r>
      <w:r w:rsidRPr="002D31C9">
        <w:rPr>
          <w:rFonts w:ascii="Arial" w:hAnsi="Arial" w:cs="Arial"/>
          <w:sz w:val="20"/>
          <w:szCs w:val="20"/>
        </w:rPr>
        <w:t xml:space="preserve">). </w:t>
      </w:r>
      <w:r w:rsidRPr="002D31C9">
        <w:rPr>
          <w:rStyle w:val="nfase"/>
          <w:rFonts w:ascii="Arial" w:hAnsi="Arial" w:cs="Arial"/>
          <w:sz w:val="20"/>
          <w:szCs w:val="20"/>
        </w:rPr>
        <w:t>Rice</w:t>
      </w:r>
      <w:r w:rsidRPr="002D31C9">
        <w:rPr>
          <w:rFonts w:ascii="Arial" w:hAnsi="Arial" w:cs="Arial"/>
          <w:sz w:val="20"/>
          <w:szCs w:val="20"/>
        </w:rPr>
        <w:t xml:space="preserve">, 6, 9. </w:t>
      </w:r>
      <w:hyperlink r:id="rId58" w:tgtFrame="_new" w:history="1">
        <w:r w:rsidRPr="002D31C9">
          <w:rPr>
            <w:rStyle w:val="Hyperlink"/>
            <w:rFonts w:ascii="Arial" w:hAnsi="Arial" w:cs="Arial"/>
            <w:sz w:val="20"/>
            <w:szCs w:val="20"/>
          </w:rPr>
          <w:t>https://doi.org/10.1186/1939-8433-6-9</w:t>
        </w:r>
      </w:hyperlink>
    </w:p>
    <w:p w14:paraId="367C36FC"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proofErr w:type="spellStart"/>
      <w:r w:rsidRPr="002D31C9">
        <w:rPr>
          <w:rFonts w:ascii="Arial" w:hAnsi="Arial" w:cs="Arial"/>
          <w:sz w:val="20"/>
          <w:szCs w:val="20"/>
        </w:rPr>
        <w:t>Lodeyro</w:t>
      </w:r>
      <w:proofErr w:type="spellEnd"/>
      <w:r w:rsidRPr="002D31C9">
        <w:rPr>
          <w:rFonts w:ascii="Arial" w:hAnsi="Arial" w:cs="Arial"/>
          <w:sz w:val="20"/>
          <w:szCs w:val="20"/>
        </w:rPr>
        <w:t xml:space="preserve">, A.F., Carrillo, N. (2015). Salt Stress in Higher Plants: Mechanisms of Toxicity and Defensive Responses. In: B. Nath, T.M. Muller (Eds.), </w:t>
      </w:r>
      <w:r w:rsidRPr="002D31C9">
        <w:rPr>
          <w:rStyle w:val="nfase"/>
          <w:rFonts w:ascii="Arial" w:hAnsi="Arial" w:cs="Arial"/>
          <w:sz w:val="20"/>
          <w:szCs w:val="20"/>
        </w:rPr>
        <w:t>Stress Responses in Plants</w:t>
      </w:r>
      <w:r w:rsidRPr="002D31C9">
        <w:rPr>
          <w:rFonts w:ascii="Arial" w:hAnsi="Arial" w:cs="Arial"/>
          <w:sz w:val="20"/>
          <w:szCs w:val="20"/>
        </w:rPr>
        <w:t xml:space="preserve"> (pp. 87-112). Springer, Cham, Switzerland.</w:t>
      </w:r>
    </w:p>
    <w:p w14:paraId="56563E62" w14:textId="77777777" w:rsidR="002D31C9" w:rsidRPr="002D31C9" w:rsidRDefault="002D31C9" w:rsidP="002D31C9">
      <w:pPr>
        <w:pStyle w:val="NormalWeb"/>
        <w:numPr>
          <w:ilvl w:val="0"/>
          <w:numId w:val="31"/>
        </w:numPr>
        <w:spacing w:before="0" w:beforeAutospacing="0" w:after="240" w:afterAutospacing="0"/>
        <w:ind w:left="567" w:hanging="425"/>
        <w:jc w:val="both"/>
        <w:rPr>
          <w:rFonts w:ascii="Arial" w:hAnsi="Arial" w:cs="Arial"/>
          <w:sz w:val="20"/>
          <w:szCs w:val="20"/>
        </w:rPr>
      </w:pPr>
      <w:r w:rsidRPr="002D31C9">
        <w:rPr>
          <w:rFonts w:ascii="Arial" w:hAnsi="Arial" w:cs="Arial"/>
          <w:sz w:val="20"/>
          <w:szCs w:val="20"/>
        </w:rPr>
        <w:t xml:space="preserve">Garg, A.K., Kim, J.K., Owens, T.G., </w:t>
      </w:r>
      <w:proofErr w:type="spellStart"/>
      <w:r w:rsidRPr="002D31C9">
        <w:rPr>
          <w:rFonts w:ascii="Arial" w:hAnsi="Arial" w:cs="Arial"/>
          <w:sz w:val="20"/>
          <w:szCs w:val="20"/>
        </w:rPr>
        <w:t>Ranwala</w:t>
      </w:r>
      <w:proofErr w:type="spellEnd"/>
      <w:r w:rsidRPr="002D31C9">
        <w:rPr>
          <w:rFonts w:ascii="Arial" w:hAnsi="Arial" w:cs="Arial"/>
          <w:sz w:val="20"/>
          <w:szCs w:val="20"/>
        </w:rPr>
        <w:t xml:space="preserve">, A.P., Choi, Y.D., </w:t>
      </w:r>
      <w:proofErr w:type="spellStart"/>
      <w:r w:rsidRPr="002D31C9">
        <w:rPr>
          <w:rFonts w:ascii="Arial" w:hAnsi="Arial" w:cs="Arial"/>
          <w:sz w:val="20"/>
          <w:szCs w:val="20"/>
        </w:rPr>
        <w:t>Kochian</w:t>
      </w:r>
      <w:proofErr w:type="spellEnd"/>
      <w:r w:rsidRPr="002D31C9">
        <w:rPr>
          <w:rFonts w:ascii="Arial" w:hAnsi="Arial" w:cs="Arial"/>
          <w:sz w:val="20"/>
          <w:szCs w:val="20"/>
        </w:rPr>
        <w:t xml:space="preserve">, L.V. (2002). Trehalose Accumulation in Rice Plants Confers High Tolerance Levels to Different Abiotic Stresses. </w:t>
      </w:r>
      <w:r w:rsidRPr="002D31C9">
        <w:rPr>
          <w:rStyle w:val="nfase"/>
          <w:rFonts w:ascii="Arial" w:hAnsi="Arial" w:cs="Arial"/>
          <w:sz w:val="20"/>
          <w:szCs w:val="20"/>
        </w:rPr>
        <w:t>Proceedings of National Academy of Sciences USA</w:t>
      </w:r>
      <w:r w:rsidRPr="002D31C9">
        <w:rPr>
          <w:rFonts w:ascii="Arial" w:hAnsi="Arial" w:cs="Arial"/>
          <w:sz w:val="20"/>
          <w:szCs w:val="20"/>
        </w:rPr>
        <w:t xml:space="preserve">, 15898–15903. </w:t>
      </w:r>
      <w:hyperlink r:id="rId59" w:tgtFrame="_new" w:history="1">
        <w:r w:rsidRPr="002D31C9">
          <w:rPr>
            <w:rStyle w:val="Hyperlink"/>
            <w:rFonts w:ascii="Arial" w:hAnsi="Arial" w:cs="Arial"/>
            <w:sz w:val="20"/>
            <w:szCs w:val="20"/>
          </w:rPr>
          <w:t>https://doi.org/10.1073/pnas.252637799</w:t>
        </w:r>
      </w:hyperlink>
    </w:p>
    <w:sectPr w:rsidR="002D31C9" w:rsidRPr="002D31C9" w:rsidSect="00603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A6BC" w14:textId="77777777" w:rsidR="00080946" w:rsidRDefault="00080946" w:rsidP="00C37E61">
      <w:r>
        <w:separator/>
      </w:r>
    </w:p>
  </w:endnote>
  <w:endnote w:type="continuationSeparator" w:id="0">
    <w:p w14:paraId="5635FD0D" w14:textId="77777777" w:rsidR="00080946" w:rsidRDefault="000809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3D65" w14:textId="77777777" w:rsidR="00E5600D" w:rsidRDefault="00E5600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44B9" w14:textId="77777777" w:rsidR="00E5600D" w:rsidRDefault="00E5600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0C3D" w14:textId="77777777" w:rsidR="009E048A" w:rsidRDefault="009E048A">
    <w:pPr>
      <w:pStyle w:val="Rodap"/>
      <w:rPr>
        <w:rFonts w:ascii="Arial" w:hAnsi="Arial" w:cs="Arial"/>
        <w:sz w:val="16"/>
      </w:rPr>
    </w:pPr>
  </w:p>
  <w:p w14:paraId="3B225368"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E68F0E" w14:textId="77777777" w:rsidR="009E048A" w:rsidRDefault="009E048A">
    <w:pPr>
      <w:pStyle w:val="Rodap"/>
      <w:rPr>
        <w:rFonts w:ascii="Arial" w:hAnsi="Arial" w:cs="Arial"/>
        <w:sz w:val="16"/>
      </w:rPr>
    </w:pPr>
  </w:p>
  <w:p w14:paraId="5E0AD07E" w14:textId="77777777"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857F" w14:textId="77777777" w:rsidR="00080946" w:rsidRDefault="00080946" w:rsidP="00C37E61">
      <w:r>
        <w:separator/>
      </w:r>
    </w:p>
  </w:footnote>
  <w:footnote w:type="continuationSeparator" w:id="0">
    <w:p w14:paraId="49F8A9A1" w14:textId="77777777" w:rsidR="00080946" w:rsidRDefault="000809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0BBA" w14:textId="2BB9EA68" w:rsidR="00E5600D" w:rsidRDefault="00000000">
    <w:pPr>
      <w:pStyle w:val="Cabealho"/>
    </w:pPr>
    <w:r>
      <w:rPr>
        <w:noProof/>
      </w:rPr>
      <w:pict w14:anchorId="2939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FD35" w14:textId="72151E46" w:rsidR="00E5600D" w:rsidRDefault="00000000">
    <w:pPr>
      <w:pStyle w:val="Cabealho"/>
    </w:pPr>
    <w:r>
      <w:rPr>
        <w:noProof/>
      </w:rPr>
      <w:pict w14:anchorId="349C7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AC37" w14:textId="1E6C69B5" w:rsidR="00296529" w:rsidRPr="00296529" w:rsidRDefault="00000000" w:rsidP="00296529">
    <w:pPr>
      <w:ind w:left="2160"/>
      <w:jc w:val="center"/>
      <w:rPr>
        <w:rFonts w:ascii="Times New Roman" w:eastAsia="Calibri" w:hAnsi="Times New Roman"/>
        <w:i/>
        <w:sz w:val="18"/>
        <w:szCs w:val="22"/>
      </w:rPr>
    </w:pPr>
    <w:r>
      <w:rPr>
        <w:noProof/>
      </w:rPr>
      <w:pict w14:anchorId="71E2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597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576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202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3066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E690A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4796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556770" w14:textId="77777777" w:rsidR="00296529" w:rsidRDefault="00754C9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D8718D"/>
    <w:multiLevelType w:val="multilevel"/>
    <w:tmpl w:val="C1D8718D"/>
    <w:lvl w:ilvl="0">
      <w:start w:val="1"/>
      <w:numFmt w:val="decimal"/>
      <w:lvlText w:val="%1."/>
      <w:lvlJc w:val="left"/>
      <w:pPr>
        <w:tabs>
          <w:tab w:val="left" w:pos="425"/>
        </w:tabs>
        <w:ind w:left="425" w:hanging="425"/>
      </w:pPr>
      <w:rPr>
        <w:rFonts w:ascii="Arial" w:hAnsi="Arial" w:hint="default"/>
      </w:rPr>
    </w:lvl>
    <w:lvl w:ilvl="1">
      <w:start w:val="1"/>
      <w:numFmt w:val="lowerLetter"/>
      <w:lvlText w:val="%2."/>
      <w:lvlJc w:val="left"/>
      <w:pPr>
        <w:tabs>
          <w:tab w:val="left" w:pos="425"/>
        </w:tabs>
        <w:ind w:left="425" w:hanging="335"/>
      </w:pPr>
      <w:rPr>
        <w:rFonts w:hint="default"/>
      </w:rPr>
    </w:lvl>
    <w:lvl w:ilvl="2">
      <w:start w:val="1"/>
      <w:numFmt w:val="lowerRoman"/>
      <w:lvlText w:val="%3."/>
      <w:lvlJc w:val="right"/>
      <w:pPr>
        <w:tabs>
          <w:tab w:val="left" w:pos="425"/>
        </w:tabs>
        <w:ind w:left="425" w:firstLine="565"/>
      </w:pPr>
      <w:rPr>
        <w:rFonts w:hint="default"/>
      </w:rPr>
    </w:lvl>
    <w:lvl w:ilvl="3">
      <w:start w:val="1"/>
      <w:numFmt w:val="decimal"/>
      <w:lvlText w:val="%4."/>
      <w:lvlJc w:val="left"/>
      <w:pPr>
        <w:tabs>
          <w:tab w:val="left" w:pos="425"/>
        </w:tabs>
        <w:ind w:left="425" w:firstLine="1105"/>
      </w:pPr>
      <w:rPr>
        <w:rFonts w:hint="default"/>
      </w:rPr>
    </w:lvl>
    <w:lvl w:ilvl="4">
      <w:start w:val="1"/>
      <w:numFmt w:val="lowerLetter"/>
      <w:lvlText w:val="%5."/>
      <w:lvlJc w:val="left"/>
      <w:pPr>
        <w:tabs>
          <w:tab w:val="left" w:pos="425"/>
        </w:tabs>
        <w:ind w:left="425" w:firstLine="1825"/>
      </w:pPr>
      <w:rPr>
        <w:rFonts w:hint="default"/>
      </w:rPr>
    </w:lvl>
    <w:lvl w:ilvl="5">
      <w:start w:val="1"/>
      <w:numFmt w:val="lowerRoman"/>
      <w:lvlText w:val="%6."/>
      <w:lvlJc w:val="right"/>
      <w:pPr>
        <w:tabs>
          <w:tab w:val="left" w:pos="425"/>
        </w:tabs>
        <w:ind w:left="425" w:firstLine="2725"/>
      </w:pPr>
      <w:rPr>
        <w:rFonts w:hint="default"/>
      </w:rPr>
    </w:lvl>
    <w:lvl w:ilvl="6">
      <w:start w:val="1"/>
      <w:numFmt w:val="decimal"/>
      <w:lvlText w:val="%7."/>
      <w:lvlJc w:val="left"/>
      <w:pPr>
        <w:tabs>
          <w:tab w:val="left" w:pos="425"/>
        </w:tabs>
        <w:ind w:left="425" w:firstLine="3265"/>
      </w:pPr>
      <w:rPr>
        <w:rFonts w:hint="default"/>
      </w:rPr>
    </w:lvl>
    <w:lvl w:ilvl="7">
      <w:start w:val="1"/>
      <w:numFmt w:val="lowerLetter"/>
      <w:lvlText w:val="%8."/>
      <w:lvlJc w:val="left"/>
      <w:pPr>
        <w:tabs>
          <w:tab w:val="left" w:pos="425"/>
        </w:tabs>
        <w:ind w:left="425" w:firstLine="3985"/>
      </w:pPr>
      <w:rPr>
        <w:rFonts w:hint="default"/>
      </w:rPr>
    </w:lvl>
    <w:lvl w:ilvl="8">
      <w:start w:val="1"/>
      <w:numFmt w:val="lowerRoman"/>
      <w:lvlText w:val="%9."/>
      <w:lvlJc w:val="right"/>
      <w:pPr>
        <w:tabs>
          <w:tab w:val="left" w:pos="425"/>
        </w:tabs>
        <w:ind w:left="425" w:firstLine="488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901873E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378"/>
        </w:tabs>
        <w:ind w:left="502"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1423404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7093304">
    <w:abstractNumId w:val="17"/>
  </w:num>
  <w:num w:numId="3" w16cid:durableId="500003696">
    <w:abstractNumId w:val="25"/>
  </w:num>
  <w:num w:numId="4" w16cid:durableId="202180070">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64825347">
    <w:abstractNumId w:val="9"/>
  </w:num>
  <w:num w:numId="6" w16cid:durableId="518397025">
    <w:abstractNumId w:val="8"/>
  </w:num>
  <w:num w:numId="7" w16cid:durableId="815148510">
    <w:abstractNumId w:val="3"/>
  </w:num>
  <w:num w:numId="8" w16cid:durableId="1693802275">
    <w:abstractNumId w:val="14"/>
  </w:num>
  <w:num w:numId="9" w16cid:durableId="1958758429">
    <w:abstractNumId w:val="27"/>
  </w:num>
  <w:num w:numId="10" w16cid:durableId="1398080">
    <w:abstractNumId w:val="4"/>
  </w:num>
  <w:num w:numId="11" w16cid:durableId="1248462715">
    <w:abstractNumId w:val="20"/>
  </w:num>
  <w:num w:numId="12" w16cid:durableId="1196650150">
    <w:abstractNumId w:val="5"/>
  </w:num>
  <w:num w:numId="13" w16cid:durableId="1110126816">
    <w:abstractNumId w:val="19"/>
  </w:num>
  <w:num w:numId="14" w16cid:durableId="11959078">
    <w:abstractNumId w:val="10"/>
  </w:num>
  <w:num w:numId="15" w16cid:durableId="1201938902">
    <w:abstractNumId w:val="23"/>
  </w:num>
  <w:num w:numId="16" w16cid:durableId="414859779">
    <w:abstractNumId w:val="7"/>
  </w:num>
  <w:num w:numId="17" w16cid:durableId="2026780552">
    <w:abstractNumId w:val="24"/>
  </w:num>
  <w:num w:numId="18" w16cid:durableId="886529839">
    <w:abstractNumId w:val="16"/>
  </w:num>
  <w:num w:numId="19" w16cid:durableId="1267931658">
    <w:abstractNumId w:val="30"/>
  </w:num>
  <w:num w:numId="20" w16cid:durableId="1721441373">
    <w:abstractNumId w:val="13"/>
  </w:num>
  <w:num w:numId="21" w16cid:durableId="1333533535">
    <w:abstractNumId w:val="11"/>
  </w:num>
  <w:num w:numId="22" w16cid:durableId="1621688349">
    <w:abstractNumId w:val="15"/>
  </w:num>
  <w:num w:numId="23" w16cid:durableId="312951068">
    <w:abstractNumId w:val="21"/>
  </w:num>
  <w:num w:numId="24" w16cid:durableId="694035720">
    <w:abstractNumId w:val="28"/>
  </w:num>
  <w:num w:numId="25" w16cid:durableId="1606813595">
    <w:abstractNumId w:val="6"/>
  </w:num>
  <w:num w:numId="26" w16cid:durableId="1923443386">
    <w:abstractNumId w:val="18"/>
  </w:num>
  <w:num w:numId="27" w16cid:durableId="2101024876">
    <w:abstractNumId w:val="22"/>
  </w:num>
  <w:num w:numId="28" w16cid:durableId="1308364579">
    <w:abstractNumId w:val="29"/>
  </w:num>
  <w:num w:numId="29" w16cid:durableId="763501711">
    <w:abstractNumId w:val="26"/>
  </w:num>
  <w:num w:numId="30" w16cid:durableId="2014410839">
    <w:abstractNumId w:val="12"/>
  </w:num>
  <w:num w:numId="31" w16cid:durableId="147480301">
    <w:abstractNumId w:val="2"/>
  </w:num>
  <w:num w:numId="32" w16cid:durableId="193516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AB5"/>
    <w:rsid w:val="0004579C"/>
    <w:rsid w:val="00080946"/>
    <w:rsid w:val="000A47FA"/>
    <w:rsid w:val="000A65D3"/>
    <w:rsid w:val="000B1E33"/>
    <w:rsid w:val="000C7234"/>
    <w:rsid w:val="000D689F"/>
    <w:rsid w:val="000E7B7B"/>
    <w:rsid w:val="000E7D62"/>
    <w:rsid w:val="00103357"/>
    <w:rsid w:val="00123C9F"/>
    <w:rsid w:val="00126190"/>
    <w:rsid w:val="00130F17"/>
    <w:rsid w:val="001320BF"/>
    <w:rsid w:val="0014317A"/>
    <w:rsid w:val="00163BC4"/>
    <w:rsid w:val="00183B50"/>
    <w:rsid w:val="00191062"/>
    <w:rsid w:val="00192B72"/>
    <w:rsid w:val="001A29D8"/>
    <w:rsid w:val="001A5CAA"/>
    <w:rsid w:val="001B0427"/>
    <w:rsid w:val="001B13AD"/>
    <w:rsid w:val="001D3A51"/>
    <w:rsid w:val="001E10D2"/>
    <w:rsid w:val="001E25B4"/>
    <w:rsid w:val="001E3CA1"/>
    <w:rsid w:val="001E44FE"/>
    <w:rsid w:val="00200595"/>
    <w:rsid w:val="00204835"/>
    <w:rsid w:val="00227537"/>
    <w:rsid w:val="00231920"/>
    <w:rsid w:val="0023195C"/>
    <w:rsid w:val="0024282C"/>
    <w:rsid w:val="00244E08"/>
    <w:rsid w:val="002460DC"/>
    <w:rsid w:val="00250985"/>
    <w:rsid w:val="00254AC5"/>
    <w:rsid w:val="002556F6"/>
    <w:rsid w:val="00283105"/>
    <w:rsid w:val="00284C4C"/>
    <w:rsid w:val="00287E68"/>
    <w:rsid w:val="00296529"/>
    <w:rsid w:val="002B27FB"/>
    <w:rsid w:val="002B2EA3"/>
    <w:rsid w:val="002B685A"/>
    <w:rsid w:val="002C57D2"/>
    <w:rsid w:val="002D31C9"/>
    <w:rsid w:val="002E0D56"/>
    <w:rsid w:val="00301EFF"/>
    <w:rsid w:val="00315186"/>
    <w:rsid w:val="0033343E"/>
    <w:rsid w:val="003366D3"/>
    <w:rsid w:val="003512C2"/>
    <w:rsid w:val="00353CFA"/>
    <w:rsid w:val="0036581A"/>
    <w:rsid w:val="00371FB6"/>
    <w:rsid w:val="003763C1"/>
    <w:rsid w:val="00376BBE"/>
    <w:rsid w:val="0039224F"/>
    <w:rsid w:val="003A23C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2B28"/>
    <w:rsid w:val="004D305E"/>
    <w:rsid w:val="004D4277"/>
    <w:rsid w:val="00502516"/>
    <w:rsid w:val="00505F06"/>
    <w:rsid w:val="00506828"/>
    <w:rsid w:val="0053056E"/>
    <w:rsid w:val="00554FDA"/>
    <w:rsid w:val="0057754D"/>
    <w:rsid w:val="00590908"/>
    <w:rsid w:val="005A32BC"/>
    <w:rsid w:val="005C784C"/>
    <w:rsid w:val="005D17F6"/>
    <w:rsid w:val="005E5539"/>
    <w:rsid w:val="00602BF5"/>
    <w:rsid w:val="006035A0"/>
    <w:rsid w:val="00603D3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2F9"/>
    <w:rsid w:val="007369E6"/>
    <w:rsid w:val="007460E6"/>
    <w:rsid w:val="00746E59"/>
    <w:rsid w:val="00754C9A"/>
    <w:rsid w:val="0075599A"/>
    <w:rsid w:val="00761D52"/>
    <w:rsid w:val="0077749E"/>
    <w:rsid w:val="00790ADA"/>
    <w:rsid w:val="0079795B"/>
    <w:rsid w:val="007A5860"/>
    <w:rsid w:val="007D2288"/>
    <w:rsid w:val="007E088F"/>
    <w:rsid w:val="007F44FA"/>
    <w:rsid w:val="007F7B32"/>
    <w:rsid w:val="00804BC2"/>
    <w:rsid w:val="0080622F"/>
    <w:rsid w:val="0081431A"/>
    <w:rsid w:val="0083216F"/>
    <w:rsid w:val="00860000"/>
    <w:rsid w:val="00863BD3"/>
    <w:rsid w:val="008641ED"/>
    <w:rsid w:val="00866D66"/>
    <w:rsid w:val="008671C6"/>
    <w:rsid w:val="00875803"/>
    <w:rsid w:val="0088798E"/>
    <w:rsid w:val="008A1DFB"/>
    <w:rsid w:val="008B459E"/>
    <w:rsid w:val="008E02CE"/>
    <w:rsid w:val="008E13AE"/>
    <w:rsid w:val="008E1506"/>
    <w:rsid w:val="008E6400"/>
    <w:rsid w:val="008E710C"/>
    <w:rsid w:val="008F69D6"/>
    <w:rsid w:val="00902823"/>
    <w:rsid w:val="0091276E"/>
    <w:rsid w:val="00915CA6"/>
    <w:rsid w:val="00927834"/>
    <w:rsid w:val="009500A6"/>
    <w:rsid w:val="00951CB2"/>
    <w:rsid w:val="009546DD"/>
    <w:rsid w:val="00957C18"/>
    <w:rsid w:val="009659BA"/>
    <w:rsid w:val="00983040"/>
    <w:rsid w:val="009861E4"/>
    <w:rsid w:val="009957FF"/>
    <w:rsid w:val="009B3FB9"/>
    <w:rsid w:val="009C2465"/>
    <w:rsid w:val="009D35A0"/>
    <w:rsid w:val="009D7EB7"/>
    <w:rsid w:val="009E048A"/>
    <w:rsid w:val="009E08E9"/>
    <w:rsid w:val="009E3DB9"/>
    <w:rsid w:val="009E6E35"/>
    <w:rsid w:val="009F0EDA"/>
    <w:rsid w:val="00A01281"/>
    <w:rsid w:val="00A03B96"/>
    <w:rsid w:val="00A05B19"/>
    <w:rsid w:val="00A1134E"/>
    <w:rsid w:val="00A24E7E"/>
    <w:rsid w:val="00A258C3"/>
    <w:rsid w:val="00A347C0"/>
    <w:rsid w:val="00A45E5A"/>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536B"/>
    <w:rsid w:val="00BB37AA"/>
    <w:rsid w:val="00BC53A0"/>
    <w:rsid w:val="00BE62AD"/>
    <w:rsid w:val="00BF121F"/>
    <w:rsid w:val="00BF1F80"/>
    <w:rsid w:val="00C166EF"/>
    <w:rsid w:val="00C17EB0"/>
    <w:rsid w:val="00C27F5F"/>
    <w:rsid w:val="00C30A0F"/>
    <w:rsid w:val="00C37E61"/>
    <w:rsid w:val="00C54F2E"/>
    <w:rsid w:val="00C647D4"/>
    <w:rsid w:val="00C70F1B"/>
    <w:rsid w:val="00C71A47"/>
    <w:rsid w:val="00C7464C"/>
    <w:rsid w:val="00C85588"/>
    <w:rsid w:val="00CD6755"/>
    <w:rsid w:val="00CD6856"/>
    <w:rsid w:val="00CE0089"/>
    <w:rsid w:val="00CE793C"/>
    <w:rsid w:val="00CF15E4"/>
    <w:rsid w:val="00CF193C"/>
    <w:rsid w:val="00CF2606"/>
    <w:rsid w:val="00D173F1"/>
    <w:rsid w:val="00D32F9C"/>
    <w:rsid w:val="00D7425A"/>
    <w:rsid w:val="00D74CB0"/>
    <w:rsid w:val="00D8295D"/>
    <w:rsid w:val="00DC147C"/>
    <w:rsid w:val="00DC2A65"/>
    <w:rsid w:val="00DE15F0"/>
    <w:rsid w:val="00DE5663"/>
    <w:rsid w:val="00DE78AA"/>
    <w:rsid w:val="00E053D0"/>
    <w:rsid w:val="00E15994"/>
    <w:rsid w:val="00E16006"/>
    <w:rsid w:val="00E3114E"/>
    <w:rsid w:val="00E31A70"/>
    <w:rsid w:val="00E35B02"/>
    <w:rsid w:val="00E5600D"/>
    <w:rsid w:val="00E64D6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660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2">
    <w:name w:val="heading 2"/>
    <w:basedOn w:val="Normal"/>
    <w:next w:val="Normal"/>
    <w:link w:val="Ttulo2Char"/>
    <w:qFormat/>
    <w:rsid w:val="009957FF"/>
    <w:pPr>
      <w:keepNext/>
      <w:tabs>
        <w:tab w:val="num" w:pos="0"/>
      </w:tabs>
      <w:suppressAutoHyphens/>
      <w:spacing w:before="360" w:after="60" w:line="360" w:lineRule="auto"/>
      <w:ind w:right="567"/>
      <w:contextualSpacing/>
      <w:outlineLvl w:val="1"/>
    </w:pPr>
    <w:rPr>
      <w:rFonts w:ascii="Times New Roman" w:hAnsi="Times New Roman" w:cs="Mangal"/>
      <w:b/>
      <w:bCs/>
      <w:i/>
      <w:iCs/>
      <w:sz w:val="24"/>
      <w:szCs w:val="28"/>
      <w:lang w:val="x-none" w:eastAsia="zh-CN" w:bidi="hi-IN"/>
    </w:rPr>
  </w:style>
  <w:style w:type="paragraph" w:styleId="Ttulo3">
    <w:name w:val="heading 3"/>
    <w:basedOn w:val="Normal"/>
    <w:next w:val="Normal"/>
    <w:link w:val="Ttulo3Char"/>
    <w:qFormat/>
    <w:rsid w:val="009957FF"/>
    <w:pPr>
      <w:keepNext/>
      <w:tabs>
        <w:tab w:val="num" w:pos="0"/>
      </w:tabs>
      <w:suppressAutoHyphens/>
      <w:spacing w:before="360" w:after="60" w:line="360" w:lineRule="auto"/>
      <w:ind w:right="567"/>
      <w:contextualSpacing/>
      <w:outlineLvl w:val="2"/>
    </w:pPr>
    <w:rPr>
      <w:rFonts w:ascii="Times New Roman" w:hAnsi="Times New Roman" w:cs="Mangal"/>
      <w:bCs/>
      <w:i/>
      <w:sz w:val="24"/>
      <w:szCs w:val="26"/>
      <w:lang w:val="x-none" w:eastAsia="zh-CN" w:bidi="hi-IN"/>
    </w:rPr>
  </w:style>
  <w:style w:type="paragraph" w:styleId="Ttulo4">
    <w:name w:val="heading 4"/>
    <w:basedOn w:val="Normal"/>
    <w:next w:val="Normal"/>
    <w:link w:val="Ttulo4Char"/>
    <w:qFormat/>
    <w:rsid w:val="009957FF"/>
    <w:pPr>
      <w:widowControl w:val="0"/>
      <w:tabs>
        <w:tab w:val="num" w:pos="0"/>
      </w:tabs>
      <w:suppressAutoHyphens/>
      <w:spacing w:before="360" w:after="120" w:line="480" w:lineRule="auto"/>
      <w:outlineLvl w:val="3"/>
    </w:pPr>
    <w:rPr>
      <w:rFonts w:ascii="Times New Roman" w:hAnsi="Times New Roman" w:cs="Mangal"/>
      <w:bCs/>
      <w:sz w:val="24"/>
      <w:szCs w:val="28"/>
      <w:lang w:val="x-none"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customStyle="1" w:styleId="Articletitle">
    <w:name w:val="Article title"/>
    <w:basedOn w:val="Normal"/>
    <w:next w:val="Normal"/>
    <w:rsid w:val="0079795B"/>
    <w:pPr>
      <w:suppressAutoHyphens/>
      <w:spacing w:after="120" w:line="360" w:lineRule="auto"/>
    </w:pPr>
    <w:rPr>
      <w:rFonts w:ascii="Times New Roman" w:hAnsi="Times New Roman"/>
      <w:b/>
      <w:sz w:val="28"/>
      <w:szCs w:val="24"/>
      <w:lang w:val="en-GB" w:eastAsia="zh-CN"/>
    </w:rPr>
  </w:style>
  <w:style w:type="paragraph" w:styleId="NormalWeb">
    <w:name w:val="Normal (Web)"/>
    <w:basedOn w:val="Normal"/>
    <w:uiPriority w:val="99"/>
    <w:unhideWhenUsed/>
    <w:rsid w:val="0079795B"/>
    <w:pPr>
      <w:spacing w:before="100" w:beforeAutospacing="1" w:after="100" w:afterAutospacing="1"/>
    </w:pPr>
    <w:rPr>
      <w:rFonts w:ascii="Times New Roman" w:hAnsi="Times New Roman"/>
      <w:sz w:val="24"/>
      <w:szCs w:val="24"/>
      <w:lang w:val="en-IN" w:eastAsia="en-IN"/>
    </w:rPr>
  </w:style>
  <w:style w:type="character" w:customStyle="1" w:styleId="Ttulo2Char">
    <w:name w:val="Título 2 Char"/>
    <w:basedOn w:val="Fontepargpadro"/>
    <w:link w:val="Ttulo2"/>
    <w:rsid w:val="009957FF"/>
    <w:rPr>
      <w:rFonts w:cs="Mangal"/>
      <w:b/>
      <w:bCs/>
      <w:i/>
      <w:iCs/>
      <w:sz w:val="24"/>
      <w:szCs w:val="28"/>
      <w:lang w:val="x-none" w:eastAsia="zh-CN" w:bidi="hi-IN"/>
    </w:rPr>
  </w:style>
  <w:style w:type="character" w:customStyle="1" w:styleId="Ttulo3Char">
    <w:name w:val="Título 3 Char"/>
    <w:basedOn w:val="Fontepargpadro"/>
    <w:link w:val="Ttulo3"/>
    <w:rsid w:val="009957FF"/>
    <w:rPr>
      <w:rFonts w:cs="Mangal"/>
      <w:bCs/>
      <w:i/>
      <w:sz w:val="24"/>
      <w:szCs w:val="26"/>
      <w:lang w:val="x-none" w:eastAsia="zh-CN" w:bidi="hi-IN"/>
    </w:rPr>
  </w:style>
  <w:style w:type="character" w:customStyle="1" w:styleId="Ttulo4Char">
    <w:name w:val="Título 4 Char"/>
    <w:basedOn w:val="Fontepargpadro"/>
    <w:link w:val="Ttulo4"/>
    <w:rsid w:val="009957FF"/>
    <w:rPr>
      <w:rFonts w:cs="Mangal"/>
      <w:bCs/>
      <w:sz w:val="24"/>
      <w:szCs w:val="28"/>
      <w:lang w:val="x-none" w:eastAsia="zh-CN" w:bidi="hi-IN"/>
    </w:rPr>
  </w:style>
  <w:style w:type="character" w:customStyle="1" w:styleId="WW8Num1z2">
    <w:name w:val="WW8Num1z2"/>
    <w:rsid w:val="009957FF"/>
  </w:style>
  <w:style w:type="paragraph" w:styleId="Legenda">
    <w:name w:val="caption"/>
    <w:basedOn w:val="Normal"/>
    <w:uiPriority w:val="35"/>
    <w:qFormat/>
    <w:rsid w:val="001B13AD"/>
    <w:pPr>
      <w:suppressLineNumbers/>
      <w:suppressAutoHyphens/>
      <w:spacing w:before="120" w:after="120" w:line="480" w:lineRule="auto"/>
    </w:pPr>
    <w:rPr>
      <w:rFonts w:ascii="Times New Roman" w:hAnsi="Times New Roman" w:cs="Mangal"/>
      <w:i/>
      <w:iCs/>
      <w:sz w:val="24"/>
      <w:szCs w:val="24"/>
      <w:lang w:val="en-GB" w:eastAsia="zh-CN"/>
    </w:rPr>
  </w:style>
  <w:style w:type="paragraph" w:styleId="PargrafodaLista">
    <w:name w:val="List Paragraph"/>
    <w:basedOn w:val="Normal"/>
    <w:uiPriority w:val="34"/>
    <w:qFormat/>
    <w:rsid w:val="001B13AD"/>
    <w:pPr>
      <w:spacing w:after="160"/>
      <w:ind w:left="720"/>
      <w:contextualSpacing/>
    </w:pPr>
    <w:rPr>
      <w:rFonts w:ascii="Times New Roman" w:eastAsia="Calibri" w:hAnsi="Times New Roman"/>
      <w:kern w:val="2"/>
      <w:sz w:val="24"/>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868296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74630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439-037X.2007.00267.x" TargetMode="External"/><Relationship Id="rId26" Type="http://schemas.openxmlformats.org/officeDocument/2006/relationships/hyperlink" Target="https://doi.org/10.1093/jxb/46.12.1843" TargetMode="External"/><Relationship Id="rId39" Type="http://schemas.openxmlformats.org/officeDocument/2006/relationships/hyperlink" Target="https://doi.org/10.1111/j.1438-8677.1996.tb00493.x" TargetMode="External"/><Relationship Id="rId21" Type="http://schemas.openxmlformats.org/officeDocument/2006/relationships/hyperlink" Target="https://doi.org/10.1007/s00425-006-0242-z" TargetMode="External"/><Relationship Id="rId34" Type="http://schemas.openxmlformats.org/officeDocument/2006/relationships/hyperlink" Target="https://doi.org/10.1016/j.plaphy.2017.08.010" TargetMode="External"/><Relationship Id="rId42" Type="http://schemas.openxmlformats.org/officeDocument/2006/relationships/hyperlink" Target="https://doi.org/10.1089/omi.2015.0161" TargetMode="External"/><Relationship Id="rId47" Type="http://schemas.openxmlformats.org/officeDocument/2006/relationships/hyperlink" Target="https://doi.org/10.2135/cropsci2004.0797" TargetMode="External"/><Relationship Id="rId50" Type="http://schemas.openxmlformats.org/officeDocument/2006/relationships/hyperlink" Target="https://doi.org/10.1016/j.rsci.2017.05.001" TargetMode="External"/><Relationship Id="rId55" Type="http://schemas.openxmlformats.org/officeDocument/2006/relationships/hyperlink" Target="https://doi.org/10.1371/journal.pone.01926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1939-8433-6-9" TargetMode="External"/><Relationship Id="rId29" Type="http://schemas.openxmlformats.org/officeDocument/2006/relationships/hyperlink" Target="https://doi.org/10.1146/annurev.arplant.59.032607.092911" TargetMode="External"/><Relationship Id="rId11" Type="http://schemas.openxmlformats.org/officeDocument/2006/relationships/footer" Target="footer2.xml"/><Relationship Id="rId24" Type="http://schemas.openxmlformats.org/officeDocument/2006/relationships/hyperlink" Target="https://www.fao.org/globalsoilpartnership/resources/highlights/detail/en/c/1458974" TargetMode="External"/><Relationship Id="rId32" Type="http://schemas.openxmlformats.org/officeDocument/2006/relationships/hyperlink" Target="https://doi.org/10.1590/1678-4685-GMB-2016-0087" TargetMode="External"/><Relationship Id="rId37" Type="http://schemas.openxmlformats.org/officeDocument/2006/relationships/hyperlink" Target="https://doi.org/10.1016/S0168-9452(98)00025-9" TargetMode="External"/><Relationship Id="rId40" Type="http://schemas.openxmlformats.org/officeDocument/2006/relationships/hyperlink" Target="https://doi.org/10.1104/pp.113.3.881" TargetMode="External"/><Relationship Id="rId45" Type="http://schemas.openxmlformats.org/officeDocument/2006/relationships/hyperlink" Target="https://doi.org/10.1038/s41598-022-24747-9" TargetMode="External"/><Relationship Id="rId53" Type="http://schemas.openxmlformats.org/officeDocument/2006/relationships/hyperlink" Target="http://dx.doi.org/10.15666/aeer/1405_091105" TargetMode="External"/><Relationship Id="rId58" Type="http://schemas.openxmlformats.org/officeDocument/2006/relationships/hyperlink" Target="https://doi.org/10.1186/1939-8433-6-9"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dx.doi.org/10.13005/bbra/2666" TargetMode="External"/><Relationship Id="rId14" Type="http://schemas.openxmlformats.org/officeDocument/2006/relationships/hyperlink" Target="https://thericejournal.springeropen.com/articles/10.1186/s12284-019-0317-7" TargetMode="External"/><Relationship Id="rId22" Type="http://schemas.openxmlformats.org/officeDocument/2006/relationships/hyperlink" Target="https://doi.org/10.1080/17429145.2021.2002444" TargetMode="External"/><Relationship Id="rId27" Type="http://schemas.openxmlformats.org/officeDocument/2006/relationships/hyperlink" Target="https://doi.org/10.1007/978-90-481-3112-9_18" TargetMode="External"/><Relationship Id="rId30" Type="http://schemas.openxmlformats.org/officeDocument/2006/relationships/hyperlink" Target="https://doi.org/10.1111/nph.14920" TargetMode="External"/><Relationship Id="rId35" Type="http://schemas.openxmlformats.org/officeDocument/2006/relationships/hyperlink" Target="https://doi.org/10.1080/09064710802342350" TargetMode="External"/><Relationship Id="rId43" Type="http://schemas.openxmlformats.org/officeDocument/2006/relationships/hyperlink" Target="https://www.cabidigitallibrary.org/doi/pdf/10.5555/20193166490" TargetMode="External"/><Relationship Id="rId48" Type="http://schemas.openxmlformats.org/officeDocument/2006/relationships/hyperlink" Target="https://doi.org/10.15835/nsb629163" TargetMode="External"/><Relationship Id="rId56" Type="http://schemas.openxmlformats.org/officeDocument/2006/relationships/hyperlink" Target="https://doi.org/10.22099/iar.2015.3066" TargetMode="External"/><Relationship Id="rId8" Type="http://schemas.openxmlformats.org/officeDocument/2006/relationships/header" Target="header1.xml"/><Relationship Id="rId51" Type="http://schemas.openxmlformats.org/officeDocument/2006/relationships/hyperlink" Target="https://www.cabidigitallibrary.org/doi/pdf/10.5555/2014327174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ijppr.com/z_kx1fO" TargetMode="External"/><Relationship Id="rId25" Type="http://schemas.openxmlformats.org/officeDocument/2006/relationships/hyperlink" Target="https://doi.org/10.1073/pnas.1308942110" TargetMode="External"/><Relationship Id="rId33" Type="http://schemas.openxmlformats.org/officeDocument/2006/relationships/hyperlink" Target="https://doi.org/10.1007/s00344-018-9881-0" TargetMode="External"/><Relationship Id="rId38" Type="http://schemas.openxmlformats.org/officeDocument/2006/relationships/hyperlink" Target="https://doi.org/10.5897/AJB10.1805" TargetMode="External"/><Relationship Id="rId46" Type="http://schemas.openxmlformats.org/officeDocument/2006/relationships/hyperlink" Target="https://doi.org/10.3923/ijb.2010.53.58" TargetMode="External"/><Relationship Id="rId59" Type="http://schemas.openxmlformats.org/officeDocument/2006/relationships/hyperlink" Target="https://doi.org/10.1073/pnas.252637799" TargetMode="External"/><Relationship Id="rId20" Type="http://schemas.openxmlformats.org/officeDocument/2006/relationships/hyperlink" Target="https://doi.org/10.1093/aob/mcm052" TargetMode="External"/><Relationship Id="rId41" Type="http://schemas.openxmlformats.org/officeDocument/2006/relationships/hyperlink" Target="https://doi.org/10.1016/j.chemosphere.2011.04.047" TargetMode="External"/><Relationship Id="rId54" Type="http://schemas.openxmlformats.org/officeDocument/2006/relationships/hyperlink" Target="https://doi.org/10.1007/s0029901003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ricejournal.springeropen.com/articles/10.1186/s12284-019-0317-7" TargetMode="External"/><Relationship Id="rId23" Type="http://schemas.openxmlformats.org/officeDocument/2006/relationships/hyperlink" Target="https://doi.org/10.1016/j.jaridenv.2022.104775" TargetMode="External"/><Relationship Id="rId28" Type="http://schemas.openxmlformats.org/officeDocument/2006/relationships/hyperlink" Target="https://doi.org/10.1111/j.1365-3040.2011.02291.x" TargetMode="External"/><Relationship Id="rId36" Type="http://schemas.openxmlformats.org/officeDocument/2006/relationships/hyperlink" Target="https://doi.org/10.1007/BF00018060" TargetMode="External"/><Relationship Id="rId49" Type="http://schemas.openxmlformats.org/officeDocument/2006/relationships/hyperlink" Target="https://doi.org/10.1371/journal.pone.0108020" TargetMode="External"/><Relationship Id="rId57" Type="http://schemas.openxmlformats.org/officeDocument/2006/relationships/hyperlink" Target="https://doi.org/10.1016/j.plaphy.2013.04.013" TargetMode="External"/><Relationship Id="rId10" Type="http://schemas.openxmlformats.org/officeDocument/2006/relationships/footer" Target="footer1.xml"/><Relationship Id="rId31" Type="http://schemas.openxmlformats.org/officeDocument/2006/relationships/hyperlink" Target="https://doi.org/10.1016/j.plaphy.2010.08.016" TargetMode="External"/><Relationship Id="rId44" Type="http://schemas.openxmlformats.org/officeDocument/2006/relationships/hyperlink" Target="https://doi.org/10.1038/s41598-022-11408-0" TargetMode="External"/><Relationship Id="rId52" Type="http://schemas.openxmlformats.org/officeDocument/2006/relationships/hyperlink" Target="https://doi.org/10.22364/eeb.20.1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2905-6537-4FE3-85EB-80A8BDDA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6747</Words>
  <Characters>36435</Characters>
  <Application>Microsoft Office Word</Application>
  <DocSecurity>0</DocSecurity>
  <Lines>303</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43096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Erasmo José Paioli Pires</cp:lastModifiedBy>
  <cp:revision>2</cp:revision>
  <cp:lastPrinted>1999-07-06T11:00:00Z</cp:lastPrinted>
  <dcterms:created xsi:type="dcterms:W3CDTF">2025-07-10T10:44:00Z</dcterms:created>
  <dcterms:modified xsi:type="dcterms:W3CDTF">2025-07-10T10:44:00Z</dcterms:modified>
</cp:coreProperties>
</file>