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9A890" w14:textId="58B51F97" w:rsidR="003845A8" w:rsidRPr="003845A8" w:rsidRDefault="003845A8" w:rsidP="00CF6C03">
      <w:pPr>
        <w:rPr>
          <w:rFonts w:ascii="Times New Roman" w:hAnsi="Times New Roman" w:cs="Times New Roman"/>
          <w:i/>
          <w:iCs/>
          <w:u w:val="single"/>
          <w:lang w:val="en-US"/>
        </w:rPr>
      </w:pPr>
      <w:r w:rsidRPr="003845A8">
        <w:rPr>
          <w:rFonts w:ascii="Times New Roman" w:hAnsi="Times New Roman" w:cs="Times New Roman"/>
          <w:i/>
          <w:iCs/>
          <w:u w:val="single"/>
          <w:lang w:val="en-US"/>
        </w:rPr>
        <w:t>Original Research Article</w:t>
      </w:r>
    </w:p>
    <w:p w14:paraId="74823057" w14:textId="77777777" w:rsidR="003845A8" w:rsidRDefault="003845A8" w:rsidP="00CF6C03">
      <w:pPr>
        <w:rPr>
          <w:rFonts w:ascii="Times New Roman" w:hAnsi="Times New Roman" w:cs="Times New Roman"/>
          <w:lang w:val="en-US"/>
        </w:rPr>
      </w:pPr>
    </w:p>
    <w:p w14:paraId="6BD95937" w14:textId="6ED4CB25" w:rsidR="00CF6C03" w:rsidRPr="003845A8" w:rsidRDefault="00CF6C03" w:rsidP="00CF6C03">
      <w:pPr>
        <w:rPr>
          <w:rFonts w:ascii="Times New Roman" w:hAnsi="Times New Roman" w:cs="Times New Roman"/>
          <w:b/>
          <w:bCs/>
          <w:lang w:val="en-US"/>
        </w:rPr>
      </w:pPr>
      <w:r w:rsidRPr="003845A8">
        <w:rPr>
          <w:rFonts w:ascii="Times New Roman" w:hAnsi="Times New Roman" w:cs="Times New Roman"/>
          <w:b/>
          <w:bCs/>
          <w:lang w:val="en-US"/>
        </w:rPr>
        <w:t>ANALYSIS OF HYPERTENSION IN ELDERLY PEOPLE IN PARÁ BETWEEN</w:t>
      </w:r>
    </w:p>
    <w:p w14:paraId="1BA0BA23" w14:textId="0C40924A" w:rsidR="00A57ACA" w:rsidRPr="003845A8" w:rsidRDefault="00CF6C03" w:rsidP="00CF6C03">
      <w:pPr>
        <w:rPr>
          <w:rFonts w:ascii="Times New Roman" w:hAnsi="Times New Roman" w:cs="Times New Roman"/>
          <w:b/>
          <w:bCs/>
          <w:lang w:val="en-US"/>
        </w:rPr>
      </w:pPr>
      <w:r w:rsidRPr="003845A8">
        <w:rPr>
          <w:rFonts w:ascii="Times New Roman" w:hAnsi="Times New Roman" w:cs="Times New Roman"/>
          <w:b/>
          <w:bCs/>
          <w:lang w:val="en-US"/>
        </w:rPr>
        <w:t>THE YEARS 2020 AND 2024: an epidemiological study</w:t>
      </w:r>
    </w:p>
    <w:p w14:paraId="4DC1D835" w14:textId="77777777" w:rsidR="00CF6C03" w:rsidRDefault="00CF6C03" w:rsidP="00CF6C03">
      <w:pPr>
        <w:rPr>
          <w:rFonts w:ascii="Times New Roman" w:hAnsi="Times New Roman" w:cs="Times New Roman"/>
          <w:lang w:val="en-US"/>
        </w:rPr>
      </w:pPr>
    </w:p>
    <w:p w14:paraId="0B109377" w14:textId="77777777" w:rsidR="00A57ACA" w:rsidRPr="00D442D5" w:rsidRDefault="00A57ACA" w:rsidP="00A57ACA">
      <w:pPr>
        <w:rPr>
          <w:rFonts w:ascii="Times New Roman" w:hAnsi="Times New Roman" w:cs="Times New Roman"/>
          <w:lang w:val="en-US"/>
        </w:rPr>
      </w:pPr>
    </w:p>
    <w:p w14:paraId="4C2F1193" w14:textId="77777777" w:rsidR="00A57ACA" w:rsidRPr="00A57ACA" w:rsidRDefault="00A57ACA" w:rsidP="00A57ACA">
      <w:pPr>
        <w:rPr>
          <w:rFonts w:ascii="Times New Roman" w:hAnsi="Times New Roman" w:cs="Times New Roman"/>
          <w:b/>
          <w:bCs/>
          <w:lang w:val="en-US"/>
        </w:rPr>
      </w:pPr>
      <w:r w:rsidRPr="00A57ACA">
        <w:rPr>
          <w:rFonts w:ascii="Times New Roman" w:hAnsi="Times New Roman" w:cs="Times New Roman"/>
          <w:b/>
          <w:bCs/>
          <w:lang w:val="en-US"/>
        </w:rPr>
        <w:t>ABSTRACT</w:t>
      </w:r>
    </w:p>
    <w:p w14:paraId="63DFCFBC" w14:textId="2E8D98BC" w:rsidR="00A57ACA" w:rsidRPr="00A57ACA" w:rsidRDefault="00A57ACA" w:rsidP="00A57ACA">
      <w:pPr>
        <w:rPr>
          <w:rFonts w:ascii="Times New Roman" w:hAnsi="Times New Roman" w:cs="Times New Roman"/>
          <w:lang w:val="en-US"/>
        </w:rPr>
      </w:pPr>
      <w:r w:rsidRPr="00A57ACA">
        <w:rPr>
          <w:rFonts w:ascii="Times New Roman" w:hAnsi="Times New Roman" w:cs="Times New Roman"/>
          <w:lang w:val="en-US"/>
        </w:rPr>
        <w:t xml:space="preserve">Objective: To analyze the number of hypertension cases in elderly people in Pará from 2020 to 2024. Method: This is an epidemiological study with a quantitative approach, in order to deepen the issues raised in the problem and objectives of the work. Data referring to elderly people with systemic arterial hypertension (SAH) in the years 2020 to 2024 in the State of Pará, notified in the Department of Informatics of the SUS (DATASUS), were used. Results: The results point to the need for a change in paradigms for prevention and treatment in the State of Pará, both in the Metropolitan Region, where the capital of Pará presented the highest rate among the municipalities, and in the interior, as seen in the fact that the second municipality with the highest rate was Santo Antônio do </w:t>
      </w:r>
      <w:proofErr w:type="spellStart"/>
      <w:r w:rsidRPr="00A57ACA">
        <w:rPr>
          <w:rFonts w:ascii="Times New Roman" w:hAnsi="Times New Roman" w:cs="Times New Roman"/>
          <w:lang w:val="en-US"/>
        </w:rPr>
        <w:t>Tauá</w:t>
      </w:r>
      <w:proofErr w:type="spellEnd"/>
      <w:r w:rsidRPr="00A57ACA">
        <w:rPr>
          <w:rFonts w:ascii="Times New Roman" w:hAnsi="Times New Roman" w:cs="Times New Roman"/>
          <w:lang w:val="en-US"/>
        </w:rPr>
        <w:t>, which is far from the metropolis. It should be added that the highest occurrences were in elderly brown-skinned women, in the age range between 60-69 years. Conclusion: the epidemiological profiles of systemic arterial hypertension represent a serious public health problem both in the country and in the state of Pará; control and prevention measures must be taken to reduce these hospitalization rates in the elderly.</w:t>
      </w:r>
    </w:p>
    <w:p w14:paraId="7F190F3B" w14:textId="77777777" w:rsidR="00A57ACA" w:rsidRPr="00D442D5" w:rsidRDefault="00A57ACA" w:rsidP="00A57ACA">
      <w:pPr>
        <w:rPr>
          <w:lang w:val="en-US"/>
        </w:rPr>
      </w:pPr>
    </w:p>
    <w:p w14:paraId="52647095" w14:textId="10642789" w:rsidR="00A57ACA" w:rsidRPr="00D27413" w:rsidRDefault="00A57ACA" w:rsidP="00A57ACA">
      <w:pPr>
        <w:rPr>
          <w:rFonts w:ascii="Times New Roman" w:hAnsi="Times New Roman" w:cs="Times New Roman"/>
          <w:b/>
          <w:bCs/>
          <w:lang w:val="en-US"/>
        </w:rPr>
      </w:pPr>
      <w:r w:rsidRPr="00D27413">
        <w:rPr>
          <w:rFonts w:ascii="Times New Roman" w:hAnsi="Times New Roman" w:cs="Times New Roman"/>
          <w:b/>
          <w:bCs/>
          <w:lang w:val="en-US"/>
        </w:rPr>
        <w:t>INTRODUCTION</w:t>
      </w:r>
    </w:p>
    <w:p w14:paraId="16E88822" w14:textId="6D4D777A" w:rsidR="00A57ACA" w:rsidRPr="00D27413" w:rsidRDefault="00A57ACA" w:rsidP="00A57ACA">
      <w:pPr>
        <w:rPr>
          <w:rFonts w:ascii="Times New Roman" w:hAnsi="Times New Roman" w:cs="Times New Roman"/>
          <w:lang w:val="en-US"/>
        </w:rPr>
      </w:pPr>
      <w:r w:rsidRPr="00D27413">
        <w:rPr>
          <w:rFonts w:ascii="Times New Roman" w:hAnsi="Times New Roman" w:cs="Times New Roman"/>
          <w:lang w:val="en-US"/>
        </w:rPr>
        <w:t>Systemic Arterial Hypertension (SAH) is characterized by elevated systolic and diastolic levels of blood pressure in the arteries. It is one of the leading causes of morbidity and mortality worldwide and is considered a serious public health problem in the national territory, being responsible for high costs related to hospitalizations, disability due to invalidity, and early retirement, affecting all socioeconomic classes in Brazil (Santos et al., 2021) (14).</w:t>
      </w:r>
    </w:p>
    <w:p w14:paraId="347E2C2C" w14:textId="4FED72D0" w:rsidR="00A57ACA" w:rsidRPr="00D27413" w:rsidRDefault="00A57ACA" w:rsidP="00A57ACA">
      <w:pPr>
        <w:rPr>
          <w:rFonts w:ascii="Times New Roman" w:hAnsi="Times New Roman" w:cs="Times New Roman"/>
          <w:lang w:val="en-US"/>
        </w:rPr>
      </w:pPr>
      <w:r w:rsidRPr="00D27413">
        <w:rPr>
          <w:rFonts w:ascii="Times New Roman" w:hAnsi="Times New Roman" w:cs="Times New Roman"/>
          <w:lang w:val="en-US"/>
        </w:rPr>
        <w:t>In Brazil, up to 25% of the adult population has this condition, and it is estimated that by 2025 this number will increase to 60%, reaching an overall prevalence of 40%. SAH, in addition to triggering a high social and economic cost due to the interruption of productive life, causes a high rate of deaths from circulatory system disorders (Brazil, 2023) (1).</w:t>
      </w:r>
    </w:p>
    <w:p w14:paraId="05B187C7" w14:textId="635A7A30"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 xml:space="preserve">According to Linares (2022) (7), team-based care is one of the main elements in patient assistance. The performance of the multidisciplinary team can contribute significantly to </w:t>
      </w:r>
      <w:r w:rsidRPr="005B57FC">
        <w:rPr>
          <w:rFonts w:ascii="Times New Roman" w:hAnsi="Times New Roman" w:cs="Times New Roman"/>
          <w:lang w:val="en-US"/>
        </w:rPr>
        <w:lastRenderedPageBreak/>
        <w:t>blood pressure control. For this to occur, patients with SAH or those who are predisposed are referred for quarterly consultations, while those with controlled blood pressure will have semiannual consultations with dietary monitoring.</w:t>
      </w:r>
    </w:p>
    <w:p w14:paraId="09ADFB28" w14:textId="210E8178"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treatment of SAH may occur through pharmacological and non-pharmacological approaches. The non-pharmacological approach includes healthy eating, which should be guided by a nutritionist, while pharmacological therapy is of great value in controlling systemic arterial pressure, aiming to stabilize it and provide homeostatic benefits to patients (Rocha et al., 2022) (12).</w:t>
      </w:r>
    </w:p>
    <w:p w14:paraId="0B3AB83A" w14:textId="4489A000"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elderly population presents high rates of health problems, with 52.7% among individuals aged 65 to 74 years and 55% among those aged 75 years or older, in contrast to a rate of 2.8% among individuals aged 18 to 29 years. The deterioration in quality of life and the increase in the elderly population generate significant expenses, altering the family and social context in which they are inserted. It is essential that nurses carry out high-quality health promotion, prioritizing the quality of life of the elderly and intervening early to ensure better living conditions (Ribeiro et al., 2020) (11).</w:t>
      </w:r>
    </w:p>
    <w:p w14:paraId="74D4A337" w14:textId="66BA33DA"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According to the new guideline published in September 2025 by the Brazilian Society of Cardiology (SBC), together with the Brazilian Society of Nephrology (SBN) and the Brazilian Society of Hypertension (SBH), the blood pressure value of 120×80 mmHg was reclassified as pre-hypertension, which was previously considered a normal value.</w:t>
      </w:r>
    </w:p>
    <w:p w14:paraId="22D4D7ED" w14:textId="77777777" w:rsidR="00A57ACA" w:rsidRPr="00A57ACA" w:rsidRDefault="00A57ACA" w:rsidP="00A57ACA">
      <w:pPr>
        <w:rPr>
          <w:rFonts w:ascii="Times New Roman" w:hAnsi="Times New Roman" w:cs="Times New Roman"/>
          <w:lang w:val="en-US"/>
        </w:rPr>
      </w:pPr>
    </w:p>
    <w:p w14:paraId="7CD23420" w14:textId="41FFD903" w:rsidR="00A57ACA" w:rsidRPr="005B57FC" w:rsidRDefault="00A57ACA" w:rsidP="00A57ACA">
      <w:pPr>
        <w:rPr>
          <w:rFonts w:ascii="Times New Roman" w:hAnsi="Times New Roman" w:cs="Times New Roman"/>
          <w:b/>
          <w:bCs/>
          <w:lang w:val="en-US"/>
        </w:rPr>
      </w:pPr>
      <w:commentRangeStart w:id="0"/>
      <w:r w:rsidRPr="005B57FC">
        <w:rPr>
          <w:rFonts w:ascii="Times New Roman" w:hAnsi="Times New Roman" w:cs="Times New Roman"/>
          <w:b/>
          <w:bCs/>
          <w:lang w:val="en-US"/>
        </w:rPr>
        <w:t>METHODOLOGY</w:t>
      </w:r>
      <w:commentRangeEnd w:id="0"/>
      <w:r w:rsidR="00D442D5">
        <w:rPr>
          <w:rStyle w:val="CommentReference"/>
        </w:rPr>
        <w:commentReference w:id="0"/>
      </w:r>
    </w:p>
    <w:p w14:paraId="2726B440"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Type of study</w:t>
      </w:r>
    </w:p>
    <w:p w14:paraId="12DDC236" w14:textId="77777777"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This is an epidemiological study with a quantitative approach, aiming to deepen the issues highlighted in the research problem and objectives.</w:t>
      </w:r>
    </w:p>
    <w:p w14:paraId="4E2B9A7C" w14:textId="1312D4F9"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 xml:space="preserve">This type of study consists of the description and analysis of data, interpreting them with the objective of reaching a conclusion about a given object (population, social group, among others). The researcher does not interfere with the data, only describes and analyzes them; therefore, it is appropriate for this research proposal (Martins; </w:t>
      </w:r>
      <w:proofErr w:type="spellStart"/>
      <w:r w:rsidRPr="005B57FC">
        <w:rPr>
          <w:rFonts w:ascii="Times New Roman" w:hAnsi="Times New Roman" w:cs="Times New Roman"/>
          <w:lang w:val="en-US"/>
        </w:rPr>
        <w:t>Theophilo</w:t>
      </w:r>
      <w:proofErr w:type="spellEnd"/>
      <w:r w:rsidRPr="005B57FC">
        <w:rPr>
          <w:rFonts w:ascii="Times New Roman" w:hAnsi="Times New Roman" w:cs="Times New Roman"/>
          <w:lang w:val="en-US"/>
        </w:rPr>
        <w:t>, 2023) (8).</w:t>
      </w:r>
    </w:p>
    <w:p w14:paraId="1837867E" w14:textId="711378EB"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 xml:space="preserve">Quantitative research operates at levels of reality where there is a need to extract and highlight indicators and trends from a large volume of data. Research designed under a quantitative approach is based on collected data and evidence. The data are filtered, organized, and tabulated, and then subjected to organization and classification techniques, as well as statistical tests, in order to transform them into information to be analyzed and discussed in light of a theoretical framework, as well as other related studies (Martins; </w:t>
      </w:r>
      <w:proofErr w:type="spellStart"/>
      <w:r w:rsidRPr="005B57FC">
        <w:rPr>
          <w:rFonts w:ascii="Times New Roman" w:hAnsi="Times New Roman" w:cs="Times New Roman"/>
          <w:lang w:val="en-US"/>
        </w:rPr>
        <w:t>Theophilo</w:t>
      </w:r>
      <w:proofErr w:type="spellEnd"/>
      <w:r w:rsidRPr="005B57FC">
        <w:rPr>
          <w:rFonts w:ascii="Times New Roman" w:hAnsi="Times New Roman" w:cs="Times New Roman"/>
          <w:lang w:val="en-US"/>
        </w:rPr>
        <w:t>, 2023) (8).</w:t>
      </w:r>
    </w:p>
    <w:p w14:paraId="252F42F4"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Data source</w:t>
      </w:r>
    </w:p>
    <w:p w14:paraId="203CF290" w14:textId="08C7B911"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lastRenderedPageBreak/>
        <w:t>The research was conducted using data related to elderly individuals with systemic arterial hypertension (SAH) from 2020 to 2024 in the State of Pará, reported to the Department of Informatics of the Unified Health System (DATASUS), that is, over a four-year period. The choice of this system is justified by the fact that it brings together statistical data recorded in the aforementioned system. DATASUS provides information that can contribute to objective analyses of health circumstances, decision-making based on indicators, and the development of health action programs (Brazil, 2023) (1).</w:t>
      </w:r>
    </w:p>
    <w:p w14:paraId="6D759878" w14:textId="40FD489A"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Measuring population health is a tradition in public health, and through DATASUS it is possible to verify the systematic recording of mortality and survival data (Vital Statistics – Mortality and Live Births). This entire technological apparatus makes it possible to understand the analysis of the health situation in its dimensions of health status, control of infectious diseases, and their population determinants (Brazil, 2023) (1).</w:t>
      </w:r>
    </w:p>
    <w:p w14:paraId="53672BA1" w14:textId="77777777" w:rsidR="00A57ACA" w:rsidRPr="005B57FC" w:rsidRDefault="00A57ACA" w:rsidP="00A57ACA">
      <w:pPr>
        <w:rPr>
          <w:rFonts w:ascii="Times New Roman" w:hAnsi="Times New Roman" w:cs="Times New Roman"/>
          <w:b/>
          <w:bCs/>
          <w:lang w:val="en-US"/>
        </w:rPr>
      </w:pPr>
      <w:commentRangeStart w:id="1"/>
      <w:r w:rsidRPr="005B57FC">
        <w:rPr>
          <w:rFonts w:ascii="Times New Roman" w:hAnsi="Times New Roman" w:cs="Times New Roman"/>
          <w:b/>
          <w:bCs/>
          <w:lang w:val="en-US"/>
        </w:rPr>
        <w:t>Data collection</w:t>
      </w:r>
      <w:commentRangeEnd w:id="1"/>
      <w:r w:rsidR="00D442D5">
        <w:rPr>
          <w:rStyle w:val="CommentReference"/>
        </w:rPr>
        <w:commentReference w:id="1"/>
      </w:r>
    </w:p>
    <w:p w14:paraId="30587DB5" w14:textId="4FD71183"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Data collection was carried out through a secondary source from the Department of Informatics of the Unified Health System (DATASUS), in which a table was created with the number of cases of hypertension in elderly individuals referring to the years 2020 to 2024 across the regions of Brazil.</w:t>
      </w:r>
    </w:p>
    <w:p w14:paraId="7109996D" w14:textId="15A0482B"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This collection will take place during the months of September and November 2025. For these parameters, the following commands available on the website will be followed: “Access to Information” &gt;&gt; “TABNET” &gt;&gt; “Municipality” &gt;&gt; “Region” &gt;&gt; “cases – Since 2020 (SINAN)” &gt;&gt; “Hypertension – since 2020” &gt;&gt; “Brazil by Region”.</w:t>
      </w:r>
    </w:p>
    <w:p w14:paraId="184FEACD" w14:textId="77777777" w:rsidR="00A57ACA" w:rsidRPr="005B57FC" w:rsidRDefault="00A57ACA" w:rsidP="00A57ACA">
      <w:pPr>
        <w:rPr>
          <w:rFonts w:ascii="Times New Roman" w:hAnsi="Times New Roman" w:cs="Times New Roman"/>
          <w:b/>
          <w:bCs/>
          <w:lang w:val="en-US"/>
        </w:rPr>
      </w:pPr>
      <w:commentRangeStart w:id="2"/>
      <w:r w:rsidRPr="005B57FC">
        <w:rPr>
          <w:rFonts w:ascii="Times New Roman" w:hAnsi="Times New Roman" w:cs="Times New Roman"/>
          <w:b/>
          <w:bCs/>
          <w:lang w:val="en-US"/>
        </w:rPr>
        <w:t>Sample</w:t>
      </w:r>
      <w:commentRangeEnd w:id="2"/>
      <w:r w:rsidR="00D442D5">
        <w:rPr>
          <w:rStyle w:val="CommentReference"/>
        </w:rPr>
        <w:commentReference w:id="2"/>
      </w:r>
    </w:p>
    <w:p w14:paraId="1CE320B4" w14:textId="30505A2D"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sample definition considered the identification of elderly individuals with SAH in the State of Pará from the records available in DATASUS, which, in its planning, included the verification of legalities and regularities during the proposed period.</w:t>
      </w:r>
    </w:p>
    <w:p w14:paraId="506A637E" w14:textId="77777777" w:rsidR="00A57ACA" w:rsidRPr="005B57FC" w:rsidRDefault="00A57ACA" w:rsidP="00A57ACA">
      <w:pPr>
        <w:rPr>
          <w:rFonts w:ascii="Times New Roman" w:hAnsi="Times New Roman" w:cs="Times New Roman"/>
          <w:b/>
          <w:bCs/>
          <w:lang w:val="en-US"/>
        </w:rPr>
      </w:pPr>
      <w:commentRangeStart w:id="3"/>
      <w:r w:rsidRPr="005B57FC">
        <w:rPr>
          <w:rFonts w:ascii="Times New Roman" w:hAnsi="Times New Roman" w:cs="Times New Roman"/>
          <w:b/>
          <w:bCs/>
          <w:lang w:val="en-US"/>
        </w:rPr>
        <w:t>Inclusion and exclusion criteria</w:t>
      </w:r>
      <w:commentRangeEnd w:id="3"/>
      <w:r w:rsidR="00D442D5">
        <w:rPr>
          <w:rStyle w:val="CommentReference"/>
        </w:rPr>
        <w:commentReference w:id="3"/>
      </w:r>
    </w:p>
    <w:p w14:paraId="3ABDB829" w14:textId="10693CDB"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inclusion criteria comprised all data referring to the period from 2020 to 2024, that is, the last four years in the SINAN system. As exclusion criteria, records not aligned with the objectives, such as schooling, were excluded.</w:t>
      </w:r>
    </w:p>
    <w:p w14:paraId="1B4EC92D"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Variables to be studied</w:t>
      </w:r>
    </w:p>
    <w:p w14:paraId="65BF1445" w14:textId="4C5FC083"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variables investigated in the study were: the number of elderly individuals hospitalized with SAH by municipality and year, age group, gender, and color/race, obtained from secondary databases with free public access through DATASUS, Ministry of Health (MH).</w:t>
      </w:r>
    </w:p>
    <w:p w14:paraId="6E799892" w14:textId="77777777" w:rsidR="00A57ACA" w:rsidRPr="005B57FC" w:rsidRDefault="00A57ACA" w:rsidP="00A57ACA">
      <w:pPr>
        <w:rPr>
          <w:rFonts w:ascii="Times New Roman" w:hAnsi="Times New Roman" w:cs="Times New Roman"/>
          <w:b/>
          <w:bCs/>
          <w:lang w:val="en-US"/>
        </w:rPr>
      </w:pPr>
      <w:commentRangeStart w:id="4"/>
      <w:r w:rsidRPr="005B57FC">
        <w:rPr>
          <w:rFonts w:ascii="Times New Roman" w:hAnsi="Times New Roman" w:cs="Times New Roman"/>
          <w:b/>
          <w:bCs/>
          <w:lang w:val="en-US"/>
        </w:rPr>
        <w:t>Procedure for data collection</w:t>
      </w:r>
      <w:commentRangeEnd w:id="4"/>
      <w:r w:rsidR="00D442D5">
        <w:rPr>
          <w:rStyle w:val="CommentReference"/>
        </w:rPr>
        <w:commentReference w:id="4"/>
      </w:r>
    </w:p>
    <w:p w14:paraId="0A858324" w14:textId="5B9DB619"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lastRenderedPageBreak/>
        <w:t>The data were organized using the TABNET tabulator, developed by the Ministry of Health and available on DATASUS, and transferred to spreadsheets using Microsoft Office 365 Excel software in order to perform descriptive analyses.</w:t>
      </w:r>
    </w:p>
    <w:p w14:paraId="3F04A464"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Risks and benefits</w:t>
      </w:r>
    </w:p>
    <w:p w14:paraId="581497A8" w14:textId="629DD267" w:rsidR="00A57ACA" w:rsidRPr="005B57FC" w:rsidRDefault="00A57ACA" w:rsidP="00A57ACA">
      <w:pPr>
        <w:rPr>
          <w:rFonts w:ascii="Times New Roman" w:hAnsi="Times New Roman" w:cs="Times New Roman"/>
          <w:lang w:val="en-US"/>
        </w:rPr>
      </w:pPr>
      <w:r w:rsidRPr="005B57FC">
        <w:rPr>
          <w:rFonts w:ascii="Times New Roman" w:hAnsi="Times New Roman" w:cs="Times New Roman"/>
          <w:lang w:val="en-US"/>
        </w:rPr>
        <w:t>The present research presents minimal risks, considering that it was carried out using sources provided by DATASUS. The benefits of this study are directed to the general population, as it will enable an understanding of the overview of the surveillance situation over the last four years, as well as assist competent bodies, health institutions, and professionals in planning more effective actions and mechanisms to reduce deaths, in addition to fostering new studies within the scientific community.</w:t>
      </w:r>
    </w:p>
    <w:p w14:paraId="290AEB2A" w14:textId="77777777" w:rsidR="00A57ACA" w:rsidRPr="005B57FC" w:rsidRDefault="00A57ACA" w:rsidP="00A57ACA">
      <w:pPr>
        <w:rPr>
          <w:rFonts w:ascii="Times New Roman" w:hAnsi="Times New Roman" w:cs="Times New Roman"/>
          <w:b/>
          <w:bCs/>
          <w:lang w:val="en-US"/>
        </w:rPr>
      </w:pPr>
      <w:r w:rsidRPr="005B57FC">
        <w:rPr>
          <w:rFonts w:ascii="Times New Roman" w:hAnsi="Times New Roman" w:cs="Times New Roman"/>
          <w:b/>
          <w:bCs/>
          <w:lang w:val="en-US"/>
        </w:rPr>
        <w:t>Ethical aspects</w:t>
      </w:r>
    </w:p>
    <w:p w14:paraId="2C6B88F6" w14:textId="22EC69A6" w:rsidR="00A57ACA" w:rsidRPr="00A57ACA" w:rsidRDefault="00A57ACA" w:rsidP="00A57ACA">
      <w:pPr>
        <w:rPr>
          <w:rFonts w:ascii="Times New Roman" w:hAnsi="Times New Roman" w:cs="Times New Roman"/>
          <w:lang w:val="en-US"/>
        </w:rPr>
      </w:pPr>
      <w:r w:rsidRPr="005B57FC">
        <w:rPr>
          <w:rFonts w:ascii="Times New Roman" w:hAnsi="Times New Roman" w:cs="Times New Roman"/>
          <w:lang w:val="en-US"/>
        </w:rPr>
        <w:t>According to Resolution No. 506/16 of the National Health Council (CNS), it is not necessary to submit the present study to a Research Ethics Committee, as it does not involve intervention in the studied population, since it uses secondary databases with free public access.</w:t>
      </w:r>
      <w:r w:rsidRPr="00A57ACA">
        <w:rPr>
          <w:rFonts w:ascii="Times New Roman" w:hAnsi="Times New Roman" w:cs="Times New Roman"/>
          <w:lang w:val="en-US"/>
        </w:rPr>
        <w:t xml:space="preserve"> </w:t>
      </w:r>
    </w:p>
    <w:p w14:paraId="34720428" w14:textId="77777777" w:rsidR="00A57ACA" w:rsidRPr="00A57ACA" w:rsidRDefault="00A57ACA" w:rsidP="00A57ACA">
      <w:pPr>
        <w:rPr>
          <w:lang w:val="en-US"/>
        </w:rPr>
      </w:pPr>
    </w:p>
    <w:p w14:paraId="422FADA1" w14:textId="504A2B3F" w:rsidR="009C2286" w:rsidRPr="005B57FC" w:rsidRDefault="009C2286" w:rsidP="009C2286">
      <w:pPr>
        <w:rPr>
          <w:rFonts w:ascii="Times New Roman" w:hAnsi="Times New Roman" w:cs="Times New Roman"/>
          <w:b/>
          <w:bCs/>
          <w:lang w:val="en-US"/>
        </w:rPr>
      </w:pPr>
      <w:r w:rsidRPr="005B57FC">
        <w:rPr>
          <w:rFonts w:ascii="Times New Roman" w:hAnsi="Times New Roman" w:cs="Times New Roman"/>
          <w:b/>
          <w:bCs/>
          <w:lang w:val="en-US"/>
        </w:rPr>
        <w:t>RESULTS</w:t>
      </w:r>
    </w:p>
    <w:p w14:paraId="32A0C59E" w14:textId="05F1AD72" w:rsidR="009C2286" w:rsidRPr="005B57FC" w:rsidRDefault="009C2286" w:rsidP="009C2286">
      <w:pPr>
        <w:rPr>
          <w:rFonts w:ascii="Times New Roman" w:hAnsi="Times New Roman" w:cs="Times New Roman"/>
          <w:lang w:val="en-US"/>
        </w:rPr>
      </w:pPr>
      <w:commentRangeStart w:id="5"/>
      <w:r w:rsidRPr="005B57FC">
        <w:rPr>
          <w:rFonts w:ascii="Times New Roman" w:hAnsi="Times New Roman" w:cs="Times New Roman"/>
          <w:lang w:val="en-US"/>
        </w:rPr>
        <w:t xml:space="preserve">According to the sociodemographic variables analyzed, 14,744 cases of hospitalization due to hypertension in elderly individuals were identified in the State of Pará between the years 2020 and 2024, as shown in Table 1. Still regarding Table 1, Belém was identified as the municipality with the highest incidence, with 1,574 cases, followed by Santo Antônio do </w:t>
      </w:r>
      <w:proofErr w:type="spellStart"/>
      <w:r w:rsidRPr="005B57FC">
        <w:rPr>
          <w:rFonts w:ascii="Times New Roman" w:hAnsi="Times New Roman" w:cs="Times New Roman"/>
          <w:lang w:val="en-US"/>
        </w:rPr>
        <w:t>Tauá</w:t>
      </w:r>
      <w:proofErr w:type="spellEnd"/>
      <w:r w:rsidRPr="005B57FC">
        <w:rPr>
          <w:rFonts w:ascii="Times New Roman" w:hAnsi="Times New Roman" w:cs="Times New Roman"/>
          <w:lang w:val="en-US"/>
        </w:rPr>
        <w:t>, with 1,044 cases.</w:t>
      </w:r>
      <w:commentRangeEnd w:id="5"/>
      <w:r w:rsidR="00D442D5">
        <w:rPr>
          <w:rStyle w:val="CommentReference"/>
        </w:rPr>
        <w:commentReference w:id="5"/>
      </w:r>
    </w:p>
    <w:p w14:paraId="4CBF6BD8" w14:textId="58EB17F2" w:rsidR="00A57ACA" w:rsidRDefault="009C2286" w:rsidP="009C2286">
      <w:pPr>
        <w:rPr>
          <w:rFonts w:ascii="Times New Roman" w:hAnsi="Times New Roman" w:cs="Times New Roman"/>
          <w:lang w:val="en-US"/>
        </w:rPr>
      </w:pPr>
      <w:r w:rsidRPr="005B57FC">
        <w:rPr>
          <w:rFonts w:ascii="Times New Roman" w:hAnsi="Times New Roman" w:cs="Times New Roman"/>
          <w:lang w:val="en-US"/>
        </w:rPr>
        <w:t>Table 1: Hospitalizations of Elderly Individuals with Hypertension by Region in the State of Pará</w:t>
      </w:r>
      <w:r w:rsidR="005B57FC">
        <w:rPr>
          <w:rFonts w:ascii="Times New Roman" w:hAnsi="Times New Roman" w:cs="Times New Roman"/>
          <w:lang w:val="en-US"/>
        </w:rPr>
        <w:t>.</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3344"/>
        <w:gridCol w:w="1619"/>
      </w:tblGrid>
      <w:tr w:rsidR="00A66637" w14:paraId="21B9C33C" w14:textId="77777777" w:rsidTr="00A66637">
        <w:trPr>
          <w:trHeight w:val="272"/>
          <w:jc w:val="center"/>
        </w:trPr>
        <w:tc>
          <w:tcPr>
            <w:tcW w:w="3344" w:type="dxa"/>
            <w:shd w:val="clear" w:color="auto" w:fill="FDF1CD"/>
          </w:tcPr>
          <w:p w14:paraId="5FAFBA06" w14:textId="46818382" w:rsidR="00A66637" w:rsidRPr="0024672D" w:rsidRDefault="0024672D" w:rsidP="00A66637">
            <w:pPr>
              <w:pStyle w:val="TableParagraph"/>
              <w:spacing w:before="42" w:line="208" w:lineRule="exact"/>
              <w:ind w:left="265"/>
              <w:rPr>
                <w:sz w:val="24"/>
                <w:szCs w:val="28"/>
                <w:lang w:val="en-US"/>
              </w:rPr>
            </w:pPr>
            <w:r w:rsidRPr="00A66637">
              <w:rPr>
                <w:sz w:val="20"/>
                <w:lang w:val="en-US"/>
              </w:rPr>
              <w:t>MUNICIPALITIES IN THE STATE OF PARÁ</w:t>
            </w:r>
          </w:p>
        </w:tc>
        <w:tc>
          <w:tcPr>
            <w:tcW w:w="1619" w:type="dxa"/>
            <w:shd w:val="clear" w:color="auto" w:fill="FDF1CD"/>
          </w:tcPr>
          <w:p w14:paraId="7380729C" w14:textId="7890FCD2" w:rsidR="00A66637" w:rsidRPr="0024672D" w:rsidRDefault="0024672D" w:rsidP="00BD6369">
            <w:pPr>
              <w:pStyle w:val="TableParagraph"/>
              <w:spacing w:before="42" w:line="208" w:lineRule="exact"/>
              <w:ind w:left="1" w:right="152"/>
              <w:rPr>
                <w:sz w:val="20"/>
              </w:rPr>
            </w:pPr>
            <w:r w:rsidRPr="0024672D">
              <w:rPr>
                <w:spacing w:val="-2"/>
                <w:sz w:val="20"/>
                <w:lang w:val="pt-BR"/>
              </w:rPr>
              <w:t>QUANTITY</w:t>
            </w:r>
          </w:p>
        </w:tc>
      </w:tr>
      <w:tr w:rsidR="00A66637" w14:paraId="79CBA72E" w14:textId="77777777" w:rsidTr="00A66637">
        <w:trPr>
          <w:trHeight w:val="293"/>
          <w:jc w:val="center"/>
        </w:trPr>
        <w:tc>
          <w:tcPr>
            <w:tcW w:w="3344" w:type="dxa"/>
          </w:tcPr>
          <w:p w14:paraId="6E83924F" w14:textId="77777777" w:rsidR="00A66637" w:rsidRDefault="00A66637" w:rsidP="00BD6369">
            <w:pPr>
              <w:pStyle w:val="TableParagraph"/>
              <w:spacing w:before="42"/>
              <w:ind w:left="80"/>
              <w:jc w:val="left"/>
              <w:rPr>
                <w:rFonts w:ascii="Arial MT" w:hAnsi="Arial MT"/>
                <w:sz w:val="20"/>
              </w:rPr>
            </w:pPr>
            <w:r>
              <w:rPr>
                <w:rFonts w:ascii="Arial MT" w:hAnsi="Arial MT"/>
                <w:sz w:val="20"/>
              </w:rPr>
              <w:t>SÃO</w:t>
            </w:r>
            <w:r>
              <w:rPr>
                <w:rFonts w:ascii="Arial MT" w:hAnsi="Arial MT"/>
                <w:spacing w:val="-2"/>
                <w:sz w:val="20"/>
              </w:rPr>
              <w:t xml:space="preserve"> </w:t>
            </w:r>
            <w:r>
              <w:rPr>
                <w:rFonts w:ascii="Arial MT" w:hAnsi="Arial MT"/>
                <w:sz w:val="20"/>
              </w:rPr>
              <w:t>DOMINGOS</w:t>
            </w:r>
            <w:r>
              <w:rPr>
                <w:rFonts w:ascii="Arial MT" w:hAnsi="Arial MT"/>
                <w:spacing w:val="-1"/>
                <w:sz w:val="20"/>
              </w:rPr>
              <w:t xml:space="preserve"> </w:t>
            </w:r>
            <w:r>
              <w:rPr>
                <w:rFonts w:ascii="Arial MT" w:hAnsi="Arial MT"/>
                <w:sz w:val="20"/>
              </w:rPr>
              <w:t>DO</w:t>
            </w:r>
            <w:r>
              <w:rPr>
                <w:rFonts w:ascii="Arial MT" w:hAnsi="Arial MT"/>
                <w:spacing w:val="-1"/>
                <w:sz w:val="20"/>
              </w:rPr>
              <w:t xml:space="preserve"> </w:t>
            </w:r>
            <w:r>
              <w:rPr>
                <w:rFonts w:ascii="Arial MT" w:hAnsi="Arial MT"/>
                <w:spacing w:val="-2"/>
                <w:sz w:val="20"/>
              </w:rPr>
              <w:t>ARAGUAIA</w:t>
            </w:r>
          </w:p>
        </w:tc>
        <w:tc>
          <w:tcPr>
            <w:tcW w:w="1619" w:type="dxa"/>
          </w:tcPr>
          <w:p w14:paraId="4890E5C6" w14:textId="77777777" w:rsidR="00A66637" w:rsidRDefault="00A66637" w:rsidP="00BD6369">
            <w:pPr>
              <w:pStyle w:val="TableParagraph"/>
              <w:spacing w:before="42"/>
              <w:ind w:left="11" w:right="152"/>
              <w:rPr>
                <w:rFonts w:ascii="Arial MT"/>
                <w:sz w:val="20"/>
              </w:rPr>
            </w:pPr>
            <w:r>
              <w:rPr>
                <w:rFonts w:ascii="Arial MT"/>
                <w:spacing w:val="-5"/>
                <w:sz w:val="20"/>
              </w:rPr>
              <w:t>97</w:t>
            </w:r>
          </w:p>
        </w:tc>
      </w:tr>
      <w:tr w:rsidR="00A66637" w14:paraId="10554B04" w14:textId="77777777" w:rsidTr="00A66637">
        <w:trPr>
          <w:trHeight w:val="270"/>
          <w:jc w:val="center"/>
        </w:trPr>
        <w:tc>
          <w:tcPr>
            <w:tcW w:w="3344" w:type="dxa"/>
          </w:tcPr>
          <w:p w14:paraId="14D99024" w14:textId="77777777" w:rsidR="00A66637" w:rsidRDefault="00A66637" w:rsidP="00BD6369">
            <w:pPr>
              <w:pStyle w:val="TableParagraph"/>
              <w:spacing w:before="16"/>
              <w:ind w:left="280"/>
              <w:jc w:val="left"/>
              <w:rPr>
                <w:rFonts w:ascii="Arial MT" w:hAnsi="Arial MT"/>
                <w:sz w:val="20"/>
              </w:rPr>
            </w:pPr>
            <w:r>
              <w:rPr>
                <w:rFonts w:ascii="Arial MT" w:hAnsi="Arial MT"/>
                <w:sz w:val="20"/>
              </w:rPr>
              <w:t>SÃO</w:t>
            </w:r>
            <w:r>
              <w:rPr>
                <w:rFonts w:ascii="Arial MT" w:hAnsi="Arial MT"/>
                <w:spacing w:val="-2"/>
                <w:sz w:val="20"/>
              </w:rPr>
              <w:t xml:space="preserve"> </w:t>
            </w:r>
            <w:r>
              <w:rPr>
                <w:rFonts w:ascii="Arial MT" w:hAnsi="Arial MT"/>
                <w:sz w:val="20"/>
              </w:rPr>
              <w:t>DOMINGOS</w:t>
            </w:r>
            <w:r>
              <w:rPr>
                <w:rFonts w:ascii="Arial MT" w:hAnsi="Arial MT"/>
                <w:spacing w:val="-1"/>
                <w:sz w:val="20"/>
              </w:rPr>
              <w:t xml:space="preserve"> </w:t>
            </w:r>
            <w:r>
              <w:rPr>
                <w:rFonts w:ascii="Arial MT" w:hAnsi="Arial MT"/>
                <w:sz w:val="20"/>
              </w:rPr>
              <w:t>DO</w:t>
            </w:r>
            <w:r>
              <w:rPr>
                <w:rFonts w:ascii="Arial MT" w:hAnsi="Arial MT"/>
                <w:spacing w:val="-1"/>
                <w:sz w:val="20"/>
              </w:rPr>
              <w:t xml:space="preserve"> </w:t>
            </w:r>
            <w:r>
              <w:rPr>
                <w:rFonts w:ascii="Arial MT" w:hAnsi="Arial MT"/>
                <w:spacing w:val="-2"/>
                <w:sz w:val="20"/>
              </w:rPr>
              <w:t>CAPIM</w:t>
            </w:r>
          </w:p>
        </w:tc>
        <w:tc>
          <w:tcPr>
            <w:tcW w:w="1619" w:type="dxa"/>
          </w:tcPr>
          <w:p w14:paraId="797B7570" w14:textId="77777777" w:rsidR="00A66637" w:rsidRDefault="00A66637" w:rsidP="00BD6369">
            <w:pPr>
              <w:pStyle w:val="TableParagraph"/>
              <w:spacing w:before="16"/>
              <w:ind w:right="152"/>
              <w:rPr>
                <w:rFonts w:ascii="Arial MT"/>
                <w:sz w:val="20"/>
              </w:rPr>
            </w:pPr>
            <w:r>
              <w:rPr>
                <w:rFonts w:ascii="Arial MT"/>
                <w:spacing w:val="-5"/>
                <w:sz w:val="20"/>
              </w:rPr>
              <w:t>107</w:t>
            </w:r>
          </w:p>
        </w:tc>
      </w:tr>
      <w:tr w:rsidR="00A66637" w14:paraId="6E8353E0" w14:textId="77777777" w:rsidTr="00A66637">
        <w:trPr>
          <w:trHeight w:val="270"/>
          <w:jc w:val="center"/>
        </w:trPr>
        <w:tc>
          <w:tcPr>
            <w:tcW w:w="3344" w:type="dxa"/>
          </w:tcPr>
          <w:p w14:paraId="332B9FB6" w14:textId="77777777" w:rsidR="00A66637" w:rsidRDefault="00A66637" w:rsidP="00BD6369">
            <w:pPr>
              <w:pStyle w:val="TableParagraph"/>
              <w:spacing w:before="16"/>
              <w:ind w:left="560"/>
              <w:jc w:val="left"/>
              <w:rPr>
                <w:rFonts w:ascii="Arial MT" w:hAnsi="Arial MT"/>
                <w:sz w:val="20"/>
              </w:rPr>
            </w:pPr>
            <w:r>
              <w:rPr>
                <w:rFonts w:ascii="Arial MT" w:hAnsi="Arial MT"/>
                <w:sz w:val="20"/>
              </w:rPr>
              <w:t>SÃO</w:t>
            </w:r>
            <w:r>
              <w:rPr>
                <w:rFonts w:ascii="Arial MT" w:hAnsi="Arial MT"/>
                <w:spacing w:val="-4"/>
                <w:sz w:val="20"/>
              </w:rPr>
              <w:t xml:space="preserve"> </w:t>
            </w:r>
            <w:r>
              <w:rPr>
                <w:rFonts w:ascii="Arial MT" w:hAnsi="Arial MT"/>
                <w:sz w:val="20"/>
              </w:rPr>
              <w:t>FELIX</w:t>
            </w:r>
            <w:r>
              <w:rPr>
                <w:rFonts w:ascii="Arial MT" w:hAnsi="Arial MT"/>
                <w:spacing w:val="-5"/>
                <w:sz w:val="20"/>
              </w:rPr>
              <w:t xml:space="preserve"> </w:t>
            </w:r>
            <w:r>
              <w:rPr>
                <w:rFonts w:ascii="Arial MT" w:hAnsi="Arial MT"/>
                <w:sz w:val="20"/>
              </w:rPr>
              <w:t>DO</w:t>
            </w:r>
            <w:r>
              <w:rPr>
                <w:rFonts w:ascii="Arial MT" w:hAnsi="Arial MT"/>
                <w:spacing w:val="3"/>
                <w:sz w:val="20"/>
              </w:rPr>
              <w:t xml:space="preserve"> </w:t>
            </w:r>
            <w:r>
              <w:rPr>
                <w:rFonts w:ascii="Arial MT" w:hAnsi="Arial MT"/>
                <w:spacing w:val="-4"/>
                <w:sz w:val="20"/>
              </w:rPr>
              <w:t>XINGU</w:t>
            </w:r>
          </w:p>
        </w:tc>
        <w:tc>
          <w:tcPr>
            <w:tcW w:w="1619" w:type="dxa"/>
          </w:tcPr>
          <w:p w14:paraId="2B9AD8FE" w14:textId="77777777" w:rsidR="00A66637" w:rsidRDefault="00A66637" w:rsidP="00BD6369">
            <w:pPr>
              <w:pStyle w:val="TableParagraph"/>
              <w:spacing w:before="16"/>
              <w:ind w:left="11" w:right="152"/>
              <w:rPr>
                <w:rFonts w:ascii="Arial MT"/>
                <w:sz w:val="20"/>
              </w:rPr>
            </w:pPr>
            <w:r>
              <w:rPr>
                <w:rFonts w:ascii="Arial MT"/>
                <w:spacing w:val="-5"/>
                <w:sz w:val="20"/>
              </w:rPr>
              <w:t>64</w:t>
            </w:r>
          </w:p>
        </w:tc>
      </w:tr>
      <w:tr w:rsidR="00A66637" w14:paraId="6AA847A3" w14:textId="77777777" w:rsidTr="00A66637">
        <w:trPr>
          <w:trHeight w:val="270"/>
          <w:jc w:val="center"/>
        </w:trPr>
        <w:tc>
          <w:tcPr>
            <w:tcW w:w="3344" w:type="dxa"/>
          </w:tcPr>
          <w:p w14:paraId="3F359CC7" w14:textId="77777777" w:rsidR="00A66637" w:rsidRDefault="00A66637" w:rsidP="00BD6369">
            <w:pPr>
              <w:pStyle w:val="TableParagraph"/>
              <w:spacing w:before="17"/>
              <w:ind w:left="150"/>
              <w:jc w:val="left"/>
              <w:rPr>
                <w:rFonts w:ascii="Arial MT" w:hAnsi="Arial MT"/>
                <w:sz w:val="20"/>
              </w:rPr>
            </w:pPr>
            <w:r>
              <w:rPr>
                <w:rFonts w:ascii="Arial MT" w:hAnsi="Arial MT"/>
                <w:sz w:val="20"/>
              </w:rPr>
              <w:t>SÃO</w:t>
            </w:r>
            <w:r>
              <w:rPr>
                <w:rFonts w:ascii="Arial MT" w:hAnsi="Arial MT"/>
                <w:spacing w:val="-1"/>
                <w:sz w:val="20"/>
              </w:rPr>
              <w:t xml:space="preserve"> </w:t>
            </w:r>
            <w:r>
              <w:rPr>
                <w:rFonts w:ascii="Arial MT" w:hAnsi="Arial MT"/>
                <w:sz w:val="20"/>
              </w:rPr>
              <w:t>GERALDO</w:t>
            </w:r>
            <w:r>
              <w:rPr>
                <w:rFonts w:ascii="Arial MT" w:hAnsi="Arial MT"/>
                <w:spacing w:val="-1"/>
                <w:sz w:val="20"/>
              </w:rPr>
              <w:t xml:space="preserve"> </w:t>
            </w:r>
            <w:r>
              <w:rPr>
                <w:rFonts w:ascii="Arial MT" w:hAnsi="Arial MT"/>
                <w:sz w:val="20"/>
              </w:rPr>
              <w:t>DO</w:t>
            </w:r>
            <w:r>
              <w:rPr>
                <w:rFonts w:ascii="Arial MT" w:hAnsi="Arial MT"/>
                <w:spacing w:val="-1"/>
                <w:sz w:val="20"/>
              </w:rPr>
              <w:t xml:space="preserve"> </w:t>
            </w:r>
            <w:r>
              <w:rPr>
                <w:rFonts w:ascii="Arial MT" w:hAnsi="Arial MT"/>
                <w:spacing w:val="-2"/>
                <w:sz w:val="20"/>
              </w:rPr>
              <w:t>ARAGUAIA</w:t>
            </w:r>
          </w:p>
        </w:tc>
        <w:tc>
          <w:tcPr>
            <w:tcW w:w="1619" w:type="dxa"/>
          </w:tcPr>
          <w:p w14:paraId="06CC676C" w14:textId="77777777" w:rsidR="00A66637" w:rsidRDefault="00A66637" w:rsidP="00BD6369">
            <w:pPr>
              <w:pStyle w:val="TableParagraph"/>
              <w:spacing w:before="17"/>
              <w:ind w:left="11" w:right="152"/>
              <w:rPr>
                <w:rFonts w:ascii="Arial MT"/>
                <w:sz w:val="20"/>
              </w:rPr>
            </w:pPr>
            <w:r>
              <w:rPr>
                <w:rFonts w:ascii="Arial MT"/>
                <w:spacing w:val="-5"/>
                <w:sz w:val="20"/>
              </w:rPr>
              <w:t>88</w:t>
            </w:r>
          </w:p>
        </w:tc>
      </w:tr>
      <w:tr w:rsidR="00A66637" w14:paraId="72098FBA" w14:textId="77777777" w:rsidTr="00A66637">
        <w:trPr>
          <w:trHeight w:val="270"/>
          <w:jc w:val="center"/>
        </w:trPr>
        <w:tc>
          <w:tcPr>
            <w:tcW w:w="3344" w:type="dxa"/>
          </w:tcPr>
          <w:p w14:paraId="54D13B43" w14:textId="77777777" w:rsidR="00A66637" w:rsidRDefault="00A66637" w:rsidP="00BD6369">
            <w:pPr>
              <w:pStyle w:val="TableParagraph"/>
              <w:spacing w:before="16"/>
              <w:ind w:left="460"/>
              <w:jc w:val="left"/>
              <w:rPr>
                <w:rFonts w:ascii="Arial MT" w:hAnsi="Arial MT"/>
                <w:sz w:val="20"/>
              </w:rPr>
            </w:pPr>
            <w:r>
              <w:rPr>
                <w:rFonts w:ascii="Arial MT" w:hAnsi="Arial MT"/>
                <w:sz w:val="20"/>
              </w:rPr>
              <w:t>SÃO</w:t>
            </w:r>
            <w:r>
              <w:rPr>
                <w:rFonts w:ascii="Arial MT" w:hAnsi="Arial MT"/>
                <w:spacing w:val="-1"/>
                <w:sz w:val="20"/>
              </w:rPr>
              <w:t xml:space="preserve"> </w:t>
            </w:r>
            <w:r>
              <w:rPr>
                <w:rFonts w:ascii="Arial MT" w:hAnsi="Arial MT"/>
                <w:sz w:val="20"/>
              </w:rPr>
              <w:t>JOAO</w:t>
            </w:r>
            <w:r>
              <w:rPr>
                <w:rFonts w:ascii="Arial MT" w:hAnsi="Arial MT"/>
                <w:spacing w:val="-1"/>
                <w:sz w:val="20"/>
              </w:rPr>
              <w:t xml:space="preserve"> </w:t>
            </w:r>
            <w:r>
              <w:rPr>
                <w:rFonts w:ascii="Arial MT" w:hAnsi="Arial MT"/>
                <w:sz w:val="20"/>
              </w:rPr>
              <w:t>DE</w:t>
            </w:r>
            <w:r>
              <w:rPr>
                <w:rFonts w:ascii="Arial MT" w:hAnsi="Arial MT"/>
                <w:spacing w:val="2"/>
                <w:sz w:val="20"/>
              </w:rPr>
              <w:t xml:space="preserve"> </w:t>
            </w:r>
            <w:r>
              <w:rPr>
                <w:rFonts w:ascii="Arial MT" w:hAnsi="Arial MT"/>
                <w:spacing w:val="-2"/>
                <w:sz w:val="20"/>
              </w:rPr>
              <w:t>PIRABAS</w:t>
            </w:r>
          </w:p>
        </w:tc>
        <w:tc>
          <w:tcPr>
            <w:tcW w:w="1619" w:type="dxa"/>
          </w:tcPr>
          <w:p w14:paraId="79DB6DA0" w14:textId="77777777" w:rsidR="00A66637" w:rsidRDefault="00A66637" w:rsidP="00BD6369">
            <w:pPr>
              <w:pStyle w:val="TableParagraph"/>
              <w:spacing w:before="16"/>
              <w:ind w:left="13" w:right="152"/>
              <w:rPr>
                <w:rFonts w:ascii="Arial MT"/>
                <w:sz w:val="20"/>
              </w:rPr>
            </w:pPr>
            <w:r>
              <w:rPr>
                <w:rFonts w:ascii="Arial MT"/>
                <w:spacing w:val="-10"/>
                <w:sz w:val="20"/>
              </w:rPr>
              <w:t>6</w:t>
            </w:r>
          </w:p>
        </w:tc>
      </w:tr>
      <w:tr w:rsidR="00A66637" w14:paraId="39ACFC58" w14:textId="77777777" w:rsidTr="00A66637">
        <w:trPr>
          <w:trHeight w:val="270"/>
          <w:jc w:val="center"/>
        </w:trPr>
        <w:tc>
          <w:tcPr>
            <w:tcW w:w="3344" w:type="dxa"/>
          </w:tcPr>
          <w:p w14:paraId="73DBD578" w14:textId="77777777" w:rsidR="00A66637" w:rsidRDefault="00A66637" w:rsidP="00BD6369">
            <w:pPr>
              <w:pStyle w:val="TableParagraph"/>
              <w:spacing w:before="16"/>
              <w:ind w:left="365"/>
              <w:jc w:val="left"/>
              <w:rPr>
                <w:rFonts w:ascii="Arial MT" w:hAnsi="Arial MT"/>
                <w:sz w:val="20"/>
              </w:rPr>
            </w:pPr>
            <w:r>
              <w:rPr>
                <w:rFonts w:ascii="Arial MT" w:hAnsi="Arial MT"/>
                <w:sz w:val="20"/>
              </w:rPr>
              <w:t>SÃO</w:t>
            </w:r>
            <w:r>
              <w:rPr>
                <w:rFonts w:ascii="Arial MT" w:hAnsi="Arial MT"/>
                <w:spacing w:val="-1"/>
                <w:sz w:val="20"/>
              </w:rPr>
              <w:t xml:space="preserve"> </w:t>
            </w:r>
            <w:r>
              <w:rPr>
                <w:rFonts w:ascii="Arial MT" w:hAnsi="Arial MT"/>
                <w:sz w:val="20"/>
              </w:rPr>
              <w:t>JOAO</w:t>
            </w:r>
            <w:r>
              <w:rPr>
                <w:rFonts w:ascii="Arial MT" w:hAnsi="Arial MT"/>
                <w:spacing w:val="-1"/>
                <w:sz w:val="20"/>
              </w:rPr>
              <w:t xml:space="preserve"> </w:t>
            </w:r>
            <w:r>
              <w:rPr>
                <w:rFonts w:ascii="Arial MT" w:hAnsi="Arial MT"/>
                <w:sz w:val="20"/>
              </w:rPr>
              <w:t xml:space="preserve">DO </w:t>
            </w:r>
            <w:r>
              <w:rPr>
                <w:rFonts w:ascii="Arial MT" w:hAnsi="Arial MT"/>
                <w:spacing w:val="-2"/>
                <w:sz w:val="20"/>
              </w:rPr>
              <w:t>ARAGUAIA</w:t>
            </w:r>
          </w:p>
        </w:tc>
        <w:tc>
          <w:tcPr>
            <w:tcW w:w="1619" w:type="dxa"/>
          </w:tcPr>
          <w:p w14:paraId="53994305" w14:textId="77777777" w:rsidR="00A66637" w:rsidRDefault="00A66637" w:rsidP="00BD6369">
            <w:pPr>
              <w:pStyle w:val="TableParagraph"/>
              <w:spacing w:before="16"/>
              <w:ind w:left="11" w:right="152"/>
              <w:rPr>
                <w:rFonts w:ascii="Arial MT"/>
                <w:sz w:val="20"/>
              </w:rPr>
            </w:pPr>
            <w:r>
              <w:rPr>
                <w:rFonts w:ascii="Arial MT"/>
                <w:spacing w:val="-5"/>
                <w:sz w:val="20"/>
              </w:rPr>
              <w:t>13</w:t>
            </w:r>
          </w:p>
        </w:tc>
      </w:tr>
      <w:tr w:rsidR="00A66637" w14:paraId="4F8A0E83" w14:textId="77777777" w:rsidTr="00A66637">
        <w:trPr>
          <w:trHeight w:val="270"/>
          <w:jc w:val="center"/>
        </w:trPr>
        <w:tc>
          <w:tcPr>
            <w:tcW w:w="3344" w:type="dxa"/>
          </w:tcPr>
          <w:p w14:paraId="3C599A87" w14:textId="77777777" w:rsidR="00A66637" w:rsidRDefault="00A66637" w:rsidP="00BD6369">
            <w:pPr>
              <w:pStyle w:val="TableParagraph"/>
              <w:spacing w:before="16"/>
              <w:ind w:left="405"/>
              <w:jc w:val="left"/>
              <w:rPr>
                <w:rFonts w:ascii="Arial MT" w:hAnsi="Arial MT"/>
                <w:sz w:val="20"/>
              </w:rPr>
            </w:pPr>
            <w:r>
              <w:rPr>
                <w:rFonts w:ascii="Arial MT" w:hAnsi="Arial MT"/>
                <w:sz w:val="20"/>
              </w:rPr>
              <w:t>SÃO</w:t>
            </w:r>
            <w:r>
              <w:rPr>
                <w:rFonts w:ascii="Arial MT" w:hAnsi="Arial MT"/>
                <w:spacing w:val="-4"/>
                <w:sz w:val="20"/>
              </w:rPr>
              <w:t xml:space="preserve"> </w:t>
            </w:r>
            <w:r>
              <w:rPr>
                <w:rFonts w:ascii="Arial MT" w:hAnsi="Arial MT"/>
                <w:sz w:val="20"/>
              </w:rPr>
              <w:t>MIGUEL</w:t>
            </w:r>
            <w:r>
              <w:rPr>
                <w:rFonts w:ascii="Arial MT" w:hAnsi="Arial MT"/>
                <w:spacing w:val="-3"/>
                <w:sz w:val="20"/>
              </w:rPr>
              <w:t xml:space="preserve"> </w:t>
            </w:r>
            <w:r>
              <w:rPr>
                <w:rFonts w:ascii="Arial MT" w:hAnsi="Arial MT"/>
                <w:sz w:val="20"/>
              </w:rPr>
              <w:t>DO</w:t>
            </w:r>
            <w:r>
              <w:rPr>
                <w:rFonts w:ascii="Arial MT" w:hAnsi="Arial MT"/>
                <w:spacing w:val="-1"/>
                <w:sz w:val="20"/>
              </w:rPr>
              <w:t xml:space="preserve"> </w:t>
            </w:r>
            <w:r>
              <w:rPr>
                <w:rFonts w:ascii="Arial MT" w:hAnsi="Arial MT"/>
                <w:spacing w:val="-4"/>
                <w:sz w:val="20"/>
              </w:rPr>
              <w:t>GUAMA</w:t>
            </w:r>
          </w:p>
        </w:tc>
        <w:tc>
          <w:tcPr>
            <w:tcW w:w="1619" w:type="dxa"/>
          </w:tcPr>
          <w:p w14:paraId="548A0FB9" w14:textId="77777777" w:rsidR="00A66637" w:rsidRDefault="00A66637" w:rsidP="00BD6369">
            <w:pPr>
              <w:pStyle w:val="TableParagraph"/>
              <w:spacing w:before="16"/>
              <w:ind w:left="11" w:right="152"/>
              <w:rPr>
                <w:rFonts w:ascii="Arial MT"/>
                <w:sz w:val="20"/>
              </w:rPr>
            </w:pPr>
            <w:r>
              <w:rPr>
                <w:rFonts w:ascii="Arial MT"/>
                <w:spacing w:val="-5"/>
                <w:sz w:val="20"/>
              </w:rPr>
              <w:t>75</w:t>
            </w:r>
          </w:p>
        </w:tc>
      </w:tr>
      <w:tr w:rsidR="00A66637" w14:paraId="392C20E6" w14:textId="77777777" w:rsidTr="00A66637">
        <w:trPr>
          <w:trHeight w:val="270"/>
          <w:jc w:val="center"/>
        </w:trPr>
        <w:tc>
          <w:tcPr>
            <w:tcW w:w="3344" w:type="dxa"/>
          </w:tcPr>
          <w:p w14:paraId="7E5B9D6A" w14:textId="77777777" w:rsidR="00A66637" w:rsidRDefault="00A66637" w:rsidP="00BD6369">
            <w:pPr>
              <w:pStyle w:val="TableParagraph"/>
              <w:spacing w:before="16"/>
              <w:ind w:left="70"/>
              <w:jc w:val="left"/>
              <w:rPr>
                <w:rFonts w:ascii="Arial MT" w:hAnsi="Arial MT"/>
                <w:sz w:val="20"/>
              </w:rPr>
            </w:pPr>
            <w:r>
              <w:rPr>
                <w:rFonts w:ascii="Arial MT" w:hAnsi="Arial MT"/>
                <w:sz w:val="20"/>
              </w:rPr>
              <w:t>SÃO</w:t>
            </w:r>
            <w:r>
              <w:rPr>
                <w:rFonts w:ascii="Arial MT" w:hAnsi="Arial MT"/>
                <w:spacing w:val="-2"/>
                <w:sz w:val="20"/>
              </w:rPr>
              <w:t xml:space="preserve"> </w:t>
            </w:r>
            <w:r>
              <w:rPr>
                <w:rFonts w:ascii="Arial MT" w:hAnsi="Arial MT"/>
                <w:sz w:val="20"/>
              </w:rPr>
              <w:t>SEBASTIAO</w:t>
            </w:r>
            <w:r>
              <w:rPr>
                <w:rFonts w:ascii="Arial MT" w:hAnsi="Arial MT"/>
                <w:spacing w:val="-2"/>
                <w:sz w:val="20"/>
              </w:rPr>
              <w:t xml:space="preserve"> </w:t>
            </w:r>
            <w:r>
              <w:rPr>
                <w:rFonts w:ascii="Arial MT" w:hAnsi="Arial MT"/>
                <w:sz w:val="20"/>
              </w:rPr>
              <w:t>DA BOA</w:t>
            </w:r>
            <w:r>
              <w:rPr>
                <w:rFonts w:ascii="Arial MT" w:hAnsi="Arial MT"/>
                <w:spacing w:val="-5"/>
                <w:sz w:val="20"/>
              </w:rPr>
              <w:t xml:space="preserve"> </w:t>
            </w:r>
            <w:r>
              <w:rPr>
                <w:rFonts w:ascii="Arial MT" w:hAnsi="Arial MT"/>
                <w:spacing w:val="-2"/>
                <w:sz w:val="20"/>
              </w:rPr>
              <w:t>VISTA</w:t>
            </w:r>
          </w:p>
        </w:tc>
        <w:tc>
          <w:tcPr>
            <w:tcW w:w="1619" w:type="dxa"/>
          </w:tcPr>
          <w:p w14:paraId="1BB2E5F1" w14:textId="77777777" w:rsidR="00A66637" w:rsidRDefault="00A66637" w:rsidP="00BD6369">
            <w:pPr>
              <w:pStyle w:val="TableParagraph"/>
              <w:spacing w:before="16"/>
              <w:ind w:right="152"/>
              <w:rPr>
                <w:rFonts w:ascii="Arial MT"/>
                <w:sz w:val="20"/>
              </w:rPr>
            </w:pPr>
            <w:r>
              <w:rPr>
                <w:rFonts w:ascii="Arial MT"/>
                <w:spacing w:val="-5"/>
                <w:sz w:val="20"/>
              </w:rPr>
              <w:t>170</w:t>
            </w:r>
          </w:p>
        </w:tc>
      </w:tr>
      <w:tr w:rsidR="00A66637" w14:paraId="2434D15B" w14:textId="77777777" w:rsidTr="00A66637">
        <w:trPr>
          <w:trHeight w:val="270"/>
          <w:jc w:val="center"/>
        </w:trPr>
        <w:tc>
          <w:tcPr>
            <w:tcW w:w="3344" w:type="dxa"/>
          </w:tcPr>
          <w:p w14:paraId="6CF6E2EE" w14:textId="77777777" w:rsidR="00A66637" w:rsidRDefault="00A66637" w:rsidP="00BD6369">
            <w:pPr>
              <w:pStyle w:val="TableParagraph"/>
              <w:spacing w:before="16"/>
              <w:ind w:left="1095"/>
              <w:jc w:val="left"/>
              <w:rPr>
                <w:rFonts w:ascii="Arial MT"/>
                <w:sz w:val="20"/>
              </w:rPr>
            </w:pPr>
            <w:r>
              <w:rPr>
                <w:rFonts w:ascii="Arial MT"/>
                <w:spacing w:val="-2"/>
                <w:sz w:val="20"/>
              </w:rPr>
              <w:t>SAPUCAIA</w:t>
            </w:r>
          </w:p>
        </w:tc>
        <w:tc>
          <w:tcPr>
            <w:tcW w:w="1619" w:type="dxa"/>
          </w:tcPr>
          <w:p w14:paraId="566CBA52" w14:textId="77777777" w:rsidR="00A66637" w:rsidRDefault="00A66637" w:rsidP="00BD6369">
            <w:pPr>
              <w:pStyle w:val="TableParagraph"/>
              <w:spacing w:before="16"/>
              <w:ind w:left="13" w:right="152"/>
              <w:rPr>
                <w:rFonts w:ascii="Arial MT"/>
                <w:sz w:val="20"/>
              </w:rPr>
            </w:pPr>
            <w:r>
              <w:rPr>
                <w:rFonts w:ascii="Arial MT"/>
                <w:spacing w:val="-10"/>
                <w:sz w:val="20"/>
              </w:rPr>
              <w:t>5</w:t>
            </w:r>
          </w:p>
        </w:tc>
      </w:tr>
      <w:tr w:rsidR="00A66637" w14:paraId="3D197AC5" w14:textId="77777777" w:rsidTr="00A66637">
        <w:trPr>
          <w:trHeight w:val="270"/>
          <w:jc w:val="center"/>
        </w:trPr>
        <w:tc>
          <w:tcPr>
            <w:tcW w:w="3344" w:type="dxa"/>
          </w:tcPr>
          <w:p w14:paraId="19504350" w14:textId="77777777" w:rsidR="00A66637" w:rsidRDefault="00A66637" w:rsidP="00BD6369">
            <w:pPr>
              <w:pStyle w:val="TableParagraph"/>
              <w:spacing w:before="17"/>
              <w:ind w:left="305"/>
              <w:jc w:val="left"/>
              <w:rPr>
                <w:rFonts w:ascii="Arial MT"/>
                <w:sz w:val="20"/>
              </w:rPr>
            </w:pPr>
            <w:r>
              <w:rPr>
                <w:rFonts w:ascii="Arial MT"/>
                <w:sz w:val="20"/>
              </w:rPr>
              <w:t>SENADOR</w:t>
            </w:r>
            <w:r>
              <w:rPr>
                <w:rFonts w:ascii="Arial MT"/>
                <w:spacing w:val="-2"/>
                <w:sz w:val="20"/>
              </w:rPr>
              <w:t xml:space="preserve"> </w:t>
            </w:r>
            <w:r>
              <w:rPr>
                <w:rFonts w:ascii="Arial MT"/>
                <w:sz w:val="20"/>
              </w:rPr>
              <w:t>JOSE</w:t>
            </w:r>
            <w:r>
              <w:rPr>
                <w:rFonts w:ascii="Arial MT"/>
                <w:spacing w:val="-1"/>
                <w:sz w:val="20"/>
              </w:rPr>
              <w:t xml:space="preserve"> </w:t>
            </w:r>
            <w:r>
              <w:rPr>
                <w:rFonts w:ascii="Arial MT"/>
                <w:spacing w:val="-2"/>
                <w:sz w:val="20"/>
              </w:rPr>
              <w:t>PORFIRIO</w:t>
            </w:r>
          </w:p>
        </w:tc>
        <w:tc>
          <w:tcPr>
            <w:tcW w:w="1619" w:type="dxa"/>
          </w:tcPr>
          <w:p w14:paraId="373310D5" w14:textId="77777777" w:rsidR="00A66637" w:rsidRDefault="00A66637" w:rsidP="00BD6369">
            <w:pPr>
              <w:pStyle w:val="TableParagraph"/>
              <w:spacing w:before="17"/>
              <w:ind w:left="11" w:right="152"/>
              <w:rPr>
                <w:rFonts w:ascii="Arial MT"/>
                <w:sz w:val="20"/>
              </w:rPr>
            </w:pPr>
            <w:r>
              <w:rPr>
                <w:rFonts w:ascii="Arial MT"/>
                <w:spacing w:val="-5"/>
                <w:sz w:val="20"/>
              </w:rPr>
              <w:t>73</w:t>
            </w:r>
          </w:p>
        </w:tc>
      </w:tr>
      <w:tr w:rsidR="00A66637" w14:paraId="152E4E1F" w14:textId="77777777" w:rsidTr="00A66637">
        <w:trPr>
          <w:trHeight w:val="270"/>
          <w:jc w:val="center"/>
        </w:trPr>
        <w:tc>
          <w:tcPr>
            <w:tcW w:w="3344" w:type="dxa"/>
          </w:tcPr>
          <w:p w14:paraId="1587A4AC" w14:textId="77777777" w:rsidR="00A66637" w:rsidRDefault="00A66637" w:rsidP="00BD6369">
            <w:pPr>
              <w:pStyle w:val="TableParagraph"/>
              <w:spacing w:before="16"/>
              <w:ind w:left="12" w:right="150"/>
              <w:rPr>
                <w:rFonts w:ascii="Arial MT"/>
                <w:sz w:val="20"/>
              </w:rPr>
            </w:pPr>
            <w:r>
              <w:rPr>
                <w:rFonts w:ascii="Arial MT"/>
                <w:spacing w:val="-2"/>
                <w:sz w:val="20"/>
              </w:rPr>
              <w:t>SOURE</w:t>
            </w:r>
          </w:p>
        </w:tc>
        <w:tc>
          <w:tcPr>
            <w:tcW w:w="1619" w:type="dxa"/>
          </w:tcPr>
          <w:p w14:paraId="0FC50A71" w14:textId="77777777" w:rsidR="00A66637" w:rsidRDefault="00A66637" w:rsidP="00BD6369">
            <w:pPr>
              <w:pStyle w:val="TableParagraph"/>
              <w:spacing w:before="16"/>
              <w:ind w:right="152"/>
              <w:rPr>
                <w:rFonts w:ascii="Arial MT"/>
                <w:sz w:val="20"/>
              </w:rPr>
            </w:pPr>
            <w:r>
              <w:rPr>
                <w:rFonts w:ascii="Arial MT"/>
                <w:spacing w:val="-5"/>
                <w:sz w:val="20"/>
              </w:rPr>
              <w:t>283</w:t>
            </w:r>
          </w:p>
        </w:tc>
      </w:tr>
      <w:tr w:rsidR="00A66637" w14:paraId="5B0B2431" w14:textId="77777777" w:rsidTr="00A66637">
        <w:trPr>
          <w:trHeight w:val="270"/>
          <w:jc w:val="center"/>
        </w:trPr>
        <w:tc>
          <w:tcPr>
            <w:tcW w:w="3344" w:type="dxa"/>
          </w:tcPr>
          <w:p w14:paraId="2C77B02A" w14:textId="77777777" w:rsidR="00A66637" w:rsidRDefault="00A66637" w:rsidP="00BD6369">
            <w:pPr>
              <w:pStyle w:val="TableParagraph"/>
              <w:spacing w:before="16"/>
              <w:ind w:left="1080"/>
              <w:jc w:val="left"/>
              <w:rPr>
                <w:rFonts w:ascii="Arial MT"/>
                <w:sz w:val="20"/>
              </w:rPr>
            </w:pPr>
            <w:r>
              <w:rPr>
                <w:rFonts w:ascii="Arial MT"/>
                <w:spacing w:val="-2"/>
                <w:sz w:val="20"/>
              </w:rPr>
              <w:t>TAILANDIA</w:t>
            </w:r>
          </w:p>
        </w:tc>
        <w:tc>
          <w:tcPr>
            <w:tcW w:w="1619" w:type="dxa"/>
          </w:tcPr>
          <w:p w14:paraId="06ADF7E1" w14:textId="77777777" w:rsidR="00A66637" w:rsidRDefault="00A66637" w:rsidP="00BD6369">
            <w:pPr>
              <w:pStyle w:val="TableParagraph"/>
              <w:spacing w:before="16"/>
              <w:ind w:left="13" w:right="152"/>
              <w:rPr>
                <w:rFonts w:ascii="Arial MT"/>
                <w:sz w:val="20"/>
              </w:rPr>
            </w:pPr>
            <w:r>
              <w:rPr>
                <w:rFonts w:ascii="Arial MT"/>
                <w:spacing w:val="-10"/>
                <w:sz w:val="20"/>
              </w:rPr>
              <w:t>9</w:t>
            </w:r>
          </w:p>
        </w:tc>
      </w:tr>
      <w:tr w:rsidR="00A66637" w14:paraId="0D887D34" w14:textId="77777777" w:rsidTr="00A66637">
        <w:trPr>
          <w:trHeight w:val="270"/>
          <w:jc w:val="center"/>
        </w:trPr>
        <w:tc>
          <w:tcPr>
            <w:tcW w:w="3344" w:type="dxa"/>
          </w:tcPr>
          <w:p w14:paraId="55784125" w14:textId="77777777" w:rsidR="00A66637" w:rsidRDefault="00A66637" w:rsidP="00BD6369">
            <w:pPr>
              <w:pStyle w:val="TableParagraph"/>
              <w:spacing w:before="16"/>
              <w:ind w:left="900"/>
              <w:jc w:val="left"/>
              <w:rPr>
                <w:rFonts w:ascii="Arial MT"/>
                <w:sz w:val="20"/>
              </w:rPr>
            </w:pPr>
            <w:r>
              <w:rPr>
                <w:rFonts w:ascii="Arial MT"/>
                <w:sz w:val="20"/>
              </w:rPr>
              <w:t>TERRA</w:t>
            </w:r>
            <w:r>
              <w:rPr>
                <w:rFonts w:ascii="Arial MT"/>
                <w:spacing w:val="-3"/>
                <w:sz w:val="20"/>
              </w:rPr>
              <w:t xml:space="preserve"> </w:t>
            </w:r>
            <w:r>
              <w:rPr>
                <w:rFonts w:ascii="Arial MT"/>
                <w:spacing w:val="-2"/>
                <w:sz w:val="20"/>
              </w:rPr>
              <w:t>SANTA</w:t>
            </w:r>
          </w:p>
        </w:tc>
        <w:tc>
          <w:tcPr>
            <w:tcW w:w="1619" w:type="dxa"/>
          </w:tcPr>
          <w:p w14:paraId="0167FE03" w14:textId="77777777" w:rsidR="00A66637" w:rsidRDefault="00A66637" w:rsidP="00BD6369">
            <w:pPr>
              <w:pStyle w:val="TableParagraph"/>
              <w:spacing w:before="16"/>
              <w:ind w:left="11" w:right="152"/>
              <w:rPr>
                <w:rFonts w:ascii="Arial MT"/>
                <w:sz w:val="20"/>
              </w:rPr>
            </w:pPr>
            <w:r>
              <w:rPr>
                <w:rFonts w:ascii="Arial MT"/>
                <w:spacing w:val="-5"/>
                <w:sz w:val="20"/>
              </w:rPr>
              <w:t>41</w:t>
            </w:r>
          </w:p>
        </w:tc>
      </w:tr>
      <w:tr w:rsidR="00A66637" w14:paraId="54126BA2" w14:textId="77777777" w:rsidTr="00A66637">
        <w:trPr>
          <w:trHeight w:val="270"/>
          <w:jc w:val="center"/>
        </w:trPr>
        <w:tc>
          <w:tcPr>
            <w:tcW w:w="3344" w:type="dxa"/>
          </w:tcPr>
          <w:p w14:paraId="4837EBA3" w14:textId="77777777" w:rsidR="00A66637" w:rsidRDefault="00A66637" w:rsidP="00BD6369">
            <w:pPr>
              <w:pStyle w:val="TableParagraph"/>
              <w:spacing w:before="16"/>
              <w:ind w:left="1065"/>
              <w:jc w:val="left"/>
              <w:rPr>
                <w:rFonts w:ascii="Arial MT"/>
                <w:sz w:val="20"/>
              </w:rPr>
            </w:pPr>
            <w:r>
              <w:rPr>
                <w:rFonts w:ascii="Arial MT"/>
                <w:spacing w:val="-2"/>
                <w:sz w:val="20"/>
              </w:rPr>
              <w:t>TOME-</w:t>
            </w:r>
            <w:r>
              <w:rPr>
                <w:rFonts w:ascii="Arial MT"/>
                <w:spacing w:val="-5"/>
                <w:sz w:val="20"/>
              </w:rPr>
              <w:t>ACU</w:t>
            </w:r>
          </w:p>
        </w:tc>
        <w:tc>
          <w:tcPr>
            <w:tcW w:w="1619" w:type="dxa"/>
          </w:tcPr>
          <w:p w14:paraId="2457B6F4" w14:textId="77777777" w:rsidR="00A66637" w:rsidRDefault="00A66637" w:rsidP="00BD6369">
            <w:pPr>
              <w:pStyle w:val="TableParagraph"/>
              <w:spacing w:before="16"/>
              <w:ind w:right="152"/>
              <w:rPr>
                <w:rFonts w:ascii="Arial MT"/>
                <w:sz w:val="20"/>
              </w:rPr>
            </w:pPr>
            <w:r>
              <w:rPr>
                <w:rFonts w:ascii="Arial MT"/>
                <w:spacing w:val="-5"/>
                <w:sz w:val="20"/>
              </w:rPr>
              <w:t>109</w:t>
            </w:r>
          </w:p>
        </w:tc>
      </w:tr>
      <w:tr w:rsidR="00A66637" w14:paraId="40C65FF0" w14:textId="77777777" w:rsidTr="00A66637">
        <w:trPr>
          <w:trHeight w:val="270"/>
          <w:jc w:val="center"/>
        </w:trPr>
        <w:tc>
          <w:tcPr>
            <w:tcW w:w="3344" w:type="dxa"/>
          </w:tcPr>
          <w:p w14:paraId="61B7FA25" w14:textId="77777777" w:rsidR="00A66637" w:rsidRDefault="00A66637" w:rsidP="00BD6369">
            <w:pPr>
              <w:pStyle w:val="TableParagraph"/>
              <w:spacing w:before="16"/>
              <w:ind w:left="920"/>
              <w:jc w:val="left"/>
              <w:rPr>
                <w:rFonts w:ascii="Arial MT"/>
                <w:sz w:val="20"/>
              </w:rPr>
            </w:pPr>
            <w:r>
              <w:rPr>
                <w:rFonts w:ascii="Arial MT"/>
                <w:spacing w:val="-2"/>
                <w:sz w:val="20"/>
              </w:rPr>
              <w:t>TRACUATEUA</w:t>
            </w:r>
          </w:p>
        </w:tc>
        <w:tc>
          <w:tcPr>
            <w:tcW w:w="1619" w:type="dxa"/>
          </w:tcPr>
          <w:p w14:paraId="6A04448A" w14:textId="77777777" w:rsidR="00A66637" w:rsidRDefault="00A66637" w:rsidP="00BD6369">
            <w:pPr>
              <w:pStyle w:val="TableParagraph"/>
              <w:spacing w:before="16"/>
              <w:ind w:right="152"/>
              <w:rPr>
                <w:rFonts w:ascii="Arial MT"/>
                <w:sz w:val="20"/>
              </w:rPr>
            </w:pPr>
            <w:r>
              <w:rPr>
                <w:rFonts w:ascii="Arial MT"/>
                <w:spacing w:val="-5"/>
                <w:sz w:val="20"/>
              </w:rPr>
              <w:t>159</w:t>
            </w:r>
          </w:p>
        </w:tc>
      </w:tr>
      <w:tr w:rsidR="00A66637" w14:paraId="423850CB" w14:textId="77777777" w:rsidTr="00A66637">
        <w:trPr>
          <w:trHeight w:val="270"/>
          <w:jc w:val="center"/>
        </w:trPr>
        <w:tc>
          <w:tcPr>
            <w:tcW w:w="3344" w:type="dxa"/>
          </w:tcPr>
          <w:p w14:paraId="155B530E" w14:textId="77777777" w:rsidR="00A66637" w:rsidRDefault="00A66637" w:rsidP="00BD6369">
            <w:pPr>
              <w:pStyle w:val="TableParagraph"/>
              <w:spacing w:before="17"/>
              <w:ind w:left="9" w:right="150"/>
              <w:rPr>
                <w:rFonts w:ascii="Arial MT"/>
                <w:sz w:val="20"/>
              </w:rPr>
            </w:pPr>
            <w:r>
              <w:rPr>
                <w:rFonts w:ascii="Arial MT"/>
                <w:spacing w:val="-2"/>
                <w:sz w:val="20"/>
              </w:rPr>
              <w:lastRenderedPageBreak/>
              <w:t>TRAIRAO</w:t>
            </w:r>
          </w:p>
        </w:tc>
        <w:tc>
          <w:tcPr>
            <w:tcW w:w="1619" w:type="dxa"/>
          </w:tcPr>
          <w:p w14:paraId="6B8E03E5" w14:textId="77777777" w:rsidR="00A66637" w:rsidRDefault="00A66637" w:rsidP="00BD6369">
            <w:pPr>
              <w:pStyle w:val="TableParagraph"/>
              <w:spacing w:before="17"/>
              <w:ind w:right="152"/>
              <w:rPr>
                <w:rFonts w:ascii="Arial MT"/>
                <w:sz w:val="20"/>
              </w:rPr>
            </w:pPr>
            <w:r>
              <w:rPr>
                <w:rFonts w:ascii="Arial MT"/>
                <w:spacing w:val="-5"/>
                <w:sz w:val="20"/>
              </w:rPr>
              <w:t>181</w:t>
            </w:r>
          </w:p>
        </w:tc>
      </w:tr>
      <w:tr w:rsidR="00A66637" w14:paraId="6B2E7DB3" w14:textId="77777777" w:rsidTr="00A66637">
        <w:trPr>
          <w:trHeight w:val="270"/>
          <w:jc w:val="center"/>
        </w:trPr>
        <w:tc>
          <w:tcPr>
            <w:tcW w:w="3344" w:type="dxa"/>
          </w:tcPr>
          <w:p w14:paraId="0580451B" w14:textId="77777777" w:rsidR="00A66637" w:rsidRDefault="00A66637" w:rsidP="00BD6369">
            <w:pPr>
              <w:pStyle w:val="TableParagraph"/>
              <w:spacing w:before="16"/>
              <w:ind w:left="2" w:right="150"/>
              <w:rPr>
                <w:rFonts w:ascii="Arial MT"/>
                <w:sz w:val="20"/>
              </w:rPr>
            </w:pPr>
            <w:r>
              <w:rPr>
                <w:rFonts w:ascii="Arial MT"/>
                <w:spacing w:val="-2"/>
                <w:sz w:val="20"/>
              </w:rPr>
              <w:t>TUCUMA</w:t>
            </w:r>
          </w:p>
        </w:tc>
        <w:tc>
          <w:tcPr>
            <w:tcW w:w="1619" w:type="dxa"/>
          </w:tcPr>
          <w:p w14:paraId="24E7C99E" w14:textId="77777777" w:rsidR="00A66637" w:rsidRDefault="00A66637" w:rsidP="00BD6369">
            <w:pPr>
              <w:pStyle w:val="TableParagraph"/>
              <w:spacing w:before="16"/>
              <w:ind w:left="11" w:right="152"/>
              <w:rPr>
                <w:rFonts w:ascii="Arial MT"/>
                <w:sz w:val="20"/>
              </w:rPr>
            </w:pPr>
            <w:r>
              <w:rPr>
                <w:rFonts w:ascii="Arial MT"/>
                <w:spacing w:val="-5"/>
                <w:sz w:val="20"/>
              </w:rPr>
              <w:t>11</w:t>
            </w:r>
          </w:p>
        </w:tc>
      </w:tr>
      <w:tr w:rsidR="00A66637" w14:paraId="3E17D988" w14:textId="77777777" w:rsidTr="00A66637">
        <w:trPr>
          <w:trHeight w:val="270"/>
          <w:jc w:val="center"/>
        </w:trPr>
        <w:tc>
          <w:tcPr>
            <w:tcW w:w="3344" w:type="dxa"/>
          </w:tcPr>
          <w:p w14:paraId="71992AEB" w14:textId="77777777" w:rsidR="00A66637" w:rsidRDefault="00A66637" w:rsidP="00BD6369">
            <w:pPr>
              <w:pStyle w:val="TableParagraph"/>
              <w:spacing w:before="16"/>
              <w:ind w:left="9" w:right="150"/>
              <w:rPr>
                <w:rFonts w:ascii="Arial MT"/>
                <w:sz w:val="20"/>
              </w:rPr>
            </w:pPr>
            <w:r>
              <w:rPr>
                <w:rFonts w:ascii="Arial MT"/>
                <w:spacing w:val="-2"/>
                <w:sz w:val="20"/>
              </w:rPr>
              <w:t>TUCURUI</w:t>
            </w:r>
          </w:p>
        </w:tc>
        <w:tc>
          <w:tcPr>
            <w:tcW w:w="1619" w:type="dxa"/>
          </w:tcPr>
          <w:p w14:paraId="1C1072FB" w14:textId="77777777" w:rsidR="00A66637" w:rsidRDefault="00A66637" w:rsidP="00BD6369">
            <w:pPr>
              <w:pStyle w:val="TableParagraph"/>
              <w:spacing w:before="16"/>
              <w:ind w:left="13" w:right="152"/>
              <w:rPr>
                <w:rFonts w:ascii="Arial MT"/>
                <w:sz w:val="20"/>
              </w:rPr>
            </w:pPr>
            <w:r>
              <w:rPr>
                <w:rFonts w:ascii="Arial MT"/>
                <w:spacing w:val="-10"/>
                <w:sz w:val="20"/>
              </w:rPr>
              <w:t>7</w:t>
            </w:r>
          </w:p>
        </w:tc>
      </w:tr>
      <w:tr w:rsidR="00A66637" w14:paraId="2A93FC71" w14:textId="77777777" w:rsidTr="00A66637">
        <w:trPr>
          <w:trHeight w:val="270"/>
          <w:jc w:val="center"/>
        </w:trPr>
        <w:tc>
          <w:tcPr>
            <w:tcW w:w="3344" w:type="dxa"/>
          </w:tcPr>
          <w:p w14:paraId="340101C9" w14:textId="77777777" w:rsidR="00A66637" w:rsidRDefault="00A66637" w:rsidP="00BD6369">
            <w:pPr>
              <w:pStyle w:val="TableParagraph"/>
              <w:spacing w:before="16"/>
              <w:ind w:left="930"/>
              <w:jc w:val="left"/>
              <w:rPr>
                <w:rFonts w:ascii="Arial MT"/>
                <w:sz w:val="20"/>
              </w:rPr>
            </w:pPr>
            <w:r>
              <w:rPr>
                <w:rFonts w:ascii="Arial MT"/>
                <w:spacing w:val="-2"/>
                <w:sz w:val="20"/>
              </w:rPr>
              <w:t>ULIANOPOLIS</w:t>
            </w:r>
          </w:p>
        </w:tc>
        <w:tc>
          <w:tcPr>
            <w:tcW w:w="1619" w:type="dxa"/>
          </w:tcPr>
          <w:p w14:paraId="25AE4B85" w14:textId="77777777" w:rsidR="00A66637" w:rsidRDefault="00A66637" w:rsidP="00BD6369">
            <w:pPr>
              <w:pStyle w:val="TableParagraph"/>
              <w:spacing w:before="16"/>
              <w:ind w:right="152"/>
              <w:rPr>
                <w:rFonts w:ascii="Arial MT"/>
                <w:sz w:val="20"/>
              </w:rPr>
            </w:pPr>
            <w:r>
              <w:rPr>
                <w:rFonts w:ascii="Arial MT"/>
                <w:spacing w:val="-5"/>
                <w:sz w:val="20"/>
              </w:rPr>
              <w:t>152</w:t>
            </w:r>
          </w:p>
        </w:tc>
      </w:tr>
      <w:tr w:rsidR="00A66637" w14:paraId="3EFFD263" w14:textId="77777777" w:rsidTr="00A66637">
        <w:trPr>
          <w:trHeight w:val="270"/>
          <w:jc w:val="center"/>
        </w:trPr>
        <w:tc>
          <w:tcPr>
            <w:tcW w:w="3344" w:type="dxa"/>
          </w:tcPr>
          <w:p w14:paraId="0A484DB3" w14:textId="77777777" w:rsidR="00A66637" w:rsidRDefault="00A66637" w:rsidP="00BD6369">
            <w:pPr>
              <w:pStyle w:val="TableParagraph"/>
              <w:spacing w:before="16"/>
              <w:ind w:left="7" w:right="150"/>
              <w:rPr>
                <w:rFonts w:ascii="Arial MT"/>
                <w:sz w:val="20"/>
              </w:rPr>
            </w:pPr>
            <w:r>
              <w:rPr>
                <w:rFonts w:ascii="Arial MT"/>
                <w:spacing w:val="-2"/>
                <w:sz w:val="20"/>
              </w:rPr>
              <w:t>URUARA</w:t>
            </w:r>
          </w:p>
        </w:tc>
        <w:tc>
          <w:tcPr>
            <w:tcW w:w="1619" w:type="dxa"/>
          </w:tcPr>
          <w:p w14:paraId="12D98CEB" w14:textId="77777777" w:rsidR="00A66637" w:rsidRDefault="00A66637" w:rsidP="00BD6369">
            <w:pPr>
              <w:pStyle w:val="TableParagraph"/>
              <w:spacing w:before="16"/>
              <w:ind w:left="13" w:right="152"/>
              <w:rPr>
                <w:rFonts w:ascii="Arial MT"/>
                <w:sz w:val="20"/>
              </w:rPr>
            </w:pPr>
            <w:r>
              <w:rPr>
                <w:rFonts w:ascii="Arial MT"/>
                <w:spacing w:val="-10"/>
                <w:sz w:val="20"/>
              </w:rPr>
              <w:t>2</w:t>
            </w:r>
          </w:p>
        </w:tc>
      </w:tr>
      <w:tr w:rsidR="00A66637" w14:paraId="7148E523" w14:textId="77777777" w:rsidTr="00A66637">
        <w:trPr>
          <w:trHeight w:val="270"/>
          <w:jc w:val="center"/>
        </w:trPr>
        <w:tc>
          <w:tcPr>
            <w:tcW w:w="3344" w:type="dxa"/>
          </w:tcPr>
          <w:p w14:paraId="7736F096" w14:textId="77777777" w:rsidR="00A66637" w:rsidRDefault="00A66637" w:rsidP="00BD6369">
            <w:pPr>
              <w:pStyle w:val="TableParagraph"/>
              <w:spacing w:before="16"/>
              <w:ind w:left="3" w:right="150"/>
              <w:rPr>
                <w:rFonts w:ascii="Arial MT"/>
                <w:sz w:val="20"/>
              </w:rPr>
            </w:pPr>
            <w:r>
              <w:rPr>
                <w:rFonts w:ascii="Arial MT"/>
                <w:spacing w:val="-4"/>
                <w:sz w:val="20"/>
              </w:rPr>
              <w:t>VIGIA</w:t>
            </w:r>
          </w:p>
        </w:tc>
        <w:tc>
          <w:tcPr>
            <w:tcW w:w="1619" w:type="dxa"/>
          </w:tcPr>
          <w:p w14:paraId="11B8956B" w14:textId="77777777" w:rsidR="00A66637" w:rsidRDefault="00A66637" w:rsidP="00BD6369">
            <w:pPr>
              <w:pStyle w:val="TableParagraph"/>
              <w:spacing w:before="16"/>
              <w:ind w:left="11" w:right="152"/>
              <w:rPr>
                <w:rFonts w:ascii="Arial MT"/>
                <w:sz w:val="20"/>
              </w:rPr>
            </w:pPr>
            <w:r>
              <w:rPr>
                <w:rFonts w:ascii="Arial MT"/>
                <w:spacing w:val="-5"/>
                <w:sz w:val="20"/>
              </w:rPr>
              <w:t>94</w:t>
            </w:r>
          </w:p>
        </w:tc>
      </w:tr>
      <w:tr w:rsidR="00A66637" w14:paraId="6CE86B2A" w14:textId="77777777" w:rsidTr="00A66637">
        <w:trPr>
          <w:trHeight w:val="270"/>
          <w:jc w:val="center"/>
        </w:trPr>
        <w:tc>
          <w:tcPr>
            <w:tcW w:w="3344" w:type="dxa"/>
          </w:tcPr>
          <w:p w14:paraId="148B638F" w14:textId="77777777" w:rsidR="00A66637" w:rsidRDefault="00A66637" w:rsidP="00BD6369">
            <w:pPr>
              <w:pStyle w:val="TableParagraph"/>
              <w:spacing w:before="16"/>
              <w:ind w:left="13" w:right="150"/>
              <w:rPr>
                <w:rFonts w:ascii="Arial MT"/>
                <w:sz w:val="20"/>
              </w:rPr>
            </w:pPr>
            <w:r>
              <w:rPr>
                <w:rFonts w:ascii="Arial MT"/>
                <w:spacing w:val="-2"/>
                <w:sz w:val="20"/>
              </w:rPr>
              <w:t>VISEU</w:t>
            </w:r>
          </w:p>
        </w:tc>
        <w:tc>
          <w:tcPr>
            <w:tcW w:w="1619" w:type="dxa"/>
          </w:tcPr>
          <w:p w14:paraId="42771188" w14:textId="77777777" w:rsidR="00A66637" w:rsidRDefault="00A66637" w:rsidP="00BD6369">
            <w:pPr>
              <w:pStyle w:val="TableParagraph"/>
              <w:spacing w:before="16"/>
              <w:ind w:right="152"/>
              <w:rPr>
                <w:rFonts w:ascii="Arial MT"/>
                <w:sz w:val="20"/>
              </w:rPr>
            </w:pPr>
            <w:r>
              <w:rPr>
                <w:rFonts w:ascii="Arial MT"/>
                <w:spacing w:val="-5"/>
                <w:sz w:val="20"/>
              </w:rPr>
              <w:t>128</w:t>
            </w:r>
          </w:p>
        </w:tc>
      </w:tr>
      <w:tr w:rsidR="00A66637" w14:paraId="68B8949B" w14:textId="77777777" w:rsidTr="00A66637">
        <w:trPr>
          <w:trHeight w:val="262"/>
          <w:jc w:val="center"/>
        </w:trPr>
        <w:tc>
          <w:tcPr>
            <w:tcW w:w="3344" w:type="dxa"/>
          </w:tcPr>
          <w:p w14:paraId="2B642584" w14:textId="77777777" w:rsidR="00A66637" w:rsidRDefault="00A66637" w:rsidP="00BD6369">
            <w:pPr>
              <w:pStyle w:val="TableParagraph"/>
              <w:spacing w:before="17" w:line="226" w:lineRule="exact"/>
              <w:ind w:left="675"/>
              <w:jc w:val="left"/>
              <w:rPr>
                <w:rFonts w:ascii="Arial MT"/>
                <w:sz w:val="20"/>
              </w:rPr>
            </w:pPr>
            <w:r>
              <w:rPr>
                <w:rFonts w:ascii="Arial MT"/>
                <w:sz w:val="20"/>
              </w:rPr>
              <w:t>VITORIA</w:t>
            </w:r>
            <w:r>
              <w:rPr>
                <w:rFonts w:ascii="Arial MT"/>
                <w:spacing w:val="-2"/>
                <w:sz w:val="20"/>
              </w:rPr>
              <w:t xml:space="preserve"> </w:t>
            </w:r>
            <w:r>
              <w:rPr>
                <w:rFonts w:ascii="Arial MT"/>
                <w:sz w:val="20"/>
              </w:rPr>
              <w:t>DO</w:t>
            </w:r>
            <w:r>
              <w:rPr>
                <w:rFonts w:ascii="Arial MT"/>
                <w:spacing w:val="-2"/>
                <w:sz w:val="20"/>
              </w:rPr>
              <w:t xml:space="preserve"> XINGU</w:t>
            </w:r>
          </w:p>
        </w:tc>
        <w:tc>
          <w:tcPr>
            <w:tcW w:w="1619" w:type="dxa"/>
          </w:tcPr>
          <w:p w14:paraId="3C000B26" w14:textId="77777777" w:rsidR="00A66637" w:rsidRDefault="00A66637" w:rsidP="00BD6369">
            <w:pPr>
              <w:pStyle w:val="TableParagraph"/>
              <w:spacing w:before="17" w:line="226" w:lineRule="exact"/>
              <w:ind w:left="11" w:right="152"/>
              <w:rPr>
                <w:rFonts w:ascii="Arial MT"/>
                <w:sz w:val="20"/>
              </w:rPr>
            </w:pPr>
            <w:r>
              <w:rPr>
                <w:rFonts w:ascii="Arial MT"/>
                <w:spacing w:val="-5"/>
                <w:sz w:val="20"/>
              </w:rPr>
              <w:t>15</w:t>
            </w:r>
          </w:p>
        </w:tc>
      </w:tr>
      <w:tr w:rsidR="00A66637" w14:paraId="46BD83CA" w14:textId="77777777" w:rsidTr="00A66637">
        <w:trPr>
          <w:trHeight w:val="239"/>
          <w:jc w:val="center"/>
        </w:trPr>
        <w:tc>
          <w:tcPr>
            <w:tcW w:w="3344" w:type="dxa"/>
          </w:tcPr>
          <w:p w14:paraId="0C29FC6B" w14:textId="77777777" w:rsidR="00A66637" w:rsidRDefault="00A66637" w:rsidP="00BD6369">
            <w:pPr>
              <w:pStyle w:val="TableParagraph"/>
              <w:spacing w:before="9" w:line="208" w:lineRule="exact"/>
              <w:ind w:left="1075"/>
              <w:jc w:val="left"/>
              <w:rPr>
                <w:rFonts w:ascii="Arial MT"/>
                <w:sz w:val="20"/>
              </w:rPr>
            </w:pPr>
            <w:r>
              <w:rPr>
                <w:rFonts w:ascii="Arial MT"/>
                <w:spacing w:val="-2"/>
                <w:sz w:val="20"/>
              </w:rPr>
              <w:t>XINGUARA</w:t>
            </w:r>
          </w:p>
        </w:tc>
        <w:tc>
          <w:tcPr>
            <w:tcW w:w="1619" w:type="dxa"/>
          </w:tcPr>
          <w:p w14:paraId="41C53CE2" w14:textId="77777777" w:rsidR="00A66637" w:rsidRDefault="00A66637" w:rsidP="00BD6369">
            <w:pPr>
              <w:pStyle w:val="TableParagraph"/>
              <w:spacing w:before="9" w:line="208" w:lineRule="exact"/>
              <w:ind w:left="11" w:right="152"/>
              <w:rPr>
                <w:rFonts w:ascii="Arial MT"/>
                <w:sz w:val="20"/>
              </w:rPr>
            </w:pPr>
            <w:r>
              <w:rPr>
                <w:rFonts w:ascii="Arial MT"/>
                <w:spacing w:val="-5"/>
                <w:sz w:val="20"/>
              </w:rPr>
              <w:t>97</w:t>
            </w:r>
          </w:p>
        </w:tc>
      </w:tr>
      <w:tr w:rsidR="00A66637" w14:paraId="4BFF76FA" w14:textId="77777777" w:rsidTr="00A66637">
        <w:trPr>
          <w:trHeight w:val="312"/>
          <w:jc w:val="center"/>
        </w:trPr>
        <w:tc>
          <w:tcPr>
            <w:tcW w:w="3344" w:type="dxa"/>
            <w:shd w:val="clear" w:color="auto" w:fill="FDF1CD"/>
          </w:tcPr>
          <w:p w14:paraId="6F75C67B" w14:textId="77777777" w:rsidR="00A66637" w:rsidRDefault="00A66637" w:rsidP="00BD6369">
            <w:pPr>
              <w:pStyle w:val="TableParagraph"/>
              <w:spacing w:before="87" w:line="208" w:lineRule="exact"/>
              <w:ind w:right="150"/>
              <w:rPr>
                <w:rFonts w:ascii="Arial MT"/>
                <w:sz w:val="20"/>
              </w:rPr>
            </w:pPr>
            <w:r>
              <w:rPr>
                <w:rFonts w:ascii="Arial MT"/>
                <w:spacing w:val="-2"/>
                <w:sz w:val="20"/>
              </w:rPr>
              <w:t>TOTAL</w:t>
            </w:r>
          </w:p>
        </w:tc>
        <w:tc>
          <w:tcPr>
            <w:tcW w:w="1619" w:type="dxa"/>
            <w:shd w:val="clear" w:color="auto" w:fill="FDF1CD"/>
          </w:tcPr>
          <w:p w14:paraId="144C3E51" w14:textId="77777777" w:rsidR="00A66637" w:rsidRDefault="00A66637" w:rsidP="00BD6369">
            <w:pPr>
              <w:pStyle w:val="TableParagraph"/>
              <w:spacing w:before="87" w:line="208" w:lineRule="exact"/>
              <w:ind w:right="152"/>
              <w:rPr>
                <w:rFonts w:ascii="Arial MT"/>
                <w:sz w:val="20"/>
              </w:rPr>
            </w:pPr>
            <w:r>
              <w:rPr>
                <w:rFonts w:ascii="Arial MT"/>
                <w:spacing w:val="-2"/>
                <w:sz w:val="20"/>
              </w:rPr>
              <w:t>14722</w:t>
            </w:r>
          </w:p>
        </w:tc>
      </w:tr>
    </w:tbl>
    <w:p w14:paraId="4AD81BCF" w14:textId="77777777" w:rsidR="00A66637" w:rsidRPr="00A57ACA" w:rsidRDefault="00A66637" w:rsidP="009C2286">
      <w:pPr>
        <w:rPr>
          <w:rFonts w:ascii="Times New Roman" w:hAnsi="Times New Roman" w:cs="Times New Roman"/>
          <w:lang w:val="en-US"/>
        </w:rPr>
      </w:pPr>
    </w:p>
    <w:p w14:paraId="0ED12D18" w14:textId="732921BF" w:rsidR="00A57ACA" w:rsidRPr="00A57ACA" w:rsidRDefault="00A66637" w:rsidP="00A57ACA">
      <w:pPr>
        <w:rPr>
          <w:rFonts w:ascii="Times New Roman" w:hAnsi="Times New Roman" w:cs="Times New Roman"/>
          <w:lang w:val="en-US"/>
        </w:rPr>
      </w:pPr>
      <w:r w:rsidRPr="0024672D">
        <w:rPr>
          <w:rFonts w:ascii="Times New Roman" w:hAnsi="Times New Roman" w:cs="Times New Roman"/>
          <w:lang w:val="en-US"/>
        </w:rPr>
        <w:t>Source</w:t>
      </w:r>
      <w:r w:rsidR="00A57ACA" w:rsidRPr="00A57ACA">
        <w:rPr>
          <w:rFonts w:ascii="Times New Roman" w:hAnsi="Times New Roman" w:cs="Times New Roman"/>
          <w:lang w:val="en-US"/>
        </w:rPr>
        <w:t>: DATASUS/SINAN, 2024</w:t>
      </w:r>
    </w:p>
    <w:p w14:paraId="09BBA413" w14:textId="77777777" w:rsidR="00A57ACA" w:rsidRPr="00A57ACA" w:rsidRDefault="00A57ACA" w:rsidP="00A57ACA">
      <w:pPr>
        <w:rPr>
          <w:lang w:val="en-US"/>
        </w:rPr>
      </w:pPr>
    </w:p>
    <w:p w14:paraId="1DD66BBA" w14:textId="59FB2D06" w:rsidR="00A57ACA" w:rsidRPr="00A57ACA" w:rsidRDefault="0024672D" w:rsidP="00A57ACA">
      <w:pPr>
        <w:rPr>
          <w:rFonts w:ascii="Times New Roman" w:hAnsi="Times New Roman" w:cs="Times New Roman"/>
          <w:lang w:val="en-US"/>
        </w:rPr>
      </w:pPr>
      <w:r w:rsidRPr="0024672D">
        <w:rPr>
          <w:rFonts w:ascii="Times New Roman" w:hAnsi="Times New Roman" w:cs="Times New Roman"/>
          <w:lang w:val="en-US"/>
        </w:rPr>
        <w:t>The number of hospitalizations of elderly individuals according to the year of diagnosis shows that 2020 had 2,572 cases, with a slight decrease in 2021 with 2,536 cases. In 2022, there was a significant increase with 3,045 cases; in 2023, a decrease to 2,925 cases; and in 2024, it was the year in which the rates showed the greatest increase compared to previous years, with 3,644 cases (Table 2).</w:t>
      </w:r>
    </w:p>
    <w:p w14:paraId="10BFE7F6" w14:textId="2ABFD819" w:rsidR="00A57ACA" w:rsidRPr="00A57ACA" w:rsidRDefault="0024672D" w:rsidP="00A57ACA">
      <w:pPr>
        <w:rPr>
          <w:rFonts w:ascii="Times New Roman" w:hAnsi="Times New Roman" w:cs="Times New Roman"/>
          <w:lang w:val="en-US"/>
        </w:rPr>
      </w:pPr>
      <w:r w:rsidRPr="0024672D">
        <w:rPr>
          <w:rFonts w:ascii="Times New Roman" w:hAnsi="Times New Roman" w:cs="Times New Roman"/>
          <w:lang w:val="en-US"/>
        </w:rPr>
        <w:t>Table 2: Hospitalizations of Elderly Individuals with Hypertension by Year in the State of Pará</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2309"/>
        <w:gridCol w:w="2170"/>
      </w:tblGrid>
      <w:tr w:rsidR="00A66637" w14:paraId="7AC88133" w14:textId="77777777" w:rsidTr="00A66637">
        <w:trPr>
          <w:trHeight w:val="324"/>
          <w:jc w:val="center"/>
        </w:trPr>
        <w:tc>
          <w:tcPr>
            <w:tcW w:w="2309" w:type="dxa"/>
            <w:shd w:val="clear" w:color="auto" w:fill="D1F0DA"/>
          </w:tcPr>
          <w:p w14:paraId="1D142273" w14:textId="72719C2A" w:rsidR="00A66637" w:rsidRPr="0024672D" w:rsidRDefault="0024672D" w:rsidP="0024672D">
            <w:pPr>
              <w:pStyle w:val="TableParagraph"/>
              <w:spacing w:before="38" w:line="212" w:lineRule="exact"/>
              <w:ind w:right="216"/>
              <w:rPr>
                <w:sz w:val="20"/>
                <w:lang w:val="pt-BR"/>
              </w:rPr>
            </w:pPr>
            <w:r w:rsidRPr="0024672D">
              <w:rPr>
                <w:sz w:val="20"/>
                <w:lang w:val="pt-BR"/>
              </w:rPr>
              <w:t>YEAR OF HOSPITALIZATION</w:t>
            </w:r>
          </w:p>
        </w:tc>
        <w:tc>
          <w:tcPr>
            <w:tcW w:w="2170" w:type="dxa"/>
            <w:shd w:val="clear" w:color="auto" w:fill="D1F0DA"/>
          </w:tcPr>
          <w:p w14:paraId="287A66DA" w14:textId="42E6DB89" w:rsidR="00A66637" w:rsidRPr="0024672D" w:rsidRDefault="0024672D" w:rsidP="00BD6369">
            <w:pPr>
              <w:pStyle w:val="TableParagraph"/>
              <w:spacing w:before="38" w:line="212" w:lineRule="exact"/>
              <w:ind w:left="5" w:right="210"/>
              <w:rPr>
                <w:sz w:val="20"/>
              </w:rPr>
            </w:pPr>
            <w:r w:rsidRPr="0024672D">
              <w:rPr>
                <w:spacing w:val="-2"/>
                <w:sz w:val="20"/>
                <w:lang w:val="pt-BR"/>
              </w:rPr>
              <w:t>QUANTITY</w:t>
            </w:r>
          </w:p>
        </w:tc>
      </w:tr>
      <w:tr w:rsidR="00A66637" w14:paraId="7A6F9297" w14:textId="77777777" w:rsidTr="00A66637">
        <w:trPr>
          <w:trHeight w:val="351"/>
          <w:jc w:val="center"/>
        </w:trPr>
        <w:tc>
          <w:tcPr>
            <w:tcW w:w="2309" w:type="dxa"/>
          </w:tcPr>
          <w:p w14:paraId="791170B8" w14:textId="77777777" w:rsidR="00A66637" w:rsidRDefault="00A66637" w:rsidP="00BD6369">
            <w:pPr>
              <w:pStyle w:val="TableParagraph"/>
              <w:spacing w:before="38"/>
              <w:ind w:right="216"/>
              <w:rPr>
                <w:sz w:val="20"/>
              </w:rPr>
            </w:pPr>
            <w:r>
              <w:rPr>
                <w:spacing w:val="-4"/>
                <w:sz w:val="20"/>
              </w:rPr>
              <w:t>2020</w:t>
            </w:r>
          </w:p>
        </w:tc>
        <w:tc>
          <w:tcPr>
            <w:tcW w:w="2170" w:type="dxa"/>
          </w:tcPr>
          <w:p w14:paraId="2D1E31F7" w14:textId="77777777" w:rsidR="00A66637" w:rsidRDefault="00A66637" w:rsidP="00BD6369">
            <w:pPr>
              <w:pStyle w:val="TableParagraph"/>
              <w:spacing w:before="38"/>
              <w:ind w:right="210"/>
              <w:rPr>
                <w:sz w:val="20"/>
              </w:rPr>
            </w:pPr>
            <w:r>
              <w:rPr>
                <w:spacing w:val="-4"/>
                <w:sz w:val="20"/>
              </w:rPr>
              <w:t>2572</w:t>
            </w:r>
          </w:p>
        </w:tc>
      </w:tr>
      <w:tr w:rsidR="00A66637" w14:paraId="46951F4F" w14:textId="77777777" w:rsidTr="00A66637">
        <w:trPr>
          <w:trHeight w:val="324"/>
          <w:jc w:val="center"/>
        </w:trPr>
        <w:tc>
          <w:tcPr>
            <w:tcW w:w="2309" w:type="dxa"/>
          </w:tcPr>
          <w:p w14:paraId="25579E19" w14:textId="77777777" w:rsidR="00A66637" w:rsidRDefault="00A66637" w:rsidP="00BD6369">
            <w:pPr>
              <w:pStyle w:val="TableParagraph"/>
              <w:spacing w:before="15"/>
              <w:ind w:right="216"/>
              <w:rPr>
                <w:sz w:val="20"/>
              </w:rPr>
            </w:pPr>
            <w:r>
              <w:rPr>
                <w:spacing w:val="-4"/>
                <w:sz w:val="20"/>
              </w:rPr>
              <w:t>2021</w:t>
            </w:r>
          </w:p>
        </w:tc>
        <w:tc>
          <w:tcPr>
            <w:tcW w:w="2170" w:type="dxa"/>
          </w:tcPr>
          <w:p w14:paraId="2D58E6A5" w14:textId="77777777" w:rsidR="00A66637" w:rsidRDefault="00A66637" w:rsidP="00BD6369">
            <w:pPr>
              <w:pStyle w:val="TableParagraph"/>
              <w:spacing w:before="15"/>
              <w:ind w:right="210"/>
              <w:rPr>
                <w:sz w:val="20"/>
              </w:rPr>
            </w:pPr>
            <w:r>
              <w:rPr>
                <w:spacing w:val="-4"/>
                <w:sz w:val="20"/>
              </w:rPr>
              <w:t>2536</w:t>
            </w:r>
          </w:p>
        </w:tc>
      </w:tr>
      <w:tr w:rsidR="00A66637" w14:paraId="047CCDD2" w14:textId="77777777" w:rsidTr="00A66637">
        <w:trPr>
          <w:trHeight w:val="351"/>
          <w:jc w:val="center"/>
        </w:trPr>
        <w:tc>
          <w:tcPr>
            <w:tcW w:w="2309" w:type="dxa"/>
          </w:tcPr>
          <w:p w14:paraId="61DEEB98" w14:textId="77777777" w:rsidR="00A66637" w:rsidRDefault="00A66637" w:rsidP="00BD6369">
            <w:pPr>
              <w:pStyle w:val="TableParagraph"/>
              <w:spacing w:before="15"/>
              <w:ind w:right="216"/>
              <w:rPr>
                <w:sz w:val="20"/>
              </w:rPr>
            </w:pPr>
            <w:r>
              <w:rPr>
                <w:spacing w:val="-4"/>
                <w:sz w:val="20"/>
              </w:rPr>
              <w:t>2022</w:t>
            </w:r>
          </w:p>
        </w:tc>
        <w:tc>
          <w:tcPr>
            <w:tcW w:w="2170" w:type="dxa"/>
          </w:tcPr>
          <w:p w14:paraId="40011483" w14:textId="77777777" w:rsidR="00A66637" w:rsidRDefault="00A66637" w:rsidP="00BD6369">
            <w:pPr>
              <w:pStyle w:val="TableParagraph"/>
              <w:spacing w:before="15"/>
              <w:ind w:right="210"/>
              <w:rPr>
                <w:sz w:val="20"/>
              </w:rPr>
            </w:pPr>
            <w:r>
              <w:rPr>
                <w:spacing w:val="-4"/>
                <w:sz w:val="20"/>
              </w:rPr>
              <w:t>3045</w:t>
            </w:r>
          </w:p>
        </w:tc>
      </w:tr>
      <w:tr w:rsidR="00A66637" w14:paraId="4B110FAE" w14:textId="77777777" w:rsidTr="00A66637">
        <w:trPr>
          <w:trHeight w:val="351"/>
          <w:jc w:val="center"/>
        </w:trPr>
        <w:tc>
          <w:tcPr>
            <w:tcW w:w="2309" w:type="dxa"/>
          </w:tcPr>
          <w:p w14:paraId="42F097CD" w14:textId="77777777" w:rsidR="00A66637" w:rsidRDefault="00A66637" w:rsidP="00BD6369">
            <w:pPr>
              <w:pStyle w:val="TableParagraph"/>
              <w:spacing w:before="38"/>
              <w:ind w:right="216"/>
              <w:rPr>
                <w:sz w:val="20"/>
              </w:rPr>
            </w:pPr>
            <w:r>
              <w:rPr>
                <w:spacing w:val="-4"/>
                <w:sz w:val="20"/>
              </w:rPr>
              <w:t>2023</w:t>
            </w:r>
          </w:p>
        </w:tc>
        <w:tc>
          <w:tcPr>
            <w:tcW w:w="2170" w:type="dxa"/>
          </w:tcPr>
          <w:p w14:paraId="22FC7B40" w14:textId="77777777" w:rsidR="00A66637" w:rsidRDefault="00A66637" w:rsidP="00BD6369">
            <w:pPr>
              <w:pStyle w:val="TableParagraph"/>
              <w:spacing w:before="38"/>
              <w:ind w:right="210"/>
              <w:rPr>
                <w:sz w:val="20"/>
              </w:rPr>
            </w:pPr>
            <w:r>
              <w:rPr>
                <w:spacing w:val="-4"/>
                <w:sz w:val="20"/>
              </w:rPr>
              <w:t>2925</w:t>
            </w:r>
          </w:p>
        </w:tc>
      </w:tr>
      <w:tr w:rsidR="00A66637" w14:paraId="634137A4" w14:textId="77777777" w:rsidTr="00A66637">
        <w:trPr>
          <w:trHeight w:val="297"/>
          <w:jc w:val="center"/>
        </w:trPr>
        <w:tc>
          <w:tcPr>
            <w:tcW w:w="2309" w:type="dxa"/>
          </w:tcPr>
          <w:p w14:paraId="68936059" w14:textId="77777777" w:rsidR="00A66637" w:rsidRDefault="00A66637" w:rsidP="00BD6369">
            <w:pPr>
              <w:pStyle w:val="TableParagraph"/>
              <w:spacing w:before="15" w:line="212" w:lineRule="exact"/>
              <w:ind w:right="216"/>
              <w:rPr>
                <w:sz w:val="20"/>
              </w:rPr>
            </w:pPr>
            <w:r>
              <w:rPr>
                <w:spacing w:val="-4"/>
                <w:sz w:val="20"/>
              </w:rPr>
              <w:t>2024</w:t>
            </w:r>
          </w:p>
        </w:tc>
        <w:tc>
          <w:tcPr>
            <w:tcW w:w="2170" w:type="dxa"/>
          </w:tcPr>
          <w:p w14:paraId="78E423E0" w14:textId="77777777" w:rsidR="00A66637" w:rsidRDefault="00A66637" w:rsidP="00BD6369">
            <w:pPr>
              <w:pStyle w:val="TableParagraph"/>
              <w:spacing w:before="15" w:line="212" w:lineRule="exact"/>
              <w:ind w:right="210"/>
              <w:rPr>
                <w:sz w:val="20"/>
              </w:rPr>
            </w:pPr>
            <w:r>
              <w:rPr>
                <w:spacing w:val="-4"/>
                <w:sz w:val="20"/>
              </w:rPr>
              <w:t>3644</w:t>
            </w:r>
          </w:p>
        </w:tc>
      </w:tr>
      <w:tr w:rsidR="00A66637" w14:paraId="0E0AE28F" w14:textId="77777777" w:rsidTr="00A66637">
        <w:trPr>
          <w:trHeight w:val="324"/>
          <w:jc w:val="center"/>
        </w:trPr>
        <w:tc>
          <w:tcPr>
            <w:tcW w:w="2309" w:type="dxa"/>
            <w:shd w:val="clear" w:color="auto" w:fill="D1F0DA"/>
          </w:tcPr>
          <w:p w14:paraId="580084BD" w14:textId="77777777" w:rsidR="00A66637" w:rsidRDefault="00A66637" w:rsidP="00BD6369">
            <w:pPr>
              <w:pStyle w:val="TableParagraph"/>
              <w:spacing w:before="38" w:line="212" w:lineRule="exact"/>
              <w:ind w:left="3" w:right="216"/>
              <w:rPr>
                <w:sz w:val="20"/>
              </w:rPr>
            </w:pPr>
            <w:r>
              <w:rPr>
                <w:spacing w:val="-2"/>
                <w:sz w:val="20"/>
              </w:rPr>
              <w:t>TOTAL</w:t>
            </w:r>
          </w:p>
        </w:tc>
        <w:tc>
          <w:tcPr>
            <w:tcW w:w="2170" w:type="dxa"/>
            <w:shd w:val="clear" w:color="auto" w:fill="D1F0DA"/>
          </w:tcPr>
          <w:p w14:paraId="26F131A9" w14:textId="77777777" w:rsidR="00A66637" w:rsidRDefault="00A66637" w:rsidP="00BD6369">
            <w:pPr>
              <w:pStyle w:val="TableParagraph"/>
              <w:spacing w:before="38" w:line="212" w:lineRule="exact"/>
              <w:ind w:right="210"/>
              <w:rPr>
                <w:sz w:val="20"/>
              </w:rPr>
            </w:pPr>
            <w:r>
              <w:rPr>
                <w:spacing w:val="-2"/>
                <w:sz w:val="20"/>
              </w:rPr>
              <w:t>14722</w:t>
            </w:r>
          </w:p>
        </w:tc>
      </w:tr>
    </w:tbl>
    <w:p w14:paraId="4AF1F772" w14:textId="77777777" w:rsidR="00A66637" w:rsidRDefault="00A66637" w:rsidP="00A57ACA"/>
    <w:p w14:paraId="19F8AF49" w14:textId="6B97FA3E" w:rsidR="00A57ACA" w:rsidRPr="00A57ACA" w:rsidRDefault="00A66637" w:rsidP="00A57ACA">
      <w:pPr>
        <w:rPr>
          <w:rFonts w:ascii="Times New Roman" w:hAnsi="Times New Roman" w:cs="Times New Roman"/>
          <w:lang w:val="en-US"/>
        </w:rPr>
      </w:pPr>
      <w:r w:rsidRPr="0024672D">
        <w:rPr>
          <w:rFonts w:ascii="Times New Roman" w:hAnsi="Times New Roman" w:cs="Times New Roman"/>
          <w:lang w:val="en-US"/>
        </w:rPr>
        <w:t>Source</w:t>
      </w:r>
      <w:r w:rsidR="00A57ACA" w:rsidRPr="00A57ACA">
        <w:rPr>
          <w:rFonts w:ascii="Times New Roman" w:hAnsi="Times New Roman" w:cs="Times New Roman"/>
          <w:lang w:val="en-US"/>
        </w:rPr>
        <w:t>: DATASUS/SINAN, 2024</w:t>
      </w:r>
    </w:p>
    <w:p w14:paraId="58D3E2B6" w14:textId="2CC32293" w:rsidR="0036309A" w:rsidRDefault="0024672D" w:rsidP="00A57ACA">
      <w:pPr>
        <w:rPr>
          <w:rFonts w:ascii="Times New Roman" w:hAnsi="Times New Roman" w:cs="Times New Roman"/>
          <w:lang w:val="en-US"/>
        </w:rPr>
      </w:pPr>
      <w:r w:rsidRPr="0024672D">
        <w:rPr>
          <w:rFonts w:ascii="Times New Roman" w:hAnsi="Times New Roman" w:cs="Times New Roman"/>
          <w:lang w:val="en-US"/>
        </w:rPr>
        <w:t>Regarding gender, women show higher rates with 8,377 cases, with a considerable difference compared to men, who had 6,345 cases (Table 3).</w:t>
      </w:r>
    </w:p>
    <w:p w14:paraId="551239D6" w14:textId="3741A59A" w:rsidR="00100E67" w:rsidRDefault="00100E67" w:rsidP="00A57ACA">
      <w:pPr>
        <w:rPr>
          <w:rFonts w:ascii="Times New Roman" w:hAnsi="Times New Roman" w:cs="Times New Roman"/>
          <w:lang w:val="en-US"/>
        </w:rPr>
      </w:pPr>
    </w:p>
    <w:p w14:paraId="6C7ADD22" w14:textId="40825989" w:rsidR="00100E67" w:rsidRDefault="00100E67" w:rsidP="00A57ACA">
      <w:pPr>
        <w:rPr>
          <w:rFonts w:ascii="Times New Roman" w:hAnsi="Times New Roman" w:cs="Times New Roman"/>
          <w:lang w:val="en-US"/>
        </w:rPr>
      </w:pPr>
    </w:p>
    <w:p w14:paraId="63B1C418" w14:textId="35BCB911" w:rsidR="00100E67" w:rsidRDefault="00100E67" w:rsidP="00A57ACA">
      <w:pPr>
        <w:rPr>
          <w:rFonts w:ascii="Times New Roman" w:hAnsi="Times New Roman" w:cs="Times New Roman"/>
          <w:lang w:val="en-US"/>
        </w:rPr>
      </w:pPr>
    </w:p>
    <w:p w14:paraId="24148DAE" w14:textId="438C1125" w:rsidR="00100E67" w:rsidRDefault="00100E67" w:rsidP="00A57ACA">
      <w:pPr>
        <w:rPr>
          <w:rFonts w:ascii="Times New Roman" w:hAnsi="Times New Roman" w:cs="Times New Roman"/>
          <w:lang w:val="en-US"/>
        </w:rPr>
      </w:pPr>
    </w:p>
    <w:p w14:paraId="6F7A9679" w14:textId="77777777" w:rsidR="00100E67" w:rsidRDefault="00100E67" w:rsidP="00A57ACA">
      <w:pPr>
        <w:rPr>
          <w:rFonts w:ascii="Times New Roman" w:hAnsi="Times New Roman" w:cs="Times New Roman"/>
          <w:lang w:val="en-US"/>
        </w:rPr>
      </w:pPr>
    </w:p>
    <w:p w14:paraId="1DA0F8BB" w14:textId="2E1E3B40" w:rsidR="00A66637" w:rsidRPr="0024672D" w:rsidRDefault="0024672D" w:rsidP="00A57ACA">
      <w:pPr>
        <w:rPr>
          <w:rFonts w:ascii="Times New Roman" w:hAnsi="Times New Roman" w:cs="Times New Roman"/>
          <w:lang w:val="en-US"/>
        </w:rPr>
      </w:pPr>
      <w:r w:rsidRPr="0024672D">
        <w:rPr>
          <w:rFonts w:ascii="Times New Roman" w:hAnsi="Times New Roman" w:cs="Times New Roman"/>
          <w:lang w:val="en-US"/>
        </w:rPr>
        <w:lastRenderedPageBreak/>
        <w:br/>
        <w:t>Table 3: Gender of Elderly Individuals Hospitalized with Hypertension in the Period from 2020 to 2024</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2566"/>
        <w:gridCol w:w="2038"/>
      </w:tblGrid>
      <w:tr w:rsidR="00A66637" w14:paraId="28FFB0BD" w14:textId="77777777" w:rsidTr="00A66637">
        <w:trPr>
          <w:trHeight w:val="426"/>
          <w:jc w:val="center"/>
        </w:trPr>
        <w:tc>
          <w:tcPr>
            <w:tcW w:w="2566" w:type="dxa"/>
            <w:shd w:val="clear" w:color="auto" w:fill="DAF0F3"/>
          </w:tcPr>
          <w:p w14:paraId="71BC39B3" w14:textId="793AAABD" w:rsidR="00A66637" w:rsidRDefault="0024672D" w:rsidP="00BD6369">
            <w:pPr>
              <w:pStyle w:val="TableParagraph"/>
              <w:spacing w:before="38" w:line="212" w:lineRule="exact"/>
              <w:ind w:left="238" w:right="7"/>
              <w:rPr>
                <w:sz w:val="20"/>
              </w:rPr>
            </w:pPr>
            <w:r w:rsidRPr="0024672D">
              <w:rPr>
                <w:spacing w:val="-2"/>
                <w:sz w:val="20"/>
                <w:lang w:val="pt-BR"/>
              </w:rPr>
              <w:t>GENDER</w:t>
            </w:r>
          </w:p>
        </w:tc>
        <w:tc>
          <w:tcPr>
            <w:tcW w:w="2038" w:type="dxa"/>
            <w:shd w:val="clear" w:color="auto" w:fill="DAF0F3"/>
          </w:tcPr>
          <w:p w14:paraId="5CFE75F2" w14:textId="2D7BDAE2" w:rsidR="00A66637" w:rsidRDefault="0024672D" w:rsidP="00BD6369">
            <w:pPr>
              <w:pStyle w:val="TableParagraph"/>
              <w:spacing w:before="38" w:line="212" w:lineRule="exact"/>
              <w:ind w:left="240"/>
              <w:rPr>
                <w:sz w:val="20"/>
              </w:rPr>
            </w:pPr>
            <w:r w:rsidRPr="0024672D">
              <w:rPr>
                <w:spacing w:val="-2"/>
                <w:sz w:val="20"/>
                <w:lang w:val="pt-BR"/>
              </w:rPr>
              <w:t>QUANTITY</w:t>
            </w:r>
          </w:p>
        </w:tc>
      </w:tr>
      <w:tr w:rsidR="00A66637" w14:paraId="53D04E1C" w14:textId="77777777" w:rsidTr="00A66637">
        <w:trPr>
          <w:trHeight w:val="461"/>
          <w:jc w:val="center"/>
        </w:trPr>
        <w:tc>
          <w:tcPr>
            <w:tcW w:w="2566" w:type="dxa"/>
          </w:tcPr>
          <w:p w14:paraId="742C04BE" w14:textId="1B023160" w:rsidR="00A66637" w:rsidRDefault="0024672D" w:rsidP="00BD6369">
            <w:pPr>
              <w:pStyle w:val="TableParagraph"/>
              <w:spacing w:before="38"/>
              <w:ind w:left="238" w:right="2"/>
              <w:rPr>
                <w:sz w:val="20"/>
              </w:rPr>
            </w:pPr>
            <w:r w:rsidRPr="0024672D">
              <w:rPr>
                <w:spacing w:val="-2"/>
                <w:sz w:val="20"/>
                <w:lang w:val="pt-BR"/>
              </w:rPr>
              <w:t>Male</w:t>
            </w:r>
          </w:p>
        </w:tc>
        <w:tc>
          <w:tcPr>
            <w:tcW w:w="2038" w:type="dxa"/>
          </w:tcPr>
          <w:p w14:paraId="57BEF52B" w14:textId="77777777" w:rsidR="00A66637" w:rsidRDefault="00A66637" w:rsidP="00BD6369">
            <w:pPr>
              <w:pStyle w:val="TableParagraph"/>
              <w:spacing w:before="38"/>
              <w:ind w:left="240" w:right="3"/>
              <w:rPr>
                <w:sz w:val="20"/>
              </w:rPr>
            </w:pPr>
            <w:r>
              <w:rPr>
                <w:spacing w:val="-4"/>
                <w:sz w:val="20"/>
              </w:rPr>
              <w:t>6345</w:t>
            </w:r>
          </w:p>
        </w:tc>
      </w:tr>
      <w:tr w:rsidR="00A66637" w14:paraId="0ACBCE72" w14:textId="77777777" w:rsidTr="00A66637">
        <w:trPr>
          <w:trHeight w:val="390"/>
          <w:jc w:val="center"/>
        </w:trPr>
        <w:tc>
          <w:tcPr>
            <w:tcW w:w="2566" w:type="dxa"/>
          </w:tcPr>
          <w:p w14:paraId="795159B1" w14:textId="65555649" w:rsidR="00A66637" w:rsidRDefault="0024672D" w:rsidP="00BD6369">
            <w:pPr>
              <w:pStyle w:val="TableParagraph"/>
              <w:spacing w:before="16" w:line="212" w:lineRule="exact"/>
              <w:ind w:left="238" w:right="7"/>
              <w:rPr>
                <w:sz w:val="20"/>
              </w:rPr>
            </w:pPr>
            <w:r w:rsidRPr="0024672D">
              <w:rPr>
                <w:spacing w:val="-2"/>
                <w:sz w:val="20"/>
                <w:lang w:val="pt-BR"/>
              </w:rPr>
              <w:t>Female</w:t>
            </w:r>
          </w:p>
        </w:tc>
        <w:tc>
          <w:tcPr>
            <w:tcW w:w="2038" w:type="dxa"/>
          </w:tcPr>
          <w:p w14:paraId="40EACD1E" w14:textId="77777777" w:rsidR="00A66637" w:rsidRDefault="00A66637" w:rsidP="00BD6369">
            <w:pPr>
              <w:pStyle w:val="TableParagraph"/>
              <w:spacing w:before="16" w:line="212" w:lineRule="exact"/>
              <w:ind w:left="240" w:right="3"/>
              <w:rPr>
                <w:sz w:val="20"/>
              </w:rPr>
            </w:pPr>
            <w:r>
              <w:rPr>
                <w:spacing w:val="-4"/>
                <w:sz w:val="20"/>
              </w:rPr>
              <w:t>8377</w:t>
            </w:r>
          </w:p>
        </w:tc>
      </w:tr>
      <w:tr w:rsidR="00A66637" w14:paraId="71AD335E" w14:textId="77777777" w:rsidTr="00A66637">
        <w:trPr>
          <w:trHeight w:val="497"/>
          <w:jc w:val="center"/>
        </w:trPr>
        <w:tc>
          <w:tcPr>
            <w:tcW w:w="2566" w:type="dxa"/>
            <w:shd w:val="clear" w:color="auto" w:fill="DAF0F3"/>
          </w:tcPr>
          <w:p w14:paraId="47BB9706" w14:textId="77777777" w:rsidR="00A66637" w:rsidRDefault="00A66637" w:rsidP="00BD6369">
            <w:pPr>
              <w:pStyle w:val="TableParagraph"/>
              <w:spacing w:before="83" w:line="212" w:lineRule="exact"/>
              <w:ind w:left="238"/>
              <w:rPr>
                <w:sz w:val="20"/>
              </w:rPr>
            </w:pPr>
            <w:r>
              <w:rPr>
                <w:spacing w:val="-2"/>
                <w:sz w:val="20"/>
              </w:rPr>
              <w:t>TOTAL</w:t>
            </w:r>
          </w:p>
        </w:tc>
        <w:tc>
          <w:tcPr>
            <w:tcW w:w="2038" w:type="dxa"/>
            <w:shd w:val="clear" w:color="auto" w:fill="DAF0F3"/>
          </w:tcPr>
          <w:p w14:paraId="029D9015" w14:textId="77777777" w:rsidR="00A66637" w:rsidRDefault="00A66637" w:rsidP="00BD6369">
            <w:pPr>
              <w:pStyle w:val="TableParagraph"/>
              <w:spacing w:before="83" w:line="212" w:lineRule="exact"/>
              <w:ind w:left="240" w:right="3"/>
              <w:rPr>
                <w:sz w:val="20"/>
              </w:rPr>
            </w:pPr>
            <w:r>
              <w:rPr>
                <w:spacing w:val="-2"/>
                <w:sz w:val="20"/>
              </w:rPr>
              <w:t>14722</w:t>
            </w:r>
          </w:p>
        </w:tc>
      </w:tr>
    </w:tbl>
    <w:p w14:paraId="38B7797B" w14:textId="77777777" w:rsidR="00A66637" w:rsidRPr="00A57ACA" w:rsidRDefault="00A66637" w:rsidP="00A57ACA"/>
    <w:p w14:paraId="5D794C1E" w14:textId="77777777" w:rsidR="00A57ACA" w:rsidRPr="00A57ACA" w:rsidRDefault="00A57ACA" w:rsidP="00A57ACA"/>
    <w:p w14:paraId="6AC684F8" w14:textId="08C90E26" w:rsidR="00A57ACA" w:rsidRDefault="00A66637" w:rsidP="00A57ACA">
      <w:pPr>
        <w:rPr>
          <w:rFonts w:ascii="Times New Roman" w:hAnsi="Times New Roman" w:cs="Times New Roman"/>
        </w:rPr>
      </w:pPr>
      <w:r w:rsidRPr="0024672D">
        <w:rPr>
          <w:rFonts w:ascii="Times New Roman" w:hAnsi="Times New Roman" w:cs="Times New Roman"/>
        </w:rPr>
        <w:t>Source</w:t>
      </w:r>
      <w:r w:rsidR="00A57ACA" w:rsidRPr="00A57ACA">
        <w:rPr>
          <w:rFonts w:ascii="Times New Roman" w:hAnsi="Times New Roman" w:cs="Times New Roman"/>
        </w:rPr>
        <w:t>: DATASUS/SINAN, 2024</w:t>
      </w:r>
    </w:p>
    <w:p w14:paraId="75159262" w14:textId="77777777" w:rsidR="0024672D" w:rsidRPr="00A57ACA" w:rsidRDefault="0024672D" w:rsidP="00A57ACA">
      <w:pPr>
        <w:rPr>
          <w:rFonts w:ascii="Times New Roman" w:hAnsi="Times New Roman" w:cs="Times New Roman"/>
        </w:rPr>
      </w:pPr>
    </w:p>
    <w:p w14:paraId="3869F41B" w14:textId="77777777" w:rsidR="0036309A" w:rsidRDefault="0024672D" w:rsidP="00A57ACA">
      <w:pPr>
        <w:rPr>
          <w:rFonts w:ascii="Times New Roman" w:hAnsi="Times New Roman" w:cs="Times New Roman"/>
          <w:lang w:val="en-US"/>
        </w:rPr>
      </w:pPr>
      <w:r w:rsidRPr="0024672D">
        <w:rPr>
          <w:rFonts w:ascii="Times New Roman" w:hAnsi="Times New Roman" w:cs="Times New Roman"/>
          <w:lang w:val="en-US"/>
        </w:rPr>
        <w:t>According to Table 4, it is noted that the age group with the highest incidence of cases was elderly individuals between 60 and 69 years old, with 3,243 cases.</w:t>
      </w:r>
    </w:p>
    <w:p w14:paraId="4D69979A" w14:textId="53AD3F80" w:rsidR="00A57ACA" w:rsidRPr="00A57ACA" w:rsidRDefault="0024672D" w:rsidP="00A57ACA">
      <w:pPr>
        <w:rPr>
          <w:rFonts w:ascii="Times New Roman" w:hAnsi="Times New Roman" w:cs="Times New Roman"/>
          <w:lang w:val="en-US"/>
        </w:rPr>
      </w:pPr>
      <w:r w:rsidRPr="0024672D">
        <w:rPr>
          <w:rFonts w:ascii="Times New Roman" w:hAnsi="Times New Roman" w:cs="Times New Roman"/>
          <w:lang w:val="en-US"/>
        </w:rPr>
        <w:br/>
        <w:t>Table 4: Age Group of Elderly Individuals Hospitalized with Hypertension in the Period from 2020 to 2024</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2742"/>
        <w:gridCol w:w="1585"/>
      </w:tblGrid>
      <w:tr w:rsidR="00A66637" w14:paraId="6652D471" w14:textId="77777777" w:rsidTr="00A66637">
        <w:trPr>
          <w:trHeight w:val="360"/>
          <w:jc w:val="center"/>
        </w:trPr>
        <w:tc>
          <w:tcPr>
            <w:tcW w:w="2742" w:type="dxa"/>
            <w:shd w:val="clear" w:color="auto" w:fill="FADAD6"/>
          </w:tcPr>
          <w:p w14:paraId="4129444C" w14:textId="7ABE9D4A" w:rsidR="00A66637" w:rsidRPr="0024672D" w:rsidRDefault="0024672D" w:rsidP="0024672D">
            <w:pPr>
              <w:pStyle w:val="TableParagraph"/>
              <w:spacing w:before="38" w:line="212" w:lineRule="exact"/>
              <w:ind w:left="17" w:right="10"/>
              <w:rPr>
                <w:sz w:val="20"/>
                <w:lang w:val="en-US"/>
              </w:rPr>
            </w:pPr>
            <w:r w:rsidRPr="0024672D">
              <w:rPr>
                <w:sz w:val="20"/>
                <w:lang w:val="en-US"/>
              </w:rPr>
              <w:t>AGE GROUP OF THE ELDERLY</w:t>
            </w:r>
          </w:p>
        </w:tc>
        <w:tc>
          <w:tcPr>
            <w:tcW w:w="1585" w:type="dxa"/>
            <w:shd w:val="clear" w:color="auto" w:fill="FADAD6"/>
          </w:tcPr>
          <w:p w14:paraId="672DE263" w14:textId="0EB96E06" w:rsidR="00A66637" w:rsidRPr="0024672D" w:rsidRDefault="0024672D" w:rsidP="00BD6369">
            <w:pPr>
              <w:pStyle w:val="TableParagraph"/>
              <w:spacing w:before="38" w:line="212" w:lineRule="exact"/>
              <w:ind w:left="24"/>
              <w:rPr>
                <w:sz w:val="20"/>
              </w:rPr>
            </w:pPr>
            <w:r w:rsidRPr="0024672D">
              <w:rPr>
                <w:spacing w:val="-2"/>
                <w:sz w:val="20"/>
                <w:lang w:val="pt-BR"/>
              </w:rPr>
              <w:t>QUANTITY</w:t>
            </w:r>
          </w:p>
        </w:tc>
      </w:tr>
      <w:tr w:rsidR="00A66637" w14:paraId="5492996A" w14:textId="77777777" w:rsidTr="00A66637">
        <w:trPr>
          <w:trHeight w:val="421"/>
          <w:jc w:val="center"/>
        </w:trPr>
        <w:tc>
          <w:tcPr>
            <w:tcW w:w="2742" w:type="dxa"/>
          </w:tcPr>
          <w:p w14:paraId="12ACE326" w14:textId="7A38B7C9" w:rsidR="00A66637" w:rsidRDefault="0024672D" w:rsidP="00BD6369">
            <w:pPr>
              <w:pStyle w:val="TableParagraph"/>
              <w:spacing w:before="38"/>
              <w:ind w:left="17" w:right="4"/>
              <w:rPr>
                <w:sz w:val="20"/>
              </w:rPr>
            </w:pPr>
            <w:r w:rsidRPr="0024672D">
              <w:rPr>
                <w:sz w:val="20"/>
                <w:lang w:val="pt-BR"/>
              </w:rPr>
              <w:t>60 to 69 years</w:t>
            </w:r>
          </w:p>
        </w:tc>
        <w:tc>
          <w:tcPr>
            <w:tcW w:w="1585" w:type="dxa"/>
          </w:tcPr>
          <w:p w14:paraId="0D92D218" w14:textId="77777777" w:rsidR="00A66637" w:rsidRDefault="00A66637" w:rsidP="00BD6369">
            <w:pPr>
              <w:pStyle w:val="TableParagraph"/>
              <w:spacing w:before="38"/>
              <w:ind w:left="24" w:right="3"/>
              <w:rPr>
                <w:sz w:val="20"/>
              </w:rPr>
            </w:pPr>
            <w:r>
              <w:rPr>
                <w:spacing w:val="-4"/>
                <w:sz w:val="20"/>
              </w:rPr>
              <w:t>3243</w:t>
            </w:r>
          </w:p>
        </w:tc>
      </w:tr>
      <w:tr w:rsidR="00A66637" w14:paraId="3368B34C" w14:textId="77777777" w:rsidTr="00A66637">
        <w:trPr>
          <w:trHeight w:val="390"/>
          <w:jc w:val="center"/>
        </w:trPr>
        <w:tc>
          <w:tcPr>
            <w:tcW w:w="2742" w:type="dxa"/>
          </w:tcPr>
          <w:p w14:paraId="17146847" w14:textId="48C19B95" w:rsidR="00A66637" w:rsidRDefault="0024672D" w:rsidP="00BD6369">
            <w:pPr>
              <w:pStyle w:val="TableParagraph"/>
              <w:spacing w:before="38"/>
              <w:ind w:left="17" w:right="4"/>
              <w:rPr>
                <w:sz w:val="20"/>
              </w:rPr>
            </w:pPr>
            <w:r w:rsidRPr="0024672D">
              <w:rPr>
                <w:sz w:val="20"/>
                <w:lang w:val="pt-BR"/>
              </w:rPr>
              <w:t>70 to 79 years</w:t>
            </w:r>
          </w:p>
        </w:tc>
        <w:tc>
          <w:tcPr>
            <w:tcW w:w="1585" w:type="dxa"/>
          </w:tcPr>
          <w:p w14:paraId="04F12D6F" w14:textId="77777777" w:rsidR="00A66637" w:rsidRDefault="00A66637" w:rsidP="00BD6369">
            <w:pPr>
              <w:pStyle w:val="TableParagraph"/>
              <w:spacing w:before="38"/>
              <w:ind w:left="24" w:right="3"/>
              <w:rPr>
                <w:sz w:val="20"/>
              </w:rPr>
            </w:pPr>
            <w:r>
              <w:rPr>
                <w:spacing w:val="-4"/>
                <w:sz w:val="20"/>
              </w:rPr>
              <w:t>2809</w:t>
            </w:r>
          </w:p>
        </w:tc>
      </w:tr>
      <w:tr w:rsidR="00A66637" w14:paraId="14A299C6" w14:textId="77777777" w:rsidTr="00A66637">
        <w:trPr>
          <w:trHeight w:val="330"/>
          <w:jc w:val="center"/>
        </w:trPr>
        <w:tc>
          <w:tcPr>
            <w:tcW w:w="2742" w:type="dxa"/>
          </w:tcPr>
          <w:p w14:paraId="52B33862" w14:textId="3C262796" w:rsidR="00A66637" w:rsidRDefault="0024672D" w:rsidP="00BD6369">
            <w:pPr>
              <w:pStyle w:val="TableParagraph"/>
              <w:spacing w:before="15" w:line="212" w:lineRule="exact"/>
              <w:ind w:left="17" w:right="4"/>
              <w:rPr>
                <w:sz w:val="20"/>
              </w:rPr>
            </w:pPr>
            <w:r w:rsidRPr="0024672D">
              <w:rPr>
                <w:sz w:val="20"/>
                <w:lang w:val="pt-BR"/>
              </w:rPr>
              <w:t>80 years and older</w:t>
            </w:r>
          </w:p>
        </w:tc>
        <w:tc>
          <w:tcPr>
            <w:tcW w:w="1585" w:type="dxa"/>
          </w:tcPr>
          <w:p w14:paraId="4086F645" w14:textId="77777777" w:rsidR="00A66637" w:rsidRDefault="00A66637" w:rsidP="00BD6369">
            <w:pPr>
              <w:pStyle w:val="TableParagraph"/>
              <w:spacing w:before="15" w:line="212" w:lineRule="exact"/>
              <w:ind w:left="24" w:right="3"/>
              <w:rPr>
                <w:sz w:val="20"/>
              </w:rPr>
            </w:pPr>
            <w:r>
              <w:rPr>
                <w:spacing w:val="-4"/>
                <w:sz w:val="20"/>
              </w:rPr>
              <w:t>1684</w:t>
            </w:r>
          </w:p>
        </w:tc>
      </w:tr>
      <w:tr w:rsidR="00A66637" w14:paraId="4470B388" w14:textId="77777777" w:rsidTr="00A66637">
        <w:trPr>
          <w:trHeight w:val="360"/>
          <w:jc w:val="center"/>
        </w:trPr>
        <w:tc>
          <w:tcPr>
            <w:tcW w:w="2742" w:type="dxa"/>
            <w:shd w:val="clear" w:color="auto" w:fill="FADAD6"/>
          </w:tcPr>
          <w:p w14:paraId="3CF1F934" w14:textId="77777777" w:rsidR="00A66637" w:rsidRDefault="00A66637" w:rsidP="00BD6369">
            <w:pPr>
              <w:pStyle w:val="TableParagraph"/>
              <w:spacing w:before="38" w:line="212" w:lineRule="exact"/>
              <w:ind w:left="17"/>
              <w:rPr>
                <w:sz w:val="20"/>
              </w:rPr>
            </w:pPr>
            <w:r>
              <w:rPr>
                <w:spacing w:val="-2"/>
                <w:sz w:val="20"/>
              </w:rPr>
              <w:t>TOTAL</w:t>
            </w:r>
          </w:p>
        </w:tc>
        <w:tc>
          <w:tcPr>
            <w:tcW w:w="1585" w:type="dxa"/>
            <w:shd w:val="clear" w:color="auto" w:fill="FADAD6"/>
          </w:tcPr>
          <w:p w14:paraId="29F2032E" w14:textId="77777777" w:rsidR="00A66637" w:rsidRDefault="00A66637" w:rsidP="00BD6369">
            <w:pPr>
              <w:pStyle w:val="TableParagraph"/>
              <w:spacing w:before="38" w:line="212" w:lineRule="exact"/>
              <w:ind w:left="24" w:right="3"/>
              <w:rPr>
                <w:sz w:val="20"/>
              </w:rPr>
            </w:pPr>
            <w:r>
              <w:rPr>
                <w:spacing w:val="-4"/>
                <w:sz w:val="20"/>
              </w:rPr>
              <w:t>7736</w:t>
            </w:r>
          </w:p>
        </w:tc>
      </w:tr>
    </w:tbl>
    <w:p w14:paraId="66E9DC7D" w14:textId="77777777" w:rsidR="00A57ACA" w:rsidRPr="00A57ACA" w:rsidRDefault="00A57ACA" w:rsidP="00A57ACA"/>
    <w:p w14:paraId="22AE53AC" w14:textId="2A85CB91" w:rsidR="00A57ACA" w:rsidRPr="00A57ACA" w:rsidRDefault="00A66637" w:rsidP="00A57ACA">
      <w:pPr>
        <w:rPr>
          <w:rFonts w:ascii="Times New Roman" w:hAnsi="Times New Roman" w:cs="Times New Roman"/>
        </w:rPr>
      </w:pPr>
      <w:r w:rsidRPr="0024672D">
        <w:rPr>
          <w:rFonts w:ascii="Times New Roman" w:hAnsi="Times New Roman" w:cs="Times New Roman"/>
        </w:rPr>
        <w:t>Source</w:t>
      </w:r>
      <w:r w:rsidR="00A57ACA" w:rsidRPr="00A57ACA">
        <w:rPr>
          <w:rFonts w:ascii="Times New Roman" w:hAnsi="Times New Roman" w:cs="Times New Roman"/>
        </w:rPr>
        <w:t>: DATASUS/SINAN, 2024</w:t>
      </w:r>
    </w:p>
    <w:p w14:paraId="062FB970" w14:textId="77777777" w:rsidR="00100E67" w:rsidRDefault="0024672D" w:rsidP="00A57ACA">
      <w:pPr>
        <w:rPr>
          <w:rFonts w:ascii="Times New Roman" w:hAnsi="Times New Roman" w:cs="Times New Roman"/>
          <w:lang w:val="en-US"/>
        </w:rPr>
      </w:pPr>
      <w:r w:rsidRPr="0024672D">
        <w:rPr>
          <w:rFonts w:ascii="Times New Roman" w:hAnsi="Times New Roman" w:cs="Times New Roman"/>
          <w:lang w:val="en-US"/>
        </w:rPr>
        <w:t>Regarding color/race, elderly individuals identified as brown (pardo) showed the highest incidence rate with 6,153 cases, followed by those identified as white with 177 cases. It is noteworthy that in 1,225 cases, there was no information on color/race (Table 5).</w:t>
      </w:r>
      <w:r w:rsidRPr="0024672D">
        <w:rPr>
          <w:rFonts w:ascii="Times New Roman" w:hAnsi="Times New Roman" w:cs="Times New Roman"/>
          <w:lang w:val="en-US"/>
        </w:rPr>
        <w:br/>
      </w:r>
    </w:p>
    <w:p w14:paraId="70FCA3EC" w14:textId="77777777" w:rsidR="00100E67" w:rsidRDefault="00100E67" w:rsidP="00A57ACA">
      <w:pPr>
        <w:rPr>
          <w:rFonts w:ascii="Times New Roman" w:hAnsi="Times New Roman" w:cs="Times New Roman"/>
          <w:lang w:val="en-US"/>
        </w:rPr>
      </w:pPr>
    </w:p>
    <w:p w14:paraId="7EDC689B" w14:textId="77777777" w:rsidR="00100E67" w:rsidRDefault="00100E67" w:rsidP="00A57ACA">
      <w:pPr>
        <w:rPr>
          <w:rFonts w:ascii="Times New Roman" w:hAnsi="Times New Roman" w:cs="Times New Roman"/>
          <w:lang w:val="en-US"/>
        </w:rPr>
      </w:pPr>
    </w:p>
    <w:p w14:paraId="44A402C9" w14:textId="77777777" w:rsidR="00100E67" w:rsidRDefault="00100E67" w:rsidP="00A57ACA">
      <w:pPr>
        <w:rPr>
          <w:rFonts w:ascii="Times New Roman" w:hAnsi="Times New Roman" w:cs="Times New Roman"/>
          <w:lang w:val="en-US"/>
        </w:rPr>
      </w:pPr>
    </w:p>
    <w:p w14:paraId="54800095" w14:textId="77777777" w:rsidR="00100E67" w:rsidRDefault="00100E67" w:rsidP="00A57ACA">
      <w:pPr>
        <w:rPr>
          <w:rFonts w:ascii="Times New Roman" w:hAnsi="Times New Roman" w:cs="Times New Roman"/>
          <w:lang w:val="en-US"/>
        </w:rPr>
      </w:pPr>
    </w:p>
    <w:p w14:paraId="0CAEC7DB" w14:textId="630BBDDF" w:rsidR="00A57ACA" w:rsidRPr="00A57ACA" w:rsidRDefault="0024672D" w:rsidP="00A57ACA">
      <w:pPr>
        <w:rPr>
          <w:rFonts w:ascii="Times New Roman" w:hAnsi="Times New Roman" w:cs="Times New Roman"/>
          <w:lang w:val="en-US"/>
        </w:rPr>
      </w:pPr>
      <w:r w:rsidRPr="0024672D">
        <w:rPr>
          <w:rFonts w:ascii="Times New Roman" w:hAnsi="Times New Roman" w:cs="Times New Roman"/>
          <w:lang w:val="en-US"/>
        </w:rPr>
        <w:lastRenderedPageBreak/>
        <w:t>Table 5: Color/Race of Elderly Individuals Hospitalized with Hypertension in the Period from 2020 to 2024</w:t>
      </w:r>
    </w:p>
    <w:tbl>
      <w:tblPr>
        <w:tblStyle w:val="TableNormal1"/>
        <w:tblW w:w="0" w:type="auto"/>
        <w:jc w:val="center"/>
        <w:tblBorders>
          <w:insideH w:val="single" w:sz="4" w:space="0" w:color="auto"/>
          <w:insideV w:val="single" w:sz="4" w:space="0" w:color="auto"/>
        </w:tblBorders>
        <w:tblLayout w:type="fixed"/>
        <w:tblLook w:val="01E0" w:firstRow="1" w:lastRow="1" w:firstColumn="1" w:lastColumn="1" w:noHBand="0" w:noVBand="0"/>
      </w:tblPr>
      <w:tblGrid>
        <w:gridCol w:w="2496"/>
        <w:gridCol w:w="1566"/>
      </w:tblGrid>
      <w:tr w:rsidR="00A66637" w14:paraId="288F2E3F" w14:textId="77777777" w:rsidTr="00A66637">
        <w:trPr>
          <w:trHeight w:val="328"/>
          <w:jc w:val="center"/>
        </w:trPr>
        <w:tc>
          <w:tcPr>
            <w:tcW w:w="2496" w:type="dxa"/>
            <w:shd w:val="clear" w:color="auto" w:fill="CCFF33"/>
          </w:tcPr>
          <w:p w14:paraId="3A3BD143" w14:textId="3B7646E7" w:rsidR="00A66637" w:rsidRPr="0024672D" w:rsidRDefault="0024672D" w:rsidP="00BD6369">
            <w:pPr>
              <w:pStyle w:val="TableParagraph"/>
              <w:spacing w:before="38" w:line="212" w:lineRule="exact"/>
              <w:ind w:left="37" w:right="5"/>
              <w:rPr>
                <w:sz w:val="20"/>
                <w:lang w:val="en-US"/>
              </w:rPr>
            </w:pPr>
            <w:r w:rsidRPr="0024672D">
              <w:rPr>
                <w:sz w:val="20"/>
                <w:lang w:val="en-US"/>
              </w:rPr>
              <w:t>COLOR/RACE OF THE ELDERLY</w:t>
            </w:r>
          </w:p>
        </w:tc>
        <w:tc>
          <w:tcPr>
            <w:tcW w:w="1566" w:type="dxa"/>
            <w:shd w:val="clear" w:color="auto" w:fill="CCFF33"/>
          </w:tcPr>
          <w:p w14:paraId="23D7CAE3" w14:textId="3F5B7AA7" w:rsidR="00A66637" w:rsidRDefault="0024672D" w:rsidP="00BD6369">
            <w:pPr>
              <w:pStyle w:val="TableParagraph"/>
              <w:spacing w:before="38" w:line="212" w:lineRule="exact"/>
              <w:ind w:left="39"/>
              <w:rPr>
                <w:sz w:val="20"/>
              </w:rPr>
            </w:pPr>
            <w:r w:rsidRPr="0024672D">
              <w:rPr>
                <w:spacing w:val="-2"/>
                <w:sz w:val="20"/>
                <w:lang w:val="pt-BR"/>
              </w:rPr>
              <w:t>QUANTITY</w:t>
            </w:r>
          </w:p>
        </w:tc>
      </w:tr>
      <w:tr w:rsidR="00A66637" w14:paraId="18A8EC42" w14:textId="77777777" w:rsidTr="00A66637">
        <w:trPr>
          <w:trHeight w:val="354"/>
          <w:jc w:val="center"/>
        </w:trPr>
        <w:tc>
          <w:tcPr>
            <w:tcW w:w="2496" w:type="dxa"/>
          </w:tcPr>
          <w:p w14:paraId="17EE012E" w14:textId="7ACA28B1" w:rsidR="00A66637" w:rsidRDefault="0024672D" w:rsidP="00BD6369">
            <w:pPr>
              <w:pStyle w:val="TableParagraph"/>
              <w:spacing w:before="38"/>
              <w:ind w:left="37" w:right="3"/>
              <w:rPr>
                <w:sz w:val="20"/>
              </w:rPr>
            </w:pPr>
            <w:r w:rsidRPr="0024672D">
              <w:rPr>
                <w:spacing w:val="-2"/>
                <w:sz w:val="20"/>
                <w:lang w:val="pt-BR"/>
              </w:rPr>
              <w:t>White</w:t>
            </w:r>
          </w:p>
        </w:tc>
        <w:tc>
          <w:tcPr>
            <w:tcW w:w="1566" w:type="dxa"/>
          </w:tcPr>
          <w:p w14:paraId="20AFF078" w14:textId="77777777" w:rsidR="00A66637" w:rsidRDefault="00A66637" w:rsidP="00BD6369">
            <w:pPr>
              <w:pStyle w:val="TableParagraph"/>
              <w:spacing w:before="38"/>
              <w:ind w:left="39" w:right="3"/>
              <w:rPr>
                <w:sz w:val="20"/>
              </w:rPr>
            </w:pPr>
            <w:r>
              <w:rPr>
                <w:spacing w:val="-5"/>
                <w:sz w:val="20"/>
              </w:rPr>
              <w:t>177</w:t>
            </w:r>
          </w:p>
        </w:tc>
      </w:tr>
      <w:tr w:rsidR="00A66637" w14:paraId="380CCAA4" w14:textId="77777777" w:rsidTr="00A66637">
        <w:trPr>
          <w:trHeight w:val="354"/>
          <w:jc w:val="center"/>
        </w:trPr>
        <w:tc>
          <w:tcPr>
            <w:tcW w:w="2496" w:type="dxa"/>
          </w:tcPr>
          <w:p w14:paraId="237C7074" w14:textId="1A49F4A0" w:rsidR="00A66637" w:rsidRDefault="0024672D" w:rsidP="00BD6369">
            <w:pPr>
              <w:pStyle w:val="TableParagraph"/>
              <w:spacing w:before="15"/>
              <w:ind w:left="37" w:right="1"/>
              <w:rPr>
                <w:sz w:val="20"/>
              </w:rPr>
            </w:pPr>
            <w:r w:rsidRPr="0024672D">
              <w:rPr>
                <w:spacing w:val="-2"/>
                <w:sz w:val="20"/>
                <w:lang w:val="pt-BR"/>
              </w:rPr>
              <w:t>Black</w:t>
            </w:r>
          </w:p>
        </w:tc>
        <w:tc>
          <w:tcPr>
            <w:tcW w:w="1566" w:type="dxa"/>
          </w:tcPr>
          <w:p w14:paraId="77F2C8C3" w14:textId="77777777" w:rsidR="00A66637" w:rsidRDefault="00A66637" w:rsidP="00BD6369">
            <w:pPr>
              <w:pStyle w:val="TableParagraph"/>
              <w:spacing w:before="15"/>
              <w:ind w:left="39" w:right="3"/>
              <w:rPr>
                <w:sz w:val="20"/>
              </w:rPr>
            </w:pPr>
            <w:r>
              <w:rPr>
                <w:spacing w:val="-5"/>
                <w:sz w:val="20"/>
              </w:rPr>
              <w:t>55</w:t>
            </w:r>
          </w:p>
        </w:tc>
      </w:tr>
      <w:tr w:rsidR="00A66637" w14:paraId="242D8C31" w14:textId="77777777" w:rsidTr="00A66637">
        <w:trPr>
          <w:trHeight w:val="382"/>
          <w:jc w:val="center"/>
        </w:trPr>
        <w:tc>
          <w:tcPr>
            <w:tcW w:w="2496" w:type="dxa"/>
          </w:tcPr>
          <w:p w14:paraId="5DC6BB56" w14:textId="6C56E162" w:rsidR="00A66637" w:rsidRDefault="00CB2186" w:rsidP="00BD6369">
            <w:pPr>
              <w:pStyle w:val="TableParagraph"/>
              <w:spacing w:before="38"/>
              <w:ind w:left="37" w:right="7"/>
              <w:rPr>
                <w:sz w:val="20"/>
              </w:rPr>
            </w:pPr>
            <w:r w:rsidRPr="00CB2186">
              <w:rPr>
                <w:spacing w:val="-2"/>
                <w:sz w:val="20"/>
                <w:lang w:val="pt-BR"/>
              </w:rPr>
              <w:t>Brown</w:t>
            </w:r>
          </w:p>
        </w:tc>
        <w:tc>
          <w:tcPr>
            <w:tcW w:w="1566" w:type="dxa"/>
          </w:tcPr>
          <w:p w14:paraId="2C0DB034" w14:textId="77777777" w:rsidR="00A66637" w:rsidRDefault="00A66637" w:rsidP="00BD6369">
            <w:pPr>
              <w:pStyle w:val="TableParagraph"/>
              <w:spacing w:before="38"/>
              <w:ind w:left="39" w:right="3"/>
              <w:rPr>
                <w:sz w:val="20"/>
              </w:rPr>
            </w:pPr>
            <w:r>
              <w:rPr>
                <w:spacing w:val="-4"/>
                <w:sz w:val="20"/>
              </w:rPr>
              <w:t>6153</w:t>
            </w:r>
          </w:p>
        </w:tc>
      </w:tr>
      <w:tr w:rsidR="00A66637" w14:paraId="09688425" w14:textId="77777777" w:rsidTr="00A66637">
        <w:trPr>
          <w:trHeight w:val="382"/>
          <w:jc w:val="center"/>
        </w:trPr>
        <w:tc>
          <w:tcPr>
            <w:tcW w:w="2496" w:type="dxa"/>
          </w:tcPr>
          <w:p w14:paraId="0267EA5A" w14:textId="6AB2CE2E" w:rsidR="00A66637" w:rsidRDefault="00CB2186" w:rsidP="00BD6369">
            <w:pPr>
              <w:pStyle w:val="TableParagraph"/>
              <w:spacing w:before="38"/>
              <w:ind w:left="37" w:right="3"/>
              <w:rPr>
                <w:sz w:val="20"/>
              </w:rPr>
            </w:pPr>
            <w:r w:rsidRPr="00CB2186">
              <w:rPr>
                <w:spacing w:val="-2"/>
                <w:sz w:val="20"/>
                <w:lang w:val="pt-BR"/>
              </w:rPr>
              <w:t>Yellow</w:t>
            </w:r>
          </w:p>
        </w:tc>
        <w:tc>
          <w:tcPr>
            <w:tcW w:w="1566" w:type="dxa"/>
          </w:tcPr>
          <w:p w14:paraId="67963B29" w14:textId="77777777" w:rsidR="00A66637" w:rsidRDefault="00A66637" w:rsidP="00BD6369">
            <w:pPr>
              <w:pStyle w:val="TableParagraph"/>
              <w:spacing w:before="38"/>
              <w:ind w:left="39" w:right="3"/>
              <w:rPr>
                <w:sz w:val="20"/>
              </w:rPr>
            </w:pPr>
            <w:r>
              <w:rPr>
                <w:spacing w:val="-5"/>
                <w:sz w:val="20"/>
              </w:rPr>
              <w:t>117</w:t>
            </w:r>
          </w:p>
        </w:tc>
      </w:tr>
      <w:tr w:rsidR="00A66637" w14:paraId="7578E954" w14:textId="77777777" w:rsidTr="00A66637">
        <w:trPr>
          <w:trHeight w:val="382"/>
          <w:jc w:val="center"/>
        </w:trPr>
        <w:tc>
          <w:tcPr>
            <w:tcW w:w="2496" w:type="dxa"/>
          </w:tcPr>
          <w:p w14:paraId="09A2274F" w14:textId="0281365E" w:rsidR="00A66637" w:rsidRDefault="00CB2186" w:rsidP="00BD6369">
            <w:pPr>
              <w:pStyle w:val="TableParagraph"/>
              <w:spacing w:before="38"/>
              <w:ind w:left="37" w:right="3"/>
              <w:rPr>
                <w:sz w:val="20"/>
              </w:rPr>
            </w:pPr>
            <w:r w:rsidRPr="00CB2186">
              <w:rPr>
                <w:spacing w:val="-2"/>
                <w:sz w:val="20"/>
                <w:lang w:val="pt-BR"/>
              </w:rPr>
              <w:t>Indigenous</w:t>
            </w:r>
          </w:p>
        </w:tc>
        <w:tc>
          <w:tcPr>
            <w:tcW w:w="1566" w:type="dxa"/>
          </w:tcPr>
          <w:p w14:paraId="2CCAA717" w14:textId="77777777" w:rsidR="00A66637" w:rsidRDefault="00A66637" w:rsidP="00BD6369">
            <w:pPr>
              <w:pStyle w:val="TableParagraph"/>
              <w:spacing w:before="38"/>
              <w:ind w:left="39" w:right="3"/>
              <w:rPr>
                <w:sz w:val="20"/>
              </w:rPr>
            </w:pPr>
            <w:r>
              <w:rPr>
                <w:spacing w:val="-10"/>
                <w:sz w:val="20"/>
              </w:rPr>
              <w:t>9</w:t>
            </w:r>
          </w:p>
        </w:tc>
      </w:tr>
      <w:tr w:rsidR="00A66637" w14:paraId="56BC09EF" w14:textId="77777777" w:rsidTr="00A66637">
        <w:trPr>
          <w:trHeight w:val="326"/>
          <w:jc w:val="center"/>
        </w:trPr>
        <w:tc>
          <w:tcPr>
            <w:tcW w:w="2496" w:type="dxa"/>
          </w:tcPr>
          <w:p w14:paraId="3A9C42C3" w14:textId="6DACA9E6" w:rsidR="00A66637" w:rsidRDefault="00CB2186" w:rsidP="00BD6369">
            <w:pPr>
              <w:pStyle w:val="TableParagraph"/>
              <w:spacing w:before="38" w:line="212" w:lineRule="exact"/>
              <w:ind w:left="37" w:right="7"/>
              <w:rPr>
                <w:sz w:val="20"/>
              </w:rPr>
            </w:pPr>
            <w:r w:rsidRPr="00CB2186">
              <w:rPr>
                <w:sz w:val="20"/>
                <w:lang w:val="pt-BR"/>
              </w:rPr>
              <w:t>No information</w:t>
            </w:r>
          </w:p>
        </w:tc>
        <w:tc>
          <w:tcPr>
            <w:tcW w:w="1566" w:type="dxa"/>
          </w:tcPr>
          <w:p w14:paraId="17BA0770" w14:textId="77777777" w:rsidR="00A66637" w:rsidRDefault="00A66637" w:rsidP="00BD6369">
            <w:pPr>
              <w:pStyle w:val="TableParagraph"/>
              <w:spacing w:before="38" w:line="212" w:lineRule="exact"/>
              <w:ind w:left="39" w:right="3"/>
              <w:rPr>
                <w:sz w:val="20"/>
              </w:rPr>
            </w:pPr>
            <w:r>
              <w:rPr>
                <w:spacing w:val="-4"/>
                <w:sz w:val="20"/>
              </w:rPr>
              <w:t>1225</w:t>
            </w:r>
          </w:p>
        </w:tc>
      </w:tr>
      <w:tr w:rsidR="00A66637" w14:paraId="4717C6EC" w14:textId="77777777" w:rsidTr="00A66637">
        <w:trPr>
          <w:trHeight w:val="382"/>
          <w:jc w:val="center"/>
        </w:trPr>
        <w:tc>
          <w:tcPr>
            <w:tcW w:w="2496" w:type="dxa"/>
            <w:shd w:val="clear" w:color="auto" w:fill="CCFF33"/>
          </w:tcPr>
          <w:p w14:paraId="06D60326" w14:textId="77777777" w:rsidR="00A66637" w:rsidRDefault="00A66637" w:rsidP="00BD6369">
            <w:pPr>
              <w:pStyle w:val="TableParagraph"/>
              <w:spacing w:before="83" w:line="212" w:lineRule="exact"/>
              <w:ind w:left="37"/>
              <w:rPr>
                <w:sz w:val="20"/>
              </w:rPr>
            </w:pPr>
            <w:r>
              <w:rPr>
                <w:spacing w:val="-2"/>
                <w:sz w:val="20"/>
              </w:rPr>
              <w:t>TOTAL</w:t>
            </w:r>
          </w:p>
        </w:tc>
        <w:tc>
          <w:tcPr>
            <w:tcW w:w="1566" w:type="dxa"/>
            <w:shd w:val="clear" w:color="auto" w:fill="CCFF33"/>
          </w:tcPr>
          <w:p w14:paraId="5B437CCE" w14:textId="77777777" w:rsidR="00A66637" w:rsidRDefault="00A66637" w:rsidP="00BD6369">
            <w:pPr>
              <w:pStyle w:val="TableParagraph"/>
              <w:spacing w:before="83" w:line="212" w:lineRule="exact"/>
              <w:ind w:left="39" w:right="3"/>
              <w:rPr>
                <w:sz w:val="20"/>
              </w:rPr>
            </w:pPr>
            <w:r>
              <w:rPr>
                <w:spacing w:val="-4"/>
                <w:sz w:val="20"/>
              </w:rPr>
              <w:t>7736</w:t>
            </w:r>
          </w:p>
        </w:tc>
      </w:tr>
    </w:tbl>
    <w:p w14:paraId="4C8F8DB2" w14:textId="77777777" w:rsidR="00A66637" w:rsidRDefault="00A66637" w:rsidP="00A57ACA"/>
    <w:p w14:paraId="578703D6" w14:textId="77777777" w:rsidR="00A66637" w:rsidRDefault="00A66637" w:rsidP="009C2286">
      <w:pPr>
        <w:rPr>
          <w:rFonts w:ascii="Times New Roman" w:hAnsi="Times New Roman" w:cs="Times New Roman"/>
        </w:rPr>
      </w:pPr>
      <w:r w:rsidRPr="00CB2186">
        <w:rPr>
          <w:rFonts w:ascii="Times New Roman" w:hAnsi="Times New Roman" w:cs="Times New Roman"/>
        </w:rPr>
        <w:t>Source</w:t>
      </w:r>
      <w:r w:rsidR="00A57ACA" w:rsidRPr="00A57ACA">
        <w:rPr>
          <w:rFonts w:ascii="Times New Roman" w:hAnsi="Times New Roman" w:cs="Times New Roman"/>
        </w:rPr>
        <w:t>: DATASUS/SINAN, 2024</w:t>
      </w:r>
    </w:p>
    <w:p w14:paraId="220C1D9F" w14:textId="77777777" w:rsidR="00CB2186" w:rsidRDefault="00CB2186" w:rsidP="009C2286">
      <w:pPr>
        <w:rPr>
          <w:rFonts w:ascii="Times New Roman" w:hAnsi="Times New Roman" w:cs="Times New Roman"/>
        </w:rPr>
      </w:pPr>
    </w:p>
    <w:p w14:paraId="721220B2" w14:textId="77777777" w:rsidR="00D27413" w:rsidRDefault="00D27413" w:rsidP="009C2286">
      <w:pPr>
        <w:rPr>
          <w:rFonts w:ascii="Times New Roman" w:hAnsi="Times New Roman" w:cs="Times New Roman"/>
        </w:rPr>
      </w:pPr>
    </w:p>
    <w:p w14:paraId="2C2067CF" w14:textId="77777777" w:rsidR="00D27413" w:rsidRDefault="00D27413" w:rsidP="009C2286">
      <w:pPr>
        <w:rPr>
          <w:rFonts w:ascii="Times New Roman" w:hAnsi="Times New Roman" w:cs="Times New Roman"/>
        </w:rPr>
      </w:pPr>
    </w:p>
    <w:p w14:paraId="37B79323" w14:textId="77777777" w:rsidR="00CB2186" w:rsidRPr="00CB2186" w:rsidRDefault="00CB2186" w:rsidP="009C2286">
      <w:pPr>
        <w:rPr>
          <w:rFonts w:ascii="Times New Roman" w:hAnsi="Times New Roman" w:cs="Times New Roman"/>
        </w:rPr>
      </w:pPr>
    </w:p>
    <w:p w14:paraId="133C0447" w14:textId="007CE426" w:rsidR="00CB2186" w:rsidRPr="00CB2186" w:rsidRDefault="009C2286" w:rsidP="009C2286">
      <w:commentRangeStart w:id="6"/>
      <w:commentRangeStart w:id="7"/>
      <w:r w:rsidRPr="005B57FC">
        <w:rPr>
          <w:rFonts w:ascii="Times New Roman" w:hAnsi="Times New Roman" w:cs="Times New Roman"/>
          <w:b/>
          <w:bCs/>
          <w:lang w:val="en-US"/>
        </w:rPr>
        <w:t>DISCUSSION</w:t>
      </w:r>
      <w:commentRangeEnd w:id="6"/>
      <w:r w:rsidR="00D442D5">
        <w:rPr>
          <w:rStyle w:val="CommentReference"/>
        </w:rPr>
        <w:commentReference w:id="6"/>
      </w:r>
      <w:commentRangeEnd w:id="7"/>
      <w:r w:rsidR="00D442D5">
        <w:rPr>
          <w:rStyle w:val="CommentReference"/>
        </w:rPr>
        <w:commentReference w:id="7"/>
      </w:r>
    </w:p>
    <w:p w14:paraId="6BEFCB3B" w14:textId="17600A37"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When analyzing hospitalizations of elderly individuals with hypertension by region in the State of Pará, it can be observed that the highest prevalence occurred in Belém, with 1,574 hospitalized elderly individuals. This finding can be correlated with the fact that Belém is the capital of the State of Pará and has the largest population concentration. According to Brazil (2023) (1), the State of Pará has a population of 8,711,196 people, of whom 1,303,403 reside in Belém.</w:t>
      </w:r>
    </w:p>
    <w:p w14:paraId="6AD6778C" w14:textId="73EAF258" w:rsidR="009C2286" w:rsidRPr="005B57FC" w:rsidRDefault="009C2286" w:rsidP="009C2286">
      <w:pPr>
        <w:rPr>
          <w:rFonts w:ascii="Times New Roman" w:hAnsi="Times New Roman" w:cs="Times New Roman"/>
          <w:lang w:val="en-US"/>
        </w:rPr>
      </w:pPr>
      <w:commentRangeStart w:id="8"/>
      <w:r w:rsidRPr="005B57FC">
        <w:rPr>
          <w:rFonts w:ascii="Times New Roman" w:hAnsi="Times New Roman" w:cs="Times New Roman"/>
          <w:lang w:val="en-US"/>
        </w:rPr>
        <w:t xml:space="preserve">This is followed by Santo Antônio do </w:t>
      </w:r>
      <w:proofErr w:type="spellStart"/>
      <w:r w:rsidRPr="005B57FC">
        <w:rPr>
          <w:rFonts w:ascii="Times New Roman" w:hAnsi="Times New Roman" w:cs="Times New Roman"/>
          <w:lang w:val="en-US"/>
        </w:rPr>
        <w:t>Tauá</w:t>
      </w:r>
      <w:proofErr w:type="spellEnd"/>
      <w:r w:rsidRPr="005B57FC">
        <w:rPr>
          <w:rFonts w:ascii="Times New Roman" w:hAnsi="Times New Roman" w:cs="Times New Roman"/>
          <w:lang w:val="en-US"/>
        </w:rPr>
        <w:t>, with 1,044 hospitalizations. These data may be related to sociodemographic, behavioral, and associated morbidity factors. The existing theoretical framework in public health points to three major global transitions—epidemiological, demographic, and nutritional—as underlying these findings. Therefore, it is expected that the increase in hypertension results not only from its higher prevalence but also from factors related to increased life expectancy, population aging, and changes in lifestyle habits and dietary patterns (Galvão; Soares; Connelly et al., 2020) (3).</w:t>
      </w:r>
      <w:commentRangeEnd w:id="8"/>
      <w:r w:rsidR="00D442D5">
        <w:rPr>
          <w:rStyle w:val="CommentReference"/>
        </w:rPr>
        <w:commentReference w:id="8"/>
      </w:r>
    </w:p>
    <w:p w14:paraId="7F4D1F25" w14:textId="2EEDCD55"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However, in the literature, no other studies were found that objectively demonstrate data on the rate of elderly individuals hospitalized with hypertension during the studied period in this region, which highlights the need for additional studies to elucidate this context.</w:t>
      </w:r>
    </w:p>
    <w:p w14:paraId="35000CC2" w14:textId="6E899388"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lastRenderedPageBreak/>
        <w:t>The year 2024 recorded the highest number of hospitalizations of elderly individuals with hypertension in the State of Pará, with 3,644 notifications, followed by the year 2022, with 3,045 recorded hospitalizations. Nevertheless, according to Sousa et al. (2022) (16), in Brazil, 206,188 hospitalizations due to arterial hypertension were recorded between 2019 and 2023. The highest number of cases was recorded in 2019, with 52,282, and the lowest in 2021, with 36,165 cases, which is consistent with the findings of this study, in which 2021 had the fewest notifications, with 2,536 hospitalized elderly individuals.</w:t>
      </w:r>
    </w:p>
    <w:p w14:paraId="49475F5E" w14:textId="3031EA2E"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 xml:space="preserve">The analysis of the association between hospitalizations of elderly individuals with hypertension in the State of Pará and sex revealed a higher prevalence among women than among men, consistent with the study by Pereira et al. (2024) (10), who analyzed hospital morbidity of patients with arterial hypertension in the Northern </w:t>
      </w:r>
      <w:r w:rsidR="005B57FC" w:rsidRPr="005B57FC">
        <w:rPr>
          <w:rFonts w:ascii="Times New Roman" w:hAnsi="Times New Roman" w:cs="Times New Roman"/>
          <w:lang w:val="en-US"/>
        </w:rPr>
        <w:t>Macro region</w:t>
      </w:r>
      <w:r w:rsidRPr="005B57FC">
        <w:rPr>
          <w:rFonts w:ascii="Times New Roman" w:hAnsi="Times New Roman" w:cs="Times New Roman"/>
          <w:lang w:val="en-US"/>
        </w:rPr>
        <w:t xml:space="preserve"> of the State of Maranhão between 2014 and 2024 and found that the majority of hospitalized patients were female. This may indicate that individuals of this sex are more exposed to daily life stressors.</w:t>
      </w:r>
    </w:p>
    <w:p w14:paraId="113FE774" w14:textId="60A46890"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Thus, high blood pressure levels in women may be influenced by the use of contraceptive methods, polycystic ovary syndrome, pregnancy, hormone therapy, and menopause. Another factor contributing to elevated blood pressure levels among women is their involvement in domestic responsibilities and stress in the labor market, leading to professional overload associated with domestic life (Connelly et al., 2020) (3).</w:t>
      </w:r>
    </w:p>
    <w:p w14:paraId="7DAB21C8" w14:textId="656EA45D"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Regarding age group analysis, it is possible to state that the most prevalent group comprises elderly individuals aged 60 to 69 years. Similar results were obtained in national studies (Sousa et al., 2022) (15). Given that life expectancy in Brazil is around 75.5 years, it is natural that there is a higher concentration of younger elderly individuals (60–70 years) (Brazil, 2023) (14).</w:t>
      </w:r>
    </w:p>
    <w:p w14:paraId="7DBB1A6D" w14:textId="31189C31"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Individuals classified as mixed-race (</w:t>
      </w:r>
      <w:r w:rsidR="00D27413">
        <w:rPr>
          <w:rFonts w:ascii="Times New Roman" w:hAnsi="Times New Roman" w:cs="Times New Roman"/>
          <w:lang w:val="en-US"/>
        </w:rPr>
        <w:t>brown</w:t>
      </w:r>
      <w:r w:rsidRPr="005B57FC">
        <w:rPr>
          <w:rFonts w:ascii="Times New Roman" w:hAnsi="Times New Roman" w:cs="Times New Roman"/>
          <w:lang w:val="en-US"/>
        </w:rPr>
        <w:t>) and Black have a higher tendency to present SAH, as demonstrated by the studies of Sousa et al. (2022) (16). In the color/race categories addressed in this study, mixed-race individuals represented the majority, with a significant difference compared to the others. Individuals who declared themselves as mixed-race may eventually include Indigenous people and other population groups resulting from the mixture of two or more color or race categories, according to the Brazilian Institute of Geography and Statistics (IBGE).</w:t>
      </w:r>
    </w:p>
    <w:p w14:paraId="0D041265" w14:textId="1554B30D"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According to the research conducted by the Health System Performance Assessment Project, the South and Southeast regions are those with the lowest rates of missing information, with respective figures of 12.3% in 2008 and 19.3% in 2021 (Brazil, 2023) (1).</w:t>
      </w:r>
    </w:p>
    <w:p w14:paraId="406FA0C3" w14:textId="0FD81CA5"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 xml:space="preserve">In view of these results, the following actions are proposed: conducting lectures targeted at this population, continuous training of the multidisciplinary team, and promoting recreational activities that are easily accessible to the elderly population. It is also </w:t>
      </w:r>
      <w:r w:rsidRPr="005B57FC">
        <w:rPr>
          <w:rFonts w:ascii="Times New Roman" w:hAnsi="Times New Roman" w:cs="Times New Roman"/>
          <w:lang w:val="en-US"/>
        </w:rPr>
        <w:lastRenderedPageBreak/>
        <w:t>necessary to encourage healthier eating habits and develop pharmaceutical guidance that is easy for the elderly population to understand.</w:t>
      </w:r>
    </w:p>
    <w:p w14:paraId="71033874" w14:textId="52493CCD" w:rsidR="009C2286" w:rsidRPr="00CB2186" w:rsidRDefault="009C2286" w:rsidP="009C2286">
      <w:pPr>
        <w:rPr>
          <w:rFonts w:ascii="Times New Roman" w:hAnsi="Times New Roman" w:cs="Times New Roman"/>
          <w:b/>
          <w:bCs/>
          <w:lang w:val="en-US"/>
        </w:rPr>
      </w:pPr>
      <w:commentRangeStart w:id="9"/>
      <w:commentRangeStart w:id="10"/>
      <w:r w:rsidRPr="005B57FC">
        <w:rPr>
          <w:rFonts w:ascii="Times New Roman" w:hAnsi="Times New Roman" w:cs="Times New Roman"/>
          <w:b/>
          <w:bCs/>
          <w:lang w:val="en-US"/>
        </w:rPr>
        <w:t>CONCLUSION</w:t>
      </w:r>
      <w:commentRangeEnd w:id="9"/>
      <w:r w:rsidR="00D442D5">
        <w:rPr>
          <w:rStyle w:val="CommentReference"/>
        </w:rPr>
        <w:commentReference w:id="9"/>
      </w:r>
      <w:commentRangeEnd w:id="10"/>
      <w:r w:rsidR="00D442D5">
        <w:rPr>
          <w:rStyle w:val="CommentReference"/>
        </w:rPr>
        <w:commentReference w:id="10"/>
      </w:r>
    </w:p>
    <w:p w14:paraId="596E1FC0" w14:textId="77777777" w:rsidR="00CB2186" w:rsidRDefault="009C2286" w:rsidP="009C2286">
      <w:pPr>
        <w:rPr>
          <w:rFonts w:ascii="Times New Roman" w:hAnsi="Times New Roman" w:cs="Times New Roman"/>
          <w:lang w:val="en-US"/>
        </w:rPr>
      </w:pPr>
      <w:r w:rsidRPr="005B57FC">
        <w:rPr>
          <w:rFonts w:ascii="Times New Roman" w:hAnsi="Times New Roman" w:cs="Times New Roman"/>
          <w:lang w:val="en-US"/>
        </w:rPr>
        <w:t>Systemic Arterial Hypertension (SAH) constitutes the main risk factor for chronic noncommunicable diseases. The epidemiological profiles of systemic arterial hypertension are established as a serious public health problem in our country.</w:t>
      </w:r>
    </w:p>
    <w:p w14:paraId="60F7F58D" w14:textId="64422ABA"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 xml:space="preserve">The research highlighted the need for changes in prevention and treatment paradigms in the State of Pará, both in the Metropolitan Region—where the capital of Pará presented the highest rates among municipalities—and in inland areas, as evidenced by Santo Antônio do </w:t>
      </w:r>
      <w:proofErr w:type="spellStart"/>
      <w:r w:rsidRPr="005B57FC">
        <w:rPr>
          <w:rFonts w:ascii="Times New Roman" w:hAnsi="Times New Roman" w:cs="Times New Roman"/>
          <w:lang w:val="en-US"/>
        </w:rPr>
        <w:t>Tauá</w:t>
      </w:r>
      <w:proofErr w:type="spellEnd"/>
      <w:r w:rsidRPr="005B57FC">
        <w:rPr>
          <w:rFonts w:ascii="Times New Roman" w:hAnsi="Times New Roman" w:cs="Times New Roman"/>
          <w:lang w:val="en-US"/>
        </w:rPr>
        <w:t>, which showed the second-highest rate despite being distant from the metropolis. In addition, the highest occurrences were observed among elderly mixed-race women aged 60–69 years.</w:t>
      </w:r>
    </w:p>
    <w:p w14:paraId="00F18FB4" w14:textId="242DD8B8" w:rsidR="009C2286" w:rsidRPr="005B57FC" w:rsidRDefault="009C2286" w:rsidP="009C2286">
      <w:pPr>
        <w:rPr>
          <w:rFonts w:ascii="Times New Roman" w:hAnsi="Times New Roman" w:cs="Times New Roman"/>
          <w:lang w:val="en-US"/>
        </w:rPr>
      </w:pPr>
      <w:r w:rsidRPr="005B57FC">
        <w:rPr>
          <w:rFonts w:ascii="Times New Roman" w:hAnsi="Times New Roman" w:cs="Times New Roman"/>
          <w:lang w:val="en-US"/>
        </w:rPr>
        <w:t>It is important to emphasize the need for complementary studies that allow for a deeper analysis of risk factors and the clinical and epidemiological characteristics of systemic arterial hypertension in Brazil, aiming to improve patients’ quality of life and reduce the disease burden associated with this condition.</w:t>
      </w:r>
    </w:p>
    <w:p w14:paraId="5C3AED5B" w14:textId="4E228EB5" w:rsidR="00A57ACA" w:rsidRDefault="009C2286" w:rsidP="009C2286">
      <w:pPr>
        <w:rPr>
          <w:rFonts w:ascii="Times New Roman" w:hAnsi="Times New Roman" w:cs="Times New Roman"/>
          <w:lang w:val="en-US"/>
        </w:rPr>
      </w:pPr>
      <w:r w:rsidRPr="005B57FC">
        <w:rPr>
          <w:rFonts w:ascii="Times New Roman" w:hAnsi="Times New Roman" w:cs="Times New Roman"/>
          <w:lang w:val="en-US"/>
        </w:rPr>
        <w:t>There is also the possibility that, in some localities, the recorded profile differs from that found in this study and in the literature in general, since prevalence rates may vary depending on the specific characteristics of each analyzed population sample.</w:t>
      </w:r>
    </w:p>
    <w:p w14:paraId="36B04AAE" w14:textId="0949A7B5" w:rsidR="009C2286" w:rsidRPr="00A57ACA" w:rsidRDefault="009C2286" w:rsidP="009C2286">
      <w:pPr>
        <w:rPr>
          <w:lang w:val="en-US"/>
        </w:rPr>
      </w:pPr>
    </w:p>
    <w:p w14:paraId="6F5B3B52" w14:textId="7A38D105" w:rsidR="00A57ACA" w:rsidRPr="00A57ACA" w:rsidRDefault="00A57ACA" w:rsidP="00CB2186">
      <w:pPr>
        <w:jc w:val="center"/>
        <w:rPr>
          <w:rFonts w:ascii="Times New Roman" w:hAnsi="Times New Roman" w:cs="Times New Roman"/>
          <w:lang w:val="en-US"/>
        </w:rPr>
      </w:pPr>
      <w:r w:rsidRPr="00A57ACA">
        <w:rPr>
          <w:rFonts w:ascii="Times New Roman" w:hAnsi="Times New Roman" w:cs="Times New Roman"/>
          <w:lang w:val="en-US"/>
        </w:rPr>
        <w:t>REFER</w:t>
      </w:r>
      <w:r w:rsidR="00CB2186" w:rsidRPr="00CB2186">
        <w:rPr>
          <w:rFonts w:ascii="Times New Roman" w:hAnsi="Times New Roman" w:cs="Times New Roman"/>
          <w:lang w:val="en-US"/>
        </w:rPr>
        <w:t>ENCES</w:t>
      </w:r>
    </w:p>
    <w:p w14:paraId="19FFA2D1" w14:textId="77777777" w:rsidR="00A57ACA" w:rsidRPr="00A57ACA" w:rsidRDefault="00A57ACA" w:rsidP="00A57ACA">
      <w:pPr>
        <w:rPr>
          <w:rFonts w:ascii="Times New Roman" w:hAnsi="Times New Roman" w:cs="Times New Roman"/>
          <w:lang w:val="en-US"/>
        </w:rPr>
      </w:pPr>
    </w:p>
    <w:p w14:paraId="60BC98C8" w14:textId="77777777" w:rsidR="00CB2186" w:rsidRDefault="00A57ACA" w:rsidP="00A57ACA">
      <w:pPr>
        <w:rPr>
          <w:rFonts w:ascii="Times New Roman" w:hAnsi="Times New Roman" w:cs="Times New Roman"/>
          <w:lang w:val="en-US"/>
        </w:rPr>
      </w:pPr>
      <w:r w:rsidRPr="00A57ACA">
        <w:rPr>
          <w:rFonts w:ascii="Times New Roman" w:hAnsi="Times New Roman" w:cs="Times New Roman"/>
          <w:lang w:val="en-US"/>
        </w:rPr>
        <w:t>1</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BRAZIL MINISTRY OF HEALTH. The mortality rate due to arterial hypertension reaches the highest value in the last ten years. 2023. Available at: </w:t>
      </w:r>
      <w:r w:rsidR="00CB2186">
        <w:fldChar w:fldCharType="begin"/>
      </w:r>
      <w:r w:rsidR="00CB2186" w:rsidRPr="00D442D5">
        <w:rPr>
          <w:lang w:val="en-US"/>
          <w:rPrChange w:id="12" w:author="ANDERSON BRANDÃO SANTOS" w:date="2026-01-30T10:39:00Z">
            <w:rPr/>
          </w:rPrChange>
        </w:rPr>
        <w:instrText>HYPERLINK "https://guiadafarmacia.com.br/hipertensao-arterial-279-da-populacao-adulta-brasileira-convive-com-a-doenca/" \t "_new"</w:instrText>
      </w:r>
      <w:r w:rsidR="00CB2186">
        <w:fldChar w:fldCharType="separate"/>
      </w:r>
      <w:r w:rsidR="00CB2186" w:rsidRPr="00CB2186">
        <w:rPr>
          <w:rStyle w:val="Hyperlink"/>
          <w:rFonts w:ascii="Times New Roman" w:hAnsi="Times New Roman" w:cs="Times New Roman"/>
          <w:lang w:val="en-US"/>
        </w:rPr>
        <w:t>https://guiadafarmacia.com.br/hipertensao-arterial-279-da-populacao-adulta-brasileira-convive-com-a-doenca/</w:t>
      </w:r>
      <w:r w:rsidR="00CB2186">
        <w:rPr>
          <w:rStyle w:val="Hyperlink"/>
          <w:rFonts w:ascii="Times New Roman" w:hAnsi="Times New Roman" w:cs="Times New Roman"/>
          <w:lang w:val="en-US"/>
        </w:rPr>
        <w:fldChar w:fldCharType="end"/>
      </w:r>
      <w:r w:rsidR="00CB2186" w:rsidRPr="00CB2186">
        <w:rPr>
          <w:rFonts w:ascii="Times New Roman" w:hAnsi="Times New Roman" w:cs="Times New Roman"/>
          <w:lang w:val="en-US"/>
        </w:rPr>
        <w:t xml:space="preserve"> Accessed on: Dec 01, 2025.</w:t>
      </w:r>
    </w:p>
    <w:p w14:paraId="33D984E5" w14:textId="77777777" w:rsidR="00CB2186" w:rsidRDefault="00A57ACA" w:rsidP="00A57ACA">
      <w:pPr>
        <w:rPr>
          <w:rFonts w:ascii="Times New Roman" w:hAnsi="Times New Roman" w:cs="Times New Roman"/>
          <w:lang w:val="en-US"/>
        </w:rPr>
      </w:pPr>
      <w:r w:rsidRPr="00A57ACA">
        <w:rPr>
          <w:rFonts w:ascii="Times New Roman" w:hAnsi="Times New Roman" w:cs="Times New Roman"/>
          <w:lang w:val="en-US"/>
        </w:rPr>
        <w:t>2</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ANTUNES, T. L. et al. Humanization of nursing care for elderly health: an integrative literature review. </w:t>
      </w:r>
      <w:r w:rsidR="00CB2186" w:rsidRPr="00CB2186">
        <w:rPr>
          <w:rFonts w:ascii="Times New Roman" w:hAnsi="Times New Roman" w:cs="Times New Roman"/>
        </w:rPr>
        <w:t xml:space="preserve">Múltiplos Acessos, [S. l.], v. 6, n. 3, p. 151-163, 2021. DOI: </w:t>
      </w:r>
      <w:hyperlink r:id="rId10" w:tgtFrame="_new" w:history="1">
        <w:r w:rsidR="00CB2186" w:rsidRPr="00CB2186">
          <w:rPr>
            <w:rStyle w:val="Hyperlink"/>
            <w:rFonts w:ascii="Times New Roman" w:hAnsi="Times New Roman" w:cs="Times New Roman"/>
          </w:rPr>
          <w:t>http://dx.doi.org/10.51721/2526-4036/v6n3a10</w:t>
        </w:r>
      </w:hyperlink>
      <w:r w:rsidR="00CB2186" w:rsidRPr="00CB2186">
        <w:rPr>
          <w:rFonts w:ascii="Times New Roman" w:hAnsi="Times New Roman" w:cs="Times New Roman"/>
        </w:rPr>
        <w:t xml:space="preserve">. </w:t>
      </w:r>
      <w:r w:rsidR="00CB2186" w:rsidRPr="00CB2186">
        <w:rPr>
          <w:rFonts w:ascii="Times New Roman" w:hAnsi="Times New Roman" w:cs="Times New Roman"/>
          <w:lang w:val="en-US"/>
        </w:rPr>
        <w:t>Available at: http://142.93.150.88/multaccess/index.php/multaccess/article/view/223. Accessed on: Mar 28, 2025.</w:t>
      </w:r>
    </w:p>
    <w:p w14:paraId="4A573B99" w14:textId="77777777" w:rsidR="00CB2186" w:rsidRDefault="00A57ACA" w:rsidP="00A57ACA">
      <w:pPr>
        <w:rPr>
          <w:rFonts w:ascii="Times New Roman" w:hAnsi="Times New Roman" w:cs="Times New Roman"/>
          <w:lang w:val="en-US"/>
        </w:rPr>
      </w:pPr>
      <w:r w:rsidRPr="00A57ACA">
        <w:rPr>
          <w:rFonts w:ascii="Times New Roman" w:hAnsi="Times New Roman" w:cs="Times New Roman"/>
          <w:lang w:val="en-US"/>
        </w:rPr>
        <w:t>3</w:t>
      </w:r>
      <w:r w:rsidRPr="00A57ACA">
        <w:rPr>
          <w:rFonts w:ascii="Times New Roman" w:hAnsi="Times New Roman" w:cs="Times New Roman"/>
          <w:lang w:val="en-US"/>
        </w:rPr>
        <w:tab/>
      </w:r>
      <w:r w:rsidR="00CB2186" w:rsidRPr="00CB2186">
        <w:rPr>
          <w:rFonts w:ascii="Times New Roman" w:hAnsi="Times New Roman" w:cs="Times New Roman"/>
          <w:lang w:val="en-US"/>
        </w:rPr>
        <w:t>CONNELLY, P. J., CURRIE, G., &amp; DELLES, C. Sex differences in the prevalence, outcomes, and management of hypertension. Current Hypertension Reports, v. 24, n. 6, p. 185-192, 2022.</w:t>
      </w:r>
    </w:p>
    <w:p w14:paraId="5B20794D" w14:textId="77777777" w:rsidR="00CB2186" w:rsidRPr="00D442D5" w:rsidRDefault="00A57ACA" w:rsidP="00A57ACA">
      <w:pPr>
        <w:rPr>
          <w:rFonts w:ascii="Times New Roman" w:hAnsi="Times New Roman" w:cs="Times New Roman"/>
          <w:lang w:val="en-US"/>
        </w:rPr>
      </w:pPr>
      <w:r w:rsidRPr="00D442D5">
        <w:rPr>
          <w:rFonts w:ascii="Times New Roman" w:hAnsi="Times New Roman" w:cs="Times New Roman"/>
          <w:lang w:val="en-US"/>
        </w:rPr>
        <w:t>4</w:t>
      </w:r>
      <w:r w:rsidRPr="00D442D5">
        <w:rPr>
          <w:rFonts w:ascii="Times New Roman" w:hAnsi="Times New Roman" w:cs="Times New Roman"/>
          <w:lang w:val="en-US"/>
        </w:rPr>
        <w:tab/>
      </w:r>
      <w:r w:rsidR="00CB2186" w:rsidRPr="00D442D5">
        <w:rPr>
          <w:rFonts w:ascii="Times New Roman" w:hAnsi="Times New Roman" w:cs="Times New Roman"/>
          <w:lang w:val="en-US"/>
        </w:rPr>
        <w:t xml:space="preserve">DIAS, D. E.; M. et al. </w:t>
      </w:r>
      <w:r w:rsidR="00CB2186" w:rsidRPr="00CB2186">
        <w:rPr>
          <w:rFonts w:ascii="Times New Roman" w:hAnsi="Times New Roman" w:cs="Times New Roman"/>
          <w:lang w:val="en-US"/>
        </w:rPr>
        <w:t xml:space="preserve">Nursing actions in promoting the health of institutionalized elderly: an integrative review. Brazilian Journal of Health Review, [S. l.], v. 4, n. 1, p. 674-685, 2021. DOI: </w:t>
      </w:r>
      <w:hyperlink r:id="rId11" w:tgtFrame="_new" w:history="1">
        <w:r w:rsidR="00CB2186" w:rsidRPr="00CB2186">
          <w:rPr>
            <w:rStyle w:val="Hyperlink"/>
            <w:rFonts w:ascii="Times New Roman" w:hAnsi="Times New Roman" w:cs="Times New Roman"/>
            <w:lang w:val="en-US"/>
          </w:rPr>
          <w:t>https://doi.org/10.34119/bjhrv4n1-057</w:t>
        </w:r>
      </w:hyperlink>
      <w:r w:rsidR="00CB2186" w:rsidRPr="00CB2186">
        <w:rPr>
          <w:rFonts w:ascii="Times New Roman" w:hAnsi="Times New Roman" w:cs="Times New Roman"/>
          <w:lang w:val="en-US"/>
        </w:rPr>
        <w:t xml:space="preserve">. Available </w:t>
      </w:r>
      <w:r w:rsidR="00CB2186" w:rsidRPr="00CB2186">
        <w:rPr>
          <w:rFonts w:ascii="Times New Roman" w:hAnsi="Times New Roman" w:cs="Times New Roman"/>
          <w:lang w:val="en-US"/>
        </w:rPr>
        <w:lastRenderedPageBreak/>
        <w:t xml:space="preserve">at: </w:t>
      </w:r>
      <w:hyperlink r:id="rId12" w:tgtFrame="_new" w:history="1">
        <w:r w:rsidR="00CB2186" w:rsidRPr="00CB2186">
          <w:rPr>
            <w:rStyle w:val="Hyperlink"/>
            <w:rFonts w:ascii="Times New Roman" w:hAnsi="Times New Roman" w:cs="Times New Roman"/>
            <w:lang w:val="en-US"/>
          </w:rPr>
          <w:t>https://brazilianjournals.com/ojs/index.php/BJHR/article/view/22861</w:t>
        </w:r>
      </w:hyperlink>
      <w:r w:rsidR="00CB2186" w:rsidRPr="00CB2186">
        <w:rPr>
          <w:rFonts w:ascii="Times New Roman" w:hAnsi="Times New Roman" w:cs="Times New Roman"/>
          <w:lang w:val="en-US"/>
        </w:rPr>
        <w:t xml:space="preserve">. </w:t>
      </w:r>
      <w:r w:rsidR="00CB2186" w:rsidRPr="00D442D5">
        <w:rPr>
          <w:rFonts w:ascii="Times New Roman" w:hAnsi="Times New Roman" w:cs="Times New Roman"/>
          <w:lang w:val="en-US"/>
        </w:rPr>
        <w:t>Accessed on: Mar 28, 2025.</w:t>
      </w:r>
    </w:p>
    <w:p w14:paraId="771D059A" w14:textId="77777777" w:rsidR="00CB2186" w:rsidRDefault="00A57ACA" w:rsidP="00A57ACA">
      <w:pPr>
        <w:rPr>
          <w:rFonts w:ascii="Times New Roman" w:hAnsi="Times New Roman" w:cs="Times New Roman"/>
          <w:lang w:val="en-US"/>
        </w:rPr>
      </w:pPr>
      <w:r w:rsidRPr="00A57ACA">
        <w:rPr>
          <w:rFonts w:ascii="Times New Roman" w:hAnsi="Times New Roman" w:cs="Times New Roman"/>
          <w:lang w:val="en-US"/>
        </w:rPr>
        <w:t>5</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FIOCRUZ. Health System Performance Evaluation Project. Informative Bulletin No. 10, December 2022. Available at: </w:t>
      </w:r>
      <w:hyperlink r:id="rId13" w:tgtFrame="_new" w:history="1">
        <w:r w:rsidR="00CB2186" w:rsidRPr="00CB2186">
          <w:rPr>
            <w:rStyle w:val="Hyperlink"/>
            <w:rFonts w:ascii="Times New Roman" w:hAnsi="Times New Roman" w:cs="Times New Roman"/>
            <w:lang w:val="en-US"/>
          </w:rPr>
          <w:t>https://www.proadess.icict.fiocruz.br/</w:t>
        </w:r>
      </w:hyperlink>
      <w:r w:rsidR="00CB2186" w:rsidRPr="00CB2186">
        <w:rPr>
          <w:rFonts w:ascii="Times New Roman" w:hAnsi="Times New Roman" w:cs="Times New Roman"/>
          <w:lang w:val="en-US"/>
        </w:rPr>
        <w:t xml:space="preserve"> Accessed on: Nov 15, 2025.</w:t>
      </w:r>
    </w:p>
    <w:p w14:paraId="00D1EB6A" w14:textId="0851F976" w:rsidR="00A57ACA" w:rsidRPr="00A57ACA" w:rsidRDefault="00A57ACA" w:rsidP="00A57ACA">
      <w:pPr>
        <w:rPr>
          <w:rFonts w:ascii="Times New Roman" w:hAnsi="Times New Roman" w:cs="Times New Roman"/>
          <w:lang w:val="en-US"/>
        </w:rPr>
      </w:pPr>
      <w:r w:rsidRPr="00A57ACA">
        <w:rPr>
          <w:rFonts w:ascii="Times New Roman" w:hAnsi="Times New Roman" w:cs="Times New Roman"/>
        </w:rPr>
        <w:t>6</w:t>
      </w:r>
      <w:r w:rsidRPr="00A57ACA">
        <w:rPr>
          <w:rFonts w:ascii="Times New Roman" w:hAnsi="Times New Roman" w:cs="Times New Roman"/>
        </w:rPr>
        <w:tab/>
      </w:r>
      <w:r w:rsidR="00CB2186" w:rsidRPr="00CB2186">
        <w:rPr>
          <w:rFonts w:ascii="Times New Roman" w:hAnsi="Times New Roman" w:cs="Times New Roman"/>
        </w:rPr>
        <w:t xml:space="preserve">GOMES, L. M. et al. </w:t>
      </w:r>
      <w:r w:rsidR="00CB2186" w:rsidRPr="00CB2186">
        <w:rPr>
          <w:rFonts w:ascii="Times New Roman" w:hAnsi="Times New Roman" w:cs="Times New Roman"/>
          <w:lang w:val="en-US"/>
        </w:rPr>
        <w:t xml:space="preserve">Intervention plan for the control of diabetic and hypertensive patients residing in the territory of the Family Health Strategy Sagrada </w:t>
      </w:r>
      <w:proofErr w:type="spellStart"/>
      <w:r w:rsidR="00CB2186" w:rsidRPr="00CB2186">
        <w:rPr>
          <w:rFonts w:ascii="Times New Roman" w:hAnsi="Times New Roman" w:cs="Times New Roman"/>
          <w:lang w:val="en-US"/>
        </w:rPr>
        <w:t>Família</w:t>
      </w:r>
      <w:proofErr w:type="spellEnd"/>
      <w:r w:rsidR="00CB2186" w:rsidRPr="00CB2186">
        <w:rPr>
          <w:rFonts w:ascii="Times New Roman" w:hAnsi="Times New Roman" w:cs="Times New Roman"/>
          <w:lang w:val="en-US"/>
        </w:rPr>
        <w:t xml:space="preserve"> of </w:t>
      </w:r>
      <w:proofErr w:type="spellStart"/>
      <w:r w:rsidR="00CB2186" w:rsidRPr="00CB2186">
        <w:rPr>
          <w:rFonts w:ascii="Times New Roman" w:hAnsi="Times New Roman" w:cs="Times New Roman"/>
          <w:lang w:val="en-US"/>
        </w:rPr>
        <w:t>Divinópolis</w:t>
      </w:r>
      <w:proofErr w:type="spellEnd"/>
      <w:r w:rsidR="00CB2186" w:rsidRPr="00CB2186">
        <w:rPr>
          <w:rFonts w:ascii="Times New Roman" w:hAnsi="Times New Roman" w:cs="Times New Roman"/>
          <w:lang w:val="en-US"/>
        </w:rPr>
        <w:t>-Minas Gerais. 2020.</w:t>
      </w:r>
    </w:p>
    <w:p w14:paraId="69AAB52C" w14:textId="77777777" w:rsidR="00CB2186" w:rsidRPr="00D442D5" w:rsidRDefault="00A57ACA" w:rsidP="00A57ACA">
      <w:pPr>
        <w:rPr>
          <w:rFonts w:ascii="Times New Roman" w:hAnsi="Times New Roman" w:cs="Times New Roman"/>
          <w:lang w:val="en-US"/>
        </w:rPr>
      </w:pPr>
      <w:r w:rsidRPr="00A57ACA">
        <w:rPr>
          <w:rFonts w:ascii="Times New Roman" w:hAnsi="Times New Roman" w:cs="Times New Roman"/>
          <w:lang w:val="en-US"/>
        </w:rPr>
        <w:t>7</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LINARES, S. M. G. L. et al. Dental care for diabetic patients in the context of the multiprofessional team. </w:t>
      </w:r>
      <w:r w:rsidR="00CB2186" w:rsidRPr="00D442D5">
        <w:rPr>
          <w:rFonts w:ascii="Times New Roman" w:hAnsi="Times New Roman" w:cs="Times New Roman"/>
          <w:lang w:val="en-US"/>
        </w:rPr>
        <w:t>2022.</w:t>
      </w:r>
    </w:p>
    <w:p w14:paraId="164AEA71" w14:textId="41705D7B" w:rsidR="00A57ACA" w:rsidRPr="00D442D5" w:rsidRDefault="00A57ACA" w:rsidP="00A57ACA">
      <w:pPr>
        <w:rPr>
          <w:rFonts w:ascii="Times New Roman" w:hAnsi="Times New Roman" w:cs="Times New Roman"/>
          <w:lang w:val="en-US"/>
        </w:rPr>
      </w:pPr>
      <w:r w:rsidRPr="00D442D5">
        <w:rPr>
          <w:rFonts w:ascii="Times New Roman" w:hAnsi="Times New Roman" w:cs="Times New Roman"/>
          <w:lang w:val="en-US"/>
        </w:rPr>
        <w:t>8</w:t>
      </w:r>
      <w:r w:rsidRPr="00D442D5">
        <w:rPr>
          <w:rFonts w:ascii="Times New Roman" w:hAnsi="Times New Roman" w:cs="Times New Roman"/>
          <w:lang w:val="en-US"/>
        </w:rPr>
        <w:tab/>
      </w:r>
      <w:r w:rsidR="00CB2186" w:rsidRPr="00D442D5">
        <w:rPr>
          <w:rFonts w:ascii="Times New Roman" w:hAnsi="Times New Roman" w:cs="Times New Roman"/>
          <w:lang w:val="en-US"/>
        </w:rPr>
        <w:t xml:space="preserve">MARTINS, G. de A.; THEÓPHILO, Carlos Renato. </w:t>
      </w:r>
      <w:r w:rsidR="00CB2186" w:rsidRPr="00CB2186">
        <w:rPr>
          <w:rFonts w:ascii="Times New Roman" w:hAnsi="Times New Roman" w:cs="Times New Roman"/>
          <w:lang w:val="en-US"/>
        </w:rPr>
        <w:t xml:space="preserve">Methodology of scientific research for applied social sciences. </w:t>
      </w:r>
      <w:r w:rsidR="00CB2186" w:rsidRPr="00D442D5">
        <w:rPr>
          <w:rFonts w:ascii="Times New Roman" w:hAnsi="Times New Roman" w:cs="Times New Roman"/>
          <w:lang w:val="en-US"/>
        </w:rPr>
        <w:t>São Paulo: Atlas, v. 3, n. 104–119, p. 25, 2023.</w:t>
      </w:r>
    </w:p>
    <w:p w14:paraId="148538C6" w14:textId="77777777" w:rsidR="00CB2186" w:rsidRDefault="00A57ACA" w:rsidP="00A57ACA">
      <w:pPr>
        <w:rPr>
          <w:rFonts w:ascii="Times New Roman" w:hAnsi="Times New Roman" w:cs="Times New Roman"/>
        </w:rPr>
      </w:pPr>
      <w:r w:rsidRPr="00A57ACA">
        <w:rPr>
          <w:rFonts w:ascii="Times New Roman" w:hAnsi="Times New Roman" w:cs="Times New Roman"/>
          <w:lang w:val="en-US"/>
        </w:rPr>
        <w:t>9</w:t>
      </w:r>
      <w:r w:rsidRPr="00A57ACA">
        <w:rPr>
          <w:rFonts w:ascii="Times New Roman" w:hAnsi="Times New Roman" w:cs="Times New Roman"/>
          <w:lang w:val="en-US"/>
        </w:rPr>
        <w:tab/>
      </w:r>
      <w:r w:rsidR="00CB2186" w:rsidRPr="00CB2186">
        <w:rPr>
          <w:rFonts w:ascii="Times New Roman" w:hAnsi="Times New Roman" w:cs="Times New Roman"/>
          <w:lang w:val="en-US"/>
        </w:rPr>
        <w:t xml:space="preserve">OLIVEIRA, M. R. DE; LAGO, V. M. The role of the nurse and the multidisciplinary team in controlling systemic arterial hypertension through health education: an integrative review. </w:t>
      </w:r>
      <w:r w:rsidR="00CB2186" w:rsidRPr="00CB2186">
        <w:rPr>
          <w:rFonts w:ascii="Times New Roman" w:hAnsi="Times New Roman" w:cs="Times New Roman"/>
        </w:rPr>
        <w:t xml:space="preserve">Revista Eletrônica Acervo Saúde, v. 13, n. 4, e7042, 2021. </w:t>
      </w:r>
      <w:hyperlink r:id="rId14" w:tgtFrame="_new" w:history="1">
        <w:r w:rsidR="00CB2186" w:rsidRPr="00CB2186">
          <w:rPr>
            <w:rStyle w:val="Hyperlink"/>
            <w:rFonts w:ascii="Times New Roman" w:hAnsi="Times New Roman" w:cs="Times New Roman"/>
          </w:rPr>
          <w:t>https://doi.org/10.25248/reas.e7042</w:t>
        </w:r>
      </w:hyperlink>
      <w:r w:rsidR="00CB2186" w:rsidRPr="00CB2186">
        <w:rPr>
          <w:rFonts w:ascii="Times New Roman" w:hAnsi="Times New Roman" w:cs="Times New Roman"/>
        </w:rPr>
        <w:t>.</w:t>
      </w:r>
    </w:p>
    <w:p w14:paraId="009F9C8E" w14:textId="77777777" w:rsidR="00CB2186" w:rsidRPr="00CB2186" w:rsidRDefault="00A57ACA" w:rsidP="00CB2186">
      <w:pPr>
        <w:rPr>
          <w:lang w:val="en-US"/>
        </w:rPr>
      </w:pPr>
      <w:r w:rsidRPr="00A57ACA">
        <w:rPr>
          <w:rFonts w:ascii="Times New Roman" w:hAnsi="Times New Roman" w:cs="Times New Roman"/>
        </w:rPr>
        <w:t>10</w:t>
      </w:r>
      <w:r w:rsidRPr="00A57ACA">
        <w:rPr>
          <w:rFonts w:ascii="Times New Roman" w:hAnsi="Times New Roman" w:cs="Times New Roman"/>
        </w:rPr>
        <w:tab/>
      </w:r>
      <w:r w:rsidR="00CB2186" w:rsidRPr="00CB2186">
        <w:rPr>
          <w:rFonts w:ascii="Times New Roman" w:hAnsi="Times New Roman" w:cs="Times New Roman"/>
        </w:rPr>
        <w:t xml:space="preserve">PEREIRA, G. H. et al. </w:t>
      </w:r>
      <w:r w:rsidR="00CB2186" w:rsidRPr="00CB2186">
        <w:rPr>
          <w:rFonts w:ascii="Times New Roman" w:hAnsi="Times New Roman" w:cs="Times New Roman"/>
          <w:lang w:val="en-US"/>
        </w:rPr>
        <w:t xml:space="preserve">Analysis of hospital morbidity of patients with Essential Arterial Hypertension in the Northern </w:t>
      </w:r>
      <w:proofErr w:type="spellStart"/>
      <w:r w:rsidR="00CB2186" w:rsidRPr="00CB2186">
        <w:rPr>
          <w:rFonts w:ascii="Times New Roman" w:hAnsi="Times New Roman" w:cs="Times New Roman"/>
          <w:lang w:val="en-US"/>
        </w:rPr>
        <w:t>Macroregion</w:t>
      </w:r>
      <w:proofErr w:type="spellEnd"/>
      <w:r w:rsidR="00CB2186" w:rsidRPr="00CB2186">
        <w:rPr>
          <w:rFonts w:ascii="Times New Roman" w:hAnsi="Times New Roman" w:cs="Times New Roman"/>
          <w:lang w:val="en-US"/>
        </w:rPr>
        <w:t xml:space="preserve"> of the State of Maranhão between 2014 and 2024. Research, Society and Development, v. 13, n. 11, p. 1-9, 2024.</w:t>
      </w:r>
    </w:p>
    <w:p w14:paraId="578585DB" w14:textId="77777777" w:rsidR="00CB2186" w:rsidRPr="00D27413" w:rsidRDefault="00A57ACA" w:rsidP="00CB2186">
      <w:pPr>
        <w:rPr>
          <w:lang w:val="en-US"/>
        </w:rPr>
      </w:pPr>
      <w:r w:rsidRPr="00A57ACA">
        <w:rPr>
          <w:rFonts w:ascii="Times New Roman" w:hAnsi="Times New Roman" w:cs="Times New Roman"/>
        </w:rPr>
        <w:t>11</w:t>
      </w:r>
      <w:r w:rsidRPr="00A57ACA">
        <w:rPr>
          <w:rFonts w:ascii="Times New Roman" w:hAnsi="Times New Roman" w:cs="Times New Roman"/>
        </w:rPr>
        <w:tab/>
      </w:r>
      <w:r w:rsidR="00CB2186" w:rsidRPr="00CB2186">
        <w:rPr>
          <w:rFonts w:ascii="Times New Roman" w:hAnsi="Times New Roman" w:cs="Times New Roman"/>
        </w:rPr>
        <w:t xml:space="preserve">RIBEIRO, I. A. et al. </w:t>
      </w:r>
      <w:r w:rsidR="00CB2186" w:rsidRPr="00CB2186">
        <w:rPr>
          <w:rFonts w:ascii="Times New Roman" w:hAnsi="Times New Roman" w:cs="Times New Roman"/>
          <w:lang w:val="en-US"/>
        </w:rPr>
        <w:t xml:space="preserve">Frail elderly syndrome in elderly individuals with chronic diseases in Primary Care. </w:t>
      </w:r>
      <w:r w:rsidR="00CB2186" w:rsidRPr="00CB2186">
        <w:rPr>
          <w:rFonts w:ascii="Times New Roman" w:hAnsi="Times New Roman" w:cs="Times New Roman"/>
        </w:rPr>
        <w:t xml:space="preserve">Revista da Escola de Enfermagem da USP [online]. São Paulo, v. 53, p. 03449.2020. DOI: [http://dx.doi.org/10.1590/S1980-220X2018002603449](http://dx.doi.org/10.1590/S1980-220X2018002603449). </w:t>
      </w:r>
      <w:r w:rsidR="00CB2186" w:rsidRPr="00CB2186">
        <w:rPr>
          <w:rFonts w:ascii="Times New Roman" w:hAnsi="Times New Roman" w:cs="Times New Roman"/>
          <w:lang w:val="en-US"/>
        </w:rPr>
        <w:t>Available at: [</w:t>
      </w:r>
      <w:proofErr w:type="gramStart"/>
      <w:r w:rsidR="00CB2186" w:rsidRPr="00CB2186">
        <w:rPr>
          <w:rFonts w:ascii="Times New Roman" w:hAnsi="Times New Roman" w:cs="Times New Roman"/>
          <w:lang w:val="en-US"/>
        </w:rPr>
        <w:t>http://www.revenf.bvs.br/scielo.php?script=sci_arttext&amp;pid=S0080-62342019000100434](</w:t>
      </w:r>
      <w:proofErr w:type="gramEnd"/>
      <w:r w:rsidR="00CB2186" w:rsidRPr="00CB2186">
        <w:rPr>
          <w:rFonts w:ascii="Times New Roman" w:hAnsi="Times New Roman" w:cs="Times New Roman"/>
          <w:lang w:val="en-US"/>
        </w:rPr>
        <w:t xml:space="preserve">http://www.revenf.bvs.br/scielo.php?script=sci_arttext&amp;pid=S0080-62342019000100434). </w:t>
      </w:r>
      <w:r w:rsidR="00CB2186" w:rsidRPr="00D27413">
        <w:rPr>
          <w:rFonts w:ascii="Times New Roman" w:hAnsi="Times New Roman" w:cs="Times New Roman"/>
          <w:lang w:val="en-US"/>
        </w:rPr>
        <w:t>Accessed on: Mar 28, 2025.</w:t>
      </w:r>
    </w:p>
    <w:p w14:paraId="0ABAE13D" w14:textId="77777777" w:rsidR="00D27413" w:rsidRPr="00D27413" w:rsidRDefault="00A57ACA" w:rsidP="00D27413">
      <w:pPr>
        <w:rPr>
          <w:rFonts w:ascii="Times New Roman" w:hAnsi="Times New Roman" w:cs="Times New Roman"/>
        </w:rPr>
      </w:pPr>
      <w:r w:rsidRPr="00A57ACA">
        <w:rPr>
          <w:rFonts w:ascii="Times New Roman" w:hAnsi="Times New Roman" w:cs="Times New Roman"/>
          <w:lang w:val="en-US"/>
        </w:rPr>
        <w:t>12</w:t>
      </w:r>
      <w:r w:rsidRPr="00A57ACA">
        <w:rPr>
          <w:rFonts w:ascii="Times New Roman" w:hAnsi="Times New Roman" w:cs="Times New Roman"/>
          <w:lang w:val="en-US"/>
        </w:rPr>
        <w:tab/>
      </w:r>
      <w:r w:rsidR="00D27413" w:rsidRPr="00D27413">
        <w:rPr>
          <w:rFonts w:ascii="Times New Roman" w:hAnsi="Times New Roman" w:cs="Times New Roman"/>
          <w:lang w:val="en-US"/>
        </w:rPr>
        <w:t xml:space="preserve">ROCHA, J. P. S. et al. Systemic arterial hypertension in the elderly: lack of adherence to drug treatment. </w:t>
      </w:r>
      <w:r w:rsidR="00D27413" w:rsidRPr="00D27413">
        <w:rPr>
          <w:rFonts w:ascii="Times New Roman" w:hAnsi="Times New Roman" w:cs="Times New Roman"/>
        </w:rPr>
        <w:t>Chief Editor Prof. Dr. Antonella Carvalho de Oliveira; Executive Editor Natalia Oliveira; Editorial Assistant, p. 213, 2022.</w:t>
      </w:r>
    </w:p>
    <w:p w14:paraId="1795007D" w14:textId="622DA619" w:rsidR="00A57ACA" w:rsidRPr="00D442D5" w:rsidRDefault="00A57ACA" w:rsidP="00A57ACA">
      <w:pPr>
        <w:rPr>
          <w:rFonts w:ascii="Times New Roman" w:hAnsi="Times New Roman" w:cs="Times New Roman"/>
          <w:lang w:val="en-US"/>
          <w:rPrChange w:id="13" w:author="ANDERSON BRANDÃO SANTOS" w:date="2026-01-30T10:39:00Z">
            <w:rPr>
              <w:rFonts w:ascii="Times New Roman" w:hAnsi="Times New Roman" w:cs="Times New Roman"/>
            </w:rPr>
          </w:rPrChange>
        </w:rPr>
      </w:pPr>
      <w:r w:rsidRPr="00A57ACA">
        <w:rPr>
          <w:rFonts w:ascii="Times New Roman" w:hAnsi="Times New Roman" w:cs="Times New Roman"/>
          <w:lang w:val="en-US"/>
        </w:rPr>
        <w:t>13</w:t>
      </w:r>
      <w:r w:rsidRPr="00A57ACA">
        <w:rPr>
          <w:rFonts w:ascii="Times New Roman" w:hAnsi="Times New Roman" w:cs="Times New Roman"/>
          <w:lang w:val="en-US"/>
        </w:rPr>
        <w:tab/>
      </w:r>
      <w:r w:rsidR="00D27413" w:rsidRPr="00D27413">
        <w:rPr>
          <w:rFonts w:ascii="Times New Roman" w:hAnsi="Times New Roman" w:cs="Times New Roman"/>
          <w:lang w:val="en-US"/>
        </w:rPr>
        <w:t xml:space="preserve">SANTANA, A. The aging of the Brazilian population and current and future perspectives. </w:t>
      </w:r>
      <w:r w:rsidR="00D27413" w:rsidRPr="00D442D5">
        <w:rPr>
          <w:rFonts w:ascii="Times New Roman" w:hAnsi="Times New Roman" w:cs="Times New Roman"/>
          <w:lang w:val="en-US"/>
          <w:rPrChange w:id="14" w:author="ANDERSON BRANDÃO SANTOS" w:date="2026-01-30T10:39:00Z">
            <w:rPr>
              <w:rFonts w:ascii="Times New Roman" w:hAnsi="Times New Roman" w:cs="Times New Roman"/>
            </w:rPr>
          </w:rPrChange>
        </w:rPr>
        <w:t>2020.</w:t>
      </w:r>
    </w:p>
    <w:p w14:paraId="4A407F5F" w14:textId="0C30B764" w:rsidR="00A57ACA" w:rsidRPr="00A57ACA" w:rsidRDefault="00A57ACA" w:rsidP="00A57ACA">
      <w:pPr>
        <w:rPr>
          <w:rFonts w:ascii="Times New Roman" w:hAnsi="Times New Roman" w:cs="Times New Roman"/>
          <w:lang w:val="en-US"/>
        </w:rPr>
      </w:pPr>
      <w:r w:rsidRPr="00A57ACA">
        <w:rPr>
          <w:rFonts w:ascii="Times New Roman" w:hAnsi="Times New Roman" w:cs="Times New Roman"/>
          <w:lang w:val="en-US"/>
        </w:rPr>
        <w:t>14</w:t>
      </w:r>
      <w:r w:rsidRPr="00A57ACA">
        <w:rPr>
          <w:rFonts w:ascii="Times New Roman" w:hAnsi="Times New Roman" w:cs="Times New Roman"/>
          <w:lang w:val="en-US"/>
        </w:rPr>
        <w:tab/>
      </w:r>
      <w:r w:rsidR="00D27413" w:rsidRPr="00D27413">
        <w:rPr>
          <w:rFonts w:ascii="Times New Roman" w:hAnsi="Times New Roman" w:cs="Times New Roman"/>
          <w:lang w:val="en-US"/>
        </w:rPr>
        <w:t xml:space="preserve">SANTOS, A. et al. Population aging: current reality and challenges. Global Academic Nursing Journal, v. 2, n. Sup. 3, p. e188-e188, 2021. </w:t>
      </w:r>
    </w:p>
    <w:p w14:paraId="4DDBE11D" w14:textId="77777777" w:rsidR="00D27413" w:rsidRPr="00D442D5" w:rsidRDefault="00A57ACA" w:rsidP="00D27413">
      <w:pPr>
        <w:rPr>
          <w:rFonts w:ascii="Times New Roman" w:hAnsi="Times New Roman" w:cs="Times New Roman"/>
          <w:lang w:val="en-US"/>
        </w:rPr>
      </w:pPr>
      <w:r w:rsidRPr="00A57ACA">
        <w:rPr>
          <w:rFonts w:ascii="Times New Roman" w:hAnsi="Times New Roman" w:cs="Times New Roman"/>
        </w:rPr>
        <w:t>15</w:t>
      </w:r>
      <w:r w:rsidRPr="00A57ACA">
        <w:rPr>
          <w:rFonts w:ascii="Times New Roman" w:hAnsi="Times New Roman" w:cs="Times New Roman"/>
        </w:rPr>
        <w:tab/>
      </w:r>
      <w:r w:rsidR="00D27413" w:rsidRPr="00D27413">
        <w:rPr>
          <w:rFonts w:ascii="Times New Roman" w:hAnsi="Times New Roman" w:cs="Times New Roman"/>
        </w:rPr>
        <w:t xml:space="preserve">SILVA, L. G. C. et al. </w:t>
      </w:r>
      <w:r w:rsidR="00D27413" w:rsidRPr="00D27413">
        <w:rPr>
          <w:rFonts w:ascii="Times New Roman" w:hAnsi="Times New Roman" w:cs="Times New Roman"/>
          <w:lang w:val="en-US"/>
        </w:rPr>
        <w:t xml:space="preserve">Assessment of functionality and mobility of community-dwelling elderly in primary health care. </w:t>
      </w:r>
      <w:r w:rsidR="00D27413" w:rsidRPr="00D27413">
        <w:rPr>
          <w:rFonts w:ascii="Times New Roman" w:hAnsi="Times New Roman" w:cs="Times New Roman"/>
        </w:rPr>
        <w:t xml:space="preserve">Revista Brasileira de Geriatria e Gerontologia, v. 22, p. e190086, 2021. Available at: [https://doi.org/10.1590/1981-22562019022.190086](https://doi.org/10.1590/1981-22562019022.190086). </w:t>
      </w:r>
      <w:r w:rsidR="00D27413" w:rsidRPr="00D442D5">
        <w:rPr>
          <w:rFonts w:ascii="Times New Roman" w:hAnsi="Times New Roman" w:cs="Times New Roman"/>
          <w:lang w:val="en-US"/>
        </w:rPr>
        <w:t>Accessed on: Feb 2, 2025.</w:t>
      </w:r>
    </w:p>
    <w:p w14:paraId="4C040805" w14:textId="77777777" w:rsidR="00D27413" w:rsidRPr="00D27413" w:rsidRDefault="00A57ACA" w:rsidP="00D27413">
      <w:pPr>
        <w:rPr>
          <w:rFonts w:ascii="Times New Roman" w:hAnsi="Times New Roman" w:cs="Times New Roman"/>
        </w:rPr>
      </w:pPr>
      <w:r w:rsidRPr="00A57ACA">
        <w:rPr>
          <w:rFonts w:ascii="Times New Roman" w:hAnsi="Times New Roman" w:cs="Times New Roman"/>
          <w:lang w:val="en-US"/>
        </w:rPr>
        <w:lastRenderedPageBreak/>
        <w:t>16</w:t>
      </w:r>
      <w:r w:rsidRPr="00A57ACA">
        <w:rPr>
          <w:rFonts w:ascii="Times New Roman" w:hAnsi="Times New Roman" w:cs="Times New Roman"/>
          <w:lang w:val="en-US"/>
        </w:rPr>
        <w:tab/>
      </w:r>
      <w:r w:rsidR="00D27413" w:rsidRPr="00D27413">
        <w:rPr>
          <w:rFonts w:ascii="Times New Roman" w:hAnsi="Times New Roman" w:cs="Times New Roman"/>
          <w:lang w:val="en-US"/>
        </w:rPr>
        <w:t xml:space="preserve">SOUSA, C. T.; RIBEIRO, A.; BARRETO, S. M.; GIATTI, L.; BRANT, L.; LOTUFO, P.; FIGUEIREDO, R. C. Racial differences in blood pressure control among users of antihypertensive monotherapy: Results from the ELSA-Brazil study. </w:t>
      </w:r>
      <w:r w:rsidR="00D27413" w:rsidRPr="00D27413">
        <w:rPr>
          <w:rFonts w:ascii="Times New Roman" w:hAnsi="Times New Roman" w:cs="Times New Roman"/>
        </w:rPr>
        <w:t xml:space="preserve">Arquivos Brasileiros de Cardiologia, v. 118, n. 3, p. 614-622, 2022. </w:t>
      </w:r>
    </w:p>
    <w:p w14:paraId="6C3DE25E" w14:textId="51B49057" w:rsidR="00A57ACA" w:rsidRPr="005B57FC" w:rsidRDefault="00A57ACA" w:rsidP="00A57ACA">
      <w:pPr>
        <w:rPr>
          <w:rFonts w:ascii="Times New Roman" w:hAnsi="Times New Roman" w:cs="Times New Roman"/>
        </w:rPr>
      </w:pPr>
    </w:p>
    <w:sectPr w:rsidR="00A57ACA" w:rsidRPr="005B57FC">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DERSON BRANDÃO SANTOS" w:date="2026-01-30T10:43:00Z" w:initials="AS">
    <w:p w14:paraId="2F369F61" w14:textId="77777777" w:rsidR="00D442D5" w:rsidRDefault="00D442D5" w:rsidP="00D442D5">
      <w:r>
        <w:rPr>
          <w:rStyle w:val="CommentReference"/>
        </w:rPr>
        <w:annotationRef/>
      </w:r>
      <w:r>
        <w:rPr>
          <w:color w:val="000000"/>
          <w:sz w:val="20"/>
          <w:szCs w:val="20"/>
        </w:rPr>
        <w:t>The methodology section presents significant limitations that compromise the clarity, conceptual consistency, and reproducibility of the study. Initially, a significant inconsistency is observed regarding the data source, since the manuscript refers to the SINAN system for obtaining records of Systemic Arterial Hypertension, although hypertension is not a notifiable disease, which requires clarification and correction regarding the system actually used (e.g., SIH/SUS, SIM, or another DATASUS database).</w:t>
      </w:r>
    </w:p>
    <w:p w14:paraId="5D8D1B23" w14:textId="77777777" w:rsidR="00D442D5" w:rsidRDefault="00D442D5" w:rsidP="00D442D5"/>
    <w:p w14:paraId="247E598A" w14:textId="77777777" w:rsidR="00D442D5" w:rsidRDefault="00D442D5" w:rsidP="00D442D5">
      <w:r>
        <w:rPr>
          <w:color w:val="000000"/>
          <w:sz w:val="20"/>
          <w:szCs w:val="20"/>
        </w:rPr>
        <w:t>An inconsistency in the use of verb tenses is also observed throughout the section, with alternation between past and future (for example, "was performed" and "will be performed"), which makes it difficult to understand whether the methodological procedures have already been executed or whether they are planned steps; the verb tense should be standardized according to the stage of the study.</w:t>
      </w:r>
    </w:p>
  </w:comment>
  <w:comment w:id="1" w:author="ANDERSON BRANDÃO SANTOS" w:date="2026-01-30T10:44:00Z" w:initials="AS">
    <w:p w14:paraId="39373460" w14:textId="77777777" w:rsidR="00D442D5" w:rsidRDefault="00D442D5" w:rsidP="00D442D5">
      <w:r>
        <w:rPr>
          <w:rStyle w:val="CommentReference"/>
        </w:rPr>
        <w:annotationRef/>
      </w:r>
      <w:r>
        <w:rPr>
          <w:color w:val="000000"/>
          <w:sz w:val="20"/>
          <w:szCs w:val="20"/>
        </w:rPr>
        <w:t>The data collection process lacks technical detail, making it impossible to clearly understand the steps taken from data extraction to the composition of the final analyzed database. The inclusion of a methodological flowchart that describes, sequentially and objectively, the criteria for record selection, exclusion, and eligibility is strongly recommended.</w:t>
      </w:r>
    </w:p>
  </w:comment>
  <w:comment w:id="2" w:author="ANDERSON BRANDÃO SANTOS" w:date="2026-01-30T10:45:00Z" w:initials="AS">
    <w:p w14:paraId="14451CA2" w14:textId="77777777" w:rsidR="00D442D5" w:rsidRDefault="00D442D5" w:rsidP="00D442D5">
      <w:r>
        <w:rPr>
          <w:rStyle w:val="CommentReference"/>
        </w:rPr>
        <w:annotationRef/>
      </w:r>
      <w:r>
        <w:rPr>
          <w:color w:val="000000"/>
          <w:sz w:val="20"/>
          <w:szCs w:val="20"/>
        </w:rPr>
        <w:t>I believe that this subtopic is conceptually inadequate within the methodology section, since it does not describe the study population nor clarify the sample definition, and should be suppressed or reformulated into a topic that clearly explains the population analyzed and the procedures for selecting the records.</w:t>
      </w:r>
    </w:p>
  </w:comment>
  <w:comment w:id="3" w:author="ANDERSON BRANDÃO SANTOS" w:date="2026-01-30T10:46:00Z" w:initials="AS">
    <w:p w14:paraId="535F6E07" w14:textId="3F297E73" w:rsidR="00D442D5" w:rsidRDefault="00D442D5" w:rsidP="00D442D5">
      <w:r>
        <w:rPr>
          <w:rStyle w:val="CommentReference"/>
        </w:rPr>
        <w:annotationRef/>
      </w:r>
      <w:r>
        <w:rPr>
          <w:color w:val="000000"/>
          <w:sz w:val="20"/>
          <w:szCs w:val="20"/>
        </w:rPr>
        <w:t xml:space="preserve">The criteria are presented in a </w:t>
      </w:r>
      <w:r w:rsidR="0084586B">
        <w:rPr>
          <w:color w:val="000000"/>
          <w:sz w:val="20"/>
          <w:szCs w:val="20"/>
        </w:rPr>
        <w:t>unclear</w:t>
      </w:r>
      <w:r>
        <w:rPr>
          <w:color w:val="000000"/>
          <w:sz w:val="20"/>
          <w:szCs w:val="20"/>
        </w:rPr>
        <w:t xml:space="preserve"> and subjective manner. Expressions such as "records not aligned with the objectives" do not allow for reproducibility, and the exclusion of variables such as education level does not constitute an exclusion criterion, but rather an analytical decision that must be justified in the data analysis section. It is suggested that the criteria be reformulated in an objective, operational, and replicable way.</w:t>
      </w:r>
    </w:p>
  </w:comment>
  <w:comment w:id="4" w:author="ANDERSON BRANDÃO SANTOS" w:date="2026-01-30T10:47:00Z" w:initials="AS">
    <w:p w14:paraId="467853A4" w14:textId="77777777" w:rsidR="00D442D5" w:rsidRDefault="00D442D5" w:rsidP="00D442D5">
      <w:r>
        <w:rPr>
          <w:rStyle w:val="CommentReference"/>
        </w:rPr>
        <w:annotationRef/>
      </w:r>
      <w:r>
        <w:rPr>
          <w:color w:val="000000"/>
          <w:sz w:val="20"/>
          <w:szCs w:val="20"/>
        </w:rPr>
        <w:t>The analytical procedures are limited to the generic mention of "descriptive analyses," without specifying which statistical measures were used. The manuscript does not state whether the data were analyzed using absolute and relative frequencies, rates, or coefficients, nor whether there was an assessment of temporal trends over the study period, which weakens the analytical robustness of the study. It is recommended to clearly explain the statistical methods employed and justify their suitability to the research objectives.</w:t>
      </w:r>
    </w:p>
  </w:comment>
  <w:comment w:id="5" w:author="ANDERSON BRANDÃO SANTOS" w:date="2026-01-30T10:51:00Z" w:initials="AS">
    <w:p w14:paraId="146A26BF" w14:textId="77777777" w:rsidR="00D442D5" w:rsidRDefault="00D442D5" w:rsidP="00D442D5">
      <w:r>
        <w:rPr>
          <w:rStyle w:val="CommentReference"/>
        </w:rPr>
        <w:annotationRef/>
      </w:r>
      <w:r>
        <w:rPr>
          <w:color w:val="000000"/>
          <w:sz w:val="20"/>
          <w:szCs w:val="20"/>
        </w:rPr>
        <w:t>There is an inconsistency between the text of the results and the data presented in Table 1. The municipalities of Belém and Santo Antônio do Tauá are cited as having the highest number of hospitalizations for hypertension in the elderly, but they are not included in the table, making it impossible to verify the findings. Furthermore, there is a discrepancy between the total number of cases reported in the text (14,744) and the number presented in the table (14,722), without justification. It is recommended to review the presentation of the results, ensuring consistency between the text, tables, and numerical values.</w:t>
      </w:r>
    </w:p>
  </w:comment>
  <w:comment w:id="6" w:author="ANDERSON BRANDÃO SANTOS" w:date="2026-01-30T10:53:00Z" w:initials="AS">
    <w:p w14:paraId="0B60C12C" w14:textId="77777777" w:rsidR="00D442D5" w:rsidRDefault="00D442D5" w:rsidP="00D442D5">
      <w:r>
        <w:rPr>
          <w:rStyle w:val="CommentReference"/>
        </w:rPr>
        <w:annotationRef/>
      </w:r>
      <w:r>
        <w:rPr>
          <w:color w:val="000000"/>
          <w:sz w:val="20"/>
          <w:szCs w:val="20"/>
        </w:rPr>
        <w:t>The discussion incorporates inferences that were not evaluated in the study, such as hormonal factors, occupational stress, and individual behaviors, without these variables having been measured or analyzed, which may lead to speculative interpretations. It is recommended that interpretations be strictly anchored in the results presented or clearly identified as hypotheses to be investigated in future studies.</w:t>
      </w:r>
    </w:p>
  </w:comment>
  <w:comment w:id="7" w:author="ANDERSON BRANDÃO SANTOS" w:date="2026-01-30T10:54:00Z" w:initials="AS">
    <w:p w14:paraId="7AAE1569" w14:textId="77777777" w:rsidR="00D442D5" w:rsidRDefault="00D442D5" w:rsidP="00D442D5">
      <w:r>
        <w:rPr>
          <w:rStyle w:val="CommentReference"/>
        </w:rPr>
        <w:annotationRef/>
      </w:r>
      <w:r>
        <w:rPr>
          <w:color w:val="000000"/>
          <w:sz w:val="20"/>
          <w:szCs w:val="20"/>
        </w:rPr>
        <w:t>The absence of a more systematic comparison with national and regional studies is noted, which would allow for discussion of similarities, differences, and possible contextual explanations for the findings. Finally, the practical recommendations presented at the end of the section lack sufficient grounding in the study results, and it is suggested that the discussion be reorganized to prioritize a critical interpretation of the findings before proposing health actions.</w:t>
      </w:r>
    </w:p>
  </w:comment>
  <w:comment w:id="8" w:author="ANDERSON BRANDÃO SANTOS" w:date="2026-01-30T10:53:00Z" w:initials="AS">
    <w:p w14:paraId="0378E51A" w14:textId="72662C5A" w:rsidR="00D442D5" w:rsidRDefault="00D442D5" w:rsidP="00D442D5">
      <w:r>
        <w:rPr>
          <w:rStyle w:val="CommentReference"/>
        </w:rPr>
        <w:annotationRef/>
      </w:r>
      <w:r>
        <w:rPr>
          <w:color w:val="000000"/>
          <w:sz w:val="20"/>
          <w:szCs w:val="20"/>
        </w:rPr>
        <w:t>Here, the conceptual clarity is lacking, and a direct connection is not established with the results presented for the analyzed municipalities. The introduction of broad concepts, such as epidemiological, demographic, and nutritional transitions, is not accompanied by a discussion demonstrating how these phenomena are specifically expressed in the context of the municipalities of the State of Pará, weakening the link between theory and empirical findings.</w:t>
      </w:r>
    </w:p>
    <w:p w14:paraId="33EE4DFB" w14:textId="77777777" w:rsidR="00D442D5" w:rsidRDefault="00D442D5" w:rsidP="00D442D5"/>
  </w:comment>
  <w:comment w:id="9" w:author="ANDERSON BRANDÃO SANTOS" w:date="2026-01-30T11:04:00Z" w:initials="AS">
    <w:p w14:paraId="7F41BE22" w14:textId="77777777" w:rsidR="00D442D5" w:rsidRDefault="00D442D5" w:rsidP="00D442D5">
      <w:r>
        <w:rPr>
          <w:rStyle w:val="CommentReference"/>
        </w:rPr>
        <w:annotationRef/>
      </w:r>
      <w:r>
        <w:rPr>
          <w:color w:val="000000"/>
          <w:sz w:val="20"/>
          <w:szCs w:val="20"/>
        </w:rPr>
        <w:t>The conclusion is not very adequate, as it does not clearly reiterate the study's objective nor synthesize the main findings. The text presents generic statements about Systemic Arterial Hypertension, without a direct connection to the results regarding hospitalizations of elderly people in the State of Pará between 2020 and 2024. Furthermore, there is a lack of synthesis of patterns according to municipality, sex, age group, and race/color, as well as a lack of discussion of the implications of the findings for health planning. Moreover, the methodological limitations of the study are not addressed, such as the use of secondary data, the absence of population denominators, and the impossibility of causal inference. It is recommended that the conclusion be reformulated to explicitly answer the objective, summarize the main results, acknowledge the limitations, and indicate specific directions for future research.</w:t>
      </w:r>
    </w:p>
  </w:comment>
  <w:comment w:id="10" w:author="ANDERSON BRANDÃO SANTOS" w:date="2026-01-30T11:07:00Z" w:initials="AS">
    <w:p w14:paraId="41BB859A" w14:textId="38027129" w:rsidR="00D442D5" w:rsidRDefault="00D442D5" w:rsidP="00D442D5">
      <w:r>
        <w:rPr>
          <w:rStyle w:val="CommentReference"/>
        </w:rPr>
        <w:annotationRef/>
      </w:r>
      <w:r>
        <w:rPr>
          <w:color w:val="000000"/>
          <w:sz w:val="20"/>
          <w:szCs w:val="20"/>
        </w:rPr>
        <w:t xml:space="preserve">The manuscript addresses a relevant topic, but presents methodological weaknesses, inconsistencies in the results, and a superficial discussion, which limits its scientific contribution. </w:t>
      </w:r>
      <w:r>
        <w:rPr>
          <w:color w:val="000000"/>
          <w:sz w:val="20"/>
          <w:szCs w:val="20"/>
        </w:rPr>
        <w:t xml:space="preserve">The lack of greater analytical rigor, synthesis of findings, and recognition of limitations compromises its potential for publication in its current form. </w:t>
      </w:r>
      <w:bookmarkStart w:id="11" w:name="_GoBack"/>
      <w:bookmarkEnd w:id="11"/>
    </w:p>
    <w:p w14:paraId="37CA0A27" w14:textId="77777777" w:rsidR="00D442D5" w:rsidRDefault="00D442D5" w:rsidP="00D442D5"/>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7E598A" w15:done="0"/>
  <w15:commentEx w15:paraId="39373460" w15:done="0"/>
  <w15:commentEx w15:paraId="14451CA2" w15:done="0"/>
  <w15:commentEx w15:paraId="535F6E07" w15:done="0"/>
  <w15:commentEx w15:paraId="467853A4" w15:done="0"/>
  <w15:commentEx w15:paraId="146A26BF" w15:done="0"/>
  <w15:commentEx w15:paraId="0B60C12C" w15:done="0"/>
  <w15:commentEx w15:paraId="7AAE1569" w15:paraIdParent="0B60C12C" w15:done="0"/>
  <w15:commentEx w15:paraId="33EE4DFB" w15:done="0"/>
  <w15:commentEx w15:paraId="7F41BE22" w15:done="0"/>
  <w15:commentEx w15:paraId="37CA0A27" w15:paraIdParent="7F41B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F88BCD" w16cex:dateUtc="2026-01-30T13:43:00Z"/>
  <w16cex:commentExtensible w16cex:durableId="4AEB5BE9" w16cex:dateUtc="2026-01-30T13:44:00Z"/>
  <w16cex:commentExtensible w16cex:durableId="5F11BAA9" w16cex:dateUtc="2026-01-30T13:45:00Z"/>
  <w16cex:commentExtensible w16cex:durableId="3135A48C" w16cex:dateUtc="2026-01-30T13:46:00Z"/>
  <w16cex:commentExtensible w16cex:durableId="0A7118F3" w16cex:dateUtc="2026-01-30T13:47:00Z"/>
  <w16cex:commentExtensible w16cex:durableId="4E79F6B6" w16cex:dateUtc="2026-01-30T13:51:00Z"/>
  <w16cex:commentExtensible w16cex:durableId="562718AF" w16cex:dateUtc="2026-01-30T13:53:00Z"/>
  <w16cex:commentExtensible w16cex:durableId="73B43078" w16cex:dateUtc="2026-01-30T13:54:00Z"/>
  <w16cex:commentExtensible w16cex:durableId="75675635" w16cex:dateUtc="2026-01-30T13:53:00Z"/>
  <w16cex:commentExtensible w16cex:durableId="405CD843" w16cex:dateUtc="2026-01-30T14:04:00Z"/>
  <w16cex:commentExtensible w16cex:durableId="56DF9655" w16cex:dateUtc="2026-01-30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7E598A" w16cid:durableId="0AF88BCD"/>
  <w16cid:commentId w16cid:paraId="39373460" w16cid:durableId="4AEB5BE9"/>
  <w16cid:commentId w16cid:paraId="14451CA2" w16cid:durableId="5F11BAA9"/>
  <w16cid:commentId w16cid:paraId="535F6E07" w16cid:durableId="3135A48C"/>
  <w16cid:commentId w16cid:paraId="467853A4" w16cid:durableId="0A7118F3"/>
  <w16cid:commentId w16cid:paraId="146A26BF" w16cid:durableId="4E79F6B6"/>
  <w16cid:commentId w16cid:paraId="0B60C12C" w16cid:durableId="562718AF"/>
  <w16cid:commentId w16cid:paraId="7AAE1569" w16cid:durableId="73B43078"/>
  <w16cid:commentId w16cid:paraId="33EE4DFB" w16cid:durableId="75675635"/>
  <w16cid:commentId w16cid:paraId="7F41BE22" w16cid:durableId="405CD843"/>
  <w16cid:commentId w16cid:paraId="37CA0A27" w16cid:durableId="56DF96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BD8CB" w14:textId="77777777" w:rsidR="00AA5FE3" w:rsidRDefault="00AA5FE3" w:rsidP="00EE5C1D">
      <w:pPr>
        <w:spacing w:after="0" w:line="240" w:lineRule="auto"/>
      </w:pPr>
      <w:r>
        <w:separator/>
      </w:r>
    </w:p>
  </w:endnote>
  <w:endnote w:type="continuationSeparator" w:id="0">
    <w:p w14:paraId="0142D71C" w14:textId="77777777" w:rsidR="00AA5FE3" w:rsidRDefault="00AA5FE3" w:rsidP="00EE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6B20" w14:textId="77777777" w:rsidR="00EE5C1D" w:rsidRDefault="00EE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A217" w14:textId="77777777" w:rsidR="00EE5C1D" w:rsidRDefault="00EE5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AA64" w14:textId="77777777" w:rsidR="00EE5C1D" w:rsidRDefault="00EE5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1208D" w14:textId="77777777" w:rsidR="00AA5FE3" w:rsidRDefault="00AA5FE3" w:rsidP="00EE5C1D">
      <w:pPr>
        <w:spacing w:after="0" w:line="240" w:lineRule="auto"/>
      </w:pPr>
      <w:r>
        <w:separator/>
      </w:r>
    </w:p>
  </w:footnote>
  <w:footnote w:type="continuationSeparator" w:id="0">
    <w:p w14:paraId="0DFEE2BD" w14:textId="77777777" w:rsidR="00AA5FE3" w:rsidRDefault="00AA5FE3" w:rsidP="00EE5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2A27" w14:textId="31B620D9" w:rsidR="00EE5C1D" w:rsidRDefault="00AA5FE3">
    <w:pPr>
      <w:pStyle w:val="Header"/>
    </w:pPr>
    <w:r>
      <w:rPr>
        <w:noProof/>
      </w:rPr>
      <w:pict w14:anchorId="047F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20329" o:spid="_x0000_s2051" type="#_x0000_t136" alt="" style="position:absolute;margin-left:0;margin-top:0;width:539.45pt;height:59.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43E5" w14:textId="4F15C9D0" w:rsidR="00EE5C1D" w:rsidRDefault="00AA5FE3">
    <w:pPr>
      <w:pStyle w:val="Header"/>
    </w:pPr>
    <w:r>
      <w:rPr>
        <w:noProof/>
      </w:rPr>
      <w:pict w14:anchorId="0977A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20330" o:spid="_x0000_s2050" type="#_x0000_t136" alt="" style="position:absolute;margin-left:0;margin-top:0;width:539.45pt;height:59.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DC7D" w14:textId="16A3864D" w:rsidR="00EE5C1D" w:rsidRDefault="00AA5FE3">
    <w:pPr>
      <w:pStyle w:val="Header"/>
    </w:pPr>
    <w:r>
      <w:rPr>
        <w:noProof/>
      </w:rPr>
      <w:pict w14:anchorId="6C731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20328" o:spid="_x0000_s2049" type="#_x0000_t136" alt="" style="position:absolute;margin-left:0;margin-top:0;width:539.45pt;height:59.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E769F"/>
    <w:multiLevelType w:val="hybridMultilevel"/>
    <w:tmpl w:val="0BDA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ERSON BRANDÃO SANTOS">
    <w15:presenceInfo w15:providerId="Windows Live" w15:userId="78e723c9416743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CA"/>
    <w:rsid w:val="00057549"/>
    <w:rsid w:val="00100E67"/>
    <w:rsid w:val="002364B0"/>
    <w:rsid w:val="0024672D"/>
    <w:rsid w:val="0028078B"/>
    <w:rsid w:val="0036309A"/>
    <w:rsid w:val="003845A8"/>
    <w:rsid w:val="003B3D76"/>
    <w:rsid w:val="004202DD"/>
    <w:rsid w:val="0056277A"/>
    <w:rsid w:val="005772AA"/>
    <w:rsid w:val="005B57FC"/>
    <w:rsid w:val="005C3718"/>
    <w:rsid w:val="0084586B"/>
    <w:rsid w:val="00953D69"/>
    <w:rsid w:val="009C2286"/>
    <w:rsid w:val="00A57ACA"/>
    <w:rsid w:val="00A66637"/>
    <w:rsid w:val="00AA5FE3"/>
    <w:rsid w:val="00CB2186"/>
    <w:rsid w:val="00CF3CDB"/>
    <w:rsid w:val="00CF6C03"/>
    <w:rsid w:val="00D27413"/>
    <w:rsid w:val="00D442D5"/>
    <w:rsid w:val="00D615A2"/>
    <w:rsid w:val="00E6520F"/>
    <w:rsid w:val="00EB22C3"/>
    <w:rsid w:val="00EE5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56C02"/>
  <w15:chartTrackingRefBased/>
  <w15:docId w15:val="{BECBF9F9-DD03-465D-BE9A-5757ADFC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ACA"/>
    <w:rPr>
      <w:rFonts w:eastAsiaTheme="majorEastAsia" w:cstheme="majorBidi"/>
      <w:color w:val="272727" w:themeColor="text1" w:themeTint="D8"/>
    </w:rPr>
  </w:style>
  <w:style w:type="paragraph" w:styleId="Title">
    <w:name w:val="Title"/>
    <w:basedOn w:val="Normal"/>
    <w:next w:val="Normal"/>
    <w:link w:val="TitleChar"/>
    <w:uiPriority w:val="10"/>
    <w:qFormat/>
    <w:rsid w:val="00A57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ACA"/>
    <w:pPr>
      <w:spacing w:before="160"/>
      <w:jc w:val="center"/>
    </w:pPr>
    <w:rPr>
      <w:i/>
      <w:iCs/>
      <w:color w:val="404040" w:themeColor="text1" w:themeTint="BF"/>
    </w:rPr>
  </w:style>
  <w:style w:type="character" w:customStyle="1" w:styleId="QuoteChar">
    <w:name w:val="Quote Char"/>
    <w:basedOn w:val="DefaultParagraphFont"/>
    <w:link w:val="Quote"/>
    <w:uiPriority w:val="29"/>
    <w:rsid w:val="00A57ACA"/>
    <w:rPr>
      <w:i/>
      <w:iCs/>
      <w:color w:val="404040" w:themeColor="text1" w:themeTint="BF"/>
    </w:rPr>
  </w:style>
  <w:style w:type="paragraph" w:styleId="ListParagraph">
    <w:name w:val="List Paragraph"/>
    <w:basedOn w:val="Normal"/>
    <w:uiPriority w:val="34"/>
    <w:qFormat/>
    <w:rsid w:val="00A57ACA"/>
    <w:pPr>
      <w:ind w:left="720"/>
      <w:contextualSpacing/>
    </w:pPr>
  </w:style>
  <w:style w:type="character" w:styleId="IntenseEmphasis">
    <w:name w:val="Intense Emphasis"/>
    <w:basedOn w:val="DefaultParagraphFont"/>
    <w:uiPriority w:val="21"/>
    <w:qFormat/>
    <w:rsid w:val="00A57ACA"/>
    <w:rPr>
      <w:i/>
      <w:iCs/>
      <w:color w:val="0F4761" w:themeColor="accent1" w:themeShade="BF"/>
    </w:rPr>
  </w:style>
  <w:style w:type="paragraph" w:styleId="IntenseQuote">
    <w:name w:val="Intense Quote"/>
    <w:basedOn w:val="Normal"/>
    <w:next w:val="Normal"/>
    <w:link w:val="IntenseQuoteChar"/>
    <w:uiPriority w:val="30"/>
    <w:qFormat/>
    <w:rsid w:val="00A57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CA"/>
    <w:rPr>
      <w:i/>
      <w:iCs/>
      <w:color w:val="0F4761" w:themeColor="accent1" w:themeShade="BF"/>
    </w:rPr>
  </w:style>
  <w:style w:type="character" w:styleId="IntenseReference">
    <w:name w:val="Intense Reference"/>
    <w:basedOn w:val="DefaultParagraphFont"/>
    <w:uiPriority w:val="32"/>
    <w:qFormat/>
    <w:rsid w:val="00A57ACA"/>
    <w:rPr>
      <w:b/>
      <w:bCs/>
      <w:smallCaps/>
      <w:color w:val="0F4761" w:themeColor="accent1" w:themeShade="BF"/>
      <w:spacing w:val="5"/>
    </w:rPr>
  </w:style>
  <w:style w:type="table" w:customStyle="1" w:styleId="TableNormal1">
    <w:name w:val="Table Normal1"/>
    <w:uiPriority w:val="2"/>
    <w:semiHidden/>
    <w:unhideWhenUsed/>
    <w:qFormat/>
    <w:rsid w:val="00A6663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6637"/>
    <w:pPr>
      <w:widowControl w:val="0"/>
      <w:autoSpaceDE w:val="0"/>
      <w:autoSpaceDN w:val="0"/>
      <w:spacing w:after="0" w:line="240" w:lineRule="auto"/>
      <w:jc w:val="center"/>
    </w:pPr>
    <w:rPr>
      <w:rFonts w:ascii="Times New Roman" w:eastAsia="Times New Roman" w:hAnsi="Times New Roman" w:cs="Times New Roman"/>
      <w:kern w:val="0"/>
      <w:sz w:val="22"/>
      <w:szCs w:val="22"/>
      <w:lang w:val="pt-PT"/>
      <w14:ligatures w14:val="none"/>
    </w:rPr>
  </w:style>
  <w:style w:type="character" w:styleId="Strong">
    <w:name w:val="Strong"/>
    <w:basedOn w:val="DefaultParagraphFont"/>
    <w:uiPriority w:val="22"/>
    <w:qFormat/>
    <w:rsid w:val="0024672D"/>
    <w:rPr>
      <w:b/>
      <w:bCs/>
    </w:rPr>
  </w:style>
  <w:style w:type="character" w:styleId="Hyperlink">
    <w:name w:val="Hyperlink"/>
    <w:basedOn w:val="DefaultParagraphFont"/>
    <w:uiPriority w:val="99"/>
    <w:unhideWhenUsed/>
    <w:rsid w:val="00CB2186"/>
    <w:rPr>
      <w:color w:val="467886" w:themeColor="hyperlink"/>
      <w:u w:val="single"/>
    </w:rPr>
  </w:style>
  <w:style w:type="character" w:styleId="UnresolvedMention">
    <w:name w:val="Unresolved Mention"/>
    <w:basedOn w:val="DefaultParagraphFont"/>
    <w:uiPriority w:val="99"/>
    <w:semiHidden/>
    <w:unhideWhenUsed/>
    <w:rsid w:val="00CB2186"/>
    <w:rPr>
      <w:color w:val="605E5C"/>
      <w:shd w:val="clear" w:color="auto" w:fill="E1DFDD"/>
    </w:rPr>
  </w:style>
  <w:style w:type="paragraph" w:styleId="NormalWeb">
    <w:name w:val="Normal (Web)"/>
    <w:basedOn w:val="Normal"/>
    <w:uiPriority w:val="99"/>
    <w:semiHidden/>
    <w:unhideWhenUsed/>
    <w:rsid w:val="00CB2186"/>
    <w:rPr>
      <w:rFonts w:ascii="Times New Roman" w:hAnsi="Times New Roman" w:cs="Times New Roman"/>
    </w:rPr>
  </w:style>
  <w:style w:type="paragraph" w:styleId="Header">
    <w:name w:val="header"/>
    <w:basedOn w:val="Normal"/>
    <w:link w:val="HeaderChar"/>
    <w:uiPriority w:val="99"/>
    <w:unhideWhenUsed/>
    <w:rsid w:val="00EE5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C1D"/>
  </w:style>
  <w:style w:type="paragraph" w:styleId="Footer">
    <w:name w:val="footer"/>
    <w:basedOn w:val="Normal"/>
    <w:link w:val="FooterChar"/>
    <w:uiPriority w:val="99"/>
    <w:unhideWhenUsed/>
    <w:rsid w:val="00EE5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C1D"/>
  </w:style>
  <w:style w:type="paragraph" w:styleId="Revision">
    <w:name w:val="Revision"/>
    <w:hidden/>
    <w:uiPriority w:val="99"/>
    <w:semiHidden/>
    <w:rsid w:val="00D442D5"/>
    <w:pPr>
      <w:spacing w:after="0" w:line="240" w:lineRule="auto"/>
    </w:pPr>
  </w:style>
  <w:style w:type="character" w:styleId="CommentReference">
    <w:name w:val="annotation reference"/>
    <w:basedOn w:val="DefaultParagraphFont"/>
    <w:uiPriority w:val="99"/>
    <w:semiHidden/>
    <w:unhideWhenUsed/>
    <w:rsid w:val="00D442D5"/>
    <w:rPr>
      <w:sz w:val="16"/>
      <w:szCs w:val="16"/>
    </w:rPr>
  </w:style>
  <w:style w:type="paragraph" w:styleId="CommentText">
    <w:name w:val="annotation text"/>
    <w:basedOn w:val="Normal"/>
    <w:link w:val="CommentTextChar"/>
    <w:uiPriority w:val="99"/>
    <w:semiHidden/>
    <w:unhideWhenUsed/>
    <w:rsid w:val="00D442D5"/>
    <w:pPr>
      <w:spacing w:line="240" w:lineRule="auto"/>
    </w:pPr>
    <w:rPr>
      <w:sz w:val="20"/>
      <w:szCs w:val="20"/>
    </w:rPr>
  </w:style>
  <w:style w:type="character" w:customStyle="1" w:styleId="CommentTextChar">
    <w:name w:val="Comment Text Char"/>
    <w:basedOn w:val="DefaultParagraphFont"/>
    <w:link w:val="CommentText"/>
    <w:uiPriority w:val="99"/>
    <w:semiHidden/>
    <w:rsid w:val="00D442D5"/>
    <w:rPr>
      <w:sz w:val="20"/>
      <w:szCs w:val="20"/>
    </w:rPr>
  </w:style>
  <w:style w:type="paragraph" w:styleId="CommentSubject">
    <w:name w:val="annotation subject"/>
    <w:basedOn w:val="CommentText"/>
    <w:next w:val="CommentText"/>
    <w:link w:val="CommentSubjectChar"/>
    <w:uiPriority w:val="99"/>
    <w:semiHidden/>
    <w:unhideWhenUsed/>
    <w:rsid w:val="00D442D5"/>
    <w:rPr>
      <w:b/>
      <w:bCs/>
    </w:rPr>
  </w:style>
  <w:style w:type="character" w:customStyle="1" w:styleId="CommentSubjectChar">
    <w:name w:val="Comment Subject Char"/>
    <w:basedOn w:val="CommentTextChar"/>
    <w:link w:val="CommentSubject"/>
    <w:uiPriority w:val="99"/>
    <w:semiHidden/>
    <w:rsid w:val="00D442D5"/>
    <w:rPr>
      <w:b/>
      <w:bCs/>
      <w:sz w:val="20"/>
      <w:szCs w:val="20"/>
    </w:rPr>
  </w:style>
  <w:style w:type="paragraph" w:styleId="BalloonText">
    <w:name w:val="Balloon Text"/>
    <w:basedOn w:val="Normal"/>
    <w:link w:val="BalloonTextChar"/>
    <w:uiPriority w:val="99"/>
    <w:semiHidden/>
    <w:unhideWhenUsed/>
    <w:rsid w:val="00845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5395">
      <w:bodyDiv w:val="1"/>
      <w:marLeft w:val="0"/>
      <w:marRight w:val="0"/>
      <w:marTop w:val="0"/>
      <w:marBottom w:val="0"/>
      <w:divBdr>
        <w:top w:val="none" w:sz="0" w:space="0" w:color="auto"/>
        <w:left w:val="none" w:sz="0" w:space="0" w:color="auto"/>
        <w:bottom w:val="none" w:sz="0" w:space="0" w:color="auto"/>
        <w:right w:val="none" w:sz="0" w:space="0" w:color="auto"/>
      </w:divBdr>
      <w:divsChild>
        <w:div w:id="597640367">
          <w:marLeft w:val="0"/>
          <w:marRight w:val="0"/>
          <w:marTop w:val="0"/>
          <w:marBottom w:val="0"/>
          <w:divBdr>
            <w:top w:val="none" w:sz="0" w:space="0" w:color="auto"/>
            <w:left w:val="none" w:sz="0" w:space="0" w:color="auto"/>
            <w:bottom w:val="none" w:sz="0" w:space="0" w:color="auto"/>
            <w:right w:val="none" w:sz="0" w:space="0" w:color="auto"/>
          </w:divBdr>
          <w:divsChild>
            <w:div w:id="1596789065">
              <w:marLeft w:val="0"/>
              <w:marRight w:val="0"/>
              <w:marTop w:val="0"/>
              <w:marBottom w:val="0"/>
              <w:divBdr>
                <w:top w:val="none" w:sz="0" w:space="0" w:color="auto"/>
                <w:left w:val="none" w:sz="0" w:space="0" w:color="auto"/>
                <w:bottom w:val="none" w:sz="0" w:space="0" w:color="auto"/>
                <w:right w:val="none" w:sz="0" w:space="0" w:color="auto"/>
              </w:divBdr>
              <w:divsChild>
                <w:div w:id="749549020">
                  <w:marLeft w:val="0"/>
                  <w:marRight w:val="0"/>
                  <w:marTop w:val="0"/>
                  <w:marBottom w:val="0"/>
                  <w:divBdr>
                    <w:top w:val="none" w:sz="0" w:space="0" w:color="auto"/>
                    <w:left w:val="none" w:sz="0" w:space="0" w:color="auto"/>
                    <w:bottom w:val="none" w:sz="0" w:space="0" w:color="auto"/>
                    <w:right w:val="none" w:sz="0" w:space="0" w:color="auto"/>
                  </w:divBdr>
                  <w:divsChild>
                    <w:div w:id="111634530">
                      <w:marLeft w:val="0"/>
                      <w:marRight w:val="0"/>
                      <w:marTop w:val="0"/>
                      <w:marBottom w:val="0"/>
                      <w:divBdr>
                        <w:top w:val="none" w:sz="0" w:space="0" w:color="auto"/>
                        <w:left w:val="none" w:sz="0" w:space="0" w:color="auto"/>
                        <w:bottom w:val="none" w:sz="0" w:space="0" w:color="auto"/>
                        <w:right w:val="none" w:sz="0" w:space="0" w:color="auto"/>
                      </w:divBdr>
                      <w:divsChild>
                        <w:div w:id="1152450927">
                          <w:marLeft w:val="0"/>
                          <w:marRight w:val="0"/>
                          <w:marTop w:val="0"/>
                          <w:marBottom w:val="0"/>
                          <w:divBdr>
                            <w:top w:val="none" w:sz="0" w:space="0" w:color="auto"/>
                            <w:left w:val="none" w:sz="0" w:space="0" w:color="auto"/>
                            <w:bottom w:val="none" w:sz="0" w:space="0" w:color="auto"/>
                            <w:right w:val="none" w:sz="0" w:space="0" w:color="auto"/>
                          </w:divBdr>
                          <w:divsChild>
                            <w:div w:id="601649505">
                              <w:marLeft w:val="0"/>
                              <w:marRight w:val="0"/>
                              <w:marTop w:val="0"/>
                              <w:marBottom w:val="0"/>
                              <w:divBdr>
                                <w:top w:val="none" w:sz="0" w:space="0" w:color="auto"/>
                                <w:left w:val="none" w:sz="0" w:space="0" w:color="auto"/>
                                <w:bottom w:val="none" w:sz="0" w:space="0" w:color="auto"/>
                                <w:right w:val="none" w:sz="0" w:space="0" w:color="auto"/>
                              </w:divBdr>
                              <w:divsChild>
                                <w:div w:id="843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97757">
      <w:bodyDiv w:val="1"/>
      <w:marLeft w:val="0"/>
      <w:marRight w:val="0"/>
      <w:marTop w:val="0"/>
      <w:marBottom w:val="0"/>
      <w:divBdr>
        <w:top w:val="none" w:sz="0" w:space="0" w:color="auto"/>
        <w:left w:val="none" w:sz="0" w:space="0" w:color="auto"/>
        <w:bottom w:val="none" w:sz="0" w:space="0" w:color="auto"/>
        <w:right w:val="none" w:sz="0" w:space="0" w:color="auto"/>
      </w:divBdr>
      <w:divsChild>
        <w:div w:id="2000844495">
          <w:marLeft w:val="0"/>
          <w:marRight w:val="0"/>
          <w:marTop w:val="0"/>
          <w:marBottom w:val="0"/>
          <w:divBdr>
            <w:top w:val="none" w:sz="0" w:space="0" w:color="auto"/>
            <w:left w:val="none" w:sz="0" w:space="0" w:color="auto"/>
            <w:bottom w:val="none" w:sz="0" w:space="0" w:color="auto"/>
            <w:right w:val="none" w:sz="0" w:space="0" w:color="auto"/>
          </w:divBdr>
          <w:divsChild>
            <w:div w:id="401026571">
              <w:marLeft w:val="0"/>
              <w:marRight w:val="0"/>
              <w:marTop w:val="0"/>
              <w:marBottom w:val="0"/>
              <w:divBdr>
                <w:top w:val="none" w:sz="0" w:space="0" w:color="auto"/>
                <w:left w:val="none" w:sz="0" w:space="0" w:color="auto"/>
                <w:bottom w:val="none" w:sz="0" w:space="0" w:color="auto"/>
                <w:right w:val="none" w:sz="0" w:space="0" w:color="auto"/>
              </w:divBdr>
              <w:divsChild>
                <w:div w:id="15810291">
                  <w:marLeft w:val="0"/>
                  <w:marRight w:val="0"/>
                  <w:marTop w:val="0"/>
                  <w:marBottom w:val="0"/>
                  <w:divBdr>
                    <w:top w:val="none" w:sz="0" w:space="0" w:color="auto"/>
                    <w:left w:val="none" w:sz="0" w:space="0" w:color="auto"/>
                    <w:bottom w:val="none" w:sz="0" w:space="0" w:color="auto"/>
                    <w:right w:val="none" w:sz="0" w:space="0" w:color="auto"/>
                  </w:divBdr>
                  <w:divsChild>
                    <w:div w:id="519199423">
                      <w:marLeft w:val="0"/>
                      <w:marRight w:val="0"/>
                      <w:marTop w:val="0"/>
                      <w:marBottom w:val="0"/>
                      <w:divBdr>
                        <w:top w:val="none" w:sz="0" w:space="0" w:color="auto"/>
                        <w:left w:val="none" w:sz="0" w:space="0" w:color="auto"/>
                        <w:bottom w:val="none" w:sz="0" w:space="0" w:color="auto"/>
                        <w:right w:val="none" w:sz="0" w:space="0" w:color="auto"/>
                      </w:divBdr>
                      <w:divsChild>
                        <w:div w:id="2138448569">
                          <w:marLeft w:val="0"/>
                          <w:marRight w:val="0"/>
                          <w:marTop w:val="0"/>
                          <w:marBottom w:val="0"/>
                          <w:divBdr>
                            <w:top w:val="none" w:sz="0" w:space="0" w:color="auto"/>
                            <w:left w:val="none" w:sz="0" w:space="0" w:color="auto"/>
                            <w:bottom w:val="none" w:sz="0" w:space="0" w:color="auto"/>
                            <w:right w:val="none" w:sz="0" w:space="0" w:color="auto"/>
                          </w:divBdr>
                          <w:divsChild>
                            <w:div w:id="1502349653">
                              <w:marLeft w:val="0"/>
                              <w:marRight w:val="0"/>
                              <w:marTop w:val="0"/>
                              <w:marBottom w:val="0"/>
                              <w:divBdr>
                                <w:top w:val="none" w:sz="0" w:space="0" w:color="auto"/>
                                <w:left w:val="none" w:sz="0" w:space="0" w:color="auto"/>
                                <w:bottom w:val="none" w:sz="0" w:space="0" w:color="auto"/>
                                <w:right w:val="none" w:sz="0" w:space="0" w:color="auto"/>
                              </w:divBdr>
                              <w:divsChild>
                                <w:div w:id="429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631851">
      <w:bodyDiv w:val="1"/>
      <w:marLeft w:val="0"/>
      <w:marRight w:val="0"/>
      <w:marTop w:val="0"/>
      <w:marBottom w:val="0"/>
      <w:divBdr>
        <w:top w:val="none" w:sz="0" w:space="0" w:color="auto"/>
        <w:left w:val="none" w:sz="0" w:space="0" w:color="auto"/>
        <w:bottom w:val="none" w:sz="0" w:space="0" w:color="auto"/>
        <w:right w:val="none" w:sz="0" w:space="0" w:color="auto"/>
      </w:divBdr>
      <w:divsChild>
        <w:div w:id="555942889">
          <w:marLeft w:val="0"/>
          <w:marRight w:val="0"/>
          <w:marTop w:val="0"/>
          <w:marBottom w:val="0"/>
          <w:divBdr>
            <w:top w:val="none" w:sz="0" w:space="0" w:color="auto"/>
            <w:left w:val="none" w:sz="0" w:space="0" w:color="auto"/>
            <w:bottom w:val="none" w:sz="0" w:space="0" w:color="auto"/>
            <w:right w:val="none" w:sz="0" w:space="0" w:color="auto"/>
          </w:divBdr>
          <w:divsChild>
            <w:div w:id="277839475">
              <w:marLeft w:val="0"/>
              <w:marRight w:val="0"/>
              <w:marTop w:val="0"/>
              <w:marBottom w:val="0"/>
              <w:divBdr>
                <w:top w:val="none" w:sz="0" w:space="0" w:color="auto"/>
                <w:left w:val="none" w:sz="0" w:space="0" w:color="auto"/>
                <w:bottom w:val="none" w:sz="0" w:space="0" w:color="auto"/>
                <w:right w:val="none" w:sz="0" w:space="0" w:color="auto"/>
              </w:divBdr>
              <w:divsChild>
                <w:div w:id="1683622940">
                  <w:marLeft w:val="0"/>
                  <w:marRight w:val="0"/>
                  <w:marTop w:val="0"/>
                  <w:marBottom w:val="0"/>
                  <w:divBdr>
                    <w:top w:val="none" w:sz="0" w:space="0" w:color="auto"/>
                    <w:left w:val="none" w:sz="0" w:space="0" w:color="auto"/>
                    <w:bottom w:val="none" w:sz="0" w:space="0" w:color="auto"/>
                    <w:right w:val="none" w:sz="0" w:space="0" w:color="auto"/>
                  </w:divBdr>
                  <w:divsChild>
                    <w:div w:id="685057139">
                      <w:marLeft w:val="0"/>
                      <w:marRight w:val="0"/>
                      <w:marTop w:val="0"/>
                      <w:marBottom w:val="0"/>
                      <w:divBdr>
                        <w:top w:val="none" w:sz="0" w:space="0" w:color="auto"/>
                        <w:left w:val="none" w:sz="0" w:space="0" w:color="auto"/>
                        <w:bottom w:val="none" w:sz="0" w:space="0" w:color="auto"/>
                        <w:right w:val="none" w:sz="0" w:space="0" w:color="auto"/>
                      </w:divBdr>
                      <w:divsChild>
                        <w:div w:id="1938248991">
                          <w:marLeft w:val="0"/>
                          <w:marRight w:val="0"/>
                          <w:marTop w:val="0"/>
                          <w:marBottom w:val="0"/>
                          <w:divBdr>
                            <w:top w:val="none" w:sz="0" w:space="0" w:color="auto"/>
                            <w:left w:val="none" w:sz="0" w:space="0" w:color="auto"/>
                            <w:bottom w:val="none" w:sz="0" w:space="0" w:color="auto"/>
                            <w:right w:val="none" w:sz="0" w:space="0" w:color="auto"/>
                          </w:divBdr>
                          <w:divsChild>
                            <w:div w:id="1313945290">
                              <w:marLeft w:val="0"/>
                              <w:marRight w:val="0"/>
                              <w:marTop w:val="0"/>
                              <w:marBottom w:val="0"/>
                              <w:divBdr>
                                <w:top w:val="none" w:sz="0" w:space="0" w:color="auto"/>
                                <w:left w:val="none" w:sz="0" w:space="0" w:color="auto"/>
                                <w:bottom w:val="none" w:sz="0" w:space="0" w:color="auto"/>
                                <w:right w:val="none" w:sz="0" w:space="0" w:color="auto"/>
                              </w:divBdr>
                              <w:divsChild>
                                <w:div w:id="1436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780111">
      <w:bodyDiv w:val="1"/>
      <w:marLeft w:val="0"/>
      <w:marRight w:val="0"/>
      <w:marTop w:val="0"/>
      <w:marBottom w:val="0"/>
      <w:divBdr>
        <w:top w:val="none" w:sz="0" w:space="0" w:color="auto"/>
        <w:left w:val="none" w:sz="0" w:space="0" w:color="auto"/>
        <w:bottom w:val="none" w:sz="0" w:space="0" w:color="auto"/>
        <w:right w:val="none" w:sz="0" w:space="0" w:color="auto"/>
      </w:divBdr>
      <w:divsChild>
        <w:div w:id="83308645">
          <w:marLeft w:val="0"/>
          <w:marRight w:val="0"/>
          <w:marTop w:val="0"/>
          <w:marBottom w:val="0"/>
          <w:divBdr>
            <w:top w:val="none" w:sz="0" w:space="0" w:color="auto"/>
            <w:left w:val="none" w:sz="0" w:space="0" w:color="auto"/>
            <w:bottom w:val="none" w:sz="0" w:space="0" w:color="auto"/>
            <w:right w:val="none" w:sz="0" w:space="0" w:color="auto"/>
          </w:divBdr>
          <w:divsChild>
            <w:div w:id="2050564972">
              <w:marLeft w:val="0"/>
              <w:marRight w:val="0"/>
              <w:marTop w:val="0"/>
              <w:marBottom w:val="0"/>
              <w:divBdr>
                <w:top w:val="none" w:sz="0" w:space="0" w:color="auto"/>
                <w:left w:val="none" w:sz="0" w:space="0" w:color="auto"/>
                <w:bottom w:val="none" w:sz="0" w:space="0" w:color="auto"/>
                <w:right w:val="none" w:sz="0" w:space="0" w:color="auto"/>
              </w:divBdr>
              <w:divsChild>
                <w:div w:id="1197230258">
                  <w:marLeft w:val="0"/>
                  <w:marRight w:val="0"/>
                  <w:marTop w:val="0"/>
                  <w:marBottom w:val="0"/>
                  <w:divBdr>
                    <w:top w:val="none" w:sz="0" w:space="0" w:color="auto"/>
                    <w:left w:val="none" w:sz="0" w:space="0" w:color="auto"/>
                    <w:bottom w:val="none" w:sz="0" w:space="0" w:color="auto"/>
                    <w:right w:val="none" w:sz="0" w:space="0" w:color="auto"/>
                  </w:divBdr>
                  <w:divsChild>
                    <w:div w:id="136724887">
                      <w:marLeft w:val="0"/>
                      <w:marRight w:val="0"/>
                      <w:marTop w:val="0"/>
                      <w:marBottom w:val="0"/>
                      <w:divBdr>
                        <w:top w:val="none" w:sz="0" w:space="0" w:color="auto"/>
                        <w:left w:val="none" w:sz="0" w:space="0" w:color="auto"/>
                        <w:bottom w:val="none" w:sz="0" w:space="0" w:color="auto"/>
                        <w:right w:val="none" w:sz="0" w:space="0" w:color="auto"/>
                      </w:divBdr>
                      <w:divsChild>
                        <w:div w:id="996231960">
                          <w:marLeft w:val="0"/>
                          <w:marRight w:val="0"/>
                          <w:marTop w:val="0"/>
                          <w:marBottom w:val="0"/>
                          <w:divBdr>
                            <w:top w:val="none" w:sz="0" w:space="0" w:color="auto"/>
                            <w:left w:val="none" w:sz="0" w:space="0" w:color="auto"/>
                            <w:bottom w:val="none" w:sz="0" w:space="0" w:color="auto"/>
                            <w:right w:val="none" w:sz="0" w:space="0" w:color="auto"/>
                          </w:divBdr>
                          <w:divsChild>
                            <w:div w:id="133111001">
                              <w:marLeft w:val="0"/>
                              <w:marRight w:val="0"/>
                              <w:marTop w:val="0"/>
                              <w:marBottom w:val="0"/>
                              <w:divBdr>
                                <w:top w:val="none" w:sz="0" w:space="0" w:color="auto"/>
                                <w:left w:val="none" w:sz="0" w:space="0" w:color="auto"/>
                                <w:bottom w:val="none" w:sz="0" w:space="0" w:color="auto"/>
                                <w:right w:val="none" w:sz="0" w:space="0" w:color="auto"/>
                              </w:divBdr>
                              <w:divsChild>
                                <w:div w:id="2133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410893">
      <w:bodyDiv w:val="1"/>
      <w:marLeft w:val="0"/>
      <w:marRight w:val="0"/>
      <w:marTop w:val="0"/>
      <w:marBottom w:val="0"/>
      <w:divBdr>
        <w:top w:val="none" w:sz="0" w:space="0" w:color="auto"/>
        <w:left w:val="none" w:sz="0" w:space="0" w:color="auto"/>
        <w:bottom w:val="none" w:sz="0" w:space="0" w:color="auto"/>
        <w:right w:val="none" w:sz="0" w:space="0" w:color="auto"/>
      </w:divBdr>
    </w:div>
    <w:div w:id="487553172">
      <w:bodyDiv w:val="1"/>
      <w:marLeft w:val="0"/>
      <w:marRight w:val="0"/>
      <w:marTop w:val="0"/>
      <w:marBottom w:val="0"/>
      <w:divBdr>
        <w:top w:val="none" w:sz="0" w:space="0" w:color="auto"/>
        <w:left w:val="none" w:sz="0" w:space="0" w:color="auto"/>
        <w:bottom w:val="none" w:sz="0" w:space="0" w:color="auto"/>
        <w:right w:val="none" w:sz="0" w:space="0" w:color="auto"/>
      </w:divBdr>
      <w:divsChild>
        <w:div w:id="472908347">
          <w:marLeft w:val="0"/>
          <w:marRight w:val="0"/>
          <w:marTop w:val="0"/>
          <w:marBottom w:val="0"/>
          <w:divBdr>
            <w:top w:val="none" w:sz="0" w:space="0" w:color="auto"/>
            <w:left w:val="none" w:sz="0" w:space="0" w:color="auto"/>
            <w:bottom w:val="none" w:sz="0" w:space="0" w:color="auto"/>
            <w:right w:val="none" w:sz="0" w:space="0" w:color="auto"/>
          </w:divBdr>
          <w:divsChild>
            <w:div w:id="1151556532">
              <w:marLeft w:val="0"/>
              <w:marRight w:val="0"/>
              <w:marTop w:val="0"/>
              <w:marBottom w:val="0"/>
              <w:divBdr>
                <w:top w:val="none" w:sz="0" w:space="0" w:color="auto"/>
                <w:left w:val="none" w:sz="0" w:space="0" w:color="auto"/>
                <w:bottom w:val="none" w:sz="0" w:space="0" w:color="auto"/>
                <w:right w:val="none" w:sz="0" w:space="0" w:color="auto"/>
              </w:divBdr>
              <w:divsChild>
                <w:div w:id="183447660">
                  <w:marLeft w:val="0"/>
                  <w:marRight w:val="0"/>
                  <w:marTop w:val="0"/>
                  <w:marBottom w:val="0"/>
                  <w:divBdr>
                    <w:top w:val="none" w:sz="0" w:space="0" w:color="auto"/>
                    <w:left w:val="none" w:sz="0" w:space="0" w:color="auto"/>
                    <w:bottom w:val="none" w:sz="0" w:space="0" w:color="auto"/>
                    <w:right w:val="none" w:sz="0" w:space="0" w:color="auto"/>
                  </w:divBdr>
                  <w:divsChild>
                    <w:div w:id="1119496061">
                      <w:marLeft w:val="0"/>
                      <w:marRight w:val="0"/>
                      <w:marTop w:val="0"/>
                      <w:marBottom w:val="0"/>
                      <w:divBdr>
                        <w:top w:val="none" w:sz="0" w:space="0" w:color="auto"/>
                        <w:left w:val="none" w:sz="0" w:space="0" w:color="auto"/>
                        <w:bottom w:val="none" w:sz="0" w:space="0" w:color="auto"/>
                        <w:right w:val="none" w:sz="0" w:space="0" w:color="auto"/>
                      </w:divBdr>
                      <w:divsChild>
                        <w:div w:id="2074039977">
                          <w:marLeft w:val="0"/>
                          <w:marRight w:val="0"/>
                          <w:marTop w:val="0"/>
                          <w:marBottom w:val="0"/>
                          <w:divBdr>
                            <w:top w:val="none" w:sz="0" w:space="0" w:color="auto"/>
                            <w:left w:val="none" w:sz="0" w:space="0" w:color="auto"/>
                            <w:bottom w:val="none" w:sz="0" w:space="0" w:color="auto"/>
                            <w:right w:val="none" w:sz="0" w:space="0" w:color="auto"/>
                          </w:divBdr>
                          <w:divsChild>
                            <w:div w:id="2025276364">
                              <w:marLeft w:val="0"/>
                              <w:marRight w:val="0"/>
                              <w:marTop w:val="0"/>
                              <w:marBottom w:val="0"/>
                              <w:divBdr>
                                <w:top w:val="none" w:sz="0" w:space="0" w:color="auto"/>
                                <w:left w:val="none" w:sz="0" w:space="0" w:color="auto"/>
                                <w:bottom w:val="none" w:sz="0" w:space="0" w:color="auto"/>
                                <w:right w:val="none" w:sz="0" w:space="0" w:color="auto"/>
                              </w:divBdr>
                              <w:divsChild>
                                <w:div w:id="2110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977120">
      <w:bodyDiv w:val="1"/>
      <w:marLeft w:val="0"/>
      <w:marRight w:val="0"/>
      <w:marTop w:val="0"/>
      <w:marBottom w:val="0"/>
      <w:divBdr>
        <w:top w:val="none" w:sz="0" w:space="0" w:color="auto"/>
        <w:left w:val="none" w:sz="0" w:space="0" w:color="auto"/>
        <w:bottom w:val="none" w:sz="0" w:space="0" w:color="auto"/>
        <w:right w:val="none" w:sz="0" w:space="0" w:color="auto"/>
      </w:divBdr>
    </w:div>
    <w:div w:id="562180078">
      <w:bodyDiv w:val="1"/>
      <w:marLeft w:val="0"/>
      <w:marRight w:val="0"/>
      <w:marTop w:val="0"/>
      <w:marBottom w:val="0"/>
      <w:divBdr>
        <w:top w:val="none" w:sz="0" w:space="0" w:color="auto"/>
        <w:left w:val="none" w:sz="0" w:space="0" w:color="auto"/>
        <w:bottom w:val="none" w:sz="0" w:space="0" w:color="auto"/>
        <w:right w:val="none" w:sz="0" w:space="0" w:color="auto"/>
      </w:divBdr>
      <w:divsChild>
        <w:div w:id="867258771">
          <w:marLeft w:val="0"/>
          <w:marRight w:val="0"/>
          <w:marTop w:val="0"/>
          <w:marBottom w:val="0"/>
          <w:divBdr>
            <w:top w:val="none" w:sz="0" w:space="0" w:color="auto"/>
            <w:left w:val="none" w:sz="0" w:space="0" w:color="auto"/>
            <w:bottom w:val="none" w:sz="0" w:space="0" w:color="auto"/>
            <w:right w:val="none" w:sz="0" w:space="0" w:color="auto"/>
          </w:divBdr>
          <w:divsChild>
            <w:div w:id="1543590195">
              <w:marLeft w:val="0"/>
              <w:marRight w:val="0"/>
              <w:marTop w:val="0"/>
              <w:marBottom w:val="0"/>
              <w:divBdr>
                <w:top w:val="none" w:sz="0" w:space="0" w:color="auto"/>
                <w:left w:val="none" w:sz="0" w:space="0" w:color="auto"/>
                <w:bottom w:val="none" w:sz="0" w:space="0" w:color="auto"/>
                <w:right w:val="none" w:sz="0" w:space="0" w:color="auto"/>
              </w:divBdr>
              <w:divsChild>
                <w:div w:id="108280678">
                  <w:marLeft w:val="0"/>
                  <w:marRight w:val="0"/>
                  <w:marTop w:val="0"/>
                  <w:marBottom w:val="0"/>
                  <w:divBdr>
                    <w:top w:val="none" w:sz="0" w:space="0" w:color="auto"/>
                    <w:left w:val="none" w:sz="0" w:space="0" w:color="auto"/>
                    <w:bottom w:val="none" w:sz="0" w:space="0" w:color="auto"/>
                    <w:right w:val="none" w:sz="0" w:space="0" w:color="auto"/>
                  </w:divBdr>
                  <w:divsChild>
                    <w:div w:id="1771509975">
                      <w:marLeft w:val="0"/>
                      <w:marRight w:val="0"/>
                      <w:marTop w:val="0"/>
                      <w:marBottom w:val="0"/>
                      <w:divBdr>
                        <w:top w:val="none" w:sz="0" w:space="0" w:color="auto"/>
                        <w:left w:val="none" w:sz="0" w:space="0" w:color="auto"/>
                        <w:bottom w:val="none" w:sz="0" w:space="0" w:color="auto"/>
                        <w:right w:val="none" w:sz="0" w:space="0" w:color="auto"/>
                      </w:divBdr>
                      <w:divsChild>
                        <w:div w:id="1027295934">
                          <w:marLeft w:val="0"/>
                          <w:marRight w:val="0"/>
                          <w:marTop w:val="0"/>
                          <w:marBottom w:val="0"/>
                          <w:divBdr>
                            <w:top w:val="none" w:sz="0" w:space="0" w:color="auto"/>
                            <w:left w:val="none" w:sz="0" w:space="0" w:color="auto"/>
                            <w:bottom w:val="none" w:sz="0" w:space="0" w:color="auto"/>
                            <w:right w:val="none" w:sz="0" w:space="0" w:color="auto"/>
                          </w:divBdr>
                          <w:divsChild>
                            <w:div w:id="1053576522">
                              <w:marLeft w:val="0"/>
                              <w:marRight w:val="0"/>
                              <w:marTop w:val="0"/>
                              <w:marBottom w:val="0"/>
                              <w:divBdr>
                                <w:top w:val="none" w:sz="0" w:space="0" w:color="auto"/>
                                <w:left w:val="none" w:sz="0" w:space="0" w:color="auto"/>
                                <w:bottom w:val="none" w:sz="0" w:space="0" w:color="auto"/>
                                <w:right w:val="none" w:sz="0" w:space="0" w:color="auto"/>
                              </w:divBdr>
                              <w:divsChild>
                                <w:div w:id="19786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697252">
      <w:bodyDiv w:val="1"/>
      <w:marLeft w:val="0"/>
      <w:marRight w:val="0"/>
      <w:marTop w:val="0"/>
      <w:marBottom w:val="0"/>
      <w:divBdr>
        <w:top w:val="none" w:sz="0" w:space="0" w:color="auto"/>
        <w:left w:val="none" w:sz="0" w:space="0" w:color="auto"/>
        <w:bottom w:val="none" w:sz="0" w:space="0" w:color="auto"/>
        <w:right w:val="none" w:sz="0" w:space="0" w:color="auto"/>
      </w:divBdr>
    </w:div>
    <w:div w:id="614095254">
      <w:bodyDiv w:val="1"/>
      <w:marLeft w:val="0"/>
      <w:marRight w:val="0"/>
      <w:marTop w:val="0"/>
      <w:marBottom w:val="0"/>
      <w:divBdr>
        <w:top w:val="none" w:sz="0" w:space="0" w:color="auto"/>
        <w:left w:val="none" w:sz="0" w:space="0" w:color="auto"/>
        <w:bottom w:val="none" w:sz="0" w:space="0" w:color="auto"/>
        <w:right w:val="none" w:sz="0" w:space="0" w:color="auto"/>
      </w:divBdr>
    </w:div>
    <w:div w:id="640622199">
      <w:bodyDiv w:val="1"/>
      <w:marLeft w:val="0"/>
      <w:marRight w:val="0"/>
      <w:marTop w:val="0"/>
      <w:marBottom w:val="0"/>
      <w:divBdr>
        <w:top w:val="none" w:sz="0" w:space="0" w:color="auto"/>
        <w:left w:val="none" w:sz="0" w:space="0" w:color="auto"/>
        <w:bottom w:val="none" w:sz="0" w:space="0" w:color="auto"/>
        <w:right w:val="none" w:sz="0" w:space="0" w:color="auto"/>
      </w:divBdr>
    </w:div>
    <w:div w:id="729690172">
      <w:bodyDiv w:val="1"/>
      <w:marLeft w:val="0"/>
      <w:marRight w:val="0"/>
      <w:marTop w:val="0"/>
      <w:marBottom w:val="0"/>
      <w:divBdr>
        <w:top w:val="none" w:sz="0" w:space="0" w:color="auto"/>
        <w:left w:val="none" w:sz="0" w:space="0" w:color="auto"/>
        <w:bottom w:val="none" w:sz="0" w:space="0" w:color="auto"/>
        <w:right w:val="none" w:sz="0" w:space="0" w:color="auto"/>
      </w:divBdr>
    </w:div>
    <w:div w:id="785270384">
      <w:bodyDiv w:val="1"/>
      <w:marLeft w:val="0"/>
      <w:marRight w:val="0"/>
      <w:marTop w:val="0"/>
      <w:marBottom w:val="0"/>
      <w:divBdr>
        <w:top w:val="none" w:sz="0" w:space="0" w:color="auto"/>
        <w:left w:val="none" w:sz="0" w:space="0" w:color="auto"/>
        <w:bottom w:val="none" w:sz="0" w:space="0" w:color="auto"/>
        <w:right w:val="none" w:sz="0" w:space="0" w:color="auto"/>
      </w:divBdr>
      <w:divsChild>
        <w:div w:id="1510409101">
          <w:marLeft w:val="0"/>
          <w:marRight w:val="0"/>
          <w:marTop w:val="0"/>
          <w:marBottom w:val="0"/>
          <w:divBdr>
            <w:top w:val="none" w:sz="0" w:space="0" w:color="auto"/>
            <w:left w:val="none" w:sz="0" w:space="0" w:color="auto"/>
            <w:bottom w:val="none" w:sz="0" w:space="0" w:color="auto"/>
            <w:right w:val="none" w:sz="0" w:space="0" w:color="auto"/>
          </w:divBdr>
          <w:divsChild>
            <w:div w:id="1508670692">
              <w:marLeft w:val="0"/>
              <w:marRight w:val="0"/>
              <w:marTop w:val="0"/>
              <w:marBottom w:val="0"/>
              <w:divBdr>
                <w:top w:val="none" w:sz="0" w:space="0" w:color="auto"/>
                <w:left w:val="none" w:sz="0" w:space="0" w:color="auto"/>
                <w:bottom w:val="none" w:sz="0" w:space="0" w:color="auto"/>
                <w:right w:val="none" w:sz="0" w:space="0" w:color="auto"/>
              </w:divBdr>
              <w:divsChild>
                <w:div w:id="739786865">
                  <w:marLeft w:val="0"/>
                  <w:marRight w:val="0"/>
                  <w:marTop w:val="0"/>
                  <w:marBottom w:val="0"/>
                  <w:divBdr>
                    <w:top w:val="none" w:sz="0" w:space="0" w:color="auto"/>
                    <w:left w:val="none" w:sz="0" w:space="0" w:color="auto"/>
                    <w:bottom w:val="none" w:sz="0" w:space="0" w:color="auto"/>
                    <w:right w:val="none" w:sz="0" w:space="0" w:color="auto"/>
                  </w:divBdr>
                  <w:divsChild>
                    <w:div w:id="802427423">
                      <w:marLeft w:val="0"/>
                      <w:marRight w:val="0"/>
                      <w:marTop w:val="0"/>
                      <w:marBottom w:val="0"/>
                      <w:divBdr>
                        <w:top w:val="none" w:sz="0" w:space="0" w:color="auto"/>
                        <w:left w:val="none" w:sz="0" w:space="0" w:color="auto"/>
                        <w:bottom w:val="none" w:sz="0" w:space="0" w:color="auto"/>
                        <w:right w:val="none" w:sz="0" w:space="0" w:color="auto"/>
                      </w:divBdr>
                      <w:divsChild>
                        <w:div w:id="1731806387">
                          <w:marLeft w:val="0"/>
                          <w:marRight w:val="0"/>
                          <w:marTop w:val="0"/>
                          <w:marBottom w:val="0"/>
                          <w:divBdr>
                            <w:top w:val="none" w:sz="0" w:space="0" w:color="auto"/>
                            <w:left w:val="none" w:sz="0" w:space="0" w:color="auto"/>
                            <w:bottom w:val="none" w:sz="0" w:space="0" w:color="auto"/>
                            <w:right w:val="none" w:sz="0" w:space="0" w:color="auto"/>
                          </w:divBdr>
                          <w:divsChild>
                            <w:div w:id="1503735554">
                              <w:marLeft w:val="0"/>
                              <w:marRight w:val="0"/>
                              <w:marTop w:val="0"/>
                              <w:marBottom w:val="0"/>
                              <w:divBdr>
                                <w:top w:val="none" w:sz="0" w:space="0" w:color="auto"/>
                                <w:left w:val="none" w:sz="0" w:space="0" w:color="auto"/>
                                <w:bottom w:val="none" w:sz="0" w:space="0" w:color="auto"/>
                                <w:right w:val="none" w:sz="0" w:space="0" w:color="auto"/>
                              </w:divBdr>
                              <w:divsChild>
                                <w:div w:id="18875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413968">
      <w:bodyDiv w:val="1"/>
      <w:marLeft w:val="0"/>
      <w:marRight w:val="0"/>
      <w:marTop w:val="0"/>
      <w:marBottom w:val="0"/>
      <w:divBdr>
        <w:top w:val="none" w:sz="0" w:space="0" w:color="auto"/>
        <w:left w:val="none" w:sz="0" w:space="0" w:color="auto"/>
        <w:bottom w:val="none" w:sz="0" w:space="0" w:color="auto"/>
        <w:right w:val="none" w:sz="0" w:space="0" w:color="auto"/>
      </w:divBdr>
      <w:divsChild>
        <w:div w:id="1136682339">
          <w:marLeft w:val="0"/>
          <w:marRight w:val="0"/>
          <w:marTop w:val="0"/>
          <w:marBottom w:val="0"/>
          <w:divBdr>
            <w:top w:val="none" w:sz="0" w:space="0" w:color="auto"/>
            <w:left w:val="none" w:sz="0" w:space="0" w:color="auto"/>
            <w:bottom w:val="none" w:sz="0" w:space="0" w:color="auto"/>
            <w:right w:val="none" w:sz="0" w:space="0" w:color="auto"/>
          </w:divBdr>
          <w:divsChild>
            <w:div w:id="1743524133">
              <w:marLeft w:val="0"/>
              <w:marRight w:val="0"/>
              <w:marTop w:val="0"/>
              <w:marBottom w:val="0"/>
              <w:divBdr>
                <w:top w:val="none" w:sz="0" w:space="0" w:color="auto"/>
                <w:left w:val="none" w:sz="0" w:space="0" w:color="auto"/>
                <w:bottom w:val="none" w:sz="0" w:space="0" w:color="auto"/>
                <w:right w:val="none" w:sz="0" w:space="0" w:color="auto"/>
              </w:divBdr>
              <w:divsChild>
                <w:div w:id="33698325">
                  <w:marLeft w:val="0"/>
                  <w:marRight w:val="0"/>
                  <w:marTop w:val="0"/>
                  <w:marBottom w:val="0"/>
                  <w:divBdr>
                    <w:top w:val="none" w:sz="0" w:space="0" w:color="auto"/>
                    <w:left w:val="none" w:sz="0" w:space="0" w:color="auto"/>
                    <w:bottom w:val="none" w:sz="0" w:space="0" w:color="auto"/>
                    <w:right w:val="none" w:sz="0" w:space="0" w:color="auto"/>
                  </w:divBdr>
                  <w:divsChild>
                    <w:div w:id="1006786673">
                      <w:marLeft w:val="0"/>
                      <w:marRight w:val="0"/>
                      <w:marTop w:val="0"/>
                      <w:marBottom w:val="0"/>
                      <w:divBdr>
                        <w:top w:val="none" w:sz="0" w:space="0" w:color="auto"/>
                        <w:left w:val="none" w:sz="0" w:space="0" w:color="auto"/>
                        <w:bottom w:val="none" w:sz="0" w:space="0" w:color="auto"/>
                        <w:right w:val="none" w:sz="0" w:space="0" w:color="auto"/>
                      </w:divBdr>
                      <w:divsChild>
                        <w:div w:id="1356349192">
                          <w:marLeft w:val="0"/>
                          <w:marRight w:val="0"/>
                          <w:marTop w:val="0"/>
                          <w:marBottom w:val="0"/>
                          <w:divBdr>
                            <w:top w:val="none" w:sz="0" w:space="0" w:color="auto"/>
                            <w:left w:val="none" w:sz="0" w:space="0" w:color="auto"/>
                            <w:bottom w:val="none" w:sz="0" w:space="0" w:color="auto"/>
                            <w:right w:val="none" w:sz="0" w:space="0" w:color="auto"/>
                          </w:divBdr>
                          <w:divsChild>
                            <w:div w:id="1552182105">
                              <w:marLeft w:val="0"/>
                              <w:marRight w:val="0"/>
                              <w:marTop w:val="0"/>
                              <w:marBottom w:val="0"/>
                              <w:divBdr>
                                <w:top w:val="none" w:sz="0" w:space="0" w:color="auto"/>
                                <w:left w:val="none" w:sz="0" w:space="0" w:color="auto"/>
                                <w:bottom w:val="none" w:sz="0" w:space="0" w:color="auto"/>
                                <w:right w:val="none" w:sz="0" w:space="0" w:color="auto"/>
                              </w:divBdr>
                              <w:divsChild>
                                <w:div w:id="18083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25544">
      <w:bodyDiv w:val="1"/>
      <w:marLeft w:val="0"/>
      <w:marRight w:val="0"/>
      <w:marTop w:val="0"/>
      <w:marBottom w:val="0"/>
      <w:divBdr>
        <w:top w:val="none" w:sz="0" w:space="0" w:color="auto"/>
        <w:left w:val="none" w:sz="0" w:space="0" w:color="auto"/>
        <w:bottom w:val="none" w:sz="0" w:space="0" w:color="auto"/>
        <w:right w:val="none" w:sz="0" w:space="0" w:color="auto"/>
      </w:divBdr>
      <w:divsChild>
        <w:div w:id="1292517655">
          <w:marLeft w:val="0"/>
          <w:marRight w:val="0"/>
          <w:marTop w:val="0"/>
          <w:marBottom w:val="0"/>
          <w:divBdr>
            <w:top w:val="none" w:sz="0" w:space="0" w:color="auto"/>
            <w:left w:val="none" w:sz="0" w:space="0" w:color="auto"/>
            <w:bottom w:val="none" w:sz="0" w:space="0" w:color="auto"/>
            <w:right w:val="none" w:sz="0" w:space="0" w:color="auto"/>
          </w:divBdr>
          <w:divsChild>
            <w:div w:id="91947670">
              <w:marLeft w:val="0"/>
              <w:marRight w:val="0"/>
              <w:marTop w:val="0"/>
              <w:marBottom w:val="0"/>
              <w:divBdr>
                <w:top w:val="none" w:sz="0" w:space="0" w:color="auto"/>
                <w:left w:val="none" w:sz="0" w:space="0" w:color="auto"/>
                <w:bottom w:val="none" w:sz="0" w:space="0" w:color="auto"/>
                <w:right w:val="none" w:sz="0" w:space="0" w:color="auto"/>
              </w:divBdr>
              <w:divsChild>
                <w:div w:id="13576959">
                  <w:marLeft w:val="0"/>
                  <w:marRight w:val="0"/>
                  <w:marTop w:val="0"/>
                  <w:marBottom w:val="0"/>
                  <w:divBdr>
                    <w:top w:val="none" w:sz="0" w:space="0" w:color="auto"/>
                    <w:left w:val="none" w:sz="0" w:space="0" w:color="auto"/>
                    <w:bottom w:val="none" w:sz="0" w:space="0" w:color="auto"/>
                    <w:right w:val="none" w:sz="0" w:space="0" w:color="auto"/>
                  </w:divBdr>
                  <w:divsChild>
                    <w:div w:id="1310288273">
                      <w:marLeft w:val="0"/>
                      <w:marRight w:val="0"/>
                      <w:marTop w:val="0"/>
                      <w:marBottom w:val="0"/>
                      <w:divBdr>
                        <w:top w:val="none" w:sz="0" w:space="0" w:color="auto"/>
                        <w:left w:val="none" w:sz="0" w:space="0" w:color="auto"/>
                        <w:bottom w:val="none" w:sz="0" w:space="0" w:color="auto"/>
                        <w:right w:val="none" w:sz="0" w:space="0" w:color="auto"/>
                      </w:divBdr>
                      <w:divsChild>
                        <w:div w:id="692537271">
                          <w:marLeft w:val="0"/>
                          <w:marRight w:val="0"/>
                          <w:marTop w:val="0"/>
                          <w:marBottom w:val="0"/>
                          <w:divBdr>
                            <w:top w:val="none" w:sz="0" w:space="0" w:color="auto"/>
                            <w:left w:val="none" w:sz="0" w:space="0" w:color="auto"/>
                            <w:bottom w:val="none" w:sz="0" w:space="0" w:color="auto"/>
                            <w:right w:val="none" w:sz="0" w:space="0" w:color="auto"/>
                          </w:divBdr>
                          <w:divsChild>
                            <w:div w:id="180124275">
                              <w:marLeft w:val="0"/>
                              <w:marRight w:val="0"/>
                              <w:marTop w:val="0"/>
                              <w:marBottom w:val="0"/>
                              <w:divBdr>
                                <w:top w:val="none" w:sz="0" w:space="0" w:color="auto"/>
                                <w:left w:val="none" w:sz="0" w:space="0" w:color="auto"/>
                                <w:bottom w:val="none" w:sz="0" w:space="0" w:color="auto"/>
                                <w:right w:val="none" w:sz="0" w:space="0" w:color="auto"/>
                              </w:divBdr>
                              <w:divsChild>
                                <w:div w:id="11603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098929">
      <w:bodyDiv w:val="1"/>
      <w:marLeft w:val="0"/>
      <w:marRight w:val="0"/>
      <w:marTop w:val="0"/>
      <w:marBottom w:val="0"/>
      <w:divBdr>
        <w:top w:val="none" w:sz="0" w:space="0" w:color="auto"/>
        <w:left w:val="none" w:sz="0" w:space="0" w:color="auto"/>
        <w:bottom w:val="none" w:sz="0" w:space="0" w:color="auto"/>
        <w:right w:val="none" w:sz="0" w:space="0" w:color="auto"/>
      </w:divBdr>
    </w:div>
    <w:div w:id="1140537639">
      <w:bodyDiv w:val="1"/>
      <w:marLeft w:val="0"/>
      <w:marRight w:val="0"/>
      <w:marTop w:val="0"/>
      <w:marBottom w:val="0"/>
      <w:divBdr>
        <w:top w:val="none" w:sz="0" w:space="0" w:color="auto"/>
        <w:left w:val="none" w:sz="0" w:space="0" w:color="auto"/>
        <w:bottom w:val="none" w:sz="0" w:space="0" w:color="auto"/>
        <w:right w:val="none" w:sz="0" w:space="0" w:color="auto"/>
      </w:divBdr>
    </w:div>
    <w:div w:id="1237129320">
      <w:bodyDiv w:val="1"/>
      <w:marLeft w:val="0"/>
      <w:marRight w:val="0"/>
      <w:marTop w:val="0"/>
      <w:marBottom w:val="0"/>
      <w:divBdr>
        <w:top w:val="none" w:sz="0" w:space="0" w:color="auto"/>
        <w:left w:val="none" w:sz="0" w:space="0" w:color="auto"/>
        <w:bottom w:val="none" w:sz="0" w:space="0" w:color="auto"/>
        <w:right w:val="none" w:sz="0" w:space="0" w:color="auto"/>
      </w:divBdr>
    </w:div>
    <w:div w:id="1281692529">
      <w:bodyDiv w:val="1"/>
      <w:marLeft w:val="0"/>
      <w:marRight w:val="0"/>
      <w:marTop w:val="0"/>
      <w:marBottom w:val="0"/>
      <w:divBdr>
        <w:top w:val="none" w:sz="0" w:space="0" w:color="auto"/>
        <w:left w:val="none" w:sz="0" w:space="0" w:color="auto"/>
        <w:bottom w:val="none" w:sz="0" w:space="0" w:color="auto"/>
        <w:right w:val="none" w:sz="0" w:space="0" w:color="auto"/>
      </w:divBdr>
    </w:div>
    <w:div w:id="1293632662">
      <w:bodyDiv w:val="1"/>
      <w:marLeft w:val="0"/>
      <w:marRight w:val="0"/>
      <w:marTop w:val="0"/>
      <w:marBottom w:val="0"/>
      <w:divBdr>
        <w:top w:val="none" w:sz="0" w:space="0" w:color="auto"/>
        <w:left w:val="none" w:sz="0" w:space="0" w:color="auto"/>
        <w:bottom w:val="none" w:sz="0" w:space="0" w:color="auto"/>
        <w:right w:val="none" w:sz="0" w:space="0" w:color="auto"/>
      </w:divBdr>
    </w:div>
    <w:div w:id="1329551112">
      <w:bodyDiv w:val="1"/>
      <w:marLeft w:val="0"/>
      <w:marRight w:val="0"/>
      <w:marTop w:val="0"/>
      <w:marBottom w:val="0"/>
      <w:divBdr>
        <w:top w:val="none" w:sz="0" w:space="0" w:color="auto"/>
        <w:left w:val="none" w:sz="0" w:space="0" w:color="auto"/>
        <w:bottom w:val="none" w:sz="0" w:space="0" w:color="auto"/>
        <w:right w:val="none" w:sz="0" w:space="0" w:color="auto"/>
      </w:divBdr>
    </w:div>
    <w:div w:id="1430001113">
      <w:bodyDiv w:val="1"/>
      <w:marLeft w:val="0"/>
      <w:marRight w:val="0"/>
      <w:marTop w:val="0"/>
      <w:marBottom w:val="0"/>
      <w:divBdr>
        <w:top w:val="none" w:sz="0" w:space="0" w:color="auto"/>
        <w:left w:val="none" w:sz="0" w:space="0" w:color="auto"/>
        <w:bottom w:val="none" w:sz="0" w:space="0" w:color="auto"/>
        <w:right w:val="none" w:sz="0" w:space="0" w:color="auto"/>
      </w:divBdr>
      <w:divsChild>
        <w:div w:id="1492678760">
          <w:marLeft w:val="0"/>
          <w:marRight w:val="0"/>
          <w:marTop w:val="0"/>
          <w:marBottom w:val="0"/>
          <w:divBdr>
            <w:top w:val="none" w:sz="0" w:space="0" w:color="auto"/>
            <w:left w:val="none" w:sz="0" w:space="0" w:color="auto"/>
            <w:bottom w:val="none" w:sz="0" w:space="0" w:color="auto"/>
            <w:right w:val="none" w:sz="0" w:space="0" w:color="auto"/>
          </w:divBdr>
          <w:divsChild>
            <w:div w:id="1180196256">
              <w:marLeft w:val="0"/>
              <w:marRight w:val="0"/>
              <w:marTop w:val="0"/>
              <w:marBottom w:val="0"/>
              <w:divBdr>
                <w:top w:val="none" w:sz="0" w:space="0" w:color="auto"/>
                <w:left w:val="none" w:sz="0" w:space="0" w:color="auto"/>
                <w:bottom w:val="none" w:sz="0" w:space="0" w:color="auto"/>
                <w:right w:val="none" w:sz="0" w:space="0" w:color="auto"/>
              </w:divBdr>
              <w:divsChild>
                <w:div w:id="821846665">
                  <w:marLeft w:val="0"/>
                  <w:marRight w:val="0"/>
                  <w:marTop w:val="0"/>
                  <w:marBottom w:val="0"/>
                  <w:divBdr>
                    <w:top w:val="none" w:sz="0" w:space="0" w:color="auto"/>
                    <w:left w:val="none" w:sz="0" w:space="0" w:color="auto"/>
                    <w:bottom w:val="none" w:sz="0" w:space="0" w:color="auto"/>
                    <w:right w:val="none" w:sz="0" w:space="0" w:color="auto"/>
                  </w:divBdr>
                  <w:divsChild>
                    <w:div w:id="588461791">
                      <w:marLeft w:val="0"/>
                      <w:marRight w:val="0"/>
                      <w:marTop w:val="0"/>
                      <w:marBottom w:val="0"/>
                      <w:divBdr>
                        <w:top w:val="none" w:sz="0" w:space="0" w:color="auto"/>
                        <w:left w:val="none" w:sz="0" w:space="0" w:color="auto"/>
                        <w:bottom w:val="none" w:sz="0" w:space="0" w:color="auto"/>
                        <w:right w:val="none" w:sz="0" w:space="0" w:color="auto"/>
                      </w:divBdr>
                      <w:divsChild>
                        <w:div w:id="175075143">
                          <w:marLeft w:val="0"/>
                          <w:marRight w:val="0"/>
                          <w:marTop w:val="0"/>
                          <w:marBottom w:val="0"/>
                          <w:divBdr>
                            <w:top w:val="none" w:sz="0" w:space="0" w:color="auto"/>
                            <w:left w:val="none" w:sz="0" w:space="0" w:color="auto"/>
                            <w:bottom w:val="none" w:sz="0" w:space="0" w:color="auto"/>
                            <w:right w:val="none" w:sz="0" w:space="0" w:color="auto"/>
                          </w:divBdr>
                          <w:divsChild>
                            <w:div w:id="636229901">
                              <w:marLeft w:val="0"/>
                              <w:marRight w:val="0"/>
                              <w:marTop w:val="0"/>
                              <w:marBottom w:val="0"/>
                              <w:divBdr>
                                <w:top w:val="none" w:sz="0" w:space="0" w:color="auto"/>
                                <w:left w:val="none" w:sz="0" w:space="0" w:color="auto"/>
                                <w:bottom w:val="none" w:sz="0" w:space="0" w:color="auto"/>
                                <w:right w:val="none" w:sz="0" w:space="0" w:color="auto"/>
                              </w:divBdr>
                              <w:divsChild>
                                <w:div w:id="11576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218998">
      <w:bodyDiv w:val="1"/>
      <w:marLeft w:val="0"/>
      <w:marRight w:val="0"/>
      <w:marTop w:val="0"/>
      <w:marBottom w:val="0"/>
      <w:divBdr>
        <w:top w:val="none" w:sz="0" w:space="0" w:color="auto"/>
        <w:left w:val="none" w:sz="0" w:space="0" w:color="auto"/>
        <w:bottom w:val="none" w:sz="0" w:space="0" w:color="auto"/>
        <w:right w:val="none" w:sz="0" w:space="0" w:color="auto"/>
      </w:divBdr>
    </w:div>
    <w:div w:id="1512913517">
      <w:bodyDiv w:val="1"/>
      <w:marLeft w:val="0"/>
      <w:marRight w:val="0"/>
      <w:marTop w:val="0"/>
      <w:marBottom w:val="0"/>
      <w:divBdr>
        <w:top w:val="none" w:sz="0" w:space="0" w:color="auto"/>
        <w:left w:val="none" w:sz="0" w:space="0" w:color="auto"/>
        <w:bottom w:val="none" w:sz="0" w:space="0" w:color="auto"/>
        <w:right w:val="none" w:sz="0" w:space="0" w:color="auto"/>
      </w:divBdr>
    </w:div>
    <w:div w:id="1566842833">
      <w:bodyDiv w:val="1"/>
      <w:marLeft w:val="0"/>
      <w:marRight w:val="0"/>
      <w:marTop w:val="0"/>
      <w:marBottom w:val="0"/>
      <w:divBdr>
        <w:top w:val="none" w:sz="0" w:space="0" w:color="auto"/>
        <w:left w:val="none" w:sz="0" w:space="0" w:color="auto"/>
        <w:bottom w:val="none" w:sz="0" w:space="0" w:color="auto"/>
        <w:right w:val="none" w:sz="0" w:space="0" w:color="auto"/>
      </w:divBdr>
    </w:div>
    <w:div w:id="1601332376">
      <w:bodyDiv w:val="1"/>
      <w:marLeft w:val="0"/>
      <w:marRight w:val="0"/>
      <w:marTop w:val="0"/>
      <w:marBottom w:val="0"/>
      <w:divBdr>
        <w:top w:val="none" w:sz="0" w:space="0" w:color="auto"/>
        <w:left w:val="none" w:sz="0" w:space="0" w:color="auto"/>
        <w:bottom w:val="none" w:sz="0" w:space="0" w:color="auto"/>
        <w:right w:val="none" w:sz="0" w:space="0" w:color="auto"/>
      </w:divBdr>
    </w:div>
    <w:div w:id="1607616772">
      <w:bodyDiv w:val="1"/>
      <w:marLeft w:val="0"/>
      <w:marRight w:val="0"/>
      <w:marTop w:val="0"/>
      <w:marBottom w:val="0"/>
      <w:divBdr>
        <w:top w:val="none" w:sz="0" w:space="0" w:color="auto"/>
        <w:left w:val="none" w:sz="0" w:space="0" w:color="auto"/>
        <w:bottom w:val="none" w:sz="0" w:space="0" w:color="auto"/>
        <w:right w:val="none" w:sz="0" w:space="0" w:color="auto"/>
      </w:divBdr>
    </w:div>
    <w:div w:id="1746605860">
      <w:bodyDiv w:val="1"/>
      <w:marLeft w:val="0"/>
      <w:marRight w:val="0"/>
      <w:marTop w:val="0"/>
      <w:marBottom w:val="0"/>
      <w:divBdr>
        <w:top w:val="none" w:sz="0" w:space="0" w:color="auto"/>
        <w:left w:val="none" w:sz="0" w:space="0" w:color="auto"/>
        <w:bottom w:val="none" w:sz="0" w:space="0" w:color="auto"/>
        <w:right w:val="none" w:sz="0" w:space="0" w:color="auto"/>
      </w:divBdr>
    </w:div>
    <w:div w:id="1911697787">
      <w:bodyDiv w:val="1"/>
      <w:marLeft w:val="0"/>
      <w:marRight w:val="0"/>
      <w:marTop w:val="0"/>
      <w:marBottom w:val="0"/>
      <w:divBdr>
        <w:top w:val="none" w:sz="0" w:space="0" w:color="auto"/>
        <w:left w:val="none" w:sz="0" w:space="0" w:color="auto"/>
        <w:bottom w:val="none" w:sz="0" w:space="0" w:color="auto"/>
        <w:right w:val="none" w:sz="0" w:space="0" w:color="auto"/>
      </w:divBdr>
    </w:div>
    <w:div w:id="20553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proadess.icict.fiocruz.br/"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brazilianjournals.com/ojs/index.php/BJHR/article/view/2286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119/bjhrv4n1-057"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dx.doi.org/10.51721/2526-4036/v6n3a10"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5248/reas.e7042" TargetMode="External"/><Relationship Id="rId22"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3255</Words>
  <Characters>18554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dc:creator>
  <cp:keywords/>
  <dc:description/>
  <cp:lastModifiedBy>SDI 1167</cp:lastModifiedBy>
  <cp:revision>35</cp:revision>
  <dcterms:created xsi:type="dcterms:W3CDTF">2026-01-24T21:59:00Z</dcterms:created>
  <dcterms:modified xsi:type="dcterms:W3CDTF">2026-02-05T12:40:00Z</dcterms:modified>
</cp:coreProperties>
</file>