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57405" w:rsidRPr="00BC202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57405" w:rsidRPr="00BC2027" w:rsidRDefault="00A574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57405" w:rsidRPr="00BC2027">
        <w:trPr>
          <w:trHeight w:val="290"/>
        </w:trPr>
        <w:tc>
          <w:tcPr>
            <w:tcW w:w="1186" w:type="pct"/>
          </w:tcPr>
          <w:p w:rsidR="00A57405" w:rsidRPr="00BC2027" w:rsidRDefault="002A18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20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05" w:rsidRPr="00BC2027" w:rsidRDefault="002A18A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BC202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Microbiology </w:t>
              </w:r>
            </w:hyperlink>
          </w:p>
        </w:tc>
      </w:tr>
      <w:tr w:rsidR="00A57405" w:rsidRPr="00BC2027">
        <w:trPr>
          <w:trHeight w:val="290"/>
        </w:trPr>
        <w:tc>
          <w:tcPr>
            <w:tcW w:w="1186" w:type="pct"/>
          </w:tcPr>
          <w:p w:rsidR="00A57405" w:rsidRPr="00BC2027" w:rsidRDefault="002A18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20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05" w:rsidRPr="00BC2027" w:rsidRDefault="002A1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Ms_JAMB_155519</w:t>
            </w:r>
          </w:p>
        </w:tc>
      </w:tr>
      <w:tr w:rsidR="00A57405" w:rsidRPr="00BC2027">
        <w:trPr>
          <w:trHeight w:val="650"/>
        </w:trPr>
        <w:tc>
          <w:tcPr>
            <w:tcW w:w="1186" w:type="pct"/>
          </w:tcPr>
          <w:p w:rsidR="00A57405" w:rsidRPr="00BC2027" w:rsidRDefault="002A18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20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05" w:rsidRPr="00BC2027" w:rsidRDefault="002A1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Integrated </w:t>
            </w:r>
            <w:r w:rsidRPr="00BC2027">
              <w:rPr>
                <w:rFonts w:ascii="Arial" w:hAnsi="Arial" w:cs="Arial"/>
                <w:b/>
                <w:sz w:val="20"/>
                <w:szCs w:val="20"/>
                <w:lang w:val="en-GB"/>
              </w:rPr>
              <w:t>Management of Purple Blotch of Onion: A Review</w:t>
            </w:r>
          </w:p>
        </w:tc>
      </w:tr>
      <w:tr w:rsidR="00A57405" w:rsidRPr="00BC2027">
        <w:trPr>
          <w:trHeight w:val="332"/>
        </w:trPr>
        <w:tc>
          <w:tcPr>
            <w:tcW w:w="1186" w:type="pct"/>
          </w:tcPr>
          <w:p w:rsidR="00A57405" w:rsidRPr="00BC2027" w:rsidRDefault="002A18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20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05" w:rsidRPr="00BC2027" w:rsidRDefault="002A1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A57405" w:rsidRPr="00BC2027" w:rsidRDefault="00A574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7405" w:rsidRPr="00BC2027" w:rsidRDefault="002A18A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C2027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57405" w:rsidRPr="00BC2027" w:rsidRDefault="00A574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57405" w:rsidRPr="00BC2027" w:rsidRDefault="00A574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57405" w:rsidRPr="00BC2027">
        <w:tc>
          <w:tcPr>
            <w:tcW w:w="1789" w:type="pct"/>
            <w:noWrap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C202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57405" w:rsidRPr="00BC2027" w:rsidRDefault="002A18A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C20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20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1264"/>
        </w:trPr>
        <w:tc>
          <w:tcPr>
            <w:tcW w:w="1789" w:type="pct"/>
            <w:noWrap/>
          </w:tcPr>
          <w:p w:rsidR="00A57405" w:rsidRPr="00BC2027" w:rsidRDefault="002A18A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C20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57405" w:rsidRPr="00BC2027" w:rsidRDefault="002A18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few sentences regarding role of thrips in enhancing purple blotch severity (Reference paper; Unravelling the synergistic interaction of Thrips tabaci and newly recorded, Thrips parvispinus with</w:t>
            </w: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Alternaria porri (Ellis.) Cif., inciting onion purple blotch)</w:t>
            </w:r>
          </w:p>
          <w:p w:rsidR="00A57405" w:rsidRPr="00BC2027" w:rsidRDefault="00A574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57405" w:rsidRPr="00BC2027" w:rsidRDefault="002A18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may be added to reflect role of botanicals in management of purple blotch (Efficacy of plant extracts in growth promotion and onion purple blotch management: Unveiling metabolite fi</w:t>
            </w: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ngerprinting of promising neem leaf extracts through GC MS)</w:t>
            </w:r>
          </w:p>
          <w:p w:rsidR="00A57405" w:rsidRPr="00BC2027" w:rsidRDefault="00A574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57405" w:rsidRPr="00BC2027" w:rsidRDefault="002A18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Role of bioagents following papers should be cited:</w:t>
            </w:r>
          </w:p>
          <w:p w:rsidR="00A57405" w:rsidRPr="00BC2027" w:rsidRDefault="002A18A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Unleashing the potential of multitrait onion seed endophytic bacteria in combating purple blotch incited by Alternaria porri (Ellis) Cif</w:t>
            </w:r>
          </w:p>
          <w:p w:rsidR="00A57405" w:rsidRPr="00BC2027" w:rsidRDefault="002A18A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Deciphering the multifaceted mechanism of Trichoderma asperellum ORF 2 parasitism against Alternaria porri in confronting onion purple blotch</w:t>
            </w:r>
          </w:p>
          <w:p w:rsidR="00A57405" w:rsidRPr="00BC2027" w:rsidRDefault="00A574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57405" w:rsidRPr="00BC2027" w:rsidRDefault="002A18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chemical management following paper can be cited </w:t>
            </w:r>
          </w:p>
          <w:p w:rsidR="00A57405" w:rsidRPr="00BC2027" w:rsidRDefault="00A574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57405" w:rsidRPr="00BC2027" w:rsidRDefault="002A18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Relative efficacy of fungicides in managing onion purple bl</w:t>
            </w: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otch incited by Alternaria porri</w:t>
            </w: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7405" w:rsidRPr="00BC2027" w:rsidRDefault="00A57405">
      <w:pPr>
        <w:rPr>
          <w:rFonts w:ascii="Arial" w:hAnsi="Arial" w:cs="Arial"/>
          <w:sz w:val="20"/>
          <w:szCs w:val="20"/>
          <w:lang w:val="en-GB"/>
        </w:rPr>
      </w:pPr>
    </w:p>
    <w:p w:rsidR="00A57405" w:rsidRPr="00BC2027" w:rsidRDefault="00A57405">
      <w:pPr>
        <w:rPr>
          <w:rFonts w:ascii="Arial" w:hAnsi="Arial" w:cs="Arial"/>
          <w:sz w:val="20"/>
          <w:szCs w:val="20"/>
          <w:lang w:val="en-GB"/>
        </w:rPr>
      </w:pPr>
    </w:p>
    <w:p w:rsidR="00A57405" w:rsidRPr="00BC2027" w:rsidRDefault="00A57405">
      <w:pPr>
        <w:rPr>
          <w:rFonts w:ascii="Arial" w:hAnsi="Arial" w:cs="Arial"/>
          <w:sz w:val="20"/>
          <w:szCs w:val="20"/>
          <w:lang w:val="en-GB"/>
        </w:rPr>
      </w:pPr>
    </w:p>
    <w:p w:rsidR="00A57405" w:rsidRPr="00BC2027" w:rsidRDefault="00A57405">
      <w:pPr>
        <w:rPr>
          <w:rFonts w:ascii="Arial" w:hAnsi="Arial" w:cs="Arial"/>
          <w:sz w:val="20"/>
          <w:szCs w:val="20"/>
          <w:lang w:val="en-GB"/>
        </w:rPr>
      </w:pPr>
    </w:p>
    <w:p w:rsidR="00A57405" w:rsidRPr="00BC2027" w:rsidRDefault="002A18AD">
      <w:pPr>
        <w:pStyle w:val="Heading2"/>
        <w:keepNext w:val="0"/>
        <w:jc w:val="left"/>
        <w:rPr>
          <w:rFonts w:ascii="Arial" w:hAnsi="Arial" w:cs="Arial"/>
          <w:lang w:val="en-GB" w:eastAsia="en-US"/>
        </w:rPr>
      </w:pPr>
      <w:r w:rsidRPr="00BC2027">
        <w:rPr>
          <w:rFonts w:ascii="Arial" w:hAnsi="Arial" w:cs="Arial"/>
          <w:highlight w:val="yellow"/>
          <w:lang w:val="en-GB" w:eastAsia="en-US"/>
        </w:rPr>
        <w:t>PART  2</w:t>
      </w:r>
    </w:p>
    <w:p w:rsidR="00A57405" w:rsidRPr="00BC2027" w:rsidRDefault="00A574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57405" w:rsidRPr="00BC202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57405" w:rsidRPr="00BC2027" w:rsidRDefault="00A574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7405" w:rsidRPr="00BC2027" w:rsidRDefault="00A574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57405" w:rsidRPr="00BC2027">
        <w:tc>
          <w:tcPr>
            <w:tcW w:w="1790" w:type="pct"/>
            <w:noWrap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C202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57405" w:rsidRPr="00BC2027" w:rsidRDefault="002A18A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0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20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7405" w:rsidRPr="00BC2027">
        <w:trPr>
          <w:trHeight w:val="1262"/>
        </w:trPr>
        <w:tc>
          <w:tcPr>
            <w:tcW w:w="1790" w:type="pct"/>
            <w:noWrap/>
          </w:tcPr>
          <w:p w:rsidR="00A57405" w:rsidRPr="00BC2027" w:rsidRDefault="002A18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1262"/>
        </w:trPr>
        <w:tc>
          <w:tcPr>
            <w:tcW w:w="1790" w:type="pct"/>
            <w:noWrap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C202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1262"/>
        </w:trPr>
        <w:tc>
          <w:tcPr>
            <w:tcW w:w="1790" w:type="pct"/>
            <w:noWrap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202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</w:t>
            </w: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1262"/>
        </w:trPr>
        <w:tc>
          <w:tcPr>
            <w:tcW w:w="1790" w:type="pct"/>
            <w:noWrap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202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1262"/>
        </w:trPr>
        <w:tc>
          <w:tcPr>
            <w:tcW w:w="1790" w:type="pct"/>
            <w:noWrap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2027">
              <w:rPr>
                <w:rFonts w:ascii="Arial" w:hAnsi="Arial" w:cs="Arial"/>
                <w:lang w:val="en-GB"/>
              </w:rPr>
              <w:t xml:space="preserve">5. Are </w:t>
            </w:r>
            <w:r w:rsidRPr="00BC2027">
              <w:rPr>
                <w:rFonts w:ascii="Arial" w:hAnsi="Arial" w:cs="Arial"/>
                <w:lang w:val="en-GB"/>
              </w:rPr>
              <w:t>the objectives clearly stated?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1262"/>
        </w:trPr>
        <w:tc>
          <w:tcPr>
            <w:tcW w:w="1790" w:type="pct"/>
            <w:noWrap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202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1262"/>
        </w:trPr>
        <w:tc>
          <w:tcPr>
            <w:tcW w:w="1790" w:type="pct"/>
            <w:noWrap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2027">
              <w:rPr>
                <w:rFonts w:ascii="Arial" w:hAnsi="Arial" w:cs="Arial"/>
                <w:lang w:val="en-GB"/>
              </w:rPr>
              <w:lastRenderedPageBreak/>
              <w:t>7. Is the literature review recent?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1262"/>
        </w:trPr>
        <w:tc>
          <w:tcPr>
            <w:tcW w:w="1790" w:type="pct"/>
            <w:noWrap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202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Excellent 4 = Good 3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1262"/>
        </w:trPr>
        <w:tc>
          <w:tcPr>
            <w:tcW w:w="1790" w:type="pct"/>
            <w:noWrap/>
          </w:tcPr>
          <w:p w:rsidR="00A57405" w:rsidRPr="00BC2027" w:rsidRDefault="002A18A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C202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703"/>
        </w:trPr>
        <w:tc>
          <w:tcPr>
            <w:tcW w:w="1790" w:type="pct"/>
            <w:noWrap/>
          </w:tcPr>
          <w:p w:rsidR="00A57405" w:rsidRPr="00BC2027" w:rsidRDefault="002A18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C202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C202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703"/>
        </w:trPr>
        <w:tc>
          <w:tcPr>
            <w:tcW w:w="1790" w:type="pct"/>
            <w:noWrap/>
          </w:tcPr>
          <w:p w:rsidR="00A57405" w:rsidRPr="00BC2027" w:rsidRDefault="002A18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</w:t>
            </w: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703"/>
        </w:trPr>
        <w:tc>
          <w:tcPr>
            <w:tcW w:w="1790" w:type="pct"/>
            <w:noWrap/>
          </w:tcPr>
          <w:p w:rsidR="00A57405" w:rsidRPr="00BC2027" w:rsidRDefault="002A18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703"/>
        </w:trPr>
        <w:tc>
          <w:tcPr>
            <w:tcW w:w="1790" w:type="pct"/>
            <w:noWrap/>
          </w:tcPr>
          <w:p w:rsidR="00A57405" w:rsidRPr="00BC2027" w:rsidRDefault="002A18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C2027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</w:t>
            </w:r>
            <w:r w:rsidRPr="00BC2027">
              <w:rPr>
                <w:rFonts w:ascii="Arial" w:hAnsi="Arial" w:cs="Arial"/>
                <w:sz w:val="20"/>
                <w:szCs w:val="20"/>
                <w:lang w:val="en-GB"/>
              </w:rPr>
              <w:t>references (i.e. from peer reviewed authentic sources)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7405" w:rsidRPr="00BC2027">
        <w:trPr>
          <w:trHeight w:val="703"/>
        </w:trPr>
        <w:tc>
          <w:tcPr>
            <w:tcW w:w="1790" w:type="pct"/>
            <w:noWrap/>
          </w:tcPr>
          <w:p w:rsidR="00A57405" w:rsidRPr="00BC2027" w:rsidRDefault="002A18A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7405" w:rsidRPr="00BC2027" w:rsidRDefault="002A18A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7405" w:rsidRPr="00BC2027" w:rsidRDefault="002A18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0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57405" w:rsidRPr="00BC2027" w:rsidRDefault="00A574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57405" w:rsidRPr="00BC2027" w:rsidRDefault="00A5740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7405" w:rsidRPr="00BC2027" w:rsidRDefault="00A574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D4571" w:rsidRPr="00CD4571" w:rsidTr="00AE539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71" w:rsidRPr="00CD4571" w:rsidRDefault="00CD4571" w:rsidP="00CD457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D457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D457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D4571" w:rsidRPr="00CD4571" w:rsidRDefault="00CD4571" w:rsidP="00CD457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D4571" w:rsidRPr="00CD4571" w:rsidTr="00AE539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71" w:rsidRPr="00CD4571" w:rsidRDefault="00CD4571" w:rsidP="00CD457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571" w:rsidRPr="00CD4571" w:rsidRDefault="00CD4571" w:rsidP="00CD45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457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D4571" w:rsidRPr="00CD4571" w:rsidRDefault="00CD4571" w:rsidP="00CD457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45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45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D4571" w:rsidRPr="00CD4571" w:rsidRDefault="00CD4571" w:rsidP="00CD45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4571" w:rsidRPr="00CD4571" w:rsidTr="00AE539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71" w:rsidRPr="00CD4571" w:rsidRDefault="00CD4571" w:rsidP="00CD457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D457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D4571" w:rsidRPr="00CD4571" w:rsidRDefault="00CD4571" w:rsidP="00CD457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71" w:rsidRPr="00CD4571" w:rsidRDefault="00CD4571" w:rsidP="00CD457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457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CD4571" w:rsidRPr="00CD4571" w:rsidRDefault="00CD4571" w:rsidP="00CD457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D4571" w:rsidRPr="00CD4571" w:rsidRDefault="00CD4571" w:rsidP="00CD457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D4571" w:rsidRPr="00CD4571" w:rsidRDefault="00CD4571" w:rsidP="00CD457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D4571" w:rsidRPr="00CD4571" w:rsidRDefault="00CD4571" w:rsidP="00CD457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BC2027" w:rsidRDefault="00BC20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D4571" w:rsidRPr="00BC2027" w:rsidRDefault="00CD45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2027" w:rsidRPr="00BC2027" w:rsidRDefault="00BC20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BC2027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BC2027" w:rsidRPr="00BC2027" w:rsidRDefault="00BC20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2027" w:rsidRPr="00BC2027" w:rsidRDefault="00BC2027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BC2027">
        <w:rPr>
          <w:rFonts w:ascii="Arial" w:hAnsi="Arial" w:cs="Arial"/>
          <w:b/>
          <w:bCs/>
          <w:sz w:val="20"/>
          <w:szCs w:val="20"/>
          <w:lang w:val="en-GB"/>
        </w:rPr>
        <w:t>Shubham Saini, CCS Haryana Agricultural University, India</w:t>
      </w:r>
      <w:bookmarkStart w:id="2" w:name="_GoBack"/>
      <w:bookmarkEnd w:id="2"/>
    </w:p>
    <w:sectPr w:rsidR="00BC2027" w:rsidRPr="00BC2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AD" w:rsidRDefault="002A18AD">
      <w:r>
        <w:separator/>
      </w:r>
    </w:p>
  </w:endnote>
  <w:endnote w:type="continuationSeparator" w:id="0">
    <w:p w:rsidR="002A18AD" w:rsidRDefault="002A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05" w:rsidRDefault="00A57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05" w:rsidRDefault="002A18A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D457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D457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A57405" w:rsidRDefault="00A57405">
    <w:pPr>
      <w:pStyle w:val="Footer"/>
      <w:jc w:val="right"/>
    </w:pPr>
  </w:p>
  <w:p w:rsidR="00A57405" w:rsidRDefault="00A5740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05" w:rsidRDefault="00A57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AD" w:rsidRDefault="002A18AD">
      <w:r>
        <w:separator/>
      </w:r>
    </w:p>
  </w:footnote>
  <w:footnote w:type="continuationSeparator" w:id="0">
    <w:p w:rsidR="002A18AD" w:rsidRDefault="002A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05" w:rsidRDefault="00A57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05" w:rsidRDefault="00A574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7405" w:rsidRDefault="002A18AD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05" w:rsidRDefault="00A57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F5CDB"/>
    <w:multiLevelType w:val="hybridMultilevel"/>
    <w:tmpl w:val="FC9E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405"/>
    <w:rsid w:val="002A18AD"/>
    <w:rsid w:val="00A57405"/>
    <w:rsid w:val="00BC2027"/>
    <w:rsid w:val="00C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AA9A5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9</cp:revision>
  <dcterms:created xsi:type="dcterms:W3CDTF">2026-03-19T07:30:00Z</dcterms:created>
  <dcterms:modified xsi:type="dcterms:W3CDTF">2026-03-28T04:38:00Z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