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4F1A8" w14:textId="77777777" w:rsidR="004A19DA" w:rsidRPr="003E18BB" w:rsidRDefault="004A19DA" w:rsidP="004A19DA">
      <w:pPr>
        <w:jc w:val="center"/>
        <w:rPr>
          <w:rFonts w:ascii="Arial" w:hAnsi="Arial" w:cs="Arial"/>
          <w:b/>
          <w:bCs/>
          <w:szCs w:val="24"/>
        </w:rPr>
      </w:pPr>
      <w:r w:rsidRPr="003E18BB">
        <w:rPr>
          <w:rFonts w:ascii="Arial" w:hAnsi="Arial" w:cs="Arial"/>
          <w:b/>
          <w:bCs/>
          <w:szCs w:val="24"/>
        </w:rPr>
        <w:t xml:space="preserve">Phytochemical Profiling and Acute Oral Toxicity Assessment of Hydro-Ethanolic Extract of Whole-Plant of </w:t>
      </w:r>
      <w:r w:rsidRPr="003E18BB">
        <w:rPr>
          <w:rFonts w:ascii="Arial" w:hAnsi="Arial" w:cs="Arial"/>
          <w:b/>
          <w:bCs/>
          <w:i/>
          <w:iCs/>
          <w:szCs w:val="24"/>
        </w:rPr>
        <w:t>Artemisia annua</w:t>
      </w:r>
      <w:r w:rsidRPr="003E18BB">
        <w:rPr>
          <w:rFonts w:ascii="Arial" w:hAnsi="Arial" w:cs="Arial"/>
          <w:b/>
          <w:bCs/>
          <w:szCs w:val="24"/>
        </w:rPr>
        <w:t xml:space="preserve"> in Wistar albino rat</w:t>
      </w:r>
    </w:p>
    <w:p w14:paraId="6724661D" w14:textId="0DE59A31" w:rsidR="00897D72" w:rsidRDefault="00897D72">
      <w:pPr>
        <w:rPr>
          <w:rFonts w:ascii="Arial" w:hAnsi="Arial" w:cs="Arial"/>
          <w:szCs w:val="24"/>
        </w:rPr>
      </w:pPr>
    </w:p>
    <w:p w14:paraId="3C590226" w14:textId="77777777" w:rsidR="000D5ACD" w:rsidRPr="003E18BB" w:rsidRDefault="000D5ACD">
      <w:pPr>
        <w:rPr>
          <w:rFonts w:ascii="Arial" w:hAnsi="Arial" w:cs="Arial"/>
          <w:szCs w:val="24"/>
        </w:rPr>
      </w:pPr>
    </w:p>
    <w:p w14:paraId="7298D230" w14:textId="03445247" w:rsidR="000F6013" w:rsidRPr="003E18BB" w:rsidRDefault="00E5258F" w:rsidP="00E5258F">
      <w:pPr>
        <w:rPr>
          <w:rFonts w:ascii="Arial" w:hAnsi="Arial" w:cs="Arial"/>
          <w:b/>
          <w:bCs/>
          <w:sz w:val="22"/>
        </w:rPr>
      </w:pPr>
      <w:r w:rsidRPr="003E18BB">
        <w:rPr>
          <w:rFonts w:ascii="Arial" w:hAnsi="Arial" w:cs="Arial"/>
          <w:b/>
          <w:bCs/>
          <w:sz w:val="22"/>
        </w:rPr>
        <w:t>ABSTRACT</w:t>
      </w:r>
    </w:p>
    <w:p w14:paraId="2BF17567" w14:textId="77777777" w:rsidR="00B15C2E" w:rsidRPr="003E18BB" w:rsidRDefault="00B15C2E" w:rsidP="009100A8">
      <w:pPr>
        <w:spacing w:after="0" w:line="360" w:lineRule="auto"/>
        <w:jc w:val="both"/>
        <w:rPr>
          <w:rFonts w:ascii="Arial" w:hAnsi="Arial" w:cs="Arial"/>
          <w:sz w:val="20"/>
          <w:szCs w:val="20"/>
        </w:rPr>
      </w:pPr>
      <w:r w:rsidRPr="003E18BB">
        <w:rPr>
          <w:rFonts w:ascii="Arial" w:hAnsi="Arial" w:cs="Arial"/>
          <w:b/>
          <w:bCs/>
          <w:sz w:val="20"/>
          <w:szCs w:val="20"/>
        </w:rPr>
        <w:t>Aims</w:t>
      </w:r>
      <w:r w:rsidRPr="003E18BB">
        <w:rPr>
          <w:rFonts w:ascii="Arial" w:hAnsi="Arial" w:cs="Arial"/>
          <w:sz w:val="20"/>
          <w:szCs w:val="20"/>
        </w:rPr>
        <w:t xml:space="preserve">: </w:t>
      </w:r>
      <w:r w:rsidR="00D2427A" w:rsidRPr="003E18BB">
        <w:rPr>
          <w:rFonts w:ascii="Arial" w:hAnsi="Arial" w:cs="Arial"/>
          <w:i/>
          <w:iCs/>
          <w:sz w:val="20"/>
          <w:szCs w:val="20"/>
        </w:rPr>
        <w:t>Artemisia annua</w:t>
      </w:r>
      <w:r w:rsidR="00D2427A" w:rsidRPr="003E18BB">
        <w:rPr>
          <w:rFonts w:ascii="Arial" w:hAnsi="Arial" w:cs="Arial"/>
          <w:sz w:val="20"/>
          <w:szCs w:val="20"/>
        </w:rPr>
        <w:t xml:space="preserve"> (family Asteraceae) is widely recognized for its rich phytochemical profile and strong antiparasitic properties. The plant contains several pharmacologically active compounds, the most prominent being artemisinin, a hydrophobic sesquiterpene lactone responsible for its potent antiparasitic effects. </w:t>
      </w:r>
    </w:p>
    <w:p w14:paraId="60B12FB2" w14:textId="77777777" w:rsidR="009100A8" w:rsidRPr="003E18BB" w:rsidRDefault="00B15C2E" w:rsidP="00B15C2E">
      <w:pPr>
        <w:spacing w:after="0" w:line="360" w:lineRule="auto"/>
        <w:jc w:val="both"/>
        <w:rPr>
          <w:rFonts w:ascii="Arial" w:hAnsi="Arial" w:cs="Arial"/>
          <w:sz w:val="20"/>
          <w:szCs w:val="20"/>
        </w:rPr>
      </w:pPr>
      <w:r w:rsidRPr="003E18BB">
        <w:rPr>
          <w:rFonts w:ascii="Arial" w:hAnsi="Arial" w:cs="Arial"/>
          <w:b/>
          <w:bCs/>
          <w:sz w:val="20"/>
          <w:szCs w:val="20"/>
        </w:rPr>
        <w:t>Methodology</w:t>
      </w:r>
      <w:r w:rsidRPr="003E18BB">
        <w:rPr>
          <w:rFonts w:ascii="Arial" w:hAnsi="Arial" w:cs="Arial"/>
          <w:sz w:val="20"/>
          <w:szCs w:val="20"/>
        </w:rPr>
        <w:t xml:space="preserve">:  </w:t>
      </w:r>
      <w:r w:rsidR="00D2427A" w:rsidRPr="003E18BB">
        <w:rPr>
          <w:rFonts w:ascii="Arial" w:hAnsi="Arial" w:cs="Arial"/>
          <w:sz w:val="20"/>
          <w:szCs w:val="20"/>
        </w:rPr>
        <w:t xml:space="preserve">In the present study, whole-plant material of </w:t>
      </w:r>
      <w:r w:rsidR="00D2427A" w:rsidRPr="003E18BB">
        <w:rPr>
          <w:rFonts w:ascii="Arial" w:hAnsi="Arial" w:cs="Arial"/>
          <w:i/>
          <w:iCs/>
          <w:sz w:val="20"/>
          <w:szCs w:val="20"/>
        </w:rPr>
        <w:t>A. annua</w:t>
      </w:r>
      <w:r w:rsidR="00D2427A" w:rsidRPr="003E18BB">
        <w:rPr>
          <w:rFonts w:ascii="Arial" w:hAnsi="Arial" w:cs="Arial"/>
          <w:sz w:val="20"/>
          <w:szCs w:val="20"/>
        </w:rPr>
        <w:t xml:space="preserve"> was procured from a local Ayurvedic medicine shop, authenticated, and processed into fine powder using a pulverizer. The powder was subjected to cold hydro-ethanolic maceration, and the resulting extract was evaporated at room temperature and stored in airtight vials for subsequent analyses. </w:t>
      </w:r>
    </w:p>
    <w:p w14:paraId="3A05359E" w14:textId="521A941E" w:rsidR="00B15C2E" w:rsidRPr="003E18BB" w:rsidRDefault="00B15C2E" w:rsidP="00B15C2E">
      <w:pPr>
        <w:spacing w:after="0" w:line="360" w:lineRule="auto"/>
        <w:jc w:val="both"/>
        <w:rPr>
          <w:rFonts w:ascii="Arial" w:hAnsi="Arial" w:cs="Arial"/>
          <w:sz w:val="20"/>
          <w:szCs w:val="20"/>
        </w:rPr>
      </w:pPr>
      <w:r w:rsidRPr="003E18BB">
        <w:rPr>
          <w:rFonts w:ascii="Arial" w:hAnsi="Arial" w:cs="Arial"/>
          <w:b/>
          <w:bCs/>
          <w:sz w:val="20"/>
          <w:szCs w:val="20"/>
        </w:rPr>
        <w:t>Results</w:t>
      </w:r>
      <w:r w:rsidRPr="003E18BB">
        <w:rPr>
          <w:rFonts w:ascii="Arial" w:hAnsi="Arial" w:cs="Arial"/>
          <w:sz w:val="20"/>
          <w:szCs w:val="20"/>
        </w:rPr>
        <w:t xml:space="preserve">: </w:t>
      </w:r>
      <w:r w:rsidR="00D2427A" w:rsidRPr="003E18BB">
        <w:rPr>
          <w:rFonts w:ascii="Arial" w:hAnsi="Arial" w:cs="Arial"/>
          <w:sz w:val="20"/>
          <w:szCs w:val="20"/>
        </w:rPr>
        <w:t xml:space="preserve">Hydro-ethanolic extraction yielded 6.45% crude extractability, indicating efficient recovery of phytochemicals under the extraction conditions. The extract was greenish-brown, solid and sticky, bitter in taste, and pleasant in odour, consistent with known organoleptic characteristics of </w:t>
      </w:r>
      <w:r w:rsidR="00D2427A" w:rsidRPr="003E18BB">
        <w:rPr>
          <w:rFonts w:ascii="Arial" w:hAnsi="Arial" w:cs="Arial"/>
          <w:i/>
          <w:iCs/>
          <w:sz w:val="20"/>
          <w:szCs w:val="20"/>
        </w:rPr>
        <w:t>A. annua</w:t>
      </w:r>
      <w:r w:rsidR="00D2427A" w:rsidRPr="003E18BB">
        <w:rPr>
          <w:rFonts w:ascii="Arial" w:hAnsi="Arial" w:cs="Arial"/>
          <w:sz w:val="20"/>
          <w:szCs w:val="20"/>
        </w:rPr>
        <w:t xml:space="preserve"> extracts. Qualitative phytochemical screening of extracts prepared in twelve different solvents revealed the presence of alkaloids, flavonoids, saponins, tannins, sterols, sesquiterpene lactones, reducing sugars, glycosides, and phenolics, reflecting a broad spectrum of bioactive constituents. These compounds, particularly sesquiterpene lactones, contribute to the plant’s documented antiparasitic activity against </w:t>
      </w:r>
      <w:r w:rsidR="00D2427A" w:rsidRPr="003E18BB">
        <w:rPr>
          <w:rFonts w:ascii="Arial" w:hAnsi="Arial" w:cs="Arial"/>
          <w:i/>
          <w:iCs/>
          <w:sz w:val="20"/>
          <w:szCs w:val="20"/>
        </w:rPr>
        <w:t>Theileria</w:t>
      </w:r>
      <w:r w:rsidR="00D2427A" w:rsidRPr="003E18BB">
        <w:rPr>
          <w:rFonts w:ascii="Arial" w:hAnsi="Arial" w:cs="Arial"/>
          <w:sz w:val="20"/>
          <w:szCs w:val="20"/>
        </w:rPr>
        <w:t xml:space="preserve">, </w:t>
      </w:r>
      <w:r w:rsidR="00D2427A" w:rsidRPr="003E18BB">
        <w:rPr>
          <w:rFonts w:ascii="Arial" w:hAnsi="Arial" w:cs="Arial"/>
          <w:i/>
          <w:iCs/>
          <w:sz w:val="20"/>
          <w:szCs w:val="20"/>
        </w:rPr>
        <w:t>Babesia</w:t>
      </w:r>
      <w:r w:rsidR="00D2427A" w:rsidRPr="003E18BB">
        <w:rPr>
          <w:rFonts w:ascii="Arial" w:hAnsi="Arial" w:cs="Arial"/>
          <w:sz w:val="20"/>
          <w:szCs w:val="20"/>
        </w:rPr>
        <w:t xml:space="preserve">, </w:t>
      </w:r>
      <w:r w:rsidR="00D2427A" w:rsidRPr="003E18BB">
        <w:rPr>
          <w:rFonts w:ascii="Arial" w:hAnsi="Arial" w:cs="Arial"/>
          <w:i/>
          <w:iCs/>
          <w:sz w:val="20"/>
          <w:szCs w:val="20"/>
        </w:rPr>
        <w:t>Trypanosoma</w:t>
      </w:r>
      <w:r w:rsidR="00D2427A" w:rsidRPr="003E18BB">
        <w:rPr>
          <w:rFonts w:ascii="Arial" w:hAnsi="Arial" w:cs="Arial"/>
          <w:sz w:val="20"/>
          <w:szCs w:val="20"/>
        </w:rPr>
        <w:t xml:space="preserve">, </w:t>
      </w:r>
      <w:r w:rsidR="00D2427A" w:rsidRPr="003E18BB">
        <w:rPr>
          <w:rFonts w:ascii="Arial" w:hAnsi="Arial" w:cs="Arial"/>
          <w:i/>
          <w:iCs/>
          <w:sz w:val="20"/>
          <w:szCs w:val="20"/>
        </w:rPr>
        <w:t>Eimeria</w:t>
      </w:r>
      <w:r w:rsidR="00D2427A" w:rsidRPr="003E18BB">
        <w:rPr>
          <w:rFonts w:ascii="Arial" w:hAnsi="Arial" w:cs="Arial"/>
          <w:sz w:val="20"/>
          <w:szCs w:val="20"/>
        </w:rPr>
        <w:t xml:space="preserve">, and gastrointestinal nematodes, highlighting its importance in veterinary parasitology. Acute oral toxicity of the hydro-ethanolic extract was assessed in Wistar </w:t>
      </w:r>
      <w:r w:rsidR="00B57445" w:rsidRPr="003E18BB">
        <w:rPr>
          <w:rFonts w:ascii="Arial" w:hAnsi="Arial" w:cs="Arial"/>
          <w:sz w:val="20"/>
          <w:szCs w:val="20"/>
        </w:rPr>
        <w:t xml:space="preserve">albino </w:t>
      </w:r>
      <w:r w:rsidR="00D2427A" w:rsidRPr="003E18BB">
        <w:rPr>
          <w:rFonts w:ascii="Arial" w:hAnsi="Arial" w:cs="Arial"/>
          <w:sz w:val="20"/>
          <w:szCs w:val="20"/>
        </w:rPr>
        <w:t xml:space="preserve">rats following OECD guideline 420. Animals received 300, 2000, and 5000 mg/kg body weight and were observed for 14 days. No mortality, behavioural abnormalities, or clinical signs of toxicity were observed at any dose. </w:t>
      </w:r>
    </w:p>
    <w:p w14:paraId="03B2F27A" w14:textId="3AB7B4F7" w:rsidR="00D2427A" w:rsidRPr="003E18BB" w:rsidRDefault="00B15C2E" w:rsidP="00B15C2E">
      <w:pPr>
        <w:spacing w:line="360" w:lineRule="auto"/>
        <w:jc w:val="both"/>
        <w:rPr>
          <w:rFonts w:ascii="Arial" w:hAnsi="Arial" w:cs="Arial"/>
          <w:sz w:val="20"/>
          <w:szCs w:val="20"/>
        </w:rPr>
      </w:pPr>
      <w:r w:rsidRPr="003E18BB">
        <w:rPr>
          <w:rFonts w:ascii="Arial" w:hAnsi="Arial" w:cs="Arial"/>
          <w:b/>
          <w:bCs/>
          <w:sz w:val="20"/>
          <w:szCs w:val="20"/>
        </w:rPr>
        <w:t>Conclusion</w:t>
      </w:r>
      <w:r w:rsidRPr="003E18BB">
        <w:rPr>
          <w:rFonts w:ascii="Arial" w:hAnsi="Arial" w:cs="Arial"/>
          <w:sz w:val="20"/>
          <w:szCs w:val="20"/>
        </w:rPr>
        <w:t xml:space="preserve">: </w:t>
      </w:r>
      <w:r w:rsidR="00D2427A" w:rsidRPr="003E18BB">
        <w:rPr>
          <w:rFonts w:ascii="Arial" w:hAnsi="Arial" w:cs="Arial"/>
          <w:sz w:val="20"/>
          <w:szCs w:val="20"/>
        </w:rPr>
        <w:t xml:space="preserve">These findings demonstrate that the hydro-ethanolic extract of </w:t>
      </w:r>
      <w:r w:rsidR="00D2427A" w:rsidRPr="003E18BB">
        <w:rPr>
          <w:rFonts w:ascii="Arial" w:hAnsi="Arial" w:cs="Arial"/>
          <w:i/>
          <w:iCs/>
          <w:sz w:val="20"/>
          <w:szCs w:val="20"/>
        </w:rPr>
        <w:t>A. annua</w:t>
      </w:r>
      <w:r w:rsidR="00D2427A" w:rsidRPr="003E18BB">
        <w:rPr>
          <w:rFonts w:ascii="Arial" w:hAnsi="Arial" w:cs="Arial"/>
          <w:sz w:val="20"/>
          <w:szCs w:val="20"/>
        </w:rPr>
        <w:t xml:space="preserve"> is non-toxic and </w:t>
      </w:r>
      <w:commentRangeStart w:id="0"/>
      <w:r w:rsidR="00D2427A" w:rsidRPr="003E18BB">
        <w:rPr>
          <w:rFonts w:ascii="Arial" w:hAnsi="Arial" w:cs="Arial"/>
          <w:sz w:val="20"/>
          <w:szCs w:val="20"/>
        </w:rPr>
        <w:t>well tolerated</w:t>
      </w:r>
      <w:commentRangeEnd w:id="0"/>
      <w:r w:rsidR="00E2677C">
        <w:rPr>
          <w:rStyle w:val="CommentReference"/>
        </w:rPr>
        <w:commentReference w:id="0"/>
      </w:r>
      <w:r w:rsidR="00D2427A" w:rsidRPr="003E18BB">
        <w:rPr>
          <w:rFonts w:ascii="Arial" w:hAnsi="Arial" w:cs="Arial"/>
          <w:sz w:val="20"/>
          <w:szCs w:val="20"/>
        </w:rPr>
        <w:t>, supporting its safe use and potential as a natural antiparasitic agent in veterinary medicine.</w:t>
      </w:r>
    </w:p>
    <w:p w14:paraId="030CD34B" w14:textId="609F12A3" w:rsidR="00D2427A" w:rsidRPr="003E18BB" w:rsidRDefault="00D2427A" w:rsidP="006E516F">
      <w:pPr>
        <w:pBdr>
          <w:bottom w:val="single" w:sz="4" w:space="1" w:color="auto"/>
        </w:pBdr>
        <w:rPr>
          <w:rFonts w:ascii="Arial" w:hAnsi="Arial" w:cs="Arial"/>
          <w:sz w:val="20"/>
          <w:szCs w:val="20"/>
        </w:rPr>
      </w:pPr>
      <w:r w:rsidRPr="003E18BB">
        <w:rPr>
          <w:rFonts w:ascii="Arial" w:hAnsi="Arial" w:cs="Arial"/>
          <w:b/>
          <w:bCs/>
          <w:sz w:val="20"/>
          <w:szCs w:val="20"/>
        </w:rPr>
        <w:t>Keywords</w:t>
      </w:r>
      <w:r w:rsidRPr="003E18BB">
        <w:rPr>
          <w:rFonts w:ascii="Arial" w:hAnsi="Arial" w:cs="Arial"/>
          <w:sz w:val="20"/>
          <w:szCs w:val="20"/>
        </w:rPr>
        <w:t xml:space="preserve">: </w:t>
      </w:r>
      <w:r w:rsidRPr="003E18BB">
        <w:rPr>
          <w:rFonts w:ascii="Arial" w:hAnsi="Arial" w:cs="Arial"/>
          <w:i/>
          <w:iCs/>
          <w:sz w:val="20"/>
          <w:szCs w:val="20"/>
        </w:rPr>
        <w:t>Artemisia annua</w:t>
      </w:r>
      <w:r w:rsidRPr="003E18BB">
        <w:rPr>
          <w:rFonts w:ascii="Arial" w:hAnsi="Arial" w:cs="Arial"/>
          <w:sz w:val="20"/>
          <w:szCs w:val="20"/>
        </w:rPr>
        <w:t xml:space="preserve">, Artemisinin, Phytochemical analysis, Wistar </w:t>
      </w:r>
      <w:r w:rsidR="00D944D5" w:rsidRPr="003E18BB">
        <w:rPr>
          <w:rFonts w:ascii="Arial" w:hAnsi="Arial" w:cs="Arial"/>
          <w:sz w:val="20"/>
          <w:szCs w:val="20"/>
        </w:rPr>
        <w:t>r</w:t>
      </w:r>
      <w:r w:rsidRPr="003E18BB">
        <w:rPr>
          <w:rFonts w:ascii="Arial" w:hAnsi="Arial" w:cs="Arial"/>
          <w:sz w:val="20"/>
          <w:szCs w:val="20"/>
        </w:rPr>
        <w:t xml:space="preserve">at, Acute toxicity </w:t>
      </w:r>
    </w:p>
    <w:p w14:paraId="67D35424" w14:textId="51BED881" w:rsidR="00665696" w:rsidRPr="003E18BB" w:rsidRDefault="00D71C73" w:rsidP="00D2427A">
      <w:pPr>
        <w:rPr>
          <w:rFonts w:ascii="Arial" w:hAnsi="Arial" w:cs="Arial"/>
          <w:sz w:val="22"/>
        </w:rPr>
      </w:pPr>
      <w:r w:rsidRPr="003E18BB">
        <w:rPr>
          <w:rFonts w:ascii="Arial" w:hAnsi="Arial" w:cs="Arial"/>
          <w:b/>
          <w:bCs/>
          <w:sz w:val="22"/>
        </w:rPr>
        <w:t>1. INTRODUCTION</w:t>
      </w:r>
    </w:p>
    <w:p w14:paraId="53F8303E" w14:textId="5770B3A9" w:rsidR="009E7661" w:rsidRPr="003E18BB" w:rsidRDefault="009E7661" w:rsidP="00D71C73">
      <w:pPr>
        <w:spacing w:line="480" w:lineRule="auto"/>
        <w:ind w:firstLine="720"/>
        <w:jc w:val="both"/>
        <w:rPr>
          <w:rFonts w:ascii="Arial" w:hAnsi="Arial" w:cs="Arial"/>
          <w:sz w:val="20"/>
          <w:szCs w:val="20"/>
        </w:rPr>
      </w:pPr>
      <w:r w:rsidRPr="003E18BB">
        <w:rPr>
          <w:rStyle w:val="Emphasis"/>
          <w:rFonts w:ascii="Arial" w:hAnsi="Arial" w:cs="Arial"/>
          <w:sz w:val="20"/>
          <w:szCs w:val="20"/>
        </w:rPr>
        <w:t>Artemisia annua</w:t>
      </w:r>
      <w:r w:rsidRPr="003E18BB">
        <w:rPr>
          <w:rFonts w:ascii="Arial" w:hAnsi="Arial" w:cs="Arial"/>
          <w:sz w:val="20"/>
          <w:szCs w:val="20"/>
        </w:rPr>
        <w:t xml:space="preserve"> L. is a medicinal plant of major pharmacological importance, widely studied for its rich secondary metabolite profile. Recent investigations confirm that the plant contains sesquiterpene lactones (artemisinin and its precursors), flavonoids, phenolic acids, and volatile terpenoids that contribute to its antimalarial, antioxidant, anti-inflammatory, and antimicrobial activities (Swamikannu </w:t>
      </w:r>
      <w:r w:rsidR="00E41BF3" w:rsidRPr="003E18BB">
        <w:rPr>
          <w:rFonts w:ascii="Arial" w:hAnsi="Arial" w:cs="Arial"/>
          <w:i/>
          <w:iCs/>
          <w:sz w:val="20"/>
          <w:szCs w:val="20"/>
        </w:rPr>
        <w:t>et al</w:t>
      </w:r>
      <w:r w:rsidRPr="003E18BB">
        <w:rPr>
          <w:rFonts w:ascii="Arial" w:hAnsi="Arial" w:cs="Arial"/>
          <w:sz w:val="20"/>
          <w:szCs w:val="20"/>
        </w:rPr>
        <w:t xml:space="preserve">., 2025). Molecular studies have shown that transcription factors regulating glandular trichome development directly influence artemisinin biosynthesis, linking plant morphology with </w:t>
      </w:r>
      <w:r w:rsidRPr="003E18BB">
        <w:rPr>
          <w:rFonts w:ascii="Arial" w:hAnsi="Arial" w:cs="Arial"/>
          <w:sz w:val="20"/>
          <w:szCs w:val="20"/>
        </w:rPr>
        <w:lastRenderedPageBreak/>
        <w:t xml:space="preserve">metabolite production (Yuan </w:t>
      </w:r>
      <w:r w:rsidR="00E41BF3" w:rsidRPr="003E18BB">
        <w:rPr>
          <w:rFonts w:ascii="Arial" w:hAnsi="Arial" w:cs="Arial"/>
          <w:i/>
          <w:iCs/>
          <w:sz w:val="20"/>
          <w:szCs w:val="20"/>
        </w:rPr>
        <w:t>et al</w:t>
      </w:r>
      <w:r w:rsidRPr="003E18BB">
        <w:rPr>
          <w:rFonts w:ascii="Arial" w:hAnsi="Arial" w:cs="Arial"/>
          <w:sz w:val="20"/>
          <w:szCs w:val="20"/>
        </w:rPr>
        <w:t>., 2025). Furthermore, a doctoral thesis demonstrated that environmental factors and chemotype variation significantly affect artemisinin yield, emphasizing the importance of optimized cultivation strategies (Kam, 2020).</w:t>
      </w:r>
    </w:p>
    <w:p w14:paraId="5DB59BA5" w14:textId="4975D095" w:rsidR="00FC4553" w:rsidRPr="003E18BB" w:rsidRDefault="00280514" w:rsidP="00D71C73">
      <w:pPr>
        <w:spacing w:line="480" w:lineRule="auto"/>
        <w:ind w:firstLine="720"/>
        <w:jc w:val="both"/>
        <w:rPr>
          <w:rFonts w:ascii="Arial" w:hAnsi="Arial" w:cs="Arial"/>
          <w:sz w:val="20"/>
          <w:szCs w:val="20"/>
        </w:rPr>
      </w:pPr>
      <w:r w:rsidRPr="003E18BB">
        <w:rPr>
          <w:rFonts w:ascii="Arial" w:hAnsi="Arial" w:cs="Arial"/>
          <w:sz w:val="20"/>
          <w:szCs w:val="20"/>
        </w:rPr>
        <w:t xml:space="preserve">Recent phytochemical profiling studies of </w:t>
      </w:r>
      <w:r w:rsidRPr="003E18BB">
        <w:rPr>
          <w:rStyle w:val="Emphasis"/>
          <w:rFonts w:ascii="Arial" w:hAnsi="Arial" w:cs="Arial"/>
          <w:sz w:val="20"/>
          <w:szCs w:val="20"/>
        </w:rPr>
        <w:t>Artemisia annua</w:t>
      </w:r>
      <w:r w:rsidRPr="003E18BB">
        <w:rPr>
          <w:rFonts w:ascii="Arial" w:hAnsi="Arial" w:cs="Arial"/>
          <w:sz w:val="20"/>
          <w:szCs w:val="20"/>
        </w:rPr>
        <w:t xml:space="preserve"> L. have expanded our understanding of its complex secondary metabolite composition beyond artemisinin alone. Comprehensive analyses using gas chromatography–mass spectrometry (GC-MS), high-performance liquid chromatography–high resolution mass spectrometry (HPLC-HRMS/MS), and near-infrared spectroscopy have identified a diverse array of metabolites</w:t>
      </w:r>
      <w:commentRangeStart w:id="1"/>
      <w:r w:rsidRPr="003E18BB">
        <w:rPr>
          <w:rFonts w:ascii="Arial" w:hAnsi="Arial" w:cs="Arial"/>
          <w:sz w:val="20"/>
          <w:szCs w:val="20"/>
        </w:rPr>
        <w:t xml:space="preserve"> including</w:t>
      </w:r>
      <w:commentRangeEnd w:id="1"/>
      <w:r w:rsidR="00223334">
        <w:rPr>
          <w:rStyle w:val="CommentReference"/>
        </w:rPr>
        <w:commentReference w:id="1"/>
      </w:r>
      <w:r w:rsidRPr="003E18BB">
        <w:rPr>
          <w:rFonts w:ascii="Arial" w:hAnsi="Arial" w:cs="Arial"/>
          <w:sz w:val="20"/>
          <w:szCs w:val="20"/>
        </w:rPr>
        <w:t xml:space="preserve"> monoterpenes, sesquiterpenes, flavonoids, phenolic acids, and coumarins in </w:t>
      </w:r>
      <w:r w:rsidRPr="003E18BB">
        <w:rPr>
          <w:rStyle w:val="Emphasis"/>
          <w:rFonts w:ascii="Arial" w:hAnsi="Arial" w:cs="Arial"/>
          <w:sz w:val="20"/>
          <w:szCs w:val="20"/>
        </w:rPr>
        <w:t>A. annua</w:t>
      </w:r>
      <w:r w:rsidRPr="003E18BB">
        <w:rPr>
          <w:rFonts w:ascii="Arial" w:hAnsi="Arial" w:cs="Arial"/>
          <w:sz w:val="20"/>
          <w:szCs w:val="20"/>
        </w:rPr>
        <w:t xml:space="preserve"> and related species (Abdallah </w:t>
      </w:r>
      <w:r w:rsidR="00E41BF3" w:rsidRPr="003E18BB">
        <w:rPr>
          <w:rFonts w:ascii="Arial" w:hAnsi="Arial" w:cs="Arial"/>
          <w:i/>
          <w:iCs/>
          <w:sz w:val="20"/>
          <w:szCs w:val="20"/>
        </w:rPr>
        <w:t>et al</w:t>
      </w:r>
      <w:r w:rsidRPr="003E18BB">
        <w:rPr>
          <w:rFonts w:ascii="Arial" w:hAnsi="Arial" w:cs="Arial"/>
          <w:sz w:val="20"/>
          <w:szCs w:val="20"/>
        </w:rPr>
        <w:t xml:space="preserve">., 2025; </w:t>
      </w:r>
      <w:r w:rsidR="00634F2F" w:rsidRPr="003E18BB">
        <w:rPr>
          <w:rFonts w:ascii="Arial" w:hAnsi="Arial" w:cs="Arial"/>
          <w:sz w:val="20"/>
          <w:szCs w:val="20"/>
        </w:rPr>
        <w:t xml:space="preserve">Trifan </w:t>
      </w:r>
      <w:r w:rsidR="00E41BF3" w:rsidRPr="003E18BB">
        <w:rPr>
          <w:rFonts w:ascii="Arial" w:hAnsi="Arial" w:cs="Arial"/>
          <w:i/>
          <w:iCs/>
          <w:sz w:val="20"/>
          <w:szCs w:val="20"/>
        </w:rPr>
        <w:t>et al</w:t>
      </w:r>
      <w:r w:rsidR="00634F2F" w:rsidRPr="003E18BB">
        <w:rPr>
          <w:rFonts w:ascii="Arial" w:hAnsi="Arial" w:cs="Arial"/>
          <w:sz w:val="20"/>
          <w:szCs w:val="20"/>
        </w:rPr>
        <w:t>.,</w:t>
      </w:r>
      <w:r w:rsidRPr="003E18BB">
        <w:rPr>
          <w:rFonts w:ascii="Arial" w:hAnsi="Arial" w:cs="Arial"/>
          <w:sz w:val="20"/>
          <w:szCs w:val="20"/>
        </w:rPr>
        <w:t xml:space="preserve"> 202</w:t>
      </w:r>
      <w:r w:rsidR="00634F2F" w:rsidRPr="003E18BB">
        <w:rPr>
          <w:rFonts w:ascii="Arial" w:hAnsi="Arial" w:cs="Arial"/>
          <w:sz w:val="20"/>
          <w:szCs w:val="20"/>
        </w:rPr>
        <w:t>2</w:t>
      </w:r>
      <w:r w:rsidR="007B3F6A" w:rsidRPr="003E18BB">
        <w:rPr>
          <w:rFonts w:ascii="Arial" w:hAnsi="Arial" w:cs="Arial"/>
          <w:sz w:val="20"/>
          <w:szCs w:val="20"/>
        </w:rPr>
        <w:t xml:space="preserve">; </w:t>
      </w:r>
      <w:r w:rsidR="007B3F6A" w:rsidRPr="003E18BB">
        <w:rPr>
          <w:rFonts w:ascii="Arial" w:hAnsi="Arial" w:cs="Arial"/>
          <w:color w:val="212121"/>
          <w:sz w:val="20"/>
          <w:szCs w:val="20"/>
          <w:shd w:val="clear" w:color="auto" w:fill="FFFFFF"/>
        </w:rPr>
        <w:t xml:space="preserve">Abate </w:t>
      </w:r>
      <w:r w:rsidR="00E41BF3" w:rsidRPr="003E18BB">
        <w:rPr>
          <w:rFonts w:ascii="Arial" w:hAnsi="Arial" w:cs="Arial"/>
          <w:i/>
          <w:iCs/>
          <w:color w:val="212121"/>
          <w:sz w:val="20"/>
          <w:szCs w:val="20"/>
          <w:shd w:val="clear" w:color="auto" w:fill="FFFFFF"/>
        </w:rPr>
        <w:t>et al</w:t>
      </w:r>
      <w:r w:rsidR="007B3F6A" w:rsidRPr="003E18BB">
        <w:rPr>
          <w:rFonts w:ascii="Arial" w:hAnsi="Arial" w:cs="Arial"/>
          <w:color w:val="212121"/>
          <w:sz w:val="20"/>
          <w:szCs w:val="20"/>
          <w:shd w:val="clear" w:color="auto" w:fill="FFFFFF"/>
        </w:rPr>
        <w:t>., 2021</w:t>
      </w:r>
      <w:r w:rsidRPr="003E18BB">
        <w:rPr>
          <w:rFonts w:ascii="Arial" w:hAnsi="Arial" w:cs="Arial"/>
          <w:sz w:val="20"/>
          <w:szCs w:val="20"/>
        </w:rPr>
        <w:t xml:space="preserve">). A recent comparative profiling study employing integrated GC-MS, HPTLC, and NIR spectroscopy detected over 48 volatile compounds in </w:t>
      </w:r>
      <w:r w:rsidRPr="003E18BB">
        <w:rPr>
          <w:rStyle w:val="Emphasis"/>
          <w:rFonts w:ascii="Arial" w:hAnsi="Arial" w:cs="Arial"/>
          <w:sz w:val="20"/>
          <w:szCs w:val="20"/>
        </w:rPr>
        <w:t>A. annua</w:t>
      </w:r>
      <w:r w:rsidRPr="003E18BB">
        <w:rPr>
          <w:rFonts w:ascii="Arial" w:hAnsi="Arial" w:cs="Arial"/>
          <w:sz w:val="20"/>
          <w:szCs w:val="20"/>
        </w:rPr>
        <w:t xml:space="preserve"> essential oils, along with chemical markers such as artemisinin, coumarins, phenolic acids, and flavonoids that facilitate species discrimination and quality control (Abdallah </w:t>
      </w:r>
      <w:r w:rsidR="00E41BF3" w:rsidRPr="003E18BB">
        <w:rPr>
          <w:rFonts w:ascii="Arial" w:hAnsi="Arial" w:cs="Arial"/>
          <w:i/>
          <w:iCs/>
          <w:sz w:val="20"/>
          <w:szCs w:val="20"/>
        </w:rPr>
        <w:t>et al</w:t>
      </w:r>
      <w:r w:rsidRPr="003E18BB">
        <w:rPr>
          <w:rFonts w:ascii="Arial" w:hAnsi="Arial" w:cs="Arial"/>
          <w:sz w:val="20"/>
          <w:szCs w:val="20"/>
        </w:rPr>
        <w:t xml:space="preserve">., 2025). </w:t>
      </w:r>
    </w:p>
    <w:p w14:paraId="37ED5B33" w14:textId="77CB1D2F" w:rsidR="00280514" w:rsidRPr="003E18BB" w:rsidRDefault="00280514" w:rsidP="00D71C73">
      <w:pPr>
        <w:spacing w:line="480" w:lineRule="auto"/>
        <w:ind w:firstLine="720"/>
        <w:jc w:val="both"/>
        <w:rPr>
          <w:rFonts w:ascii="Arial" w:hAnsi="Arial" w:cs="Arial"/>
          <w:sz w:val="20"/>
          <w:szCs w:val="20"/>
        </w:rPr>
      </w:pPr>
      <w:r w:rsidRPr="003E18BB">
        <w:rPr>
          <w:rFonts w:ascii="Arial" w:hAnsi="Arial" w:cs="Arial"/>
          <w:sz w:val="20"/>
          <w:szCs w:val="20"/>
        </w:rPr>
        <w:t xml:space="preserve">Multi-omics metabolic analysis using LC-MS and GC-MS has also uncovered extensive metabolite networks, revealing alterations in flavonoids, terpenoids, and other secondary metabolites related to developmental and genetic factors (Qin </w:t>
      </w:r>
      <w:r w:rsidR="00E41BF3" w:rsidRPr="003E18BB">
        <w:rPr>
          <w:rFonts w:ascii="Arial" w:hAnsi="Arial" w:cs="Arial"/>
          <w:i/>
          <w:iCs/>
          <w:sz w:val="20"/>
          <w:szCs w:val="20"/>
        </w:rPr>
        <w:t>et al</w:t>
      </w:r>
      <w:r w:rsidRPr="003E18BB">
        <w:rPr>
          <w:rFonts w:ascii="Arial" w:hAnsi="Arial" w:cs="Arial"/>
          <w:sz w:val="20"/>
          <w:szCs w:val="20"/>
        </w:rPr>
        <w:t xml:space="preserve">., 2024). Additionally, LC-HRMS/MS profiling across multiple </w:t>
      </w:r>
      <w:r w:rsidRPr="003E18BB">
        <w:rPr>
          <w:rStyle w:val="Emphasis"/>
          <w:rFonts w:ascii="Arial" w:hAnsi="Arial" w:cs="Arial"/>
          <w:sz w:val="20"/>
          <w:szCs w:val="20"/>
        </w:rPr>
        <w:t>Artemisia</w:t>
      </w:r>
      <w:r w:rsidRPr="003E18BB">
        <w:rPr>
          <w:rFonts w:ascii="Arial" w:hAnsi="Arial" w:cs="Arial"/>
          <w:sz w:val="20"/>
          <w:szCs w:val="20"/>
        </w:rPr>
        <w:t xml:space="preserve"> species documented 15 phenolic acids, 26 flavonoids, and 14 sesquiterpene lactones, highlighting the broad phytochemical diversity within the genus and the antioxidant and bioactive potential of </w:t>
      </w:r>
      <w:r w:rsidRPr="003E18BB">
        <w:rPr>
          <w:rStyle w:val="Emphasis"/>
          <w:rFonts w:ascii="Arial" w:hAnsi="Arial" w:cs="Arial"/>
          <w:sz w:val="20"/>
          <w:szCs w:val="20"/>
        </w:rPr>
        <w:t>A. annua</w:t>
      </w:r>
      <w:r w:rsidRPr="003E18BB">
        <w:rPr>
          <w:rFonts w:ascii="Arial" w:hAnsi="Arial" w:cs="Arial"/>
          <w:sz w:val="20"/>
          <w:szCs w:val="20"/>
        </w:rPr>
        <w:t xml:space="preserve"> extracts (</w:t>
      </w:r>
      <w:r w:rsidR="00634F2F" w:rsidRPr="003E18BB">
        <w:rPr>
          <w:rFonts w:ascii="Arial" w:hAnsi="Arial" w:cs="Arial"/>
          <w:sz w:val="20"/>
          <w:szCs w:val="20"/>
        </w:rPr>
        <w:t xml:space="preserve">Trifan </w:t>
      </w:r>
      <w:r w:rsidR="00E41BF3" w:rsidRPr="003E18BB">
        <w:rPr>
          <w:rFonts w:ascii="Arial" w:hAnsi="Arial" w:cs="Arial"/>
          <w:i/>
          <w:iCs/>
          <w:sz w:val="20"/>
          <w:szCs w:val="20"/>
        </w:rPr>
        <w:t>et al</w:t>
      </w:r>
      <w:r w:rsidR="00634F2F" w:rsidRPr="003E18BB">
        <w:rPr>
          <w:rFonts w:ascii="Arial" w:hAnsi="Arial" w:cs="Arial"/>
          <w:sz w:val="20"/>
          <w:szCs w:val="20"/>
        </w:rPr>
        <w:t>.,</w:t>
      </w:r>
      <w:r w:rsidRPr="003E18BB">
        <w:rPr>
          <w:rFonts w:ascii="Arial" w:hAnsi="Arial" w:cs="Arial"/>
          <w:sz w:val="20"/>
          <w:szCs w:val="20"/>
        </w:rPr>
        <w:t xml:space="preserve"> </w:t>
      </w:r>
      <w:r w:rsidR="00634F2F" w:rsidRPr="003E18BB">
        <w:rPr>
          <w:rFonts w:ascii="Arial" w:hAnsi="Arial" w:cs="Arial"/>
          <w:sz w:val="20"/>
          <w:szCs w:val="20"/>
        </w:rPr>
        <w:t>2022</w:t>
      </w:r>
      <w:r w:rsidRPr="003E18BB">
        <w:rPr>
          <w:rFonts w:ascii="Arial" w:hAnsi="Arial" w:cs="Arial"/>
          <w:sz w:val="20"/>
          <w:szCs w:val="20"/>
        </w:rPr>
        <w:t>). These contemporary profiling efforts are crucial for standardizing extracts, guiding metabolic engineering, and enabling novel bioactivity research.</w:t>
      </w:r>
    </w:p>
    <w:p w14:paraId="7BCF87A1" w14:textId="5DE9DA6B" w:rsidR="007B0F7F" w:rsidRPr="003E18BB" w:rsidRDefault="00E448EF" w:rsidP="00D71C73">
      <w:pPr>
        <w:spacing w:line="480" w:lineRule="auto"/>
        <w:ind w:firstLine="720"/>
        <w:jc w:val="both"/>
        <w:rPr>
          <w:rFonts w:ascii="Arial" w:hAnsi="Arial" w:cs="Arial"/>
          <w:sz w:val="20"/>
          <w:szCs w:val="20"/>
        </w:rPr>
      </w:pPr>
      <w:r w:rsidRPr="003E18BB">
        <w:rPr>
          <w:rFonts w:ascii="Arial" w:hAnsi="Arial" w:cs="Arial"/>
          <w:sz w:val="20"/>
          <w:szCs w:val="20"/>
        </w:rPr>
        <w:t>Acute oral toxicity assessment is a critical component of preclinical safety evaluation, determining the potential adverse effects and median lethal dose (LD</w:t>
      </w:r>
      <w:r w:rsidRPr="003E18BB">
        <w:rPr>
          <w:rFonts w:ascii="Cambria Math" w:hAnsi="Cambria Math" w:cs="Cambria Math"/>
          <w:sz w:val="20"/>
          <w:szCs w:val="20"/>
        </w:rPr>
        <w:t>₅₀</w:t>
      </w:r>
      <w:r w:rsidRPr="003E18BB">
        <w:rPr>
          <w:rFonts w:ascii="Arial" w:hAnsi="Arial" w:cs="Arial"/>
          <w:sz w:val="20"/>
          <w:szCs w:val="20"/>
        </w:rPr>
        <w:t xml:space="preserve">) of herbal extracts when administered orally. </w:t>
      </w:r>
      <w:r w:rsidR="008A2F02" w:rsidRPr="003E18BB">
        <w:rPr>
          <w:rFonts w:ascii="Arial" w:hAnsi="Arial" w:cs="Arial"/>
          <w:sz w:val="20"/>
          <w:szCs w:val="20"/>
        </w:rPr>
        <w:t xml:space="preserve">Studies conducted on </w:t>
      </w:r>
      <w:r w:rsidR="008A2F02" w:rsidRPr="003E18BB">
        <w:rPr>
          <w:rStyle w:val="Emphasis"/>
          <w:rFonts w:ascii="Arial" w:hAnsi="Arial" w:cs="Arial"/>
          <w:sz w:val="20"/>
          <w:szCs w:val="20"/>
        </w:rPr>
        <w:t>A. annua</w:t>
      </w:r>
      <w:r w:rsidR="008A2F02" w:rsidRPr="003E18BB">
        <w:rPr>
          <w:rFonts w:ascii="Arial" w:hAnsi="Arial" w:cs="Arial"/>
          <w:sz w:val="20"/>
          <w:szCs w:val="20"/>
        </w:rPr>
        <w:t xml:space="preserve"> L. following OECD acute toxicity guidelines have demonstrated a wide margin of safety. Hydroethanolic extracts administered orally to rodents at doses up to 2000–5000 mg/kg body weight produced no mortality or severe clinical signs, indicating that the extract can be classified as practically non-toxic (Lagarto, 2020). A doctoral thesis further confirmed the absence of acute toxic manifestations and significant body-weight changes following high oral doses, supporting the safe oral use of </w:t>
      </w:r>
      <w:r w:rsidR="008A2F02" w:rsidRPr="003E18BB">
        <w:rPr>
          <w:rStyle w:val="Emphasis"/>
          <w:rFonts w:ascii="Arial" w:hAnsi="Arial" w:cs="Arial"/>
          <w:sz w:val="20"/>
          <w:szCs w:val="20"/>
        </w:rPr>
        <w:t>A. annua</w:t>
      </w:r>
      <w:r w:rsidR="008A2F02" w:rsidRPr="003E18BB">
        <w:rPr>
          <w:rFonts w:ascii="Arial" w:hAnsi="Arial" w:cs="Arial"/>
          <w:sz w:val="20"/>
          <w:szCs w:val="20"/>
        </w:rPr>
        <w:t xml:space="preserve"> in experimental models (Kam, 2020).</w:t>
      </w:r>
    </w:p>
    <w:p w14:paraId="4F3C81E6" w14:textId="0418B69D" w:rsidR="007B0F7F" w:rsidRPr="003E18BB" w:rsidRDefault="00C22EEF" w:rsidP="00D71C73">
      <w:pPr>
        <w:spacing w:line="480" w:lineRule="auto"/>
        <w:ind w:firstLine="720"/>
        <w:jc w:val="both"/>
        <w:rPr>
          <w:rFonts w:ascii="Arial" w:hAnsi="Arial" w:cs="Arial"/>
          <w:sz w:val="20"/>
          <w:szCs w:val="20"/>
        </w:rPr>
      </w:pPr>
      <w:r w:rsidRPr="003E18BB">
        <w:rPr>
          <w:rFonts w:ascii="Arial" w:hAnsi="Arial" w:cs="Arial"/>
          <w:sz w:val="20"/>
          <w:szCs w:val="20"/>
        </w:rPr>
        <w:lastRenderedPageBreak/>
        <w:t>Hence</w:t>
      </w:r>
      <w:r w:rsidR="00BD76F6" w:rsidRPr="003E18BB">
        <w:rPr>
          <w:rFonts w:ascii="Arial" w:hAnsi="Arial" w:cs="Arial"/>
          <w:sz w:val="20"/>
          <w:szCs w:val="20"/>
        </w:rPr>
        <w:t>,</w:t>
      </w:r>
      <w:r w:rsidRPr="003E18BB">
        <w:rPr>
          <w:rFonts w:ascii="Arial" w:hAnsi="Arial" w:cs="Arial"/>
          <w:sz w:val="20"/>
          <w:szCs w:val="20"/>
        </w:rPr>
        <w:t xml:space="preserve"> considering the above </w:t>
      </w:r>
      <w:r w:rsidR="00BD76F6" w:rsidRPr="003E18BB">
        <w:rPr>
          <w:rFonts w:ascii="Arial" w:hAnsi="Arial" w:cs="Arial"/>
          <w:sz w:val="20"/>
          <w:szCs w:val="20"/>
        </w:rPr>
        <w:t>facts</w:t>
      </w:r>
      <w:r w:rsidRPr="003E18BB">
        <w:rPr>
          <w:rFonts w:ascii="Arial" w:hAnsi="Arial" w:cs="Arial"/>
          <w:sz w:val="20"/>
          <w:szCs w:val="20"/>
        </w:rPr>
        <w:t xml:space="preserve">, </w:t>
      </w:r>
      <w:r w:rsidR="00BD76F6" w:rsidRPr="003E18BB">
        <w:rPr>
          <w:rFonts w:ascii="Arial" w:hAnsi="Arial" w:cs="Arial"/>
          <w:sz w:val="20"/>
          <w:szCs w:val="20"/>
        </w:rPr>
        <w:t xml:space="preserve">the present research </w:t>
      </w:r>
      <w:r w:rsidR="00A40694" w:rsidRPr="003E18BB">
        <w:rPr>
          <w:rFonts w:ascii="Arial" w:hAnsi="Arial" w:cs="Arial"/>
          <w:sz w:val="20"/>
          <w:szCs w:val="20"/>
        </w:rPr>
        <w:t>study</w:t>
      </w:r>
      <w:r w:rsidR="00BD76F6" w:rsidRPr="003E18BB">
        <w:rPr>
          <w:rFonts w:ascii="Arial" w:hAnsi="Arial" w:cs="Arial"/>
          <w:sz w:val="20"/>
          <w:szCs w:val="20"/>
        </w:rPr>
        <w:t xml:space="preserve"> was conducted </w:t>
      </w:r>
      <w:r w:rsidR="007B0F7F" w:rsidRPr="003E18BB">
        <w:rPr>
          <w:rFonts w:ascii="Arial" w:hAnsi="Arial" w:cs="Arial"/>
          <w:sz w:val="20"/>
          <w:szCs w:val="20"/>
        </w:rPr>
        <w:t>to</w:t>
      </w:r>
      <w:r w:rsidR="007B0F7F" w:rsidRPr="003E18BB">
        <w:rPr>
          <w:rFonts w:ascii="Arial" w:hAnsi="Arial" w:cs="Arial"/>
          <w:sz w:val="20"/>
          <w:szCs w:val="20"/>
          <w:lang w:val="en-US"/>
        </w:rPr>
        <w:t xml:space="preserve"> study </w:t>
      </w:r>
      <w:r w:rsidR="009973AA" w:rsidRPr="003E18BB">
        <w:rPr>
          <w:rFonts w:ascii="Arial" w:hAnsi="Arial" w:cs="Arial"/>
          <w:sz w:val="20"/>
          <w:szCs w:val="20"/>
          <w:lang w:val="en-US"/>
        </w:rPr>
        <w:t xml:space="preserve">phyto-chemical analysis after extraction of </w:t>
      </w:r>
      <w:r w:rsidR="009973AA" w:rsidRPr="003E18BB">
        <w:rPr>
          <w:rFonts w:ascii="Arial" w:hAnsi="Arial" w:cs="Arial"/>
          <w:i/>
          <w:iCs/>
          <w:sz w:val="20"/>
          <w:szCs w:val="20"/>
          <w:lang w:val="en-US"/>
        </w:rPr>
        <w:t>Artemisia annua</w:t>
      </w:r>
      <w:r w:rsidR="009973AA" w:rsidRPr="003E18BB">
        <w:rPr>
          <w:rFonts w:ascii="Arial" w:hAnsi="Arial" w:cs="Arial"/>
          <w:sz w:val="20"/>
          <w:szCs w:val="20"/>
          <w:lang w:val="en-US"/>
        </w:rPr>
        <w:t xml:space="preserve"> </w:t>
      </w:r>
      <w:r w:rsidR="007B0F7F" w:rsidRPr="003E18BB">
        <w:rPr>
          <w:rFonts w:ascii="Arial" w:hAnsi="Arial" w:cs="Arial"/>
          <w:sz w:val="20"/>
          <w:szCs w:val="20"/>
          <w:lang w:val="en-US"/>
        </w:rPr>
        <w:t xml:space="preserve">and </w:t>
      </w:r>
      <w:r w:rsidR="009973AA" w:rsidRPr="003E18BB">
        <w:rPr>
          <w:rFonts w:ascii="Arial" w:hAnsi="Arial" w:cs="Arial"/>
          <w:sz w:val="20"/>
          <w:szCs w:val="20"/>
          <w:lang w:val="en-US"/>
        </w:rPr>
        <w:t xml:space="preserve">acute toxicity studies </w:t>
      </w:r>
      <w:r w:rsidR="007B0F7F" w:rsidRPr="003E18BB">
        <w:rPr>
          <w:rFonts w:ascii="Arial" w:hAnsi="Arial" w:cs="Arial"/>
          <w:sz w:val="20"/>
          <w:szCs w:val="20"/>
          <w:lang w:val="en-US"/>
        </w:rPr>
        <w:t xml:space="preserve">in </w:t>
      </w:r>
      <w:r w:rsidR="00500E4B" w:rsidRPr="003E18BB">
        <w:rPr>
          <w:rFonts w:ascii="Arial" w:hAnsi="Arial" w:cs="Arial"/>
          <w:sz w:val="20"/>
          <w:szCs w:val="20"/>
          <w:lang w:val="en-US"/>
        </w:rPr>
        <w:t>Wistar albino rats.</w:t>
      </w:r>
    </w:p>
    <w:p w14:paraId="03FBF5D4" w14:textId="7186401B" w:rsidR="006E516F" w:rsidRPr="003E18BB" w:rsidRDefault="00525209" w:rsidP="00D71C73">
      <w:pPr>
        <w:spacing w:line="480" w:lineRule="auto"/>
        <w:jc w:val="both"/>
        <w:rPr>
          <w:rFonts w:ascii="Arial" w:hAnsi="Arial" w:cs="Arial"/>
          <w:sz w:val="22"/>
        </w:rPr>
      </w:pPr>
      <w:r w:rsidRPr="003E18BB">
        <w:rPr>
          <w:rFonts w:ascii="Arial" w:hAnsi="Arial" w:cs="Arial"/>
          <w:b/>
          <w:bCs/>
          <w:sz w:val="22"/>
        </w:rPr>
        <w:t>2. MATERIALS &amp; METHODS</w:t>
      </w:r>
    </w:p>
    <w:p w14:paraId="3F1E6973" w14:textId="26722A36" w:rsidR="000D1276" w:rsidRPr="003E18BB" w:rsidRDefault="00A40694" w:rsidP="00D71C73">
      <w:pPr>
        <w:spacing w:after="200" w:line="480" w:lineRule="auto"/>
        <w:ind w:firstLine="851"/>
        <w:jc w:val="both"/>
        <w:rPr>
          <w:rFonts w:ascii="Arial" w:eastAsia="Calibri" w:hAnsi="Arial" w:cs="Arial"/>
          <w:kern w:val="0"/>
          <w:sz w:val="20"/>
          <w:szCs w:val="20"/>
          <w:lang w:val="en-US"/>
          <w14:ligatures w14:val="none"/>
        </w:rPr>
      </w:pPr>
      <w:r w:rsidRPr="003E18BB">
        <w:rPr>
          <w:rFonts w:ascii="Arial" w:eastAsia="Calibri" w:hAnsi="Arial" w:cs="Arial"/>
          <w:kern w:val="0"/>
          <w:sz w:val="20"/>
          <w:szCs w:val="20"/>
          <w:lang w:val="en-US"/>
          <w14:ligatures w14:val="none"/>
        </w:rPr>
        <w:t xml:space="preserve">The research work was carried out in the Department of Veterinary Clinical Medicine, Ethics and Jurisprudence and </w:t>
      </w:r>
      <w:commentRangeStart w:id="2"/>
      <w:r w:rsidRPr="003E18BB">
        <w:rPr>
          <w:rFonts w:ascii="Arial" w:eastAsia="Calibri" w:hAnsi="Arial" w:cs="Arial"/>
          <w:kern w:val="0"/>
          <w:sz w:val="20"/>
          <w:szCs w:val="20"/>
          <w:lang w:val="en-US"/>
          <w14:ligatures w14:val="none"/>
        </w:rPr>
        <w:t>Department</w:t>
      </w:r>
      <w:commentRangeEnd w:id="2"/>
      <w:r w:rsidR="008F3CDE">
        <w:rPr>
          <w:rStyle w:val="CommentReference"/>
        </w:rPr>
        <w:commentReference w:id="2"/>
      </w:r>
      <w:r w:rsidRPr="003E18BB">
        <w:rPr>
          <w:rFonts w:ascii="Arial" w:eastAsia="Calibri" w:hAnsi="Arial" w:cs="Arial"/>
          <w:kern w:val="0"/>
          <w:sz w:val="20"/>
          <w:szCs w:val="20"/>
          <w:lang w:val="en-US"/>
          <w14:ligatures w14:val="none"/>
        </w:rPr>
        <w:t xml:space="preserve"> of Veterinary Pharmacology and Toxicology of College of Veterinary and Animals Sciences, MAFSU, Parbhani. </w:t>
      </w:r>
      <w:r w:rsidR="001A5333" w:rsidRPr="003E18BB">
        <w:rPr>
          <w:rFonts w:ascii="Arial" w:eastAsia="Calibri" w:hAnsi="Arial" w:cs="Arial"/>
          <w:kern w:val="0"/>
          <w:sz w:val="20"/>
          <w:szCs w:val="20"/>
          <w:lang w:val="en-US"/>
          <w14:ligatures w14:val="none"/>
        </w:rPr>
        <w:t xml:space="preserve">The </w:t>
      </w:r>
      <w:r w:rsidR="000D1276" w:rsidRPr="003E18BB">
        <w:rPr>
          <w:rFonts w:ascii="Arial" w:eastAsia="Calibri" w:hAnsi="Arial" w:cs="Arial"/>
          <w:kern w:val="0"/>
          <w:sz w:val="20"/>
          <w:szCs w:val="20"/>
          <w:lang w:val="en-US"/>
          <w14:ligatures w14:val="none"/>
        </w:rPr>
        <w:t xml:space="preserve">acute toxicity studies </w:t>
      </w:r>
      <w:r w:rsidR="007E0474" w:rsidRPr="003E18BB">
        <w:rPr>
          <w:rFonts w:ascii="Arial" w:eastAsia="Calibri" w:hAnsi="Arial" w:cs="Arial"/>
          <w:kern w:val="0"/>
          <w:sz w:val="20"/>
          <w:szCs w:val="20"/>
          <w:lang w:val="en-US"/>
          <w14:ligatures w14:val="none"/>
        </w:rPr>
        <w:t>were</w:t>
      </w:r>
      <w:r w:rsidR="000D1276" w:rsidRPr="003E18BB">
        <w:rPr>
          <w:rFonts w:ascii="Arial" w:eastAsia="Calibri" w:hAnsi="Arial" w:cs="Arial"/>
          <w:kern w:val="0"/>
          <w:sz w:val="20"/>
          <w:szCs w:val="20"/>
          <w:lang w:val="en-US"/>
          <w14:ligatures w14:val="none"/>
        </w:rPr>
        <w:t xml:space="preserve"> </w:t>
      </w:r>
      <w:r w:rsidR="007E0474" w:rsidRPr="003E18BB">
        <w:rPr>
          <w:rFonts w:ascii="Arial" w:eastAsia="Calibri" w:hAnsi="Arial" w:cs="Arial"/>
          <w:kern w:val="0"/>
          <w:sz w:val="20"/>
          <w:szCs w:val="20"/>
          <w:lang w:val="en-US"/>
          <w14:ligatures w14:val="none"/>
        </w:rPr>
        <w:t xml:space="preserve">performed in </w:t>
      </w:r>
      <w:commentRangeStart w:id="3"/>
      <w:r w:rsidR="007E0474" w:rsidRPr="003E18BB">
        <w:rPr>
          <w:rFonts w:ascii="Arial" w:eastAsia="Calibri" w:hAnsi="Arial" w:cs="Arial"/>
          <w:kern w:val="0"/>
          <w:sz w:val="20"/>
          <w:szCs w:val="20"/>
          <w:lang w:val="en-US"/>
          <w14:ligatures w14:val="none"/>
        </w:rPr>
        <w:t xml:space="preserve">CPCSEA registered </w:t>
      </w:r>
      <w:commentRangeEnd w:id="3"/>
      <w:r w:rsidR="008F3CDE">
        <w:rPr>
          <w:rStyle w:val="CommentReference"/>
        </w:rPr>
        <w:commentReference w:id="3"/>
      </w:r>
      <w:r w:rsidR="007E0474" w:rsidRPr="003E18BB">
        <w:rPr>
          <w:rFonts w:ascii="Arial" w:eastAsia="Calibri" w:hAnsi="Arial" w:cs="Arial"/>
          <w:kern w:val="0"/>
          <w:sz w:val="20"/>
          <w:szCs w:val="20"/>
          <w:lang w:val="en-US"/>
          <w14:ligatures w14:val="none"/>
        </w:rPr>
        <w:t>animal house facility after approval of Institutional Animal Ethics Committee (IAEC) of COVAS, Parbhani.</w:t>
      </w:r>
    </w:p>
    <w:p w14:paraId="55EBE9E0" w14:textId="2078E630" w:rsidR="00A669FE" w:rsidRPr="003E18BB" w:rsidRDefault="00525209" w:rsidP="00D71C73">
      <w:pPr>
        <w:spacing w:after="200" w:line="480" w:lineRule="auto"/>
        <w:jc w:val="both"/>
        <w:rPr>
          <w:rFonts w:ascii="Arial" w:eastAsia="Calibri" w:hAnsi="Arial" w:cs="Arial"/>
          <w:kern w:val="0"/>
          <w:sz w:val="22"/>
          <w:lang w:val="en-US"/>
          <w14:ligatures w14:val="none"/>
        </w:rPr>
      </w:pPr>
      <w:r w:rsidRPr="003E18BB">
        <w:rPr>
          <w:rFonts w:ascii="Arial" w:eastAsia="Calibri" w:hAnsi="Arial" w:cs="Arial"/>
          <w:b/>
          <w:bCs/>
          <w:kern w:val="0"/>
          <w:sz w:val="22"/>
          <w:lang w:val="en-US"/>
          <w14:ligatures w14:val="none"/>
        </w:rPr>
        <w:t xml:space="preserve">2.1 </w:t>
      </w:r>
      <w:r w:rsidR="001F327F" w:rsidRPr="003E18BB">
        <w:rPr>
          <w:rFonts w:ascii="Arial" w:eastAsia="Calibri" w:hAnsi="Arial" w:cs="Arial"/>
          <w:b/>
          <w:bCs/>
          <w:kern w:val="0"/>
          <w:sz w:val="22"/>
          <w:lang w:val="en-US"/>
          <w14:ligatures w14:val="none"/>
        </w:rPr>
        <w:t xml:space="preserve">Extraction of </w:t>
      </w:r>
      <w:r w:rsidR="001F327F" w:rsidRPr="003E18BB">
        <w:rPr>
          <w:rFonts w:ascii="Arial" w:eastAsia="Calibri" w:hAnsi="Arial" w:cs="Arial"/>
          <w:b/>
          <w:bCs/>
          <w:i/>
          <w:iCs/>
          <w:kern w:val="0"/>
          <w:sz w:val="22"/>
          <w:lang w:val="en-US"/>
          <w14:ligatures w14:val="none"/>
        </w:rPr>
        <w:t>A</w:t>
      </w:r>
      <w:r w:rsidR="00D4434C" w:rsidRPr="003E18BB">
        <w:rPr>
          <w:rFonts w:ascii="Arial" w:eastAsia="Calibri" w:hAnsi="Arial" w:cs="Arial"/>
          <w:b/>
          <w:bCs/>
          <w:i/>
          <w:iCs/>
          <w:kern w:val="0"/>
          <w:sz w:val="22"/>
          <w:lang w:val="en-US"/>
          <w14:ligatures w14:val="none"/>
        </w:rPr>
        <w:t>.</w:t>
      </w:r>
      <w:r w:rsidR="001F327F" w:rsidRPr="003E18BB">
        <w:rPr>
          <w:rFonts w:ascii="Arial" w:eastAsia="Calibri" w:hAnsi="Arial" w:cs="Arial"/>
          <w:b/>
          <w:bCs/>
          <w:i/>
          <w:iCs/>
          <w:kern w:val="0"/>
          <w:sz w:val="22"/>
          <w:lang w:val="en-US"/>
          <w14:ligatures w14:val="none"/>
        </w:rPr>
        <w:t xml:space="preserve"> annua</w:t>
      </w:r>
    </w:p>
    <w:p w14:paraId="0728169B" w14:textId="0E0DA12F" w:rsidR="001F327F" w:rsidRPr="003E18BB" w:rsidRDefault="00922EDB" w:rsidP="00D71C73">
      <w:pPr>
        <w:spacing w:after="200" w:line="480" w:lineRule="auto"/>
        <w:ind w:firstLine="720"/>
        <w:jc w:val="both"/>
        <w:rPr>
          <w:rFonts w:ascii="Arial" w:eastAsia="Calibri" w:hAnsi="Arial" w:cs="Arial"/>
          <w:kern w:val="0"/>
          <w:sz w:val="20"/>
          <w:szCs w:val="20"/>
          <w:lang w:val="en-US"/>
          <w14:ligatures w14:val="none"/>
        </w:rPr>
      </w:pPr>
      <w:r w:rsidRPr="003E18BB">
        <w:rPr>
          <w:rStyle w:val="Emphasis"/>
          <w:rFonts w:ascii="Arial" w:hAnsi="Arial" w:cs="Arial"/>
          <w:sz w:val="20"/>
          <w:szCs w:val="20"/>
        </w:rPr>
        <w:t>A</w:t>
      </w:r>
      <w:r w:rsidR="00D4434C" w:rsidRPr="003E18BB">
        <w:rPr>
          <w:rStyle w:val="Emphasis"/>
          <w:rFonts w:ascii="Arial" w:hAnsi="Arial" w:cs="Arial"/>
          <w:sz w:val="20"/>
          <w:szCs w:val="20"/>
        </w:rPr>
        <w:t>.</w:t>
      </w:r>
      <w:r w:rsidRPr="003E18BB">
        <w:rPr>
          <w:rStyle w:val="Emphasis"/>
          <w:rFonts w:ascii="Arial" w:hAnsi="Arial" w:cs="Arial"/>
          <w:sz w:val="20"/>
          <w:szCs w:val="20"/>
        </w:rPr>
        <w:t xml:space="preserve"> annua</w:t>
      </w:r>
      <w:r w:rsidRPr="003E18BB">
        <w:rPr>
          <w:rFonts w:ascii="Arial" w:hAnsi="Arial" w:cs="Arial"/>
          <w:sz w:val="20"/>
          <w:szCs w:val="20"/>
        </w:rPr>
        <w:t xml:space="preserve"> was procured from a local Ayurvedic medicine shop and authenticated by an expert taxonomist. The whole plant material was processed into a fine powder using a pulverizing machine. Freshly prepared powder (20 g) was subjected to cold hydro-ethanolic extraction by immersing it in 100 ml of hydro-ethanolic solvent (40% distilled water and 60% ethanol) in a tightly stoppered flask. The mixture was kept at room temperature for 48 hours with continuous agitation at 150 rpm in an orbital shaker. After extraction, the contents were filtered through muslin cloth, and the residue was rinsed with a small volume of the same solvent and re-filtered. The combined filtrate was further filtered through Whatman No. 1 filter paper and exposed to ultraviolet light for 12 hours. The filtrate was then transferred to a pre-weighed Petri dish and allowed to evaporate at room temperature </w:t>
      </w:r>
      <w:commentRangeStart w:id="4"/>
      <w:r w:rsidRPr="003E18BB">
        <w:rPr>
          <w:rFonts w:ascii="Arial" w:hAnsi="Arial" w:cs="Arial"/>
          <w:sz w:val="20"/>
          <w:szCs w:val="20"/>
        </w:rPr>
        <w:t>for solvent removal</w:t>
      </w:r>
      <w:commentRangeEnd w:id="4"/>
      <w:r w:rsidR="002242C6">
        <w:rPr>
          <w:rStyle w:val="CommentReference"/>
        </w:rPr>
        <w:commentReference w:id="4"/>
      </w:r>
      <w:r w:rsidRPr="003E18BB">
        <w:rPr>
          <w:rFonts w:ascii="Arial" w:hAnsi="Arial" w:cs="Arial"/>
          <w:sz w:val="20"/>
          <w:szCs w:val="20"/>
        </w:rPr>
        <w:t xml:space="preserve">. The concentrated extract was stored in airtight screw-cap vials in a desiccator until further use. The hydro-ethanolic whole-plant extract of </w:t>
      </w:r>
      <w:r w:rsidRPr="003E18BB">
        <w:rPr>
          <w:rStyle w:val="Emphasis"/>
          <w:rFonts w:ascii="Arial" w:hAnsi="Arial" w:cs="Arial"/>
          <w:sz w:val="20"/>
          <w:szCs w:val="20"/>
        </w:rPr>
        <w:t>A. annua</w:t>
      </w:r>
      <w:r w:rsidRPr="003E18BB">
        <w:rPr>
          <w:rFonts w:ascii="Arial" w:hAnsi="Arial" w:cs="Arial"/>
          <w:sz w:val="20"/>
          <w:szCs w:val="20"/>
        </w:rPr>
        <w:t xml:space="preserve"> was used for subsequent experiments</w:t>
      </w:r>
      <w:r w:rsidR="00410B1D" w:rsidRPr="003E18BB">
        <w:rPr>
          <w:rFonts w:ascii="Arial" w:hAnsi="Arial" w:cs="Arial"/>
          <w:sz w:val="20"/>
          <w:szCs w:val="20"/>
        </w:rPr>
        <w:t xml:space="preserve"> (Fig. 1-</w:t>
      </w:r>
      <w:r w:rsidR="001A48E5" w:rsidRPr="003E18BB">
        <w:rPr>
          <w:rFonts w:ascii="Arial" w:hAnsi="Arial" w:cs="Arial"/>
          <w:sz w:val="20"/>
          <w:szCs w:val="20"/>
        </w:rPr>
        <w:t>2</w:t>
      </w:r>
      <w:r w:rsidR="00410B1D" w:rsidRPr="003E18BB">
        <w:rPr>
          <w:rFonts w:ascii="Arial" w:hAnsi="Arial" w:cs="Arial"/>
          <w:sz w:val="20"/>
          <w:szCs w:val="20"/>
        </w:rPr>
        <w:t>)</w:t>
      </w:r>
      <w:r w:rsidRPr="003E18BB">
        <w:rPr>
          <w:rFonts w:ascii="Arial" w:hAnsi="Arial" w:cs="Arial"/>
          <w:sz w:val="20"/>
          <w:szCs w:val="20"/>
        </w:rPr>
        <w:t>.</w:t>
      </w:r>
    </w:p>
    <w:p w14:paraId="28F42C83" w14:textId="644F7FBC" w:rsidR="001F327F" w:rsidRPr="003E18BB" w:rsidRDefault="00525209" w:rsidP="00D71C73">
      <w:pPr>
        <w:spacing w:after="200" w:line="480" w:lineRule="auto"/>
        <w:jc w:val="both"/>
        <w:rPr>
          <w:rFonts w:ascii="Arial" w:eastAsia="Calibri" w:hAnsi="Arial" w:cs="Arial"/>
          <w:kern w:val="0"/>
          <w:sz w:val="22"/>
          <w:lang w:val="en-US"/>
          <w14:ligatures w14:val="none"/>
        </w:rPr>
      </w:pPr>
      <w:r w:rsidRPr="003E18BB">
        <w:rPr>
          <w:rFonts w:ascii="Arial" w:eastAsia="Calibri" w:hAnsi="Arial" w:cs="Arial"/>
          <w:b/>
          <w:bCs/>
          <w:kern w:val="0"/>
          <w:sz w:val="22"/>
          <w:lang w:val="en-US"/>
          <w14:ligatures w14:val="none"/>
        </w:rPr>
        <w:t xml:space="preserve">2.2 </w:t>
      </w:r>
      <w:r w:rsidR="00BB7828" w:rsidRPr="003E18BB">
        <w:rPr>
          <w:rFonts w:ascii="Arial" w:eastAsia="Calibri" w:hAnsi="Arial" w:cs="Arial"/>
          <w:b/>
          <w:bCs/>
          <w:kern w:val="0"/>
          <w:sz w:val="22"/>
          <w:lang w:val="en-US"/>
          <w14:ligatures w14:val="none"/>
        </w:rPr>
        <w:t>Phytochemical analysis</w:t>
      </w:r>
      <w:r w:rsidR="00D4434C" w:rsidRPr="003E18BB">
        <w:rPr>
          <w:rFonts w:ascii="Arial" w:eastAsia="Calibri" w:hAnsi="Arial" w:cs="Arial"/>
          <w:b/>
          <w:bCs/>
          <w:kern w:val="0"/>
          <w:sz w:val="22"/>
          <w:lang w:val="en-US"/>
          <w14:ligatures w14:val="none"/>
        </w:rPr>
        <w:t xml:space="preserve"> of </w:t>
      </w:r>
      <w:r w:rsidR="00D4434C" w:rsidRPr="003E18BB">
        <w:rPr>
          <w:rFonts w:ascii="Arial" w:eastAsia="Calibri" w:hAnsi="Arial" w:cs="Arial"/>
          <w:b/>
          <w:bCs/>
          <w:i/>
          <w:iCs/>
          <w:kern w:val="0"/>
          <w:sz w:val="22"/>
          <w:lang w:val="en-US"/>
          <w14:ligatures w14:val="none"/>
        </w:rPr>
        <w:t>A. annua</w:t>
      </w:r>
    </w:p>
    <w:p w14:paraId="040146DB" w14:textId="0E5D76B7" w:rsidR="00596C00" w:rsidRPr="003E18BB" w:rsidRDefault="002F6E0A" w:rsidP="00D71C73">
      <w:pPr>
        <w:spacing w:after="200" w:line="480" w:lineRule="auto"/>
        <w:ind w:firstLine="720"/>
        <w:jc w:val="both"/>
        <w:rPr>
          <w:rFonts w:ascii="Arial" w:eastAsia="Calibri" w:hAnsi="Arial" w:cs="Arial"/>
          <w:kern w:val="0"/>
          <w:sz w:val="20"/>
          <w:szCs w:val="20"/>
          <w:lang w:val="en-US"/>
          <w14:ligatures w14:val="none"/>
        </w:rPr>
      </w:pPr>
      <w:r w:rsidRPr="003E18BB">
        <w:rPr>
          <w:rFonts w:ascii="Arial" w:eastAsia="Calibri" w:hAnsi="Arial" w:cs="Arial"/>
          <w:kern w:val="0"/>
          <w:sz w:val="20"/>
          <w:szCs w:val="20"/>
          <w:lang w:val="en-US"/>
          <w14:ligatures w14:val="none"/>
        </w:rPr>
        <w:t xml:space="preserve">For phytochemical analysis, </w:t>
      </w:r>
      <w:r w:rsidRPr="003E18BB">
        <w:rPr>
          <w:rFonts w:ascii="Arial" w:eastAsia="Calibri" w:hAnsi="Arial" w:cs="Arial"/>
          <w:i/>
          <w:iCs/>
          <w:kern w:val="0"/>
          <w:sz w:val="20"/>
          <w:szCs w:val="20"/>
          <w:lang w:val="en-US"/>
          <w14:ligatures w14:val="none"/>
        </w:rPr>
        <w:t>A</w:t>
      </w:r>
      <w:r w:rsidR="00420FF6" w:rsidRPr="003E18BB">
        <w:rPr>
          <w:rFonts w:ascii="Arial" w:eastAsia="Calibri" w:hAnsi="Arial" w:cs="Arial"/>
          <w:i/>
          <w:iCs/>
          <w:kern w:val="0"/>
          <w:sz w:val="20"/>
          <w:szCs w:val="20"/>
          <w:lang w:val="en-US"/>
          <w14:ligatures w14:val="none"/>
        </w:rPr>
        <w:t>.</w:t>
      </w:r>
      <w:r w:rsidRPr="003E18BB">
        <w:rPr>
          <w:rFonts w:ascii="Arial" w:eastAsia="Calibri" w:hAnsi="Arial" w:cs="Arial"/>
          <w:i/>
          <w:iCs/>
          <w:kern w:val="0"/>
          <w:sz w:val="20"/>
          <w:szCs w:val="20"/>
          <w:lang w:val="en-US"/>
          <w14:ligatures w14:val="none"/>
        </w:rPr>
        <w:t xml:space="preserve"> annua</w:t>
      </w:r>
      <w:r w:rsidRPr="003E18BB">
        <w:rPr>
          <w:rFonts w:ascii="Arial" w:eastAsia="Calibri" w:hAnsi="Arial" w:cs="Arial"/>
          <w:kern w:val="0"/>
          <w:sz w:val="20"/>
          <w:szCs w:val="20"/>
          <w:lang w:val="en-US"/>
          <w14:ligatures w14:val="none"/>
        </w:rPr>
        <w:t xml:space="preserve"> plant material was extracted using twelve different solvents of varying polarity, namely acetic acid, acetone, benzene, chloroform, distilled water, ethyl acetate, ethanol, hexane, hydro-ethanol, methanol, petroleum ether, and xylene. The resulting extracts were qualitatively screened for the presence of major phytochemical constituents following standard procedures described by Roberts </w:t>
      </w:r>
      <w:r w:rsidR="00E41BF3" w:rsidRPr="003E18BB">
        <w:rPr>
          <w:rFonts w:ascii="Arial" w:eastAsia="Calibri" w:hAnsi="Arial" w:cs="Arial"/>
          <w:i/>
          <w:iCs/>
          <w:kern w:val="0"/>
          <w:sz w:val="20"/>
          <w:szCs w:val="20"/>
          <w:lang w:val="en-US"/>
          <w14:ligatures w14:val="none"/>
        </w:rPr>
        <w:t>et al</w:t>
      </w:r>
      <w:r w:rsidRPr="003E18BB">
        <w:rPr>
          <w:rFonts w:ascii="Arial" w:eastAsia="Calibri" w:hAnsi="Arial" w:cs="Arial"/>
          <w:kern w:val="0"/>
          <w:sz w:val="20"/>
          <w:szCs w:val="20"/>
          <w:lang w:val="en-US"/>
          <w14:ligatures w14:val="none"/>
        </w:rPr>
        <w:t>. (1981)</w:t>
      </w:r>
      <w:r w:rsidR="005865AD" w:rsidRPr="003E18BB">
        <w:rPr>
          <w:rFonts w:ascii="Arial" w:eastAsia="Calibri" w:hAnsi="Arial" w:cs="Arial"/>
          <w:kern w:val="0"/>
          <w:sz w:val="20"/>
          <w:szCs w:val="20"/>
          <w:lang w:val="en-US"/>
          <w14:ligatures w14:val="none"/>
        </w:rPr>
        <w:t xml:space="preserve"> and Harborne (1984)</w:t>
      </w:r>
      <w:r w:rsidRPr="003E18BB">
        <w:rPr>
          <w:rFonts w:ascii="Arial" w:eastAsia="Calibri" w:hAnsi="Arial" w:cs="Arial"/>
          <w:kern w:val="0"/>
          <w:sz w:val="20"/>
          <w:szCs w:val="20"/>
          <w:lang w:val="en-US"/>
          <w14:ligatures w14:val="none"/>
        </w:rPr>
        <w:t>.</w:t>
      </w:r>
    </w:p>
    <w:p w14:paraId="0EF88C22" w14:textId="50D5EB9B" w:rsidR="00BB7828" w:rsidRPr="003E18BB" w:rsidRDefault="006B288C" w:rsidP="00D71C73">
      <w:pPr>
        <w:spacing w:after="200" w:line="480" w:lineRule="auto"/>
        <w:ind w:firstLine="720"/>
        <w:jc w:val="both"/>
        <w:rPr>
          <w:rFonts w:ascii="Arial" w:eastAsia="Calibri" w:hAnsi="Arial" w:cs="Arial"/>
          <w:kern w:val="0"/>
          <w:sz w:val="20"/>
          <w:szCs w:val="20"/>
          <w:lang w:val="en-US"/>
          <w14:ligatures w14:val="none"/>
        </w:rPr>
      </w:pPr>
      <w:r w:rsidRPr="003E18BB">
        <w:rPr>
          <w:rFonts w:ascii="Arial" w:hAnsi="Arial" w:cs="Arial"/>
          <w:sz w:val="20"/>
          <w:szCs w:val="20"/>
        </w:rPr>
        <w:lastRenderedPageBreak/>
        <w:t xml:space="preserve">For the estimation of phytochemical constituents, a series of qualitative tests were performed on the </w:t>
      </w:r>
      <w:r w:rsidRPr="003E18BB">
        <w:rPr>
          <w:rStyle w:val="Emphasis"/>
          <w:rFonts w:ascii="Arial" w:hAnsi="Arial" w:cs="Arial"/>
          <w:sz w:val="20"/>
          <w:szCs w:val="20"/>
        </w:rPr>
        <w:t>Artemisia annua</w:t>
      </w:r>
      <w:r w:rsidRPr="003E18BB">
        <w:rPr>
          <w:rFonts w:ascii="Arial" w:hAnsi="Arial" w:cs="Arial"/>
          <w:sz w:val="20"/>
          <w:szCs w:val="20"/>
        </w:rPr>
        <w:t xml:space="preserve"> extracts. </w:t>
      </w:r>
      <w:r w:rsidRPr="003E18BB">
        <w:rPr>
          <w:rStyle w:val="Strong"/>
          <w:rFonts w:ascii="Arial" w:hAnsi="Arial" w:cs="Arial"/>
          <w:b w:val="0"/>
          <w:bCs w:val="0"/>
          <w:sz w:val="20"/>
          <w:szCs w:val="20"/>
        </w:rPr>
        <w:t>Carbohydrates</w:t>
      </w:r>
      <w:r w:rsidRPr="003E18BB">
        <w:rPr>
          <w:rFonts w:ascii="Arial" w:hAnsi="Arial" w:cs="Arial"/>
          <w:sz w:val="20"/>
          <w:szCs w:val="20"/>
        </w:rPr>
        <w:t xml:space="preserve"> were assessed using Molisch’s test, while reducing sugars were detected using Fehling’s solution and Benedict’s reagent. Monosaccharides were determined by Barfoed’s test, and hexose sugars were evaluated using Seliwanoff’s and cobalt chloride tests. </w:t>
      </w:r>
      <w:r w:rsidRPr="003E18BB">
        <w:rPr>
          <w:rStyle w:val="Strong"/>
          <w:rFonts w:ascii="Arial" w:hAnsi="Arial" w:cs="Arial"/>
          <w:b w:val="0"/>
          <w:bCs w:val="0"/>
          <w:sz w:val="20"/>
          <w:szCs w:val="20"/>
        </w:rPr>
        <w:t>Proteins and amino acids</w:t>
      </w:r>
      <w:r w:rsidRPr="003E18BB">
        <w:rPr>
          <w:rFonts w:ascii="Arial" w:hAnsi="Arial" w:cs="Arial"/>
          <w:sz w:val="20"/>
          <w:szCs w:val="20"/>
        </w:rPr>
        <w:t xml:space="preserve"> were identified through Biuret, Millon’s, xanthoproteic, and ninhydrin tests. </w:t>
      </w:r>
      <w:r w:rsidRPr="003E18BB">
        <w:rPr>
          <w:rStyle w:val="Strong"/>
          <w:rFonts w:ascii="Arial" w:hAnsi="Arial" w:cs="Arial"/>
          <w:b w:val="0"/>
          <w:bCs w:val="0"/>
          <w:sz w:val="20"/>
          <w:szCs w:val="20"/>
        </w:rPr>
        <w:t>Tannins and phenols</w:t>
      </w:r>
      <w:r w:rsidRPr="003E18BB">
        <w:rPr>
          <w:rFonts w:ascii="Arial" w:hAnsi="Arial" w:cs="Arial"/>
          <w:sz w:val="20"/>
          <w:szCs w:val="20"/>
        </w:rPr>
        <w:t xml:space="preserve"> were detected using ferric chloride and lead acetate tests. </w:t>
      </w:r>
      <w:r w:rsidRPr="003E18BB">
        <w:rPr>
          <w:rStyle w:val="Strong"/>
          <w:rFonts w:ascii="Arial" w:hAnsi="Arial" w:cs="Arial"/>
          <w:b w:val="0"/>
          <w:bCs w:val="0"/>
          <w:sz w:val="20"/>
          <w:szCs w:val="20"/>
        </w:rPr>
        <w:t>Glycosides</w:t>
      </w:r>
      <w:r w:rsidRPr="003E18BB">
        <w:rPr>
          <w:rFonts w:ascii="Arial" w:hAnsi="Arial" w:cs="Arial"/>
          <w:sz w:val="20"/>
          <w:szCs w:val="20"/>
        </w:rPr>
        <w:t xml:space="preserve"> were assessed by Legal’s test, Keller-Killiani test, and Borntrager’s test. </w:t>
      </w:r>
      <w:r w:rsidRPr="003E18BB">
        <w:rPr>
          <w:rStyle w:val="Strong"/>
          <w:rFonts w:ascii="Arial" w:hAnsi="Arial" w:cs="Arial"/>
          <w:b w:val="0"/>
          <w:bCs w:val="0"/>
          <w:sz w:val="20"/>
          <w:szCs w:val="20"/>
        </w:rPr>
        <w:t>Saponins</w:t>
      </w:r>
      <w:r w:rsidRPr="003E18BB">
        <w:rPr>
          <w:rFonts w:ascii="Arial" w:hAnsi="Arial" w:cs="Arial"/>
          <w:sz w:val="20"/>
          <w:szCs w:val="20"/>
        </w:rPr>
        <w:t xml:space="preserve"> were detected using the foam (frothing) test. </w:t>
      </w:r>
      <w:r w:rsidRPr="003E18BB">
        <w:rPr>
          <w:rStyle w:val="Strong"/>
          <w:rFonts w:ascii="Arial" w:hAnsi="Arial" w:cs="Arial"/>
          <w:b w:val="0"/>
          <w:bCs w:val="0"/>
          <w:sz w:val="20"/>
          <w:szCs w:val="20"/>
        </w:rPr>
        <w:t>Phytosterols and triterpenoids</w:t>
      </w:r>
      <w:r w:rsidRPr="003E18BB">
        <w:rPr>
          <w:rFonts w:ascii="Arial" w:hAnsi="Arial" w:cs="Arial"/>
          <w:b/>
          <w:bCs/>
          <w:sz w:val="20"/>
          <w:szCs w:val="20"/>
        </w:rPr>
        <w:t xml:space="preserve"> </w:t>
      </w:r>
      <w:r w:rsidRPr="003E18BB">
        <w:rPr>
          <w:rFonts w:ascii="Arial" w:hAnsi="Arial" w:cs="Arial"/>
          <w:sz w:val="20"/>
          <w:szCs w:val="20"/>
        </w:rPr>
        <w:t xml:space="preserve">were evaluated through </w:t>
      </w:r>
      <w:commentRangeStart w:id="5"/>
      <w:r w:rsidRPr="003E18BB">
        <w:rPr>
          <w:rFonts w:ascii="Arial" w:hAnsi="Arial" w:cs="Arial"/>
          <w:sz w:val="20"/>
          <w:szCs w:val="20"/>
        </w:rPr>
        <w:t>Salkowski</w:t>
      </w:r>
      <w:commentRangeEnd w:id="5"/>
      <w:r w:rsidR="002242C6">
        <w:rPr>
          <w:rStyle w:val="CommentReference"/>
        </w:rPr>
        <w:commentReference w:id="5"/>
      </w:r>
      <w:r w:rsidRPr="003E18BB">
        <w:rPr>
          <w:rFonts w:ascii="Arial" w:hAnsi="Arial" w:cs="Arial"/>
          <w:sz w:val="20"/>
          <w:szCs w:val="20"/>
        </w:rPr>
        <w:t xml:space="preserve"> and Liebermann-Burchard tests. </w:t>
      </w:r>
      <w:r w:rsidRPr="003E18BB">
        <w:rPr>
          <w:rStyle w:val="Strong"/>
          <w:rFonts w:ascii="Arial" w:hAnsi="Arial" w:cs="Arial"/>
          <w:b w:val="0"/>
          <w:bCs w:val="0"/>
          <w:sz w:val="20"/>
          <w:szCs w:val="20"/>
        </w:rPr>
        <w:t>Alkaloids</w:t>
      </w:r>
      <w:r w:rsidRPr="003E18BB">
        <w:rPr>
          <w:rFonts w:ascii="Arial" w:hAnsi="Arial" w:cs="Arial"/>
          <w:sz w:val="20"/>
          <w:szCs w:val="20"/>
        </w:rPr>
        <w:t xml:space="preserve"> were identified using Mayer’s, Wagner’s, Hager’s, and Dragendorff’s tests. </w:t>
      </w:r>
      <w:r w:rsidRPr="003E18BB">
        <w:rPr>
          <w:rStyle w:val="Strong"/>
          <w:rFonts w:ascii="Arial" w:hAnsi="Arial" w:cs="Arial"/>
          <w:b w:val="0"/>
          <w:bCs w:val="0"/>
          <w:sz w:val="20"/>
          <w:szCs w:val="20"/>
        </w:rPr>
        <w:t>Flavonoids</w:t>
      </w:r>
      <w:r w:rsidRPr="003E18BB">
        <w:rPr>
          <w:rFonts w:ascii="Arial" w:hAnsi="Arial" w:cs="Arial"/>
          <w:sz w:val="20"/>
          <w:szCs w:val="20"/>
        </w:rPr>
        <w:t xml:space="preserve"> were detected using sodium hydroxide, lead acetate, and ferric chloride tests. </w:t>
      </w:r>
      <w:r w:rsidRPr="003E18BB">
        <w:rPr>
          <w:rStyle w:val="Strong"/>
          <w:rFonts w:ascii="Arial" w:hAnsi="Arial" w:cs="Arial"/>
          <w:b w:val="0"/>
          <w:bCs w:val="0"/>
          <w:sz w:val="20"/>
          <w:szCs w:val="20"/>
        </w:rPr>
        <w:t>Anthraquinones</w:t>
      </w:r>
      <w:r w:rsidRPr="003E18BB">
        <w:rPr>
          <w:rFonts w:ascii="Arial" w:hAnsi="Arial" w:cs="Arial"/>
          <w:sz w:val="20"/>
          <w:szCs w:val="20"/>
        </w:rPr>
        <w:t xml:space="preserve"> and </w:t>
      </w:r>
      <w:r w:rsidRPr="003E18BB">
        <w:rPr>
          <w:rStyle w:val="Strong"/>
          <w:rFonts w:ascii="Arial" w:hAnsi="Arial" w:cs="Arial"/>
          <w:b w:val="0"/>
          <w:bCs w:val="0"/>
          <w:sz w:val="20"/>
          <w:szCs w:val="20"/>
        </w:rPr>
        <w:t>phenolics</w:t>
      </w:r>
      <w:r w:rsidRPr="003E18BB">
        <w:rPr>
          <w:rFonts w:ascii="Arial" w:hAnsi="Arial" w:cs="Arial"/>
          <w:sz w:val="20"/>
          <w:szCs w:val="20"/>
        </w:rPr>
        <w:t xml:space="preserve"> were examined using Borntrager’s and ferric chloride tests, respectively. These tests collectively provided a comprehensive qualitative profile of the bioactive constituents present in </w:t>
      </w:r>
      <w:r w:rsidRPr="003E18BB">
        <w:rPr>
          <w:rStyle w:val="Emphasis"/>
          <w:rFonts w:ascii="Arial" w:hAnsi="Arial" w:cs="Arial"/>
          <w:sz w:val="20"/>
          <w:szCs w:val="20"/>
        </w:rPr>
        <w:t>A. annua</w:t>
      </w:r>
      <w:r w:rsidR="001A48E5" w:rsidRPr="003E18BB">
        <w:rPr>
          <w:rStyle w:val="Emphasis"/>
          <w:rFonts w:ascii="Arial" w:hAnsi="Arial" w:cs="Arial"/>
          <w:i w:val="0"/>
          <w:iCs w:val="0"/>
          <w:sz w:val="20"/>
          <w:szCs w:val="20"/>
        </w:rPr>
        <w:t xml:space="preserve"> (Fig. 3)</w:t>
      </w:r>
      <w:r w:rsidRPr="003E18BB">
        <w:rPr>
          <w:rFonts w:ascii="Arial" w:hAnsi="Arial" w:cs="Arial"/>
          <w:sz w:val="20"/>
          <w:szCs w:val="20"/>
        </w:rPr>
        <w:t>.</w:t>
      </w:r>
      <w:r w:rsidR="002F6E0A" w:rsidRPr="003E18BB">
        <w:rPr>
          <w:rFonts w:ascii="Arial" w:eastAsia="Calibri" w:hAnsi="Arial" w:cs="Arial"/>
          <w:kern w:val="0"/>
          <w:sz w:val="20"/>
          <w:szCs w:val="20"/>
          <w:lang w:val="en-US"/>
          <w14:ligatures w14:val="none"/>
        </w:rPr>
        <w:t xml:space="preserve"> </w:t>
      </w:r>
    </w:p>
    <w:p w14:paraId="5296BD94" w14:textId="3146D277" w:rsidR="006B288C" w:rsidRPr="003E18BB" w:rsidRDefault="00525209" w:rsidP="00D71C73">
      <w:pPr>
        <w:spacing w:line="480" w:lineRule="auto"/>
        <w:jc w:val="both"/>
        <w:rPr>
          <w:rFonts w:ascii="Arial" w:hAnsi="Arial" w:cs="Arial"/>
          <w:b/>
          <w:bCs/>
          <w:sz w:val="22"/>
        </w:rPr>
      </w:pPr>
      <w:r w:rsidRPr="003E18BB">
        <w:rPr>
          <w:rFonts w:ascii="Arial" w:hAnsi="Arial" w:cs="Arial"/>
          <w:b/>
          <w:bCs/>
          <w:sz w:val="22"/>
        </w:rPr>
        <w:t xml:space="preserve">2.3 </w:t>
      </w:r>
      <w:r w:rsidR="00005BD8" w:rsidRPr="003E18BB">
        <w:rPr>
          <w:rFonts w:ascii="Arial" w:hAnsi="Arial" w:cs="Arial"/>
          <w:b/>
          <w:bCs/>
          <w:sz w:val="22"/>
        </w:rPr>
        <w:t>Acute oral toxicity studies</w:t>
      </w:r>
    </w:p>
    <w:p w14:paraId="5870E8FD" w14:textId="338BA39D" w:rsidR="00005BD8" w:rsidRPr="003E18BB" w:rsidRDefault="00005BD8" w:rsidP="00D71C73">
      <w:pPr>
        <w:spacing w:line="480" w:lineRule="auto"/>
        <w:ind w:firstLine="720"/>
        <w:jc w:val="both"/>
        <w:rPr>
          <w:rFonts w:ascii="Arial" w:hAnsi="Arial" w:cs="Arial"/>
          <w:sz w:val="20"/>
          <w:szCs w:val="20"/>
        </w:rPr>
      </w:pPr>
      <w:r w:rsidRPr="003E18BB">
        <w:rPr>
          <w:rFonts w:ascii="Arial" w:hAnsi="Arial" w:cs="Arial"/>
          <w:sz w:val="20"/>
          <w:szCs w:val="20"/>
        </w:rPr>
        <w:t xml:space="preserve">The acute oral toxicity study of </w:t>
      </w:r>
      <w:r w:rsidRPr="003E18BB">
        <w:rPr>
          <w:rStyle w:val="Emphasis"/>
          <w:rFonts w:ascii="Arial" w:hAnsi="Arial" w:cs="Arial"/>
          <w:sz w:val="20"/>
          <w:szCs w:val="20"/>
        </w:rPr>
        <w:t>A</w:t>
      </w:r>
      <w:r w:rsidR="00D530A2" w:rsidRPr="003E18BB">
        <w:rPr>
          <w:rStyle w:val="Emphasis"/>
          <w:rFonts w:ascii="Arial" w:hAnsi="Arial" w:cs="Arial"/>
          <w:sz w:val="20"/>
          <w:szCs w:val="20"/>
        </w:rPr>
        <w:t>.</w:t>
      </w:r>
      <w:r w:rsidRPr="003E18BB">
        <w:rPr>
          <w:rStyle w:val="Emphasis"/>
          <w:rFonts w:ascii="Arial" w:hAnsi="Arial" w:cs="Arial"/>
          <w:sz w:val="20"/>
          <w:szCs w:val="20"/>
        </w:rPr>
        <w:t xml:space="preserve"> annua</w:t>
      </w:r>
      <w:r w:rsidRPr="003E18BB">
        <w:rPr>
          <w:rFonts w:ascii="Arial" w:hAnsi="Arial" w:cs="Arial"/>
          <w:sz w:val="20"/>
          <w:szCs w:val="20"/>
        </w:rPr>
        <w:t xml:space="preserve"> extract was conducted in Wistar rats in accordance with OECD guideline 420</w:t>
      </w:r>
      <w:r w:rsidR="00284E2B" w:rsidRPr="003E18BB">
        <w:rPr>
          <w:rFonts w:ascii="Arial" w:hAnsi="Arial" w:cs="Arial"/>
          <w:sz w:val="20"/>
          <w:szCs w:val="20"/>
        </w:rPr>
        <w:t xml:space="preserve"> </w:t>
      </w:r>
      <w:r w:rsidR="008632E8" w:rsidRPr="003E18BB">
        <w:rPr>
          <w:rFonts w:ascii="Arial" w:hAnsi="Arial" w:cs="Arial"/>
          <w:sz w:val="20"/>
          <w:szCs w:val="20"/>
        </w:rPr>
        <w:t xml:space="preserve">(Acute Oral Toxicity—Fixed Dose Procedure) </w:t>
      </w:r>
      <w:r w:rsidR="00284E2B" w:rsidRPr="003E18BB">
        <w:rPr>
          <w:rFonts w:ascii="Arial" w:hAnsi="Arial" w:cs="Arial"/>
          <w:sz w:val="20"/>
          <w:szCs w:val="20"/>
        </w:rPr>
        <w:t>(OECD, 2002)</w:t>
      </w:r>
      <w:r w:rsidRPr="003E18BB">
        <w:rPr>
          <w:rFonts w:ascii="Arial" w:hAnsi="Arial" w:cs="Arial"/>
          <w:sz w:val="20"/>
          <w:szCs w:val="20"/>
        </w:rPr>
        <w:t xml:space="preserve">. Healthy Wistar rats of either sex, weighing between 180 and 220 g, were used for the study. The </w:t>
      </w:r>
      <w:r w:rsidR="00884B06" w:rsidRPr="003E18BB">
        <w:rPr>
          <w:rFonts w:ascii="Arial" w:hAnsi="Arial" w:cs="Arial"/>
          <w:sz w:val="20"/>
          <w:szCs w:val="20"/>
        </w:rPr>
        <w:t>rats</w:t>
      </w:r>
      <w:r w:rsidRPr="003E18BB">
        <w:rPr>
          <w:rFonts w:ascii="Arial" w:hAnsi="Arial" w:cs="Arial"/>
          <w:sz w:val="20"/>
          <w:szCs w:val="20"/>
        </w:rPr>
        <w:t xml:space="preserve"> were procured from the CPCSEA-registered small laboratory animal facility, Resource Section, College of Veterinary and Animal Sciences (COVAS), Parbhani. Prior to the initiation of the study, the experimental protocol was reviewed and approved by the Institutional Animal Ethics Committee (IAEC) of COVAS, Parbhani. The extract of </w:t>
      </w:r>
      <w:r w:rsidRPr="003E18BB">
        <w:rPr>
          <w:rStyle w:val="Emphasis"/>
          <w:rFonts w:ascii="Arial" w:hAnsi="Arial" w:cs="Arial"/>
          <w:sz w:val="20"/>
          <w:szCs w:val="20"/>
        </w:rPr>
        <w:t>A. annua</w:t>
      </w:r>
      <w:r w:rsidRPr="003E18BB">
        <w:rPr>
          <w:rFonts w:ascii="Arial" w:hAnsi="Arial" w:cs="Arial"/>
          <w:sz w:val="20"/>
          <w:szCs w:val="20"/>
        </w:rPr>
        <w:t xml:space="preserve"> was administered orally to the rats at doses of 300, 2000, and 5000 mg/kg BW. Following administration, the animals were closely observed for the first 24 hours for any immediate signs of toxicity and mortality. Subsequently, they were monitored daily for a period of 14 days to record any delayed toxic effects. Observations included general </w:t>
      </w:r>
      <w:r w:rsidR="00D051B0" w:rsidRPr="003E18BB">
        <w:rPr>
          <w:rFonts w:ascii="Arial" w:hAnsi="Arial" w:cs="Arial"/>
          <w:sz w:val="20"/>
          <w:szCs w:val="20"/>
        </w:rPr>
        <w:t>behaviour</w:t>
      </w:r>
      <w:r w:rsidRPr="003E18BB">
        <w:rPr>
          <w:rFonts w:ascii="Arial" w:hAnsi="Arial" w:cs="Arial"/>
          <w:sz w:val="20"/>
          <w:szCs w:val="20"/>
        </w:rPr>
        <w:t xml:space="preserve">, agility, feed and water intake, locomotor activity, muscular tremors, convulsions, and other clinical signs of toxicity. </w:t>
      </w:r>
      <w:r w:rsidR="00884B06" w:rsidRPr="003E18BB">
        <w:rPr>
          <w:rFonts w:ascii="Arial" w:hAnsi="Arial" w:cs="Arial"/>
          <w:sz w:val="20"/>
          <w:szCs w:val="20"/>
        </w:rPr>
        <w:t>T</w:t>
      </w:r>
      <w:r w:rsidRPr="003E18BB">
        <w:rPr>
          <w:rFonts w:ascii="Arial" w:hAnsi="Arial" w:cs="Arial"/>
          <w:sz w:val="20"/>
          <w:szCs w:val="20"/>
        </w:rPr>
        <w:t xml:space="preserve">he overall health and well-being of the </w:t>
      </w:r>
      <w:r w:rsidR="00884B06" w:rsidRPr="003E18BB">
        <w:rPr>
          <w:rFonts w:ascii="Arial" w:hAnsi="Arial" w:cs="Arial"/>
          <w:sz w:val="20"/>
          <w:szCs w:val="20"/>
        </w:rPr>
        <w:t>rats</w:t>
      </w:r>
      <w:r w:rsidRPr="003E18BB">
        <w:rPr>
          <w:rFonts w:ascii="Arial" w:hAnsi="Arial" w:cs="Arial"/>
          <w:sz w:val="20"/>
          <w:szCs w:val="20"/>
        </w:rPr>
        <w:t xml:space="preserve"> were continuously assessed to determine the safety profile of the hydro-ethanolic extract of </w:t>
      </w:r>
      <w:r w:rsidRPr="003E18BB">
        <w:rPr>
          <w:rStyle w:val="Emphasis"/>
          <w:rFonts w:ascii="Arial" w:hAnsi="Arial" w:cs="Arial"/>
          <w:sz w:val="20"/>
          <w:szCs w:val="20"/>
        </w:rPr>
        <w:t>A. annua</w:t>
      </w:r>
      <w:r w:rsidR="00465CDA" w:rsidRPr="003E18BB">
        <w:rPr>
          <w:rStyle w:val="Emphasis"/>
          <w:rFonts w:ascii="Arial" w:hAnsi="Arial" w:cs="Arial"/>
          <w:i w:val="0"/>
          <w:iCs w:val="0"/>
          <w:sz w:val="20"/>
          <w:szCs w:val="20"/>
        </w:rPr>
        <w:t xml:space="preserve"> (Fig. 4)</w:t>
      </w:r>
      <w:r w:rsidRPr="003E18BB">
        <w:rPr>
          <w:rFonts w:ascii="Arial" w:hAnsi="Arial" w:cs="Arial"/>
          <w:sz w:val="20"/>
          <w:szCs w:val="20"/>
        </w:rPr>
        <w:t>.</w:t>
      </w:r>
    </w:p>
    <w:p w14:paraId="2E1C953D" w14:textId="6F8CD762" w:rsidR="006E516F" w:rsidRPr="003E18BB" w:rsidRDefault="00525209" w:rsidP="00D71C73">
      <w:pPr>
        <w:spacing w:line="480" w:lineRule="auto"/>
        <w:jc w:val="both"/>
        <w:rPr>
          <w:rFonts w:ascii="Arial" w:hAnsi="Arial" w:cs="Arial"/>
          <w:sz w:val="22"/>
        </w:rPr>
      </w:pPr>
      <w:r w:rsidRPr="003E18BB">
        <w:rPr>
          <w:rFonts w:ascii="Arial" w:hAnsi="Arial" w:cs="Arial"/>
          <w:b/>
          <w:bCs/>
          <w:sz w:val="22"/>
        </w:rPr>
        <w:t>3. RESULTS AND DISCUSSION</w:t>
      </w:r>
    </w:p>
    <w:p w14:paraId="5919D041" w14:textId="2E1D497C" w:rsidR="00D13BD1" w:rsidRPr="003E18BB" w:rsidRDefault="0063383C" w:rsidP="00D71C73">
      <w:pPr>
        <w:spacing w:line="480" w:lineRule="auto"/>
        <w:ind w:firstLine="720"/>
        <w:jc w:val="both"/>
        <w:rPr>
          <w:rFonts w:ascii="Arial" w:hAnsi="Arial" w:cs="Arial"/>
          <w:sz w:val="20"/>
          <w:szCs w:val="20"/>
        </w:rPr>
      </w:pPr>
      <w:r w:rsidRPr="003E18BB">
        <w:rPr>
          <w:rFonts w:ascii="Arial" w:hAnsi="Arial" w:cs="Arial"/>
          <w:sz w:val="20"/>
          <w:szCs w:val="20"/>
        </w:rPr>
        <w:lastRenderedPageBreak/>
        <w:t xml:space="preserve">Hydro-ethanolic solvent is widely recognized as one of the most effective solvents for extracting bioactive compounds from crude plant material; therefore, in the present study, it was selected for the extraction of the whole plant of </w:t>
      </w:r>
      <w:r w:rsidRPr="003E18BB">
        <w:rPr>
          <w:rStyle w:val="Emphasis"/>
          <w:rFonts w:ascii="Arial" w:hAnsi="Arial" w:cs="Arial"/>
          <w:sz w:val="20"/>
          <w:szCs w:val="20"/>
        </w:rPr>
        <w:t>A. annua</w:t>
      </w:r>
      <w:r w:rsidRPr="003E18BB">
        <w:rPr>
          <w:rFonts w:ascii="Arial" w:hAnsi="Arial" w:cs="Arial"/>
          <w:sz w:val="20"/>
          <w:szCs w:val="20"/>
        </w:rPr>
        <w:t xml:space="preserve"> to ensure optimal recovery of phytochemicals. Using this method, 100 g of </w:t>
      </w:r>
      <w:r w:rsidRPr="003E18BB">
        <w:rPr>
          <w:rStyle w:val="Emphasis"/>
          <w:rFonts w:ascii="Arial" w:hAnsi="Arial" w:cs="Arial"/>
          <w:sz w:val="20"/>
          <w:szCs w:val="20"/>
        </w:rPr>
        <w:t>A. annua</w:t>
      </w:r>
      <w:r w:rsidRPr="003E18BB">
        <w:rPr>
          <w:rFonts w:ascii="Arial" w:hAnsi="Arial" w:cs="Arial"/>
          <w:sz w:val="20"/>
          <w:szCs w:val="20"/>
        </w:rPr>
        <w:t xml:space="preserve"> powder yielded an average of 6.45 g of extract, corresponding to a percent extractability of 6.45%, indicating efficient recovery of phytochemicals under the applied extraction conditions. The hydro-ethanolic extract was greenish-brown in colour, solid and sticky in consistency, bitter in taste, and pleasant in odour, consistent with the known organoleptic characteristics of </w:t>
      </w:r>
      <w:r w:rsidRPr="003E18BB">
        <w:rPr>
          <w:rStyle w:val="Emphasis"/>
          <w:rFonts w:ascii="Arial" w:hAnsi="Arial" w:cs="Arial"/>
          <w:sz w:val="20"/>
          <w:szCs w:val="20"/>
        </w:rPr>
        <w:t>A. annua</w:t>
      </w:r>
      <w:r w:rsidRPr="003E18BB">
        <w:rPr>
          <w:rFonts w:ascii="Arial" w:hAnsi="Arial" w:cs="Arial"/>
          <w:sz w:val="20"/>
          <w:szCs w:val="20"/>
        </w:rPr>
        <w:t xml:space="preserve"> extracts</w:t>
      </w:r>
      <w:r w:rsidR="00D13BD1" w:rsidRPr="003E18BB">
        <w:rPr>
          <w:rFonts w:ascii="Arial" w:hAnsi="Arial" w:cs="Arial"/>
          <w:sz w:val="20"/>
          <w:szCs w:val="20"/>
        </w:rPr>
        <w:t xml:space="preserve"> (Table 1)</w:t>
      </w:r>
      <w:r w:rsidRPr="003E18BB">
        <w:rPr>
          <w:rFonts w:ascii="Arial" w:hAnsi="Arial" w:cs="Arial"/>
          <w:sz w:val="20"/>
          <w:szCs w:val="20"/>
        </w:rPr>
        <w:t xml:space="preserve">. </w:t>
      </w:r>
    </w:p>
    <w:p w14:paraId="1B54C687" w14:textId="6E0F13B9" w:rsidR="00463C72" w:rsidRPr="003E18BB" w:rsidRDefault="00463C72" w:rsidP="00D71C73">
      <w:pPr>
        <w:spacing w:line="480" w:lineRule="auto"/>
        <w:ind w:firstLine="720"/>
        <w:jc w:val="both"/>
        <w:rPr>
          <w:rFonts w:ascii="Arial" w:hAnsi="Arial" w:cs="Arial"/>
          <w:sz w:val="20"/>
          <w:szCs w:val="20"/>
        </w:rPr>
      </w:pPr>
      <w:r w:rsidRPr="003E18BB">
        <w:rPr>
          <w:rFonts w:ascii="Arial" w:hAnsi="Arial" w:cs="Arial"/>
          <w:sz w:val="20"/>
          <w:szCs w:val="20"/>
        </w:rPr>
        <w:t xml:space="preserve">Qualitative phytochemical screening indicated that the hydro-ethanolic solvent extracted the widest range of phytochemical constituents, with strong positive reactions (+++) for flavonoids, tannins, sesquiterpene lactones, and glycosides. Ethanol also showed broad extraction ability across multiple compound classes. Non-polar solvents such as hexane and petroleum ether selectively extracted sterols and sesquiterpene lactones, while showing minimal extraction of polar compounds. Chloroform effectively extracted alkaloids, saponins, and sterols. In contrast, distilled water and acetic acid exhibited limited extraction, primarily yielding phenolics and flavonoids. Overall, screening using twelve different solvents confirmed the presence of alkaloids, flavonoids, saponins, tannins, sterols, sesquiterpene lactones, reducing sugars, glycosides, and phenolics in </w:t>
      </w:r>
      <w:r w:rsidRPr="003E18BB">
        <w:rPr>
          <w:rStyle w:val="Emphasis"/>
          <w:rFonts w:ascii="Arial" w:hAnsi="Arial" w:cs="Arial"/>
          <w:sz w:val="20"/>
          <w:szCs w:val="20"/>
        </w:rPr>
        <w:t xml:space="preserve">A. annua </w:t>
      </w:r>
      <w:r w:rsidRPr="003E18BB">
        <w:rPr>
          <w:rStyle w:val="Emphasis"/>
          <w:rFonts w:ascii="Arial" w:hAnsi="Arial" w:cs="Arial"/>
          <w:i w:val="0"/>
          <w:iCs w:val="0"/>
          <w:sz w:val="20"/>
          <w:szCs w:val="20"/>
        </w:rPr>
        <w:t>(Table 2)</w:t>
      </w:r>
      <w:r w:rsidRPr="003E18BB">
        <w:rPr>
          <w:rFonts w:ascii="Arial" w:hAnsi="Arial" w:cs="Arial"/>
          <w:sz w:val="20"/>
          <w:szCs w:val="20"/>
        </w:rPr>
        <w:t>.</w:t>
      </w:r>
    </w:p>
    <w:p w14:paraId="17768865" w14:textId="28788D9C" w:rsidR="00413D3A" w:rsidRPr="003E18BB" w:rsidRDefault="00413D3A" w:rsidP="00D71C73">
      <w:pPr>
        <w:spacing w:line="480" w:lineRule="auto"/>
        <w:ind w:firstLine="720"/>
        <w:jc w:val="both"/>
        <w:rPr>
          <w:rFonts w:ascii="Arial" w:hAnsi="Arial" w:cs="Arial"/>
          <w:sz w:val="20"/>
          <w:szCs w:val="20"/>
        </w:rPr>
      </w:pPr>
      <w:r w:rsidRPr="003E18BB">
        <w:rPr>
          <w:rFonts w:ascii="Arial" w:hAnsi="Arial" w:cs="Arial"/>
          <w:sz w:val="20"/>
          <w:szCs w:val="20"/>
        </w:rPr>
        <w:t xml:space="preserve">In accordance with OECD guideline 420, oral administration of </w:t>
      </w:r>
      <w:r w:rsidRPr="003E18BB">
        <w:rPr>
          <w:rStyle w:val="Emphasis"/>
          <w:rFonts w:ascii="Arial" w:hAnsi="Arial" w:cs="Arial"/>
          <w:sz w:val="20"/>
          <w:szCs w:val="20"/>
        </w:rPr>
        <w:t>Artemisia annua</w:t>
      </w:r>
      <w:r w:rsidRPr="003E18BB">
        <w:rPr>
          <w:rFonts w:ascii="Arial" w:hAnsi="Arial" w:cs="Arial"/>
          <w:sz w:val="20"/>
          <w:szCs w:val="20"/>
        </w:rPr>
        <w:t xml:space="preserve"> extract at dose levels of 300, 2000, and 5000 mg/kg body weight produced no mortality or treatment-related clinical signs of toxicity in Wistar rats. All animals survived and remained clinically normal throughout the 14-day observation period, with no evidence of acute toxic effects.</w:t>
      </w:r>
    </w:p>
    <w:p w14:paraId="09349F2E" w14:textId="0E2AA4B7" w:rsidR="00107DFF" w:rsidRPr="003E18BB" w:rsidRDefault="00CB7BA0" w:rsidP="00D71C73">
      <w:pPr>
        <w:pStyle w:val="NormalWeb"/>
        <w:spacing w:line="480" w:lineRule="auto"/>
        <w:jc w:val="both"/>
        <w:rPr>
          <w:rFonts w:ascii="Arial" w:hAnsi="Arial" w:cs="Arial"/>
          <w:sz w:val="20"/>
          <w:szCs w:val="20"/>
        </w:rPr>
      </w:pPr>
      <w:r w:rsidRPr="003E18BB">
        <w:rPr>
          <w:rFonts w:ascii="Arial" w:hAnsi="Arial" w:cs="Arial"/>
          <w:sz w:val="20"/>
          <w:szCs w:val="20"/>
        </w:rPr>
        <w:tab/>
        <w:t xml:space="preserve">The selection of a hydro-ethanolic solvent for extracting </w:t>
      </w:r>
      <w:r w:rsidRPr="003E18BB">
        <w:rPr>
          <w:rStyle w:val="Emphasis"/>
          <w:rFonts w:ascii="Arial" w:eastAsiaTheme="majorEastAsia" w:hAnsi="Arial" w:cs="Arial"/>
          <w:sz w:val="20"/>
          <w:szCs w:val="20"/>
        </w:rPr>
        <w:t>Artemisia annua</w:t>
      </w:r>
      <w:r w:rsidRPr="003E18BB">
        <w:rPr>
          <w:rFonts w:ascii="Arial" w:hAnsi="Arial" w:cs="Arial"/>
          <w:sz w:val="20"/>
          <w:szCs w:val="20"/>
        </w:rPr>
        <w:t xml:space="preserve"> in the present study aligns with findings that solvent polarity markedly influences phytochemical recovery. Mixed hydro-alcoholic systems, such as ethanol–water, enhance the extraction of a broad range of secondary metabolites compared with single-solvent systems, supporting efficient recovery of phenolics and flavonoids that contribute to antioxidant potential. For example, methanol and ethanol extracts of </w:t>
      </w:r>
      <w:r w:rsidRPr="003E18BB">
        <w:rPr>
          <w:rStyle w:val="Emphasis"/>
          <w:rFonts w:ascii="Arial" w:eastAsiaTheme="majorEastAsia" w:hAnsi="Arial" w:cs="Arial"/>
          <w:sz w:val="20"/>
          <w:szCs w:val="20"/>
        </w:rPr>
        <w:t>A. annua</w:t>
      </w:r>
      <w:r w:rsidRPr="003E18BB">
        <w:rPr>
          <w:rFonts w:ascii="Arial" w:hAnsi="Arial" w:cs="Arial"/>
          <w:sz w:val="20"/>
          <w:szCs w:val="20"/>
        </w:rPr>
        <w:t xml:space="preserve"> leaves exhibited higher total phenolic and flavonoid contents and stronger antioxidant activity across multiple assays, demonstrating the effectiveness of alcohol-based solvents in phytochemical extraction (</w:t>
      </w:r>
      <w:r w:rsidR="00007B39" w:rsidRPr="003E18BB">
        <w:rPr>
          <w:rFonts w:ascii="Arial" w:hAnsi="Arial" w:cs="Arial"/>
          <w:sz w:val="20"/>
          <w:szCs w:val="20"/>
        </w:rPr>
        <w:t xml:space="preserve">Gavarić </w:t>
      </w:r>
      <w:r w:rsidR="00E41BF3" w:rsidRPr="003E18BB">
        <w:rPr>
          <w:rFonts w:ascii="Arial" w:hAnsi="Arial" w:cs="Arial"/>
          <w:i/>
          <w:iCs/>
          <w:sz w:val="20"/>
          <w:szCs w:val="20"/>
        </w:rPr>
        <w:t>et al</w:t>
      </w:r>
      <w:r w:rsidR="00007B39" w:rsidRPr="003E18BB">
        <w:rPr>
          <w:rFonts w:ascii="Arial" w:hAnsi="Arial" w:cs="Arial"/>
          <w:sz w:val="20"/>
          <w:szCs w:val="20"/>
        </w:rPr>
        <w:t xml:space="preserve">., </w:t>
      </w:r>
      <w:r w:rsidRPr="003E18BB">
        <w:rPr>
          <w:rFonts w:ascii="Arial" w:hAnsi="Arial" w:cs="Arial"/>
          <w:sz w:val="20"/>
          <w:szCs w:val="20"/>
        </w:rPr>
        <w:t xml:space="preserve">2025). Such phenolic and flavonoid compounds are recognized for their </w:t>
      </w:r>
      <w:r w:rsidRPr="003E18BB">
        <w:rPr>
          <w:rFonts w:ascii="Arial" w:hAnsi="Arial" w:cs="Arial"/>
          <w:sz w:val="20"/>
          <w:szCs w:val="20"/>
        </w:rPr>
        <w:lastRenderedPageBreak/>
        <w:t xml:space="preserve">radical-scavenging and health-promoting properties. Other studies have noted that extraction solvent choice significantly affects the qualitative and quantitative profile of phytoconstituents and associated biological activities in </w:t>
      </w:r>
      <w:r w:rsidRPr="003E18BB">
        <w:rPr>
          <w:rStyle w:val="Emphasis"/>
          <w:rFonts w:ascii="Arial" w:eastAsiaTheme="majorEastAsia" w:hAnsi="Arial" w:cs="Arial"/>
          <w:sz w:val="20"/>
          <w:szCs w:val="20"/>
        </w:rPr>
        <w:t>Artemisia</w:t>
      </w:r>
      <w:r w:rsidRPr="003E18BB">
        <w:rPr>
          <w:rFonts w:ascii="Arial" w:hAnsi="Arial" w:cs="Arial"/>
          <w:sz w:val="20"/>
          <w:szCs w:val="20"/>
        </w:rPr>
        <w:t xml:space="preserve"> species, with hydro-alcoholic mixtures often providing broader phytochemical coverage than purely polar or non-polar solvents (Liu </w:t>
      </w:r>
      <w:r w:rsidR="00E41BF3" w:rsidRPr="003E18BB">
        <w:rPr>
          <w:rFonts w:ascii="Arial" w:hAnsi="Arial" w:cs="Arial"/>
          <w:i/>
          <w:iCs/>
          <w:sz w:val="20"/>
          <w:szCs w:val="20"/>
        </w:rPr>
        <w:t>et al</w:t>
      </w:r>
      <w:r w:rsidRPr="003E18BB">
        <w:rPr>
          <w:rFonts w:ascii="Arial" w:hAnsi="Arial" w:cs="Arial"/>
          <w:sz w:val="20"/>
          <w:szCs w:val="20"/>
        </w:rPr>
        <w:t xml:space="preserve">., 2023). These findings corroborate the rich phytochemical profile observed in the hydro-ethanolic extract of </w:t>
      </w:r>
      <w:r w:rsidRPr="003E18BB">
        <w:rPr>
          <w:rStyle w:val="Emphasis"/>
          <w:rFonts w:ascii="Arial" w:eastAsiaTheme="majorEastAsia" w:hAnsi="Arial" w:cs="Arial"/>
          <w:sz w:val="20"/>
          <w:szCs w:val="20"/>
        </w:rPr>
        <w:t>A. annua</w:t>
      </w:r>
      <w:r w:rsidRPr="003E18BB">
        <w:rPr>
          <w:rFonts w:ascii="Arial" w:hAnsi="Arial" w:cs="Arial"/>
          <w:sz w:val="20"/>
          <w:szCs w:val="20"/>
        </w:rPr>
        <w:t xml:space="preserve"> in the current work</w:t>
      </w:r>
      <w:r w:rsidR="00107DFF" w:rsidRPr="003E18BB">
        <w:rPr>
          <w:rFonts w:ascii="Arial" w:hAnsi="Arial" w:cs="Arial"/>
          <w:sz w:val="20"/>
          <w:szCs w:val="20"/>
        </w:rPr>
        <w:t xml:space="preserve"> (Iqbal </w:t>
      </w:r>
      <w:r w:rsidR="00E41BF3" w:rsidRPr="003E18BB">
        <w:rPr>
          <w:rFonts w:ascii="Arial" w:hAnsi="Arial" w:cs="Arial"/>
          <w:i/>
          <w:iCs/>
          <w:sz w:val="20"/>
          <w:szCs w:val="20"/>
        </w:rPr>
        <w:t>et al</w:t>
      </w:r>
      <w:r w:rsidR="00107DFF" w:rsidRPr="003E18BB">
        <w:rPr>
          <w:rFonts w:ascii="Arial" w:hAnsi="Arial" w:cs="Arial"/>
          <w:sz w:val="20"/>
          <w:szCs w:val="20"/>
        </w:rPr>
        <w:t>., 2012)</w:t>
      </w:r>
      <w:r w:rsidRPr="003E18BB">
        <w:rPr>
          <w:rFonts w:ascii="Arial" w:hAnsi="Arial" w:cs="Arial"/>
          <w:sz w:val="20"/>
          <w:szCs w:val="20"/>
        </w:rPr>
        <w:t>.</w:t>
      </w:r>
    </w:p>
    <w:p w14:paraId="44B28F3E" w14:textId="0389C3CD" w:rsidR="00CB7BA0" w:rsidRPr="003E18BB" w:rsidRDefault="006F12F6" w:rsidP="00D71C73">
      <w:pPr>
        <w:pStyle w:val="NormalWeb"/>
        <w:spacing w:line="480" w:lineRule="auto"/>
        <w:jc w:val="both"/>
        <w:rPr>
          <w:rFonts w:ascii="Arial" w:hAnsi="Arial" w:cs="Arial"/>
          <w:sz w:val="20"/>
          <w:szCs w:val="20"/>
        </w:rPr>
      </w:pPr>
      <w:r w:rsidRPr="003E18BB">
        <w:rPr>
          <w:rFonts w:ascii="Arial" w:hAnsi="Arial" w:cs="Arial"/>
          <w:sz w:val="20"/>
          <w:szCs w:val="20"/>
        </w:rPr>
        <w:tab/>
      </w:r>
      <w:r w:rsidR="00CB7BA0" w:rsidRPr="003E18BB">
        <w:rPr>
          <w:rFonts w:ascii="Arial" w:hAnsi="Arial" w:cs="Arial"/>
          <w:sz w:val="20"/>
          <w:szCs w:val="20"/>
        </w:rPr>
        <w:t xml:space="preserve"> </w:t>
      </w:r>
      <w:r w:rsidRPr="003E18BB">
        <w:rPr>
          <w:rFonts w:ascii="Arial" w:hAnsi="Arial" w:cs="Arial"/>
          <w:sz w:val="20"/>
          <w:szCs w:val="20"/>
        </w:rPr>
        <w:t xml:space="preserve">The solvent-dependent variation in phytochemical profiles observed in this study aligns with current research demonstrating that solvent polarity critically influences the extraction of secondary metabolites in </w:t>
      </w:r>
      <w:r w:rsidRPr="003E18BB">
        <w:rPr>
          <w:rStyle w:val="Emphasis"/>
          <w:rFonts w:ascii="Arial" w:eastAsiaTheme="majorEastAsia" w:hAnsi="Arial" w:cs="Arial"/>
          <w:sz w:val="20"/>
          <w:szCs w:val="20"/>
        </w:rPr>
        <w:t>Artemisia annua</w:t>
      </w:r>
      <w:r w:rsidRPr="003E18BB">
        <w:rPr>
          <w:rFonts w:ascii="Arial" w:hAnsi="Arial" w:cs="Arial"/>
          <w:sz w:val="20"/>
          <w:szCs w:val="20"/>
        </w:rPr>
        <w:t>. Hydro-ethanolic and ethanolic solvents efficiently solubilize a broad spectrum of polar and mid-polar constituents, including flavonoids, phenolic acids, and sesquiterpene lactones, which are often associated with antioxidant and anti-inflammatory activities (</w:t>
      </w:r>
      <w:r w:rsidR="00C74D8C" w:rsidRPr="003E18BB">
        <w:rPr>
          <w:rFonts w:ascii="Arial" w:hAnsi="Arial" w:cs="Arial"/>
          <w:color w:val="212121"/>
          <w:sz w:val="20"/>
          <w:szCs w:val="20"/>
          <w:shd w:val="clear" w:color="auto" w:fill="FFFFFF"/>
        </w:rPr>
        <w:t xml:space="preserve">Abate </w:t>
      </w:r>
      <w:r w:rsidR="00E41BF3" w:rsidRPr="003E18BB">
        <w:rPr>
          <w:rStyle w:val="Emphasis"/>
          <w:rFonts w:ascii="Arial" w:eastAsiaTheme="majorEastAsia" w:hAnsi="Arial" w:cs="Arial"/>
          <w:sz w:val="20"/>
          <w:szCs w:val="20"/>
        </w:rPr>
        <w:t>et al</w:t>
      </w:r>
      <w:r w:rsidRPr="003E18BB">
        <w:rPr>
          <w:rFonts w:ascii="Arial" w:hAnsi="Arial" w:cs="Arial"/>
          <w:sz w:val="20"/>
          <w:szCs w:val="20"/>
        </w:rPr>
        <w:t>., 2021;</w:t>
      </w:r>
      <w:r w:rsidR="000852D1" w:rsidRPr="003E18BB">
        <w:rPr>
          <w:rFonts w:ascii="Arial" w:hAnsi="Arial" w:cs="Arial"/>
          <w:sz w:val="20"/>
          <w:szCs w:val="20"/>
        </w:rPr>
        <w:t xml:space="preserve"> Chebbac </w:t>
      </w:r>
      <w:r w:rsidR="00E41BF3" w:rsidRPr="003E18BB">
        <w:rPr>
          <w:rFonts w:ascii="Arial" w:hAnsi="Arial" w:cs="Arial"/>
          <w:i/>
          <w:iCs/>
          <w:sz w:val="20"/>
          <w:szCs w:val="20"/>
        </w:rPr>
        <w:t>et al</w:t>
      </w:r>
      <w:r w:rsidR="000852D1" w:rsidRPr="003E18BB">
        <w:rPr>
          <w:rFonts w:ascii="Arial" w:hAnsi="Arial" w:cs="Arial"/>
          <w:sz w:val="20"/>
          <w:szCs w:val="20"/>
        </w:rPr>
        <w:t>.,</w:t>
      </w:r>
      <w:r w:rsidRPr="003E18BB">
        <w:rPr>
          <w:rFonts w:ascii="Arial" w:hAnsi="Arial" w:cs="Arial"/>
          <w:sz w:val="20"/>
          <w:szCs w:val="20"/>
        </w:rPr>
        <w:t xml:space="preserve"> 2023). Ethanolic extraction at different concentrations has been shown to enhance the recovery of artemisinin, flavonols, phenolic acids, and low-molecular phenolics compared with aqueous or less polar solvents, consistent with the strong qualitative results (+++) recorded here (</w:t>
      </w:r>
      <w:r w:rsidR="00C74D8C" w:rsidRPr="003E18BB">
        <w:rPr>
          <w:rFonts w:ascii="Arial" w:hAnsi="Arial" w:cs="Arial"/>
          <w:color w:val="212121"/>
          <w:sz w:val="20"/>
          <w:szCs w:val="20"/>
          <w:shd w:val="clear" w:color="auto" w:fill="FFFFFF"/>
        </w:rPr>
        <w:t xml:space="preserve">Abate </w:t>
      </w:r>
      <w:r w:rsidR="00E41BF3" w:rsidRPr="003E18BB">
        <w:rPr>
          <w:rStyle w:val="Emphasis"/>
          <w:rFonts w:ascii="Arial" w:eastAsiaTheme="majorEastAsia" w:hAnsi="Arial" w:cs="Arial"/>
          <w:sz w:val="20"/>
          <w:szCs w:val="20"/>
        </w:rPr>
        <w:t>et al</w:t>
      </w:r>
      <w:r w:rsidRPr="003E18BB">
        <w:rPr>
          <w:rFonts w:ascii="Arial" w:hAnsi="Arial" w:cs="Arial"/>
          <w:sz w:val="20"/>
          <w:szCs w:val="20"/>
        </w:rPr>
        <w:t>., 2021). Studies comparing solvent efficacy also report that non-polar solvents preferentially extract lipophilic compounds such as sterols and certain terpenoids, while highly polar solvents yield predominantly phenolics and flavonoids, further validating the solvent-dependent profiles in the present screening (</w:t>
      </w:r>
      <w:r w:rsidR="002C5137" w:rsidRPr="003E18BB">
        <w:rPr>
          <w:rStyle w:val="Emphasis"/>
          <w:rFonts w:ascii="Arial" w:eastAsiaTheme="majorEastAsia" w:hAnsi="Arial" w:cs="Arial"/>
          <w:i w:val="0"/>
          <w:iCs w:val="0"/>
          <w:sz w:val="20"/>
          <w:szCs w:val="20"/>
        </w:rPr>
        <w:t xml:space="preserve">Iqbal </w:t>
      </w:r>
      <w:r w:rsidR="00E41BF3" w:rsidRPr="003E18BB">
        <w:rPr>
          <w:rStyle w:val="Emphasis"/>
          <w:rFonts w:ascii="Arial" w:eastAsiaTheme="majorEastAsia" w:hAnsi="Arial" w:cs="Arial"/>
          <w:sz w:val="20"/>
          <w:szCs w:val="20"/>
        </w:rPr>
        <w:t>et al</w:t>
      </w:r>
      <w:r w:rsidR="002C5137" w:rsidRPr="003E18BB">
        <w:rPr>
          <w:rStyle w:val="Emphasis"/>
          <w:rFonts w:ascii="Arial" w:eastAsiaTheme="majorEastAsia" w:hAnsi="Arial" w:cs="Arial"/>
          <w:i w:val="0"/>
          <w:iCs w:val="0"/>
          <w:sz w:val="20"/>
          <w:szCs w:val="20"/>
        </w:rPr>
        <w:t xml:space="preserve">., </w:t>
      </w:r>
      <w:r w:rsidRPr="003E18BB">
        <w:rPr>
          <w:rFonts w:ascii="Arial" w:hAnsi="Arial" w:cs="Arial"/>
          <w:sz w:val="20"/>
          <w:szCs w:val="20"/>
        </w:rPr>
        <w:t xml:space="preserve">2012; </w:t>
      </w:r>
      <w:r w:rsidR="00477E8B" w:rsidRPr="003E18BB">
        <w:rPr>
          <w:rFonts w:ascii="Arial" w:hAnsi="Arial" w:cs="Arial"/>
          <w:sz w:val="20"/>
          <w:szCs w:val="20"/>
        </w:rPr>
        <w:t xml:space="preserve">Siddiqui </w:t>
      </w:r>
      <w:r w:rsidR="00E41BF3" w:rsidRPr="003E18BB">
        <w:rPr>
          <w:rFonts w:ascii="Arial" w:hAnsi="Arial" w:cs="Arial"/>
          <w:i/>
          <w:iCs/>
          <w:sz w:val="20"/>
          <w:szCs w:val="20"/>
        </w:rPr>
        <w:t>et al</w:t>
      </w:r>
      <w:commentRangeStart w:id="6"/>
      <w:r w:rsidR="00477E8B" w:rsidRPr="003E18BB">
        <w:rPr>
          <w:rFonts w:ascii="Arial" w:hAnsi="Arial" w:cs="Arial"/>
          <w:sz w:val="20"/>
          <w:szCs w:val="20"/>
        </w:rPr>
        <w:t xml:space="preserve">., (2018); </w:t>
      </w:r>
      <w:commentRangeEnd w:id="6"/>
      <w:r w:rsidR="007445E3">
        <w:rPr>
          <w:rStyle w:val="CommentReference"/>
          <w:rFonts w:eastAsiaTheme="minorHAnsi" w:cstheme="minorBidi"/>
          <w:kern w:val="2"/>
          <w:lang w:eastAsia="en-US" w:bidi="ar-SA"/>
          <w14:ligatures w14:val="standardContextual"/>
        </w:rPr>
        <w:commentReference w:id="6"/>
      </w:r>
      <w:r w:rsidR="002C5137" w:rsidRPr="003E18BB">
        <w:rPr>
          <w:rFonts w:ascii="Arial" w:hAnsi="Arial" w:cs="Arial"/>
          <w:sz w:val="20"/>
          <w:szCs w:val="20"/>
        </w:rPr>
        <w:t xml:space="preserve">Trifan </w:t>
      </w:r>
      <w:r w:rsidR="00E41BF3" w:rsidRPr="003E18BB">
        <w:rPr>
          <w:rFonts w:ascii="Arial" w:hAnsi="Arial" w:cs="Arial"/>
          <w:i/>
          <w:iCs/>
          <w:sz w:val="20"/>
          <w:szCs w:val="20"/>
        </w:rPr>
        <w:t>et al</w:t>
      </w:r>
      <w:r w:rsidR="002C5137" w:rsidRPr="003E18BB">
        <w:rPr>
          <w:rFonts w:ascii="Arial" w:hAnsi="Arial" w:cs="Arial"/>
          <w:sz w:val="20"/>
          <w:szCs w:val="20"/>
        </w:rPr>
        <w:t xml:space="preserve">., </w:t>
      </w:r>
      <w:r w:rsidRPr="003E18BB">
        <w:rPr>
          <w:rFonts w:ascii="Arial" w:hAnsi="Arial" w:cs="Arial"/>
          <w:sz w:val="20"/>
          <w:szCs w:val="20"/>
        </w:rPr>
        <w:t>202</w:t>
      </w:r>
      <w:r w:rsidR="002C5137" w:rsidRPr="003E18BB">
        <w:rPr>
          <w:rFonts w:ascii="Arial" w:hAnsi="Arial" w:cs="Arial"/>
          <w:sz w:val="20"/>
          <w:szCs w:val="20"/>
        </w:rPr>
        <w:t>2</w:t>
      </w:r>
      <w:r w:rsidRPr="003E18BB">
        <w:rPr>
          <w:rFonts w:ascii="Arial" w:hAnsi="Arial" w:cs="Arial"/>
          <w:sz w:val="20"/>
          <w:szCs w:val="20"/>
        </w:rPr>
        <w:t>).</w:t>
      </w:r>
    </w:p>
    <w:p w14:paraId="6021CE8C" w14:textId="673F799D" w:rsidR="003E07C0" w:rsidRPr="003E18BB" w:rsidRDefault="003E07C0" w:rsidP="00D71C73">
      <w:pPr>
        <w:pStyle w:val="NormalWeb"/>
        <w:spacing w:line="480" w:lineRule="auto"/>
        <w:jc w:val="both"/>
        <w:rPr>
          <w:rFonts w:ascii="Arial" w:hAnsi="Arial" w:cs="Arial"/>
          <w:sz w:val="20"/>
          <w:szCs w:val="20"/>
        </w:rPr>
      </w:pPr>
      <w:r w:rsidRPr="003E18BB">
        <w:rPr>
          <w:rFonts w:ascii="Arial" w:hAnsi="Arial" w:cs="Arial"/>
          <w:sz w:val="20"/>
          <w:szCs w:val="20"/>
        </w:rPr>
        <w:tab/>
        <w:t xml:space="preserve">The bioactive sesquiterpene lactones in </w:t>
      </w:r>
      <w:r w:rsidRPr="003E18BB">
        <w:rPr>
          <w:rFonts w:ascii="Arial" w:hAnsi="Arial" w:cs="Arial"/>
          <w:i/>
          <w:iCs/>
          <w:sz w:val="20"/>
          <w:szCs w:val="20"/>
        </w:rPr>
        <w:t>Artemisia annua</w:t>
      </w:r>
      <w:r w:rsidRPr="003E18BB">
        <w:rPr>
          <w:rFonts w:ascii="Arial" w:hAnsi="Arial" w:cs="Arial"/>
          <w:sz w:val="20"/>
          <w:szCs w:val="20"/>
        </w:rPr>
        <w:t xml:space="preserve">, especially artemisinin, contribute not only to antimalarial activity but also exhibit inhibitory effects against other protozoan parasites. Artemisinin and related compounds have demonstrated </w:t>
      </w:r>
      <w:r w:rsidRPr="003E18BB">
        <w:rPr>
          <w:rFonts w:ascii="Arial" w:hAnsi="Arial" w:cs="Arial"/>
          <w:i/>
          <w:iCs/>
          <w:sz w:val="20"/>
          <w:szCs w:val="20"/>
        </w:rPr>
        <w:t>in vitro</w:t>
      </w:r>
      <w:r w:rsidRPr="003E18BB">
        <w:rPr>
          <w:rFonts w:ascii="Arial" w:hAnsi="Arial" w:cs="Arial"/>
          <w:sz w:val="20"/>
          <w:szCs w:val="20"/>
        </w:rPr>
        <w:t xml:space="preserve"> activity against </w:t>
      </w:r>
      <w:r w:rsidRPr="003E18BB">
        <w:rPr>
          <w:rFonts w:ascii="Arial" w:hAnsi="Arial" w:cs="Arial"/>
          <w:i/>
          <w:iCs/>
          <w:sz w:val="20"/>
          <w:szCs w:val="20"/>
        </w:rPr>
        <w:t>Trypanosoma cruzi</w:t>
      </w:r>
      <w:r w:rsidRPr="003E18BB">
        <w:rPr>
          <w:rFonts w:ascii="Arial" w:hAnsi="Arial" w:cs="Arial"/>
          <w:sz w:val="20"/>
          <w:szCs w:val="20"/>
        </w:rPr>
        <w:t xml:space="preserve"> and </w:t>
      </w:r>
      <w:r w:rsidRPr="003E18BB">
        <w:rPr>
          <w:rFonts w:ascii="Arial" w:hAnsi="Arial" w:cs="Arial"/>
          <w:i/>
          <w:iCs/>
          <w:sz w:val="20"/>
          <w:szCs w:val="20"/>
        </w:rPr>
        <w:t>Trypanosoma brucei</w:t>
      </w:r>
      <w:r w:rsidRPr="003E18BB">
        <w:rPr>
          <w:rFonts w:ascii="Arial" w:hAnsi="Arial" w:cs="Arial"/>
          <w:sz w:val="20"/>
          <w:szCs w:val="20"/>
        </w:rPr>
        <w:t xml:space="preserve"> rhodesiense, indicating potential trypanocidal properties beyond Plasmodium species (Mishina</w:t>
      </w:r>
      <w:r w:rsidR="00C96C38" w:rsidRPr="003E18BB">
        <w:rPr>
          <w:rFonts w:ascii="Arial" w:hAnsi="Arial" w:cs="Arial"/>
          <w:sz w:val="20"/>
          <w:szCs w:val="20"/>
        </w:rPr>
        <w:t xml:space="preserve"> </w:t>
      </w:r>
      <w:r w:rsidR="00E41BF3" w:rsidRPr="003E18BB">
        <w:rPr>
          <w:rFonts w:ascii="Arial" w:hAnsi="Arial" w:cs="Arial"/>
          <w:i/>
          <w:iCs/>
          <w:sz w:val="20"/>
          <w:szCs w:val="20"/>
        </w:rPr>
        <w:t>et al</w:t>
      </w:r>
      <w:r w:rsidR="00C96C38" w:rsidRPr="003E18BB">
        <w:rPr>
          <w:rFonts w:ascii="Arial" w:hAnsi="Arial" w:cs="Arial"/>
          <w:sz w:val="20"/>
          <w:szCs w:val="20"/>
        </w:rPr>
        <w:t>.,</w:t>
      </w:r>
      <w:r w:rsidRPr="003E18BB">
        <w:rPr>
          <w:rFonts w:ascii="Arial" w:hAnsi="Arial" w:cs="Arial"/>
          <w:sz w:val="20"/>
          <w:szCs w:val="20"/>
        </w:rPr>
        <w:t xml:space="preserve"> 2007). Additionally, </w:t>
      </w:r>
      <w:r w:rsidRPr="003E18BB">
        <w:rPr>
          <w:rFonts w:ascii="Arial" w:hAnsi="Arial" w:cs="Arial"/>
          <w:i/>
          <w:iCs/>
          <w:sz w:val="20"/>
          <w:szCs w:val="20"/>
        </w:rPr>
        <w:t>A. annua</w:t>
      </w:r>
      <w:r w:rsidRPr="003E18BB">
        <w:rPr>
          <w:rFonts w:ascii="Arial" w:hAnsi="Arial" w:cs="Arial"/>
          <w:sz w:val="20"/>
          <w:szCs w:val="20"/>
        </w:rPr>
        <w:t xml:space="preserve"> and its phytochemicals have shown promising anticoccidial effects; dietary supplementation with </w:t>
      </w:r>
      <w:r w:rsidRPr="003E18BB">
        <w:rPr>
          <w:rFonts w:ascii="Arial" w:hAnsi="Arial" w:cs="Arial"/>
          <w:i/>
          <w:iCs/>
          <w:sz w:val="20"/>
          <w:szCs w:val="20"/>
        </w:rPr>
        <w:t>A. annua</w:t>
      </w:r>
      <w:r w:rsidRPr="003E18BB">
        <w:rPr>
          <w:rFonts w:ascii="Arial" w:hAnsi="Arial" w:cs="Arial"/>
          <w:sz w:val="20"/>
          <w:szCs w:val="20"/>
        </w:rPr>
        <w:t xml:space="preserve"> leaf powder significantly reduced oocyst output and lesion scores in coccidiosis models in broiler chickens and lambs, highlighting its utility against </w:t>
      </w:r>
      <w:r w:rsidRPr="003E18BB">
        <w:rPr>
          <w:rFonts w:ascii="Arial" w:hAnsi="Arial" w:cs="Arial"/>
          <w:i/>
          <w:iCs/>
          <w:sz w:val="20"/>
          <w:szCs w:val="20"/>
        </w:rPr>
        <w:t>Eimeria</w:t>
      </w:r>
      <w:r w:rsidRPr="003E18BB">
        <w:rPr>
          <w:rFonts w:ascii="Arial" w:hAnsi="Arial" w:cs="Arial"/>
          <w:sz w:val="20"/>
          <w:szCs w:val="20"/>
        </w:rPr>
        <w:t xml:space="preserve"> infections in livestock (</w:t>
      </w:r>
      <w:r w:rsidR="006B37CB" w:rsidRPr="003E18BB">
        <w:rPr>
          <w:rFonts w:ascii="Arial" w:hAnsi="Arial" w:cs="Arial"/>
          <w:sz w:val="20"/>
          <w:szCs w:val="20"/>
        </w:rPr>
        <w:t xml:space="preserve">Liu </w:t>
      </w:r>
      <w:r w:rsidR="00E41BF3" w:rsidRPr="003E18BB">
        <w:rPr>
          <w:rFonts w:ascii="Arial" w:hAnsi="Arial" w:cs="Arial"/>
          <w:i/>
          <w:iCs/>
          <w:sz w:val="20"/>
          <w:szCs w:val="20"/>
        </w:rPr>
        <w:t>et al</w:t>
      </w:r>
      <w:r w:rsidRPr="003E18BB">
        <w:rPr>
          <w:rFonts w:ascii="Arial" w:hAnsi="Arial" w:cs="Arial"/>
          <w:sz w:val="20"/>
          <w:szCs w:val="20"/>
        </w:rPr>
        <w:t xml:space="preserve">., 2025; </w:t>
      </w:r>
      <w:r w:rsidR="006B37CB" w:rsidRPr="003E18BB">
        <w:rPr>
          <w:rFonts w:ascii="Arial" w:hAnsi="Arial" w:cs="Arial"/>
          <w:sz w:val="20"/>
          <w:szCs w:val="20"/>
        </w:rPr>
        <w:t xml:space="preserve">Coroian </w:t>
      </w:r>
      <w:r w:rsidR="00E41BF3" w:rsidRPr="003E18BB">
        <w:rPr>
          <w:rFonts w:ascii="Arial" w:hAnsi="Arial" w:cs="Arial"/>
          <w:i/>
          <w:iCs/>
          <w:sz w:val="20"/>
          <w:szCs w:val="20"/>
        </w:rPr>
        <w:t>et al</w:t>
      </w:r>
      <w:r w:rsidR="006B37CB" w:rsidRPr="003E18BB">
        <w:rPr>
          <w:rFonts w:ascii="Arial" w:hAnsi="Arial" w:cs="Arial"/>
          <w:sz w:val="20"/>
          <w:szCs w:val="20"/>
        </w:rPr>
        <w:t>.</w:t>
      </w:r>
      <w:r w:rsidRPr="003E18BB">
        <w:rPr>
          <w:rFonts w:ascii="Arial" w:hAnsi="Arial" w:cs="Arial"/>
          <w:sz w:val="20"/>
          <w:szCs w:val="20"/>
        </w:rPr>
        <w:t>, 202</w:t>
      </w:r>
      <w:r w:rsidR="006B37CB" w:rsidRPr="003E18BB">
        <w:rPr>
          <w:rFonts w:ascii="Arial" w:hAnsi="Arial" w:cs="Arial"/>
          <w:sz w:val="20"/>
          <w:szCs w:val="20"/>
        </w:rPr>
        <w:t>2</w:t>
      </w:r>
      <w:r w:rsidRPr="003E18BB">
        <w:rPr>
          <w:rFonts w:ascii="Arial" w:hAnsi="Arial" w:cs="Arial"/>
          <w:sz w:val="20"/>
          <w:szCs w:val="20"/>
        </w:rPr>
        <w:t xml:space="preserve">). </w:t>
      </w:r>
      <w:commentRangeStart w:id="7"/>
      <w:r w:rsidR="00E70BBF" w:rsidRPr="003E18BB">
        <w:rPr>
          <w:rFonts w:ascii="Arial" w:hAnsi="Arial" w:cs="Arial"/>
          <w:sz w:val="20"/>
          <w:szCs w:val="20"/>
        </w:rPr>
        <w:t>Recently</w:t>
      </w:r>
      <w:commentRangeEnd w:id="7"/>
      <w:r w:rsidR="00631C4F">
        <w:rPr>
          <w:rStyle w:val="CommentReference"/>
          <w:rFonts w:eastAsiaTheme="minorHAnsi" w:cstheme="minorBidi"/>
          <w:kern w:val="2"/>
          <w:lang w:eastAsia="en-US" w:bidi="ar-SA"/>
          <w14:ligatures w14:val="standardContextual"/>
        </w:rPr>
        <w:commentReference w:id="7"/>
      </w:r>
      <w:r w:rsidR="00E70BBF" w:rsidRPr="003E18BB">
        <w:rPr>
          <w:rFonts w:ascii="Arial" w:hAnsi="Arial" w:cs="Arial"/>
          <w:sz w:val="20"/>
          <w:szCs w:val="20"/>
        </w:rPr>
        <w:t xml:space="preserve"> </w:t>
      </w:r>
      <w:r w:rsidR="00E70BBF" w:rsidRPr="003E18BB">
        <w:rPr>
          <w:rFonts w:ascii="Arial" w:hAnsi="Arial" w:cs="Arial"/>
          <w:i/>
          <w:iCs/>
          <w:sz w:val="20"/>
          <w:szCs w:val="20"/>
        </w:rPr>
        <w:t xml:space="preserve">A. annua </w:t>
      </w:r>
      <w:r w:rsidR="00E70BBF" w:rsidRPr="003E18BB">
        <w:rPr>
          <w:rFonts w:ascii="Arial" w:hAnsi="Arial" w:cs="Arial"/>
          <w:sz w:val="20"/>
          <w:szCs w:val="20"/>
        </w:rPr>
        <w:t xml:space="preserve">has demonstrated potential effects against sub-clinical bovine tropical theileriosis (Siddiqui </w:t>
      </w:r>
      <w:r w:rsidR="00E41BF3" w:rsidRPr="003E18BB">
        <w:rPr>
          <w:rFonts w:ascii="Arial" w:hAnsi="Arial" w:cs="Arial"/>
          <w:i/>
          <w:iCs/>
          <w:sz w:val="20"/>
          <w:szCs w:val="20"/>
        </w:rPr>
        <w:t>et al</w:t>
      </w:r>
      <w:r w:rsidR="00E70BBF" w:rsidRPr="003E18BB">
        <w:rPr>
          <w:rFonts w:ascii="Arial" w:hAnsi="Arial" w:cs="Arial"/>
          <w:sz w:val="20"/>
          <w:szCs w:val="20"/>
        </w:rPr>
        <w:t xml:space="preserve">., 2026). </w:t>
      </w:r>
      <w:r w:rsidRPr="003E18BB">
        <w:rPr>
          <w:rFonts w:ascii="Arial" w:hAnsi="Arial" w:cs="Arial"/>
          <w:sz w:val="20"/>
          <w:szCs w:val="20"/>
        </w:rPr>
        <w:t xml:space="preserve">These findings support the broad antiparasitic potential of </w:t>
      </w:r>
      <w:r w:rsidRPr="003E18BB">
        <w:rPr>
          <w:rFonts w:ascii="Arial" w:hAnsi="Arial" w:cs="Arial"/>
          <w:i/>
          <w:iCs/>
          <w:sz w:val="20"/>
          <w:szCs w:val="20"/>
        </w:rPr>
        <w:t>A. annua</w:t>
      </w:r>
      <w:r w:rsidRPr="003E18BB">
        <w:rPr>
          <w:rFonts w:ascii="Arial" w:hAnsi="Arial" w:cs="Arial"/>
          <w:sz w:val="20"/>
          <w:szCs w:val="20"/>
        </w:rPr>
        <w:t xml:space="preserve"> constituents and underscore the </w:t>
      </w:r>
      <w:r w:rsidRPr="003E18BB">
        <w:rPr>
          <w:rFonts w:ascii="Arial" w:hAnsi="Arial" w:cs="Arial"/>
          <w:sz w:val="20"/>
          <w:szCs w:val="20"/>
        </w:rPr>
        <w:lastRenderedPageBreak/>
        <w:t xml:space="preserve">need for further research to elucidate mechanisms and optimize therapeutic applications in veterinary parasitology. </w:t>
      </w:r>
    </w:p>
    <w:p w14:paraId="53E1C648" w14:textId="776CE35B" w:rsidR="000E14F4" w:rsidRPr="003E18BB" w:rsidRDefault="000E14F4" w:rsidP="00D71C73">
      <w:pPr>
        <w:pStyle w:val="NormalWeb"/>
        <w:spacing w:line="480" w:lineRule="auto"/>
        <w:jc w:val="both"/>
        <w:rPr>
          <w:rFonts w:ascii="Arial" w:hAnsi="Arial" w:cs="Arial"/>
          <w:sz w:val="20"/>
          <w:szCs w:val="20"/>
        </w:rPr>
      </w:pPr>
      <w:r w:rsidRPr="003E18BB">
        <w:rPr>
          <w:rFonts w:ascii="Arial" w:hAnsi="Arial" w:cs="Arial"/>
          <w:sz w:val="20"/>
          <w:szCs w:val="20"/>
        </w:rPr>
        <w:tab/>
        <w:t xml:space="preserve">The absence of mortality and treatment-related clinical signs following oral administration of </w:t>
      </w:r>
      <w:r w:rsidRPr="003E18BB">
        <w:rPr>
          <w:rStyle w:val="Emphasis"/>
          <w:rFonts w:ascii="Arial" w:eastAsiaTheme="majorEastAsia" w:hAnsi="Arial" w:cs="Arial"/>
          <w:sz w:val="20"/>
          <w:szCs w:val="20"/>
        </w:rPr>
        <w:t>Artemisia annua</w:t>
      </w:r>
      <w:r w:rsidRPr="003E18BB">
        <w:rPr>
          <w:rFonts w:ascii="Arial" w:hAnsi="Arial" w:cs="Arial"/>
          <w:sz w:val="20"/>
          <w:szCs w:val="20"/>
        </w:rPr>
        <w:t xml:space="preserve"> extract up to 5000 mg/kg body weight indicates a high margin of safety under acute exposure conditions. Similar findings have been reported in earlier toxicological evaluations, where hydro-ethanolic and ethanolic extracts of </w:t>
      </w:r>
      <w:r w:rsidRPr="003E18BB">
        <w:rPr>
          <w:rStyle w:val="Emphasis"/>
          <w:rFonts w:ascii="Arial" w:eastAsiaTheme="majorEastAsia" w:hAnsi="Arial" w:cs="Arial"/>
          <w:sz w:val="20"/>
          <w:szCs w:val="20"/>
        </w:rPr>
        <w:t>A. annua</w:t>
      </w:r>
      <w:r w:rsidRPr="003E18BB">
        <w:rPr>
          <w:rFonts w:ascii="Arial" w:hAnsi="Arial" w:cs="Arial"/>
          <w:sz w:val="20"/>
          <w:szCs w:val="20"/>
        </w:rPr>
        <w:t xml:space="preserve"> produced no lethality or significant </w:t>
      </w:r>
      <w:r w:rsidR="00041274" w:rsidRPr="003E18BB">
        <w:rPr>
          <w:rFonts w:ascii="Arial" w:hAnsi="Arial" w:cs="Arial"/>
          <w:sz w:val="20"/>
          <w:szCs w:val="20"/>
        </w:rPr>
        <w:t>behavioural</w:t>
      </w:r>
      <w:r w:rsidRPr="003E18BB">
        <w:rPr>
          <w:rFonts w:ascii="Arial" w:hAnsi="Arial" w:cs="Arial"/>
          <w:sz w:val="20"/>
          <w:szCs w:val="20"/>
        </w:rPr>
        <w:t>, neurological, or systemic toxicity in rodents at doses up to 5000 mg/kg, suggesting an LD</w:t>
      </w:r>
      <w:r w:rsidRPr="003E18BB">
        <w:rPr>
          <w:rFonts w:ascii="Cambria Math" w:hAnsi="Cambria Math" w:cs="Cambria Math"/>
          <w:sz w:val="20"/>
          <w:szCs w:val="20"/>
        </w:rPr>
        <w:t>₅₀</w:t>
      </w:r>
      <w:r w:rsidRPr="003E18BB">
        <w:rPr>
          <w:rFonts w:ascii="Arial" w:hAnsi="Arial" w:cs="Arial"/>
          <w:sz w:val="20"/>
          <w:szCs w:val="20"/>
        </w:rPr>
        <w:t xml:space="preserve"> greater than this limit (Lagarto </w:t>
      </w:r>
      <w:r w:rsidR="00E41BF3" w:rsidRPr="003E18BB">
        <w:rPr>
          <w:rFonts w:ascii="Arial" w:hAnsi="Arial" w:cs="Arial"/>
          <w:i/>
          <w:iCs/>
          <w:sz w:val="20"/>
          <w:szCs w:val="20"/>
        </w:rPr>
        <w:t>et al</w:t>
      </w:r>
      <w:r w:rsidRPr="003E18BB">
        <w:rPr>
          <w:rFonts w:ascii="Arial" w:hAnsi="Arial" w:cs="Arial"/>
          <w:sz w:val="20"/>
          <w:szCs w:val="20"/>
        </w:rPr>
        <w:t>., 2020</w:t>
      </w:r>
      <w:r w:rsidR="00477E8B" w:rsidRPr="003E18BB">
        <w:rPr>
          <w:rFonts w:ascii="Arial" w:hAnsi="Arial" w:cs="Arial"/>
          <w:sz w:val="20"/>
          <w:szCs w:val="20"/>
        </w:rPr>
        <w:t xml:space="preserve">; Siddiqui </w:t>
      </w:r>
      <w:r w:rsidR="00E41BF3" w:rsidRPr="003E18BB">
        <w:rPr>
          <w:rFonts w:ascii="Arial" w:hAnsi="Arial" w:cs="Arial"/>
          <w:i/>
          <w:iCs/>
          <w:sz w:val="20"/>
          <w:szCs w:val="20"/>
        </w:rPr>
        <w:t>et al</w:t>
      </w:r>
      <w:r w:rsidR="00477E8B" w:rsidRPr="003E18BB">
        <w:rPr>
          <w:rFonts w:ascii="Arial" w:hAnsi="Arial" w:cs="Arial"/>
          <w:sz w:val="20"/>
          <w:szCs w:val="20"/>
        </w:rPr>
        <w:t>., 2018</w:t>
      </w:r>
      <w:r w:rsidRPr="003E18BB">
        <w:rPr>
          <w:rFonts w:ascii="Arial" w:hAnsi="Arial" w:cs="Arial"/>
          <w:sz w:val="20"/>
          <w:szCs w:val="20"/>
        </w:rPr>
        <w:t xml:space="preserve">). Additionally, comprehensive safety assessments of </w:t>
      </w:r>
      <w:r w:rsidRPr="003E18BB">
        <w:rPr>
          <w:rStyle w:val="Emphasis"/>
          <w:rFonts w:ascii="Arial" w:eastAsiaTheme="majorEastAsia" w:hAnsi="Arial" w:cs="Arial"/>
          <w:sz w:val="20"/>
          <w:szCs w:val="20"/>
        </w:rPr>
        <w:t>A. annua</w:t>
      </w:r>
      <w:r w:rsidRPr="003E18BB">
        <w:rPr>
          <w:rFonts w:ascii="Arial" w:hAnsi="Arial" w:cs="Arial"/>
          <w:sz w:val="20"/>
          <w:szCs w:val="20"/>
        </w:rPr>
        <w:t xml:space="preserve">–derived preparations have demonstrated minimal acute toxicity, supporting their classification as practically non-toxic when administered orally (Ferreira </w:t>
      </w:r>
      <w:r w:rsidR="00E41BF3" w:rsidRPr="003E18BB">
        <w:rPr>
          <w:rFonts w:ascii="Arial" w:hAnsi="Arial" w:cs="Arial"/>
          <w:i/>
          <w:iCs/>
          <w:sz w:val="20"/>
          <w:szCs w:val="20"/>
        </w:rPr>
        <w:t>et al</w:t>
      </w:r>
      <w:r w:rsidRPr="003E18BB">
        <w:rPr>
          <w:rFonts w:ascii="Arial" w:hAnsi="Arial" w:cs="Arial"/>
          <w:sz w:val="20"/>
          <w:szCs w:val="20"/>
        </w:rPr>
        <w:t xml:space="preserve">., 2010). The present findings are consistent with OECD guideline 420 criteria and support the continued preclinical development of </w:t>
      </w:r>
      <w:r w:rsidRPr="003E18BB">
        <w:rPr>
          <w:rStyle w:val="Emphasis"/>
          <w:rFonts w:ascii="Arial" w:eastAsiaTheme="majorEastAsia" w:hAnsi="Arial" w:cs="Arial"/>
          <w:sz w:val="20"/>
          <w:szCs w:val="20"/>
        </w:rPr>
        <w:t>A. annua</w:t>
      </w:r>
      <w:r w:rsidRPr="003E18BB">
        <w:rPr>
          <w:rFonts w:ascii="Arial" w:hAnsi="Arial" w:cs="Arial"/>
          <w:sz w:val="20"/>
          <w:szCs w:val="20"/>
        </w:rPr>
        <w:t xml:space="preserve"> extracts for pharmacological applications</w:t>
      </w:r>
      <w:r w:rsidR="00C840BD" w:rsidRPr="003E18BB">
        <w:rPr>
          <w:rFonts w:ascii="Arial" w:hAnsi="Arial" w:cs="Arial"/>
          <w:sz w:val="20"/>
          <w:szCs w:val="20"/>
        </w:rPr>
        <w:t xml:space="preserve"> (OECD, 2002)</w:t>
      </w:r>
      <w:r w:rsidRPr="003E18BB">
        <w:rPr>
          <w:rFonts w:ascii="Arial" w:hAnsi="Arial" w:cs="Arial"/>
          <w:sz w:val="20"/>
          <w:szCs w:val="20"/>
        </w:rPr>
        <w:t>.</w:t>
      </w:r>
    </w:p>
    <w:p w14:paraId="58DE19AC" w14:textId="77777777" w:rsidR="00041274" w:rsidRPr="003E18BB" w:rsidRDefault="000E14F4" w:rsidP="00D71C73">
      <w:pPr>
        <w:pStyle w:val="NormalWeb"/>
        <w:spacing w:line="480" w:lineRule="auto"/>
        <w:jc w:val="both"/>
        <w:rPr>
          <w:rFonts w:ascii="Arial" w:hAnsi="Arial" w:cs="Arial"/>
          <w:sz w:val="20"/>
          <w:szCs w:val="20"/>
        </w:rPr>
      </w:pPr>
      <w:r w:rsidRPr="003E18BB">
        <w:rPr>
          <w:rFonts w:ascii="Arial" w:hAnsi="Arial" w:cs="Arial"/>
          <w:sz w:val="20"/>
          <w:szCs w:val="20"/>
        </w:rPr>
        <w:tab/>
      </w:r>
      <w:r w:rsidR="00041274" w:rsidRPr="003E18BB">
        <w:rPr>
          <w:rFonts w:ascii="Arial" w:hAnsi="Arial" w:cs="Arial"/>
          <w:sz w:val="20"/>
          <w:szCs w:val="20"/>
        </w:rPr>
        <w:t xml:space="preserve">The results of the present study revealed that </w:t>
      </w:r>
      <w:r w:rsidR="00041274" w:rsidRPr="003E18BB">
        <w:rPr>
          <w:rStyle w:val="Emphasis"/>
          <w:rFonts w:ascii="Arial" w:eastAsiaTheme="majorEastAsia" w:hAnsi="Arial" w:cs="Arial"/>
          <w:sz w:val="20"/>
          <w:szCs w:val="20"/>
        </w:rPr>
        <w:t>Artemisia annua</w:t>
      </w:r>
      <w:r w:rsidR="00041274" w:rsidRPr="003E18BB">
        <w:rPr>
          <w:rFonts w:ascii="Arial" w:hAnsi="Arial" w:cs="Arial"/>
          <w:sz w:val="20"/>
          <w:szCs w:val="20"/>
        </w:rPr>
        <w:t xml:space="preserve"> extract contains a wide range of phytoconstituents, which may collectively contribute to its diverse pharmacological activities. The presence of multiple bioactive classes suggests possible synergistic interactions that could enhance therapeutic efficacy. However, the current findings are limited to qualitative assessment, and comprehensive quantitative analysis is warranted. Further studies are therefore required to evaluate different extracts from various plant parts of </w:t>
      </w:r>
      <w:r w:rsidR="00041274" w:rsidRPr="003E18BB">
        <w:rPr>
          <w:rStyle w:val="Emphasis"/>
          <w:rFonts w:ascii="Arial" w:eastAsiaTheme="majorEastAsia" w:hAnsi="Arial" w:cs="Arial"/>
          <w:sz w:val="20"/>
          <w:szCs w:val="20"/>
        </w:rPr>
        <w:t>A. annua</w:t>
      </w:r>
      <w:r w:rsidR="00041274" w:rsidRPr="003E18BB">
        <w:rPr>
          <w:rFonts w:ascii="Arial" w:hAnsi="Arial" w:cs="Arial"/>
          <w:sz w:val="20"/>
          <w:szCs w:val="20"/>
        </w:rPr>
        <w:t xml:space="preserve"> and to systematically investigate their pharmacological activities through </w:t>
      </w:r>
      <w:r w:rsidR="00041274" w:rsidRPr="003E18BB">
        <w:rPr>
          <w:rFonts w:ascii="Arial" w:hAnsi="Arial" w:cs="Arial"/>
          <w:i/>
          <w:iCs/>
          <w:sz w:val="20"/>
          <w:szCs w:val="20"/>
        </w:rPr>
        <w:t>in-vitro</w:t>
      </w:r>
      <w:r w:rsidR="00041274" w:rsidRPr="003E18BB">
        <w:rPr>
          <w:rFonts w:ascii="Arial" w:hAnsi="Arial" w:cs="Arial"/>
          <w:sz w:val="20"/>
          <w:szCs w:val="20"/>
        </w:rPr>
        <w:t xml:space="preserve"> and </w:t>
      </w:r>
      <w:r w:rsidR="00041274" w:rsidRPr="003E18BB">
        <w:rPr>
          <w:rFonts w:ascii="Arial" w:hAnsi="Arial" w:cs="Arial"/>
          <w:i/>
          <w:iCs/>
          <w:sz w:val="20"/>
          <w:szCs w:val="20"/>
        </w:rPr>
        <w:t>in-vivo</w:t>
      </w:r>
      <w:r w:rsidR="00041274" w:rsidRPr="003E18BB">
        <w:rPr>
          <w:rFonts w:ascii="Arial" w:hAnsi="Arial" w:cs="Arial"/>
          <w:sz w:val="20"/>
          <w:szCs w:val="20"/>
        </w:rPr>
        <w:t xml:space="preserve"> models.</w:t>
      </w:r>
    </w:p>
    <w:p w14:paraId="3C5CF898" w14:textId="20E02018" w:rsidR="006E516F" w:rsidRPr="003E18BB" w:rsidRDefault="00525209" w:rsidP="00D71C73">
      <w:pPr>
        <w:spacing w:line="480" w:lineRule="auto"/>
        <w:jc w:val="both"/>
        <w:rPr>
          <w:rFonts w:ascii="Arial" w:hAnsi="Arial" w:cs="Arial"/>
          <w:sz w:val="22"/>
        </w:rPr>
      </w:pPr>
      <w:r w:rsidRPr="003E18BB">
        <w:rPr>
          <w:rFonts w:ascii="Arial" w:hAnsi="Arial" w:cs="Arial"/>
          <w:b/>
          <w:bCs/>
          <w:sz w:val="22"/>
        </w:rPr>
        <w:t>4. CONCLUSIONS</w:t>
      </w:r>
    </w:p>
    <w:p w14:paraId="77FD62FA" w14:textId="77777777" w:rsidR="003C0BA8" w:rsidRPr="003E18BB" w:rsidRDefault="003C0BA8" w:rsidP="00D71C73">
      <w:pPr>
        <w:pStyle w:val="NormalWeb"/>
        <w:spacing w:line="480" w:lineRule="auto"/>
        <w:ind w:firstLine="720"/>
        <w:jc w:val="both"/>
        <w:rPr>
          <w:rFonts w:ascii="Arial" w:hAnsi="Arial" w:cs="Arial"/>
          <w:sz w:val="20"/>
          <w:szCs w:val="20"/>
        </w:rPr>
      </w:pPr>
      <w:r w:rsidRPr="003E18BB">
        <w:rPr>
          <w:rStyle w:val="Emphasis"/>
          <w:rFonts w:ascii="Arial" w:eastAsiaTheme="majorEastAsia" w:hAnsi="Arial" w:cs="Arial"/>
          <w:sz w:val="20"/>
          <w:szCs w:val="20"/>
        </w:rPr>
        <w:t>Artemisia annua</w:t>
      </w:r>
      <w:r w:rsidRPr="003E18BB">
        <w:rPr>
          <w:rFonts w:ascii="Arial" w:hAnsi="Arial" w:cs="Arial"/>
          <w:sz w:val="20"/>
          <w:szCs w:val="20"/>
        </w:rPr>
        <w:t xml:space="preserve"> contains a diverse range of bioactive phytochemicals, with hydro-ethanolic extraction yielding the most comprehensive profile. Acute oral toxicity in Wistar rats (OECD 420) showed the extract is safe up to 5000 mg/kg with no adverse effects. These results support its therapeutic potential, warranting further pharmacological and mechanistic studies.</w:t>
      </w:r>
    </w:p>
    <w:p w14:paraId="458AB783" w14:textId="77777777" w:rsidR="000D5ACD" w:rsidRDefault="000D5ACD" w:rsidP="00D71C73">
      <w:pPr>
        <w:spacing w:line="480" w:lineRule="auto"/>
        <w:jc w:val="both"/>
        <w:rPr>
          <w:rFonts w:ascii="Arial" w:hAnsi="Arial" w:cs="Arial"/>
          <w:b/>
          <w:bCs/>
          <w:sz w:val="22"/>
        </w:rPr>
      </w:pPr>
    </w:p>
    <w:p w14:paraId="561955A5" w14:textId="77777777" w:rsidR="000D5ACD" w:rsidRDefault="000D5ACD" w:rsidP="00D71C73">
      <w:pPr>
        <w:spacing w:line="480" w:lineRule="auto"/>
        <w:jc w:val="both"/>
        <w:rPr>
          <w:rFonts w:ascii="Arial" w:hAnsi="Arial" w:cs="Arial"/>
          <w:b/>
          <w:bCs/>
          <w:sz w:val="22"/>
        </w:rPr>
      </w:pPr>
    </w:p>
    <w:p w14:paraId="48753E38" w14:textId="77777777" w:rsidR="000D5ACD" w:rsidRDefault="000D5ACD" w:rsidP="00D71C73">
      <w:pPr>
        <w:spacing w:line="480" w:lineRule="auto"/>
        <w:jc w:val="both"/>
        <w:rPr>
          <w:rFonts w:ascii="Arial" w:hAnsi="Arial" w:cs="Arial"/>
          <w:b/>
          <w:bCs/>
          <w:sz w:val="22"/>
        </w:rPr>
      </w:pPr>
    </w:p>
    <w:p w14:paraId="2452DACA" w14:textId="24F790A8" w:rsidR="00621074" w:rsidRPr="003E18BB" w:rsidRDefault="00621074" w:rsidP="00D71C73">
      <w:pPr>
        <w:spacing w:line="480" w:lineRule="auto"/>
        <w:jc w:val="both"/>
        <w:rPr>
          <w:rFonts w:ascii="Arial" w:hAnsi="Arial" w:cs="Arial"/>
          <w:b/>
          <w:bCs/>
          <w:sz w:val="22"/>
        </w:rPr>
      </w:pPr>
      <w:r w:rsidRPr="003E18BB">
        <w:rPr>
          <w:rFonts w:ascii="Arial" w:hAnsi="Arial" w:cs="Arial"/>
          <w:b/>
          <w:bCs/>
          <w:sz w:val="22"/>
        </w:rPr>
        <w:t>ETHICAL APPROVAL</w:t>
      </w:r>
    </w:p>
    <w:p w14:paraId="5FDFC554" w14:textId="63AAC2C8" w:rsidR="00DD7958" w:rsidRDefault="008C41A7" w:rsidP="00725A15">
      <w:pPr>
        <w:spacing w:line="480" w:lineRule="auto"/>
        <w:ind w:firstLine="720"/>
        <w:jc w:val="both"/>
        <w:rPr>
          <w:rFonts w:ascii="Arial" w:hAnsi="Arial" w:cs="Arial"/>
          <w:sz w:val="20"/>
          <w:szCs w:val="20"/>
        </w:rPr>
      </w:pPr>
      <w:r w:rsidRPr="003E18BB">
        <w:rPr>
          <w:rFonts w:ascii="Arial" w:hAnsi="Arial" w:cs="Arial"/>
          <w:sz w:val="20"/>
          <w:szCs w:val="20"/>
        </w:rPr>
        <w:t xml:space="preserve">The research </w:t>
      </w:r>
      <w:r w:rsidR="00725A15" w:rsidRPr="003E18BB">
        <w:rPr>
          <w:rFonts w:ascii="Arial" w:hAnsi="Arial" w:cs="Arial"/>
          <w:sz w:val="20"/>
          <w:szCs w:val="20"/>
        </w:rPr>
        <w:t>work</w:t>
      </w:r>
      <w:r w:rsidRPr="003E18BB">
        <w:rPr>
          <w:rFonts w:ascii="Arial" w:hAnsi="Arial" w:cs="Arial"/>
          <w:sz w:val="20"/>
          <w:szCs w:val="20"/>
        </w:rPr>
        <w:t xml:space="preserve"> protocol has been approved by the Institutional Animal Ethics Committee (IAEC), </w:t>
      </w:r>
      <w:r w:rsidR="00725A15" w:rsidRPr="003E18BB">
        <w:rPr>
          <w:rFonts w:ascii="Arial" w:hAnsi="Arial" w:cs="Arial"/>
          <w:sz w:val="20"/>
          <w:szCs w:val="20"/>
        </w:rPr>
        <w:t>College</w:t>
      </w:r>
      <w:r w:rsidRPr="003E18BB">
        <w:rPr>
          <w:rFonts w:ascii="Arial" w:hAnsi="Arial" w:cs="Arial"/>
          <w:sz w:val="20"/>
          <w:szCs w:val="20"/>
        </w:rPr>
        <w:t xml:space="preserve"> of Veterinary and Animal Sciences, </w:t>
      </w:r>
      <w:r w:rsidR="00725A15" w:rsidRPr="003E18BB">
        <w:rPr>
          <w:rFonts w:ascii="Arial" w:hAnsi="Arial" w:cs="Arial"/>
          <w:sz w:val="20"/>
          <w:szCs w:val="20"/>
        </w:rPr>
        <w:t>Parbhani</w:t>
      </w:r>
      <w:r w:rsidRPr="003E18BB">
        <w:rPr>
          <w:rFonts w:ascii="Arial" w:hAnsi="Arial" w:cs="Arial"/>
          <w:sz w:val="20"/>
          <w:szCs w:val="20"/>
        </w:rPr>
        <w:t xml:space="preserve"> and Board of Studies of </w:t>
      </w:r>
      <w:r w:rsidR="00725A15" w:rsidRPr="003E18BB">
        <w:rPr>
          <w:rFonts w:ascii="Arial" w:hAnsi="Arial" w:cs="Arial"/>
          <w:sz w:val="20"/>
          <w:szCs w:val="20"/>
        </w:rPr>
        <w:t xml:space="preserve">Maharashtra Animal and Fishery Sciences </w:t>
      </w:r>
      <w:r w:rsidRPr="003E18BB">
        <w:rPr>
          <w:rFonts w:ascii="Arial" w:hAnsi="Arial" w:cs="Arial"/>
          <w:sz w:val="20"/>
          <w:szCs w:val="20"/>
        </w:rPr>
        <w:t>University</w:t>
      </w:r>
      <w:r w:rsidR="00725A15" w:rsidRPr="003E18BB">
        <w:rPr>
          <w:rFonts w:ascii="Arial" w:hAnsi="Arial" w:cs="Arial"/>
          <w:sz w:val="20"/>
          <w:szCs w:val="20"/>
        </w:rPr>
        <w:t>, Nagpur</w:t>
      </w:r>
      <w:r w:rsidRPr="003E18BB">
        <w:rPr>
          <w:rFonts w:ascii="Arial" w:hAnsi="Arial" w:cs="Arial"/>
          <w:sz w:val="20"/>
          <w:szCs w:val="20"/>
        </w:rPr>
        <w:t xml:space="preserve"> and the experiment was performed </w:t>
      </w:r>
      <w:r w:rsidR="00725A15" w:rsidRPr="003E18BB">
        <w:rPr>
          <w:rFonts w:ascii="Arial" w:hAnsi="Arial" w:cs="Arial"/>
          <w:sz w:val="20"/>
          <w:szCs w:val="20"/>
        </w:rPr>
        <w:t>according to</w:t>
      </w:r>
      <w:r w:rsidRPr="003E18BB">
        <w:rPr>
          <w:rFonts w:ascii="Arial" w:hAnsi="Arial" w:cs="Arial"/>
          <w:sz w:val="20"/>
          <w:szCs w:val="20"/>
        </w:rPr>
        <w:t xml:space="preserve"> internationally accepted standard</w:t>
      </w:r>
      <w:r w:rsidR="00725A15" w:rsidRPr="003E18BB">
        <w:rPr>
          <w:rFonts w:ascii="Arial" w:hAnsi="Arial" w:cs="Arial"/>
          <w:sz w:val="20"/>
          <w:szCs w:val="20"/>
        </w:rPr>
        <w:t>s of</w:t>
      </w:r>
      <w:r w:rsidRPr="003E18BB">
        <w:rPr>
          <w:rFonts w:ascii="Arial" w:hAnsi="Arial" w:cs="Arial"/>
          <w:sz w:val="20"/>
          <w:szCs w:val="20"/>
        </w:rPr>
        <w:t xml:space="preserve"> ethical guidelines for animal use and care.</w:t>
      </w:r>
    </w:p>
    <w:p w14:paraId="011ED9F2" w14:textId="77777777" w:rsidR="00583141" w:rsidRPr="00583141" w:rsidRDefault="00583141" w:rsidP="00583141">
      <w:pPr>
        <w:spacing w:line="480" w:lineRule="auto"/>
        <w:jc w:val="both"/>
        <w:rPr>
          <w:rFonts w:ascii="Arial" w:hAnsi="Arial" w:cs="Arial"/>
          <w:b/>
          <w:sz w:val="20"/>
          <w:szCs w:val="20"/>
          <w:lang w:val="en-US"/>
        </w:rPr>
      </w:pPr>
      <w:r w:rsidRPr="00583141">
        <w:rPr>
          <w:rFonts w:ascii="Arial" w:hAnsi="Arial" w:cs="Arial"/>
          <w:b/>
          <w:sz w:val="20"/>
          <w:szCs w:val="20"/>
          <w:lang w:val="en-US"/>
        </w:rPr>
        <w:t>Disclaimer (Artificial Intelligence)</w:t>
      </w:r>
    </w:p>
    <w:p w14:paraId="179BBDDB" w14:textId="20622238" w:rsidR="00583141" w:rsidRPr="00583141" w:rsidRDefault="00583141" w:rsidP="008A7B75">
      <w:pPr>
        <w:spacing w:line="480" w:lineRule="auto"/>
        <w:ind w:firstLine="720"/>
        <w:jc w:val="both"/>
        <w:rPr>
          <w:rFonts w:ascii="Arial" w:hAnsi="Arial" w:cs="Arial"/>
          <w:sz w:val="20"/>
          <w:szCs w:val="20"/>
          <w:lang w:val="en-US"/>
        </w:rPr>
      </w:pPr>
      <w:r w:rsidRPr="00583141">
        <w:rPr>
          <w:rFonts w:ascii="Arial" w:hAnsi="Arial" w:cs="Arial"/>
          <w:sz w:val="20"/>
          <w:szCs w:val="20"/>
          <w:lang w:val="en-US"/>
        </w:rPr>
        <w:t xml:space="preserve">Authors hereby declare that NO generative AI technologies such as Large Language Models (ChatGPT, COPILOT, etc.) and text-to-image generators have been used during the writing or editing of this manuscript. </w:t>
      </w:r>
    </w:p>
    <w:p w14:paraId="1F91A88B" w14:textId="7C05A7AE" w:rsidR="006E516F" w:rsidRPr="003E18BB" w:rsidRDefault="00621074" w:rsidP="00D71C73">
      <w:pPr>
        <w:spacing w:line="480" w:lineRule="auto"/>
        <w:jc w:val="both"/>
        <w:rPr>
          <w:rFonts w:ascii="Arial" w:hAnsi="Arial" w:cs="Arial"/>
          <w:sz w:val="22"/>
        </w:rPr>
      </w:pPr>
      <w:r w:rsidRPr="003E18BB">
        <w:rPr>
          <w:rFonts w:ascii="Arial" w:hAnsi="Arial" w:cs="Arial"/>
          <w:b/>
          <w:bCs/>
          <w:sz w:val="22"/>
        </w:rPr>
        <w:t>REFERENCES</w:t>
      </w:r>
    </w:p>
    <w:p w14:paraId="3932BAC5"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Abate, G., Zhang, L., Pucci, M., Morbini, G., Mac Sweeney, E., Maccarinelli, G., Ribaudo, G., Gianoncelli, A., Uberti, D., Memo, M., Lucini, L., &amp; Mastinu, A. (2021). Phytochemical analysis and anti-inflammatory activity of different ethanolic phyto-extracts of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L. </w:t>
      </w:r>
      <w:r w:rsidRPr="003E18BB">
        <w:rPr>
          <w:rFonts w:ascii="Arial" w:eastAsia="Times New Roman" w:hAnsi="Arial" w:cs="Arial"/>
          <w:i/>
          <w:iCs/>
          <w:kern w:val="0"/>
          <w:sz w:val="20"/>
          <w:szCs w:val="20"/>
          <w:lang w:eastAsia="en-IN" w:bidi="hi-IN"/>
          <w14:ligatures w14:val="none"/>
        </w:rPr>
        <w:t>Biomolecules, 11</w:t>
      </w:r>
      <w:r w:rsidRPr="003E18BB">
        <w:rPr>
          <w:rFonts w:ascii="Arial" w:eastAsia="Times New Roman" w:hAnsi="Arial" w:cs="Arial"/>
          <w:kern w:val="0"/>
          <w:sz w:val="20"/>
          <w:szCs w:val="20"/>
          <w:lang w:eastAsia="en-IN" w:bidi="hi-IN"/>
          <w14:ligatures w14:val="none"/>
        </w:rPr>
        <w:t xml:space="preserve">(7), 975. </w:t>
      </w:r>
      <w:hyperlink r:id="rId9" w:tgtFrame="_new" w:history="1">
        <w:r w:rsidRPr="003E18BB">
          <w:rPr>
            <w:rFonts w:ascii="Arial" w:eastAsia="Times New Roman" w:hAnsi="Arial" w:cs="Arial"/>
            <w:color w:val="0000FF"/>
            <w:kern w:val="0"/>
            <w:sz w:val="20"/>
            <w:szCs w:val="20"/>
            <w:u w:val="single"/>
            <w:lang w:eastAsia="en-IN" w:bidi="hi-IN"/>
            <w14:ligatures w14:val="none"/>
          </w:rPr>
          <w:t>https://doi.org/10.3390/biom11070975</w:t>
        </w:r>
      </w:hyperlink>
    </w:p>
    <w:p w14:paraId="6A33DDD9"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Abdallah, I. I., Mahmoud, H. A., El-Sebakhy, N. A., &amp; Mahgoub, Y. A. (2025). Comparative phytochemical profiling and authentication of four </w:t>
      </w:r>
      <w:r w:rsidRPr="003E18BB">
        <w:rPr>
          <w:rFonts w:ascii="Arial" w:eastAsia="Times New Roman" w:hAnsi="Arial" w:cs="Arial"/>
          <w:i/>
          <w:iCs/>
          <w:kern w:val="0"/>
          <w:sz w:val="20"/>
          <w:szCs w:val="20"/>
          <w:lang w:eastAsia="en-IN" w:bidi="hi-IN"/>
          <w14:ligatures w14:val="none"/>
        </w:rPr>
        <w:t>Artemisia</w:t>
      </w:r>
      <w:r w:rsidRPr="003E18BB">
        <w:rPr>
          <w:rFonts w:ascii="Arial" w:eastAsia="Times New Roman" w:hAnsi="Arial" w:cs="Arial"/>
          <w:kern w:val="0"/>
          <w:sz w:val="20"/>
          <w:szCs w:val="20"/>
          <w:lang w:eastAsia="en-IN" w:bidi="hi-IN"/>
          <w14:ligatures w14:val="none"/>
        </w:rPr>
        <w:t xml:space="preserve"> species using integrated GC-MS, HPTLC and NIR spectroscopy approach. </w:t>
      </w:r>
      <w:r w:rsidRPr="003E18BB">
        <w:rPr>
          <w:rFonts w:ascii="Arial" w:eastAsia="Times New Roman" w:hAnsi="Arial" w:cs="Arial"/>
          <w:i/>
          <w:iCs/>
          <w:kern w:val="0"/>
          <w:sz w:val="20"/>
          <w:szCs w:val="20"/>
          <w:lang w:eastAsia="en-IN" w:bidi="hi-IN"/>
          <w14:ligatures w14:val="none"/>
        </w:rPr>
        <w:t>BMC Chemistry, 19</w:t>
      </w:r>
      <w:r w:rsidRPr="003E18BB">
        <w:rPr>
          <w:rFonts w:ascii="Arial" w:eastAsia="Times New Roman" w:hAnsi="Arial" w:cs="Arial"/>
          <w:kern w:val="0"/>
          <w:sz w:val="20"/>
          <w:szCs w:val="20"/>
          <w:lang w:eastAsia="en-IN" w:bidi="hi-IN"/>
          <w14:ligatures w14:val="none"/>
        </w:rPr>
        <w:t xml:space="preserve">(1), 100. </w:t>
      </w:r>
      <w:hyperlink r:id="rId10" w:tgtFrame="_new" w:history="1">
        <w:r w:rsidRPr="003E18BB">
          <w:rPr>
            <w:rFonts w:ascii="Arial" w:eastAsia="Times New Roman" w:hAnsi="Arial" w:cs="Arial"/>
            <w:color w:val="0000FF"/>
            <w:kern w:val="0"/>
            <w:sz w:val="20"/>
            <w:szCs w:val="20"/>
            <w:u w:val="single"/>
            <w:lang w:eastAsia="en-IN" w:bidi="hi-IN"/>
            <w14:ligatures w14:val="none"/>
          </w:rPr>
          <w:t>https://doi.org/10.1186/s13065-025-01467-5</w:t>
        </w:r>
      </w:hyperlink>
    </w:p>
    <w:p w14:paraId="62D2B635"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Chebbac, K., Benziane Ouaritini, Z., El Moussaoui, A., Chalkha, M., Lafraxo, S., Bin Jardan, Y. A., Nafidi, H. A., Bourhia, M., &amp; Guemmouh, R. (2023). Antimicrobial and antioxidant properties of chemically analyzed essential oil of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L. (Asteraceae) native to Mediterranean area. </w:t>
      </w:r>
      <w:r w:rsidRPr="003E18BB">
        <w:rPr>
          <w:rFonts w:ascii="Arial" w:eastAsia="Times New Roman" w:hAnsi="Arial" w:cs="Arial"/>
          <w:i/>
          <w:iCs/>
          <w:kern w:val="0"/>
          <w:sz w:val="20"/>
          <w:szCs w:val="20"/>
          <w:lang w:eastAsia="en-IN" w:bidi="hi-IN"/>
          <w14:ligatures w14:val="none"/>
        </w:rPr>
        <w:t>Life, 13</w:t>
      </w:r>
      <w:r w:rsidRPr="003E18BB">
        <w:rPr>
          <w:rFonts w:ascii="Arial" w:eastAsia="Times New Roman" w:hAnsi="Arial" w:cs="Arial"/>
          <w:kern w:val="0"/>
          <w:sz w:val="20"/>
          <w:szCs w:val="20"/>
          <w:lang w:eastAsia="en-IN" w:bidi="hi-IN"/>
          <w14:ligatures w14:val="none"/>
        </w:rPr>
        <w:t>(3), 807. https://doi.org/10.3390/life13030807</w:t>
      </w:r>
    </w:p>
    <w:p w14:paraId="48A4EA11"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Coroian, M., Pop, L. M., Popa, V., Friss, Z., Oprea, O., Kalmár, Z., Pintea, A., Borșan, S.-D., Mircean, V., Lobonțiu, I., Militaru, D., Vârban, R., &amp; Györke, A. (2022). Efficacy of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w:t>
      </w:r>
      <w:r w:rsidRPr="003E18BB">
        <w:rPr>
          <w:rFonts w:ascii="Arial" w:eastAsia="Times New Roman" w:hAnsi="Arial" w:cs="Arial"/>
          <w:kern w:val="0"/>
          <w:sz w:val="20"/>
          <w:szCs w:val="20"/>
          <w:lang w:eastAsia="en-IN" w:bidi="hi-IN"/>
          <w14:ligatures w14:val="none"/>
        </w:rPr>
        <w:lastRenderedPageBreak/>
        <w:t xml:space="preserve">against coccidiosis in broiler chickens: A field trial. </w:t>
      </w:r>
      <w:r w:rsidRPr="003E18BB">
        <w:rPr>
          <w:rFonts w:ascii="Arial" w:eastAsia="Times New Roman" w:hAnsi="Arial" w:cs="Arial"/>
          <w:i/>
          <w:iCs/>
          <w:kern w:val="0"/>
          <w:sz w:val="20"/>
          <w:szCs w:val="20"/>
          <w:lang w:eastAsia="en-IN" w:bidi="hi-IN"/>
          <w14:ligatures w14:val="none"/>
        </w:rPr>
        <w:t>Microorganisms, 10</w:t>
      </w:r>
      <w:r w:rsidRPr="003E18BB">
        <w:rPr>
          <w:rFonts w:ascii="Arial" w:eastAsia="Times New Roman" w:hAnsi="Arial" w:cs="Arial"/>
          <w:kern w:val="0"/>
          <w:sz w:val="20"/>
          <w:szCs w:val="20"/>
          <w:lang w:eastAsia="en-IN" w:bidi="hi-IN"/>
          <w14:ligatures w14:val="none"/>
        </w:rPr>
        <w:t xml:space="preserve">(11), 2277. </w:t>
      </w:r>
      <w:hyperlink r:id="rId11" w:tgtFrame="_new" w:history="1">
        <w:r w:rsidRPr="003E18BB">
          <w:rPr>
            <w:rFonts w:ascii="Arial" w:eastAsia="Times New Roman" w:hAnsi="Arial" w:cs="Arial"/>
            <w:color w:val="0000FF"/>
            <w:kern w:val="0"/>
            <w:sz w:val="20"/>
            <w:szCs w:val="20"/>
            <w:u w:val="single"/>
            <w:lang w:eastAsia="en-IN" w:bidi="hi-IN"/>
            <w14:ligatures w14:val="none"/>
          </w:rPr>
          <w:t>https://doi.org/10.3390/microorganisms10112277</w:t>
        </w:r>
      </w:hyperlink>
    </w:p>
    <w:p w14:paraId="79B46DB5"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Ferreira, J. F. S., Luthria, D. L., Sasaki, T., &amp; Heyerick, A. (2010). Flavonoids from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L. as antioxidants and their potential synergism with artemisinin against malaria and cancer. </w:t>
      </w:r>
      <w:r w:rsidRPr="003E18BB">
        <w:rPr>
          <w:rFonts w:ascii="Arial" w:eastAsia="Times New Roman" w:hAnsi="Arial" w:cs="Arial"/>
          <w:i/>
          <w:iCs/>
          <w:kern w:val="0"/>
          <w:sz w:val="20"/>
          <w:szCs w:val="20"/>
          <w:lang w:eastAsia="en-IN" w:bidi="hi-IN"/>
          <w14:ligatures w14:val="none"/>
        </w:rPr>
        <w:t>Molecules, 15</w:t>
      </w:r>
      <w:r w:rsidRPr="003E18BB">
        <w:rPr>
          <w:rFonts w:ascii="Arial" w:eastAsia="Times New Roman" w:hAnsi="Arial" w:cs="Arial"/>
          <w:kern w:val="0"/>
          <w:sz w:val="20"/>
          <w:szCs w:val="20"/>
          <w:lang w:eastAsia="en-IN" w:bidi="hi-IN"/>
          <w14:ligatures w14:val="none"/>
        </w:rPr>
        <w:t xml:space="preserve">(5), 3135–3170. </w:t>
      </w:r>
      <w:hyperlink r:id="rId12" w:tgtFrame="_new" w:history="1">
        <w:r w:rsidRPr="003E18BB">
          <w:rPr>
            <w:rFonts w:ascii="Arial" w:eastAsia="Times New Roman" w:hAnsi="Arial" w:cs="Arial"/>
            <w:color w:val="0000FF"/>
            <w:kern w:val="0"/>
            <w:sz w:val="20"/>
            <w:szCs w:val="20"/>
            <w:u w:val="single"/>
            <w:lang w:eastAsia="en-IN" w:bidi="hi-IN"/>
            <w14:ligatures w14:val="none"/>
          </w:rPr>
          <w:t>https://doi.org/10.3390/molecules15053135</w:t>
        </w:r>
      </w:hyperlink>
    </w:p>
    <w:p w14:paraId="19E1A94D" w14:textId="6AEEE666"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Gavarić, N., Aćimović, M., Kladar, N., </w:t>
      </w:r>
      <w:r w:rsidR="00E41BF3" w:rsidRPr="003E18BB">
        <w:rPr>
          <w:rFonts w:ascii="Arial" w:eastAsia="Times New Roman" w:hAnsi="Arial" w:cs="Arial"/>
          <w:i/>
          <w:iCs/>
          <w:kern w:val="0"/>
          <w:sz w:val="20"/>
          <w:szCs w:val="20"/>
          <w:lang w:eastAsia="en-IN" w:bidi="hi-IN"/>
          <w14:ligatures w14:val="none"/>
        </w:rPr>
        <w:t>et al</w:t>
      </w:r>
      <w:r w:rsidRPr="003E18BB">
        <w:rPr>
          <w:rFonts w:ascii="Arial" w:eastAsia="Times New Roman" w:hAnsi="Arial" w:cs="Arial"/>
          <w:kern w:val="0"/>
          <w:sz w:val="20"/>
          <w:szCs w:val="20"/>
          <w:lang w:eastAsia="en-IN" w:bidi="hi-IN"/>
          <w14:ligatures w14:val="none"/>
        </w:rPr>
        <w:t>. (2025). Unlocking the bioactivity of sweet wormwood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L., Asteraceae) ethanolic extract: Phenolics, antioxidants, and cytotoxic effects. </w:t>
      </w:r>
      <w:r w:rsidRPr="003E18BB">
        <w:rPr>
          <w:rFonts w:ascii="Arial" w:eastAsia="Times New Roman" w:hAnsi="Arial" w:cs="Arial"/>
          <w:i/>
          <w:iCs/>
          <w:kern w:val="0"/>
          <w:sz w:val="20"/>
          <w:szCs w:val="20"/>
          <w:lang w:eastAsia="en-IN" w:bidi="hi-IN"/>
          <w14:ligatures w14:val="none"/>
        </w:rPr>
        <w:t>Pharmaceutics, 17</w:t>
      </w:r>
      <w:r w:rsidRPr="003E18BB">
        <w:rPr>
          <w:rFonts w:ascii="Arial" w:eastAsia="Times New Roman" w:hAnsi="Arial" w:cs="Arial"/>
          <w:kern w:val="0"/>
          <w:sz w:val="20"/>
          <w:szCs w:val="20"/>
          <w:lang w:eastAsia="en-IN" w:bidi="hi-IN"/>
          <w14:ligatures w14:val="none"/>
        </w:rPr>
        <w:t>(7), 890.</w:t>
      </w:r>
    </w:p>
    <w:p w14:paraId="01289BDC"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Harborne, J. B. (1984). </w:t>
      </w:r>
      <w:r w:rsidRPr="003E18BB">
        <w:rPr>
          <w:rFonts w:ascii="Arial" w:eastAsia="Times New Roman" w:hAnsi="Arial" w:cs="Arial"/>
          <w:i/>
          <w:iCs/>
          <w:kern w:val="0"/>
          <w:sz w:val="20"/>
          <w:szCs w:val="20"/>
          <w:lang w:eastAsia="en-IN" w:bidi="hi-IN"/>
          <w14:ligatures w14:val="none"/>
        </w:rPr>
        <w:t>Phytochemical methods: A guide to modern techniques of plant analysis</w:t>
      </w:r>
      <w:r w:rsidRPr="003E18BB">
        <w:rPr>
          <w:rFonts w:ascii="Arial" w:eastAsia="Times New Roman" w:hAnsi="Arial" w:cs="Arial"/>
          <w:kern w:val="0"/>
          <w:sz w:val="20"/>
          <w:szCs w:val="20"/>
          <w:lang w:eastAsia="en-IN" w:bidi="hi-IN"/>
          <w14:ligatures w14:val="none"/>
        </w:rPr>
        <w:t>. Chapman &amp; Hall.</w:t>
      </w:r>
    </w:p>
    <w:p w14:paraId="0DEFF2D5"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Iqbal, S., Younas, U., Chan, K. W., Zia-Ul-Haq, M., &amp; Ismail, M. (2012). Chemical composition of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L. leaves and antioxidant potential of extracts as a function of extraction solvents. </w:t>
      </w:r>
      <w:r w:rsidRPr="003E18BB">
        <w:rPr>
          <w:rFonts w:ascii="Arial" w:eastAsia="Times New Roman" w:hAnsi="Arial" w:cs="Arial"/>
          <w:i/>
          <w:iCs/>
          <w:kern w:val="0"/>
          <w:sz w:val="20"/>
          <w:szCs w:val="20"/>
          <w:lang w:eastAsia="en-IN" w:bidi="hi-IN"/>
          <w14:ligatures w14:val="none"/>
        </w:rPr>
        <w:t>Molecules, 17</w:t>
      </w:r>
      <w:r w:rsidRPr="003E18BB">
        <w:rPr>
          <w:rFonts w:ascii="Arial" w:eastAsia="Times New Roman" w:hAnsi="Arial" w:cs="Arial"/>
          <w:kern w:val="0"/>
          <w:sz w:val="20"/>
          <w:szCs w:val="20"/>
          <w:lang w:eastAsia="en-IN" w:bidi="hi-IN"/>
          <w14:ligatures w14:val="none"/>
        </w:rPr>
        <w:t xml:space="preserve">(5), 6020–6032. </w:t>
      </w:r>
      <w:hyperlink r:id="rId13" w:tgtFrame="_new" w:history="1">
        <w:r w:rsidRPr="003E18BB">
          <w:rPr>
            <w:rFonts w:ascii="Arial" w:eastAsia="Times New Roman" w:hAnsi="Arial" w:cs="Arial"/>
            <w:color w:val="0000FF"/>
            <w:kern w:val="0"/>
            <w:sz w:val="20"/>
            <w:szCs w:val="20"/>
            <w:u w:val="single"/>
            <w:lang w:eastAsia="en-IN" w:bidi="hi-IN"/>
            <w14:ligatures w14:val="none"/>
          </w:rPr>
          <w:t>https://doi.org/10.3390/molecules17056020</w:t>
        </w:r>
      </w:hyperlink>
    </w:p>
    <w:p w14:paraId="494399CA"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Kam, M. Y. Y. (2020). </w:t>
      </w:r>
      <w:r w:rsidRPr="003E18BB">
        <w:rPr>
          <w:rFonts w:ascii="Arial" w:eastAsia="Times New Roman" w:hAnsi="Arial" w:cs="Arial"/>
          <w:i/>
          <w:iCs/>
          <w:kern w:val="0"/>
          <w:sz w:val="20"/>
          <w:szCs w:val="20"/>
          <w:lang w:eastAsia="en-IN" w:bidi="hi-IN"/>
          <w14:ligatures w14:val="none"/>
        </w:rPr>
        <w:t>Enhancement of artemisinin production in Artemisia annua L.</w:t>
      </w:r>
      <w:r w:rsidRPr="003E18BB">
        <w:rPr>
          <w:rFonts w:ascii="Arial" w:eastAsia="Times New Roman" w:hAnsi="Arial" w:cs="Arial"/>
          <w:kern w:val="0"/>
          <w:sz w:val="20"/>
          <w:szCs w:val="20"/>
          <w:lang w:eastAsia="en-IN" w:bidi="hi-IN"/>
          <w14:ligatures w14:val="none"/>
        </w:rPr>
        <w:t xml:space="preserve"> (PhD thesis). University of Nottingham.</w:t>
      </w:r>
    </w:p>
    <w:p w14:paraId="416FB981"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Lagarto, A., Tillán, J., Chung, F., &amp; Rodríguez, M. (2020). Safety evaluation of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extract in acute, short-term and genotoxicity studies. </w:t>
      </w:r>
      <w:r w:rsidRPr="003E18BB">
        <w:rPr>
          <w:rFonts w:ascii="Arial" w:eastAsia="Times New Roman" w:hAnsi="Arial" w:cs="Arial"/>
          <w:i/>
          <w:iCs/>
          <w:kern w:val="0"/>
          <w:sz w:val="20"/>
          <w:szCs w:val="20"/>
          <w:lang w:eastAsia="en-IN" w:bidi="hi-IN"/>
          <w14:ligatures w14:val="none"/>
        </w:rPr>
        <w:t>Mendeley Data</w:t>
      </w:r>
      <w:r w:rsidRPr="003E18BB">
        <w:rPr>
          <w:rFonts w:ascii="Arial" w:eastAsia="Times New Roman" w:hAnsi="Arial" w:cs="Arial"/>
          <w:kern w:val="0"/>
          <w:sz w:val="20"/>
          <w:szCs w:val="20"/>
          <w:lang w:eastAsia="en-IN" w:bidi="hi-IN"/>
          <w14:ligatures w14:val="none"/>
        </w:rPr>
        <w:t xml:space="preserve"> (Version 1). </w:t>
      </w:r>
      <w:hyperlink r:id="rId14" w:tgtFrame="_new" w:history="1">
        <w:r w:rsidRPr="003E18BB">
          <w:rPr>
            <w:rFonts w:ascii="Arial" w:eastAsia="Times New Roman" w:hAnsi="Arial" w:cs="Arial"/>
            <w:color w:val="0000FF"/>
            <w:kern w:val="0"/>
            <w:sz w:val="20"/>
            <w:szCs w:val="20"/>
            <w:u w:val="single"/>
            <w:lang w:eastAsia="en-IN" w:bidi="hi-IN"/>
            <w14:ligatures w14:val="none"/>
          </w:rPr>
          <w:t>https://doi.org/10.17632/wbykhd7fp8.1</w:t>
        </w:r>
      </w:hyperlink>
    </w:p>
    <w:p w14:paraId="762C6739"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Liu, S., Li, S., Cheng, S., Liu, M., Li, J., Li, S., Li, X., Zhang, L., &amp; Jian, F. (2025). Effect of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on anticoccidial action, intestinal microbiota and metabolites of Hu lambs. </w:t>
      </w:r>
      <w:r w:rsidRPr="003E18BB">
        <w:rPr>
          <w:rFonts w:ascii="Arial" w:eastAsia="Times New Roman" w:hAnsi="Arial" w:cs="Arial"/>
          <w:i/>
          <w:iCs/>
          <w:kern w:val="0"/>
          <w:sz w:val="20"/>
          <w:szCs w:val="20"/>
          <w:lang w:eastAsia="en-IN" w:bidi="hi-IN"/>
          <w14:ligatures w14:val="none"/>
        </w:rPr>
        <w:t>BMC Veterinary Research, 21</w:t>
      </w:r>
      <w:r w:rsidRPr="003E18BB">
        <w:rPr>
          <w:rFonts w:ascii="Arial" w:eastAsia="Times New Roman" w:hAnsi="Arial" w:cs="Arial"/>
          <w:kern w:val="0"/>
          <w:sz w:val="20"/>
          <w:szCs w:val="20"/>
          <w:lang w:eastAsia="en-IN" w:bidi="hi-IN"/>
          <w14:ligatures w14:val="none"/>
        </w:rPr>
        <w:t xml:space="preserve">(1), 41. </w:t>
      </w:r>
      <w:hyperlink r:id="rId15" w:tgtFrame="_new" w:history="1">
        <w:r w:rsidRPr="003E18BB">
          <w:rPr>
            <w:rFonts w:ascii="Arial" w:eastAsia="Times New Roman" w:hAnsi="Arial" w:cs="Arial"/>
            <w:color w:val="0000FF"/>
            <w:kern w:val="0"/>
            <w:sz w:val="20"/>
            <w:szCs w:val="20"/>
            <w:u w:val="single"/>
            <w:lang w:eastAsia="en-IN" w:bidi="hi-IN"/>
            <w14:ligatures w14:val="none"/>
          </w:rPr>
          <w:t>https://doi.org/10.1186/s12917-025-04493-6</w:t>
        </w:r>
      </w:hyperlink>
    </w:p>
    <w:p w14:paraId="2080DBFD"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Liu, X., Renzengwangdui, Tang, S., Zhu, Y., Wang, M., Cao, B., Wang, J., Zhao, B., &amp; Lu, H. (2023). Metabolomic analysis and antibacterial and antioxidant activities of three species of </w:t>
      </w:r>
      <w:r w:rsidRPr="003E18BB">
        <w:rPr>
          <w:rFonts w:ascii="Arial" w:eastAsia="Times New Roman" w:hAnsi="Arial" w:cs="Arial"/>
          <w:i/>
          <w:iCs/>
          <w:kern w:val="0"/>
          <w:sz w:val="20"/>
          <w:szCs w:val="20"/>
          <w:lang w:eastAsia="en-IN" w:bidi="hi-IN"/>
          <w14:ligatures w14:val="none"/>
        </w:rPr>
        <w:t>Artemisia</w:t>
      </w:r>
      <w:r w:rsidRPr="003E18BB">
        <w:rPr>
          <w:rFonts w:ascii="Arial" w:eastAsia="Times New Roman" w:hAnsi="Arial" w:cs="Arial"/>
          <w:kern w:val="0"/>
          <w:sz w:val="20"/>
          <w:szCs w:val="20"/>
          <w:lang w:eastAsia="en-IN" w:bidi="hi-IN"/>
          <w14:ligatures w14:val="none"/>
        </w:rPr>
        <w:t xml:space="preserve"> plants in Tibet. </w:t>
      </w:r>
      <w:r w:rsidRPr="003E18BB">
        <w:rPr>
          <w:rFonts w:ascii="Arial" w:eastAsia="Times New Roman" w:hAnsi="Arial" w:cs="Arial"/>
          <w:i/>
          <w:iCs/>
          <w:kern w:val="0"/>
          <w:sz w:val="20"/>
          <w:szCs w:val="20"/>
          <w:lang w:eastAsia="en-IN" w:bidi="hi-IN"/>
          <w14:ligatures w14:val="none"/>
        </w:rPr>
        <w:t>BMC Plant Biology, 23</w:t>
      </w:r>
      <w:r w:rsidRPr="003E18BB">
        <w:rPr>
          <w:rFonts w:ascii="Arial" w:eastAsia="Times New Roman" w:hAnsi="Arial" w:cs="Arial"/>
          <w:kern w:val="0"/>
          <w:sz w:val="20"/>
          <w:szCs w:val="20"/>
          <w:lang w:eastAsia="en-IN" w:bidi="hi-IN"/>
          <w14:ligatures w14:val="none"/>
        </w:rPr>
        <w:t>(1), 208. https://doi.org/10.1186/s12870-023-04219-6</w:t>
      </w:r>
    </w:p>
    <w:p w14:paraId="0A842A24"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lastRenderedPageBreak/>
        <w:t xml:space="preserve">Mishina, Y. V., Krishna, S., Haynes, R. K., &amp; Meade, J. C. (2007). Artemisinins inhibit </w:t>
      </w:r>
      <w:r w:rsidRPr="003E18BB">
        <w:rPr>
          <w:rFonts w:ascii="Arial" w:eastAsia="Times New Roman" w:hAnsi="Arial" w:cs="Arial"/>
          <w:i/>
          <w:iCs/>
          <w:kern w:val="0"/>
          <w:sz w:val="20"/>
          <w:szCs w:val="20"/>
          <w:lang w:eastAsia="en-IN" w:bidi="hi-IN"/>
          <w14:ligatures w14:val="none"/>
        </w:rPr>
        <w:t>Trypanosoma cruzi</w:t>
      </w:r>
      <w:r w:rsidRPr="003E18BB">
        <w:rPr>
          <w:rFonts w:ascii="Arial" w:eastAsia="Times New Roman" w:hAnsi="Arial" w:cs="Arial"/>
          <w:kern w:val="0"/>
          <w:sz w:val="20"/>
          <w:szCs w:val="20"/>
          <w:lang w:eastAsia="en-IN" w:bidi="hi-IN"/>
          <w14:ligatures w14:val="none"/>
        </w:rPr>
        <w:t xml:space="preserve"> and </w:t>
      </w:r>
      <w:r w:rsidRPr="003E18BB">
        <w:rPr>
          <w:rFonts w:ascii="Arial" w:eastAsia="Times New Roman" w:hAnsi="Arial" w:cs="Arial"/>
          <w:i/>
          <w:iCs/>
          <w:kern w:val="0"/>
          <w:sz w:val="20"/>
          <w:szCs w:val="20"/>
          <w:lang w:eastAsia="en-IN" w:bidi="hi-IN"/>
          <w14:ligatures w14:val="none"/>
        </w:rPr>
        <w:t>Trypanosoma brucei rhodesiense</w:t>
      </w:r>
      <w:r w:rsidRPr="003E18BB">
        <w:rPr>
          <w:rFonts w:ascii="Arial" w:eastAsia="Times New Roman" w:hAnsi="Arial" w:cs="Arial"/>
          <w:kern w:val="0"/>
          <w:sz w:val="20"/>
          <w:szCs w:val="20"/>
          <w:lang w:eastAsia="en-IN" w:bidi="hi-IN"/>
          <w14:ligatures w14:val="none"/>
        </w:rPr>
        <w:t xml:space="preserve"> in vitro growth. </w:t>
      </w:r>
      <w:r w:rsidRPr="003E18BB">
        <w:rPr>
          <w:rFonts w:ascii="Arial" w:eastAsia="Times New Roman" w:hAnsi="Arial" w:cs="Arial"/>
          <w:i/>
          <w:iCs/>
          <w:kern w:val="0"/>
          <w:sz w:val="20"/>
          <w:szCs w:val="20"/>
          <w:lang w:eastAsia="en-IN" w:bidi="hi-IN"/>
          <w14:ligatures w14:val="none"/>
        </w:rPr>
        <w:t>Antimicrobial Agents and Chemotherapy, 51</w:t>
      </w:r>
      <w:r w:rsidRPr="003E18BB">
        <w:rPr>
          <w:rFonts w:ascii="Arial" w:eastAsia="Times New Roman" w:hAnsi="Arial" w:cs="Arial"/>
          <w:kern w:val="0"/>
          <w:sz w:val="20"/>
          <w:szCs w:val="20"/>
          <w:lang w:eastAsia="en-IN" w:bidi="hi-IN"/>
          <w14:ligatures w14:val="none"/>
        </w:rPr>
        <w:t xml:space="preserve">(5), 1852–1854. </w:t>
      </w:r>
      <w:hyperlink r:id="rId16" w:tgtFrame="_new" w:history="1">
        <w:r w:rsidRPr="003E18BB">
          <w:rPr>
            <w:rFonts w:ascii="Arial" w:eastAsia="Times New Roman" w:hAnsi="Arial" w:cs="Arial"/>
            <w:color w:val="0000FF"/>
            <w:kern w:val="0"/>
            <w:sz w:val="20"/>
            <w:szCs w:val="20"/>
            <w:u w:val="single"/>
            <w:lang w:eastAsia="en-IN" w:bidi="hi-IN"/>
            <w14:ligatures w14:val="none"/>
          </w:rPr>
          <w:t>https://doi.org/10.1128/AAC.01544-06</w:t>
        </w:r>
      </w:hyperlink>
    </w:p>
    <w:p w14:paraId="0B516785"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OECD. (2002). </w:t>
      </w:r>
      <w:r w:rsidRPr="003E18BB">
        <w:rPr>
          <w:rFonts w:ascii="Arial" w:eastAsia="Times New Roman" w:hAnsi="Arial" w:cs="Arial"/>
          <w:i/>
          <w:iCs/>
          <w:kern w:val="0"/>
          <w:sz w:val="20"/>
          <w:szCs w:val="20"/>
          <w:lang w:eastAsia="en-IN" w:bidi="hi-IN"/>
          <w14:ligatures w14:val="none"/>
        </w:rPr>
        <w:t>Test No. 420: Acute oral toxicity – Fixed dose procedure</w:t>
      </w:r>
      <w:r w:rsidRPr="003E18BB">
        <w:rPr>
          <w:rFonts w:ascii="Arial" w:eastAsia="Times New Roman" w:hAnsi="Arial" w:cs="Arial"/>
          <w:kern w:val="0"/>
          <w:sz w:val="20"/>
          <w:szCs w:val="20"/>
          <w:lang w:eastAsia="en-IN" w:bidi="hi-IN"/>
          <w14:ligatures w14:val="none"/>
        </w:rPr>
        <w:t xml:space="preserve">. OECD Publishing. </w:t>
      </w:r>
      <w:hyperlink r:id="rId17" w:tgtFrame="_new" w:history="1">
        <w:r w:rsidRPr="003E18BB">
          <w:rPr>
            <w:rFonts w:ascii="Arial" w:eastAsia="Times New Roman" w:hAnsi="Arial" w:cs="Arial"/>
            <w:color w:val="0000FF"/>
            <w:kern w:val="0"/>
            <w:sz w:val="20"/>
            <w:szCs w:val="20"/>
            <w:u w:val="single"/>
            <w:lang w:eastAsia="en-IN" w:bidi="hi-IN"/>
            <w14:ligatures w14:val="none"/>
          </w:rPr>
          <w:t>https://doi.org/10.1787/9789264070943-en</w:t>
        </w:r>
      </w:hyperlink>
    </w:p>
    <w:p w14:paraId="4CFD14E2"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Qin, W., Li, Y., Liu, H., Yan, X., Hu, X., Chen, T., Rahman, S. U., Cao, J., Zheng, H., Li, L., &amp; Tang, K. (2024). Integrated multi-omics profiling reveals a landscape of dramatic metabolic defect in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w:t>
      </w:r>
      <w:r w:rsidRPr="003E18BB">
        <w:rPr>
          <w:rFonts w:ascii="Arial" w:eastAsia="Times New Roman" w:hAnsi="Arial" w:cs="Arial"/>
          <w:i/>
          <w:iCs/>
          <w:kern w:val="0"/>
          <w:sz w:val="20"/>
          <w:szCs w:val="20"/>
          <w:lang w:eastAsia="en-IN" w:bidi="hi-IN"/>
          <w14:ligatures w14:val="none"/>
        </w:rPr>
        <w:t>Horticulture Research, 11</w:t>
      </w:r>
      <w:r w:rsidRPr="003E18BB">
        <w:rPr>
          <w:rFonts w:ascii="Arial" w:eastAsia="Times New Roman" w:hAnsi="Arial" w:cs="Arial"/>
          <w:kern w:val="0"/>
          <w:sz w:val="20"/>
          <w:szCs w:val="20"/>
          <w:lang w:eastAsia="en-IN" w:bidi="hi-IN"/>
          <w14:ligatures w14:val="none"/>
        </w:rPr>
        <w:t xml:space="preserve">(8), uhae174. </w:t>
      </w:r>
      <w:hyperlink r:id="rId18" w:tgtFrame="_new" w:history="1">
        <w:r w:rsidRPr="003E18BB">
          <w:rPr>
            <w:rFonts w:ascii="Arial" w:eastAsia="Times New Roman" w:hAnsi="Arial" w:cs="Arial"/>
            <w:color w:val="0000FF"/>
            <w:kern w:val="0"/>
            <w:sz w:val="20"/>
            <w:szCs w:val="20"/>
            <w:u w:val="single"/>
            <w:lang w:eastAsia="en-IN" w:bidi="hi-IN"/>
            <w14:ligatures w14:val="none"/>
          </w:rPr>
          <w:t>https://doi.org/10.1093/hr/uhae174</w:t>
        </w:r>
      </w:hyperlink>
    </w:p>
    <w:p w14:paraId="24170B74"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Roberts, R. M., Gilbert, J. C., &amp; Wingrove, A. S. (1981). </w:t>
      </w:r>
      <w:r w:rsidRPr="003E18BB">
        <w:rPr>
          <w:rFonts w:ascii="Arial" w:eastAsia="Times New Roman" w:hAnsi="Arial" w:cs="Arial"/>
          <w:i/>
          <w:iCs/>
          <w:kern w:val="0"/>
          <w:sz w:val="20"/>
          <w:szCs w:val="20"/>
          <w:lang w:eastAsia="en-IN" w:bidi="hi-IN"/>
          <w14:ligatures w14:val="none"/>
        </w:rPr>
        <w:t>Modern experimental organic chemistry</w:t>
      </w:r>
      <w:r w:rsidRPr="003E18BB">
        <w:rPr>
          <w:rFonts w:ascii="Arial" w:eastAsia="Times New Roman" w:hAnsi="Arial" w:cs="Arial"/>
          <w:kern w:val="0"/>
          <w:sz w:val="20"/>
          <w:szCs w:val="20"/>
          <w:lang w:eastAsia="en-IN" w:bidi="hi-IN"/>
          <w14:ligatures w14:val="none"/>
        </w:rPr>
        <w:t xml:space="preserve"> (3rd ed., pp. 495–505). Saunders College.</w:t>
      </w:r>
    </w:p>
    <w:p w14:paraId="231F2374"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Siddiqui, M. F. M. F., Waghmare, S. P., Chepte, S. D., Ali, S. S., &amp; Shaikh, S. R. (2026). Evaluation of phyto-therapeutic efficacy of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and </w:t>
      </w:r>
      <w:r w:rsidRPr="003E18BB">
        <w:rPr>
          <w:rFonts w:ascii="Arial" w:eastAsia="Times New Roman" w:hAnsi="Arial" w:cs="Arial"/>
          <w:i/>
          <w:iCs/>
          <w:kern w:val="0"/>
          <w:sz w:val="20"/>
          <w:szCs w:val="20"/>
          <w:lang w:eastAsia="en-IN" w:bidi="hi-IN"/>
          <w14:ligatures w14:val="none"/>
        </w:rPr>
        <w:t>Calotropis procera</w:t>
      </w:r>
      <w:r w:rsidRPr="003E18BB">
        <w:rPr>
          <w:rFonts w:ascii="Arial" w:eastAsia="Times New Roman" w:hAnsi="Arial" w:cs="Arial"/>
          <w:kern w:val="0"/>
          <w:sz w:val="20"/>
          <w:szCs w:val="20"/>
          <w:lang w:eastAsia="en-IN" w:bidi="hi-IN"/>
          <w14:ligatures w14:val="none"/>
        </w:rPr>
        <w:t xml:space="preserve"> against bovine tropical theileriosis. </w:t>
      </w:r>
      <w:r w:rsidRPr="003E18BB">
        <w:rPr>
          <w:rFonts w:ascii="Arial" w:eastAsia="Times New Roman" w:hAnsi="Arial" w:cs="Arial"/>
          <w:i/>
          <w:iCs/>
          <w:kern w:val="0"/>
          <w:sz w:val="20"/>
          <w:szCs w:val="20"/>
          <w:lang w:eastAsia="en-IN" w:bidi="hi-IN"/>
          <w14:ligatures w14:val="none"/>
        </w:rPr>
        <w:t>Tropical Animal Health and Production, 58</w:t>
      </w:r>
      <w:r w:rsidRPr="003E18BB">
        <w:rPr>
          <w:rFonts w:ascii="Arial" w:eastAsia="Times New Roman" w:hAnsi="Arial" w:cs="Arial"/>
          <w:kern w:val="0"/>
          <w:sz w:val="20"/>
          <w:szCs w:val="20"/>
          <w:lang w:eastAsia="en-IN" w:bidi="hi-IN"/>
          <w14:ligatures w14:val="none"/>
        </w:rPr>
        <w:t xml:space="preserve">(2), 57. </w:t>
      </w:r>
      <w:hyperlink r:id="rId19" w:tgtFrame="_new" w:history="1">
        <w:r w:rsidRPr="003E18BB">
          <w:rPr>
            <w:rFonts w:ascii="Arial" w:eastAsia="Times New Roman" w:hAnsi="Arial" w:cs="Arial"/>
            <w:color w:val="0000FF"/>
            <w:kern w:val="0"/>
            <w:sz w:val="20"/>
            <w:szCs w:val="20"/>
            <w:u w:val="single"/>
            <w:lang w:eastAsia="en-IN" w:bidi="hi-IN"/>
            <w14:ligatures w14:val="none"/>
          </w:rPr>
          <w:t>https://doi.org/10.1007/s11250-026-04867-4</w:t>
        </w:r>
      </w:hyperlink>
    </w:p>
    <w:p w14:paraId="7C9FE976"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Siddiqui, M. F. M. F., Waghmare, S. P., Hajare, S. W., Ingole, R. S., Deshmukh, S. G., Chepte, S. D., &amp; Ali, S. A. (2018). Phytochemical analysis and acute toxicity studies of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in Swiss albino mice. </w:t>
      </w:r>
      <w:r w:rsidRPr="003E18BB">
        <w:rPr>
          <w:rFonts w:ascii="Arial" w:eastAsia="Times New Roman" w:hAnsi="Arial" w:cs="Arial"/>
          <w:i/>
          <w:iCs/>
          <w:kern w:val="0"/>
          <w:sz w:val="20"/>
          <w:szCs w:val="20"/>
          <w:lang w:eastAsia="en-IN" w:bidi="hi-IN"/>
          <w14:ligatures w14:val="none"/>
        </w:rPr>
        <w:t>Journal of Pharmacognosy and Phytochemistry, 7</w:t>
      </w:r>
      <w:r w:rsidRPr="003E18BB">
        <w:rPr>
          <w:rFonts w:ascii="Arial" w:eastAsia="Times New Roman" w:hAnsi="Arial" w:cs="Arial"/>
          <w:kern w:val="0"/>
          <w:sz w:val="20"/>
          <w:szCs w:val="20"/>
          <w:lang w:eastAsia="en-IN" w:bidi="hi-IN"/>
          <w14:ligatures w14:val="none"/>
        </w:rPr>
        <w:t>(4), 1893–1895.</w:t>
      </w:r>
    </w:p>
    <w:p w14:paraId="1DCC4948"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Swamikannu, B., Umapathy, V. R., Natarajan, P. M., Nandini, M. S., Stylin, A. G. S. Q., Vimalarani, V., &amp; Rajinikanth, S. (2024). Unlocking the therapeutic benefits of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A comprehensive overview of its medicinal properties. </w:t>
      </w:r>
      <w:r w:rsidRPr="003E18BB">
        <w:rPr>
          <w:rFonts w:ascii="Arial" w:eastAsia="Times New Roman" w:hAnsi="Arial" w:cs="Arial"/>
          <w:i/>
          <w:iCs/>
          <w:kern w:val="0"/>
          <w:sz w:val="20"/>
          <w:szCs w:val="20"/>
          <w:lang w:eastAsia="en-IN" w:bidi="hi-IN"/>
          <w14:ligatures w14:val="none"/>
        </w:rPr>
        <w:t>Journal of Pharmacy &amp; Bioallied Sciences, 16</w:t>
      </w:r>
      <w:r w:rsidRPr="003E18BB">
        <w:rPr>
          <w:rFonts w:ascii="Arial" w:eastAsia="Times New Roman" w:hAnsi="Arial" w:cs="Arial"/>
          <w:kern w:val="0"/>
          <w:sz w:val="20"/>
          <w:szCs w:val="20"/>
          <w:lang w:eastAsia="en-IN" w:bidi="hi-IN"/>
          <w14:ligatures w14:val="none"/>
        </w:rPr>
        <w:t xml:space="preserve">(Suppl 5), S4248–S4253. </w:t>
      </w:r>
      <w:hyperlink r:id="rId20" w:tgtFrame="_new" w:history="1">
        <w:r w:rsidRPr="003E18BB">
          <w:rPr>
            <w:rFonts w:ascii="Arial" w:eastAsia="Times New Roman" w:hAnsi="Arial" w:cs="Arial"/>
            <w:color w:val="0000FF"/>
            <w:kern w:val="0"/>
            <w:sz w:val="20"/>
            <w:szCs w:val="20"/>
            <w:u w:val="single"/>
            <w:lang w:eastAsia="en-IN" w:bidi="hi-IN"/>
            <w14:ligatures w14:val="none"/>
          </w:rPr>
          <w:t>https://doi.org/10.4103/jpbs.jpbs_1250_24</w:t>
        </w:r>
      </w:hyperlink>
    </w:p>
    <w:p w14:paraId="41241AE9" w14:textId="77777777" w:rsidR="00222729" w:rsidRPr="003E18BB" w:rsidRDefault="00222729" w:rsidP="00D71C73">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t xml:space="preserve">Trifan, A., Zengin, G., Sinan, K. I., Sieniawska, E., Sawicki, R., Maciejewska-Turska, M., Skalikca-Woźniak, K., &amp; Luca, S. V. (2022). Unveiling the phytochemical profile and biological potential of five </w:t>
      </w:r>
      <w:r w:rsidRPr="003E18BB">
        <w:rPr>
          <w:rFonts w:ascii="Arial" w:eastAsia="Times New Roman" w:hAnsi="Arial" w:cs="Arial"/>
          <w:i/>
          <w:iCs/>
          <w:kern w:val="0"/>
          <w:sz w:val="20"/>
          <w:szCs w:val="20"/>
          <w:lang w:eastAsia="en-IN" w:bidi="hi-IN"/>
          <w14:ligatures w14:val="none"/>
        </w:rPr>
        <w:t>Artemisia</w:t>
      </w:r>
      <w:r w:rsidRPr="003E18BB">
        <w:rPr>
          <w:rFonts w:ascii="Arial" w:eastAsia="Times New Roman" w:hAnsi="Arial" w:cs="Arial"/>
          <w:kern w:val="0"/>
          <w:sz w:val="20"/>
          <w:szCs w:val="20"/>
          <w:lang w:eastAsia="en-IN" w:bidi="hi-IN"/>
          <w14:ligatures w14:val="none"/>
        </w:rPr>
        <w:t xml:space="preserve"> species. </w:t>
      </w:r>
      <w:r w:rsidRPr="003E18BB">
        <w:rPr>
          <w:rFonts w:ascii="Arial" w:eastAsia="Times New Roman" w:hAnsi="Arial" w:cs="Arial"/>
          <w:i/>
          <w:iCs/>
          <w:kern w:val="0"/>
          <w:sz w:val="20"/>
          <w:szCs w:val="20"/>
          <w:lang w:eastAsia="en-IN" w:bidi="hi-IN"/>
          <w14:ligatures w14:val="none"/>
        </w:rPr>
        <w:t>Antioxidants, 11</w:t>
      </w:r>
      <w:r w:rsidRPr="003E18BB">
        <w:rPr>
          <w:rFonts w:ascii="Arial" w:eastAsia="Times New Roman" w:hAnsi="Arial" w:cs="Arial"/>
          <w:kern w:val="0"/>
          <w:sz w:val="20"/>
          <w:szCs w:val="20"/>
          <w:lang w:eastAsia="en-IN" w:bidi="hi-IN"/>
          <w14:ligatures w14:val="none"/>
        </w:rPr>
        <w:t xml:space="preserve">(5), 1017. </w:t>
      </w:r>
      <w:hyperlink r:id="rId21" w:tgtFrame="_new" w:history="1">
        <w:r w:rsidRPr="003E18BB">
          <w:rPr>
            <w:rFonts w:ascii="Arial" w:eastAsia="Times New Roman" w:hAnsi="Arial" w:cs="Arial"/>
            <w:color w:val="0000FF"/>
            <w:kern w:val="0"/>
            <w:sz w:val="20"/>
            <w:szCs w:val="20"/>
            <w:u w:val="single"/>
            <w:lang w:eastAsia="en-IN" w:bidi="hi-IN"/>
            <w14:ligatures w14:val="none"/>
          </w:rPr>
          <w:t>https://doi.org/10.3390/antiox11051017</w:t>
        </w:r>
      </w:hyperlink>
    </w:p>
    <w:p w14:paraId="4B59ECC0" w14:textId="3675C8AF" w:rsidR="006E516F" w:rsidRDefault="00222729" w:rsidP="00451228">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r w:rsidRPr="003E18BB">
        <w:rPr>
          <w:rFonts w:ascii="Arial" w:eastAsia="Times New Roman" w:hAnsi="Arial" w:cs="Arial"/>
          <w:kern w:val="0"/>
          <w:sz w:val="20"/>
          <w:szCs w:val="20"/>
          <w:lang w:eastAsia="en-IN" w:bidi="hi-IN"/>
          <w14:ligatures w14:val="none"/>
        </w:rPr>
        <w:lastRenderedPageBreak/>
        <w:t xml:space="preserve">Yuan, M., Sheng, Y., Bao, J., Wu, W., Nie, G., Wang, L., &amp; Cao, J. (2025). AaMYC3 bridges the regulation of glandular trichome density and artemisinin biosynthesis in </w:t>
      </w:r>
      <w:r w:rsidRPr="003E18BB">
        <w:rPr>
          <w:rFonts w:ascii="Arial" w:eastAsia="Times New Roman" w:hAnsi="Arial" w:cs="Arial"/>
          <w:i/>
          <w:iCs/>
          <w:kern w:val="0"/>
          <w:sz w:val="20"/>
          <w:szCs w:val="20"/>
          <w:lang w:eastAsia="en-IN" w:bidi="hi-IN"/>
          <w14:ligatures w14:val="none"/>
        </w:rPr>
        <w:t>Artemisia annua</w:t>
      </w:r>
      <w:r w:rsidRPr="003E18BB">
        <w:rPr>
          <w:rFonts w:ascii="Arial" w:eastAsia="Times New Roman" w:hAnsi="Arial" w:cs="Arial"/>
          <w:kern w:val="0"/>
          <w:sz w:val="20"/>
          <w:szCs w:val="20"/>
          <w:lang w:eastAsia="en-IN" w:bidi="hi-IN"/>
          <w14:ligatures w14:val="none"/>
        </w:rPr>
        <w:t xml:space="preserve">. </w:t>
      </w:r>
      <w:r w:rsidRPr="003E18BB">
        <w:rPr>
          <w:rFonts w:ascii="Arial" w:eastAsia="Times New Roman" w:hAnsi="Arial" w:cs="Arial"/>
          <w:i/>
          <w:iCs/>
          <w:kern w:val="0"/>
          <w:sz w:val="20"/>
          <w:szCs w:val="20"/>
          <w:lang w:eastAsia="en-IN" w:bidi="hi-IN"/>
          <w14:ligatures w14:val="none"/>
        </w:rPr>
        <w:t>Plant Biotechnology Journal, 23</w:t>
      </w:r>
      <w:r w:rsidRPr="003E18BB">
        <w:rPr>
          <w:rFonts w:ascii="Arial" w:eastAsia="Times New Roman" w:hAnsi="Arial" w:cs="Arial"/>
          <w:kern w:val="0"/>
          <w:sz w:val="20"/>
          <w:szCs w:val="20"/>
          <w:lang w:eastAsia="en-IN" w:bidi="hi-IN"/>
          <w14:ligatures w14:val="none"/>
        </w:rPr>
        <w:t xml:space="preserve">(2), 315–332. </w:t>
      </w:r>
      <w:hyperlink r:id="rId22" w:history="1">
        <w:r w:rsidR="00105F68" w:rsidRPr="007D67F2">
          <w:rPr>
            <w:rStyle w:val="Hyperlink"/>
            <w:rFonts w:ascii="Arial" w:eastAsia="Times New Roman" w:hAnsi="Arial" w:cs="Arial"/>
            <w:kern w:val="0"/>
            <w:sz w:val="20"/>
            <w:szCs w:val="20"/>
            <w:lang w:eastAsia="en-IN" w:bidi="hi-IN"/>
            <w14:ligatures w14:val="none"/>
          </w:rPr>
          <w:t>https://doi.org/10.1111/pbi.14449</w:t>
        </w:r>
      </w:hyperlink>
      <w:r w:rsidR="00105F68">
        <w:rPr>
          <w:rFonts w:ascii="Arial" w:eastAsia="Times New Roman" w:hAnsi="Arial" w:cs="Arial"/>
          <w:kern w:val="0"/>
          <w:sz w:val="20"/>
          <w:szCs w:val="20"/>
          <w:lang w:eastAsia="en-IN" w:bidi="hi-IN"/>
          <w14:ligatures w14:val="none"/>
        </w:rPr>
        <w:t xml:space="preserve"> </w:t>
      </w:r>
    </w:p>
    <w:p w14:paraId="430A85AA" w14:textId="77777777" w:rsidR="00105F68" w:rsidRDefault="00105F68" w:rsidP="00451228">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
    <w:p w14:paraId="67902631" w14:textId="77777777" w:rsidR="00105F68" w:rsidRDefault="00105F68" w:rsidP="00451228">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
    <w:p w14:paraId="57A7A26D" w14:textId="77777777" w:rsidR="00105F68" w:rsidRPr="00AC5D62" w:rsidRDefault="00105F68" w:rsidP="00105F68">
      <w:pPr>
        <w:jc w:val="center"/>
        <w:rPr>
          <w:rFonts w:ascii="Arial" w:hAnsi="Arial" w:cs="Arial"/>
          <w:b/>
          <w:bCs/>
          <w:sz w:val="20"/>
          <w:szCs w:val="20"/>
        </w:rPr>
      </w:pPr>
      <w:r w:rsidRPr="00AC5D62">
        <w:rPr>
          <w:rFonts w:ascii="Arial" w:hAnsi="Arial" w:cs="Arial"/>
          <w:b/>
          <w:bCs/>
          <w:sz w:val="20"/>
          <w:szCs w:val="20"/>
        </w:rPr>
        <w:t xml:space="preserve">Table 1. Physical characteristics and extraction yield of hydro-ethanolic extract of </w:t>
      </w:r>
      <w:r w:rsidRPr="00AC5D62">
        <w:rPr>
          <w:rStyle w:val="Emphasis"/>
          <w:rFonts w:ascii="Arial" w:hAnsi="Arial" w:cs="Arial"/>
          <w:b/>
          <w:bCs/>
          <w:sz w:val="20"/>
          <w:szCs w:val="20"/>
        </w:rPr>
        <w:t>Artemisia annua</w:t>
      </w:r>
      <w:r w:rsidRPr="00AC5D62">
        <w:rPr>
          <w:rStyle w:val="Emphasis"/>
          <w:rFonts w:ascii="Arial" w:hAnsi="Arial" w:cs="Arial"/>
          <w:b/>
          <w:bCs/>
          <w:i w:val="0"/>
          <w:iCs w:val="0"/>
          <w:sz w:val="20"/>
          <w:szCs w:val="20"/>
        </w:rPr>
        <w:t xml:space="preserve"> plant</w:t>
      </w:r>
    </w:p>
    <w:tbl>
      <w:tblPr>
        <w:tblStyle w:val="TableGrid"/>
        <w:tblW w:w="5000" w:type="pct"/>
        <w:tblLook w:val="04A0" w:firstRow="1" w:lastRow="0" w:firstColumn="1" w:lastColumn="0" w:noHBand="0" w:noVBand="1"/>
      </w:tblPr>
      <w:tblGrid>
        <w:gridCol w:w="1104"/>
        <w:gridCol w:w="872"/>
        <w:gridCol w:w="731"/>
        <w:gridCol w:w="1356"/>
        <w:gridCol w:w="952"/>
        <w:gridCol w:w="1013"/>
        <w:gridCol w:w="690"/>
        <w:gridCol w:w="922"/>
        <w:gridCol w:w="1376"/>
      </w:tblGrid>
      <w:tr w:rsidR="00105F68" w:rsidRPr="00AC5D62" w14:paraId="345FE4E3" w14:textId="77777777" w:rsidTr="00C42A27">
        <w:tc>
          <w:tcPr>
            <w:tcW w:w="628" w:type="pct"/>
            <w:vAlign w:val="center"/>
            <w:hideMark/>
          </w:tcPr>
          <w:p w14:paraId="550F205D" w14:textId="77777777" w:rsidR="00105F68" w:rsidRPr="00AC5D62" w:rsidRDefault="00105F68" w:rsidP="00C42A27">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Extraction</w:t>
            </w:r>
          </w:p>
          <w:p w14:paraId="405977C9" w14:textId="77777777" w:rsidR="00105F68" w:rsidRPr="00AC5D62" w:rsidRDefault="00105F68" w:rsidP="00C42A27">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Method</w:t>
            </w:r>
          </w:p>
        </w:tc>
        <w:tc>
          <w:tcPr>
            <w:tcW w:w="430" w:type="pct"/>
            <w:vAlign w:val="center"/>
          </w:tcPr>
          <w:p w14:paraId="4355385B" w14:textId="77777777" w:rsidR="00105F68" w:rsidRPr="00AC5D62" w:rsidRDefault="00105F68" w:rsidP="00C42A27">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Solvent</w:t>
            </w:r>
          </w:p>
        </w:tc>
        <w:tc>
          <w:tcPr>
            <w:tcW w:w="270" w:type="pct"/>
            <w:vAlign w:val="center"/>
            <w:hideMark/>
          </w:tcPr>
          <w:p w14:paraId="375FC8D6" w14:textId="77777777" w:rsidR="00105F68" w:rsidRPr="00AC5D62" w:rsidRDefault="00105F68" w:rsidP="00C42A27">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Yield</w:t>
            </w:r>
          </w:p>
        </w:tc>
        <w:tc>
          <w:tcPr>
            <w:tcW w:w="1089" w:type="pct"/>
            <w:vAlign w:val="center"/>
            <w:hideMark/>
          </w:tcPr>
          <w:p w14:paraId="70A8820C" w14:textId="77777777" w:rsidR="00105F68" w:rsidRPr="00AC5D62" w:rsidRDefault="00105F68" w:rsidP="00C42A27">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Extractability</w:t>
            </w:r>
          </w:p>
          <w:p w14:paraId="0B91EB11" w14:textId="77777777" w:rsidR="00105F68" w:rsidRPr="00AC5D62" w:rsidRDefault="00105F68" w:rsidP="00C42A27">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Efficiency</w:t>
            </w:r>
          </w:p>
        </w:tc>
        <w:tc>
          <w:tcPr>
            <w:tcW w:w="469" w:type="pct"/>
            <w:vAlign w:val="center"/>
            <w:hideMark/>
          </w:tcPr>
          <w:p w14:paraId="77F3A372" w14:textId="77777777" w:rsidR="00105F68" w:rsidRPr="00AC5D62" w:rsidRDefault="00105F68" w:rsidP="00C42A27">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Physical</w:t>
            </w:r>
          </w:p>
          <w:p w14:paraId="58D23610" w14:textId="77777777" w:rsidR="00105F68" w:rsidRPr="00AC5D62" w:rsidRDefault="00105F68" w:rsidP="00C42A27">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State</w:t>
            </w:r>
          </w:p>
        </w:tc>
        <w:tc>
          <w:tcPr>
            <w:tcW w:w="484" w:type="pct"/>
            <w:vAlign w:val="center"/>
            <w:hideMark/>
          </w:tcPr>
          <w:p w14:paraId="1370E226" w14:textId="77777777" w:rsidR="00105F68" w:rsidRPr="00AC5D62" w:rsidRDefault="00105F68" w:rsidP="00C42A27">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Colour</w:t>
            </w:r>
          </w:p>
        </w:tc>
        <w:tc>
          <w:tcPr>
            <w:tcW w:w="251" w:type="pct"/>
            <w:vAlign w:val="center"/>
            <w:hideMark/>
          </w:tcPr>
          <w:p w14:paraId="6CA09994" w14:textId="77777777" w:rsidR="00105F68" w:rsidRPr="00AC5D62" w:rsidRDefault="00105F68" w:rsidP="00C42A27">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Taste</w:t>
            </w:r>
          </w:p>
        </w:tc>
        <w:tc>
          <w:tcPr>
            <w:tcW w:w="326" w:type="pct"/>
            <w:vAlign w:val="center"/>
            <w:hideMark/>
          </w:tcPr>
          <w:p w14:paraId="6830B16F" w14:textId="77777777" w:rsidR="00105F68" w:rsidRPr="00AC5D62" w:rsidRDefault="00105F68" w:rsidP="00C42A27">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Odour</w:t>
            </w:r>
          </w:p>
        </w:tc>
        <w:tc>
          <w:tcPr>
            <w:tcW w:w="1053" w:type="pct"/>
            <w:vAlign w:val="center"/>
            <w:hideMark/>
          </w:tcPr>
          <w:p w14:paraId="2F13D41B" w14:textId="77777777" w:rsidR="00105F68" w:rsidRPr="00AC5D62" w:rsidRDefault="00105F68" w:rsidP="00C42A27">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kern w:val="0"/>
                <w:sz w:val="20"/>
                <w:szCs w:val="20"/>
                <w:lang w:eastAsia="en-IN" w:bidi="hi-IN"/>
                <w14:ligatures w14:val="none"/>
              </w:rPr>
              <w:t>Consistency with</w:t>
            </w:r>
          </w:p>
          <w:p w14:paraId="26BCCF0D" w14:textId="77777777" w:rsidR="00105F68" w:rsidRPr="00AC5D62" w:rsidRDefault="00105F68" w:rsidP="00C42A27">
            <w:pPr>
              <w:spacing w:line="36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i/>
                <w:iCs/>
                <w:kern w:val="0"/>
                <w:sz w:val="20"/>
                <w:szCs w:val="20"/>
                <w:lang w:eastAsia="en-IN" w:bidi="hi-IN"/>
                <w14:ligatures w14:val="none"/>
              </w:rPr>
              <w:t>A. annua</w:t>
            </w:r>
          </w:p>
        </w:tc>
      </w:tr>
      <w:tr w:rsidR="00105F68" w:rsidRPr="00AC5D62" w14:paraId="24FD56EB" w14:textId="77777777" w:rsidTr="00C42A27">
        <w:tc>
          <w:tcPr>
            <w:tcW w:w="628" w:type="pct"/>
            <w:vAlign w:val="center"/>
            <w:hideMark/>
          </w:tcPr>
          <w:p w14:paraId="5DDCB706" w14:textId="77777777" w:rsidR="00105F68" w:rsidRPr="00AC5D62" w:rsidRDefault="00105F68" w:rsidP="00C42A27">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Crude/ Cold Extraction</w:t>
            </w:r>
          </w:p>
        </w:tc>
        <w:tc>
          <w:tcPr>
            <w:tcW w:w="430" w:type="pct"/>
            <w:vAlign w:val="center"/>
          </w:tcPr>
          <w:p w14:paraId="776643DB" w14:textId="77777777" w:rsidR="00105F68" w:rsidRPr="00AC5D62" w:rsidRDefault="00105F68" w:rsidP="00C42A27">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Hydro-ethanol</w:t>
            </w:r>
          </w:p>
        </w:tc>
        <w:tc>
          <w:tcPr>
            <w:tcW w:w="270" w:type="pct"/>
            <w:vAlign w:val="center"/>
            <w:hideMark/>
          </w:tcPr>
          <w:p w14:paraId="2946313B" w14:textId="77777777" w:rsidR="00105F68" w:rsidRPr="00AC5D62" w:rsidRDefault="00105F68" w:rsidP="00C42A27">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6.45%</w:t>
            </w:r>
          </w:p>
        </w:tc>
        <w:tc>
          <w:tcPr>
            <w:tcW w:w="1089" w:type="pct"/>
            <w:vAlign w:val="center"/>
            <w:hideMark/>
          </w:tcPr>
          <w:p w14:paraId="04DB63E7" w14:textId="77777777" w:rsidR="00105F68" w:rsidRPr="00AC5D62" w:rsidRDefault="00105F68" w:rsidP="00C42A27">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Efficient recovery under the applied conditions</w:t>
            </w:r>
          </w:p>
        </w:tc>
        <w:tc>
          <w:tcPr>
            <w:tcW w:w="469" w:type="pct"/>
            <w:vAlign w:val="center"/>
            <w:hideMark/>
          </w:tcPr>
          <w:p w14:paraId="6F94429F" w14:textId="77777777" w:rsidR="00105F68" w:rsidRPr="00AC5D62" w:rsidRDefault="00105F68" w:rsidP="00C42A27">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Solid and sticky</w:t>
            </w:r>
          </w:p>
        </w:tc>
        <w:tc>
          <w:tcPr>
            <w:tcW w:w="484" w:type="pct"/>
            <w:vAlign w:val="center"/>
            <w:hideMark/>
          </w:tcPr>
          <w:p w14:paraId="25CCC653" w14:textId="77777777" w:rsidR="00105F68" w:rsidRPr="00AC5D62" w:rsidRDefault="00105F68" w:rsidP="00C42A27">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Greenish-brown</w:t>
            </w:r>
          </w:p>
        </w:tc>
        <w:tc>
          <w:tcPr>
            <w:tcW w:w="251" w:type="pct"/>
            <w:vAlign w:val="center"/>
            <w:hideMark/>
          </w:tcPr>
          <w:p w14:paraId="3BE11BAB" w14:textId="77777777" w:rsidR="00105F68" w:rsidRPr="00AC5D62" w:rsidRDefault="00105F68" w:rsidP="00C42A27">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Bitter</w:t>
            </w:r>
          </w:p>
        </w:tc>
        <w:tc>
          <w:tcPr>
            <w:tcW w:w="326" w:type="pct"/>
            <w:vAlign w:val="center"/>
            <w:hideMark/>
          </w:tcPr>
          <w:p w14:paraId="45EF4DD5" w14:textId="77777777" w:rsidR="00105F68" w:rsidRPr="00AC5D62" w:rsidRDefault="00105F68" w:rsidP="00C42A27">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Pleasant</w:t>
            </w:r>
          </w:p>
        </w:tc>
        <w:tc>
          <w:tcPr>
            <w:tcW w:w="1053" w:type="pct"/>
            <w:vAlign w:val="center"/>
            <w:hideMark/>
          </w:tcPr>
          <w:p w14:paraId="0889AEA3" w14:textId="77777777" w:rsidR="00105F68" w:rsidRPr="00AC5D62" w:rsidRDefault="00105F68" w:rsidP="00C42A27">
            <w:pPr>
              <w:spacing w:line="36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kern w:val="0"/>
                <w:sz w:val="20"/>
                <w:szCs w:val="20"/>
                <w:lang w:eastAsia="en-IN" w:bidi="hi-IN"/>
                <w14:ligatures w14:val="none"/>
              </w:rPr>
              <w:t>Matches reported organoleptic characteristics</w:t>
            </w:r>
          </w:p>
        </w:tc>
      </w:tr>
    </w:tbl>
    <w:p w14:paraId="25FC3596" w14:textId="77777777" w:rsidR="00105F68" w:rsidRPr="00AC5D62" w:rsidRDefault="00105F68" w:rsidP="00105F68">
      <w:pPr>
        <w:jc w:val="center"/>
        <w:rPr>
          <w:rFonts w:ascii="Arial" w:hAnsi="Arial" w:cs="Arial"/>
          <w:b/>
          <w:bCs/>
          <w:sz w:val="20"/>
          <w:szCs w:val="20"/>
        </w:rPr>
      </w:pPr>
    </w:p>
    <w:p w14:paraId="57A08884" w14:textId="77777777" w:rsidR="00105F68" w:rsidRPr="00AC5D62" w:rsidRDefault="00105F68" w:rsidP="00105F68">
      <w:pPr>
        <w:spacing w:after="0" w:line="360" w:lineRule="auto"/>
        <w:jc w:val="center"/>
        <w:rPr>
          <w:rFonts w:ascii="Arial" w:hAnsi="Arial" w:cs="Arial"/>
          <w:b/>
          <w:bCs/>
          <w:sz w:val="20"/>
          <w:szCs w:val="20"/>
        </w:rPr>
      </w:pPr>
      <w:r w:rsidRPr="00AC5D62">
        <w:rPr>
          <w:rFonts w:ascii="Arial" w:hAnsi="Arial" w:cs="Arial"/>
          <w:b/>
          <w:bCs/>
          <w:sz w:val="20"/>
          <w:szCs w:val="20"/>
        </w:rPr>
        <w:t xml:space="preserve">Table 2. Qualitative Phytochemical analysis of extract of </w:t>
      </w:r>
      <w:r w:rsidRPr="00AC5D62">
        <w:rPr>
          <w:rFonts w:ascii="Arial" w:hAnsi="Arial" w:cs="Arial"/>
          <w:b/>
          <w:bCs/>
          <w:i/>
          <w:iCs/>
          <w:sz w:val="20"/>
          <w:szCs w:val="20"/>
        </w:rPr>
        <w:t>Artemisia annua</w:t>
      </w:r>
      <w:r w:rsidRPr="00AC5D62">
        <w:rPr>
          <w:rFonts w:ascii="Arial" w:hAnsi="Arial" w:cs="Arial"/>
          <w:b/>
          <w:bCs/>
          <w:sz w:val="20"/>
          <w:szCs w:val="20"/>
        </w:rPr>
        <w:t xml:space="preserve"> plant</w:t>
      </w:r>
    </w:p>
    <w:tbl>
      <w:tblPr>
        <w:tblW w:w="5000" w:type="pct"/>
        <w:tblCellMar>
          <w:left w:w="0" w:type="dxa"/>
          <w:right w:w="0" w:type="dxa"/>
        </w:tblCellMar>
        <w:tblLook w:val="0600" w:firstRow="0" w:lastRow="0" w:firstColumn="0" w:lastColumn="0" w:noHBand="1" w:noVBand="1"/>
      </w:tblPr>
      <w:tblGrid>
        <w:gridCol w:w="734"/>
        <w:gridCol w:w="672"/>
        <w:gridCol w:w="777"/>
        <w:gridCol w:w="1006"/>
        <w:gridCol w:w="506"/>
        <w:gridCol w:w="547"/>
        <w:gridCol w:w="610"/>
        <w:gridCol w:w="596"/>
        <w:gridCol w:w="471"/>
        <w:gridCol w:w="979"/>
        <w:gridCol w:w="687"/>
        <w:gridCol w:w="714"/>
        <w:gridCol w:w="707"/>
      </w:tblGrid>
      <w:tr w:rsidR="00105F68" w:rsidRPr="00AC5D62" w14:paraId="5E0FFB96" w14:textId="77777777" w:rsidTr="00C42A27">
        <w:trPr>
          <w:trHeight w:val="454"/>
        </w:trPr>
        <w:tc>
          <w:tcPr>
            <w:tcW w:w="397" w:type="pct"/>
            <w:vMerge w:val="restar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44A225AA" w14:textId="77777777" w:rsidR="00105F68" w:rsidRPr="00AC5D62" w:rsidRDefault="00105F68" w:rsidP="00C42A27">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Solvent</w:t>
            </w:r>
          </w:p>
        </w:tc>
        <w:tc>
          <w:tcPr>
            <w:tcW w:w="4603" w:type="pct"/>
            <w:gridSpan w:val="12"/>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1B8BD250" w14:textId="77777777" w:rsidR="00105F68" w:rsidRPr="00AC5D62" w:rsidRDefault="00105F68" w:rsidP="00C42A27">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Active Principles</w:t>
            </w:r>
          </w:p>
        </w:tc>
      </w:tr>
      <w:tr w:rsidR="00105F68" w:rsidRPr="00AC5D62" w14:paraId="5CA038D6" w14:textId="77777777" w:rsidTr="00C42A27">
        <w:trPr>
          <w:trHeight w:val="696"/>
        </w:trPr>
        <w:tc>
          <w:tcPr>
            <w:tcW w:w="397" w:type="pct"/>
            <w:vMerge/>
            <w:tcBorders>
              <w:top w:val="single" w:sz="8" w:space="0" w:color="000000"/>
              <w:left w:val="single" w:sz="8" w:space="0" w:color="000000"/>
              <w:bottom w:val="single" w:sz="8" w:space="0" w:color="000000"/>
              <w:right w:val="single" w:sz="8" w:space="0" w:color="000000"/>
            </w:tcBorders>
            <w:vAlign w:val="center"/>
            <w:hideMark/>
          </w:tcPr>
          <w:p w14:paraId="26338FFF" w14:textId="77777777" w:rsidR="00105F68" w:rsidRPr="00AC5D62" w:rsidRDefault="00105F68" w:rsidP="00C42A27">
            <w:pPr>
              <w:spacing w:after="0" w:line="240" w:lineRule="auto"/>
              <w:rPr>
                <w:rFonts w:ascii="Arial" w:eastAsia="Times New Roman" w:hAnsi="Arial" w:cs="Arial"/>
                <w:kern w:val="0"/>
                <w:sz w:val="20"/>
                <w:szCs w:val="20"/>
                <w:lang w:eastAsia="en-IN" w:bidi="hi-IN"/>
                <w14:ligatures w14:val="none"/>
              </w:rPr>
            </w:pPr>
          </w:p>
        </w:tc>
        <w:tc>
          <w:tcPr>
            <w:tcW w:w="368"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2327EFB2" w14:textId="77777777" w:rsidR="00105F68" w:rsidRPr="00AC5D62" w:rsidRDefault="00105F68" w:rsidP="00C42A27">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Alkaloids</w:t>
            </w:r>
          </w:p>
        </w:tc>
        <w:tc>
          <w:tcPr>
            <w:tcW w:w="376"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4E235322" w14:textId="77777777" w:rsidR="00105F68" w:rsidRPr="00AC5D62" w:rsidRDefault="00105F68" w:rsidP="00C42A27">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Flavonoids</w:t>
            </w:r>
          </w:p>
        </w:tc>
        <w:tc>
          <w:tcPr>
            <w:tcW w:w="366"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3C392687" w14:textId="77777777" w:rsidR="00105F68" w:rsidRPr="00AC5D62" w:rsidRDefault="00105F68" w:rsidP="00C42A27">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Anthraquinone</w:t>
            </w:r>
          </w:p>
        </w:tc>
        <w:tc>
          <w:tcPr>
            <w:tcW w:w="482"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7787E773" w14:textId="77777777" w:rsidR="00105F68" w:rsidRPr="00AC5D62" w:rsidRDefault="00105F68" w:rsidP="00C42A27">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Amino Acid</w:t>
            </w:r>
          </w:p>
        </w:tc>
        <w:tc>
          <w:tcPr>
            <w:tcW w:w="362"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33C721E3" w14:textId="77777777" w:rsidR="00105F68" w:rsidRPr="00AC5D62" w:rsidRDefault="00105F68" w:rsidP="00C42A27">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Protein</w:t>
            </w:r>
          </w:p>
        </w:tc>
        <w:tc>
          <w:tcPr>
            <w:tcW w:w="366"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796BC5B9" w14:textId="77777777" w:rsidR="00105F68" w:rsidRPr="00AC5D62" w:rsidRDefault="00105F68" w:rsidP="00C42A27">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Saponin</w:t>
            </w:r>
          </w:p>
        </w:tc>
        <w:tc>
          <w:tcPr>
            <w:tcW w:w="361"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368D3641" w14:textId="77777777" w:rsidR="00105F68" w:rsidRPr="00AC5D62" w:rsidRDefault="00105F68" w:rsidP="00C42A27">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Tannins</w:t>
            </w:r>
          </w:p>
        </w:tc>
        <w:tc>
          <w:tcPr>
            <w:tcW w:w="360"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626732C1" w14:textId="77777777" w:rsidR="00105F68" w:rsidRPr="00AC5D62" w:rsidRDefault="00105F68" w:rsidP="00C42A27">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Sterol</w:t>
            </w:r>
          </w:p>
        </w:tc>
        <w:tc>
          <w:tcPr>
            <w:tcW w:w="464"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2C12F978" w14:textId="77777777" w:rsidR="00105F68" w:rsidRPr="00AC5D62" w:rsidRDefault="00105F68" w:rsidP="00C42A27">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val="en-US" w:eastAsia="en-IN" w:bidi="hi-IN"/>
                <w14:ligatures w14:val="none"/>
              </w:rPr>
              <w:t>Sesquiterpene Lactones</w:t>
            </w:r>
          </w:p>
        </w:tc>
        <w:tc>
          <w:tcPr>
            <w:tcW w:w="366"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6EF944E3" w14:textId="77777777" w:rsidR="00105F68" w:rsidRPr="00AC5D62" w:rsidRDefault="00105F68" w:rsidP="00C42A27">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Reducing Sugar</w:t>
            </w:r>
          </w:p>
        </w:tc>
        <w:tc>
          <w:tcPr>
            <w:tcW w:w="366"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6BD49F90" w14:textId="77777777" w:rsidR="00105F68" w:rsidRPr="00AC5D62" w:rsidRDefault="00105F68" w:rsidP="00C42A27">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Glyosides</w:t>
            </w:r>
          </w:p>
        </w:tc>
        <w:tc>
          <w:tcPr>
            <w:tcW w:w="366"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56FA551E" w14:textId="77777777" w:rsidR="00105F68" w:rsidRPr="00AC5D62" w:rsidRDefault="00105F68" w:rsidP="00C42A27">
            <w:pPr>
              <w:spacing w:after="0" w:line="240" w:lineRule="auto"/>
              <w:jc w:val="center"/>
              <w:rPr>
                <w:rFonts w:ascii="Arial" w:eastAsia="Times New Roman" w:hAnsi="Arial" w:cs="Arial"/>
                <w:b/>
                <w:bCs/>
                <w:kern w:val="0"/>
                <w:sz w:val="20"/>
                <w:szCs w:val="20"/>
                <w:lang w:eastAsia="en-IN" w:bidi="hi-IN"/>
                <w14:ligatures w14:val="none"/>
              </w:rPr>
            </w:pPr>
            <w:r w:rsidRPr="00AC5D62">
              <w:rPr>
                <w:rFonts w:ascii="Arial" w:eastAsia="Times New Roman" w:hAnsi="Arial" w:cs="Arial"/>
                <w:b/>
                <w:bCs/>
                <w:color w:val="000000" w:themeColor="text1"/>
                <w:kern w:val="24"/>
                <w:sz w:val="20"/>
                <w:szCs w:val="20"/>
                <w:lang w:eastAsia="en-IN" w:bidi="hi-IN"/>
                <w14:ligatures w14:val="none"/>
              </w:rPr>
              <w:t>Phenolics</w:t>
            </w:r>
          </w:p>
        </w:tc>
      </w:tr>
      <w:tr w:rsidR="00105F68" w:rsidRPr="00AC5D62" w14:paraId="6F8888FB" w14:textId="77777777" w:rsidTr="00C42A27">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09B15AE3"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Acetic acid</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3F87494"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D9D41DC"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4F46492"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EC3121A"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C9A39DA"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3AA21D6"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0E0C6B7"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A342842"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F93447"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C5792DC"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6A9E08F"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E18913C"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4883AAF3" w14:textId="77777777" w:rsidTr="00C42A27">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63FBEB62"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Acetone</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2820583"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11A568B"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A76F82C"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11B9C7B"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B4EF520"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F1E8952"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186C736"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A9533D7"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F2950C"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D4CD44F"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779CA91"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65CFDDB"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58AD81C9" w14:textId="77777777" w:rsidTr="00C42A27">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7E4217CC"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Benzene</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897E00D"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57B1EC7"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F5879C7"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044BE0D"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83BF51A"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F36D45E"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57DDF88"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8F545E4"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86FB5E"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9662030"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DED9F84"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00D48C5"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40F53469" w14:textId="77777777" w:rsidTr="00C42A27">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1358DC28"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Chloroform</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3029FBB"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6B6A16D"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75B99EE"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02D164E"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CBD75D0"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B5DB7B5"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55D5A12"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9552AAD"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52E2ED"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DD85ACA"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01FD62B"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06800D8"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3C17459D" w14:textId="77777777" w:rsidTr="00C42A27">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19E88719"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Ethyl acetate</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8939397"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091C29A"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2E35102"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5A78302"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659AFED"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9BF0CE2"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15E289E"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4493287"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244BEC"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6815F59"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C339F2B"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36DF32F"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val="en-US" w:eastAsia="en-IN" w:bidi="hi-IN"/>
                <w14:ligatures w14:val="none"/>
              </w:rPr>
              <w:t>+</w:t>
            </w:r>
          </w:p>
        </w:tc>
      </w:tr>
      <w:tr w:rsidR="00105F68" w:rsidRPr="00AC5D62" w14:paraId="6923F7E3" w14:textId="77777777" w:rsidTr="00C42A27">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63D67552"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Ethanol</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55FAA19"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20D5CB8"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5AADE4D"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71F198C"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F23E714"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F64AE39"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47CB73F"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F8EAD26"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956CA9"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27671C8"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4F7A5BB"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B9DA085"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239882C1" w14:textId="77777777" w:rsidTr="00C42A27">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23E9BD1F"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Hexane</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9091930"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D1838DA"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549EB0C"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FCAFBC1"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929177E"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8772AB2"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EADB40D"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8E111D7"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764B02"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E2866C4"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EFB3B46"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71DF6FA"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35BD3428" w14:textId="77777777" w:rsidTr="00C42A27">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2CDCE6DA"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Hydro-ethano</w:t>
            </w:r>
            <w:bookmarkStart w:id="8" w:name="_GoBack"/>
            <w:bookmarkEnd w:id="8"/>
            <w:r w:rsidRPr="00AC5D62">
              <w:rPr>
                <w:rFonts w:ascii="Arial" w:eastAsia="Times New Roman" w:hAnsi="Arial" w:cs="Arial"/>
                <w:color w:val="000000" w:themeColor="text1"/>
                <w:kern w:val="24"/>
                <w:sz w:val="20"/>
                <w:szCs w:val="20"/>
                <w:lang w:eastAsia="en-IN" w:bidi="hi-IN"/>
                <w14:ligatures w14:val="none"/>
              </w:rPr>
              <w:t>l</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19110A3"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5381615"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3B3E770"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7C29C49"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FF28C3C"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6FAD354"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F8A2F2F"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340E6AE"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DE7B6D"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131D2C0"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F6ED489"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9DC5BDF"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4A3A3B8C" w14:textId="77777777" w:rsidTr="00C42A27">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3686BA93"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Methanol</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9B05D49"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DF7A917"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11E9C98"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E6A2066"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869D733"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F7199D0"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426BC0B"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val="en-US"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D08D906"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7A8BA6"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34C62A8"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4718A8B"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val="en-US"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2DCC339"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719CE5C5" w14:textId="77777777" w:rsidTr="00C42A27">
        <w:trPr>
          <w:trHeight w:val="696"/>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370B3B88"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lastRenderedPageBreak/>
              <w:t>Petroleum ether</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4F7A9CC"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C39C555"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F543FFE"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E27E5B0"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BA378DD"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9608DA8"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8271190"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DD9AF9B"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32B588"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B6B15B8"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62D2297"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C94C029"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5460EBFF" w14:textId="77777777" w:rsidTr="00C42A27">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2B27A097"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Xylene</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A489B98"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E85EEC9"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3266352"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2BD1382"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AA25073"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FF506AD"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60DC57B"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95DE716"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7703F2"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ADF234B"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D59DFEC"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BF014F6"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r w:rsidR="00105F68" w:rsidRPr="00AC5D62" w14:paraId="58B647A1" w14:textId="77777777" w:rsidTr="00C42A27">
        <w:trPr>
          <w:trHeight w:val="454"/>
        </w:trPr>
        <w:tc>
          <w:tcPr>
            <w:tcW w:w="397" w:type="pct"/>
            <w:tcBorders>
              <w:top w:val="single" w:sz="8" w:space="0" w:color="000000"/>
              <w:left w:val="single" w:sz="8" w:space="0" w:color="000000"/>
              <w:bottom w:val="single" w:sz="8" w:space="0" w:color="000000"/>
              <w:right w:val="single" w:sz="8" w:space="0" w:color="000000"/>
            </w:tcBorders>
            <w:tcMar>
              <w:top w:w="15" w:type="dxa"/>
              <w:left w:w="58" w:type="dxa"/>
              <w:bottom w:w="0" w:type="dxa"/>
              <w:right w:w="58" w:type="dxa"/>
            </w:tcMar>
            <w:vAlign w:val="center"/>
            <w:hideMark/>
          </w:tcPr>
          <w:p w14:paraId="254A6C2E"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themeColor="text1"/>
                <w:kern w:val="24"/>
                <w:sz w:val="20"/>
                <w:szCs w:val="20"/>
                <w:lang w:eastAsia="en-IN" w:bidi="hi-IN"/>
                <w14:ligatures w14:val="none"/>
              </w:rPr>
              <w:t>Water</w:t>
            </w:r>
          </w:p>
        </w:tc>
        <w:tc>
          <w:tcPr>
            <w:tcW w:w="368"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3324F2AF"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7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2B7EF27A"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028F010"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8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D8E630F"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2"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5A7B4111"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57C0483"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1"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41C5FF8A"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0"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63E924D3"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46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36AEBD"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06DA3459"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7C16E9D6"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c>
          <w:tcPr>
            <w:tcW w:w="366" w:type="pct"/>
            <w:tcBorders>
              <w:top w:val="single" w:sz="8" w:space="0" w:color="000000"/>
              <w:left w:val="single" w:sz="8" w:space="0" w:color="000000"/>
              <w:bottom w:val="single" w:sz="8" w:space="0" w:color="000000"/>
              <w:right w:val="single" w:sz="8" w:space="0" w:color="000000"/>
            </w:tcBorders>
            <w:tcMar>
              <w:top w:w="13" w:type="dxa"/>
              <w:left w:w="58" w:type="dxa"/>
              <w:bottom w:w="0" w:type="dxa"/>
              <w:right w:w="58" w:type="dxa"/>
            </w:tcMar>
            <w:vAlign w:val="center"/>
            <w:hideMark/>
          </w:tcPr>
          <w:p w14:paraId="1615ADB9" w14:textId="77777777" w:rsidR="00105F68" w:rsidRPr="00AC5D62" w:rsidRDefault="00105F68" w:rsidP="00C42A27">
            <w:pPr>
              <w:spacing w:after="0" w:line="240" w:lineRule="auto"/>
              <w:jc w:val="center"/>
              <w:rPr>
                <w:rFonts w:ascii="Arial" w:eastAsia="Times New Roman" w:hAnsi="Arial" w:cs="Arial"/>
                <w:kern w:val="0"/>
                <w:sz w:val="20"/>
                <w:szCs w:val="20"/>
                <w:lang w:eastAsia="en-IN" w:bidi="hi-IN"/>
                <w14:ligatures w14:val="none"/>
              </w:rPr>
            </w:pPr>
            <w:r w:rsidRPr="00AC5D62">
              <w:rPr>
                <w:rFonts w:ascii="Arial" w:eastAsia="Times New Roman" w:hAnsi="Arial" w:cs="Arial"/>
                <w:color w:val="000000"/>
                <w:kern w:val="24"/>
                <w:sz w:val="20"/>
                <w:szCs w:val="20"/>
                <w:lang w:eastAsia="en-IN" w:bidi="hi-IN"/>
                <w14:ligatures w14:val="none"/>
              </w:rPr>
              <w:t>+</w:t>
            </w:r>
          </w:p>
        </w:tc>
      </w:tr>
    </w:tbl>
    <w:p w14:paraId="63E6D8E2" w14:textId="77777777" w:rsidR="00105F68" w:rsidRPr="00AC5D62" w:rsidRDefault="00105F68" w:rsidP="00105F68">
      <w:pPr>
        <w:rPr>
          <w:rFonts w:ascii="Arial" w:hAnsi="Arial" w:cs="Arial"/>
          <w:sz w:val="20"/>
          <w:szCs w:val="20"/>
        </w:rPr>
      </w:pPr>
      <w:r w:rsidRPr="00AC5D62">
        <w:rPr>
          <w:rFonts w:ascii="Arial" w:hAnsi="Arial" w:cs="Arial"/>
          <w:sz w:val="20"/>
          <w:szCs w:val="20"/>
        </w:rPr>
        <w:t>- Nil;   + Mild;    ++ Moderate;     +++ Abundance</w:t>
      </w:r>
    </w:p>
    <w:p w14:paraId="6CE61913" w14:textId="77777777" w:rsidR="00105F68" w:rsidRDefault="00105F68" w:rsidP="00451228">
      <w:pPr>
        <w:spacing w:before="100" w:beforeAutospacing="1" w:after="100" w:afterAutospacing="1" w:line="480" w:lineRule="auto"/>
        <w:ind w:left="851" w:hanging="851"/>
        <w:jc w:val="both"/>
        <w:rPr>
          <w:rFonts w:ascii="Arial" w:eastAsia="Times New Roman" w:hAnsi="Arial" w:cs="Arial"/>
          <w:kern w:val="0"/>
          <w:sz w:val="20"/>
          <w:szCs w:val="20"/>
          <w:lang w:eastAsia="en-IN" w:bidi="hi-IN"/>
          <w14:ligatures w14:val="none"/>
        </w:rPr>
      </w:pPr>
    </w:p>
    <w:p w14:paraId="7B8F4E59" w14:textId="77777777" w:rsidR="00105F68" w:rsidRPr="00067A37" w:rsidRDefault="00105F68" w:rsidP="00105F68">
      <w:pPr>
        <w:rPr>
          <w:rFonts w:ascii="Arial" w:hAnsi="Arial" w:cs="Arial"/>
          <w:sz w:val="20"/>
          <w:szCs w:val="20"/>
        </w:rPr>
      </w:pPr>
      <w:r w:rsidRPr="00067A37">
        <w:rPr>
          <w:rFonts w:ascii="Arial" w:hAnsi="Arial" w:cs="Arial"/>
          <w:sz w:val="20"/>
          <w:szCs w:val="20"/>
        </w:rPr>
        <w:t xml:space="preserve">     </w:t>
      </w:r>
      <w:r w:rsidRPr="00067A37">
        <w:rPr>
          <w:rFonts w:ascii="Arial" w:hAnsi="Arial" w:cs="Arial"/>
          <w:noProof/>
          <w:sz w:val="20"/>
          <w:szCs w:val="20"/>
        </w:rPr>
        <w:t xml:space="preserve">    </w:t>
      </w:r>
      <w:r w:rsidRPr="00067A37">
        <w:rPr>
          <w:rFonts w:ascii="Arial" w:hAnsi="Arial" w:cs="Arial"/>
          <w:noProof/>
          <w:sz w:val="20"/>
          <w:szCs w:val="20"/>
          <w:lang w:val="en-US"/>
        </w:rPr>
        <w:drawing>
          <wp:inline distT="0" distB="0" distL="0" distR="0" wp14:anchorId="672FDA3E" wp14:editId="31D4717D">
            <wp:extent cx="1969770" cy="1875032"/>
            <wp:effectExtent l="133350" t="76200" r="87630" b="125730"/>
            <wp:docPr id="35" name="Picture 4" descr="E:\1 PhD MAFSU 2022-23\4 Semester\0 My PhD Research Work\Theileriosis\Plant extraction\IMG20240808172658.jpg">
              <a:extLst xmlns:a="http://schemas.openxmlformats.org/drawingml/2006/main">
                <a:ext uri="{FF2B5EF4-FFF2-40B4-BE49-F238E27FC236}">
                  <a16:creationId xmlns:a16="http://schemas.microsoft.com/office/drawing/2014/main" id="{1278D7D4-1CA3-6C3C-EE95-6D72D7B44B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descr="E:\1 PhD MAFSU 2022-23\4 Semester\0 My PhD Research Work\Theileriosis\Plant extraction\IMG20240808172658.jpg">
                      <a:extLst>
                        <a:ext uri="{FF2B5EF4-FFF2-40B4-BE49-F238E27FC236}">
                          <a16:creationId xmlns:a16="http://schemas.microsoft.com/office/drawing/2014/main" id="{1278D7D4-1CA3-6C3C-EE95-6D72D7B44BE2}"/>
                        </a:ext>
                      </a:extLst>
                    </pic:cNvPr>
                    <pic:cNvPicPr>
                      <a:picLocks noChangeAspect="1" noChangeArrowheads="1"/>
                    </pic:cNvPicPr>
                  </pic:nvPicPr>
                  <pic:blipFill>
                    <a:blip r:embed="rId23" cstate="print"/>
                    <a:srcRect t="20833" b="33333"/>
                    <a:stretch>
                      <a:fillRect/>
                    </a:stretch>
                  </pic:blipFill>
                  <pic:spPr bwMode="auto">
                    <a:xfrm>
                      <a:off x="0" y="0"/>
                      <a:ext cx="1974683" cy="187970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r w:rsidRPr="00067A37">
        <w:rPr>
          <w:rFonts w:ascii="Arial" w:hAnsi="Arial" w:cs="Arial"/>
          <w:sz w:val="20"/>
          <w:szCs w:val="20"/>
        </w:rPr>
        <w:t xml:space="preserve">    </w:t>
      </w:r>
      <w:r w:rsidRPr="00067A37">
        <w:rPr>
          <w:rFonts w:ascii="Arial" w:hAnsi="Arial" w:cs="Arial"/>
          <w:sz w:val="20"/>
          <w:szCs w:val="20"/>
        </w:rPr>
        <w:tab/>
        <w:t xml:space="preserve">       </w:t>
      </w:r>
      <w:r w:rsidRPr="00067A37">
        <w:rPr>
          <w:rFonts w:ascii="Arial" w:hAnsi="Arial" w:cs="Arial"/>
          <w:noProof/>
          <w:sz w:val="20"/>
          <w:szCs w:val="20"/>
        </w:rPr>
        <w:t xml:space="preserve">   </w:t>
      </w:r>
      <w:r w:rsidRPr="00067A37">
        <w:rPr>
          <w:rFonts w:ascii="Arial" w:hAnsi="Arial" w:cs="Arial"/>
          <w:noProof/>
          <w:sz w:val="20"/>
          <w:szCs w:val="20"/>
          <w:lang w:val="en-US"/>
        </w:rPr>
        <w:drawing>
          <wp:inline distT="0" distB="0" distL="0" distR="0" wp14:anchorId="3E1290A4" wp14:editId="6943C150">
            <wp:extent cx="2091690" cy="1918970"/>
            <wp:effectExtent l="133350" t="76200" r="80010" b="138430"/>
            <wp:docPr id="32" name="Picture 7" descr="E:\1 PhD MAFSU 2022-23\4 Semester\0 My PhD Research Work\Theileriosis\Plant extraction\IMG20240822111847.jpg">
              <a:extLst xmlns:a="http://schemas.openxmlformats.org/drawingml/2006/main">
                <a:ext uri="{FF2B5EF4-FFF2-40B4-BE49-F238E27FC236}">
                  <a16:creationId xmlns:a16="http://schemas.microsoft.com/office/drawing/2014/main" id="{187BD3C1-F640-BA7A-CF75-D73E503496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7" descr="E:\1 PhD MAFSU 2022-23\4 Semester\0 My PhD Research Work\Theileriosis\Plant extraction\IMG20240822111847.jpg">
                      <a:extLst>
                        <a:ext uri="{FF2B5EF4-FFF2-40B4-BE49-F238E27FC236}">
                          <a16:creationId xmlns:a16="http://schemas.microsoft.com/office/drawing/2014/main" id="{187BD3C1-F640-BA7A-CF75-D73E503496ED}"/>
                        </a:ext>
                      </a:extLst>
                    </pic:cNvPr>
                    <pic:cNvPicPr>
                      <a:picLocks noChangeAspect="1" noChangeArrowheads="1"/>
                    </pic:cNvPicPr>
                  </pic:nvPicPr>
                  <pic:blipFill>
                    <a:blip r:embed="rId24" cstate="print"/>
                    <a:srcRect l="15128" t="7778" r="10147" b="30000"/>
                    <a:stretch>
                      <a:fillRect/>
                    </a:stretch>
                  </pic:blipFill>
                  <pic:spPr bwMode="auto">
                    <a:xfrm>
                      <a:off x="0" y="0"/>
                      <a:ext cx="2092114" cy="191935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43BD9E5F" w14:textId="77777777" w:rsidR="00105F68" w:rsidRPr="00067A37" w:rsidRDefault="00105F68" w:rsidP="00105F68">
      <w:pPr>
        <w:rPr>
          <w:rFonts w:ascii="Arial" w:hAnsi="Arial" w:cs="Arial"/>
          <w:b/>
          <w:bCs/>
          <w:sz w:val="20"/>
          <w:szCs w:val="20"/>
        </w:rPr>
      </w:pPr>
      <w:r>
        <w:rPr>
          <w:rFonts w:ascii="Arial" w:hAnsi="Arial" w:cs="Arial"/>
          <w:b/>
          <w:bCs/>
          <w:sz w:val="20"/>
          <w:szCs w:val="20"/>
        </w:rPr>
        <w:t xml:space="preserve">     </w:t>
      </w:r>
      <w:r w:rsidRPr="00067A37">
        <w:rPr>
          <w:rFonts w:ascii="Arial" w:hAnsi="Arial" w:cs="Arial"/>
          <w:b/>
          <w:bCs/>
          <w:sz w:val="20"/>
          <w:szCs w:val="20"/>
        </w:rPr>
        <w:t xml:space="preserve">Fig. 1: Grinded </w:t>
      </w:r>
      <w:r w:rsidRPr="00067A37">
        <w:rPr>
          <w:rFonts w:ascii="Arial" w:hAnsi="Arial" w:cs="Arial"/>
          <w:b/>
          <w:bCs/>
          <w:i/>
          <w:iCs/>
          <w:sz w:val="20"/>
          <w:szCs w:val="20"/>
        </w:rPr>
        <w:t xml:space="preserve">A. annua </w:t>
      </w:r>
      <w:r w:rsidRPr="00067A37">
        <w:rPr>
          <w:rFonts w:ascii="Arial" w:hAnsi="Arial" w:cs="Arial"/>
          <w:b/>
          <w:bCs/>
          <w:sz w:val="20"/>
          <w:szCs w:val="20"/>
        </w:rPr>
        <w:t xml:space="preserve">whole plant </w:t>
      </w:r>
      <w:r w:rsidRPr="00067A37">
        <w:rPr>
          <w:rFonts w:ascii="Arial" w:hAnsi="Arial" w:cs="Arial"/>
          <w:b/>
          <w:bCs/>
          <w:sz w:val="20"/>
          <w:szCs w:val="20"/>
        </w:rPr>
        <w:tab/>
      </w:r>
      <w:r w:rsidRPr="00067A37">
        <w:rPr>
          <w:rFonts w:ascii="Arial" w:hAnsi="Arial" w:cs="Arial"/>
          <w:b/>
          <w:bCs/>
          <w:sz w:val="20"/>
          <w:szCs w:val="20"/>
        </w:rPr>
        <w:tab/>
      </w:r>
      <w:r>
        <w:rPr>
          <w:rFonts w:ascii="Arial" w:hAnsi="Arial" w:cs="Arial"/>
          <w:b/>
          <w:bCs/>
          <w:sz w:val="20"/>
          <w:szCs w:val="20"/>
        </w:rPr>
        <w:t xml:space="preserve">  </w:t>
      </w:r>
      <w:r w:rsidRPr="00067A37">
        <w:rPr>
          <w:rFonts w:ascii="Arial" w:hAnsi="Arial" w:cs="Arial"/>
          <w:b/>
          <w:bCs/>
          <w:sz w:val="20"/>
          <w:szCs w:val="20"/>
        </w:rPr>
        <w:t xml:space="preserve">Fig. 2: Extracted A. annua </w:t>
      </w:r>
      <w:r w:rsidRPr="00067A37">
        <w:rPr>
          <w:rFonts w:ascii="Arial" w:hAnsi="Arial" w:cs="Arial"/>
          <w:b/>
          <w:bCs/>
          <w:sz w:val="20"/>
          <w:szCs w:val="20"/>
        </w:rPr>
        <w:tab/>
      </w:r>
    </w:p>
    <w:p w14:paraId="5C718E08" w14:textId="77777777" w:rsidR="00105F68" w:rsidRPr="00067A37" w:rsidRDefault="00105F68" w:rsidP="00105F68">
      <w:pPr>
        <w:rPr>
          <w:rFonts w:ascii="Arial" w:hAnsi="Arial" w:cs="Arial"/>
          <w:b/>
          <w:bCs/>
          <w:i/>
          <w:iCs/>
          <w:sz w:val="20"/>
          <w:szCs w:val="20"/>
        </w:rPr>
      </w:pPr>
      <w:r w:rsidRPr="00067A37">
        <w:rPr>
          <w:rFonts w:ascii="Arial" w:hAnsi="Arial" w:cs="Arial"/>
          <w:b/>
          <w:bCs/>
          <w:sz w:val="20"/>
          <w:szCs w:val="20"/>
        </w:rPr>
        <w:tab/>
      </w:r>
    </w:p>
    <w:p w14:paraId="0B62BBDA" w14:textId="77777777" w:rsidR="00105F68" w:rsidRPr="00067A37" w:rsidRDefault="00105F68" w:rsidP="00105F68">
      <w:pPr>
        <w:rPr>
          <w:rFonts w:ascii="Arial" w:hAnsi="Arial" w:cs="Arial"/>
          <w:b/>
          <w:bCs/>
          <w:i/>
          <w:iCs/>
          <w:sz w:val="20"/>
          <w:szCs w:val="20"/>
        </w:rPr>
      </w:pPr>
      <w:r w:rsidRPr="00067A37">
        <w:rPr>
          <w:rFonts w:ascii="Arial" w:hAnsi="Arial" w:cs="Arial"/>
          <w:noProof/>
          <w:sz w:val="20"/>
          <w:szCs w:val="20"/>
        </w:rPr>
        <w:t xml:space="preserve">        </w:t>
      </w:r>
      <w:r w:rsidRPr="00067A37">
        <w:rPr>
          <w:rFonts w:ascii="Arial" w:hAnsi="Arial" w:cs="Arial"/>
          <w:noProof/>
          <w:sz w:val="20"/>
          <w:szCs w:val="20"/>
          <w:lang w:val="en-US"/>
        </w:rPr>
        <w:drawing>
          <wp:inline distT="0" distB="0" distL="0" distR="0" wp14:anchorId="675BFCD1" wp14:editId="4EFEC733">
            <wp:extent cx="2087880" cy="2320290"/>
            <wp:effectExtent l="133350" t="76200" r="83820" b="137160"/>
            <wp:docPr id="877007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28983" t="9240" r="18237"/>
                    <a:stretch>
                      <a:fillRect/>
                    </a:stretch>
                  </pic:blipFill>
                  <pic:spPr bwMode="auto">
                    <a:xfrm>
                      <a:off x="0" y="0"/>
                      <a:ext cx="2087880" cy="232029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53640926-AAD7-44D8-BBD7-CCE9431645EC}">
                        <a14:shadowObscured xmlns:a14="http://schemas.microsoft.com/office/drawing/2010/main"/>
                      </a:ext>
                    </a:extLst>
                  </pic:spPr>
                </pic:pic>
              </a:graphicData>
            </a:graphic>
          </wp:inline>
        </w:drawing>
      </w:r>
      <w:r w:rsidRPr="00067A37">
        <w:rPr>
          <w:rFonts w:ascii="Arial" w:hAnsi="Arial" w:cs="Arial"/>
          <w:noProof/>
          <w:sz w:val="20"/>
          <w:szCs w:val="20"/>
        </w:rPr>
        <w:tab/>
        <w:t xml:space="preserve">           </w:t>
      </w:r>
      <w:r w:rsidRPr="00067A37">
        <w:rPr>
          <w:rFonts w:ascii="Arial" w:hAnsi="Arial" w:cs="Arial"/>
          <w:noProof/>
          <w:sz w:val="20"/>
          <w:szCs w:val="20"/>
          <w:lang w:val="en-US"/>
        </w:rPr>
        <w:drawing>
          <wp:inline distT="0" distB="0" distL="0" distR="0" wp14:anchorId="1F2CD13C" wp14:editId="1563BF3E">
            <wp:extent cx="2150780" cy="2266197"/>
            <wp:effectExtent l="133350" t="76200" r="59055" b="134620"/>
            <wp:docPr id="33" name="Picture 2" descr="E:\1 PhD MAFSU 2022-23\4 Semester\0 My PhD Research Work\Theileriosis\Lab Animal\IMG20250206131510.jpg">
              <a:extLst xmlns:a="http://schemas.openxmlformats.org/drawingml/2006/main">
                <a:ext uri="{FF2B5EF4-FFF2-40B4-BE49-F238E27FC236}">
                  <a16:creationId xmlns:a16="http://schemas.microsoft.com/office/drawing/2014/main" id="{0FBFE129-9EA3-480D-55ED-A480CBC18A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 descr="E:\1 PhD MAFSU 2022-23\4 Semester\0 My PhD Research Work\Theileriosis\Lab Animal\IMG20250206131510.jpg">
                      <a:extLst>
                        <a:ext uri="{FF2B5EF4-FFF2-40B4-BE49-F238E27FC236}">
                          <a16:creationId xmlns:a16="http://schemas.microsoft.com/office/drawing/2014/main" id="{0FBFE129-9EA3-480D-55ED-A480CBC18A5D}"/>
                        </a:ext>
                      </a:extLst>
                    </pic:cNvPr>
                    <pic:cNvPicPr>
                      <a:picLocks noChangeAspect="1" noChangeArrowheads="1"/>
                    </pic:cNvPicPr>
                  </pic:nvPicPr>
                  <pic:blipFill>
                    <a:blip r:embed="rId26" cstate="print"/>
                    <a:srcRect t="7353"/>
                    <a:stretch>
                      <a:fillRect/>
                    </a:stretch>
                  </pic:blipFill>
                  <pic:spPr bwMode="auto">
                    <a:xfrm>
                      <a:off x="0" y="0"/>
                      <a:ext cx="2159461" cy="227534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65CD3FBB" w14:textId="77777777" w:rsidR="00105F68" w:rsidRPr="00067A37" w:rsidRDefault="00105F68" w:rsidP="00105F68">
      <w:pPr>
        <w:rPr>
          <w:rFonts w:ascii="Arial" w:hAnsi="Arial" w:cs="Arial"/>
          <w:b/>
          <w:bCs/>
          <w:sz w:val="20"/>
          <w:szCs w:val="20"/>
        </w:rPr>
      </w:pPr>
      <w:r w:rsidRPr="00067A37">
        <w:rPr>
          <w:rFonts w:ascii="Arial" w:hAnsi="Arial" w:cs="Arial"/>
          <w:b/>
          <w:bCs/>
          <w:sz w:val="20"/>
          <w:szCs w:val="20"/>
        </w:rPr>
        <w:t xml:space="preserve">Fig. 3: Phytochemical analysis of </w:t>
      </w:r>
      <w:r w:rsidRPr="00067A37">
        <w:rPr>
          <w:rFonts w:ascii="Arial" w:hAnsi="Arial" w:cs="Arial"/>
          <w:b/>
          <w:bCs/>
          <w:i/>
          <w:iCs/>
          <w:sz w:val="20"/>
          <w:szCs w:val="20"/>
        </w:rPr>
        <w:t>A. annua</w:t>
      </w:r>
      <w:r w:rsidRPr="00067A37">
        <w:rPr>
          <w:rFonts w:ascii="Arial" w:hAnsi="Arial" w:cs="Arial"/>
          <w:b/>
          <w:bCs/>
          <w:sz w:val="20"/>
          <w:szCs w:val="20"/>
        </w:rPr>
        <w:t xml:space="preserve">      </w:t>
      </w:r>
      <w:r>
        <w:rPr>
          <w:rFonts w:ascii="Arial" w:hAnsi="Arial" w:cs="Arial"/>
          <w:b/>
          <w:bCs/>
          <w:sz w:val="20"/>
          <w:szCs w:val="20"/>
        </w:rPr>
        <w:t xml:space="preserve">      </w:t>
      </w:r>
      <w:r w:rsidRPr="00067A37">
        <w:rPr>
          <w:rFonts w:ascii="Arial" w:hAnsi="Arial" w:cs="Arial"/>
          <w:b/>
          <w:bCs/>
          <w:sz w:val="20"/>
          <w:szCs w:val="20"/>
        </w:rPr>
        <w:t xml:space="preserve">Fig. 4: Administration of </w:t>
      </w:r>
      <w:r w:rsidRPr="00067A37">
        <w:rPr>
          <w:rFonts w:ascii="Arial" w:hAnsi="Arial" w:cs="Arial"/>
          <w:b/>
          <w:bCs/>
          <w:i/>
          <w:iCs/>
          <w:sz w:val="20"/>
          <w:szCs w:val="20"/>
        </w:rPr>
        <w:t xml:space="preserve">A. annua </w:t>
      </w:r>
      <w:r w:rsidRPr="00067A37">
        <w:rPr>
          <w:rFonts w:ascii="Arial" w:hAnsi="Arial" w:cs="Arial"/>
          <w:b/>
          <w:bCs/>
          <w:sz w:val="20"/>
          <w:szCs w:val="20"/>
        </w:rPr>
        <w:t>extract</w:t>
      </w:r>
    </w:p>
    <w:p w14:paraId="394F190E" w14:textId="0E928EB6" w:rsidR="00105F68" w:rsidRPr="003E18BB" w:rsidRDefault="00105F68" w:rsidP="00AB6696">
      <w:pPr>
        <w:spacing w:before="100" w:beforeAutospacing="1" w:after="100" w:afterAutospacing="1" w:line="480" w:lineRule="auto"/>
        <w:jc w:val="both"/>
        <w:rPr>
          <w:rFonts w:ascii="Arial" w:eastAsia="Times New Roman" w:hAnsi="Arial" w:cs="Arial"/>
          <w:kern w:val="0"/>
          <w:sz w:val="20"/>
          <w:szCs w:val="20"/>
          <w:lang w:eastAsia="en-IN" w:bidi="hi-IN"/>
          <w14:ligatures w14:val="none"/>
        </w:rPr>
      </w:pPr>
    </w:p>
    <w:sectPr w:rsidR="00105F68" w:rsidRPr="003E18BB" w:rsidSect="000D5ACD">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EGHE" w:date="2026-03-01T06:40:00Z" w:initials="F">
    <w:p w14:paraId="6C5D0AE4" w14:textId="504C0CB6" w:rsidR="00E2677C" w:rsidRDefault="00E2677C">
      <w:pPr>
        <w:pStyle w:val="CommentText"/>
      </w:pPr>
      <w:r>
        <w:rPr>
          <w:rStyle w:val="CommentReference"/>
        </w:rPr>
        <w:annotationRef/>
      </w:r>
      <w:r>
        <w:t>Improve: well-tolerated</w:t>
      </w:r>
    </w:p>
  </w:comment>
  <w:comment w:id="1" w:author="FEGHE" w:date="2026-03-01T05:46:00Z" w:initials="F">
    <w:p w14:paraId="75D60622" w14:textId="385A5653" w:rsidR="00223334" w:rsidRDefault="00223334">
      <w:pPr>
        <w:pStyle w:val="CommentText"/>
      </w:pPr>
      <w:r>
        <w:rPr>
          <w:rStyle w:val="CommentReference"/>
        </w:rPr>
        <w:annotationRef/>
      </w:r>
      <w:r>
        <w:t>Introduce a “comma” before this word.</w:t>
      </w:r>
    </w:p>
  </w:comment>
  <w:comment w:id="2" w:author="FEGHE" w:date="2026-03-01T05:53:00Z" w:initials="F">
    <w:p w14:paraId="52DAB6F6" w14:textId="60E81929" w:rsidR="008F3CDE" w:rsidRDefault="008F3CDE">
      <w:pPr>
        <w:pStyle w:val="CommentText"/>
      </w:pPr>
      <w:r>
        <w:rPr>
          <w:rStyle w:val="CommentReference"/>
        </w:rPr>
        <w:annotationRef/>
      </w:r>
      <w:r>
        <w:t>Introduce ”the” before this word.</w:t>
      </w:r>
    </w:p>
  </w:comment>
  <w:comment w:id="3" w:author="FEGHE" w:date="2026-03-01T05:55:00Z" w:initials="F">
    <w:p w14:paraId="612ACD15" w14:textId="1C8E45D5" w:rsidR="008F3CDE" w:rsidRDefault="008F3CDE">
      <w:pPr>
        <w:pStyle w:val="CommentText"/>
      </w:pPr>
      <w:r>
        <w:rPr>
          <w:rStyle w:val="CommentReference"/>
        </w:rPr>
        <w:annotationRef/>
      </w:r>
      <w:r>
        <w:t xml:space="preserve">Introduce a “hyphen” between words. </w:t>
      </w:r>
    </w:p>
  </w:comment>
  <w:comment w:id="4" w:author="FEGHE" w:date="2026-03-01T06:04:00Z" w:initials="F">
    <w:p w14:paraId="27520D8A" w14:textId="64583006" w:rsidR="002242C6" w:rsidRDefault="002242C6">
      <w:pPr>
        <w:pStyle w:val="CommentText"/>
      </w:pPr>
      <w:r>
        <w:rPr>
          <w:rStyle w:val="CommentReference"/>
        </w:rPr>
        <w:annotationRef/>
      </w:r>
      <w:r>
        <w:t>Clarify: … to remove the solvent.</w:t>
      </w:r>
    </w:p>
  </w:comment>
  <w:comment w:id="5" w:author="FEGHE" w:date="2026-03-01T06:08:00Z" w:initials="F">
    <w:p w14:paraId="649A95A1" w14:textId="7A5B54F0" w:rsidR="002242C6" w:rsidRDefault="002242C6">
      <w:pPr>
        <w:pStyle w:val="CommentText"/>
      </w:pPr>
      <w:r>
        <w:rPr>
          <w:rStyle w:val="CommentReference"/>
        </w:rPr>
        <w:annotationRef/>
      </w:r>
      <w:r>
        <w:t>Introduce “the” before this word.</w:t>
      </w:r>
    </w:p>
  </w:comment>
  <w:comment w:id="6" w:author="FEGHE" w:date="2026-03-01T06:16:00Z" w:initials="F">
    <w:p w14:paraId="60219B12" w14:textId="3899B78C" w:rsidR="007445E3" w:rsidRDefault="007445E3">
      <w:pPr>
        <w:pStyle w:val="CommentText"/>
      </w:pPr>
      <w:r>
        <w:rPr>
          <w:rStyle w:val="CommentReference"/>
        </w:rPr>
        <w:annotationRef/>
      </w:r>
      <w:r>
        <w:t>Remove this bracket. Redundancy.</w:t>
      </w:r>
    </w:p>
  </w:comment>
  <w:comment w:id="7" w:author="FEGHE" w:date="2026-03-01T06:56:00Z" w:initials="F">
    <w:p w14:paraId="4C67075A" w14:textId="1BCFC460" w:rsidR="00631C4F" w:rsidRDefault="00631C4F">
      <w:pPr>
        <w:pStyle w:val="CommentText"/>
      </w:pPr>
      <w:r>
        <w:rPr>
          <w:rStyle w:val="CommentReference"/>
        </w:rPr>
        <w:annotationRef/>
      </w:r>
      <w:r>
        <w:t>Introduce a “comma” after this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5D0AE4" w15:done="0"/>
  <w15:commentEx w15:paraId="75D60622" w15:done="0"/>
  <w15:commentEx w15:paraId="52DAB6F6" w15:done="0"/>
  <w15:commentEx w15:paraId="612ACD15" w15:done="0"/>
  <w15:commentEx w15:paraId="27520D8A" w15:done="0"/>
  <w15:commentEx w15:paraId="649A95A1" w15:done="0"/>
  <w15:commentEx w15:paraId="60219B12" w15:done="0"/>
  <w15:commentEx w15:paraId="4C67075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ED588" w14:textId="77777777" w:rsidR="00377102" w:rsidRDefault="00377102" w:rsidP="00006F33">
      <w:pPr>
        <w:spacing w:after="0" w:line="240" w:lineRule="auto"/>
      </w:pPr>
      <w:r>
        <w:separator/>
      </w:r>
    </w:p>
  </w:endnote>
  <w:endnote w:type="continuationSeparator" w:id="0">
    <w:p w14:paraId="295962AA" w14:textId="77777777" w:rsidR="00377102" w:rsidRDefault="00377102" w:rsidP="0000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DC135" w14:textId="77777777" w:rsidR="000D5ACD" w:rsidRDefault="000D5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618198"/>
      <w:docPartObj>
        <w:docPartGallery w:val="Page Numbers (Bottom of Page)"/>
        <w:docPartUnique/>
      </w:docPartObj>
    </w:sdtPr>
    <w:sdtEndPr>
      <w:rPr>
        <w:noProof/>
      </w:rPr>
    </w:sdtEndPr>
    <w:sdtContent>
      <w:p w14:paraId="48A9822E" w14:textId="194860B8" w:rsidR="00006F33" w:rsidRDefault="00006F33">
        <w:pPr>
          <w:pStyle w:val="Footer"/>
          <w:jc w:val="center"/>
        </w:pPr>
        <w:r>
          <w:fldChar w:fldCharType="begin"/>
        </w:r>
        <w:r>
          <w:instrText xml:space="preserve"> PAGE   \* MERGEFORMAT </w:instrText>
        </w:r>
        <w:r>
          <w:fldChar w:fldCharType="separate"/>
        </w:r>
        <w:r w:rsidR="00585BE9">
          <w:rPr>
            <w:noProof/>
          </w:rPr>
          <w:t>1</w:t>
        </w:r>
        <w:r>
          <w:rPr>
            <w:noProof/>
          </w:rPr>
          <w:fldChar w:fldCharType="end"/>
        </w:r>
      </w:p>
    </w:sdtContent>
  </w:sdt>
  <w:p w14:paraId="78138B9A" w14:textId="77777777" w:rsidR="00006F33" w:rsidRDefault="00006F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3649" w14:textId="77777777" w:rsidR="000D5ACD" w:rsidRDefault="000D5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77BE1" w14:textId="77777777" w:rsidR="00377102" w:rsidRDefault="00377102" w:rsidP="00006F33">
      <w:pPr>
        <w:spacing w:after="0" w:line="240" w:lineRule="auto"/>
      </w:pPr>
      <w:r>
        <w:separator/>
      </w:r>
    </w:p>
  </w:footnote>
  <w:footnote w:type="continuationSeparator" w:id="0">
    <w:p w14:paraId="225D9990" w14:textId="77777777" w:rsidR="00377102" w:rsidRDefault="00377102" w:rsidP="00006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B4EEF" w14:textId="2574D8F5" w:rsidR="000D5ACD" w:rsidRDefault="00C42A27">
    <w:pPr>
      <w:pStyle w:val="Header"/>
    </w:pPr>
    <w:r>
      <w:rPr>
        <w:noProof/>
      </w:rPr>
      <w:pict w14:anchorId="1022E3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1981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F2B5C" w14:textId="6015CFBA" w:rsidR="000D5ACD" w:rsidRDefault="00C42A27">
    <w:pPr>
      <w:pStyle w:val="Header"/>
    </w:pPr>
    <w:r>
      <w:rPr>
        <w:noProof/>
      </w:rPr>
      <w:pict w14:anchorId="0047D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1981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63B2F" w14:textId="7DE70D3E" w:rsidR="000D5ACD" w:rsidRDefault="00C42A27">
    <w:pPr>
      <w:pStyle w:val="Header"/>
    </w:pPr>
    <w:r>
      <w:rPr>
        <w:noProof/>
      </w:rPr>
      <w:pict w14:anchorId="5CCEA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01981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962B8"/>
    <w:multiLevelType w:val="hybridMultilevel"/>
    <w:tmpl w:val="EC842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GHE">
    <w15:presenceInfo w15:providerId="None" w15:userId="FEG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0D4"/>
    <w:rsid w:val="00005BD8"/>
    <w:rsid w:val="00006F33"/>
    <w:rsid w:val="00007B39"/>
    <w:rsid w:val="0001142B"/>
    <w:rsid w:val="00014263"/>
    <w:rsid w:val="00041274"/>
    <w:rsid w:val="00043DD4"/>
    <w:rsid w:val="000522D6"/>
    <w:rsid w:val="000852D1"/>
    <w:rsid w:val="00092DEE"/>
    <w:rsid w:val="000A7925"/>
    <w:rsid w:val="000B2CD9"/>
    <w:rsid w:val="000B5F37"/>
    <w:rsid w:val="000C3E78"/>
    <w:rsid w:val="000D1276"/>
    <w:rsid w:val="000D5ACD"/>
    <w:rsid w:val="000E14F4"/>
    <w:rsid w:val="000F6013"/>
    <w:rsid w:val="00103A14"/>
    <w:rsid w:val="00105F68"/>
    <w:rsid w:val="00107DFF"/>
    <w:rsid w:val="0013281A"/>
    <w:rsid w:val="00137384"/>
    <w:rsid w:val="001417A3"/>
    <w:rsid w:val="00142C11"/>
    <w:rsid w:val="00146217"/>
    <w:rsid w:val="00155413"/>
    <w:rsid w:val="001975B5"/>
    <w:rsid w:val="001A48E5"/>
    <w:rsid w:val="001A5333"/>
    <w:rsid w:val="001D13CB"/>
    <w:rsid w:val="001D342A"/>
    <w:rsid w:val="001E1F96"/>
    <w:rsid w:val="001F327F"/>
    <w:rsid w:val="00222729"/>
    <w:rsid w:val="00223334"/>
    <w:rsid w:val="002242C6"/>
    <w:rsid w:val="00245222"/>
    <w:rsid w:val="002572F9"/>
    <w:rsid w:val="00280514"/>
    <w:rsid w:val="00280F20"/>
    <w:rsid w:val="00284E2B"/>
    <w:rsid w:val="002852A8"/>
    <w:rsid w:val="002B1505"/>
    <w:rsid w:val="002B2FDB"/>
    <w:rsid w:val="002B4F05"/>
    <w:rsid w:val="002C5137"/>
    <w:rsid w:val="002C60BA"/>
    <w:rsid w:val="002C66EE"/>
    <w:rsid w:val="002D59F0"/>
    <w:rsid w:val="002F132E"/>
    <w:rsid w:val="002F6E0A"/>
    <w:rsid w:val="0030271A"/>
    <w:rsid w:val="003143A5"/>
    <w:rsid w:val="00335B83"/>
    <w:rsid w:val="00341E7E"/>
    <w:rsid w:val="00345665"/>
    <w:rsid w:val="00371234"/>
    <w:rsid w:val="00377102"/>
    <w:rsid w:val="0039154A"/>
    <w:rsid w:val="003B5593"/>
    <w:rsid w:val="003C0BA8"/>
    <w:rsid w:val="003E07C0"/>
    <w:rsid w:val="003E18BB"/>
    <w:rsid w:val="003E7A36"/>
    <w:rsid w:val="00410B1D"/>
    <w:rsid w:val="004114E8"/>
    <w:rsid w:val="00413D3A"/>
    <w:rsid w:val="00420FF6"/>
    <w:rsid w:val="0043661F"/>
    <w:rsid w:val="00442BEB"/>
    <w:rsid w:val="00451228"/>
    <w:rsid w:val="004546C7"/>
    <w:rsid w:val="00463C72"/>
    <w:rsid w:val="00465CDA"/>
    <w:rsid w:val="004662E6"/>
    <w:rsid w:val="00470B3C"/>
    <w:rsid w:val="00471D84"/>
    <w:rsid w:val="00477E8B"/>
    <w:rsid w:val="004A19DA"/>
    <w:rsid w:val="004E7AAA"/>
    <w:rsid w:val="004F60D4"/>
    <w:rsid w:val="00500E4B"/>
    <w:rsid w:val="00525209"/>
    <w:rsid w:val="00526CBD"/>
    <w:rsid w:val="005349BC"/>
    <w:rsid w:val="005351C0"/>
    <w:rsid w:val="005377A9"/>
    <w:rsid w:val="00540B58"/>
    <w:rsid w:val="00583141"/>
    <w:rsid w:val="00585BE9"/>
    <w:rsid w:val="005865AD"/>
    <w:rsid w:val="00596C00"/>
    <w:rsid w:val="005E09CE"/>
    <w:rsid w:val="005E7F18"/>
    <w:rsid w:val="005F3EB2"/>
    <w:rsid w:val="00621074"/>
    <w:rsid w:val="00631C4F"/>
    <w:rsid w:val="0063383C"/>
    <w:rsid w:val="00634F2F"/>
    <w:rsid w:val="00665696"/>
    <w:rsid w:val="00682A2E"/>
    <w:rsid w:val="00692A7B"/>
    <w:rsid w:val="00693958"/>
    <w:rsid w:val="006B288C"/>
    <w:rsid w:val="006B37CB"/>
    <w:rsid w:val="006D6DB5"/>
    <w:rsid w:val="006E516F"/>
    <w:rsid w:val="006F12F6"/>
    <w:rsid w:val="0070613C"/>
    <w:rsid w:val="00710D8A"/>
    <w:rsid w:val="00712506"/>
    <w:rsid w:val="00713F72"/>
    <w:rsid w:val="00725A15"/>
    <w:rsid w:val="00725DC3"/>
    <w:rsid w:val="007445E3"/>
    <w:rsid w:val="00746356"/>
    <w:rsid w:val="00773CB1"/>
    <w:rsid w:val="0078715A"/>
    <w:rsid w:val="007A4661"/>
    <w:rsid w:val="007B0F7F"/>
    <w:rsid w:val="007B3F6A"/>
    <w:rsid w:val="007C395B"/>
    <w:rsid w:val="007E0474"/>
    <w:rsid w:val="007F6580"/>
    <w:rsid w:val="00843FF9"/>
    <w:rsid w:val="008632E8"/>
    <w:rsid w:val="00884B06"/>
    <w:rsid w:val="00892D8B"/>
    <w:rsid w:val="00896804"/>
    <w:rsid w:val="00897D72"/>
    <w:rsid w:val="008A2F02"/>
    <w:rsid w:val="008A7B75"/>
    <w:rsid w:val="008C41A7"/>
    <w:rsid w:val="008D6E2F"/>
    <w:rsid w:val="008F3CDE"/>
    <w:rsid w:val="008F4EA4"/>
    <w:rsid w:val="009100A8"/>
    <w:rsid w:val="00922EDB"/>
    <w:rsid w:val="00933540"/>
    <w:rsid w:val="00943B2E"/>
    <w:rsid w:val="00965FDC"/>
    <w:rsid w:val="009671B4"/>
    <w:rsid w:val="009973AA"/>
    <w:rsid w:val="009A77A8"/>
    <w:rsid w:val="009C13CA"/>
    <w:rsid w:val="009D7CC2"/>
    <w:rsid w:val="009E7661"/>
    <w:rsid w:val="009F1F48"/>
    <w:rsid w:val="009F3A3C"/>
    <w:rsid w:val="009F5E7F"/>
    <w:rsid w:val="00A14FA6"/>
    <w:rsid w:val="00A40694"/>
    <w:rsid w:val="00A65BB8"/>
    <w:rsid w:val="00A669FE"/>
    <w:rsid w:val="00A7067A"/>
    <w:rsid w:val="00A7553D"/>
    <w:rsid w:val="00A86ED4"/>
    <w:rsid w:val="00AB1F01"/>
    <w:rsid w:val="00AB6696"/>
    <w:rsid w:val="00AC68FA"/>
    <w:rsid w:val="00B15C2E"/>
    <w:rsid w:val="00B256ED"/>
    <w:rsid w:val="00B57445"/>
    <w:rsid w:val="00B71407"/>
    <w:rsid w:val="00B811CE"/>
    <w:rsid w:val="00B8719F"/>
    <w:rsid w:val="00BB7828"/>
    <w:rsid w:val="00BC0E04"/>
    <w:rsid w:val="00BC43C0"/>
    <w:rsid w:val="00BD76F6"/>
    <w:rsid w:val="00C071D4"/>
    <w:rsid w:val="00C22EEF"/>
    <w:rsid w:val="00C42A27"/>
    <w:rsid w:val="00C561A5"/>
    <w:rsid w:val="00C63421"/>
    <w:rsid w:val="00C74D8C"/>
    <w:rsid w:val="00C840BD"/>
    <w:rsid w:val="00C96C38"/>
    <w:rsid w:val="00CB4A14"/>
    <w:rsid w:val="00CB7BA0"/>
    <w:rsid w:val="00CC2B88"/>
    <w:rsid w:val="00D051B0"/>
    <w:rsid w:val="00D13BD1"/>
    <w:rsid w:val="00D2295C"/>
    <w:rsid w:val="00D2427A"/>
    <w:rsid w:val="00D4434C"/>
    <w:rsid w:val="00D530A2"/>
    <w:rsid w:val="00D61880"/>
    <w:rsid w:val="00D71611"/>
    <w:rsid w:val="00D71C73"/>
    <w:rsid w:val="00D944D5"/>
    <w:rsid w:val="00DD7958"/>
    <w:rsid w:val="00DE5B0D"/>
    <w:rsid w:val="00E2677C"/>
    <w:rsid w:val="00E41BF3"/>
    <w:rsid w:val="00E448EF"/>
    <w:rsid w:val="00E5258F"/>
    <w:rsid w:val="00E6755E"/>
    <w:rsid w:val="00E70BBF"/>
    <w:rsid w:val="00E7746B"/>
    <w:rsid w:val="00E8498E"/>
    <w:rsid w:val="00E87640"/>
    <w:rsid w:val="00E93AAD"/>
    <w:rsid w:val="00F055E5"/>
    <w:rsid w:val="00F365C5"/>
    <w:rsid w:val="00F477F6"/>
    <w:rsid w:val="00F54310"/>
    <w:rsid w:val="00F55FE5"/>
    <w:rsid w:val="00F57297"/>
    <w:rsid w:val="00F83697"/>
    <w:rsid w:val="00F90134"/>
    <w:rsid w:val="00FA66D5"/>
    <w:rsid w:val="00FC40BD"/>
    <w:rsid w:val="00FC4553"/>
    <w:rsid w:val="00FD7742"/>
    <w:rsid w:val="00FF2B2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57852F"/>
  <w15:chartTrackingRefBased/>
  <w15:docId w15:val="{7DDC950C-E9C4-4932-968A-48544ABAE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611"/>
  </w:style>
  <w:style w:type="paragraph" w:styleId="Heading1">
    <w:name w:val="heading 1"/>
    <w:basedOn w:val="Normal"/>
    <w:next w:val="Normal"/>
    <w:link w:val="Heading1Char"/>
    <w:uiPriority w:val="9"/>
    <w:qFormat/>
    <w:rsid w:val="004F60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0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0D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0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60D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F60D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60D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60D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60D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0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0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0D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0D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0D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0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0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0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0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0D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0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0D4"/>
    <w:pPr>
      <w:spacing w:before="160"/>
      <w:jc w:val="center"/>
    </w:pPr>
    <w:rPr>
      <w:i/>
      <w:iCs/>
      <w:color w:val="404040" w:themeColor="text1" w:themeTint="BF"/>
    </w:rPr>
  </w:style>
  <w:style w:type="character" w:customStyle="1" w:styleId="QuoteChar">
    <w:name w:val="Quote Char"/>
    <w:basedOn w:val="DefaultParagraphFont"/>
    <w:link w:val="Quote"/>
    <w:uiPriority w:val="29"/>
    <w:rsid w:val="004F60D4"/>
    <w:rPr>
      <w:i/>
      <w:iCs/>
      <w:color w:val="404040" w:themeColor="text1" w:themeTint="BF"/>
    </w:rPr>
  </w:style>
  <w:style w:type="paragraph" w:styleId="ListParagraph">
    <w:name w:val="List Paragraph"/>
    <w:basedOn w:val="Normal"/>
    <w:uiPriority w:val="34"/>
    <w:qFormat/>
    <w:rsid w:val="004F60D4"/>
    <w:pPr>
      <w:ind w:left="720"/>
      <w:contextualSpacing/>
    </w:pPr>
  </w:style>
  <w:style w:type="character" w:styleId="IntenseEmphasis">
    <w:name w:val="Intense Emphasis"/>
    <w:basedOn w:val="DefaultParagraphFont"/>
    <w:uiPriority w:val="21"/>
    <w:qFormat/>
    <w:rsid w:val="004F60D4"/>
    <w:rPr>
      <w:i/>
      <w:iCs/>
      <w:color w:val="2F5496" w:themeColor="accent1" w:themeShade="BF"/>
    </w:rPr>
  </w:style>
  <w:style w:type="paragraph" w:styleId="IntenseQuote">
    <w:name w:val="Intense Quote"/>
    <w:basedOn w:val="Normal"/>
    <w:next w:val="Normal"/>
    <w:link w:val="IntenseQuoteChar"/>
    <w:uiPriority w:val="30"/>
    <w:qFormat/>
    <w:rsid w:val="004F6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60D4"/>
    <w:rPr>
      <w:i/>
      <w:iCs/>
      <w:color w:val="2F5496" w:themeColor="accent1" w:themeShade="BF"/>
    </w:rPr>
  </w:style>
  <w:style w:type="character" w:styleId="IntenseReference">
    <w:name w:val="Intense Reference"/>
    <w:basedOn w:val="DefaultParagraphFont"/>
    <w:uiPriority w:val="32"/>
    <w:qFormat/>
    <w:rsid w:val="004F60D4"/>
    <w:rPr>
      <w:b/>
      <w:bCs/>
      <w:smallCaps/>
      <w:color w:val="2F5496" w:themeColor="accent1" w:themeShade="BF"/>
      <w:spacing w:val="5"/>
    </w:rPr>
  </w:style>
  <w:style w:type="character" w:styleId="Hyperlink">
    <w:name w:val="Hyperlink"/>
    <w:basedOn w:val="DefaultParagraphFont"/>
    <w:uiPriority w:val="99"/>
    <w:unhideWhenUsed/>
    <w:rsid w:val="00A86ED4"/>
    <w:rPr>
      <w:color w:val="0563C1" w:themeColor="hyperlink"/>
      <w:u w:val="single"/>
    </w:rPr>
  </w:style>
  <w:style w:type="character" w:customStyle="1" w:styleId="UnresolvedMention">
    <w:name w:val="Unresolved Mention"/>
    <w:basedOn w:val="DefaultParagraphFont"/>
    <w:uiPriority w:val="99"/>
    <w:semiHidden/>
    <w:unhideWhenUsed/>
    <w:rsid w:val="00A86ED4"/>
    <w:rPr>
      <w:color w:val="605E5C"/>
      <w:shd w:val="clear" w:color="auto" w:fill="E1DFDD"/>
    </w:rPr>
  </w:style>
  <w:style w:type="character" w:styleId="Emphasis">
    <w:name w:val="Emphasis"/>
    <w:basedOn w:val="DefaultParagraphFont"/>
    <w:uiPriority w:val="20"/>
    <w:qFormat/>
    <w:rsid w:val="00280514"/>
    <w:rPr>
      <w:i/>
      <w:iCs/>
    </w:rPr>
  </w:style>
  <w:style w:type="character" w:styleId="Strong">
    <w:name w:val="Strong"/>
    <w:basedOn w:val="DefaultParagraphFont"/>
    <w:uiPriority w:val="22"/>
    <w:qFormat/>
    <w:rsid w:val="006B288C"/>
    <w:rPr>
      <w:b/>
      <w:bCs/>
    </w:rPr>
  </w:style>
  <w:style w:type="paragraph" w:styleId="NormalWeb">
    <w:name w:val="Normal (Web)"/>
    <w:basedOn w:val="Normal"/>
    <w:uiPriority w:val="99"/>
    <w:unhideWhenUsed/>
    <w:rsid w:val="00CB7BA0"/>
    <w:pPr>
      <w:spacing w:before="100" w:beforeAutospacing="1" w:after="100" w:afterAutospacing="1" w:line="240" w:lineRule="auto"/>
    </w:pPr>
    <w:rPr>
      <w:rFonts w:eastAsia="Times New Roman" w:cs="Times New Roman"/>
      <w:kern w:val="0"/>
      <w:szCs w:val="24"/>
      <w:lang w:eastAsia="en-IN" w:bidi="hi-IN"/>
      <w14:ligatures w14:val="none"/>
    </w:rPr>
  </w:style>
  <w:style w:type="character" w:styleId="LineNumber">
    <w:name w:val="line number"/>
    <w:basedOn w:val="DefaultParagraphFont"/>
    <w:uiPriority w:val="99"/>
    <w:semiHidden/>
    <w:unhideWhenUsed/>
    <w:rsid w:val="00897D72"/>
  </w:style>
  <w:style w:type="paragraph" w:styleId="Header">
    <w:name w:val="header"/>
    <w:basedOn w:val="Normal"/>
    <w:link w:val="HeaderChar"/>
    <w:uiPriority w:val="99"/>
    <w:unhideWhenUsed/>
    <w:rsid w:val="00006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F33"/>
  </w:style>
  <w:style w:type="paragraph" w:styleId="Footer">
    <w:name w:val="footer"/>
    <w:basedOn w:val="Normal"/>
    <w:link w:val="FooterChar"/>
    <w:uiPriority w:val="99"/>
    <w:unhideWhenUsed/>
    <w:rsid w:val="00006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F33"/>
  </w:style>
  <w:style w:type="table" w:styleId="TableGrid">
    <w:name w:val="Table Grid"/>
    <w:basedOn w:val="TableNormal"/>
    <w:uiPriority w:val="39"/>
    <w:rsid w:val="00105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334"/>
    <w:rPr>
      <w:sz w:val="16"/>
      <w:szCs w:val="16"/>
    </w:rPr>
  </w:style>
  <w:style w:type="paragraph" w:styleId="CommentText">
    <w:name w:val="annotation text"/>
    <w:basedOn w:val="Normal"/>
    <w:link w:val="CommentTextChar"/>
    <w:uiPriority w:val="99"/>
    <w:semiHidden/>
    <w:unhideWhenUsed/>
    <w:rsid w:val="00223334"/>
    <w:pPr>
      <w:spacing w:line="240" w:lineRule="auto"/>
    </w:pPr>
    <w:rPr>
      <w:sz w:val="20"/>
      <w:szCs w:val="20"/>
    </w:rPr>
  </w:style>
  <w:style w:type="character" w:customStyle="1" w:styleId="CommentTextChar">
    <w:name w:val="Comment Text Char"/>
    <w:basedOn w:val="DefaultParagraphFont"/>
    <w:link w:val="CommentText"/>
    <w:uiPriority w:val="99"/>
    <w:semiHidden/>
    <w:rsid w:val="00223334"/>
    <w:rPr>
      <w:sz w:val="20"/>
      <w:szCs w:val="20"/>
    </w:rPr>
  </w:style>
  <w:style w:type="paragraph" w:styleId="CommentSubject">
    <w:name w:val="annotation subject"/>
    <w:basedOn w:val="CommentText"/>
    <w:next w:val="CommentText"/>
    <w:link w:val="CommentSubjectChar"/>
    <w:uiPriority w:val="99"/>
    <w:semiHidden/>
    <w:unhideWhenUsed/>
    <w:rsid w:val="00223334"/>
    <w:rPr>
      <w:b/>
      <w:bCs/>
    </w:rPr>
  </w:style>
  <w:style w:type="character" w:customStyle="1" w:styleId="CommentSubjectChar">
    <w:name w:val="Comment Subject Char"/>
    <w:basedOn w:val="CommentTextChar"/>
    <w:link w:val="CommentSubject"/>
    <w:uiPriority w:val="99"/>
    <w:semiHidden/>
    <w:rsid w:val="00223334"/>
    <w:rPr>
      <w:b/>
      <w:bCs/>
      <w:sz w:val="20"/>
      <w:szCs w:val="20"/>
    </w:rPr>
  </w:style>
  <w:style w:type="paragraph" w:styleId="BalloonText">
    <w:name w:val="Balloon Text"/>
    <w:basedOn w:val="Normal"/>
    <w:link w:val="BalloonTextChar"/>
    <w:uiPriority w:val="99"/>
    <w:semiHidden/>
    <w:unhideWhenUsed/>
    <w:rsid w:val="00223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3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3390/molecules17056020" TargetMode="External"/><Relationship Id="rId18" Type="http://schemas.openxmlformats.org/officeDocument/2006/relationships/hyperlink" Target="https://doi.org/10.1093/hr/uhae174" TargetMode="Externa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doi.org/10.3390/antiox11051017" TargetMode="External"/><Relationship Id="rId34"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doi.org/10.3390/molecules15053135" TargetMode="External"/><Relationship Id="rId17" Type="http://schemas.openxmlformats.org/officeDocument/2006/relationships/hyperlink" Target="https://doi.org/10.1787/9789264070943-en" TargetMode="External"/><Relationship Id="rId25" Type="http://schemas.openxmlformats.org/officeDocument/2006/relationships/image" Target="media/image3.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28/AAC.01544-06" TargetMode="External"/><Relationship Id="rId20" Type="http://schemas.openxmlformats.org/officeDocument/2006/relationships/hyperlink" Target="https://doi.org/10.4103/jpbs.jpbs_1250_2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icroorganisms10112277" TargetMode="External"/><Relationship Id="rId24" Type="http://schemas.openxmlformats.org/officeDocument/2006/relationships/image" Target="media/image2.jpe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12917-025-04493-6" TargetMode="External"/><Relationship Id="rId23" Type="http://schemas.openxmlformats.org/officeDocument/2006/relationships/image" Target="media/image1.jpeg"/><Relationship Id="rId28" Type="http://schemas.openxmlformats.org/officeDocument/2006/relationships/header" Target="header2.xml"/><Relationship Id="rId10" Type="http://schemas.openxmlformats.org/officeDocument/2006/relationships/hyperlink" Target="https://doi.org/10.1186/s13065-025-01467-5" TargetMode="External"/><Relationship Id="rId19" Type="http://schemas.openxmlformats.org/officeDocument/2006/relationships/hyperlink" Target="https://doi.org/10.1007/s11250-026-04867-4"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90/biom11070975" TargetMode="External"/><Relationship Id="rId14" Type="http://schemas.openxmlformats.org/officeDocument/2006/relationships/hyperlink" Target="https://doi.org/10.17632/wbykhd7fp8.1" TargetMode="External"/><Relationship Id="rId22" Type="http://schemas.openxmlformats.org/officeDocument/2006/relationships/hyperlink" Target="https://doi.org/10.1111/pbi.14449"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12</Pages>
  <Words>3929</Words>
  <Characters>22396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SALAHUDDIN SHAIKH RAFIUDDIN</dc:creator>
  <cp:keywords/>
  <dc:description/>
  <cp:lastModifiedBy>FEGHE</cp:lastModifiedBy>
  <cp:revision>3</cp:revision>
  <dcterms:created xsi:type="dcterms:W3CDTF">2026-01-13T01:54:00Z</dcterms:created>
  <dcterms:modified xsi:type="dcterms:W3CDTF">2026-03-01T19:17:00Z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210822e2-993b-4c61-8e8f-be92bcddfafb</vt:lpwstr>
  </property>
</Properties>
</file>