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32F" w:rsidRPr="00DC09A3" w:rsidRDefault="00EA232F">
      <w:pPr>
        <w:spacing w:before="7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A232F" w:rsidRPr="00DC09A3">
        <w:trPr>
          <w:trHeight w:val="290"/>
        </w:trPr>
        <w:tc>
          <w:tcPr>
            <w:tcW w:w="5168" w:type="dxa"/>
          </w:tcPr>
          <w:p w:rsidR="00EA232F" w:rsidRPr="00DC09A3" w:rsidRDefault="00BA2D6C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A232F" w:rsidRPr="00DC09A3" w:rsidRDefault="00BA2D6C">
            <w:pPr>
              <w:pStyle w:val="TableParagraph"/>
              <w:spacing w:before="6" w:line="264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C09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C09A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DC09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Advances</w:t>
              </w:r>
              <w:r w:rsidRPr="00DC09A3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DC09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DC09A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Microbiology</w:t>
              </w:r>
            </w:hyperlink>
          </w:p>
        </w:tc>
      </w:tr>
      <w:tr w:rsidR="00EA232F" w:rsidRPr="00DC09A3">
        <w:trPr>
          <w:trHeight w:val="290"/>
        </w:trPr>
        <w:tc>
          <w:tcPr>
            <w:tcW w:w="5168" w:type="dxa"/>
          </w:tcPr>
          <w:p w:rsidR="00EA232F" w:rsidRPr="00DC09A3" w:rsidRDefault="00BA2D6C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0" w:type="dxa"/>
          </w:tcPr>
          <w:p w:rsidR="00EA232F" w:rsidRPr="00DC09A3" w:rsidRDefault="00BA2D6C">
            <w:pPr>
              <w:pStyle w:val="TableParagraph"/>
              <w:spacing w:before="6" w:line="26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Ms_JAMB_153575</w:t>
            </w:r>
          </w:p>
        </w:tc>
      </w:tr>
      <w:tr w:rsidR="00EA232F" w:rsidRPr="00DC09A3">
        <w:trPr>
          <w:trHeight w:val="650"/>
        </w:trPr>
        <w:tc>
          <w:tcPr>
            <w:tcW w:w="5168" w:type="dxa"/>
          </w:tcPr>
          <w:p w:rsidR="00EA232F" w:rsidRPr="00DC09A3" w:rsidRDefault="00BA2D6C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Title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of the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0" w:type="dxa"/>
          </w:tcPr>
          <w:p w:rsidR="00EA232F" w:rsidRPr="00DC09A3" w:rsidRDefault="00BA2D6C">
            <w:pPr>
              <w:pStyle w:val="TableParagraph"/>
              <w:spacing w:before="186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Revival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Viable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Non-Culturable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(VBNC)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Micrococcus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luteus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Culture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Supernatant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Resuscitation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Pr="00DC09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>Factor</w:t>
            </w:r>
          </w:p>
        </w:tc>
      </w:tr>
      <w:tr w:rsidR="00EA232F" w:rsidRPr="00DC09A3">
        <w:trPr>
          <w:trHeight w:val="333"/>
        </w:trPr>
        <w:tc>
          <w:tcPr>
            <w:tcW w:w="5168" w:type="dxa"/>
          </w:tcPr>
          <w:p w:rsidR="00EA232F" w:rsidRPr="00DC09A3" w:rsidRDefault="00BA2D6C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Type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0" w:type="dxa"/>
          </w:tcPr>
          <w:p w:rsidR="00EA232F" w:rsidRPr="00DC09A3" w:rsidRDefault="00BA2D6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A232F" w:rsidRPr="00DC09A3" w:rsidRDefault="00EA232F">
      <w:pPr>
        <w:spacing w:before="9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p w:rsidR="00DC09A3" w:rsidRPr="00DC09A3" w:rsidRDefault="00DC09A3">
      <w:pPr>
        <w:spacing w:before="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A232F" w:rsidRPr="00DC09A3">
        <w:trPr>
          <w:trHeight w:val="542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A232F" w:rsidRPr="00DC09A3" w:rsidRDefault="00BA2D6C">
            <w:pPr>
              <w:pStyle w:val="TableParagraph"/>
              <w:spacing w:line="266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C09A3">
              <w:rPr>
                <w:rFonts w:ascii="Arial" w:hAnsi="Arial" w:cs="Arial"/>
                <w:b/>
                <w:color w:val="000000"/>
                <w:spacing w:val="58"/>
                <w:sz w:val="20"/>
                <w:szCs w:val="20"/>
                <w:highlight w:val="yellow"/>
              </w:rPr>
              <w:t xml:space="preserve"> </w:t>
            </w:r>
            <w:r w:rsidRPr="00DC09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C09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A232F" w:rsidRPr="00DC09A3">
        <w:trPr>
          <w:trHeight w:val="1103"/>
        </w:trPr>
        <w:tc>
          <w:tcPr>
            <w:tcW w:w="5352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A232F" w:rsidRPr="00DC09A3" w:rsidRDefault="00BA2D6C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C09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A232F" w:rsidRPr="00DC09A3" w:rsidRDefault="00EA232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EA232F" w:rsidRPr="00DC09A3" w:rsidRDefault="00BA2D6C">
            <w:pPr>
              <w:pStyle w:val="TableParagraph"/>
              <w:spacing w:line="254" w:lineRule="auto"/>
              <w:ind w:left="108" w:right="329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C09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C09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(It</w:t>
            </w:r>
            <w:r w:rsidRPr="00DC09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mandatory</w:t>
            </w:r>
            <w:r w:rsidRPr="00DC09A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that</w:t>
            </w:r>
            <w:r w:rsidRPr="00DC09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authors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should</w:t>
            </w:r>
            <w:r w:rsidRPr="00DC09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EA232F" w:rsidRPr="00DC09A3">
        <w:trPr>
          <w:trHeight w:val="2208"/>
        </w:trPr>
        <w:tc>
          <w:tcPr>
            <w:tcW w:w="5352" w:type="dxa"/>
          </w:tcPr>
          <w:p w:rsidR="00EA232F" w:rsidRPr="00DC09A3" w:rsidRDefault="00BA2D6C">
            <w:pPr>
              <w:pStyle w:val="TableParagraph"/>
              <w:ind w:left="467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09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C09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C09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56" w:type="dxa"/>
          </w:tcPr>
          <w:p w:rsidR="00EA232F" w:rsidRPr="00DC09A3" w:rsidRDefault="00BA2D6C">
            <w:pPr>
              <w:pStyle w:val="TableParagraph"/>
              <w:ind w:left="108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Yes!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manuscript is important for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scientific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community.</w:t>
            </w:r>
            <w:r w:rsidRPr="00DC09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Authors of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this manuscript are engaged the extraction, functional validation, and application of resuscitation-promoting factors (</w:t>
            </w:r>
            <w:proofErr w:type="spellStart"/>
            <w:r w:rsidRPr="00DC09A3">
              <w:rPr>
                <w:rFonts w:ascii="Arial" w:hAnsi="Arial" w:cs="Arial"/>
                <w:sz w:val="20"/>
                <w:szCs w:val="20"/>
              </w:rPr>
              <w:t>Rpf</w:t>
            </w:r>
            <w:proofErr w:type="spellEnd"/>
            <w:r w:rsidRPr="00DC09A3">
              <w:rPr>
                <w:rFonts w:ascii="Arial" w:hAnsi="Arial" w:cs="Arial"/>
                <w:sz w:val="20"/>
                <w:szCs w:val="20"/>
              </w:rPr>
              <w:t xml:space="preserve">) in restoring </w:t>
            </w:r>
            <w:proofErr w:type="spellStart"/>
            <w:r w:rsidRPr="00DC09A3">
              <w:rPr>
                <w:rFonts w:ascii="Arial" w:hAnsi="Arial" w:cs="Arial"/>
                <w:sz w:val="20"/>
                <w:szCs w:val="20"/>
              </w:rPr>
              <w:t>culturability</w:t>
            </w:r>
            <w:proofErr w:type="spellEnd"/>
            <w:r w:rsidRPr="00DC09A3">
              <w:rPr>
                <w:rFonts w:ascii="Arial" w:hAnsi="Arial" w:cs="Arial"/>
                <w:sz w:val="20"/>
                <w:szCs w:val="20"/>
              </w:rPr>
              <w:t xml:space="preserve"> and metabolic activity of dormant and viable-but-non- culturable (VBNC) bacterial populations in soil systems. By integrating biochemical characterization, functional assays, controlled microcosm experiments, and environmentally relevant soil models, this work provides a comprehensive evaluation of </w:t>
            </w:r>
            <w:proofErr w:type="spellStart"/>
            <w:r w:rsidRPr="00DC09A3">
              <w:rPr>
                <w:rFonts w:ascii="Arial" w:hAnsi="Arial" w:cs="Arial"/>
                <w:sz w:val="20"/>
                <w:szCs w:val="20"/>
              </w:rPr>
              <w:t>SRpf</w:t>
            </w:r>
            <w:proofErr w:type="spellEnd"/>
            <w:r w:rsidRPr="00DC09A3">
              <w:rPr>
                <w:rFonts w:ascii="Arial" w:hAnsi="Arial" w:cs="Arial"/>
                <w:sz w:val="20"/>
                <w:szCs w:val="20"/>
              </w:rPr>
              <w:t>-mediated resuscitation and its synergistic modulation using sublethal lysozyme.</w:t>
            </w:r>
          </w:p>
        </w:tc>
        <w:tc>
          <w:tcPr>
            <w:tcW w:w="6445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2F" w:rsidRPr="00DC09A3">
        <w:trPr>
          <w:trHeight w:val="1261"/>
        </w:trPr>
        <w:tc>
          <w:tcPr>
            <w:tcW w:w="5352" w:type="dxa"/>
          </w:tcPr>
          <w:p w:rsidR="00EA232F" w:rsidRPr="00DC09A3" w:rsidRDefault="00BA2D6C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09A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A232F" w:rsidRPr="00DC09A3" w:rsidRDefault="00BA2D6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C09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6" w:type="dxa"/>
          </w:tcPr>
          <w:p w:rsidR="00EA232F" w:rsidRPr="00DC09A3" w:rsidRDefault="00EA232F">
            <w:pPr>
              <w:pStyle w:val="TableParagraph"/>
              <w:spacing w:before="7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A232F" w:rsidRPr="00DC09A3" w:rsidRDefault="00BA2D6C">
            <w:pPr>
              <w:pStyle w:val="TableParagraph"/>
              <w:ind w:left="545" w:right="1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Yes!</w:t>
            </w:r>
            <w:r w:rsidRPr="00DC09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It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suitable,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clear,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concise,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and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informative. It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accurately</w:t>
            </w:r>
            <w:r w:rsidRPr="00DC09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reflects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content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 paper,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which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regarding</w:t>
            </w:r>
            <w:r w:rsidRPr="00DC09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C09A3">
              <w:rPr>
                <w:rFonts w:ascii="Arial" w:hAnsi="Arial" w:cs="Arial"/>
                <w:sz w:val="20"/>
                <w:szCs w:val="20"/>
              </w:rPr>
              <w:t>SRpf</w:t>
            </w:r>
            <w:proofErr w:type="spellEnd"/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effectively</w:t>
            </w:r>
            <w:r w:rsidRPr="00DC09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restore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C09A3">
              <w:rPr>
                <w:rFonts w:ascii="Arial" w:hAnsi="Arial" w:cs="Arial"/>
                <w:sz w:val="20"/>
                <w:szCs w:val="20"/>
              </w:rPr>
              <w:t>culturability</w:t>
            </w:r>
            <w:proofErr w:type="spellEnd"/>
            <w:r w:rsidRPr="00DC09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and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metabolic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activity of dormant and viable-but-non-culturable (VBNC) bacterial populations in soil systems.</w:t>
            </w:r>
          </w:p>
        </w:tc>
        <w:tc>
          <w:tcPr>
            <w:tcW w:w="6445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2F" w:rsidRPr="00DC09A3">
        <w:trPr>
          <w:trHeight w:val="1379"/>
        </w:trPr>
        <w:tc>
          <w:tcPr>
            <w:tcW w:w="5352" w:type="dxa"/>
          </w:tcPr>
          <w:p w:rsidR="00EA232F" w:rsidRPr="00DC09A3" w:rsidRDefault="00BA2D6C">
            <w:pPr>
              <w:pStyle w:val="TableParagraph"/>
              <w:ind w:left="467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C09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09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C09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DC09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09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356" w:type="dxa"/>
          </w:tcPr>
          <w:p w:rsidR="00EA232F" w:rsidRPr="00DC09A3" w:rsidRDefault="00EA232F">
            <w:pPr>
              <w:pStyle w:val="TableParagraph"/>
              <w:spacing w:before="13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A232F" w:rsidRPr="00DC09A3" w:rsidRDefault="00BA2D6C">
            <w:pPr>
              <w:pStyle w:val="TableParagraph"/>
              <w:ind w:left="672" w:right="297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Yes!</w:t>
            </w:r>
            <w:r w:rsidRPr="00DC09A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Abstract is comprehensive. It provides a good overview of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 research problem, methodology,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results,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and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conclusion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study.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abstract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also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well-written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and easy to read.</w:t>
            </w:r>
          </w:p>
        </w:tc>
        <w:tc>
          <w:tcPr>
            <w:tcW w:w="6445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2F" w:rsidRPr="00DC09A3">
        <w:trPr>
          <w:trHeight w:val="830"/>
        </w:trPr>
        <w:tc>
          <w:tcPr>
            <w:tcW w:w="5352" w:type="dxa"/>
          </w:tcPr>
          <w:p w:rsidR="00EA232F" w:rsidRPr="00DC09A3" w:rsidRDefault="00BA2D6C">
            <w:pPr>
              <w:pStyle w:val="TableParagraph"/>
              <w:spacing w:before="1"/>
              <w:ind w:left="467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C09A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C09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correct? Please write here.</w:t>
            </w:r>
          </w:p>
        </w:tc>
        <w:tc>
          <w:tcPr>
            <w:tcW w:w="9356" w:type="dxa"/>
          </w:tcPr>
          <w:p w:rsidR="00EA232F" w:rsidRPr="00DC09A3" w:rsidRDefault="00BA2D6C">
            <w:pPr>
              <w:pStyle w:val="TableParagraph"/>
              <w:spacing w:line="276" w:lineRule="exact"/>
              <w:ind w:left="165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color w:val="0C0D0D"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work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well-written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well-presented.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Yes,</w:t>
            </w:r>
            <w:r w:rsidRPr="00DC09A3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I</w:t>
            </w:r>
            <w:r w:rsidRPr="00DC09A3">
              <w:rPr>
                <w:rFonts w:ascii="Arial" w:hAnsi="Arial" w:cs="Arial"/>
                <w:color w:val="0C0D0D"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think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manuscript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color w:val="0C0D0D"/>
                <w:sz w:val="20"/>
                <w:szCs w:val="20"/>
              </w:rPr>
              <w:t xml:space="preserve">scientifically correct. The methodology is sound, and the results are presented in a clear and concise </w:t>
            </w:r>
            <w:r w:rsidRPr="00DC09A3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6445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2F" w:rsidRPr="00DC09A3">
        <w:trPr>
          <w:trHeight w:val="1103"/>
        </w:trPr>
        <w:tc>
          <w:tcPr>
            <w:tcW w:w="5352" w:type="dxa"/>
          </w:tcPr>
          <w:p w:rsidR="00EA232F" w:rsidRPr="00DC09A3" w:rsidRDefault="00BA2D6C">
            <w:pPr>
              <w:pStyle w:val="TableParagraph"/>
              <w:ind w:left="467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</w:t>
            </w:r>
            <w:r w:rsidRPr="00DC09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DC09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C09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C09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9356" w:type="dxa"/>
          </w:tcPr>
          <w:p w:rsidR="00EA232F" w:rsidRPr="00DC09A3" w:rsidRDefault="00BA2D6C">
            <w:pPr>
              <w:pStyle w:val="TableParagraph"/>
              <w:ind w:left="165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references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are</w:t>
            </w:r>
            <w:r w:rsidRPr="00DC09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sufficient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and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recent.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authors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cite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</w:t>
            </w:r>
            <w:r w:rsidRPr="00DC09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variety</w:t>
            </w:r>
            <w:r w:rsidRPr="00DC09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relevant</w:t>
            </w:r>
            <w:r w:rsidRPr="00DC09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sources, including recent papers on bacterial resuscitation-promoting factors and their role,</w:t>
            </w:r>
          </w:p>
          <w:p w:rsidR="00EA232F" w:rsidRPr="00DC09A3" w:rsidRDefault="00BA2D6C">
            <w:pPr>
              <w:pStyle w:val="TableParagraph"/>
              <w:ind w:left="165"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Mechanisms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bacterial dormancy</w:t>
            </w:r>
            <w:r w:rsidRPr="00DC09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and</w:t>
            </w:r>
            <w:r w:rsidRPr="00DC09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>resuscitation…</w:t>
            </w:r>
            <w:proofErr w:type="spellStart"/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6445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2F" w:rsidRPr="00DC09A3">
        <w:trPr>
          <w:trHeight w:val="827"/>
        </w:trPr>
        <w:tc>
          <w:tcPr>
            <w:tcW w:w="5352" w:type="dxa"/>
          </w:tcPr>
          <w:p w:rsidR="00EA232F" w:rsidRPr="00DC09A3" w:rsidRDefault="00BA2D6C">
            <w:pPr>
              <w:pStyle w:val="TableParagraph"/>
              <w:ind w:left="467" w:right="181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C09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56" w:type="dxa"/>
          </w:tcPr>
          <w:p w:rsidR="00EA232F" w:rsidRPr="00DC09A3" w:rsidRDefault="00BA2D6C">
            <w:pPr>
              <w:pStyle w:val="TableParagraph"/>
              <w:spacing w:before="131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sz w:val="20"/>
                <w:szCs w:val="20"/>
              </w:rPr>
              <w:t>Yes!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The</w:t>
            </w:r>
            <w:r w:rsidRPr="00DC09A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DC09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quality</w:t>
            </w:r>
            <w:r w:rsidRPr="00DC09A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of the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article</w:t>
            </w:r>
            <w:r w:rsidRPr="00DC09A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is suitable</w:t>
            </w:r>
            <w:r w:rsidRPr="00DC09A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for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z w:val="20"/>
                <w:szCs w:val="20"/>
              </w:rPr>
              <w:t>scholarly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 xml:space="preserve"> communications</w:t>
            </w:r>
          </w:p>
        </w:tc>
        <w:tc>
          <w:tcPr>
            <w:tcW w:w="6445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2F" w:rsidRPr="00DC09A3">
        <w:trPr>
          <w:trHeight w:val="1178"/>
        </w:trPr>
        <w:tc>
          <w:tcPr>
            <w:tcW w:w="5352" w:type="dxa"/>
          </w:tcPr>
          <w:p w:rsidR="00EA232F" w:rsidRPr="00DC09A3" w:rsidRDefault="00BA2D6C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C09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A232F" w:rsidRPr="00DC09A3" w:rsidRDefault="00EA232F">
            <w:pPr>
              <w:pStyle w:val="TableParagraph"/>
              <w:spacing w:before="17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A232F" w:rsidRPr="00DC09A3" w:rsidRDefault="00BA2D6C">
            <w:pPr>
              <w:pStyle w:val="TableParagraph"/>
              <w:ind w:left="165" w:right="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9A3">
              <w:rPr>
                <w:rFonts w:ascii="Arial" w:hAnsi="Arial" w:cs="Arial"/>
                <w:b/>
                <w:sz w:val="20"/>
                <w:szCs w:val="20"/>
              </w:rPr>
              <w:t>Theme</w:t>
            </w:r>
            <w:r w:rsidRPr="00DC09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useful and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efforts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09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09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09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appreciable!</w:t>
            </w:r>
          </w:p>
        </w:tc>
        <w:tc>
          <w:tcPr>
            <w:tcW w:w="6445" w:type="dxa"/>
          </w:tcPr>
          <w:p w:rsidR="00EA232F" w:rsidRPr="00DC09A3" w:rsidRDefault="00EA232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232F" w:rsidRPr="00DC09A3" w:rsidRDefault="00EA232F">
      <w:pPr>
        <w:pStyle w:val="TableParagraph"/>
        <w:rPr>
          <w:rFonts w:ascii="Arial" w:hAnsi="Arial" w:cs="Arial"/>
          <w:sz w:val="20"/>
          <w:szCs w:val="20"/>
        </w:rPr>
        <w:sectPr w:rsidR="00EA232F" w:rsidRPr="00DC09A3">
          <w:headerReference w:type="default" r:id="rId7"/>
          <w:footerReference w:type="default" r:id="rId8"/>
          <w:pgSz w:w="23820" w:h="16840" w:orient="landscape"/>
          <w:pgMar w:top="2000" w:right="1275" w:bottom="880" w:left="1275" w:header="1283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47780F" w:rsidRPr="00DC09A3" w:rsidTr="000141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F" w:rsidRPr="00DC09A3" w:rsidRDefault="0047780F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C09A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C09A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7780F" w:rsidRPr="00DC09A3" w:rsidRDefault="0047780F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780F" w:rsidRPr="00DC09A3" w:rsidTr="0001413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F" w:rsidRPr="00DC09A3" w:rsidRDefault="0047780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80F" w:rsidRPr="00DC09A3" w:rsidRDefault="0047780F" w:rsidP="000141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09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47780F" w:rsidRPr="00DC09A3" w:rsidRDefault="0047780F" w:rsidP="0001413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09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09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7780F" w:rsidRPr="00DC09A3" w:rsidRDefault="0047780F" w:rsidP="000141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780F" w:rsidRPr="00DC09A3" w:rsidTr="0001413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F" w:rsidRPr="00DC09A3" w:rsidRDefault="0047780F" w:rsidP="0001413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09A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7780F" w:rsidRPr="00DC09A3" w:rsidRDefault="0047780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F" w:rsidRPr="00DC09A3" w:rsidRDefault="0047780F" w:rsidP="0001413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09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09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09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7780F" w:rsidRPr="00DC09A3" w:rsidRDefault="0047780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7780F" w:rsidRPr="00DC09A3" w:rsidRDefault="0047780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47780F" w:rsidRPr="00DC09A3" w:rsidRDefault="0047780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7780F" w:rsidRPr="00DC09A3" w:rsidRDefault="0047780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7780F" w:rsidRPr="00DC09A3" w:rsidRDefault="0047780F" w:rsidP="0001413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47780F" w:rsidRPr="00DC09A3" w:rsidRDefault="0047780F" w:rsidP="0047780F">
      <w:pPr>
        <w:rPr>
          <w:rFonts w:ascii="Arial" w:hAnsi="Arial" w:cs="Arial"/>
          <w:sz w:val="20"/>
          <w:szCs w:val="20"/>
        </w:rPr>
      </w:pPr>
    </w:p>
    <w:p w:rsidR="00DC09A3" w:rsidRPr="00DC09A3" w:rsidRDefault="00DC09A3" w:rsidP="00DC09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09A3">
        <w:rPr>
          <w:rFonts w:ascii="Arial" w:hAnsi="Arial" w:cs="Arial"/>
          <w:b/>
          <w:u w:val="single"/>
        </w:rPr>
        <w:t>Reviewer details:</w:t>
      </w:r>
    </w:p>
    <w:p w:rsidR="0047780F" w:rsidRPr="00DC09A3" w:rsidRDefault="0047780F" w:rsidP="0047780F">
      <w:pPr>
        <w:rPr>
          <w:rFonts w:ascii="Arial" w:hAnsi="Arial" w:cs="Arial"/>
          <w:sz w:val="20"/>
          <w:szCs w:val="20"/>
        </w:rPr>
      </w:pPr>
    </w:p>
    <w:p w:rsidR="00DC09A3" w:rsidRPr="00DC09A3" w:rsidRDefault="00DC09A3" w:rsidP="0047780F">
      <w:pPr>
        <w:rPr>
          <w:rFonts w:ascii="Arial" w:hAnsi="Arial" w:cs="Arial"/>
          <w:b/>
          <w:bCs/>
          <w:sz w:val="20"/>
          <w:szCs w:val="20"/>
        </w:rPr>
      </w:pPr>
      <w:bookmarkStart w:id="3" w:name="_Hlk222849267"/>
      <w:proofErr w:type="spellStart"/>
      <w:r w:rsidRPr="00DC09A3">
        <w:rPr>
          <w:rFonts w:ascii="Arial" w:hAnsi="Arial" w:cs="Arial"/>
          <w:b/>
          <w:bCs/>
          <w:color w:val="000000"/>
          <w:sz w:val="20"/>
          <w:szCs w:val="20"/>
        </w:rPr>
        <w:t>Vijayshree</w:t>
      </w:r>
      <w:proofErr w:type="spellEnd"/>
      <w:r w:rsidRPr="00DC09A3">
        <w:rPr>
          <w:rFonts w:ascii="Arial" w:hAnsi="Arial" w:cs="Arial"/>
          <w:b/>
          <w:bCs/>
          <w:color w:val="000000"/>
          <w:sz w:val="20"/>
          <w:szCs w:val="20"/>
        </w:rPr>
        <w:t xml:space="preserve"> Milind Hemke</w:t>
      </w:r>
      <w:r w:rsidRPr="00DC09A3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C09A3">
        <w:rPr>
          <w:rFonts w:ascii="Arial" w:hAnsi="Arial" w:cs="Arial"/>
          <w:b/>
          <w:bCs/>
          <w:color w:val="000000"/>
          <w:sz w:val="20"/>
          <w:szCs w:val="20"/>
        </w:rPr>
        <w:t>Sant Gadge Baba Amravati University</w:t>
      </w:r>
      <w:r w:rsidRPr="00DC09A3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C09A3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3"/>
    <w:p w:rsidR="0047780F" w:rsidRPr="00DC09A3" w:rsidRDefault="0047780F" w:rsidP="0047780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47780F" w:rsidRPr="00DC09A3" w:rsidRDefault="0047780F" w:rsidP="0047780F">
      <w:pPr>
        <w:rPr>
          <w:rFonts w:ascii="Arial" w:hAnsi="Arial" w:cs="Arial"/>
          <w:sz w:val="20"/>
          <w:szCs w:val="20"/>
        </w:rPr>
      </w:pPr>
    </w:p>
    <w:p w:rsidR="00BA2D6C" w:rsidRPr="00DC09A3" w:rsidRDefault="00BA2D6C" w:rsidP="0047780F">
      <w:pPr>
        <w:spacing w:before="10"/>
        <w:rPr>
          <w:rFonts w:ascii="Arial" w:hAnsi="Arial" w:cs="Arial"/>
          <w:sz w:val="20"/>
          <w:szCs w:val="20"/>
        </w:rPr>
      </w:pPr>
    </w:p>
    <w:sectPr w:rsidR="00BA2D6C" w:rsidRPr="00DC09A3" w:rsidSect="0047780F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370" w:rsidRDefault="00636370">
      <w:r>
        <w:separator/>
      </w:r>
    </w:p>
  </w:endnote>
  <w:endnote w:type="continuationSeparator" w:id="0">
    <w:p w:rsidR="00636370" w:rsidRDefault="0063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32F" w:rsidRDefault="00BA2D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32F" w:rsidRDefault="00BA2D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:rsidR="00EA232F" w:rsidRDefault="00BA2D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32F" w:rsidRDefault="00BA2D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:rsidR="00EA232F" w:rsidRDefault="00BA2D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32F" w:rsidRDefault="00BA2D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:rsidR="00EA232F" w:rsidRDefault="00BA2D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32F" w:rsidRDefault="00BA2D6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:rsidR="00EA232F" w:rsidRDefault="00BA2D6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370" w:rsidRDefault="00636370">
      <w:r>
        <w:separator/>
      </w:r>
    </w:p>
  </w:footnote>
  <w:footnote w:type="continuationSeparator" w:id="0">
    <w:p w:rsidR="00636370" w:rsidRDefault="0063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32F" w:rsidRDefault="00BA2D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32F" w:rsidRDefault="00BA2D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" filled="f" stroked="f">
              <v:textbox inset="0,0,0,0">
                <w:txbxContent>
                  <w:p w:rsidR="00EA232F" w:rsidRDefault="00BA2D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32F"/>
    <w:rsid w:val="001B0907"/>
    <w:rsid w:val="001B5C0E"/>
    <w:rsid w:val="00336F6E"/>
    <w:rsid w:val="0047780F"/>
    <w:rsid w:val="00495682"/>
    <w:rsid w:val="005B4BCB"/>
    <w:rsid w:val="00636370"/>
    <w:rsid w:val="00773855"/>
    <w:rsid w:val="00774E9A"/>
    <w:rsid w:val="009454B0"/>
    <w:rsid w:val="00954BB6"/>
    <w:rsid w:val="00BA2D6C"/>
    <w:rsid w:val="00DC09A3"/>
    <w:rsid w:val="00E563A9"/>
    <w:rsid w:val="00E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B5BC"/>
  <w15:docId w15:val="{17572567-C41A-47C8-9E61-1BF843D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563A9"/>
    <w:rPr>
      <w:color w:val="0000FF"/>
      <w:u w:val="single"/>
    </w:rPr>
  </w:style>
  <w:style w:type="paragraph" w:customStyle="1" w:styleId="Affiliation">
    <w:name w:val="Affiliation"/>
    <w:basedOn w:val="Normal"/>
    <w:rsid w:val="00DC09A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b.com/index.php/JAM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16</cp:revision>
  <dcterms:created xsi:type="dcterms:W3CDTF">2026-02-21T08:50:00Z</dcterms:created>
  <dcterms:modified xsi:type="dcterms:W3CDTF">2026-02-24T12:44:00Z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2026-02-21T00:00:00Z</vt:filetime>
  </property>
  <property fmtid="{D5CDD505-2E9C-101B-9397-08002B2CF9AE}" pid="5" name="Producer">
    <vt:lpwstr>www.ilovepdf.com</vt:lpwstr>
  </property>
</Properties>
</file>