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D07F3" w14:textId="77777777" w:rsidR="0087217E" w:rsidRPr="000D79C4" w:rsidRDefault="0087217E" w:rsidP="002862BB">
      <w:pPr>
        <w:spacing w:before="100" w:beforeAutospacing="1" w:after="100" w:afterAutospacing="1" w:line="240" w:lineRule="auto"/>
        <w:jc w:val="right"/>
        <w:rPr>
          <w:rFonts w:ascii="Arial" w:eastAsia="Times New Roman" w:hAnsi="Arial" w:cs="Arial"/>
          <w:b/>
          <w:bCs/>
          <w:sz w:val="24"/>
          <w:szCs w:val="24"/>
        </w:rPr>
      </w:pPr>
      <w:r w:rsidRPr="000D79C4">
        <w:rPr>
          <w:rFonts w:ascii="Arial" w:eastAsia="Times New Roman" w:hAnsi="Arial" w:cs="Arial"/>
          <w:b/>
          <w:bCs/>
          <w:sz w:val="24"/>
          <w:szCs w:val="24"/>
        </w:rPr>
        <w:t>OUTBREAK OF CONTAGIOUS ECTHYMA IN ASSAM HILL GOATS AND ITS THERAPEUTIC MANAGEMENT AT GOAT RESEARCH STATION, BURNIHAT</w:t>
      </w:r>
      <w:r w:rsidR="00F01892" w:rsidRPr="000D79C4">
        <w:rPr>
          <w:rFonts w:ascii="Arial" w:eastAsia="Times New Roman" w:hAnsi="Arial" w:cs="Arial"/>
          <w:b/>
          <w:bCs/>
          <w:sz w:val="24"/>
          <w:szCs w:val="24"/>
        </w:rPr>
        <w:t>, ASSAM</w:t>
      </w:r>
    </w:p>
    <w:p w14:paraId="4456ED63" w14:textId="77777777" w:rsidR="002D6047" w:rsidRDefault="002D6047" w:rsidP="0087217E">
      <w:pPr>
        <w:spacing w:before="100" w:beforeAutospacing="1" w:after="100" w:afterAutospacing="1" w:line="240" w:lineRule="auto"/>
        <w:jc w:val="both"/>
        <w:outlineLvl w:val="1"/>
        <w:rPr>
          <w:rFonts w:ascii="Arial" w:eastAsia="Times New Roman" w:hAnsi="Arial" w:cs="Arial"/>
          <w:b/>
          <w:bCs/>
        </w:rPr>
      </w:pPr>
    </w:p>
    <w:p w14:paraId="55DDCF66" w14:textId="77777777" w:rsidR="0087217E" w:rsidRPr="000D79C4" w:rsidRDefault="0087217E" w:rsidP="0087217E">
      <w:pPr>
        <w:spacing w:before="100" w:beforeAutospacing="1" w:after="100" w:afterAutospacing="1" w:line="240" w:lineRule="auto"/>
        <w:jc w:val="both"/>
        <w:outlineLvl w:val="1"/>
        <w:rPr>
          <w:rFonts w:ascii="Arial" w:eastAsia="Times New Roman" w:hAnsi="Arial" w:cs="Arial"/>
          <w:b/>
          <w:bCs/>
        </w:rPr>
      </w:pPr>
      <w:r w:rsidRPr="000D79C4">
        <w:rPr>
          <w:rFonts w:ascii="Arial" w:eastAsia="Times New Roman" w:hAnsi="Arial" w:cs="Arial"/>
          <w:b/>
          <w:bCs/>
        </w:rPr>
        <w:t>Abstract</w:t>
      </w:r>
    </w:p>
    <w:p w14:paraId="396A4D21" w14:textId="77777777" w:rsidR="0087217E" w:rsidRPr="000D79C4" w:rsidRDefault="00AE12C0" w:rsidP="0087217E">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sz w:val="20"/>
          <w:szCs w:val="20"/>
        </w:rPr>
        <w:t xml:space="preserve">Contagious ecthyma, also known as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Pr="000D79C4">
        <w:rPr>
          <w:rFonts w:ascii="Arial" w:eastAsia="Times New Roman" w:hAnsi="Arial" w:cs="Arial"/>
          <w:sz w:val="20"/>
          <w:szCs w:val="20"/>
        </w:rPr>
        <w:t xml:space="preserve">, is an acute, highly contagious, and economically important zoonotic disease of small ruminants caused by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00D165F9" w:rsidRPr="000D79C4">
        <w:rPr>
          <w:rFonts w:ascii="Arial" w:eastAsia="Times New Roman" w:hAnsi="Arial" w:cs="Arial"/>
          <w:sz w:val="20"/>
          <w:szCs w:val="20"/>
        </w:rPr>
        <w:t xml:space="preserve"> </w:t>
      </w:r>
      <w:r w:rsidRPr="000D79C4">
        <w:rPr>
          <w:rFonts w:ascii="Arial" w:eastAsia="Times New Roman" w:hAnsi="Arial" w:cs="Arial"/>
          <w:sz w:val="20"/>
          <w:szCs w:val="20"/>
        </w:rPr>
        <w:t>virus, belong</w:t>
      </w:r>
      <w:r w:rsidR="000D05D5" w:rsidRPr="000D79C4">
        <w:rPr>
          <w:rFonts w:ascii="Arial" w:eastAsia="Times New Roman" w:hAnsi="Arial" w:cs="Arial"/>
          <w:sz w:val="20"/>
          <w:szCs w:val="20"/>
        </w:rPr>
        <w:t>ing</w:t>
      </w:r>
      <w:r w:rsidRPr="000D79C4">
        <w:rPr>
          <w:rFonts w:ascii="Arial" w:eastAsia="Times New Roman" w:hAnsi="Arial" w:cs="Arial"/>
          <w:sz w:val="20"/>
          <w:szCs w:val="20"/>
        </w:rPr>
        <w:t xml:space="preserve"> to </w:t>
      </w:r>
      <w:proofErr w:type="spellStart"/>
      <w:r w:rsidRPr="000D79C4">
        <w:rPr>
          <w:rFonts w:ascii="Arial" w:eastAsia="Times New Roman" w:hAnsi="Arial" w:cs="Arial"/>
          <w:i/>
          <w:sz w:val="20"/>
          <w:szCs w:val="20"/>
        </w:rPr>
        <w:t>Parapoxvirus</w:t>
      </w:r>
      <w:proofErr w:type="spellEnd"/>
      <w:r w:rsidR="00D165F9" w:rsidRPr="000D79C4">
        <w:rPr>
          <w:rFonts w:ascii="Arial" w:eastAsia="Times New Roman" w:hAnsi="Arial" w:cs="Arial"/>
          <w:i/>
          <w:sz w:val="20"/>
          <w:szCs w:val="20"/>
        </w:rPr>
        <w:t xml:space="preserve"> </w:t>
      </w:r>
      <w:r w:rsidR="00453A95" w:rsidRPr="000D79C4">
        <w:rPr>
          <w:rFonts w:ascii="Arial" w:eastAsia="Times New Roman" w:hAnsi="Arial" w:cs="Arial"/>
          <w:sz w:val="20"/>
          <w:szCs w:val="20"/>
        </w:rPr>
        <w:t>genus</w:t>
      </w:r>
      <w:r w:rsidR="000D05D5" w:rsidRPr="000D79C4">
        <w:rPr>
          <w:rFonts w:ascii="Arial" w:eastAsia="Times New Roman" w:hAnsi="Arial" w:cs="Arial"/>
          <w:sz w:val="20"/>
          <w:szCs w:val="20"/>
        </w:rPr>
        <w:t xml:space="preserve"> of the </w:t>
      </w:r>
      <w:proofErr w:type="spellStart"/>
      <w:r w:rsidR="000D05D5" w:rsidRPr="000D79C4">
        <w:rPr>
          <w:rFonts w:ascii="Arial" w:eastAsia="Times New Roman" w:hAnsi="Arial" w:cs="Arial"/>
          <w:i/>
          <w:iCs/>
          <w:sz w:val="20"/>
          <w:szCs w:val="20"/>
        </w:rPr>
        <w:t>Poxviridae</w:t>
      </w:r>
      <w:proofErr w:type="spellEnd"/>
      <w:r w:rsidR="000D05D5" w:rsidRPr="000D79C4">
        <w:rPr>
          <w:rFonts w:ascii="Arial" w:eastAsia="Times New Roman" w:hAnsi="Arial" w:cs="Arial"/>
          <w:sz w:val="20"/>
          <w:szCs w:val="20"/>
        </w:rPr>
        <w:t xml:space="preserve"> family</w:t>
      </w:r>
      <w:r w:rsidRPr="000D79C4">
        <w:rPr>
          <w:rFonts w:ascii="Arial" w:eastAsia="Times New Roman" w:hAnsi="Arial" w:cs="Arial"/>
          <w:sz w:val="20"/>
          <w:szCs w:val="20"/>
        </w:rPr>
        <w:t xml:space="preserve">. An investigation of an outbreak of contagious ecthyma was conducted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Assam, from November 2025 to February 2026 to study the epidemiological pattern, clinicopathological changes, and therapeutic management of c</w:t>
      </w:r>
      <w:r w:rsidR="00453A95" w:rsidRPr="000D79C4">
        <w:rPr>
          <w:rFonts w:ascii="Arial" w:eastAsia="Times New Roman" w:hAnsi="Arial" w:cs="Arial"/>
          <w:sz w:val="20"/>
          <w:szCs w:val="20"/>
        </w:rPr>
        <w:t xml:space="preserve">ontagious ecthyma in </w:t>
      </w:r>
      <w:r w:rsidRPr="000D79C4">
        <w:rPr>
          <w:rFonts w:ascii="Arial" w:eastAsia="Times New Roman" w:hAnsi="Arial" w:cs="Arial"/>
          <w:sz w:val="20"/>
          <w:szCs w:val="20"/>
        </w:rPr>
        <w:t>goats. Out of a total of 170 goats, 28 goats showed clinical manifestations of contagious ecthyma, resulting in an overall outbreak prevalence of 16.47 percent. Among these, kids between 0-3 months of age showed the highest incidence of contagious ecthyma, with female kids being more susceptible to the disease than male kids. Clinically, goats with contagious ecthyma showed pyrexia, anorexia, depression, and proliferative, crusty lesions around the lips, muzzle, and occasionally on the eyelids and limbs. In addition, goats with contagious ecthyma showed leukocytosis with decreased hemoglobin and packed cell volume. Contagious ecthyma was confirmed by PCR</w:t>
      </w:r>
      <w:r w:rsidR="00453A95" w:rsidRPr="000D79C4">
        <w:rPr>
          <w:rFonts w:ascii="Arial" w:eastAsia="Times New Roman" w:hAnsi="Arial" w:cs="Arial"/>
          <w:sz w:val="20"/>
          <w:szCs w:val="20"/>
        </w:rPr>
        <w:t xml:space="preserve"> assay</w:t>
      </w:r>
      <w:r w:rsidRPr="000D79C4">
        <w:rPr>
          <w:rFonts w:ascii="Arial" w:eastAsia="Times New Roman" w:hAnsi="Arial" w:cs="Arial"/>
          <w:sz w:val="20"/>
          <w:szCs w:val="20"/>
        </w:rPr>
        <w:t xml:space="preserve"> of scab materials. Antiseptic care, topical antimicrobial agents, systemic antimicrobial agents, and supportive care resulted in complete recovery of goats with contagious ecthyma within 10-20 days, with two mortalities.</w:t>
      </w:r>
      <w:r w:rsidR="00D165F9" w:rsidRPr="000D79C4">
        <w:rPr>
          <w:rFonts w:ascii="Arial" w:eastAsia="Times New Roman" w:hAnsi="Arial" w:cs="Arial"/>
          <w:sz w:val="20"/>
          <w:szCs w:val="20"/>
        </w:rPr>
        <w:t xml:space="preserve"> </w:t>
      </w:r>
      <w:r w:rsidR="0087217E" w:rsidRPr="000D79C4">
        <w:rPr>
          <w:rFonts w:ascii="Arial" w:eastAsia="Times New Roman" w:hAnsi="Arial" w:cs="Arial"/>
          <w:sz w:val="20"/>
          <w:szCs w:val="20"/>
        </w:rPr>
        <w:t>The findings highlight the seasonal vulnerability of young kids and underline the importance of early diagnosis, isolation and prompt supportive therapy in controlling outbreaks.</w:t>
      </w:r>
    </w:p>
    <w:p w14:paraId="3E1DB2FF" w14:textId="77777777" w:rsidR="0087217E" w:rsidRPr="000D79C4" w:rsidRDefault="0087217E" w:rsidP="0087217E">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b/>
          <w:bCs/>
          <w:sz w:val="20"/>
          <w:szCs w:val="20"/>
        </w:rPr>
        <w:t>Key words:</w:t>
      </w:r>
      <w:r w:rsidRPr="000D79C4">
        <w:rPr>
          <w:rFonts w:ascii="Arial" w:eastAsia="Times New Roman" w:hAnsi="Arial" w:cs="Arial"/>
          <w:sz w:val="20"/>
          <w:szCs w:val="20"/>
        </w:rPr>
        <w:t xml:space="preserve"> </w:t>
      </w:r>
      <w:commentRangeStart w:id="0"/>
      <w:r w:rsidRPr="000D79C4">
        <w:rPr>
          <w:rFonts w:ascii="Arial" w:eastAsia="Times New Roman" w:hAnsi="Arial" w:cs="Arial"/>
          <w:sz w:val="20"/>
          <w:szCs w:val="20"/>
        </w:rPr>
        <w:t xml:space="preserve">Contagious </w:t>
      </w:r>
      <w:proofErr w:type="spellStart"/>
      <w:r w:rsidRPr="000D79C4">
        <w:rPr>
          <w:rFonts w:ascii="Arial" w:eastAsia="Times New Roman" w:hAnsi="Arial" w:cs="Arial"/>
          <w:sz w:val="20"/>
          <w:szCs w:val="20"/>
        </w:rPr>
        <w:t>ecthyma</w:t>
      </w:r>
      <w:proofErr w:type="spellEnd"/>
      <w:r w:rsidRPr="000D79C4">
        <w:rPr>
          <w:rFonts w:ascii="Arial" w:eastAsia="Times New Roman" w:hAnsi="Arial" w:cs="Arial"/>
          <w:sz w:val="20"/>
          <w:szCs w:val="20"/>
        </w:rPr>
        <w:t xml:space="preserve">,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virus, Assam Hill goat, </w:t>
      </w:r>
      <w:proofErr w:type="spellStart"/>
      <w:r w:rsidRPr="000D79C4">
        <w:rPr>
          <w:rFonts w:ascii="Arial" w:eastAsia="Times New Roman" w:hAnsi="Arial" w:cs="Arial"/>
          <w:sz w:val="20"/>
          <w:szCs w:val="20"/>
        </w:rPr>
        <w:t>Parapoxvirus</w:t>
      </w:r>
      <w:proofErr w:type="spellEnd"/>
      <w:r w:rsidRPr="000D79C4">
        <w:rPr>
          <w:rFonts w:ascii="Arial" w:eastAsia="Times New Roman" w:hAnsi="Arial" w:cs="Arial"/>
          <w:sz w:val="20"/>
          <w:szCs w:val="20"/>
        </w:rPr>
        <w:t>, Zoonosis</w:t>
      </w:r>
      <w:commentRangeEnd w:id="0"/>
      <w:r w:rsidR="00F12675">
        <w:rPr>
          <w:rStyle w:val="CommentReference"/>
        </w:rPr>
        <w:commentReference w:id="0"/>
      </w:r>
    </w:p>
    <w:p w14:paraId="1468A978" w14:textId="77777777" w:rsidR="0087217E" w:rsidRPr="000D79C4" w:rsidRDefault="0087217E" w:rsidP="001568DC">
      <w:pPr>
        <w:pStyle w:val="ListParagraph"/>
        <w:numPr>
          <w:ilvl w:val="0"/>
          <w:numId w:val="2"/>
        </w:numPr>
        <w:spacing w:before="100" w:beforeAutospacing="1" w:after="100" w:afterAutospacing="1" w:line="240" w:lineRule="auto"/>
        <w:ind w:left="426"/>
        <w:jc w:val="both"/>
        <w:outlineLvl w:val="1"/>
        <w:rPr>
          <w:rFonts w:ascii="Arial" w:eastAsia="Times New Roman" w:hAnsi="Arial" w:cs="Arial"/>
          <w:b/>
          <w:bCs/>
          <w:szCs w:val="20"/>
        </w:rPr>
      </w:pPr>
      <w:r w:rsidRPr="000D79C4">
        <w:rPr>
          <w:rFonts w:ascii="Arial" w:eastAsia="Times New Roman" w:hAnsi="Arial" w:cs="Arial"/>
          <w:b/>
          <w:bCs/>
          <w:szCs w:val="20"/>
        </w:rPr>
        <w:t>Introduction</w:t>
      </w:r>
    </w:p>
    <w:p w14:paraId="0E3A295A" w14:textId="77777777" w:rsidR="00AE12C0" w:rsidRPr="000D79C4" w:rsidRDefault="00AE12C0" w:rsidP="00AE12C0">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sz w:val="20"/>
          <w:szCs w:val="20"/>
        </w:rPr>
        <w:t xml:space="preserve">Contagious ecthyma, commonly known as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is a viral skin disease of goats and sheep, transmitted by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virus, belonging to </w:t>
      </w:r>
      <w:proofErr w:type="spellStart"/>
      <w:r w:rsidRPr="000D79C4">
        <w:rPr>
          <w:rFonts w:ascii="Arial" w:eastAsia="Times New Roman" w:hAnsi="Arial" w:cs="Arial"/>
          <w:i/>
          <w:sz w:val="20"/>
          <w:szCs w:val="20"/>
        </w:rPr>
        <w:t>Parapoxvirus</w:t>
      </w:r>
      <w:proofErr w:type="spellEnd"/>
      <w:r w:rsidRPr="000D79C4">
        <w:rPr>
          <w:rFonts w:ascii="Arial" w:eastAsia="Times New Roman" w:hAnsi="Arial" w:cs="Arial"/>
          <w:sz w:val="20"/>
          <w:szCs w:val="20"/>
        </w:rPr>
        <w:t xml:space="preserve"> of the </w:t>
      </w:r>
      <w:proofErr w:type="spellStart"/>
      <w:r w:rsidRPr="000D79C4">
        <w:rPr>
          <w:rFonts w:ascii="Arial" w:eastAsia="Times New Roman" w:hAnsi="Arial" w:cs="Arial"/>
          <w:i/>
          <w:sz w:val="20"/>
          <w:szCs w:val="20"/>
        </w:rPr>
        <w:t>Poxviridae</w:t>
      </w:r>
      <w:proofErr w:type="spellEnd"/>
      <w:r w:rsidRPr="000D79C4">
        <w:rPr>
          <w:rFonts w:ascii="Arial" w:eastAsia="Times New Roman" w:hAnsi="Arial" w:cs="Arial"/>
          <w:sz w:val="20"/>
          <w:szCs w:val="20"/>
        </w:rPr>
        <w:t xml:space="preserve"> family</w:t>
      </w:r>
      <w:r w:rsidR="001568DC" w:rsidRPr="000D79C4">
        <w:rPr>
          <w:rFonts w:ascii="Arial" w:eastAsia="Times New Roman" w:hAnsi="Arial" w:cs="Arial"/>
          <w:sz w:val="20"/>
          <w:szCs w:val="20"/>
        </w:rPr>
        <w:t xml:space="preserve"> </w:t>
      </w:r>
      <w:r w:rsidR="00453A95" w:rsidRPr="000D79C4">
        <w:rPr>
          <w:rFonts w:ascii="Arial" w:eastAsia="Times New Roman" w:hAnsi="Arial" w:cs="Arial"/>
          <w:sz w:val="20"/>
          <w:szCs w:val="20"/>
        </w:rPr>
        <w:t>(</w:t>
      </w:r>
      <w:r w:rsidR="001568DC" w:rsidRPr="000D79C4">
        <w:rPr>
          <w:rFonts w:ascii="Arial" w:eastAsia="Times New Roman" w:hAnsi="Arial" w:cs="Arial"/>
          <w:sz w:val="20"/>
          <w:szCs w:val="20"/>
        </w:rPr>
        <w:t xml:space="preserve">Bora </w:t>
      </w:r>
      <w:commentRangeStart w:id="1"/>
      <w:r w:rsidR="001568DC" w:rsidRPr="000D79C4">
        <w:rPr>
          <w:rFonts w:ascii="Arial" w:eastAsia="Times New Roman" w:hAnsi="Arial" w:cs="Arial"/>
          <w:sz w:val="20"/>
          <w:szCs w:val="20"/>
        </w:rPr>
        <w:t xml:space="preserve">et al., </w:t>
      </w:r>
      <w:commentRangeEnd w:id="1"/>
      <w:r w:rsidR="00F12675">
        <w:rPr>
          <w:rStyle w:val="CommentReference"/>
        </w:rPr>
        <w:commentReference w:id="1"/>
      </w:r>
      <w:r w:rsidR="001568DC" w:rsidRPr="000D79C4">
        <w:rPr>
          <w:rFonts w:ascii="Arial" w:eastAsia="Times New Roman" w:hAnsi="Arial" w:cs="Arial"/>
          <w:sz w:val="20"/>
          <w:szCs w:val="20"/>
        </w:rPr>
        <w:t>2015</w:t>
      </w:r>
      <w:r w:rsidR="00453A95" w:rsidRPr="000D79C4">
        <w:rPr>
          <w:rFonts w:ascii="Arial" w:eastAsia="Times New Roman" w:hAnsi="Arial" w:cs="Arial"/>
          <w:sz w:val="20"/>
          <w:szCs w:val="20"/>
        </w:rPr>
        <w:t>)</w:t>
      </w:r>
      <w:r w:rsidRPr="000D79C4">
        <w:rPr>
          <w:rFonts w:ascii="Arial" w:eastAsia="Times New Roman" w:hAnsi="Arial" w:cs="Arial"/>
          <w:sz w:val="20"/>
          <w:szCs w:val="20"/>
        </w:rPr>
        <w:t>. It is characterized by proliferative and scabby lesions, mainly in</w:t>
      </w:r>
      <w:r w:rsidR="00453A95" w:rsidRPr="000D79C4">
        <w:rPr>
          <w:rFonts w:ascii="Arial" w:eastAsia="Times New Roman" w:hAnsi="Arial" w:cs="Arial"/>
          <w:sz w:val="20"/>
          <w:szCs w:val="20"/>
        </w:rPr>
        <w:t>volving lip</w:t>
      </w:r>
      <w:r w:rsidR="001568DC" w:rsidRPr="000D79C4">
        <w:rPr>
          <w:rFonts w:ascii="Arial" w:eastAsia="Times New Roman" w:hAnsi="Arial" w:cs="Arial"/>
          <w:sz w:val="20"/>
          <w:szCs w:val="20"/>
        </w:rPr>
        <w:t>s and oral mucosa. The disease is</w:t>
      </w:r>
      <w:r w:rsidRPr="000D79C4">
        <w:rPr>
          <w:rFonts w:ascii="Arial" w:eastAsia="Times New Roman" w:hAnsi="Arial" w:cs="Arial"/>
          <w:sz w:val="20"/>
          <w:szCs w:val="20"/>
        </w:rPr>
        <w:t xml:space="preserve"> known for its high morbidity rates in naive flocks. Apart from economic losses due to growth retardation, lowered feed intake, and death in young animals,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also possesses zoonotic potential, especially in farmers, animal handlers, and even veterinarians</w:t>
      </w:r>
      <w:r w:rsidR="0016292C" w:rsidRPr="000D79C4">
        <w:rPr>
          <w:rFonts w:ascii="Arial" w:eastAsia="Times New Roman" w:hAnsi="Arial" w:cs="Arial"/>
          <w:sz w:val="20"/>
          <w:szCs w:val="20"/>
        </w:rPr>
        <w:t xml:space="preserve"> (</w:t>
      </w:r>
      <w:proofErr w:type="spellStart"/>
      <w:r w:rsidR="001568DC" w:rsidRPr="000D79C4">
        <w:rPr>
          <w:rFonts w:ascii="Arial" w:eastAsia="Times New Roman" w:hAnsi="Arial" w:cs="Arial"/>
          <w:sz w:val="20"/>
          <w:szCs w:val="20"/>
        </w:rPr>
        <w:t>Spyrou</w:t>
      </w:r>
      <w:proofErr w:type="spellEnd"/>
      <w:r w:rsidR="001568DC" w:rsidRPr="000D79C4">
        <w:rPr>
          <w:rFonts w:ascii="Arial" w:eastAsia="Times New Roman" w:hAnsi="Arial" w:cs="Arial"/>
          <w:sz w:val="20"/>
          <w:szCs w:val="20"/>
        </w:rPr>
        <w:t xml:space="preserve"> and </w:t>
      </w:r>
      <w:proofErr w:type="spellStart"/>
      <w:r w:rsidR="001568DC" w:rsidRPr="000D79C4">
        <w:rPr>
          <w:rFonts w:ascii="Arial" w:eastAsia="Times New Roman" w:hAnsi="Arial" w:cs="Arial"/>
          <w:sz w:val="20"/>
          <w:szCs w:val="20"/>
        </w:rPr>
        <w:t>Valiakos</w:t>
      </w:r>
      <w:proofErr w:type="spellEnd"/>
      <w:r w:rsidR="001568DC" w:rsidRPr="000D79C4">
        <w:rPr>
          <w:rFonts w:ascii="Arial" w:eastAsia="Times New Roman" w:hAnsi="Arial" w:cs="Arial"/>
          <w:sz w:val="20"/>
          <w:szCs w:val="20"/>
        </w:rPr>
        <w:t>, 2015</w:t>
      </w:r>
      <w:r w:rsidR="0016292C" w:rsidRPr="000D79C4">
        <w:rPr>
          <w:rFonts w:ascii="Arial" w:eastAsia="Times New Roman" w:hAnsi="Arial" w:cs="Arial"/>
          <w:sz w:val="20"/>
          <w:szCs w:val="20"/>
        </w:rPr>
        <w:t>)</w:t>
      </w:r>
      <w:r w:rsidRPr="000D79C4">
        <w:rPr>
          <w:rFonts w:ascii="Arial" w:eastAsia="Times New Roman" w:hAnsi="Arial" w:cs="Arial"/>
          <w:sz w:val="20"/>
          <w:szCs w:val="20"/>
        </w:rPr>
        <w:t xml:space="preserve">. Transmission of the disease occurs by direct contact with infected </w:t>
      </w:r>
      <w:r w:rsidR="0016292C" w:rsidRPr="000D79C4">
        <w:rPr>
          <w:rFonts w:ascii="Arial" w:eastAsia="Times New Roman" w:hAnsi="Arial" w:cs="Arial"/>
          <w:sz w:val="20"/>
          <w:szCs w:val="20"/>
        </w:rPr>
        <w:t>animals or fomites. Minor abrasions</w:t>
      </w:r>
      <w:r w:rsidRPr="000D79C4">
        <w:rPr>
          <w:rFonts w:ascii="Arial" w:eastAsia="Times New Roman" w:hAnsi="Arial" w:cs="Arial"/>
          <w:sz w:val="20"/>
          <w:szCs w:val="20"/>
        </w:rPr>
        <w:t xml:space="preserve"> in the oral mucosa, resulting from rough fodder, provide an entry route for the virus. The persistence of the virus in the environment also plays a role in the spread of the disease. Morbidity can reach as high as 100% during primary outbreaks, whereas mortality rates vary from 5-15%, especially in young kids due to complications like starvation, myiasis, and secondary bacterial infections</w:t>
      </w:r>
      <w:r w:rsidR="0016292C" w:rsidRPr="000D79C4">
        <w:rPr>
          <w:rFonts w:ascii="Arial" w:eastAsia="Times New Roman" w:hAnsi="Arial" w:cs="Arial"/>
          <w:sz w:val="20"/>
          <w:szCs w:val="20"/>
        </w:rPr>
        <w:t xml:space="preserve"> (</w:t>
      </w:r>
      <w:r w:rsidR="001568DC" w:rsidRPr="000D79C4">
        <w:rPr>
          <w:rFonts w:ascii="Arial" w:eastAsia="Times New Roman" w:hAnsi="Arial" w:cs="Arial"/>
          <w:sz w:val="20"/>
          <w:szCs w:val="20"/>
        </w:rPr>
        <w:t>Somnath et al., 2025</w:t>
      </w:r>
      <w:r w:rsidR="0016292C" w:rsidRPr="000D79C4">
        <w:rPr>
          <w:rFonts w:ascii="Arial" w:eastAsia="Times New Roman" w:hAnsi="Arial" w:cs="Arial"/>
          <w:sz w:val="20"/>
          <w:szCs w:val="20"/>
        </w:rPr>
        <w:t>)</w:t>
      </w:r>
      <w:r w:rsidRPr="000D79C4">
        <w:rPr>
          <w:rFonts w:ascii="Arial" w:eastAsia="Times New Roman" w:hAnsi="Arial" w:cs="Arial"/>
          <w:sz w:val="20"/>
          <w:szCs w:val="20"/>
        </w:rPr>
        <w:t xml:space="preserve">. Assam Hill goats are an indigenous breed of the North Eastern region of India and are of great economic importance. However, there is limited information on the epidemiology of </w:t>
      </w:r>
      <w:proofErr w:type="spellStart"/>
      <w:r w:rsidRPr="000D79C4">
        <w:rPr>
          <w:rFonts w:ascii="Arial" w:eastAsia="Times New Roman" w:hAnsi="Arial" w:cs="Arial"/>
          <w:sz w:val="20"/>
          <w:szCs w:val="20"/>
        </w:rPr>
        <w:t>Orf</w:t>
      </w:r>
      <w:proofErr w:type="spellEnd"/>
      <w:r w:rsidRPr="000D79C4">
        <w:rPr>
          <w:rFonts w:ascii="Arial" w:eastAsia="Times New Roman" w:hAnsi="Arial" w:cs="Arial"/>
          <w:sz w:val="20"/>
          <w:szCs w:val="20"/>
        </w:rPr>
        <w:t xml:space="preserve"> infection and the clinicopathological changes observed in the Assam Hill goats. The present study was</w:t>
      </w:r>
      <w:r w:rsidR="0016292C" w:rsidRPr="000D79C4">
        <w:rPr>
          <w:rFonts w:ascii="Arial" w:eastAsia="Times New Roman" w:hAnsi="Arial" w:cs="Arial"/>
          <w:sz w:val="20"/>
          <w:szCs w:val="20"/>
        </w:rPr>
        <w:t xml:space="preserve"> undertaken to describe</w:t>
      </w:r>
      <w:r w:rsidRPr="000D79C4">
        <w:rPr>
          <w:rFonts w:ascii="Arial" w:eastAsia="Times New Roman" w:hAnsi="Arial" w:cs="Arial"/>
          <w:sz w:val="20"/>
          <w:szCs w:val="20"/>
        </w:rPr>
        <w:t xml:space="preserve"> the epidemiological features, clinical manifestations, hematological changes, and therapeutic responses observed during a contagious ecthyma outbreak in Assam Hill goats at the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w:t>
      </w:r>
    </w:p>
    <w:p w14:paraId="6851237B" w14:textId="77777777" w:rsidR="0087217E" w:rsidRPr="000D79C4" w:rsidRDefault="0087217E" w:rsidP="00C37B5B">
      <w:pPr>
        <w:pStyle w:val="ListParagraph"/>
        <w:numPr>
          <w:ilvl w:val="0"/>
          <w:numId w:val="2"/>
        </w:numPr>
        <w:spacing w:before="100" w:beforeAutospacing="1" w:after="100" w:afterAutospacing="1" w:line="240" w:lineRule="auto"/>
        <w:ind w:left="426"/>
        <w:jc w:val="both"/>
        <w:rPr>
          <w:rFonts w:ascii="Arial" w:eastAsia="Times New Roman" w:hAnsi="Arial" w:cs="Arial"/>
          <w:b/>
          <w:bCs/>
          <w:szCs w:val="20"/>
        </w:rPr>
      </w:pPr>
      <w:r w:rsidRPr="000D79C4">
        <w:rPr>
          <w:rFonts w:ascii="Arial" w:eastAsia="Times New Roman" w:hAnsi="Arial" w:cs="Arial"/>
          <w:b/>
          <w:bCs/>
          <w:szCs w:val="20"/>
        </w:rPr>
        <w:t>Materials and Methods</w:t>
      </w:r>
      <w:r w:rsidR="00CE44B8" w:rsidRPr="000D79C4">
        <w:rPr>
          <w:rFonts w:ascii="Arial" w:eastAsia="Times New Roman" w:hAnsi="Arial" w:cs="Arial"/>
          <w:b/>
          <w:bCs/>
          <w:szCs w:val="20"/>
        </w:rPr>
        <w:t>-</w:t>
      </w:r>
    </w:p>
    <w:p w14:paraId="0BCB11F5" w14:textId="77777777" w:rsidR="0087217E" w:rsidRPr="000D79C4" w:rsidRDefault="00C37B5B" w:rsidP="0087217E">
      <w:pPr>
        <w:spacing w:before="100" w:beforeAutospacing="1" w:after="100" w:afterAutospacing="1" w:line="240" w:lineRule="auto"/>
        <w:jc w:val="both"/>
        <w:outlineLvl w:val="2"/>
        <w:rPr>
          <w:rFonts w:ascii="Arial" w:eastAsia="Times New Roman" w:hAnsi="Arial" w:cs="Arial"/>
          <w:b/>
          <w:bCs/>
          <w:sz w:val="20"/>
          <w:szCs w:val="20"/>
        </w:rPr>
      </w:pPr>
      <w:commentRangeStart w:id="2"/>
      <w:r w:rsidRPr="000D79C4">
        <w:rPr>
          <w:rFonts w:ascii="Arial" w:eastAsia="Times New Roman" w:hAnsi="Arial" w:cs="Arial"/>
          <w:b/>
          <w:bCs/>
          <w:sz w:val="20"/>
          <w:szCs w:val="20"/>
        </w:rPr>
        <w:t xml:space="preserve">2.1. </w:t>
      </w:r>
      <w:r w:rsidR="0087217E" w:rsidRPr="000D79C4">
        <w:rPr>
          <w:rFonts w:ascii="Arial" w:eastAsia="Times New Roman" w:hAnsi="Arial" w:cs="Arial"/>
          <w:b/>
          <w:bCs/>
          <w:sz w:val="20"/>
          <w:szCs w:val="20"/>
        </w:rPr>
        <w:t xml:space="preserve">Study Area and Duration: </w:t>
      </w:r>
      <w:r w:rsidR="0087217E" w:rsidRPr="000D79C4">
        <w:rPr>
          <w:rFonts w:ascii="Arial" w:eastAsia="Times New Roman" w:hAnsi="Arial" w:cs="Arial"/>
          <w:sz w:val="20"/>
          <w:szCs w:val="20"/>
        </w:rPr>
        <w:t xml:space="preserve">The study was conducted at the Goat Research Station, </w:t>
      </w:r>
      <w:proofErr w:type="spellStart"/>
      <w:r w:rsidR="0087217E" w:rsidRPr="000D79C4">
        <w:rPr>
          <w:rFonts w:ascii="Arial" w:eastAsia="Times New Roman" w:hAnsi="Arial" w:cs="Arial"/>
          <w:sz w:val="20"/>
          <w:szCs w:val="20"/>
        </w:rPr>
        <w:t>Burnihat</w:t>
      </w:r>
      <w:proofErr w:type="spellEnd"/>
      <w:r w:rsidR="0087217E" w:rsidRPr="000D79C4">
        <w:rPr>
          <w:rFonts w:ascii="Arial" w:eastAsia="Times New Roman" w:hAnsi="Arial" w:cs="Arial"/>
          <w:sz w:val="20"/>
          <w:szCs w:val="20"/>
        </w:rPr>
        <w:t>, under Assam Veterinary and Fishery University, from November 2025 to February 2026.</w:t>
      </w:r>
      <w:commentRangeEnd w:id="2"/>
      <w:r w:rsidR="00677296">
        <w:rPr>
          <w:rStyle w:val="CommentReference"/>
        </w:rPr>
        <w:commentReference w:id="2"/>
      </w:r>
    </w:p>
    <w:p w14:paraId="087CA98B" w14:textId="77777777"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2.2. </w:t>
      </w:r>
      <w:r w:rsidR="0087217E" w:rsidRPr="000D79C4">
        <w:rPr>
          <w:rFonts w:ascii="Arial" w:eastAsia="Times New Roman" w:hAnsi="Arial" w:cs="Arial"/>
          <w:b/>
          <w:bCs/>
          <w:sz w:val="20"/>
          <w:szCs w:val="20"/>
        </w:rPr>
        <w:t xml:space="preserve">Animals and Clinical Examination: </w:t>
      </w:r>
      <w:r w:rsidR="00AE12C0" w:rsidRPr="000D79C4">
        <w:rPr>
          <w:rFonts w:ascii="Arial" w:eastAsia="Times New Roman" w:hAnsi="Arial" w:cs="Arial"/>
          <w:sz w:val="20"/>
          <w:szCs w:val="20"/>
        </w:rPr>
        <w:t xml:space="preserve">A population of 170 goats, comprising 70 male and 100 female, irrespective of </w:t>
      </w:r>
      <w:commentRangeStart w:id="3"/>
      <w:r w:rsidR="00AE12C0" w:rsidRPr="000D79C4">
        <w:rPr>
          <w:rFonts w:ascii="Arial" w:eastAsia="Times New Roman" w:hAnsi="Arial" w:cs="Arial"/>
          <w:sz w:val="20"/>
          <w:szCs w:val="20"/>
        </w:rPr>
        <w:t>breed</w:t>
      </w:r>
      <w:commentRangeEnd w:id="3"/>
      <w:r w:rsidR="00677296">
        <w:rPr>
          <w:rStyle w:val="CommentReference"/>
        </w:rPr>
        <w:commentReference w:id="3"/>
      </w:r>
      <w:r w:rsidR="00AE12C0" w:rsidRPr="000D79C4">
        <w:rPr>
          <w:rFonts w:ascii="Arial" w:eastAsia="Times New Roman" w:hAnsi="Arial" w:cs="Arial"/>
          <w:sz w:val="20"/>
          <w:szCs w:val="20"/>
        </w:rPr>
        <w:t xml:space="preserve">, was monitored for the study. Goats showing symptoms such as fever, anorexia, and </w:t>
      </w:r>
      <w:r w:rsidR="00AE12C0" w:rsidRPr="000D79C4">
        <w:rPr>
          <w:rFonts w:ascii="Arial" w:eastAsia="Times New Roman" w:hAnsi="Arial" w:cs="Arial"/>
          <w:sz w:val="20"/>
          <w:szCs w:val="20"/>
        </w:rPr>
        <w:lastRenderedPageBreak/>
        <w:t>crusty lesions around the oral commissures were considered suspect cases. Detailed clinical examination was carried out, including rectal temperature, site of lesions, and general condition of the animal.</w:t>
      </w:r>
    </w:p>
    <w:p w14:paraId="3180DC30" w14:textId="77777777"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2.3. </w:t>
      </w:r>
      <w:r w:rsidR="0087217E" w:rsidRPr="000D79C4">
        <w:rPr>
          <w:rFonts w:ascii="Arial" w:eastAsia="Times New Roman" w:hAnsi="Arial" w:cs="Arial"/>
          <w:b/>
          <w:bCs/>
          <w:sz w:val="20"/>
          <w:szCs w:val="20"/>
        </w:rPr>
        <w:t xml:space="preserve">Hematological Analysis: </w:t>
      </w:r>
      <w:r w:rsidR="00AE12C0" w:rsidRPr="000D79C4">
        <w:rPr>
          <w:rFonts w:ascii="Arial" w:eastAsia="Times New Roman" w:hAnsi="Arial" w:cs="Arial"/>
          <w:sz w:val="20"/>
          <w:szCs w:val="20"/>
        </w:rPr>
        <w:t>About 2 ml of blood was aseptically drawn from the jugular vein into K3 EDTA-coated tubes. Blood analysis was carried out using an automated hematology analyzer. Parameters considered were total leukocyte count (TLC), total erythrocyte count (TEC), hemoglobin (Hb), packed cell volume (PCV), mean corpuscular volume (MCV), mean corpuscular hemoglobin (MCH), and mean corpuscular hemoglobin concentration (MCHC), which were compared with normal reference values (</w:t>
      </w:r>
      <w:r w:rsidR="00A128F8" w:rsidRPr="000D79C4">
        <w:rPr>
          <w:rFonts w:ascii="Arial" w:eastAsia="Times New Roman" w:hAnsi="Arial" w:cs="Arial"/>
          <w:sz w:val="20"/>
          <w:szCs w:val="20"/>
        </w:rPr>
        <w:t>Merck &amp; Co., Inc. 2016</w:t>
      </w:r>
      <w:r w:rsidR="00AE12C0" w:rsidRPr="000D79C4">
        <w:rPr>
          <w:rFonts w:ascii="Arial" w:eastAsia="Times New Roman" w:hAnsi="Arial" w:cs="Arial"/>
          <w:sz w:val="20"/>
          <w:szCs w:val="20"/>
        </w:rPr>
        <w:t>).</w:t>
      </w:r>
    </w:p>
    <w:p w14:paraId="378BFB19" w14:textId="77777777" w:rsidR="00AF137A" w:rsidRPr="000D79C4" w:rsidRDefault="00C37B5B" w:rsidP="0087217E">
      <w:pPr>
        <w:spacing w:before="100" w:beforeAutospacing="1" w:after="100" w:afterAutospacing="1" w:line="240" w:lineRule="auto"/>
        <w:jc w:val="both"/>
        <w:outlineLvl w:val="2"/>
        <w:rPr>
          <w:rFonts w:ascii="Arial" w:hAnsi="Arial" w:cs="Arial"/>
          <w:sz w:val="20"/>
          <w:szCs w:val="20"/>
        </w:rPr>
      </w:pPr>
      <w:r w:rsidRPr="000D79C4">
        <w:rPr>
          <w:rFonts w:ascii="Arial" w:eastAsia="Times New Roman" w:hAnsi="Arial" w:cs="Arial"/>
          <w:b/>
          <w:bCs/>
          <w:sz w:val="20"/>
          <w:szCs w:val="20"/>
        </w:rPr>
        <w:t xml:space="preserve">2.4. </w:t>
      </w:r>
      <w:r w:rsidR="0087217E" w:rsidRPr="000D79C4">
        <w:rPr>
          <w:rFonts w:ascii="Arial" w:eastAsia="Times New Roman" w:hAnsi="Arial" w:cs="Arial"/>
          <w:b/>
          <w:bCs/>
          <w:sz w:val="20"/>
          <w:szCs w:val="20"/>
        </w:rPr>
        <w:t xml:space="preserve">Molecular Confirmation: </w:t>
      </w:r>
      <w:r w:rsidR="0087217E" w:rsidRPr="000D79C4">
        <w:rPr>
          <w:rFonts w:ascii="Arial" w:eastAsia="Times New Roman" w:hAnsi="Arial" w:cs="Arial"/>
          <w:sz w:val="20"/>
          <w:szCs w:val="20"/>
        </w:rPr>
        <w:t>Scab materials</w:t>
      </w:r>
      <w:r w:rsidR="009D3F19" w:rsidRPr="000D79C4">
        <w:rPr>
          <w:rFonts w:ascii="Arial" w:eastAsia="Times New Roman" w:hAnsi="Arial" w:cs="Arial"/>
          <w:sz w:val="20"/>
          <w:szCs w:val="20"/>
        </w:rPr>
        <w:t xml:space="preserve"> (n=15</w:t>
      </w:r>
      <w:r w:rsidR="00AF137A" w:rsidRPr="000D79C4">
        <w:rPr>
          <w:rFonts w:ascii="Arial" w:eastAsia="Times New Roman" w:hAnsi="Arial" w:cs="Arial"/>
          <w:sz w:val="20"/>
          <w:szCs w:val="20"/>
        </w:rPr>
        <w:t>)</w:t>
      </w:r>
      <w:r w:rsidR="0087217E" w:rsidRPr="000D79C4">
        <w:rPr>
          <w:rFonts w:ascii="Arial" w:eastAsia="Times New Roman" w:hAnsi="Arial" w:cs="Arial"/>
          <w:sz w:val="20"/>
          <w:szCs w:val="20"/>
        </w:rPr>
        <w:t xml:space="preserve"> from active lesions were collected aseptically and </w:t>
      </w:r>
      <w:r w:rsidR="00654472" w:rsidRPr="000D79C4">
        <w:rPr>
          <w:rFonts w:ascii="Arial" w:eastAsia="Times New Roman" w:hAnsi="Arial" w:cs="Arial"/>
          <w:sz w:val="20"/>
          <w:szCs w:val="20"/>
        </w:rPr>
        <w:t>transferred immediately in ice box to the laboratory of Department of Veterinary Microbiology, AVFU</w:t>
      </w:r>
      <w:r w:rsidR="00AF137A" w:rsidRPr="000D79C4">
        <w:rPr>
          <w:rFonts w:ascii="Arial" w:eastAsia="Times New Roman" w:hAnsi="Arial" w:cs="Arial"/>
          <w:sz w:val="20"/>
          <w:szCs w:val="20"/>
        </w:rPr>
        <w:t xml:space="preserve">. The scab materials were processed following standard method and subjected for molecular detection of the </w:t>
      </w:r>
      <w:proofErr w:type="spellStart"/>
      <w:r w:rsidR="00AF137A" w:rsidRPr="000D79C4">
        <w:rPr>
          <w:rFonts w:ascii="Arial" w:eastAsia="Times New Roman" w:hAnsi="Arial" w:cs="Arial"/>
          <w:sz w:val="20"/>
          <w:szCs w:val="20"/>
        </w:rPr>
        <w:t>orf</w:t>
      </w:r>
      <w:proofErr w:type="spellEnd"/>
      <w:r w:rsidR="00D165F9" w:rsidRPr="000D79C4">
        <w:rPr>
          <w:rFonts w:ascii="Arial" w:eastAsia="Times New Roman" w:hAnsi="Arial" w:cs="Arial"/>
          <w:sz w:val="20"/>
          <w:szCs w:val="20"/>
        </w:rPr>
        <w:t xml:space="preserve"> </w:t>
      </w:r>
      <w:r w:rsidR="00AF137A" w:rsidRPr="000D79C4">
        <w:rPr>
          <w:rFonts w:ascii="Arial" w:eastAsia="Times New Roman" w:hAnsi="Arial" w:cs="Arial"/>
          <w:sz w:val="20"/>
          <w:szCs w:val="20"/>
        </w:rPr>
        <w:t>virus nucleic acid  using</w:t>
      </w:r>
      <w:r w:rsidR="00D165F9" w:rsidRPr="000D79C4">
        <w:rPr>
          <w:rFonts w:ascii="Arial" w:eastAsia="Times New Roman" w:hAnsi="Arial" w:cs="Arial"/>
          <w:sz w:val="20"/>
          <w:szCs w:val="20"/>
        </w:rPr>
        <w:t xml:space="preserve"> </w:t>
      </w:r>
      <w:r w:rsidR="00AF137A" w:rsidRPr="000D79C4">
        <w:rPr>
          <w:rFonts w:ascii="Arial" w:eastAsia="Times New Roman" w:hAnsi="Arial" w:cs="Arial"/>
          <w:sz w:val="20"/>
          <w:szCs w:val="20"/>
        </w:rPr>
        <w:t>p</w:t>
      </w:r>
      <w:r w:rsidR="0087217E" w:rsidRPr="000D79C4">
        <w:rPr>
          <w:rFonts w:ascii="Arial" w:eastAsia="Times New Roman" w:hAnsi="Arial" w:cs="Arial"/>
          <w:sz w:val="20"/>
          <w:szCs w:val="20"/>
        </w:rPr>
        <w:t xml:space="preserve">olymerase chain reaction (PCR) assay targeting </w:t>
      </w:r>
      <w:r w:rsidR="00AF137A" w:rsidRPr="000D79C4">
        <w:rPr>
          <w:rFonts w:ascii="Arial" w:eastAsia="Times New Roman" w:hAnsi="Arial" w:cs="Arial"/>
          <w:sz w:val="20"/>
          <w:szCs w:val="20"/>
        </w:rPr>
        <w:t xml:space="preserve">full length amplification of </w:t>
      </w:r>
      <w:r w:rsidR="0087217E" w:rsidRPr="000D79C4">
        <w:rPr>
          <w:rFonts w:ascii="Arial" w:eastAsia="Times New Roman" w:hAnsi="Arial" w:cs="Arial"/>
          <w:sz w:val="20"/>
          <w:szCs w:val="20"/>
        </w:rPr>
        <w:t xml:space="preserve">ORFV-specific </w:t>
      </w:r>
      <w:r w:rsidR="00AF137A" w:rsidRPr="000D79C4">
        <w:rPr>
          <w:rFonts w:ascii="Arial" w:eastAsia="Times New Roman" w:hAnsi="Arial" w:cs="Arial"/>
          <w:sz w:val="20"/>
          <w:szCs w:val="20"/>
        </w:rPr>
        <w:t xml:space="preserve">B2L </w:t>
      </w:r>
      <w:r w:rsidR="0087217E" w:rsidRPr="000D79C4">
        <w:rPr>
          <w:rFonts w:ascii="Arial" w:eastAsia="Times New Roman" w:hAnsi="Arial" w:cs="Arial"/>
          <w:sz w:val="20"/>
          <w:szCs w:val="20"/>
        </w:rPr>
        <w:t>gene</w:t>
      </w:r>
      <w:r w:rsidR="00AF137A" w:rsidRPr="000D79C4">
        <w:rPr>
          <w:rFonts w:ascii="Arial" w:eastAsia="Times New Roman" w:hAnsi="Arial" w:cs="Arial"/>
          <w:sz w:val="20"/>
          <w:szCs w:val="20"/>
        </w:rPr>
        <w:t xml:space="preserve">. </w:t>
      </w:r>
      <w:r w:rsidR="00AF137A" w:rsidRPr="000D79C4">
        <w:rPr>
          <w:rFonts w:ascii="Arial" w:hAnsi="Arial" w:cs="Arial"/>
          <w:sz w:val="20"/>
          <w:szCs w:val="20"/>
        </w:rPr>
        <w:t xml:space="preserve">Full-length B2L gene was amplified by conventional PCR from the DNA extracted from processed scab samples using previously </w:t>
      </w:r>
      <w:r w:rsidR="00D165F9" w:rsidRPr="000D79C4">
        <w:rPr>
          <w:rFonts w:ascii="Arial" w:hAnsi="Arial" w:cs="Arial"/>
          <w:sz w:val="20"/>
          <w:szCs w:val="20"/>
        </w:rPr>
        <w:t>published primer sets</w:t>
      </w:r>
      <w:r w:rsidR="00AF137A" w:rsidRPr="000D79C4">
        <w:rPr>
          <w:rFonts w:ascii="Arial" w:hAnsi="Arial" w:cs="Arial"/>
          <w:sz w:val="20"/>
          <w:szCs w:val="20"/>
        </w:rPr>
        <w:t>: OVB2LF, TCCCTGAAGCCCTATTATTTTTGTG and OVB 2LR, GCTTGCGGGCGTT CGGACCTTC (</w:t>
      </w:r>
      <w:proofErr w:type="spellStart"/>
      <w:r w:rsidR="00157638" w:rsidRPr="000D79C4">
        <w:rPr>
          <w:rFonts w:ascii="Arial" w:hAnsi="Arial" w:cs="Arial"/>
          <w:sz w:val="20"/>
          <w:szCs w:val="20"/>
        </w:rPr>
        <w:t>Hosamani</w:t>
      </w:r>
      <w:proofErr w:type="spellEnd"/>
      <w:r w:rsidR="00157638" w:rsidRPr="000D79C4">
        <w:rPr>
          <w:rFonts w:ascii="Arial" w:hAnsi="Arial" w:cs="Arial"/>
          <w:sz w:val="20"/>
          <w:szCs w:val="20"/>
        </w:rPr>
        <w:t xml:space="preserve"> et al., 2006</w:t>
      </w:r>
      <w:r w:rsidR="00AF137A" w:rsidRPr="000D79C4">
        <w:rPr>
          <w:rFonts w:ascii="Arial" w:hAnsi="Arial" w:cs="Arial"/>
          <w:sz w:val="20"/>
          <w:szCs w:val="20"/>
        </w:rPr>
        <w:t>).</w:t>
      </w:r>
      <w:r w:rsidR="00157638" w:rsidRPr="000D79C4">
        <w:rPr>
          <w:rFonts w:ascii="Arial" w:hAnsi="Arial" w:cs="Arial"/>
          <w:sz w:val="20"/>
          <w:szCs w:val="20"/>
        </w:rPr>
        <w:t xml:space="preserve"> </w:t>
      </w:r>
      <w:r w:rsidR="00AF137A" w:rsidRPr="000D79C4">
        <w:rPr>
          <w:rFonts w:ascii="Arial" w:hAnsi="Arial" w:cs="Arial"/>
          <w:sz w:val="20"/>
          <w:szCs w:val="20"/>
        </w:rPr>
        <w:t xml:space="preserve">PCR was performed in standard 25 µl reaction containing 3µl extracted DNA, 20 </w:t>
      </w:r>
      <w:proofErr w:type="spellStart"/>
      <w:r w:rsidR="00AF137A" w:rsidRPr="000D79C4">
        <w:rPr>
          <w:rFonts w:ascii="Arial" w:hAnsi="Arial" w:cs="Arial"/>
          <w:sz w:val="20"/>
          <w:szCs w:val="20"/>
        </w:rPr>
        <w:t>pmol</w:t>
      </w:r>
      <w:proofErr w:type="spellEnd"/>
      <w:r w:rsidR="00AF137A" w:rsidRPr="000D79C4">
        <w:rPr>
          <w:rFonts w:ascii="Arial" w:hAnsi="Arial" w:cs="Arial"/>
          <w:sz w:val="20"/>
          <w:szCs w:val="20"/>
        </w:rPr>
        <w:t xml:space="preserve"> of each primer, 2.5µl of 10X PCR buffer, 25mM of MgCl</w:t>
      </w:r>
      <w:r w:rsidR="00AF137A" w:rsidRPr="000D79C4">
        <w:rPr>
          <w:rFonts w:ascii="Arial" w:hAnsi="Arial" w:cs="Arial"/>
          <w:sz w:val="20"/>
          <w:szCs w:val="20"/>
          <w:vertAlign w:val="subscript"/>
        </w:rPr>
        <w:t>2</w:t>
      </w:r>
      <w:r w:rsidR="00AF137A" w:rsidRPr="000D79C4">
        <w:rPr>
          <w:rFonts w:ascii="Arial" w:hAnsi="Arial" w:cs="Arial"/>
          <w:sz w:val="20"/>
          <w:szCs w:val="20"/>
        </w:rPr>
        <w:t xml:space="preserve">,  10mM dNTPs  (deoxynucleotide triphosphates) and 2.5 IU of </w:t>
      </w:r>
      <w:proofErr w:type="spellStart"/>
      <w:r w:rsidR="00AF137A" w:rsidRPr="000D79C4">
        <w:rPr>
          <w:rFonts w:ascii="Arial" w:hAnsi="Arial" w:cs="Arial"/>
          <w:sz w:val="20"/>
          <w:szCs w:val="20"/>
        </w:rPr>
        <w:t>DyNazyme</w:t>
      </w:r>
      <w:proofErr w:type="spellEnd"/>
      <w:r w:rsidR="00AF137A" w:rsidRPr="000D79C4">
        <w:rPr>
          <w:rFonts w:ascii="Arial" w:hAnsi="Arial" w:cs="Arial"/>
          <w:sz w:val="20"/>
          <w:szCs w:val="20"/>
        </w:rPr>
        <w:t xml:space="preserve"> (</w:t>
      </w:r>
      <w:proofErr w:type="spellStart"/>
      <w:r w:rsidR="00AF137A" w:rsidRPr="000D79C4">
        <w:rPr>
          <w:rFonts w:ascii="Arial" w:hAnsi="Arial" w:cs="Arial"/>
          <w:sz w:val="20"/>
          <w:szCs w:val="20"/>
        </w:rPr>
        <w:t>Thermo</w:t>
      </w:r>
      <w:proofErr w:type="spellEnd"/>
      <w:r w:rsidR="00AF137A" w:rsidRPr="000D79C4">
        <w:rPr>
          <w:rFonts w:ascii="Arial" w:hAnsi="Arial" w:cs="Arial"/>
          <w:sz w:val="20"/>
          <w:szCs w:val="20"/>
        </w:rPr>
        <w:t xml:space="preserve"> Scientific) in a thermal cycle (</w:t>
      </w:r>
      <w:r w:rsidR="00F50EF2" w:rsidRPr="000D79C4">
        <w:rPr>
          <w:rFonts w:ascii="Arial" w:hAnsi="Arial" w:cs="Arial"/>
          <w:sz w:val="20"/>
          <w:szCs w:val="20"/>
        </w:rPr>
        <w:t>Thermo Scientific</w:t>
      </w:r>
      <w:r w:rsidR="00AF137A" w:rsidRPr="000D79C4">
        <w:rPr>
          <w:rFonts w:ascii="Arial" w:hAnsi="Arial" w:cs="Arial"/>
          <w:sz w:val="20"/>
          <w:szCs w:val="20"/>
        </w:rPr>
        <w:t xml:space="preserve">) with an initial denaturation step of 94ºC for 5 mins followed by </w:t>
      </w:r>
      <w:r w:rsidR="00F50EF2" w:rsidRPr="000D79C4">
        <w:rPr>
          <w:rFonts w:ascii="Arial" w:hAnsi="Arial" w:cs="Arial"/>
          <w:sz w:val="20"/>
          <w:szCs w:val="20"/>
        </w:rPr>
        <w:t>30</w:t>
      </w:r>
      <w:r w:rsidR="00AF137A" w:rsidRPr="000D79C4">
        <w:rPr>
          <w:rFonts w:ascii="Arial" w:hAnsi="Arial" w:cs="Arial"/>
          <w:sz w:val="20"/>
          <w:szCs w:val="20"/>
        </w:rPr>
        <w:t xml:space="preserve"> cycles of 94ºC for 1 min, 52ºC for 1 min, 72ºC for 1 min and final extension of 72ºC for 7 mins.</w:t>
      </w:r>
    </w:p>
    <w:p w14:paraId="102CC9DF" w14:textId="77777777" w:rsidR="0087217E"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2.5. </w:t>
      </w:r>
      <w:r w:rsidR="0087217E" w:rsidRPr="000D79C4">
        <w:rPr>
          <w:rFonts w:ascii="Arial" w:eastAsia="Times New Roman" w:hAnsi="Arial" w:cs="Arial"/>
          <w:b/>
          <w:bCs/>
          <w:sz w:val="20"/>
          <w:szCs w:val="20"/>
        </w:rPr>
        <w:t xml:space="preserve">Therapeutic Management: </w:t>
      </w:r>
      <w:r w:rsidR="00AE12C0" w:rsidRPr="000D79C4">
        <w:rPr>
          <w:rFonts w:ascii="Arial" w:eastAsia="Times New Roman" w:hAnsi="Arial" w:cs="Arial"/>
          <w:sz w:val="20"/>
          <w:szCs w:val="20"/>
        </w:rPr>
        <w:t>The affected goats were isolated to prevent the spread of the disease. Local treatment for the disease involved debridement and gentle cleaning of the lesions with a diluted potassium permanganate solution, followed by the boric acid-glycerin preparation and</w:t>
      </w:r>
      <w:r w:rsidR="00D734BD" w:rsidRPr="000D79C4">
        <w:rPr>
          <w:rFonts w:ascii="Arial" w:eastAsia="Times New Roman" w:hAnsi="Arial" w:cs="Arial"/>
          <w:sz w:val="20"/>
          <w:szCs w:val="20"/>
        </w:rPr>
        <w:t xml:space="preserve"> the antimicrobial ointment. An</w:t>
      </w:r>
      <w:r w:rsidR="00AE12C0" w:rsidRPr="000D79C4">
        <w:rPr>
          <w:rFonts w:ascii="Arial" w:eastAsia="Times New Roman" w:hAnsi="Arial" w:cs="Arial"/>
          <w:sz w:val="20"/>
          <w:szCs w:val="20"/>
        </w:rPr>
        <w:t xml:space="preserve"> immune </w:t>
      </w:r>
      <w:r w:rsidR="00D734BD" w:rsidRPr="000D79C4">
        <w:rPr>
          <w:rFonts w:ascii="Arial" w:eastAsia="Times New Roman" w:hAnsi="Arial" w:cs="Arial"/>
          <w:sz w:val="20"/>
          <w:szCs w:val="20"/>
        </w:rPr>
        <w:t xml:space="preserve">booster </w:t>
      </w:r>
      <w:r w:rsidR="00AE12C0" w:rsidRPr="000D79C4">
        <w:rPr>
          <w:rFonts w:ascii="Arial" w:eastAsia="Times New Roman" w:hAnsi="Arial" w:cs="Arial"/>
          <w:sz w:val="20"/>
          <w:szCs w:val="20"/>
        </w:rPr>
        <w:t>supplement was given orally daily to the affected goats.</w:t>
      </w:r>
      <w:r w:rsidR="00A128F8" w:rsidRPr="000D79C4">
        <w:rPr>
          <w:rFonts w:ascii="Arial" w:eastAsia="Times New Roman" w:hAnsi="Arial" w:cs="Arial"/>
          <w:sz w:val="20"/>
          <w:szCs w:val="20"/>
        </w:rPr>
        <w:t xml:space="preserve"> </w:t>
      </w:r>
      <w:r w:rsidR="00AE12C0" w:rsidRPr="000D79C4">
        <w:rPr>
          <w:rFonts w:ascii="Arial" w:eastAsia="Times New Roman" w:hAnsi="Arial" w:cs="Arial"/>
          <w:sz w:val="20"/>
          <w:szCs w:val="20"/>
        </w:rPr>
        <w:t>Treatment for the disease in severe cases involved the administration of antibiotics, such as Ceftiofur @</w:t>
      </w:r>
      <w:r w:rsidR="001568DC" w:rsidRPr="000D79C4">
        <w:rPr>
          <w:rFonts w:ascii="Arial" w:eastAsia="Times New Roman" w:hAnsi="Arial" w:cs="Arial"/>
          <w:sz w:val="20"/>
          <w:szCs w:val="20"/>
        </w:rPr>
        <w:t xml:space="preserve"> </w:t>
      </w:r>
      <w:r w:rsidR="00AE12C0" w:rsidRPr="000D79C4">
        <w:rPr>
          <w:rFonts w:ascii="Arial" w:eastAsia="Times New Roman" w:hAnsi="Arial" w:cs="Arial"/>
          <w:sz w:val="20"/>
          <w:szCs w:val="20"/>
        </w:rPr>
        <w:t>2 mg/kg body weight for five days, and Meloxicam @</w:t>
      </w:r>
      <w:r w:rsidR="001568DC" w:rsidRPr="000D79C4">
        <w:rPr>
          <w:rFonts w:ascii="Arial" w:eastAsia="Times New Roman" w:hAnsi="Arial" w:cs="Arial"/>
          <w:sz w:val="20"/>
          <w:szCs w:val="20"/>
        </w:rPr>
        <w:t xml:space="preserve"> </w:t>
      </w:r>
      <w:r w:rsidR="00AE12C0" w:rsidRPr="000D79C4">
        <w:rPr>
          <w:rFonts w:ascii="Arial" w:eastAsia="Times New Roman" w:hAnsi="Arial" w:cs="Arial"/>
          <w:sz w:val="20"/>
          <w:szCs w:val="20"/>
        </w:rPr>
        <w:t>0.5 mg/kg body weight for three days, to prevent secondary bacterial infection and inflammation, respectively.</w:t>
      </w:r>
    </w:p>
    <w:p w14:paraId="2149370C" w14:textId="77777777" w:rsidR="00FD3E44" w:rsidRPr="000D79C4" w:rsidRDefault="00C37B5B" w:rsidP="00FD3E44">
      <w:pPr>
        <w:pStyle w:val="NormalWeb"/>
        <w:jc w:val="both"/>
        <w:rPr>
          <w:rFonts w:ascii="Arial" w:hAnsi="Arial" w:cs="Arial"/>
          <w:sz w:val="20"/>
          <w:szCs w:val="20"/>
        </w:rPr>
      </w:pPr>
      <w:r w:rsidRPr="000D79C4">
        <w:rPr>
          <w:rFonts w:ascii="Arial" w:hAnsi="Arial" w:cs="Arial"/>
          <w:sz w:val="20"/>
          <w:szCs w:val="20"/>
        </w:rPr>
        <w:t xml:space="preserve">2.6. </w:t>
      </w:r>
      <w:r w:rsidR="004C622C" w:rsidRPr="000D79C4">
        <w:rPr>
          <w:rFonts w:ascii="Arial" w:hAnsi="Arial" w:cs="Arial"/>
          <w:b/>
          <w:sz w:val="20"/>
          <w:szCs w:val="20"/>
        </w:rPr>
        <w:t>Statistical analysis</w:t>
      </w:r>
      <w:r w:rsidR="00FD3E44" w:rsidRPr="000D79C4">
        <w:rPr>
          <w:rFonts w:ascii="Arial" w:hAnsi="Arial" w:cs="Arial"/>
          <w:sz w:val="20"/>
          <w:szCs w:val="20"/>
        </w:rPr>
        <w:t xml:space="preserve">: For the analysis of the data, the Chi-square goodness-of-fit test has been employed for the prevalence data, whereas the one-sample t-test has been used for the hematological data by comparing the mean with the midpoint of the reference range. The level of significance has considered at p </w:t>
      </w:r>
      <w:r w:rsidR="001568DC" w:rsidRPr="000D79C4">
        <w:rPr>
          <w:rFonts w:ascii="Arial" w:hAnsi="Arial" w:cs="Arial"/>
          <w:sz w:val="20"/>
          <w:szCs w:val="20"/>
        </w:rPr>
        <w:t>&lt; 0.05, 0.01. T</w:t>
      </w:r>
      <w:r w:rsidR="00FD3E44" w:rsidRPr="000D79C4">
        <w:rPr>
          <w:rFonts w:ascii="Arial" w:hAnsi="Arial" w:cs="Arial"/>
          <w:sz w:val="20"/>
          <w:szCs w:val="20"/>
        </w:rPr>
        <w:t>he statistical analysis has been carried out using SPSS version 25 statistical software.</w:t>
      </w:r>
    </w:p>
    <w:p w14:paraId="10D18255" w14:textId="77777777" w:rsidR="0087217E" w:rsidRPr="000D79C4" w:rsidRDefault="00C37B5B" w:rsidP="0087217E">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 xml:space="preserve">3. </w:t>
      </w:r>
      <w:r w:rsidR="001568DC" w:rsidRPr="000D79C4">
        <w:rPr>
          <w:rFonts w:ascii="Arial" w:eastAsia="Times New Roman" w:hAnsi="Arial" w:cs="Arial"/>
          <w:b/>
          <w:bCs/>
          <w:szCs w:val="20"/>
        </w:rPr>
        <w:t>Results and Discussion</w:t>
      </w:r>
    </w:p>
    <w:p w14:paraId="5081A87B" w14:textId="77777777" w:rsidR="006F4FEF" w:rsidRPr="000D79C4" w:rsidRDefault="00C37B5B" w:rsidP="00974FB2">
      <w:pPr>
        <w:jc w:val="both"/>
        <w:rPr>
          <w:rFonts w:ascii="Arial" w:eastAsia="Times New Roman" w:hAnsi="Arial" w:cs="Arial"/>
          <w:b/>
          <w:bCs/>
          <w:sz w:val="20"/>
          <w:szCs w:val="20"/>
        </w:rPr>
      </w:pPr>
      <w:r w:rsidRPr="000D79C4">
        <w:rPr>
          <w:rFonts w:ascii="Arial" w:eastAsia="Times New Roman" w:hAnsi="Arial" w:cs="Arial"/>
          <w:b/>
          <w:bCs/>
          <w:sz w:val="20"/>
          <w:szCs w:val="20"/>
        </w:rPr>
        <w:t xml:space="preserve">3.1. </w:t>
      </w:r>
      <w:r w:rsidR="00AE12C0" w:rsidRPr="000D79C4">
        <w:rPr>
          <w:rFonts w:ascii="Arial" w:eastAsia="Times New Roman" w:hAnsi="Arial" w:cs="Arial"/>
          <w:b/>
          <w:bCs/>
          <w:sz w:val="20"/>
          <w:szCs w:val="20"/>
        </w:rPr>
        <w:t>Epidemiological Findings</w:t>
      </w:r>
      <w:r w:rsidR="0087217E" w:rsidRPr="000D79C4">
        <w:rPr>
          <w:rFonts w:ascii="Arial" w:eastAsia="Times New Roman" w:hAnsi="Arial" w:cs="Arial"/>
          <w:b/>
          <w:bCs/>
          <w:sz w:val="20"/>
          <w:szCs w:val="20"/>
        </w:rPr>
        <w:t xml:space="preserve">: </w:t>
      </w:r>
    </w:p>
    <w:p w14:paraId="192959F7" w14:textId="77777777" w:rsidR="006F4FEF" w:rsidRPr="000D79C4" w:rsidRDefault="006F4FEF" w:rsidP="00F61207">
      <w:pPr>
        <w:jc w:val="both"/>
        <w:rPr>
          <w:rFonts w:ascii="Arial" w:hAnsi="Arial" w:cs="Arial"/>
          <w:sz w:val="20"/>
          <w:szCs w:val="20"/>
        </w:rPr>
      </w:pPr>
      <w:r w:rsidRPr="000D79C4">
        <w:rPr>
          <w:rFonts w:ascii="Arial" w:eastAsia="Times New Roman" w:hAnsi="Arial" w:cs="Arial"/>
          <w:bCs/>
          <w:sz w:val="20"/>
          <w:szCs w:val="20"/>
        </w:rPr>
        <w:t xml:space="preserve">Out of a total of 170 goats, 28 Assam hill goats were infected, resulting in an outbreak prevalence of 16.47 percent. With regard to age, the results revealed that out of a total of 28 infected goats, 26 goats (92.85%) were within the age group of 0-3 months, whereas only 2 goats (7.14%) were within the age group of 3-6 months </w:t>
      </w:r>
      <w:r w:rsidRPr="000D79C4">
        <w:rPr>
          <w:rFonts w:ascii="Arial" w:eastAsia="Times New Roman" w:hAnsi="Arial" w:cs="Arial"/>
          <w:sz w:val="20"/>
          <w:szCs w:val="20"/>
        </w:rPr>
        <w:t>(Table</w:t>
      </w:r>
      <w:commentRangeStart w:id="4"/>
      <w:r w:rsidRPr="000D79C4">
        <w:rPr>
          <w:rFonts w:ascii="Arial" w:eastAsia="Times New Roman" w:hAnsi="Arial" w:cs="Arial"/>
          <w:sz w:val="20"/>
          <w:szCs w:val="20"/>
        </w:rPr>
        <w:t>.</w:t>
      </w:r>
      <w:commentRangeEnd w:id="4"/>
      <w:r w:rsidR="00677296">
        <w:rPr>
          <w:rStyle w:val="CommentReference"/>
        </w:rPr>
        <w:commentReference w:id="4"/>
      </w:r>
      <w:r w:rsidRPr="000D79C4">
        <w:rPr>
          <w:rFonts w:ascii="Arial" w:eastAsia="Times New Roman" w:hAnsi="Arial" w:cs="Arial"/>
          <w:sz w:val="20"/>
          <w:szCs w:val="20"/>
        </w:rPr>
        <w:t>1)</w:t>
      </w:r>
      <w:r w:rsidRPr="000D79C4">
        <w:rPr>
          <w:rFonts w:ascii="Arial" w:eastAsia="Times New Roman" w:hAnsi="Arial" w:cs="Arial"/>
          <w:bCs/>
          <w:sz w:val="20"/>
          <w:szCs w:val="20"/>
        </w:rPr>
        <w:t xml:space="preserve">. </w:t>
      </w:r>
      <w:proofErr w:type="gramStart"/>
      <w:r w:rsidRPr="000D79C4">
        <w:rPr>
          <w:rFonts w:ascii="Arial" w:eastAsia="Times New Roman" w:hAnsi="Arial" w:cs="Arial"/>
          <w:bCs/>
          <w:sz w:val="20"/>
          <w:szCs w:val="20"/>
        </w:rPr>
        <w:t>The</w:t>
      </w:r>
      <w:proofErr w:type="gramEnd"/>
      <w:r w:rsidRPr="000D79C4">
        <w:rPr>
          <w:rFonts w:ascii="Arial" w:eastAsia="Times New Roman" w:hAnsi="Arial" w:cs="Arial"/>
          <w:bCs/>
          <w:sz w:val="20"/>
          <w:szCs w:val="20"/>
        </w:rPr>
        <w:t xml:space="preserve"> higher occurrence of ORF in kids compared to adult goats could be attributed to their immune status. It has been observed that young animals, especially neonatal animals, do not possess a fully competent immune system. As a result, they are more prone to viral infections. In addition, young animals are more prone to lip and gum abrasions due to their immaturity, which facilitates the entry of </w:t>
      </w:r>
      <w:proofErr w:type="spellStart"/>
      <w:r w:rsidRPr="000D79C4">
        <w:rPr>
          <w:rFonts w:ascii="Arial" w:eastAsia="Times New Roman" w:hAnsi="Arial" w:cs="Arial"/>
          <w:bCs/>
          <w:sz w:val="20"/>
          <w:szCs w:val="20"/>
        </w:rPr>
        <w:t>parapox</w:t>
      </w:r>
      <w:proofErr w:type="spellEnd"/>
      <w:r w:rsidRPr="000D79C4">
        <w:rPr>
          <w:rFonts w:ascii="Arial" w:eastAsia="Times New Roman" w:hAnsi="Arial" w:cs="Arial"/>
          <w:bCs/>
          <w:sz w:val="20"/>
          <w:szCs w:val="20"/>
        </w:rPr>
        <w:t xml:space="preserve"> virus. Painful proliferative lesions, especially in young animals, may also affect their ability to suckle milk, resulting in poor nutrition and a compromised immune system. Earlier studies also observed that young animals are more prone to ORF due to their immaturity and are more exposed to the disease</w:t>
      </w:r>
      <w:r w:rsidR="00B542F3" w:rsidRPr="000D79C4">
        <w:rPr>
          <w:rFonts w:ascii="Arial" w:eastAsia="Times New Roman" w:hAnsi="Arial" w:cs="Arial"/>
          <w:bCs/>
          <w:sz w:val="20"/>
          <w:szCs w:val="20"/>
        </w:rPr>
        <w:t xml:space="preserve"> during their early life stage </w:t>
      </w:r>
      <w:r w:rsidR="00AA0A87" w:rsidRPr="000D79C4">
        <w:rPr>
          <w:rFonts w:ascii="Arial" w:eastAsia="Times New Roman" w:hAnsi="Arial" w:cs="Arial"/>
          <w:sz w:val="20"/>
          <w:szCs w:val="20"/>
        </w:rPr>
        <w:t>(</w:t>
      </w:r>
      <w:proofErr w:type="spellStart"/>
      <w:r w:rsidR="00401861" w:rsidRPr="000D79C4">
        <w:rPr>
          <w:rFonts w:ascii="Arial" w:eastAsia="Times New Roman" w:hAnsi="Arial" w:cs="Arial"/>
          <w:sz w:val="20"/>
          <w:szCs w:val="20"/>
        </w:rPr>
        <w:t>Patowary</w:t>
      </w:r>
      <w:proofErr w:type="spellEnd"/>
      <w:r w:rsidR="00401861" w:rsidRPr="000D79C4">
        <w:rPr>
          <w:rFonts w:ascii="Arial" w:eastAsia="Times New Roman" w:hAnsi="Arial" w:cs="Arial"/>
          <w:sz w:val="20"/>
          <w:szCs w:val="20"/>
        </w:rPr>
        <w:t xml:space="preserve"> et al., 2025</w:t>
      </w:r>
      <w:r w:rsidRPr="000D79C4">
        <w:rPr>
          <w:rFonts w:ascii="Arial" w:eastAsia="Times New Roman" w:hAnsi="Arial" w:cs="Arial"/>
          <w:sz w:val="20"/>
          <w:szCs w:val="20"/>
        </w:rPr>
        <w:t>)</w:t>
      </w:r>
      <w:r w:rsidRPr="000D79C4">
        <w:rPr>
          <w:rFonts w:ascii="Arial" w:eastAsia="Times New Roman" w:hAnsi="Arial" w:cs="Arial"/>
          <w:bCs/>
          <w:sz w:val="20"/>
          <w:szCs w:val="20"/>
        </w:rPr>
        <w:t>.</w:t>
      </w:r>
      <w:r w:rsidRPr="000D79C4">
        <w:rPr>
          <w:rFonts w:ascii="Arial" w:hAnsi="Arial" w:cs="Arial"/>
          <w:sz w:val="20"/>
          <w:szCs w:val="20"/>
        </w:rPr>
        <w:t xml:space="preserve">The higher percentage of infected females (64.28 percent) compared to males (35.71 percent) which was recorded may be attributed to the </w:t>
      </w:r>
      <w:r w:rsidRPr="000D79C4">
        <w:rPr>
          <w:rFonts w:ascii="Arial" w:hAnsi="Arial" w:cs="Arial"/>
          <w:sz w:val="20"/>
          <w:szCs w:val="20"/>
        </w:rPr>
        <w:lastRenderedPageBreak/>
        <w:t>demographic composition of the herd. Female goats are more in number in a herd, hence more prone to infection. Also, prolonged interaction between female kids and their dams may play a role in transmission of the virus, as these are more intimate interactions, which may lead to transmission of the virus through contaminated lesions. Although all the animals that showed signs of infection in this particular outbreak were recorded during winter, this may also be attribute</w:t>
      </w:r>
      <w:r w:rsidR="00B542F3" w:rsidRPr="000D79C4">
        <w:rPr>
          <w:rFonts w:ascii="Arial" w:hAnsi="Arial" w:cs="Arial"/>
          <w:sz w:val="20"/>
          <w:szCs w:val="20"/>
        </w:rPr>
        <w:t xml:space="preserve">d to a seasonal factor. In winter due to </w:t>
      </w:r>
      <w:r w:rsidR="00F61207" w:rsidRPr="000D79C4">
        <w:rPr>
          <w:rFonts w:ascii="Arial" w:hAnsi="Arial" w:cs="Arial"/>
          <w:sz w:val="20"/>
          <w:szCs w:val="20"/>
        </w:rPr>
        <w:t>cold temperatures,</w:t>
      </w:r>
      <w:r w:rsidRPr="000D79C4">
        <w:rPr>
          <w:rFonts w:ascii="Arial" w:hAnsi="Arial" w:cs="Arial"/>
          <w:sz w:val="20"/>
          <w:szCs w:val="20"/>
        </w:rPr>
        <w:t xml:space="preserve"> animals are usually kept indoors in close proximity to each other to shield them from the cold.</w:t>
      </w:r>
      <w:r w:rsidR="00401861" w:rsidRPr="000D79C4">
        <w:rPr>
          <w:rFonts w:ascii="Arial" w:hAnsi="Arial" w:cs="Arial"/>
          <w:sz w:val="20"/>
          <w:szCs w:val="20"/>
        </w:rPr>
        <w:t xml:space="preserve"> These conditions create a </w:t>
      </w:r>
      <w:r w:rsidRPr="000D79C4">
        <w:rPr>
          <w:rFonts w:ascii="Arial" w:hAnsi="Arial" w:cs="Arial"/>
          <w:sz w:val="20"/>
          <w:szCs w:val="20"/>
        </w:rPr>
        <w:t>conducive environment for close contact between animals, thus facilitating the spread of contagious ecthyma virus. Additionally, winter is a major kidding season for goats, thus increasing the population of susceptible young kids in the flock. Environmental stress cau</w:t>
      </w:r>
      <w:r w:rsidR="00F61207" w:rsidRPr="000D79C4">
        <w:rPr>
          <w:rFonts w:ascii="Arial" w:hAnsi="Arial" w:cs="Arial"/>
          <w:sz w:val="20"/>
          <w:szCs w:val="20"/>
        </w:rPr>
        <w:t>sed by low temperatures,</w:t>
      </w:r>
      <w:r w:rsidRPr="000D79C4">
        <w:rPr>
          <w:rFonts w:ascii="Arial" w:hAnsi="Arial" w:cs="Arial"/>
          <w:sz w:val="20"/>
          <w:szCs w:val="20"/>
        </w:rPr>
        <w:t xml:space="preserve"> with the scarcity of pasture and possible nutritional stress, might have also weakened the immune response of the animals, thus increasing susceptibility to the disease. The high prevalence of ORF in young kids, female goats, and winter, as found in the current study, agrees with the earlier reports of the importance of age-related immune immaturity, herd management, and seasonal environmental stress in the epidemiology of contagious ecthyma i</w:t>
      </w:r>
      <w:r w:rsidR="00AA0A87" w:rsidRPr="000D79C4">
        <w:rPr>
          <w:rFonts w:ascii="Arial" w:hAnsi="Arial" w:cs="Arial"/>
          <w:sz w:val="20"/>
          <w:szCs w:val="20"/>
        </w:rPr>
        <w:t>n goats (</w:t>
      </w:r>
      <w:proofErr w:type="spellStart"/>
      <w:r w:rsidR="00401861" w:rsidRPr="000D79C4">
        <w:rPr>
          <w:rFonts w:ascii="Arial" w:hAnsi="Arial" w:cs="Arial"/>
          <w:sz w:val="20"/>
          <w:szCs w:val="20"/>
        </w:rPr>
        <w:t>Bala</w:t>
      </w:r>
      <w:proofErr w:type="spellEnd"/>
      <w:r w:rsidR="00401861" w:rsidRPr="000D79C4">
        <w:rPr>
          <w:rFonts w:ascii="Arial" w:hAnsi="Arial" w:cs="Arial"/>
          <w:sz w:val="20"/>
          <w:szCs w:val="20"/>
        </w:rPr>
        <w:t xml:space="preserve"> et al., 2019;</w:t>
      </w:r>
      <w:r w:rsidR="00B05F89" w:rsidRPr="000D79C4">
        <w:rPr>
          <w:rFonts w:ascii="Arial" w:hAnsi="Arial" w:cs="Arial"/>
          <w:sz w:val="20"/>
          <w:szCs w:val="20"/>
        </w:rPr>
        <w:t xml:space="preserve"> Sunder et al., 2019;</w:t>
      </w:r>
      <w:r w:rsidR="00401861" w:rsidRPr="000D79C4">
        <w:rPr>
          <w:rFonts w:ascii="Arial" w:eastAsia="Times New Roman" w:hAnsi="Arial" w:cs="Arial"/>
          <w:sz w:val="20"/>
          <w:szCs w:val="20"/>
        </w:rPr>
        <w:t xml:space="preserve"> </w:t>
      </w:r>
      <w:proofErr w:type="spellStart"/>
      <w:r w:rsidR="00401861" w:rsidRPr="000D79C4">
        <w:rPr>
          <w:rFonts w:ascii="Arial" w:hAnsi="Arial" w:cs="Arial"/>
          <w:sz w:val="20"/>
          <w:szCs w:val="20"/>
        </w:rPr>
        <w:t>Patowary</w:t>
      </w:r>
      <w:proofErr w:type="spellEnd"/>
      <w:r w:rsidR="00401861" w:rsidRPr="000D79C4">
        <w:rPr>
          <w:rFonts w:ascii="Arial" w:hAnsi="Arial" w:cs="Arial"/>
          <w:sz w:val="20"/>
          <w:szCs w:val="20"/>
        </w:rPr>
        <w:t xml:space="preserve"> et al., 2025</w:t>
      </w:r>
      <w:r w:rsidRPr="000D79C4">
        <w:rPr>
          <w:rFonts w:ascii="Arial" w:hAnsi="Arial" w:cs="Arial"/>
          <w:sz w:val="20"/>
          <w:szCs w:val="20"/>
        </w:rPr>
        <w:t>).</w:t>
      </w:r>
    </w:p>
    <w:p w14:paraId="626D260E" w14:textId="77777777"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
          <w:bCs/>
          <w:sz w:val="20"/>
          <w:szCs w:val="20"/>
        </w:rPr>
        <w:t>Table -1: Sex and age-wise prevalence of contagious ecthyma in goat</w:t>
      </w:r>
    </w:p>
    <w:tbl>
      <w:tblPr>
        <w:tblStyle w:val="TableGrid"/>
        <w:tblW w:w="0" w:type="auto"/>
        <w:jc w:val="center"/>
        <w:tblLook w:val="04A0" w:firstRow="1" w:lastRow="0" w:firstColumn="1" w:lastColumn="0" w:noHBand="0" w:noVBand="1"/>
      </w:tblPr>
      <w:tblGrid>
        <w:gridCol w:w="1195"/>
        <w:gridCol w:w="1262"/>
        <w:gridCol w:w="1453"/>
        <w:gridCol w:w="1195"/>
        <w:gridCol w:w="1477"/>
        <w:gridCol w:w="1134"/>
        <w:gridCol w:w="1559"/>
      </w:tblGrid>
      <w:tr w:rsidR="007E4D12" w:rsidRPr="000D79C4" w14:paraId="558ADA02" w14:textId="77777777" w:rsidTr="00481CF1">
        <w:trPr>
          <w:jc w:val="center"/>
        </w:trPr>
        <w:tc>
          <w:tcPr>
            <w:tcW w:w="0" w:type="auto"/>
            <w:vAlign w:val="center"/>
            <w:hideMark/>
          </w:tcPr>
          <w:p w14:paraId="1059D250"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0" w:type="auto"/>
            <w:vAlign w:val="center"/>
            <w:hideMark/>
          </w:tcPr>
          <w:p w14:paraId="60E5F7C4"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Category</w:t>
            </w:r>
          </w:p>
        </w:tc>
        <w:tc>
          <w:tcPr>
            <w:tcW w:w="1453" w:type="dxa"/>
            <w:vAlign w:val="center"/>
            <w:hideMark/>
          </w:tcPr>
          <w:p w14:paraId="715EF696"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No. of Positive Cases</w:t>
            </w:r>
          </w:p>
        </w:tc>
        <w:tc>
          <w:tcPr>
            <w:tcW w:w="1195" w:type="dxa"/>
            <w:vAlign w:val="center"/>
          </w:tcPr>
          <w:p w14:paraId="6326D745"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Total positive cases</w:t>
            </w:r>
          </w:p>
        </w:tc>
        <w:tc>
          <w:tcPr>
            <w:tcW w:w="1477" w:type="dxa"/>
            <w:vAlign w:val="center"/>
            <w:hideMark/>
          </w:tcPr>
          <w:p w14:paraId="641D58CB"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Prevalence (%)</w:t>
            </w:r>
          </w:p>
        </w:tc>
        <w:tc>
          <w:tcPr>
            <w:tcW w:w="1134" w:type="dxa"/>
            <w:vAlign w:val="center"/>
            <w:hideMark/>
          </w:tcPr>
          <w:p w14:paraId="54E43EB5"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χ² Value</w:t>
            </w:r>
          </w:p>
        </w:tc>
        <w:tc>
          <w:tcPr>
            <w:tcW w:w="1559" w:type="dxa"/>
            <w:vAlign w:val="center"/>
            <w:hideMark/>
          </w:tcPr>
          <w:p w14:paraId="53469339" w14:textId="77777777"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7E4D12" w:rsidRPr="000D79C4" w14:paraId="3920D335" w14:textId="77777777" w:rsidTr="00481CF1">
        <w:trPr>
          <w:jc w:val="center"/>
        </w:trPr>
        <w:tc>
          <w:tcPr>
            <w:tcW w:w="0" w:type="auto"/>
            <w:vMerge w:val="restart"/>
            <w:vAlign w:val="center"/>
            <w:hideMark/>
          </w:tcPr>
          <w:p w14:paraId="4ADA5292"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Age-wise</w:t>
            </w:r>
          </w:p>
        </w:tc>
        <w:tc>
          <w:tcPr>
            <w:tcW w:w="0" w:type="auto"/>
            <w:vAlign w:val="center"/>
            <w:hideMark/>
          </w:tcPr>
          <w:p w14:paraId="349E8EB2"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0–3 months</w:t>
            </w:r>
          </w:p>
        </w:tc>
        <w:tc>
          <w:tcPr>
            <w:tcW w:w="1453" w:type="dxa"/>
            <w:vAlign w:val="center"/>
            <w:hideMark/>
          </w:tcPr>
          <w:p w14:paraId="41D50C78"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26</w:t>
            </w:r>
          </w:p>
        </w:tc>
        <w:tc>
          <w:tcPr>
            <w:tcW w:w="1195" w:type="dxa"/>
            <w:vMerge w:val="restart"/>
            <w:vAlign w:val="center"/>
          </w:tcPr>
          <w:p w14:paraId="254C2E36" w14:textId="77777777" w:rsidR="007E4D12" w:rsidRPr="000D79C4" w:rsidRDefault="007E4D12" w:rsidP="007E4D12">
            <w:pPr>
              <w:jc w:val="center"/>
              <w:rPr>
                <w:rFonts w:ascii="Arial" w:eastAsia="Times New Roman" w:hAnsi="Arial" w:cs="Arial"/>
                <w:bCs/>
                <w:sz w:val="20"/>
                <w:szCs w:val="20"/>
              </w:rPr>
            </w:pPr>
          </w:p>
          <w:p w14:paraId="7695A68E" w14:textId="77777777" w:rsidR="007E4D12" w:rsidRPr="000D79C4" w:rsidRDefault="007E4D12" w:rsidP="007E4D12">
            <w:pPr>
              <w:jc w:val="center"/>
              <w:rPr>
                <w:rFonts w:ascii="Arial" w:eastAsia="Times New Roman" w:hAnsi="Arial" w:cs="Arial"/>
                <w:bCs/>
                <w:sz w:val="20"/>
                <w:szCs w:val="20"/>
              </w:rPr>
            </w:pPr>
          </w:p>
          <w:p w14:paraId="662386BA" w14:textId="77777777" w:rsidR="007E4D12" w:rsidRPr="000D79C4" w:rsidRDefault="007E4D12" w:rsidP="007E4D12">
            <w:pPr>
              <w:jc w:val="center"/>
              <w:rPr>
                <w:rFonts w:ascii="Arial" w:eastAsia="Times New Roman" w:hAnsi="Arial" w:cs="Arial"/>
                <w:bCs/>
                <w:sz w:val="20"/>
                <w:szCs w:val="20"/>
              </w:rPr>
            </w:pPr>
          </w:p>
          <w:p w14:paraId="7BF47232"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14:paraId="6BCDE631"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92.85</w:t>
            </w:r>
          </w:p>
        </w:tc>
        <w:tc>
          <w:tcPr>
            <w:tcW w:w="1134" w:type="dxa"/>
            <w:vMerge w:val="restart"/>
            <w:vAlign w:val="center"/>
            <w:hideMark/>
          </w:tcPr>
          <w:p w14:paraId="5504D3B8" w14:textId="77777777" w:rsidR="007E4D12" w:rsidRPr="000D79C4" w:rsidRDefault="007E4D12" w:rsidP="007E4D12">
            <w:pPr>
              <w:jc w:val="center"/>
              <w:rPr>
                <w:rFonts w:ascii="Arial" w:eastAsia="Times New Roman" w:hAnsi="Arial" w:cs="Arial"/>
                <w:bCs/>
                <w:sz w:val="20"/>
                <w:szCs w:val="20"/>
                <w:vertAlign w:val="superscript"/>
              </w:rPr>
            </w:pPr>
            <w:r w:rsidRPr="000D79C4">
              <w:rPr>
                <w:rFonts w:ascii="Arial" w:eastAsia="Times New Roman" w:hAnsi="Arial" w:cs="Arial"/>
                <w:bCs/>
                <w:sz w:val="20"/>
                <w:szCs w:val="20"/>
              </w:rPr>
              <w:t>44.86</w:t>
            </w:r>
            <w:r w:rsidRPr="000D79C4">
              <w:rPr>
                <w:rFonts w:ascii="Arial" w:eastAsia="Times New Roman" w:hAnsi="Arial" w:cs="Arial"/>
                <w:bCs/>
                <w:sz w:val="20"/>
                <w:szCs w:val="20"/>
                <w:vertAlign w:val="superscript"/>
              </w:rPr>
              <w:t>a</w:t>
            </w:r>
          </w:p>
        </w:tc>
        <w:tc>
          <w:tcPr>
            <w:tcW w:w="1559" w:type="dxa"/>
            <w:vMerge w:val="restart"/>
            <w:vAlign w:val="center"/>
            <w:hideMark/>
          </w:tcPr>
          <w:p w14:paraId="353B25AB"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p &lt; 0.001</w:t>
            </w:r>
          </w:p>
        </w:tc>
      </w:tr>
      <w:tr w:rsidR="007E4D12" w:rsidRPr="000D79C4" w14:paraId="707B8B39" w14:textId="77777777" w:rsidTr="00481CF1">
        <w:trPr>
          <w:jc w:val="center"/>
        </w:trPr>
        <w:tc>
          <w:tcPr>
            <w:tcW w:w="0" w:type="auto"/>
            <w:vMerge/>
            <w:vAlign w:val="center"/>
            <w:hideMark/>
          </w:tcPr>
          <w:p w14:paraId="3B537A09" w14:textId="77777777" w:rsidR="007E4D12" w:rsidRPr="000D79C4" w:rsidRDefault="007E4D12" w:rsidP="007E4D12">
            <w:pPr>
              <w:jc w:val="center"/>
              <w:rPr>
                <w:rFonts w:ascii="Arial" w:eastAsia="Times New Roman" w:hAnsi="Arial" w:cs="Arial"/>
                <w:bCs/>
                <w:sz w:val="20"/>
                <w:szCs w:val="20"/>
              </w:rPr>
            </w:pPr>
          </w:p>
        </w:tc>
        <w:tc>
          <w:tcPr>
            <w:tcW w:w="0" w:type="auto"/>
            <w:vAlign w:val="center"/>
            <w:hideMark/>
          </w:tcPr>
          <w:p w14:paraId="0C7D86AF"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3–6 months</w:t>
            </w:r>
          </w:p>
        </w:tc>
        <w:tc>
          <w:tcPr>
            <w:tcW w:w="1453" w:type="dxa"/>
            <w:vAlign w:val="center"/>
            <w:hideMark/>
          </w:tcPr>
          <w:p w14:paraId="46A4B221"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w:t>
            </w:r>
          </w:p>
        </w:tc>
        <w:tc>
          <w:tcPr>
            <w:tcW w:w="1195" w:type="dxa"/>
            <w:vMerge/>
            <w:vAlign w:val="center"/>
          </w:tcPr>
          <w:p w14:paraId="37526B90" w14:textId="77777777" w:rsidR="007E4D12" w:rsidRPr="000D79C4" w:rsidRDefault="007E4D12" w:rsidP="007E4D12">
            <w:pPr>
              <w:jc w:val="center"/>
              <w:rPr>
                <w:rFonts w:ascii="Arial" w:eastAsia="Times New Roman" w:hAnsi="Arial" w:cs="Arial"/>
                <w:bCs/>
                <w:sz w:val="20"/>
                <w:szCs w:val="20"/>
              </w:rPr>
            </w:pPr>
          </w:p>
        </w:tc>
        <w:tc>
          <w:tcPr>
            <w:tcW w:w="1477" w:type="dxa"/>
            <w:vAlign w:val="center"/>
            <w:hideMark/>
          </w:tcPr>
          <w:p w14:paraId="6FF54967"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7.14</w:t>
            </w:r>
          </w:p>
        </w:tc>
        <w:tc>
          <w:tcPr>
            <w:tcW w:w="1134" w:type="dxa"/>
            <w:vMerge/>
            <w:vAlign w:val="center"/>
            <w:hideMark/>
          </w:tcPr>
          <w:p w14:paraId="300DE94F" w14:textId="77777777"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14:paraId="20BC3CF7" w14:textId="77777777" w:rsidR="007E4D12" w:rsidRPr="000D79C4" w:rsidRDefault="007E4D12" w:rsidP="007E4D12">
            <w:pPr>
              <w:jc w:val="center"/>
              <w:rPr>
                <w:rFonts w:ascii="Arial" w:eastAsia="Times New Roman" w:hAnsi="Arial" w:cs="Arial"/>
                <w:bCs/>
                <w:sz w:val="20"/>
                <w:szCs w:val="20"/>
              </w:rPr>
            </w:pPr>
          </w:p>
        </w:tc>
      </w:tr>
      <w:tr w:rsidR="007E4D12" w:rsidRPr="000D79C4" w14:paraId="14C2CD48" w14:textId="77777777" w:rsidTr="00481CF1">
        <w:trPr>
          <w:jc w:val="center"/>
        </w:trPr>
        <w:tc>
          <w:tcPr>
            <w:tcW w:w="0" w:type="auto"/>
            <w:vMerge/>
            <w:vAlign w:val="center"/>
            <w:hideMark/>
          </w:tcPr>
          <w:p w14:paraId="4E98EC16" w14:textId="77777777" w:rsidR="007E4D12" w:rsidRPr="000D79C4" w:rsidRDefault="007E4D12" w:rsidP="007E4D12">
            <w:pPr>
              <w:jc w:val="center"/>
              <w:rPr>
                <w:rFonts w:ascii="Arial" w:eastAsia="Times New Roman" w:hAnsi="Arial" w:cs="Arial"/>
                <w:bCs/>
                <w:sz w:val="20"/>
                <w:szCs w:val="20"/>
              </w:rPr>
            </w:pPr>
          </w:p>
        </w:tc>
        <w:tc>
          <w:tcPr>
            <w:tcW w:w="0" w:type="auto"/>
            <w:vAlign w:val="center"/>
            <w:hideMark/>
          </w:tcPr>
          <w:p w14:paraId="5BA5F4DD"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&gt;6 months</w:t>
            </w:r>
          </w:p>
        </w:tc>
        <w:tc>
          <w:tcPr>
            <w:tcW w:w="1453" w:type="dxa"/>
            <w:vAlign w:val="center"/>
            <w:hideMark/>
          </w:tcPr>
          <w:p w14:paraId="08AF9935"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w:t>
            </w:r>
          </w:p>
        </w:tc>
        <w:tc>
          <w:tcPr>
            <w:tcW w:w="1195" w:type="dxa"/>
            <w:vMerge/>
            <w:vAlign w:val="center"/>
          </w:tcPr>
          <w:p w14:paraId="53952E57" w14:textId="77777777" w:rsidR="007E4D12" w:rsidRPr="000D79C4" w:rsidRDefault="007E4D12" w:rsidP="007E4D12">
            <w:pPr>
              <w:jc w:val="center"/>
              <w:rPr>
                <w:rFonts w:ascii="Arial" w:eastAsia="Times New Roman" w:hAnsi="Arial" w:cs="Arial"/>
                <w:bCs/>
                <w:sz w:val="20"/>
                <w:szCs w:val="20"/>
              </w:rPr>
            </w:pPr>
          </w:p>
        </w:tc>
        <w:tc>
          <w:tcPr>
            <w:tcW w:w="1477" w:type="dxa"/>
            <w:vAlign w:val="center"/>
            <w:hideMark/>
          </w:tcPr>
          <w:p w14:paraId="1D1FA044"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0.00</w:t>
            </w:r>
          </w:p>
        </w:tc>
        <w:tc>
          <w:tcPr>
            <w:tcW w:w="1134" w:type="dxa"/>
            <w:vMerge/>
            <w:vAlign w:val="center"/>
            <w:hideMark/>
          </w:tcPr>
          <w:p w14:paraId="61541051" w14:textId="77777777"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14:paraId="7102D56E" w14:textId="77777777" w:rsidR="007E4D12" w:rsidRPr="000D79C4" w:rsidRDefault="007E4D12" w:rsidP="007E4D12">
            <w:pPr>
              <w:jc w:val="center"/>
              <w:rPr>
                <w:rFonts w:ascii="Arial" w:eastAsia="Times New Roman" w:hAnsi="Arial" w:cs="Arial"/>
                <w:bCs/>
                <w:sz w:val="20"/>
                <w:szCs w:val="20"/>
              </w:rPr>
            </w:pPr>
          </w:p>
        </w:tc>
      </w:tr>
      <w:tr w:rsidR="007E4D12" w:rsidRPr="000D79C4" w14:paraId="1EBDF0D9" w14:textId="77777777" w:rsidTr="00481CF1">
        <w:trPr>
          <w:jc w:val="center"/>
        </w:trPr>
        <w:tc>
          <w:tcPr>
            <w:tcW w:w="0" w:type="auto"/>
            <w:vMerge w:val="restart"/>
            <w:vAlign w:val="center"/>
            <w:hideMark/>
          </w:tcPr>
          <w:p w14:paraId="104A016D"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Sex-wise</w:t>
            </w:r>
          </w:p>
        </w:tc>
        <w:tc>
          <w:tcPr>
            <w:tcW w:w="0" w:type="auto"/>
            <w:vAlign w:val="center"/>
            <w:hideMark/>
          </w:tcPr>
          <w:p w14:paraId="022563E8"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Male</w:t>
            </w:r>
          </w:p>
        </w:tc>
        <w:tc>
          <w:tcPr>
            <w:tcW w:w="1453" w:type="dxa"/>
            <w:vAlign w:val="center"/>
            <w:hideMark/>
          </w:tcPr>
          <w:p w14:paraId="6F765C52"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10</w:t>
            </w:r>
          </w:p>
        </w:tc>
        <w:tc>
          <w:tcPr>
            <w:tcW w:w="1195" w:type="dxa"/>
            <w:vMerge w:val="restart"/>
            <w:vAlign w:val="center"/>
          </w:tcPr>
          <w:p w14:paraId="2AC0B9F7" w14:textId="77777777" w:rsidR="007E4D12" w:rsidRPr="000D79C4" w:rsidRDefault="007E4D12" w:rsidP="007E4D12">
            <w:pPr>
              <w:jc w:val="center"/>
              <w:rPr>
                <w:rFonts w:ascii="Arial" w:eastAsia="Times New Roman" w:hAnsi="Arial" w:cs="Arial"/>
                <w:bCs/>
                <w:sz w:val="20"/>
                <w:szCs w:val="20"/>
              </w:rPr>
            </w:pPr>
          </w:p>
          <w:p w14:paraId="3EAB132B"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14:paraId="440B3BAD"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35.71</w:t>
            </w:r>
          </w:p>
        </w:tc>
        <w:tc>
          <w:tcPr>
            <w:tcW w:w="1134" w:type="dxa"/>
            <w:vMerge w:val="restart"/>
            <w:vAlign w:val="center"/>
            <w:hideMark/>
          </w:tcPr>
          <w:p w14:paraId="7DFD3AA1"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2.29</w:t>
            </w:r>
          </w:p>
        </w:tc>
        <w:tc>
          <w:tcPr>
            <w:tcW w:w="1559" w:type="dxa"/>
            <w:vMerge w:val="restart"/>
            <w:vAlign w:val="center"/>
            <w:hideMark/>
          </w:tcPr>
          <w:p w14:paraId="76BF2A12"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NS</w:t>
            </w:r>
          </w:p>
        </w:tc>
      </w:tr>
      <w:tr w:rsidR="007E4D12" w:rsidRPr="000D79C4" w14:paraId="0B0D852B" w14:textId="77777777" w:rsidTr="00481CF1">
        <w:trPr>
          <w:jc w:val="center"/>
        </w:trPr>
        <w:tc>
          <w:tcPr>
            <w:tcW w:w="0" w:type="auto"/>
            <w:vMerge/>
            <w:vAlign w:val="center"/>
            <w:hideMark/>
          </w:tcPr>
          <w:p w14:paraId="77CD757E" w14:textId="77777777" w:rsidR="007E4D12" w:rsidRPr="000D79C4" w:rsidRDefault="007E4D12" w:rsidP="007E4D12">
            <w:pPr>
              <w:jc w:val="center"/>
              <w:rPr>
                <w:rFonts w:ascii="Arial" w:eastAsia="Times New Roman" w:hAnsi="Arial" w:cs="Arial"/>
                <w:bCs/>
                <w:sz w:val="20"/>
                <w:szCs w:val="20"/>
              </w:rPr>
            </w:pPr>
          </w:p>
        </w:tc>
        <w:tc>
          <w:tcPr>
            <w:tcW w:w="0" w:type="auto"/>
            <w:vAlign w:val="center"/>
            <w:hideMark/>
          </w:tcPr>
          <w:p w14:paraId="2021599D"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Female</w:t>
            </w:r>
          </w:p>
        </w:tc>
        <w:tc>
          <w:tcPr>
            <w:tcW w:w="1453" w:type="dxa"/>
            <w:vAlign w:val="center"/>
            <w:hideMark/>
          </w:tcPr>
          <w:p w14:paraId="3A7792CF"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18</w:t>
            </w:r>
          </w:p>
        </w:tc>
        <w:tc>
          <w:tcPr>
            <w:tcW w:w="1195" w:type="dxa"/>
            <w:vMerge/>
            <w:vAlign w:val="center"/>
          </w:tcPr>
          <w:p w14:paraId="1847E093" w14:textId="77777777" w:rsidR="007E4D12" w:rsidRPr="000D79C4" w:rsidRDefault="007E4D12" w:rsidP="007E4D12">
            <w:pPr>
              <w:jc w:val="center"/>
              <w:rPr>
                <w:rFonts w:ascii="Arial" w:eastAsia="Times New Roman" w:hAnsi="Arial" w:cs="Arial"/>
                <w:bCs/>
                <w:sz w:val="20"/>
                <w:szCs w:val="20"/>
              </w:rPr>
            </w:pPr>
          </w:p>
        </w:tc>
        <w:tc>
          <w:tcPr>
            <w:tcW w:w="1477" w:type="dxa"/>
            <w:vAlign w:val="center"/>
            <w:hideMark/>
          </w:tcPr>
          <w:p w14:paraId="187F24EC" w14:textId="77777777"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64.28</w:t>
            </w:r>
          </w:p>
        </w:tc>
        <w:tc>
          <w:tcPr>
            <w:tcW w:w="1134" w:type="dxa"/>
            <w:vMerge/>
            <w:vAlign w:val="center"/>
            <w:hideMark/>
          </w:tcPr>
          <w:p w14:paraId="60B82A14" w14:textId="77777777"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14:paraId="143331E3" w14:textId="77777777" w:rsidR="007E4D12" w:rsidRPr="000D79C4" w:rsidRDefault="007E4D12" w:rsidP="007E4D12">
            <w:pPr>
              <w:jc w:val="center"/>
              <w:rPr>
                <w:rFonts w:ascii="Arial" w:eastAsia="Times New Roman" w:hAnsi="Arial" w:cs="Arial"/>
                <w:bCs/>
                <w:sz w:val="20"/>
                <w:szCs w:val="20"/>
              </w:rPr>
            </w:pPr>
          </w:p>
        </w:tc>
      </w:tr>
    </w:tbl>
    <w:p w14:paraId="20BA82D6" w14:textId="77777777"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Cs/>
          <w:sz w:val="20"/>
          <w:szCs w:val="20"/>
        </w:rPr>
        <w:t xml:space="preserve">ᵃ </w:t>
      </w:r>
      <w:proofErr w:type="gramStart"/>
      <w:r w:rsidR="00BA5B66" w:rsidRPr="000D79C4">
        <w:rPr>
          <w:rFonts w:ascii="Arial" w:eastAsia="Times New Roman" w:hAnsi="Arial" w:cs="Arial"/>
          <w:bCs/>
          <w:sz w:val="20"/>
          <w:szCs w:val="20"/>
        </w:rPr>
        <w:t>highly</w:t>
      </w:r>
      <w:proofErr w:type="gramEnd"/>
      <w:r w:rsidRPr="000D79C4">
        <w:rPr>
          <w:rFonts w:ascii="Arial" w:eastAsia="Times New Roman" w:hAnsi="Arial" w:cs="Arial"/>
          <w:bCs/>
          <w:sz w:val="20"/>
          <w:szCs w:val="20"/>
        </w:rPr>
        <w:t xml:space="preserve"> significant (p &lt; 0.001), NS = Non significant (p &gt; 0.05), Chi-square goodness-of-fit test applied</w:t>
      </w:r>
    </w:p>
    <w:p w14:paraId="2E3A18C5" w14:textId="77777777"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3.2. </w:t>
      </w:r>
      <w:r w:rsidR="0087217E" w:rsidRPr="000D79C4">
        <w:rPr>
          <w:rFonts w:ascii="Arial" w:eastAsia="Times New Roman" w:hAnsi="Arial" w:cs="Arial"/>
          <w:b/>
          <w:bCs/>
          <w:sz w:val="20"/>
          <w:szCs w:val="20"/>
        </w:rPr>
        <w:t xml:space="preserve">Clinical Observations: </w:t>
      </w:r>
      <w:r w:rsidR="006F4FEF" w:rsidRPr="000D79C4">
        <w:rPr>
          <w:rFonts w:ascii="Arial" w:eastAsia="Times New Roman" w:hAnsi="Arial" w:cs="Arial"/>
          <w:sz w:val="20"/>
          <w:szCs w:val="20"/>
        </w:rPr>
        <w:t>All the infected goats had an inc</w:t>
      </w:r>
      <w:r w:rsidR="001005BA" w:rsidRPr="000D79C4">
        <w:rPr>
          <w:rFonts w:ascii="Arial" w:eastAsia="Times New Roman" w:hAnsi="Arial" w:cs="Arial"/>
          <w:sz w:val="20"/>
          <w:szCs w:val="20"/>
        </w:rPr>
        <w:t>reased rectal temperature of 104.5 °F or more</w:t>
      </w:r>
      <w:r w:rsidR="006F4FEF" w:rsidRPr="000D79C4">
        <w:rPr>
          <w:rFonts w:ascii="Arial" w:eastAsia="Times New Roman" w:hAnsi="Arial" w:cs="Arial"/>
          <w:sz w:val="20"/>
          <w:szCs w:val="20"/>
        </w:rPr>
        <w:t>, anorexia, and depression. The goats also had the characteristic proliferative lesions accompanied by crust formation at the oral commissures, lips, and muzzles. The lesions sometimes extended to the eyelids, limbs, and thighs (</w:t>
      </w:r>
      <w:commentRangeStart w:id="5"/>
      <w:r w:rsidR="006F4FEF" w:rsidRPr="000D79C4">
        <w:rPr>
          <w:rFonts w:ascii="Arial" w:eastAsia="Times New Roman" w:hAnsi="Arial" w:cs="Arial"/>
          <w:sz w:val="20"/>
          <w:szCs w:val="20"/>
        </w:rPr>
        <w:t>Fig</w:t>
      </w:r>
      <w:commentRangeEnd w:id="5"/>
      <w:r w:rsidR="00677296">
        <w:rPr>
          <w:rStyle w:val="CommentReference"/>
        </w:rPr>
        <w:commentReference w:id="5"/>
      </w:r>
      <w:r w:rsidR="006F4FEF" w:rsidRPr="000D79C4">
        <w:rPr>
          <w:rFonts w:ascii="Arial" w:eastAsia="Times New Roman" w:hAnsi="Arial" w:cs="Arial"/>
          <w:sz w:val="20"/>
          <w:szCs w:val="20"/>
        </w:rPr>
        <w:t>. 1, 2). The advanced lesions had thick brown crusts over the granulating tissue, which bled when the crusts were removed. The kids did not want to suckle, leading to dehydration</w:t>
      </w:r>
      <w:r w:rsidR="009E0EDC" w:rsidRPr="000D79C4">
        <w:rPr>
          <w:rFonts w:ascii="Arial" w:eastAsia="Times New Roman" w:hAnsi="Arial" w:cs="Arial"/>
          <w:sz w:val="20"/>
          <w:szCs w:val="20"/>
        </w:rPr>
        <w:t xml:space="preserve"> and weight </w:t>
      </w:r>
      <w:r w:rsidR="0009344E" w:rsidRPr="000D79C4">
        <w:rPr>
          <w:rFonts w:ascii="Arial" w:eastAsia="Times New Roman" w:hAnsi="Arial" w:cs="Arial"/>
          <w:sz w:val="20"/>
          <w:szCs w:val="20"/>
        </w:rPr>
        <w:t>loss (Constable et al. 2017; Somnath et al., 2025</w:t>
      </w:r>
      <w:r w:rsidR="006F4FEF" w:rsidRPr="000D79C4">
        <w:rPr>
          <w:rFonts w:ascii="Arial" w:eastAsia="Times New Roman"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967"/>
      </w:tblGrid>
      <w:tr w:rsidR="00BA5B66" w:rsidRPr="000D79C4" w14:paraId="6C81CCD6" w14:textId="77777777" w:rsidTr="00481CF1">
        <w:trPr>
          <w:jc w:val="center"/>
        </w:trPr>
        <w:tc>
          <w:tcPr>
            <w:tcW w:w="4788" w:type="dxa"/>
            <w:vAlign w:val="center"/>
          </w:tcPr>
          <w:p w14:paraId="05D50CEB" w14:textId="77777777"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drawing>
                <wp:inline distT="0" distB="0" distL="0" distR="0" wp14:anchorId="330B18AE" wp14:editId="4BBE9A8F">
                  <wp:extent cx="2600606" cy="2501799"/>
                  <wp:effectExtent l="19050" t="0" r="9244" b="0"/>
                  <wp:docPr id="8" name="Picture 1" descr="C:\Users\Lenovo\Desktop\System\Lesion AHG\IMG-2025060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System\Lesion AHG\IMG-20250604-WA0008.jpg"/>
                          <pic:cNvPicPr>
                            <a:picLocks noChangeAspect="1" noChangeArrowheads="1"/>
                          </pic:cNvPicPr>
                        </pic:nvPicPr>
                        <pic:blipFill>
                          <a:blip r:embed="rId9" cstate="print"/>
                          <a:srcRect/>
                          <a:stretch>
                            <a:fillRect/>
                          </a:stretch>
                        </pic:blipFill>
                        <pic:spPr bwMode="auto">
                          <a:xfrm>
                            <a:off x="0" y="0"/>
                            <a:ext cx="2600606" cy="2501799"/>
                          </a:xfrm>
                          <a:prstGeom prst="rect">
                            <a:avLst/>
                          </a:prstGeom>
                          <a:noFill/>
                          <a:ln w="9525">
                            <a:noFill/>
                            <a:miter lim="800000"/>
                            <a:headEnd/>
                            <a:tailEnd/>
                          </a:ln>
                        </pic:spPr>
                      </pic:pic>
                    </a:graphicData>
                  </a:graphic>
                </wp:inline>
              </w:drawing>
            </w:r>
          </w:p>
        </w:tc>
        <w:tc>
          <w:tcPr>
            <w:tcW w:w="3967" w:type="dxa"/>
            <w:vAlign w:val="center"/>
          </w:tcPr>
          <w:p w14:paraId="595D548F" w14:textId="77777777"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drawing>
                <wp:inline distT="0" distB="0" distL="0" distR="0" wp14:anchorId="6A3C477F" wp14:editId="258FD464">
                  <wp:extent cx="2129588" cy="2450592"/>
                  <wp:effectExtent l="19050" t="0" r="4012" b="0"/>
                  <wp:docPr id="9" name="Picture 2" descr="C:\Users\Lenovo\Downloads\IMG_20260307_13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_20260307_133738.jpg"/>
                          <pic:cNvPicPr>
                            <a:picLocks noChangeAspect="1" noChangeArrowheads="1"/>
                          </pic:cNvPicPr>
                        </pic:nvPicPr>
                        <pic:blipFill>
                          <a:blip r:embed="rId10" cstate="print"/>
                          <a:srcRect/>
                          <a:stretch>
                            <a:fillRect/>
                          </a:stretch>
                        </pic:blipFill>
                        <pic:spPr bwMode="auto">
                          <a:xfrm>
                            <a:off x="0" y="0"/>
                            <a:ext cx="2134899" cy="2456704"/>
                          </a:xfrm>
                          <a:prstGeom prst="rect">
                            <a:avLst/>
                          </a:prstGeom>
                          <a:noFill/>
                          <a:ln w="9525">
                            <a:noFill/>
                            <a:miter lim="800000"/>
                            <a:headEnd/>
                            <a:tailEnd/>
                          </a:ln>
                        </pic:spPr>
                      </pic:pic>
                    </a:graphicData>
                  </a:graphic>
                </wp:inline>
              </w:drawing>
            </w:r>
          </w:p>
        </w:tc>
      </w:tr>
      <w:tr w:rsidR="00BA5B66" w:rsidRPr="000D79C4" w14:paraId="79966962" w14:textId="77777777" w:rsidTr="00481CF1">
        <w:trPr>
          <w:trHeight w:val="983"/>
          <w:jc w:val="center"/>
        </w:trPr>
        <w:tc>
          <w:tcPr>
            <w:tcW w:w="4788" w:type="dxa"/>
          </w:tcPr>
          <w:p w14:paraId="4A9C143E"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bCs/>
                <w:sz w:val="20"/>
                <w:szCs w:val="20"/>
              </w:rPr>
              <w:lastRenderedPageBreak/>
              <w:t>Fig.1: Thick scabby lesions around muzzle, nostrils &amp; in tip of the ears in Assam hill goat kid</w:t>
            </w:r>
          </w:p>
        </w:tc>
        <w:tc>
          <w:tcPr>
            <w:tcW w:w="3967" w:type="dxa"/>
          </w:tcPr>
          <w:p w14:paraId="60C17AF1"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bCs/>
                <w:sz w:val="20"/>
                <w:szCs w:val="20"/>
              </w:rPr>
              <w:t>Fig.2: Thick scary lesions around muzzle, lower eyelid&amp; in foot in Assam hill goat kid</w:t>
            </w:r>
          </w:p>
        </w:tc>
      </w:tr>
    </w:tbl>
    <w:p w14:paraId="1A55BBC8" w14:textId="77777777"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3.3. </w:t>
      </w:r>
      <w:commentRangeStart w:id="6"/>
      <w:r w:rsidR="0087217E" w:rsidRPr="000D79C4">
        <w:rPr>
          <w:rFonts w:ascii="Arial" w:eastAsia="Times New Roman" w:hAnsi="Arial" w:cs="Arial"/>
          <w:b/>
          <w:bCs/>
          <w:sz w:val="20"/>
          <w:szCs w:val="20"/>
        </w:rPr>
        <w:t xml:space="preserve">Hematological Alterations: </w:t>
      </w:r>
      <w:commentRangeEnd w:id="6"/>
      <w:r w:rsidR="00C770F1">
        <w:rPr>
          <w:rStyle w:val="CommentReference"/>
        </w:rPr>
        <w:commentReference w:id="6"/>
      </w:r>
      <w:r w:rsidR="006F4FEF" w:rsidRPr="000D79C4">
        <w:rPr>
          <w:rFonts w:ascii="Arial" w:eastAsia="Times New Roman" w:hAnsi="Arial" w:cs="Arial"/>
          <w:sz w:val="20"/>
          <w:szCs w:val="20"/>
        </w:rPr>
        <w:t>The comparative hematological study (Table</w:t>
      </w:r>
      <w:r w:rsidR="006F4FEF" w:rsidRPr="00677296">
        <w:rPr>
          <w:rFonts w:ascii="Arial" w:eastAsia="Times New Roman" w:hAnsi="Arial" w:cs="Arial"/>
          <w:color w:val="FF0000"/>
          <w:sz w:val="20"/>
          <w:szCs w:val="20"/>
          <w:highlight w:val="yellow"/>
        </w:rPr>
        <w:t>:</w:t>
      </w:r>
      <w:r w:rsidR="006F4FEF" w:rsidRPr="000D79C4">
        <w:rPr>
          <w:rFonts w:ascii="Arial" w:eastAsia="Times New Roman" w:hAnsi="Arial" w:cs="Arial"/>
          <w:sz w:val="20"/>
          <w:szCs w:val="20"/>
        </w:rPr>
        <w:t xml:space="preserve"> 2) showed </w:t>
      </w:r>
      <w:r w:rsidR="00BF5612" w:rsidRPr="000D79C4">
        <w:rPr>
          <w:rFonts w:ascii="Arial" w:eastAsia="Times New Roman" w:hAnsi="Arial" w:cs="Arial"/>
          <w:sz w:val="20"/>
          <w:szCs w:val="20"/>
        </w:rPr>
        <w:t>an increase in TLC (</w:t>
      </w:r>
      <w:r w:rsidR="00BF5612" w:rsidRPr="000D79C4">
        <w:rPr>
          <w:rFonts w:ascii="Arial" w:hAnsi="Arial" w:cs="Arial"/>
          <w:sz w:val="20"/>
          <w:szCs w:val="20"/>
        </w:rPr>
        <w:t>20.15 ± 3.17</w:t>
      </w:r>
      <w:r w:rsidR="006F4FEF" w:rsidRPr="000D79C4">
        <w:rPr>
          <w:rFonts w:ascii="Arial" w:eastAsia="Times New Roman" w:hAnsi="Arial" w:cs="Arial"/>
          <w:sz w:val="20"/>
          <w:szCs w:val="20"/>
        </w:rPr>
        <w:t xml:space="preserve"> m/mm³), which is higher than the normal range (4-14 m/mm³), indicating leukocytosis, which is probably a secondary effect of the inflammatory response and bacterial infection. T</w:t>
      </w:r>
      <w:r w:rsidR="00BF5612" w:rsidRPr="000D79C4">
        <w:rPr>
          <w:rFonts w:ascii="Arial" w:eastAsia="Times New Roman" w:hAnsi="Arial" w:cs="Arial"/>
          <w:sz w:val="20"/>
          <w:szCs w:val="20"/>
        </w:rPr>
        <w:t>he hemoglobin level (</w:t>
      </w:r>
      <w:r w:rsidR="00BF5612" w:rsidRPr="000D79C4">
        <w:rPr>
          <w:rFonts w:ascii="Arial" w:hAnsi="Arial" w:cs="Arial"/>
          <w:sz w:val="20"/>
          <w:szCs w:val="20"/>
        </w:rPr>
        <w:t>7.42 ± 0.95</w:t>
      </w:r>
      <w:r w:rsidR="00BF5612" w:rsidRPr="000D79C4">
        <w:rPr>
          <w:rFonts w:ascii="Arial" w:eastAsia="Times New Roman" w:hAnsi="Arial" w:cs="Arial"/>
          <w:sz w:val="20"/>
          <w:szCs w:val="20"/>
        </w:rPr>
        <w:t xml:space="preserve"> g/dl) and PCV (</w:t>
      </w:r>
      <w:r w:rsidR="00BF5612" w:rsidRPr="000D79C4">
        <w:rPr>
          <w:rFonts w:ascii="Arial" w:hAnsi="Arial" w:cs="Arial"/>
          <w:sz w:val="20"/>
          <w:szCs w:val="20"/>
        </w:rPr>
        <w:t>20.53 ± 2.38</w:t>
      </w:r>
      <w:r w:rsidR="006F4FEF" w:rsidRPr="000D79C4">
        <w:rPr>
          <w:rFonts w:ascii="Arial" w:eastAsia="Times New Roman" w:hAnsi="Arial" w:cs="Arial"/>
          <w:sz w:val="20"/>
          <w:szCs w:val="20"/>
        </w:rPr>
        <w:t xml:space="preserve"> percent) were lower than the reference values, which indicated mild anemia, which could have been caused by reduced feed intake and systemic stress. The MCHC levels were slightly raised, and the MCV levels were decreased. These changes could have been caused by the combined effects of viral disease, inflammation, and nutritional changes during active infection (</w:t>
      </w:r>
      <w:r w:rsidR="0009344E" w:rsidRPr="000D79C4">
        <w:rPr>
          <w:rFonts w:ascii="Arial" w:eastAsia="Times New Roman" w:hAnsi="Arial" w:cs="Arial"/>
          <w:sz w:val="20"/>
          <w:szCs w:val="20"/>
        </w:rPr>
        <w:t>Ghani et al., 2019; Somnath et al., 2025</w:t>
      </w:r>
      <w:r w:rsidR="006F4FEF" w:rsidRPr="000D79C4">
        <w:rPr>
          <w:rFonts w:ascii="Arial" w:eastAsia="Times New Roman" w:hAnsi="Arial" w:cs="Arial"/>
          <w:sz w:val="20"/>
          <w:szCs w:val="20"/>
        </w:rPr>
        <w:t>).</w:t>
      </w:r>
    </w:p>
    <w:p w14:paraId="66119FC7" w14:textId="77777777" w:rsidR="00BA5B66" w:rsidRPr="000D79C4" w:rsidRDefault="00BA5B66" w:rsidP="00BA5B66">
      <w:pPr>
        <w:spacing w:before="100" w:beforeAutospacing="1" w:after="100" w:afterAutospacing="1" w:line="240" w:lineRule="auto"/>
        <w:jc w:val="both"/>
        <w:outlineLvl w:val="2"/>
        <w:rPr>
          <w:rFonts w:ascii="Arial" w:eastAsia="Times New Roman" w:hAnsi="Arial" w:cs="Arial"/>
          <w:b/>
          <w:sz w:val="20"/>
          <w:szCs w:val="20"/>
        </w:rPr>
      </w:pPr>
      <w:r w:rsidRPr="000D79C4">
        <w:rPr>
          <w:rFonts w:ascii="Arial" w:eastAsia="Times New Roman" w:hAnsi="Arial" w:cs="Arial"/>
          <w:b/>
          <w:sz w:val="20"/>
          <w:szCs w:val="20"/>
        </w:rPr>
        <w:t>Table 2: Hematological parameters in CE affected goats</w:t>
      </w:r>
    </w:p>
    <w:tbl>
      <w:tblPr>
        <w:tblStyle w:val="TableGrid"/>
        <w:tblW w:w="0" w:type="auto"/>
        <w:tblLook w:val="04A0" w:firstRow="1" w:lastRow="0" w:firstColumn="1" w:lastColumn="0" w:noHBand="0" w:noVBand="1"/>
      </w:tblPr>
      <w:tblGrid>
        <w:gridCol w:w="1795"/>
        <w:gridCol w:w="1979"/>
        <w:gridCol w:w="1984"/>
        <w:gridCol w:w="1559"/>
        <w:gridCol w:w="1560"/>
      </w:tblGrid>
      <w:tr w:rsidR="00BA5B66" w:rsidRPr="000D79C4" w14:paraId="71475824" w14:textId="77777777" w:rsidTr="00C944D6">
        <w:tc>
          <w:tcPr>
            <w:tcW w:w="0" w:type="auto"/>
            <w:hideMark/>
          </w:tcPr>
          <w:p w14:paraId="4D2B7101" w14:textId="77777777"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1979" w:type="dxa"/>
            <w:hideMark/>
          </w:tcPr>
          <w:p w14:paraId="169B19CB" w14:textId="77777777"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Infected Goats (Mean ± SD)</w:t>
            </w:r>
          </w:p>
        </w:tc>
        <w:tc>
          <w:tcPr>
            <w:tcW w:w="1984" w:type="dxa"/>
            <w:hideMark/>
          </w:tcPr>
          <w:p w14:paraId="57393FD6" w14:textId="77777777"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95% CI</w:t>
            </w:r>
          </w:p>
        </w:tc>
        <w:tc>
          <w:tcPr>
            <w:tcW w:w="1559" w:type="dxa"/>
            <w:hideMark/>
          </w:tcPr>
          <w:p w14:paraId="4A52CC55" w14:textId="77777777"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Reference Range</w:t>
            </w:r>
          </w:p>
        </w:tc>
        <w:tc>
          <w:tcPr>
            <w:tcW w:w="1560" w:type="dxa"/>
            <w:hideMark/>
          </w:tcPr>
          <w:p w14:paraId="6575BFAE" w14:textId="77777777"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BA5B66" w:rsidRPr="000D79C4" w14:paraId="7624FCB6" w14:textId="77777777" w:rsidTr="00C944D6">
        <w:tc>
          <w:tcPr>
            <w:tcW w:w="0" w:type="auto"/>
            <w:hideMark/>
          </w:tcPr>
          <w:p w14:paraId="590D466D"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TLC (m/mm³)</w:t>
            </w:r>
          </w:p>
        </w:tc>
        <w:tc>
          <w:tcPr>
            <w:tcW w:w="1979" w:type="dxa"/>
            <w:hideMark/>
          </w:tcPr>
          <w:p w14:paraId="6D53AC6B"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20.15 ± 3.17ᵃ</w:t>
            </w:r>
          </w:p>
        </w:tc>
        <w:tc>
          <w:tcPr>
            <w:tcW w:w="1984" w:type="dxa"/>
            <w:hideMark/>
          </w:tcPr>
          <w:p w14:paraId="3E0A897F"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15.04–25.26</w:t>
            </w:r>
          </w:p>
        </w:tc>
        <w:tc>
          <w:tcPr>
            <w:tcW w:w="1559" w:type="dxa"/>
            <w:hideMark/>
          </w:tcPr>
          <w:p w14:paraId="35499418"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4–13</w:t>
            </w:r>
          </w:p>
        </w:tc>
        <w:tc>
          <w:tcPr>
            <w:tcW w:w="1560" w:type="dxa"/>
            <w:hideMark/>
          </w:tcPr>
          <w:p w14:paraId="62C33715"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14:paraId="6DBA6277" w14:textId="77777777" w:rsidTr="00C944D6">
        <w:tc>
          <w:tcPr>
            <w:tcW w:w="0" w:type="auto"/>
            <w:hideMark/>
          </w:tcPr>
          <w:p w14:paraId="03FFDB64"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TEC (M/mm³)</w:t>
            </w:r>
          </w:p>
        </w:tc>
        <w:tc>
          <w:tcPr>
            <w:tcW w:w="1979" w:type="dxa"/>
            <w:hideMark/>
          </w:tcPr>
          <w:p w14:paraId="099035D1"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10.14 ± 6.83ᵇ</w:t>
            </w:r>
          </w:p>
        </w:tc>
        <w:tc>
          <w:tcPr>
            <w:tcW w:w="1984" w:type="dxa"/>
            <w:hideMark/>
          </w:tcPr>
          <w:p w14:paraId="7C6D4606"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7.49–12.79</w:t>
            </w:r>
          </w:p>
        </w:tc>
        <w:tc>
          <w:tcPr>
            <w:tcW w:w="1559" w:type="dxa"/>
            <w:hideMark/>
          </w:tcPr>
          <w:p w14:paraId="07244FBE"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8–18</w:t>
            </w:r>
          </w:p>
        </w:tc>
        <w:tc>
          <w:tcPr>
            <w:tcW w:w="1560" w:type="dxa"/>
            <w:hideMark/>
          </w:tcPr>
          <w:p w14:paraId="1713CD5F"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0.05</w:t>
            </w:r>
          </w:p>
        </w:tc>
      </w:tr>
      <w:tr w:rsidR="00BA5B66" w:rsidRPr="000D79C4" w14:paraId="325962E3" w14:textId="77777777" w:rsidTr="00C944D6">
        <w:tc>
          <w:tcPr>
            <w:tcW w:w="0" w:type="auto"/>
            <w:hideMark/>
          </w:tcPr>
          <w:p w14:paraId="22606ED6"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Hemoglobin (g/dl)</w:t>
            </w:r>
          </w:p>
        </w:tc>
        <w:tc>
          <w:tcPr>
            <w:tcW w:w="1979" w:type="dxa"/>
            <w:hideMark/>
          </w:tcPr>
          <w:p w14:paraId="6888C81A"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7.42 ± 0.95ᵃ</w:t>
            </w:r>
          </w:p>
        </w:tc>
        <w:tc>
          <w:tcPr>
            <w:tcW w:w="1984" w:type="dxa"/>
            <w:hideMark/>
          </w:tcPr>
          <w:p w14:paraId="62718EC5"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7.05–7.79</w:t>
            </w:r>
          </w:p>
        </w:tc>
        <w:tc>
          <w:tcPr>
            <w:tcW w:w="1559" w:type="dxa"/>
            <w:hideMark/>
          </w:tcPr>
          <w:p w14:paraId="397F090A"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8–12</w:t>
            </w:r>
          </w:p>
        </w:tc>
        <w:tc>
          <w:tcPr>
            <w:tcW w:w="1560" w:type="dxa"/>
            <w:hideMark/>
          </w:tcPr>
          <w:p w14:paraId="598A8692"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14:paraId="0E2E09DD" w14:textId="77777777" w:rsidTr="00C944D6">
        <w:tc>
          <w:tcPr>
            <w:tcW w:w="0" w:type="auto"/>
            <w:hideMark/>
          </w:tcPr>
          <w:p w14:paraId="2A335BC2"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PCV (%)</w:t>
            </w:r>
          </w:p>
        </w:tc>
        <w:tc>
          <w:tcPr>
            <w:tcW w:w="1979" w:type="dxa"/>
            <w:hideMark/>
          </w:tcPr>
          <w:p w14:paraId="0F53EB49"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20.53 ± 2.38ᵃ</w:t>
            </w:r>
          </w:p>
        </w:tc>
        <w:tc>
          <w:tcPr>
            <w:tcW w:w="1984" w:type="dxa"/>
            <w:hideMark/>
          </w:tcPr>
          <w:p w14:paraId="2175FFC7"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15.73–25.33</w:t>
            </w:r>
          </w:p>
        </w:tc>
        <w:tc>
          <w:tcPr>
            <w:tcW w:w="1559" w:type="dxa"/>
            <w:hideMark/>
          </w:tcPr>
          <w:p w14:paraId="46E227DF"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22–38</w:t>
            </w:r>
          </w:p>
        </w:tc>
        <w:tc>
          <w:tcPr>
            <w:tcW w:w="1560" w:type="dxa"/>
            <w:hideMark/>
          </w:tcPr>
          <w:p w14:paraId="6D2060CA"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14:paraId="00351DA8" w14:textId="77777777" w:rsidTr="00C944D6">
        <w:tc>
          <w:tcPr>
            <w:tcW w:w="0" w:type="auto"/>
            <w:hideMark/>
          </w:tcPr>
          <w:p w14:paraId="173D2D18"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MCV (fl)</w:t>
            </w:r>
          </w:p>
        </w:tc>
        <w:tc>
          <w:tcPr>
            <w:tcW w:w="1979" w:type="dxa"/>
            <w:hideMark/>
          </w:tcPr>
          <w:p w14:paraId="20F7A1FA"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14.32 ± 3.60ᵃ</w:t>
            </w:r>
          </w:p>
        </w:tc>
        <w:tc>
          <w:tcPr>
            <w:tcW w:w="1984" w:type="dxa"/>
            <w:hideMark/>
          </w:tcPr>
          <w:p w14:paraId="570DA665"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12.92–15.72</w:t>
            </w:r>
          </w:p>
        </w:tc>
        <w:tc>
          <w:tcPr>
            <w:tcW w:w="1559" w:type="dxa"/>
            <w:hideMark/>
          </w:tcPr>
          <w:p w14:paraId="41B561D5"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16–25</w:t>
            </w:r>
          </w:p>
        </w:tc>
        <w:tc>
          <w:tcPr>
            <w:tcW w:w="1560" w:type="dxa"/>
            <w:hideMark/>
          </w:tcPr>
          <w:p w14:paraId="66770CDB"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14:paraId="0A7E59EF" w14:textId="77777777" w:rsidTr="00C944D6">
        <w:tc>
          <w:tcPr>
            <w:tcW w:w="0" w:type="auto"/>
            <w:hideMark/>
          </w:tcPr>
          <w:p w14:paraId="10BF5F52"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 (pg)</w:t>
            </w:r>
          </w:p>
        </w:tc>
        <w:tc>
          <w:tcPr>
            <w:tcW w:w="1979" w:type="dxa"/>
            <w:hideMark/>
          </w:tcPr>
          <w:p w14:paraId="18B8837E"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7.28 ± 7.51</w:t>
            </w:r>
          </w:p>
        </w:tc>
        <w:tc>
          <w:tcPr>
            <w:tcW w:w="1984" w:type="dxa"/>
            <w:hideMark/>
          </w:tcPr>
          <w:p w14:paraId="79992B2E"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4.37–10.19</w:t>
            </w:r>
          </w:p>
        </w:tc>
        <w:tc>
          <w:tcPr>
            <w:tcW w:w="1559" w:type="dxa"/>
            <w:hideMark/>
          </w:tcPr>
          <w:p w14:paraId="041A6EC5"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5.2–8</w:t>
            </w:r>
          </w:p>
        </w:tc>
        <w:tc>
          <w:tcPr>
            <w:tcW w:w="1560" w:type="dxa"/>
            <w:hideMark/>
          </w:tcPr>
          <w:p w14:paraId="05182634"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NS</w:t>
            </w:r>
          </w:p>
        </w:tc>
      </w:tr>
      <w:tr w:rsidR="00BA5B66" w:rsidRPr="000D79C4" w14:paraId="6AB6B961" w14:textId="77777777" w:rsidTr="00C944D6">
        <w:tc>
          <w:tcPr>
            <w:tcW w:w="0" w:type="auto"/>
            <w:hideMark/>
          </w:tcPr>
          <w:p w14:paraId="2C4CCC6A"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MCHC (g/dl)</w:t>
            </w:r>
          </w:p>
        </w:tc>
        <w:tc>
          <w:tcPr>
            <w:tcW w:w="1979" w:type="dxa"/>
            <w:hideMark/>
          </w:tcPr>
          <w:p w14:paraId="194AC6E4"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42.11 ± 1.58ᵃ</w:t>
            </w:r>
          </w:p>
        </w:tc>
        <w:tc>
          <w:tcPr>
            <w:tcW w:w="1984" w:type="dxa"/>
            <w:hideMark/>
          </w:tcPr>
          <w:p w14:paraId="64BCDE23"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38.40–45.82</w:t>
            </w:r>
          </w:p>
        </w:tc>
        <w:tc>
          <w:tcPr>
            <w:tcW w:w="1559" w:type="dxa"/>
            <w:hideMark/>
          </w:tcPr>
          <w:p w14:paraId="3CA2BF3B"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28–42</w:t>
            </w:r>
          </w:p>
        </w:tc>
        <w:tc>
          <w:tcPr>
            <w:tcW w:w="1560" w:type="dxa"/>
            <w:hideMark/>
          </w:tcPr>
          <w:p w14:paraId="4A8EFE18" w14:textId="77777777"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bl>
    <w:p w14:paraId="7EF2B632" w14:textId="77777777" w:rsidR="00BA5B66" w:rsidRPr="000D79C4" w:rsidRDefault="00BA5B66" w:rsidP="00BA5B66">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sz w:val="20"/>
          <w:szCs w:val="20"/>
        </w:rPr>
        <w:t xml:space="preserve">ᵃ </w:t>
      </w:r>
      <w:proofErr w:type="gramStart"/>
      <w:r w:rsidRPr="000D79C4">
        <w:rPr>
          <w:rFonts w:ascii="Arial" w:eastAsia="Times New Roman" w:hAnsi="Arial" w:cs="Arial"/>
          <w:sz w:val="20"/>
          <w:szCs w:val="20"/>
        </w:rPr>
        <w:t>p</w:t>
      </w:r>
      <w:proofErr w:type="gramEnd"/>
      <w:r w:rsidRPr="000D79C4">
        <w:rPr>
          <w:rFonts w:ascii="Arial" w:eastAsia="Times New Roman" w:hAnsi="Arial" w:cs="Arial"/>
          <w:sz w:val="20"/>
          <w:szCs w:val="20"/>
        </w:rPr>
        <w:t xml:space="preserve"> &lt; 0.01; ᵇ p &lt; 0.05; NS = Non significant, One sample t test vs. reference midpoint.</w:t>
      </w:r>
    </w:p>
    <w:p w14:paraId="404494F3" w14:textId="77777777" w:rsidR="002A2C21" w:rsidRPr="000D79C4" w:rsidRDefault="00C37B5B" w:rsidP="006F4FEF">
      <w:pPr>
        <w:spacing w:before="100" w:beforeAutospacing="1" w:after="100" w:afterAutospacing="1" w:line="240" w:lineRule="auto"/>
        <w:jc w:val="both"/>
        <w:outlineLvl w:val="2"/>
        <w:rPr>
          <w:rFonts w:ascii="Arial" w:hAnsi="Arial" w:cs="Arial"/>
          <w:sz w:val="20"/>
          <w:szCs w:val="20"/>
        </w:rPr>
      </w:pPr>
      <w:r w:rsidRPr="000D79C4">
        <w:rPr>
          <w:rFonts w:ascii="Arial" w:hAnsi="Arial" w:cs="Arial"/>
          <w:b/>
          <w:sz w:val="20"/>
          <w:szCs w:val="20"/>
        </w:rPr>
        <w:t xml:space="preserve">3.4. </w:t>
      </w:r>
      <w:commentRangeStart w:id="7"/>
      <w:r w:rsidR="00183501" w:rsidRPr="000D79C4">
        <w:rPr>
          <w:rFonts w:ascii="Arial" w:hAnsi="Arial" w:cs="Arial"/>
          <w:b/>
          <w:sz w:val="20"/>
          <w:szCs w:val="20"/>
        </w:rPr>
        <w:t>Molecular detection</w:t>
      </w:r>
      <w:r w:rsidR="002A2C21" w:rsidRPr="000D79C4">
        <w:rPr>
          <w:rFonts w:ascii="Arial" w:hAnsi="Arial" w:cs="Arial"/>
          <w:sz w:val="20"/>
          <w:szCs w:val="20"/>
        </w:rPr>
        <w:t xml:space="preserve">: </w:t>
      </w:r>
      <w:commentRangeEnd w:id="7"/>
      <w:r w:rsidR="00C770F1">
        <w:rPr>
          <w:rStyle w:val="CommentReference"/>
        </w:rPr>
        <w:commentReference w:id="7"/>
      </w:r>
      <w:r w:rsidR="00183501" w:rsidRPr="000D79C4">
        <w:rPr>
          <w:rFonts w:ascii="Arial" w:hAnsi="Arial" w:cs="Arial"/>
          <w:sz w:val="20"/>
          <w:szCs w:val="20"/>
        </w:rPr>
        <w:t xml:space="preserve">The PCR amplicons of full length amplification of </w:t>
      </w:r>
      <w:proofErr w:type="spellStart"/>
      <w:r w:rsidR="00183501" w:rsidRPr="000D79C4">
        <w:rPr>
          <w:rFonts w:ascii="Arial" w:hAnsi="Arial" w:cs="Arial"/>
          <w:sz w:val="20"/>
          <w:szCs w:val="20"/>
        </w:rPr>
        <w:t>orf</w:t>
      </w:r>
      <w:proofErr w:type="spellEnd"/>
      <w:r w:rsidR="00BA5B66" w:rsidRPr="000D79C4">
        <w:rPr>
          <w:rFonts w:ascii="Arial" w:hAnsi="Arial" w:cs="Arial"/>
          <w:sz w:val="20"/>
          <w:szCs w:val="20"/>
        </w:rPr>
        <w:t xml:space="preserve"> </w:t>
      </w:r>
      <w:r w:rsidR="00183501" w:rsidRPr="000D79C4">
        <w:rPr>
          <w:rFonts w:ascii="Arial" w:hAnsi="Arial" w:cs="Arial"/>
          <w:sz w:val="20"/>
          <w:szCs w:val="20"/>
        </w:rPr>
        <w:t xml:space="preserve">virus B2L gene were analyzed using 1% agarose gel in an UV transilluminator. All the clinical samples yielded an expected specific product of 1206 bp confirming the presence of </w:t>
      </w:r>
      <w:proofErr w:type="spellStart"/>
      <w:r w:rsidR="00183501" w:rsidRPr="000D79C4">
        <w:rPr>
          <w:rFonts w:ascii="Arial" w:hAnsi="Arial" w:cs="Arial"/>
          <w:sz w:val="20"/>
          <w:szCs w:val="20"/>
        </w:rPr>
        <w:t>or</w:t>
      </w:r>
      <w:r w:rsidR="0009344E" w:rsidRPr="000D79C4">
        <w:rPr>
          <w:rFonts w:ascii="Arial" w:hAnsi="Arial" w:cs="Arial"/>
          <w:sz w:val="20"/>
          <w:szCs w:val="20"/>
        </w:rPr>
        <w:t>f</w:t>
      </w:r>
      <w:proofErr w:type="spellEnd"/>
      <w:r w:rsidR="00BA5B66" w:rsidRPr="000D79C4">
        <w:rPr>
          <w:rFonts w:ascii="Arial" w:hAnsi="Arial" w:cs="Arial"/>
          <w:sz w:val="20"/>
          <w:szCs w:val="20"/>
        </w:rPr>
        <w:t xml:space="preserve"> </w:t>
      </w:r>
      <w:r w:rsidR="0009344E" w:rsidRPr="000D79C4">
        <w:rPr>
          <w:rFonts w:ascii="Arial" w:hAnsi="Arial" w:cs="Arial"/>
          <w:sz w:val="20"/>
          <w:szCs w:val="20"/>
        </w:rPr>
        <w:t xml:space="preserve">virus in the collected samples </w:t>
      </w:r>
      <w:r w:rsidR="0015567E" w:rsidRPr="000D79C4">
        <w:rPr>
          <w:rFonts w:ascii="Arial" w:hAnsi="Arial" w:cs="Arial"/>
          <w:sz w:val="20"/>
          <w:szCs w:val="20"/>
        </w:rPr>
        <w:t>(Figure</w:t>
      </w:r>
      <w:r w:rsidR="0015567E" w:rsidRPr="00677296">
        <w:rPr>
          <w:rFonts w:ascii="Arial" w:hAnsi="Arial" w:cs="Arial"/>
          <w:sz w:val="20"/>
          <w:szCs w:val="20"/>
          <w:highlight w:val="yellow"/>
        </w:rPr>
        <w:t>:</w:t>
      </w:r>
      <w:r w:rsidR="0015567E" w:rsidRPr="000D79C4">
        <w:rPr>
          <w:rFonts w:ascii="Arial" w:hAnsi="Arial" w:cs="Arial"/>
          <w:sz w:val="20"/>
          <w:szCs w:val="20"/>
        </w:rPr>
        <w:t xml:space="preserve"> 3</w:t>
      </w:r>
      <w:r w:rsidR="002A2C21" w:rsidRPr="000D79C4">
        <w:rPr>
          <w:rFonts w:ascii="Arial" w:hAnsi="Arial" w:cs="Arial"/>
          <w:sz w:val="20"/>
          <w:szCs w:val="20"/>
        </w:rPr>
        <w:t>)</w:t>
      </w:r>
      <w:r w:rsidR="0009344E" w:rsidRPr="000D79C4">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5B66" w:rsidRPr="000D79C4" w14:paraId="4E0BC581" w14:textId="77777777" w:rsidTr="00481CF1">
        <w:tc>
          <w:tcPr>
            <w:tcW w:w="9576" w:type="dxa"/>
            <w:vAlign w:val="center"/>
          </w:tcPr>
          <w:p w14:paraId="221300A0" w14:textId="77777777" w:rsidR="00BA5B66" w:rsidRPr="000D79C4" w:rsidRDefault="00BA5B66" w:rsidP="00BA5B66">
            <w:pPr>
              <w:spacing w:before="100" w:beforeAutospacing="1" w:after="100" w:afterAutospacing="1"/>
              <w:jc w:val="center"/>
              <w:outlineLvl w:val="2"/>
              <w:rPr>
                <w:rFonts w:ascii="Arial" w:hAnsi="Arial" w:cs="Arial"/>
                <w:sz w:val="20"/>
                <w:szCs w:val="20"/>
              </w:rPr>
            </w:pPr>
            <w:r w:rsidRPr="000D79C4">
              <w:rPr>
                <w:rFonts w:ascii="Arial" w:hAnsi="Arial" w:cs="Arial"/>
                <w:noProof/>
                <w:sz w:val="20"/>
                <w:szCs w:val="20"/>
              </w:rPr>
              <w:drawing>
                <wp:inline distT="0" distB="0" distL="0" distR="0" wp14:anchorId="19D3C078" wp14:editId="6B8B81A6">
                  <wp:extent cx="4560240" cy="2084873"/>
                  <wp:effectExtent l="19050" t="0" r="0" b="0"/>
                  <wp:docPr id="10" name="Picture 1" descr="C:\Users\Manoj kr. kalita\Documents\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j kr. kalita\Documents\aaa.JPG"/>
                          <pic:cNvPicPr>
                            <a:picLocks noChangeAspect="1" noChangeArrowheads="1"/>
                          </pic:cNvPicPr>
                        </pic:nvPicPr>
                        <pic:blipFill>
                          <a:blip r:embed="rId11"/>
                          <a:srcRect/>
                          <a:stretch>
                            <a:fillRect/>
                          </a:stretch>
                        </pic:blipFill>
                        <pic:spPr bwMode="auto">
                          <a:xfrm>
                            <a:off x="0" y="0"/>
                            <a:ext cx="4559183" cy="2084390"/>
                          </a:xfrm>
                          <a:prstGeom prst="rect">
                            <a:avLst/>
                          </a:prstGeom>
                          <a:noFill/>
                          <a:ln w="9525">
                            <a:noFill/>
                            <a:miter lim="800000"/>
                            <a:headEnd/>
                            <a:tailEnd/>
                          </a:ln>
                        </pic:spPr>
                      </pic:pic>
                    </a:graphicData>
                  </a:graphic>
                </wp:inline>
              </w:drawing>
            </w:r>
          </w:p>
        </w:tc>
      </w:tr>
      <w:tr w:rsidR="00BA5B66" w:rsidRPr="000D79C4" w14:paraId="660DE04A" w14:textId="77777777" w:rsidTr="00481CF1">
        <w:tc>
          <w:tcPr>
            <w:tcW w:w="9576" w:type="dxa"/>
          </w:tcPr>
          <w:p w14:paraId="34A4B55D" w14:textId="77777777" w:rsidR="00BA5B66" w:rsidRPr="000D79C4" w:rsidRDefault="00BA5B66" w:rsidP="00BA5B66">
            <w:pPr>
              <w:jc w:val="both"/>
              <w:outlineLvl w:val="2"/>
              <w:rPr>
                <w:rFonts w:ascii="Arial" w:hAnsi="Arial" w:cs="Arial"/>
                <w:b/>
                <w:sz w:val="20"/>
                <w:szCs w:val="20"/>
              </w:rPr>
            </w:pPr>
            <w:r w:rsidRPr="000D79C4">
              <w:rPr>
                <w:rFonts w:ascii="Arial" w:hAnsi="Arial" w:cs="Arial"/>
                <w:b/>
                <w:sz w:val="20"/>
                <w:szCs w:val="20"/>
              </w:rPr>
              <w:t xml:space="preserve">Figure.3: Amplification of full length B2L gene of </w:t>
            </w:r>
            <w:proofErr w:type="spellStart"/>
            <w:r w:rsidRPr="000D79C4">
              <w:rPr>
                <w:rFonts w:ascii="Arial" w:hAnsi="Arial" w:cs="Arial"/>
                <w:b/>
                <w:sz w:val="20"/>
                <w:szCs w:val="20"/>
              </w:rPr>
              <w:t>Orf</w:t>
            </w:r>
            <w:proofErr w:type="spellEnd"/>
            <w:r w:rsidRPr="000D79C4">
              <w:rPr>
                <w:rFonts w:ascii="Arial" w:hAnsi="Arial" w:cs="Arial"/>
                <w:b/>
                <w:sz w:val="20"/>
                <w:szCs w:val="20"/>
              </w:rPr>
              <w:t xml:space="preserve"> virus from clinical samples</w:t>
            </w:r>
          </w:p>
          <w:p w14:paraId="2DCE7FE9" w14:textId="77777777" w:rsidR="00BA5B66" w:rsidRPr="000D79C4" w:rsidRDefault="00BA5B66" w:rsidP="00BA5B66">
            <w:pPr>
              <w:jc w:val="both"/>
              <w:outlineLvl w:val="2"/>
              <w:rPr>
                <w:rFonts w:ascii="Arial" w:hAnsi="Arial" w:cs="Arial"/>
                <w:sz w:val="20"/>
                <w:szCs w:val="20"/>
              </w:rPr>
            </w:pPr>
            <w:r w:rsidRPr="000D79C4">
              <w:rPr>
                <w:rFonts w:ascii="Arial" w:hAnsi="Arial" w:cs="Arial"/>
                <w:sz w:val="20"/>
                <w:szCs w:val="20"/>
              </w:rPr>
              <w:t>Lane M: 1Kb DNA Ladder, Lane 1 to 5: Clinical samples, Lane 6: Positive control, Lane 7: NTC</w:t>
            </w:r>
          </w:p>
        </w:tc>
      </w:tr>
    </w:tbl>
    <w:p w14:paraId="3D625E22" w14:textId="77777777"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3.5. </w:t>
      </w:r>
      <w:r w:rsidR="0087217E" w:rsidRPr="000D79C4">
        <w:rPr>
          <w:rFonts w:ascii="Arial" w:eastAsia="Times New Roman" w:hAnsi="Arial" w:cs="Arial"/>
          <w:b/>
          <w:bCs/>
          <w:sz w:val="20"/>
          <w:szCs w:val="20"/>
        </w:rPr>
        <w:t xml:space="preserve">Therapeutic Response: </w:t>
      </w:r>
      <w:r w:rsidR="006F4FEF" w:rsidRPr="000D79C4">
        <w:rPr>
          <w:rFonts w:ascii="Arial" w:eastAsia="Times New Roman" w:hAnsi="Arial" w:cs="Arial"/>
          <w:sz w:val="20"/>
          <w:szCs w:val="20"/>
        </w:rPr>
        <w:t>In most of the animals, there was a gradual resolution of lesions with complete recovery in 10-20 days. It is important to isolate the animals as early as possible and provide</w:t>
      </w:r>
      <w:r w:rsidR="006B75D4" w:rsidRPr="000D79C4">
        <w:rPr>
          <w:rFonts w:ascii="Arial" w:eastAsia="Times New Roman" w:hAnsi="Arial" w:cs="Arial"/>
          <w:sz w:val="20"/>
          <w:szCs w:val="20"/>
        </w:rPr>
        <w:t xml:space="preserve"> consistent</w:t>
      </w:r>
      <w:r w:rsidR="006F4FEF" w:rsidRPr="000D79C4">
        <w:rPr>
          <w:rFonts w:ascii="Arial" w:eastAsia="Times New Roman" w:hAnsi="Arial" w:cs="Arial"/>
          <w:sz w:val="20"/>
          <w:szCs w:val="20"/>
        </w:rPr>
        <w:t xml:space="preserve"> wound care. </w:t>
      </w:r>
      <w:commentRangeStart w:id="8"/>
      <w:r w:rsidR="006F4FEF" w:rsidRPr="000D79C4">
        <w:rPr>
          <w:rFonts w:ascii="Arial" w:eastAsia="Times New Roman" w:hAnsi="Arial" w:cs="Arial"/>
          <w:sz w:val="20"/>
          <w:szCs w:val="20"/>
        </w:rPr>
        <w:t>In spite of treatment</w:t>
      </w:r>
      <w:commentRangeEnd w:id="8"/>
      <w:r w:rsidR="00C770F1">
        <w:rPr>
          <w:rStyle w:val="CommentReference"/>
        </w:rPr>
        <w:commentReference w:id="8"/>
      </w:r>
      <w:r w:rsidR="006F4FEF" w:rsidRPr="000D79C4">
        <w:rPr>
          <w:rFonts w:ascii="Arial" w:eastAsia="Times New Roman" w:hAnsi="Arial" w:cs="Arial"/>
          <w:sz w:val="20"/>
          <w:szCs w:val="20"/>
        </w:rPr>
        <w:t>, two animals died of complications</w:t>
      </w:r>
      <w:r w:rsidR="006B75D4" w:rsidRPr="000D79C4">
        <w:rPr>
          <w:rFonts w:ascii="Arial" w:eastAsia="Times New Roman" w:hAnsi="Arial" w:cs="Arial"/>
          <w:sz w:val="20"/>
          <w:szCs w:val="20"/>
        </w:rPr>
        <w:t>, highlighting the vulnerability of young kids and the importance of early supportive management. Since ORF</w:t>
      </w:r>
      <w:r w:rsidR="006F4FEF" w:rsidRPr="000D79C4">
        <w:rPr>
          <w:rFonts w:ascii="Arial" w:eastAsia="Times New Roman" w:hAnsi="Arial" w:cs="Arial"/>
          <w:sz w:val="20"/>
          <w:szCs w:val="20"/>
        </w:rPr>
        <w:t xml:space="preserve"> is a self-</w:t>
      </w:r>
      <w:r w:rsidR="006F4FEF" w:rsidRPr="000D79C4">
        <w:rPr>
          <w:rFonts w:ascii="Arial" w:eastAsia="Times New Roman" w:hAnsi="Arial" w:cs="Arial"/>
          <w:sz w:val="20"/>
          <w:szCs w:val="20"/>
        </w:rPr>
        <w:lastRenderedPageBreak/>
        <w:t>limiting disease, complications arising because of secondary bacterial infection can be controlled by antibiotics and anti-inflammatory agents</w:t>
      </w:r>
      <w:r w:rsidR="00A128F8" w:rsidRPr="000D79C4">
        <w:rPr>
          <w:rFonts w:ascii="Arial" w:eastAsia="Times New Roman" w:hAnsi="Arial" w:cs="Arial"/>
          <w:sz w:val="20"/>
          <w:szCs w:val="20"/>
        </w:rPr>
        <w:t xml:space="preserve"> </w:t>
      </w:r>
      <w:r w:rsidR="00AA6583" w:rsidRPr="000D79C4">
        <w:rPr>
          <w:rFonts w:ascii="Arial" w:hAnsi="Arial" w:cs="Arial"/>
          <w:sz w:val="20"/>
          <w:szCs w:val="20"/>
        </w:rPr>
        <w:t>along with regular topical therapy</w:t>
      </w:r>
      <w:r w:rsidR="000E2A2B" w:rsidRPr="000D79C4">
        <w:rPr>
          <w:rFonts w:ascii="Arial" w:hAnsi="Arial" w:cs="Arial"/>
          <w:sz w:val="20"/>
          <w:szCs w:val="20"/>
        </w:rPr>
        <w:t xml:space="preserve"> </w:t>
      </w:r>
      <w:r w:rsidR="006F4FEF" w:rsidRPr="000D79C4">
        <w:rPr>
          <w:rFonts w:ascii="Arial" w:eastAsia="Times New Roman" w:hAnsi="Arial" w:cs="Arial"/>
          <w:sz w:val="20"/>
          <w:szCs w:val="20"/>
        </w:rPr>
        <w:t>(</w:t>
      </w:r>
      <w:r w:rsidR="000E2A2B" w:rsidRPr="000D79C4">
        <w:rPr>
          <w:rFonts w:ascii="Arial" w:eastAsia="Times New Roman" w:hAnsi="Arial" w:cs="Arial"/>
          <w:sz w:val="20"/>
          <w:szCs w:val="20"/>
        </w:rPr>
        <w:t>Maheshwari et al., 2024</w:t>
      </w:r>
      <w:r w:rsidR="006F4FEF" w:rsidRPr="000D79C4">
        <w:rPr>
          <w:rFonts w:ascii="Arial" w:eastAsia="Times New Roman" w:hAnsi="Arial" w:cs="Arial"/>
          <w:sz w:val="20"/>
          <w:szCs w:val="20"/>
        </w:rPr>
        <w:t>,</w:t>
      </w:r>
      <w:r w:rsidR="000E2A2B" w:rsidRPr="000D79C4">
        <w:rPr>
          <w:rFonts w:ascii="Arial" w:hAnsi="Arial" w:cs="Arial"/>
          <w:sz w:val="20"/>
          <w:szCs w:val="20"/>
        </w:rPr>
        <w:t xml:space="preserve"> </w:t>
      </w:r>
      <w:proofErr w:type="spellStart"/>
      <w:r w:rsidR="000E2A2B" w:rsidRPr="000D79C4">
        <w:rPr>
          <w:rFonts w:ascii="Arial" w:eastAsia="Times New Roman" w:hAnsi="Arial" w:cs="Arial"/>
          <w:sz w:val="20"/>
          <w:szCs w:val="20"/>
        </w:rPr>
        <w:t>Sowmiya</w:t>
      </w:r>
      <w:proofErr w:type="spellEnd"/>
      <w:r w:rsidR="000E2A2B" w:rsidRPr="000D79C4">
        <w:rPr>
          <w:rFonts w:ascii="Arial" w:eastAsia="Times New Roman" w:hAnsi="Arial" w:cs="Arial"/>
          <w:sz w:val="20"/>
          <w:szCs w:val="20"/>
        </w:rPr>
        <w:t xml:space="preserve"> et al., 2018</w:t>
      </w:r>
      <w:r w:rsidR="006F4FEF" w:rsidRPr="000D79C4">
        <w:rPr>
          <w:rFonts w:ascii="Arial" w:eastAsia="Times New Roman" w:hAnsi="Arial" w:cs="Arial"/>
          <w:sz w:val="20"/>
          <w:szCs w:val="20"/>
        </w:rPr>
        <w:t>).</w:t>
      </w:r>
    </w:p>
    <w:p w14:paraId="01C223BC" w14:textId="77777777" w:rsidR="0087217E" w:rsidRPr="000D79C4" w:rsidRDefault="00C37B5B" w:rsidP="006F4FEF">
      <w:pPr>
        <w:spacing w:before="100" w:beforeAutospacing="1" w:after="100" w:afterAutospacing="1" w:line="240" w:lineRule="auto"/>
        <w:jc w:val="both"/>
        <w:outlineLvl w:val="2"/>
        <w:rPr>
          <w:rFonts w:ascii="Arial" w:eastAsia="Times New Roman" w:hAnsi="Arial" w:cs="Arial"/>
          <w:b/>
          <w:bCs/>
          <w:szCs w:val="20"/>
        </w:rPr>
      </w:pPr>
      <w:r w:rsidRPr="000D79C4">
        <w:rPr>
          <w:rFonts w:ascii="Arial" w:eastAsia="Times New Roman" w:hAnsi="Arial" w:cs="Arial"/>
          <w:b/>
          <w:bCs/>
          <w:szCs w:val="20"/>
        </w:rPr>
        <w:t xml:space="preserve">4. </w:t>
      </w:r>
      <w:r w:rsidR="0087217E" w:rsidRPr="000D79C4">
        <w:rPr>
          <w:rFonts w:ascii="Arial" w:eastAsia="Times New Roman" w:hAnsi="Arial" w:cs="Arial"/>
          <w:b/>
          <w:bCs/>
          <w:szCs w:val="20"/>
        </w:rPr>
        <w:t>Conclusion</w:t>
      </w:r>
    </w:p>
    <w:p w14:paraId="0FE18D8F" w14:textId="77777777" w:rsidR="006F4FEF" w:rsidRPr="000D79C4" w:rsidRDefault="006F4FEF" w:rsidP="00D335B3">
      <w:pPr>
        <w:spacing w:before="100" w:beforeAutospacing="1" w:after="100" w:afterAutospacing="1" w:line="240" w:lineRule="auto"/>
        <w:jc w:val="both"/>
        <w:outlineLvl w:val="1"/>
        <w:rPr>
          <w:rFonts w:ascii="Arial" w:eastAsia="Times New Roman" w:hAnsi="Arial" w:cs="Arial"/>
          <w:sz w:val="20"/>
          <w:szCs w:val="20"/>
        </w:rPr>
      </w:pPr>
      <w:commentRangeStart w:id="9"/>
      <w:r w:rsidRPr="000D79C4">
        <w:rPr>
          <w:rFonts w:ascii="Arial" w:eastAsia="Times New Roman" w:hAnsi="Arial" w:cs="Arial"/>
          <w:sz w:val="20"/>
          <w:szCs w:val="20"/>
        </w:rPr>
        <w:t xml:space="preserve">Contagious ecthyma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xml:space="preserve">, showed </w:t>
      </w:r>
      <w:commentRangeStart w:id="10"/>
      <w:r w:rsidRPr="000D79C4">
        <w:rPr>
          <w:rFonts w:ascii="Arial" w:eastAsia="Times New Roman" w:hAnsi="Arial" w:cs="Arial"/>
          <w:sz w:val="20"/>
          <w:szCs w:val="20"/>
        </w:rPr>
        <w:t>moderate</w:t>
      </w:r>
      <w:commentRangeEnd w:id="10"/>
      <w:r w:rsidR="00A30D44">
        <w:rPr>
          <w:rStyle w:val="CommentReference"/>
        </w:rPr>
        <w:commentReference w:id="10"/>
      </w:r>
      <w:r w:rsidRPr="000D79C4">
        <w:rPr>
          <w:rFonts w:ascii="Arial" w:eastAsia="Times New Roman" w:hAnsi="Arial" w:cs="Arial"/>
          <w:sz w:val="20"/>
          <w:szCs w:val="20"/>
        </w:rPr>
        <w:t xml:space="preserve"> prevalence with marked age susceptibility, especially in kids less than three months of age. Seasonal occurrence was also </w:t>
      </w:r>
      <w:r w:rsidR="00C45086" w:rsidRPr="000D79C4">
        <w:rPr>
          <w:rFonts w:ascii="Arial" w:eastAsia="Times New Roman" w:hAnsi="Arial" w:cs="Arial"/>
          <w:sz w:val="20"/>
          <w:szCs w:val="20"/>
        </w:rPr>
        <w:t>recorded</w:t>
      </w:r>
      <w:r w:rsidRPr="000D79C4">
        <w:rPr>
          <w:rFonts w:ascii="Arial" w:eastAsia="Times New Roman" w:hAnsi="Arial" w:cs="Arial"/>
          <w:sz w:val="20"/>
          <w:szCs w:val="20"/>
        </w:rPr>
        <w:t>, especially during winter, and higher occurrence i</w:t>
      </w:r>
      <w:bookmarkStart w:id="11" w:name="_GoBack"/>
      <w:bookmarkEnd w:id="11"/>
      <w:r w:rsidRPr="000D79C4">
        <w:rPr>
          <w:rFonts w:ascii="Arial" w:eastAsia="Times New Roman" w:hAnsi="Arial" w:cs="Arial"/>
          <w:sz w:val="20"/>
          <w:szCs w:val="20"/>
        </w:rPr>
        <w:t>n female kids. Clinical and hematological observations indicated that inflammation and secondary infections are important in the progression of the disease. Isolation, local application of antiseptics, and systemic treatment are effective in endemic regions, which are important in controlling economic losses and zoonotic infections.</w:t>
      </w:r>
      <w:commentRangeEnd w:id="9"/>
      <w:r w:rsidR="00C770F1">
        <w:rPr>
          <w:rStyle w:val="CommentReference"/>
        </w:rPr>
        <w:commentReference w:id="9"/>
      </w:r>
    </w:p>
    <w:p w14:paraId="5B006B82" w14:textId="77777777" w:rsidR="00C37B5B" w:rsidRPr="000D79C4"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Disclaimer (Artificial Intelligence)</w:t>
      </w:r>
    </w:p>
    <w:p w14:paraId="3A2952C9" w14:textId="77777777" w:rsidR="00355AE8" w:rsidRPr="000D79C4" w:rsidRDefault="00C37B5B"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Author(s)  hereby  declare  that  NO  generative  AI technologies  such  as  Large  Language  Models (Chat</w:t>
      </w:r>
      <w:r w:rsidR="00D165F9" w:rsidRPr="000D79C4">
        <w:rPr>
          <w:rFonts w:ascii="Arial" w:eastAsia="Times New Roman" w:hAnsi="Arial" w:cs="Arial"/>
          <w:bCs/>
          <w:sz w:val="20"/>
          <w:szCs w:val="20"/>
        </w:rPr>
        <w:t xml:space="preserve"> </w:t>
      </w:r>
      <w:r w:rsidRPr="000D79C4">
        <w:rPr>
          <w:rFonts w:ascii="Arial" w:eastAsia="Times New Roman" w:hAnsi="Arial" w:cs="Arial"/>
          <w:bCs/>
          <w:sz w:val="20"/>
          <w:szCs w:val="20"/>
        </w:rPr>
        <w:t>GPT,   COPILOT,   etc.) and text-to-image generators have been used during the  writing or editing of this manuscript.</w:t>
      </w:r>
    </w:p>
    <w:p w14:paraId="5E59CCD3" w14:textId="77777777" w:rsidR="00C37B5B" w:rsidRPr="000D79C4" w:rsidRDefault="00C37B5B" w:rsidP="00C365C0">
      <w:pPr>
        <w:spacing w:before="100" w:beforeAutospacing="1" w:after="100" w:afterAutospacing="1" w:line="240" w:lineRule="auto"/>
        <w:jc w:val="both"/>
        <w:outlineLvl w:val="1"/>
        <w:rPr>
          <w:rFonts w:ascii="Arial" w:eastAsia="Times New Roman" w:hAnsi="Arial" w:cs="Arial"/>
          <w:b/>
          <w:bCs/>
          <w:szCs w:val="20"/>
        </w:rPr>
      </w:pPr>
      <w:commentRangeStart w:id="12"/>
      <w:r w:rsidRPr="000D79C4">
        <w:rPr>
          <w:rFonts w:ascii="Arial" w:eastAsia="Times New Roman" w:hAnsi="Arial" w:cs="Arial"/>
          <w:b/>
          <w:bCs/>
          <w:szCs w:val="20"/>
        </w:rPr>
        <w:t>Competing Interests</w:t>
      </w:r>
      <w:commentRangeEnd w:id="12"/>
      <w:r w:rsidR="00A30D44">
        <w:rPr>
          <w:rStyle w:val="CommentReference"/>
        </w:rPr>
        <w:commentReference w:id="12"/>
      </w:r>
    </w:p>
    <w:p w14:paraId="36139265" w14:textId="77777777" w:rsidR="00C37B5B" w:rsidRPr="000D79C4" w:rsidRDefault="00D335B3"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Authors have declared that no</w:t>
      </w:r>
      <w:r w:rsidR="00C37B5B" w:rsidRPr="000D79C4">
        <w:rPr>
          <w:rFonts w:ascii="Arial" w:eastAsia="Times New Roman" w:hAnsi="Arial" w:cs="Arial"/>
          <w:bCs/>
          <w:sz w:val="20"/>
          <w:szCs w:val="20"/>
        </w:rPr>
        <w:t xml:space="preserve"> competing interests exist.</w:t>
      </w:r>
    </w:p>
    <w:p w14:paraId="27E3FB11" w14:textId="77777777" w:rsidR="00C365C0" w:rsidRPr="000D79C4" w:rsidRDefault="00C365C0"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References</w:t>
      </w:r>
    </w:p>
    <w:p w14:paraId="702394DD" w14:textId="77777777"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Bala</w:t>
      </w:r>
      <w:proofErr w:type="spellEnd"/>
      <w:r w:rsidRPr="000D79C4">
        <w:rPr>
          <w:rFonts w:ascii="Arial" w:hAnsi="Arial" w:cs="Arial"/>
          <w:sz w:val="20"/>
          <w:szCs w:val="20"/>
          <w:shd w:val="clear" w:color="auto" w:fill="FFFFFF"/>
        </w:rPr>
        <w:t xml:space="preserve">, J. A., Balakrishnan, K. N., Abdullah, A. A., </w:t>
      </w:r>
      <w:proofErr w:type="spellStart"/>
      <w:r w:rsidRPr="000D79C4">
        <w:rPr>
          <w:rFonts w:ascii="Arial" w:hAnsi="Arial" w:cs="Arial"/>
          <w:sz w:val="20"/>
          <w:szCs w:val="20"/>
          <w:shd w:val="clear" w:color="auto" w:fill="FFFFFF"/>
        </w:rPr>
        <w:t>Adamu</w:t>
      </w:r>
      <w:proofErr w:type="spellEnd"/>
      <w:r w:rsidRPr="000D79C4">
        <w:rPr>
          <w:rFonts w:ascii="Arial" w:hAnsi="Arial" w:cs="Arial"/>
          <w:sz w:val="20"/>
          <w:szCs w:val="20"/>
          <w:shd w:val="clear" w:color="auto" w:fill="FFFFFF"/>
        </w:rPr>
        <w:t xml:space="preserve">, L., </w:t>
      </w:r>
      <w:proofErr w:type="spellStart"/>
      <w:r w:rsidRPr="000D79C4">
        <w:rPr>
          <w:rFonts w:ascii="Arial" w:hAnsi="Arial" w:cs="Arial"/>
          <w:sz w:val="20"/>
          <w:szCs w:val="20"/>
          <w:shd w:val="clear" w:color="auto" w:fill="FFFFFF"/>
        </w:rPr>
        <w:t>Noorzahari</w:t>
      </w:r>
      <w:proofErr w:type="spellEnd"/>
      <w:r w:rsidRPr="000D79C4">
        <w:rPr>
          <w:rFonts w:ascii="Arial" w:hAnsi="Arial" w:cs="Arial"/>
          <w:sz w:val="20"/>
          <w:szCs w:val="20"/>
          <w:shd w:val="clear" w:color="auto" w:fill="FFFFFF"/>
        </w:rPr>
        <w:t xml:space="preserve">, M. S. B., May, L. K., Mangga, H. K., Ghazali, M. T., Mohamed, R. B., </w:t>
      </w:r>
      <w:proofErr w:type="spellStart"/>
      <w:r w:rsidRPr="000D79C4">
        <w:rPr>
          <w:rFonts w:ascii="Arial" w:hAnsi="Arial" w:cs="Arial"/>
          <w:sz w:val="20"/>
          <w:szCs w:val="20"/>
          <w:shd w:val="clear" w:color="auto" w:fill="FFFFFF"/>
        </w:rPr>
        <w:t>Haron</w:t>
      </w:r>
      <w:proofErr w:type="spellEnd"/>
      <w:r w:rsidRPr="000D79C4">
        <w:rPr>
          <w:rFonts w:ascii="Arial" w:hAnsi="Arial" w:cs="Arial"/>
          <w:sz w:val="20"/>
          <w:szCs w:val="20"/>
          <w:shd w:val="clear" w:color="auto" w:fill="FFFFFF"/>
        </w:rPr>
        <w:t xml:space="preserve">, A. W., </w:t>
      </w:r>
      <w:proofErr w:type="spellStart"/>
      <w:r w:rsidRPr="000D79C4">
        <w:rPr>
          <w:rFonts w:ascii="Arial" w:hAnsi="Arial" w:cs="Arial"/>
          <w:sz w:val="20"/>
          <w:szCs w:val="20"/>
          <w:shd w:val="clear" w:color="auto" w:fill="FFFFFF"/>
        </w:rPr>
        <w:t>Noordin</w:t>
      </w:r>
      <w:proofErr w:type="spellEnd"/>
      <w:r w:rsidRPr="000D79C4">
        <w:rPr>
          <w:rFonts w:ascii="Arial" w:hAnsi="Arial" w:cs="Arial"/>
          <w:sz w:val="20"/>
          <w:szCs w:val="20"/>
          <w:shd w:val="clear" w:color="auto" w:fill="FFFFFF"/>
        </w:rPr>
        <w:t xml:space="preserve">, M. M., &amp; Lila, M. A. M. (2019). An association of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 infection among sheep and goats with herd health programme in Terengganu state, eastern region of the peninsular Malaysia. </w:t>
      </w:r>
      <w:r w:rsidRPr="000D79C4">
        <w:rPr>
          <w:rFonts w:ascii="Arial" w:hAnsi="Arial" w:cs="Arial"/>
          <w:i/>
          <w:iCs/>
          <w:sz w:val="20"/>
          <w:szCs w:val="20"/>
          <w:shd w:val="clear" w:color="auto" w:fill="FFFFFF"/>
        </w:rPr>
        <w:t>BMC Veterinary Research, 15</w:t>
      </w:r>
      <w:r w:rsidRPr="000D79C4">
        <w:rPr>
          <w:rFonts w:ascii="Arial" w:hAnsi="Arial" w:cs="Arial"/>
          <w:sz w:val="20"/>
          <w:szCs w:val="20"/>
          <w:shd w:val="clear" w:color="auto" w:fill="FFFFFF"/>
        </w:rPr>
        <w:t xml:space="preserve">(1), 250. </w:t>
      </w:r>
      <w:commentRangeStart w:id="13"/>
      <w:r w:rsidR="001D2A49">
        <w:rPr>
          <w:rStyle w:val="Hyperlink"/>
          <w:rFonts w:ascii="Arial" w:hAnsi="Arial" w:cs="Arial"/>
          <w:color w:val="auto"/>
          <w:sz w:val="20"/>
          <w:szCs w:val="20"/>
          <w:shd w:val="clear" w:color="auto" w:fill="FFFFFF"/>
        </w:rPr>
        <w:fldChar w:fldCharType="begin"/>
      </w:r>
      <w:r w:rsidR="001D2A49">
        <w:rPr>
          <w:rStyle w:val="Hyperlink"/>
          <w:rFonts w:ascii="Arial" w:hAnsi="Arial" w:cs="Arial"/>
          <w:color w:val="auto"/>
          <w:sz w:val="20"/>
          <w:szCs w:val="20"/>
          <w:shd w:val="clear" w:color="auto" w:fill="FFFFFF"/>
        </w:rPr>
        <w:instrText xml:space="preserve"> HYPERLINK "https://doi.org/10.1186/s12917-019-1999-1" </w:instrText>
      </w:r>
      <w:r w:rsidR="001D2A49">
        <w:rPr>
          <w:rStyle w:val="Hyperlink"/>
          <w:rFonts w:ascii="Arial" w:hAnsi="Arial" w:cs="Arial"/>
          <w:color w:val="auto"/>
          <w:sz w:val="20"/>
          <w:szCs w:val="20"/>
          <w:shd w:val="clear" w:color="auto" w:fill="FFFFFF"/>
        </w:rPr>
        <w:fldChar w:fldCharType="separate"/>
      </w:r>
      <w:r w:rsidRPr="000D79C4">
        <w:rPr>
          <w:rStyle w:val="Hyperlink"/>
          <w:rFonts w:ascii="Arial" w:hAnsi="Arial" w:cs="Arial"/>
          <w:color w:val="auto"/>
          <w:sz w:val="20"/>
          <w:szCs w:val="20"/>
          <w:shd w:val="clear" w:color="auto" w:fill="FFFFFF"/>
        </w:rPr>
        <w:t>https://doi.org/10.1186/s12917-019-1999-1</w:t>
      </w:r>
      <w:r w:rsidR="001D2A49">
        <w:rPr>
          <w:rStyle w:val="Hyperlink"/>
          <w:rFonts w:ascii="Arial" w:hAnsi="Arial" w:cs="Arial"/>
          <w:color w:val="auto"/>
          <w:sz w:val="20"/>
          <w:szCs w:val="20"/>
          <w:shd w:val="clear" w:color="auto" w:fill="FFFFFF"/>
        </w:rPr>
        <w:fldChar w:fldCharType="end"/>
      </w:r>
      <w:commentRangeEnd w:id="13"/>
      <w:r w:rsidR="00A30D44">
        <w:rPr>
          <w:rStyle w:val="CommentReference"/>
        </w:rPr>
        <w:commentReference w:id="13"/>
      </w:r>
    </w:p>
    <w:p w14:paraId="2012CC63" w14:textId="77777777"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Bora, M., Bora, D. P., Barman, N. N., Borah, B., Bora, P. L., Talukdar, A., &amp; </w:t>
      </w:r>
      <w:proofErr w:type="spellStart"/>
      <w:r w:rsidRPr="000D79C4">
        <w:rPr>
          <w:rFonts w:ascii="Arial" w:hAnsi="Arial" w:cs="Arial"/>
          <w:sz w:val="20"/>
          <w:szCs w:val="20"/>
          <w:shd w:val="clear" w:color="auto" w:fill="FFFFFF"/>
        </w:rPr>
        <w:t>Tamuly</w:t>
      </w:r>
      <w:proofErr w:type="spellEnd"/>
      <w:r w:rsidRPr="000D79C4">
        <w:rPr>
          <w:rFonts w:ascii="Arial" w:hAnsi="Arial" w:cs="Arial"/>
          <w:sz w:val="20"/>
          <w:szCs w:val="20"/>
          <w:shd w:val="clear" w:color="auto" w:fill="FFFFFF"/>
        </w:rPr>
        <w:t xml:space="preserve">, S. (2015). Isolation and molecular characterization of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 from natural outbreaks in goats of Assam. </w:t>
      </w:r>
      <w:proofErr w:type="spellStart"/>
      <w:r w:rsidRPr="000D79C4">
        <w:rPr>
          <w:rFonts w:ascii="Arial" w:hAnsi="Arial" w:cs="Arial"/>
          <w:i/>
          <w:iCs/>
          <w:sz w:val="20"/>
          <w:szCs w:val="20"/>
          <w:shd w:val="clear" w:color="auto" w:fill="FFFFFF"/>
        </w:rPr>
        <w:t>VirusDisease</w:t>
      </w:r>
      <w:proofErr w:type="spellEnd"/>
      <w:r w:rsidRPr="000D79C4">
        <w:rPr>
          <w:rFonts w:ascii="Arial" w:hAnsi="Arial" w:cs="Arial"/>
          <w:i/>
          <w:iCs/>
          <w:sz w:val="20"/>
          <w:szCs w:val="20"/>
          <w:shd w:val="clear" w:color="auto" w:fill="FFFFFF"/>
        </w:rPr>
        <w:t>, 26</w:t>
      </w:r>
      <w:r w:rsidRPr="000D79C4">
        <w:rPr>
          <w:rFonts w:ascii="Arial" w:hAnsi="Arial" w:cs="Arial"/>
          <w:sz w:val="20"/>
          <w:szCs w:val="20"/>
          <w:shd w:val="clear" w:color="auto" w:fill="FFFFFF"/>
        </w:rPr>
        <w:t>(1-2), 82–88.</w:t>
      </w:r>
    </w:p>
    <w:p w14:paraId="0C37AD3D" w14:textId="77777777"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Constable, P. D., </w:t>
      </w:r>
      <w:proofErr w:type="spellStart"/>
      <w:r w:rsidRPr="000D79C4">
        <w:rPr>
          <w:rFonts w:ascii="Arial" w:hAnsi="Arial" w:cs="Arial"/>
          <w:sz w:val="20"/>
          <w:szCs w:val="20"/>
          <w:shd w:val="clear" w:color="auto" w:fill="FFFFFF"/>
        </w:rPr>
        <w:t>Hinchcliff</w:t>
      </w:r>
      <w:proofErr w:type="spellEnd"/>
      <w:r w:rsidRPr="000D79C4">
        <w:rPr>
          <w:rFonts w:ascii="Arial" w:hAnsi="Arial" w:cs="Arial"/>
          <w:sz w:val="20"/>
          <w:szCs w:val="20"/>
          <w:shd w:val="clear" w:color="auto" w:fill="FFFFFF"/>
        </w:rPr>
        <w:t xml:space="preserve">, K. W., Done, S. H., &amp; </w:t>
      </w:r>
      <w:proofErr w:type="spellStart"/>
      <w:r w:rsidRPr="000D79C4">
        <w:rPr>
          <w:rFonts w:ascii="Arial" w:hAnsi="Arial" w:cs="Arial"/>
          <w:sz w:val="20"/>
          <w:szCs w:val="20"/>
          <w:shd w:val="clear" w:color="auto" w:fill="FFFFFF"/>
        </w:rPr>
        <w:t>Grumberg</w:t>
      </w:r>
      <w:proofErr w:type="spellEnd"/>
      <w:r w:rsidRPr="000D79C4">
        <w:rPr>
          <w:rFonts w:ascii="Arial" w:hAnsi="Arial" w:cs="Arial"/>
          <w:sz w:val="20"/>
          <w:szCs w:val="20"/>
          <w:shd w:val="clear" w:color="auto" w:fill="FFFFFF"/>
        </w:rPr>
        <w:t xml:space="preserve">, W. (2017). </w:t>
      </w:r>
      <w:r w:rsidRPr="000D79C4">
        <w:rPr>
          <w:rFonts w:ascii="Arial" w:hAnsi="Arial" w:cs="Arial"/>
          <w:i/>
          <w:iCs/>
          <w:sz w:val="20"/>
          <w:szCs w:val="20"/>
          <w:shd w:val="clear" w:color="auto" w:fill="FFFFFF"/>
        </w:rPr>
        <w:t>Veterinary medicine: A textbook of the diseases of cattle, horses, sheep, pigs and goats</w:t>
      </w:r>
      <w:r w:rsidRPr="000D79C4">
        <w:rPr>
          <w:rFonts w:ascii="Arial" w:hAnsi="Arial" w:cs="Arial"/>
          <w:sz w:val="20"/>
          <w:szCs w:val="20"/>
          <w:shd w:val="clear" w:color="auto" w:fill="FFFFFF"/>
        </w:rPr>
        <w:t xml:space="preserve"> (11th ed., pp. 1593–1596). Elsevier.</w:t>
      </w:r>
    </w:p>
    <w:p w14:paraId="4EFDA446" w14:textId="77777777"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Ghani, M. U., Khan, M. U. R., Aslam, A., Shabbir, Z., Bo, L., &amp; Anwar, N. (2019). Pathological studies on contagious ecthyma in naturally infected small ruminants. </w:t>
      </w:r>
      <w:r w:rsidRPr="000D79C4">
        <w:rPr>
          <w:rFonts w:ascii="Arial" w:hAnsi="Arial" w:cs="Arial"/>
          <w:i/>
          <w:iCs/>
          <w:sz w:val="20"/>
          <w:szCs w:val="20"/>
          <w:shd w:val="clear" w:color="auto" w:fill="FFFFFF"/>
        </w:rPr>
        <w:t>H &amp; V, 6</w:t>
      </w:r>
      <w:r w:rsidRPr="000D79C4">
        <w:rPr>
          <w:rFonts w:ascii="Arial" w:hAnsi="Arial" w:cs="Arial"/>
          <w:sz w:val="20"/>
          <w:szCs w:val="20"/>
          <w:shd w:val="clear" w:color="auto" w:fill="FFFFFF"/>
        </w:rPr>
        <w:t>(1), 16–22.</w:t>
      </w:r>
    </w:p>
    <w:p w14:paraId="7393E439" w14:textId="77777777"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Hosamani</w:t>
      </w:r>
      <w:proofErr w:type="spellEnd"/>
      <w:r w:rsidRPr="000D79C4">
        <w:rPr>
          <w:rFonts w:ascii="Arial" w:hAnsi="Arial" w:cs="Arial"/>
          <w:sz w:val="20"/>
          <w:szCs w:val="20"/>
          <w:shd w:val="clear" w:color="auto" w:fill="FFFFFF"/>
        </w:rPr>
        <w:t xml:space="preserve">, M., </w:t>
      </w:r>
      <w:proofErr w:type="spellStart"/>
      <w:r w:rsidRPr="000D79C4">
        <w:rPr>
          <w:rFonts w:ascii="Arial" w:hAnsi="Arial" w:cs="Arial"/>
          <w:sz w:val="20"/>
          <w:szCs w:val="20"/>
          <w:shd w:val="clear" w:color="auto" w:fill="FFFFFF"/>
        </w:rPr>
        <w:t>Bhanuprakash</w:t>
      </w:r>
      <w:proofErr w:type="spellEnd"/>
      <w:r w:rsidRPr="000D79C4">
        <w:rPr>
          <w:rFonts w:ascii="Arial" w:hAnsi="Arial" w:cs="Arial"/>
          <w:sz w:val="20"/>
          <w:szCs w:val="20"/>
          <w:shd w:val="clear" w:color="auto" w:fill="FFFFFF"/>
        </w:rPr>
        <w:t xml:space="preserve">, V., </w:t>
      </w:r>
      <w:proofErr w:type="spellStart"/>
      <w:r w:rsidRPr="000D79C4">
        <w:rPr>
          <w:rFonts w:ascii="Arial" w:hAnsi="Arial" w:cs="Arial"/>
          <w:sz w:val="20"/>
          <w:szCs w:val="20"/>
          <w:shd w:val="clear" w:color="auto" w:fill="FFFFFF"/>
        </w:rPr>
        <w:t>Scagliarini</w:t>
      </w:r>
      <w:proofErr w:type="spellEnd"/>
      <w:r w:rsidRPr="000D79C4">
        <w:rPr>
          <w:rFonts w:ascii="Arial" w:hAnsi="Arial" w:cs="Arial"/>
          <w:sz w:val="20"/>
          <w:szCs w:val="20"/>
          <w:shd w:val="clear" w:color="auto" w:fill="FFFFFF"/>
        </w:rPr>
        <w:t xml:space="preserve">, A., &amp; Singh, R. K. (2006). Comparative sequence analysis of major envelope protein gene (B2L) of Indian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viruses isolated from sheep and goats. </w:t>
      </w:r>
      <w:r w:rsidRPr="000D79C4">
        <w:rPr>
          <w:rFonts w:ascii="Arial" w:hAnsi="Arial" w:cs="Arial"/>
          <w:i/>
          <w:iCs/>
          <w:sz w:val="20"/>
          <w:szCs w:val="20"/>
          <w:shd w:val="clear" w:color="auto" w:fill="FFFFFF"/>
        </w:rPr>
        <w:t>Veterinary Microbiology, 116</w:t>
      </w:r>
      <w:r w:rsidRPr="000D79C4">
        <w:rPr>
          <w:rFonts w:ascii="Arial" w:hAnsi="Arial" w:cs="Arial"/>
          <w:sz w:val="20"/>
          <w:szCs w:val="20"/>
          <w:shd w:val="clear" w:color="auto" w:fill="FFFFFF"/>
        </w:rPr>
        <w:t>, 317–324.</w:t>
      </w:r>
    </w:p>
    <w:p w14:paraId="0BA753E6" w14:textId="77777777"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Maheshwari, S., </w:t>
      </w:r>
      <w:proofErr w:type="spellStart"/>
      <w:r w:rsidRPr="000D79C4">
        <w:rPr>
          <w:rFonts w:ascii="Arial" w:hAnsi="Arial" w:cs="Arial"/>
          <w:sz w:val="20"/>
          <w:szCs w:val="20"/>
          <w:shd w:val="clear" w:color="auto" w:fill="FFFFFF"/>
        </w:rPr>
        <w:t>Nithiselvi</w:t>
      </w:r>
      <w:proofErr w:type="spellEnd"/>
      <w:r w:rsidRPr="000D79C4">
        <w:rPr>
          <w:rFonts w:ascii="Arial" w:hAnsi="Arial" w:cs="Arial"/>
          <w:sz w:val="20"/>
          <w:szCs w:val="20"/>
          <w:shd w:val="clear" w:color="auto" w:fill="FFFFFF"/>
        </w:rPr>
        <w:t xml:space="preserve">, R., &amp; Thomas, K. S. (2024). A herd outbreak study on contagious ecthyma (ORF) occurrence in </w:t>
      </w:r>
      <w:proofErr w:type="spellStart"/>
      <w:r w:rsidRPr="000D79C4">
        <w:rPr>
          <w:rFonts w:ascii="Arial" w:hAnsi="Arial" w:cs="Arial"/>
          <w:sz w:val="20"/>
          <w:szCs w:val="20"/>
          <w:shd w:val="clear" w:color="auto" w:fill="FFFFFF"/>
        </w:rPr>
        <w:t>Thanjavur</w:t>
      </w:r>
      <w:proofErr w:type="spellEnd"/>
      <w:r w:rsidRPr="000D79C4">
        <w:rPr>
          <w:rFonts w:ascii="Arial" w:hAnsi="Arial" w:cs="Arial"/>
          <w:sz w:val="20"/>
          <w:szCs w:val="20"/>
          <w:shd w:val="clear" w:color="auto" w:fill="FFFFFF"/>
        </w:rPr>
        <w:t xml:space="preserve"> Black Goats. </w:t>
      </w:r>
      <w:r w:rsidRPr="000D79C4">
        <w:rPr>
          <w:rFonts w:ascii="Arial" w:hAnsi="Arial" w:cs="Arial"/>
          <w:i/>
          <w:iCs/>
          <w:sz w:val="20"/>
          <w:szCs w:val="20"/>
          <w:shd w:val="clear" w:color="auto" w:fill="FFFFFF"/>
        </w:rPr>
        <w:t>International Journal of Livestock Research, 14</w:t>
      </w:r>
      <w:r w:rsidRPr="000D79C4">
        <w:rPr>
          <w:rFonts w:ascii="Arial" w:hAnsi="Arial" w:cs="Arial"/>
          <w:sz w:val="20"/>
          <w:szCs w:val="20"/>
          <w:shd w:val="clear" w:color="auto" w:fill="FFFFFF"/>
        </w:rPr>
        <w:t>(7), 33–35.</w:t>
      </w:r>
    </w:p>
    <w:p w14:paraId="2D4A5554" w14:textId="77777777"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Merck &amp; Co., Inc. (2016). </w:t>
      </w:r>
      <w:r w:rsidRPr="000D79C4">
        <w:rPr>
          <w:rFonts w:ascii="Arial" w:hAnsi="Arial" w:cs="Arial"/>
          <w:i/>
          <w:iCs/>
          <w:sz w:val="20"/>
          <w:szCs w:val="20"/>
          <w:shd w:val="clear" w:color="auto" w:fill="FFFFFF"/>
        </w:rPr>
        <w:t>The MSD veterinary manual</w:t>
      </w:r>
      <w:r w:rsidRPr="000D79C4">
        <w:rPr>
          <w:rFonts w:ascii="Arial" w:hAnsi="Arial" w:cs="Arial"/>
          <w:sz w:val="20"/>
          <w:szCs w:val="20"/>
          <w:shd w:val="clear" w:color="auto" w:fill="FFFFFF"/>
        </w:rPr>
        <w:t xml:space="preserve"> (11th ed.). Whitehouse Station, NJ: Merck &amp; Co., Inc.</w:t>
      </w:r>
    </w:p>
    <w:p w14:paraId="17B848E4" w14:textId="77777777"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lastRenderedPageBreak/>
        <w:t>Patowary</w:t>
      </w:r>
      <w:proofErr w:type="spellEnd"/>
      <w:r w:rsidRPr="000D79C4">
        <w:rPr>
          <w:rFonts w:ascii="Arial" w:hAnsi="Arial" w:cs="Arial"/>
          <w:sz w:val="20"/>
          <w:szCs w:val="20"/>
          <w:shd w:val="clear" w:color="auto" w:fill="FFFFFF"/>
        </w:rPr>
        <w:t xml:space="preserve">, P., </w:t>
      </w:r>
      <w:proofErr w:type="spellStart"/>
      <w:r w:rsidRPr="000D79C4">
        <w:rPr>
          <w:rFonts w:ascii="Arial" w:hAnsi="Arial" w:cs="Arial"/>
          <w:sz w:val="20"/>
          <w:szCs w:val="20"/>
          <w:shd w:val="clear" w:color="auto" w:fill="FFFFFF"/>
        </w:rPr>
        <w:t>Bhuyan</w:t>
      </w:r>
      <w:proofErr w:type="spellEnd"/>
      <w:r w:rsidRPr="000D79C4">
        <w:rPr>
          <w:rFonts w:ascii="Arial" w:hAnsi="Arial" w:cs="Arial"/>
          <w:sz w:val="20"/>
          <w:szCs w:val="20"/>
          <w:shd w:val="clear" w:color="auto" w:fill="FFFFFF"/>
        </w:rPr>
        <w:t xml:space="preserve">, D., Das, A., </w:t>
      </w:r>
      <w:proofErr w:type="spellStart"/>
      <w:r w:rsidRPr="000D79C4">
        <w:rPr>
          <w:rFonts w:ascii="Arial" w:hAnsi="Arial" w:cs="Arial"/>
          <w:sz w:val="20"/>
          <w:szCs w:val="20"/>
          <w:shd w:val="clear" w:color="auto" w:fill="FFFFFF"/>
        </w:rPr>
        <w:t>Sonowal</w:t>
      </w:r>
      <w:proofErr w:type="spellEnd"/>
      <w:r w:rsidRPr="000D79C4">
        <w:rPr>
          <w:rFonts w:ascii="Arial" w:hAnsi="Arial" w:cs="Arial"/>
          <w:sz w:val="20"/>
          <w:szCs w:val="20"/>
          <w:shd w:val="clear" w:color="auto" w:fill="FFFFFF"/>
        </w:rPr>
        <w:t xml:space="preserve">, M., Nath, M., </w:t>
      </w:r>
      <w:proofErr w:type="spellStart"/>
      <w:r w:rsidRPr="000D79C4">
        <w:rPr>
          <w:rFonts w:ascii="Arial" w:hAnsi="Arial" w:cs="Arial"/>
          <w:sz w:val="20"/>
          <w:szCs w:val="20"/>
          <w:shd w:val="clear" w:color="auto" w:fill="FFFFFF"/>
        </w:rPr>
        <w:t>Arif</w:t>
      </w:r>
      <w:proofErr w:type="spellEnd"/>
      <w:r w:rsidRPr="000D79C4">
        <w:rPr>
          <w:rFonts w:ascii="Arial" w:hAnsi="Arial" w:cs="Arial"/>
          <w:sz w:val="20"/>
          <w:szCs w:val="20"/>
          <w:shd w:val="clear" w:color="auto" w:fill="FFFFFF"/>
        </w:rPr>
        <w:t xml:space="preserve">, S. A., &amp; Kalita, M. K. (2025). A study on prevalence of morbidity and mortality due to different diseases in Assam hill goat in Assam Agricultural University: Goat Research Station, </w:t>
      </w:r>
      <w:proofErr w:type="spellStart"/>
      <w:r w:rsidRPr="000D79C4">
        <w:rPr>
          <w:rFonts w:ascii="Arial" w:hAnsi="Arial" w:cs="Arial"/>
          <w:sz w:val="20"/>
          <w:szCs w:val="20"/>
          <w:shd w:val="clear" w:color="auto" w:fill="FFFFFF"/>
        </w:rPr>
        <w:t>Burnihat</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Kamrup</w:t>
      </w:r>
      <w:proofErr w:type="spellEnd"/>
      <w:r w:rsidRPr="000D79C4">
        <w:rPr>
          <w:rFonts w:ascii="Arial" w:hAnsi="Arial" w:cs="Arial"/>
          <w:sz w:val="20"/>
          <w:szCs w:val="20"/>
          <w:shd w:val="clear" w:color="auto" w:fill="FFFFFF"/>
        </w:rPr>
        <w:t xml:space="preserve"> (M), Assam, India. </w:t>
      </w:r>
      <w:r w:rsidRPr="000D79C4">
        <w:rPr>
          <w:rFonts w:ascii="Arial" w:hAnsi="Arial" w:cs="Arial"/>
          <w:i/>
          <w:iCs/>
          <w:sz w:val="20"/>
          <w:szCs w:val="20"/>
          <w:shd w:val="clear" w:color="auto" w:fill="FFFFFF"/>
        </w:rPr>
        <w:t>International Journal of Biological Sciences, 7</w:t>
      </w:r>
      <w:r w:rsidRPr="000D79C4">
        <w:rPr>
          <w:rFonts w:ascii="Arial" w:hAnsi="Arial" w:cs="Arial"/>
          <w:sz w:val="20"/>
          <w:szCs w:val="20"/>
          <w:shd w:val="clear" w:color="auto" w:fill="FFFFFF"/>
        </w:rPr>
        <w:t>(1), 41–43.</w:t>
      </w:r>
    </w:p>
    <w:p w14:paraId="13D11059" w14:textId="77777777" w:rsidR="00C37B5B" w:rsidRPr="000D79C4" w:rsidRDefault="00C37B5B"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Somnath, M. N., </w:t>
      </w:r>
      <w:proofErr w:type="spellStart"/>
      <w:r w:rsidRPr="000D79C4">
        <w:rPr>
          <w:rFonts w:ascii="Arial" w:hAnsi="Arial" w:cs="Arial"/>
          <w:sz w:val="20"/>
          <w:szCs w:val="20"/>
          <w:shd w:val="clear" w:color="auto" w:fill="FFFFFF"/>
        </w:rPr>
        <w:t>Moovendan</w:t>
      </w:r>
      <w:proofErr w:type="spellEnd"/>
      <w:r w:rsidRPr="000D79C4">
        <w:rPr>
          <w:rFonts w:ascii="Arial" w:hAnsi="Arial" w:cs="Arial"/>
          <w:sz w:val="20"/>
          <w:szCs w:val="20"/>
          <w:shd w:val="clear" w:color="auto" w:fill="FFFFFF"/>
        </w:rPr>
        <w:t xml:space="preserve">, M., Vivek, S., Rajkumar, K., Gururaj, K., </w:t>
      </w:r>
      <w:proofErr w:type="spellStart"/>
      <w:r w:rsidRPr="000D79C4">
        <w:rPr>
          <w:rFonts w:ascii="Arial" w:hAnsi="Arial" w:cs="Arial"/>
          <w:sz w:val="20"/>
          <w:szCs w:val="20"/>
          <w:shd w:val="clear" w:color="auto" w:fill="FFFFFF"/>
        </w:rPr>
        <w:t>Devadevi</w:t>
      </w:r>
      <w:proofErr w:type="spellEnd"/>
      <w:r w:rsidRPr="000D79C4">
        <w:rPr>
          <w:rFonts w:ascii="Arial" w:hAnsi="Arial" w:cs="Arial"/>
          <w:sz w:val="20"/>
          <w:szCs w:val="20"/>
          <w:shd w:val="clear" w:color="auto" w:fill="FFFFFF"/>
        </w:rPr>
        <w:t xml:space="preserve">, N., </w:t>
      </w:r>
      <w:proofErr w:type="spellStart"/>
      <w:r w:rsidRPr="000D79C4">
        <w:rPr>
          <w:rFonts w:ascii="Arial" w:hAnsi="Arial" w:cs="Arial"/>
          <w:sz w:val="20"/>
          <w:szCs w:val="20"/>
          <w:shd w:val="clear" w:color="auto" w:fill="FFFFFF"/>
        </w:rPr>
        <w:t>Selvi</w:t>
      </w:r>
      <w:proofErr w:type="spellEnd"/>
      <w:r w:rsidRPr="000D79C4">
        <w:rPr>
          <w:rFonts w:ascii="Arial" w:hAnsi="Arial" w:cs="Arial"/>
          <w:sz w:val="20"/>
          <w:szCs w:val="20"/>
          <w:shd w:val="clear" w:color="auto" w:fill="FFFFFF"/>
        </w:rPr>
        <w:t xml:space="preserve">, D., </w:t>
      </w:r>
      <w:proofErr w:type="spellStart"/>
      <w:r w:rsidRPr="000D79C4">
        <w:rPr>
          <w:rFonts w:ascii="Arial" w:hAnsi="Arial" w:cs="Arial"/>
          <w:sz w:val="20"/>
          <w:szCs w:val="20"/>
          <w:shd w:val="clear" w:color="auto" w:fill="FFFFFF"/>
        </w:rPr>
        <w:t>Abiramy</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Prabavathy</w:t>
      </w:r>
      <w:proofErr w:type="spellEnd"/>
      <w:r w:rsidRPr="000D79C4">
        <w:rPr>
          <w:rFonts w:ascii="Arial" w:hAnsi="Arial" w:cs="Arial"/>
          <w:sz w:val="20"/>
          <w:szCs w:val="20"/>
          <w:shd w:val="clear" w:color="auto" w:fill="FFFFFF"/>
        </w:rPr>
        <w:t xml:space="preserve">, A., &amp; </w:t>
      </w:r>
      <w:proofErr w:type="spellStart"/>
      <w:r w:rsidRPr="000D79C4">
        <w:rPr>
          <w:rFonts w:ascii="Arial" w:hAnsi="Arial" w:cs="Arial"/>
          <w:sz w:val="20"/>
          <w:szCs w:val="20"/>
          <w:shd w:val="clear" w:color="auto" w:fill="FFFFFF"/>
        </w:rPr>
        <w:t>Vijayalakshm</w:t>
      </w:r>
      <w:proofErr w:type="spellEnd"/>
      <w:r w:rsidRPr="000D79C4">
        <w:rPr>
          <w:rFonts w:ascii="Arial" w:hAnsi="Arial" w:cs="Arial"/>
          <w:sz w:val="20"/>
          <w:szCs w:val="20"/>
          <w:shd w:val="clear" w:color="auto" w:fill="FFFFFF"/>
        </w:rPr>
        <w:t xml:space="preserve">, P. (2025). Epidemiology, clinical features, and molecular detection of contagious ecthyma (ORF) virus in naturally infected goats of Puducherry (India) and its adjoining areas of Tamil Nadu. </w:t>
      </w:r>
      <w:r w:rsidRPr="000D79C4">
        <w:rPr>
          <w:rFonts w:ascii="Arial" w:hAnsi="Arial" w:cs="Arial"/>
          <w:i/>
          <w:iCs/>
          <w:sz w:val="20"/>
          <w:szCs w:val="20"/>
          <w:shd w:val="clear" w:color="auto" w:fill="FFFFFF"/>
        </w:rPr>
        <w:t>International Journal of Veterinary Sciences and Animal Husbandry, 10</w:t>
      </w:r>
      <w:r w:rsidRPr="000D79C4">
        <w:rPr>
          <w:rFonts w:ascii="Arial" w:hAnsi="Arial" w:cs="Arial"/>
          <w:sz w:val="20"/>
          <w:szCs w:val="20"/>
          <w:shd w:val="clear" w:color="auto" w:fill="FFFFFF"/>
        </w:rPr>
        <w:t>(5), 312–316.</w:t>
      </w:r>
    </w:p>
    <w:p w14:paraId="566CDEAD" w14:textId="77777777"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Sowmiya</w:t>
      </w:r>
      <w:proofErr w:type="spellEnd"/>
      <w:r w:rsidRPr="000D79C4">
        <w:rPr>
          <w:rFonts w:ascii="Arial" w:hAnsi="Arial" w:cs="Arial"/>
          <w:sz w:val="20"/>
          <w:szCs w:val="20"/>
          <w:shd w:val="clear" w:color="auto" w:fill="FFFFFF"/>
        </w:rPr>
        <w:t xml:space="preserve">, P. V., Ramya, K., </w:t>
      </w:r>
      <w:proofErr w:type="spellStart"/>
      <w:r w:rsidRPr="000D79C4">
        <w:rPr>
          <w:rFonts w:ascii="Arial" w:hAnsi="Arial" w:cs="Arial"/>
          <w:sz w:val="20"/>
          <w:szCs w:val="20"/>
          <w:shd w:val="clear" w:color="auto" w:fill="FFFFFF"/>
        </w:rPr>
        <w:t>Sukmar</w:t>
      </w:r>
      <w:proofErr w:type="spellEnd"/>
      <w:r w:rsidRPr="000D79C4">
        <w:rPr>
          <w:rFonts w:ascii="Arial" w:hAnsi="Arial" w:cs="Arial"/>
          <w:sz w:val="20"/>
          <w:szCs w:val="20"/>
          <w:shd w:val="clear" w:color="auto" w:fill="FFFFFF"/>
        </w:rPr>
        <w:t xml:space="preserve">, K., &amp; </w:t>
      </w:r>
      <w:proofErr w:type="spellStart"/>
      <w:r w:rsidRPr="000D79C4">
        <w:rPr>
          <w:rFonts w:ascii="Arial" w:hAnsi="Arial" w:cs="Arial"/>
          <w:sz w:val="20"/>
          <w:szCs w:val="20"/>
          <w:shd w:val="clear" w:color="auto" w:fill="FFFFFF"/>
        </w:rPr>
        <w:t>Madheswaran</w:t>
      </w:r>
      <w:proofErr w:type="spellEnd"/>
      <w:r w:rsidRPr="000D79C4">
        <w:rPr>
          <w:rFonts w:ascii="Arial" w:hAnsi="Arial" w:cs="Arial"/>
          <w:sz w:val="20"/>
          <w:szCs w:val="20"/>
          <w:shd w:val="clear" w:color="auto" w:fill="FFFFFF"/>
        </w:rPr>
        <w:t xml:space="preserve">, R. (2018). Molecular confirmation of contagious ecthyma among goats in Dharmapuri District of Tamil Nadu, India. </w:t>
      </w:r>
      <w:r w:rsidRPr="000D79C4">
        <w:rPr>
          <w:rFonts w:ascii="Arial" w:hAnsi="Arial" w:cs="Arial"/>
          <w:i/>
          <w:iCs/>
          <w:sz w:val="20"/>
          <w:szCs w:val="20"/>
          <w:shd w:val="clear" w:color="auto" w:fill="FFFFFF"/>
        </w:rPr>
        <w:t>International Journal of Current Microbiology and Applied Sciences, 7</w:t>
      </w:r>
      <w:r w:rsidRPr="000D79C4">
        <w:rPr>
          <w:rFonts w:ascii="Arial" w:hAnsi="Arial" w:cs="Arial"/>
          <w:sz w:val="20"/>
          <w:szCs w:val="20"/>
          <w:shd w:val="clear" w:color="auto" w:fill="FFFFFF"/>
        </w:rPr>
        <w:t>(6), 60–65.</w:t>
      </w:r>
    </w:p>
    <w:p w14:paraId="29A78377" w14:textId="77777777" w:rsidR="00C37B5B" w:rsidRPr="000D79C4" w:rsidRDefault="00C37B5B"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Spyrou</w:t>
      </w:r>
      <w:proofErr w:type="spellEnd"/>
      <w:r w:rsidRPr="000D79C4">
        <w:rPr>
          <w:rFonts w:ascii="Arial" w:hAnsi="Arial" w:cs="Arial"/>
          <w:sz w:val="20"/>
          <w:szCs w:val="20"/>
          <w:shd w:val="clear" w:color="auto" w:fill="FFFFFF"/>
        </w:rPr>
        <w:t xml:space="preserve">, V., &amp; </w:t>
      </w:r>
      <w:proofErr w:type="spellStart"/>
      <w:r w:rsidRPr="000D79C4">
        <w:rPr>
          <w:rFonts w:ascii="Arial" w:hAnsi="Arial" w:cs="Arial"/>
          <w:sz w:val="20"/>
          <w:szCs w:val="20"/>
          <w:shd w:val="clear" w:color="auto" w:fill="FFFFFF"/>
        </w:rPr>
        <w:t>Valiakos</w:t>
      </w:r>
      <w:proofErr w:type="spellEnd"/>
      <w:r w:rsidRPr="000D79C4">
        <w:rPr>
          <w:rFonts w:ascii="Arial" w:hAnsi="Arial" w:cs="Arial"/>
          <w:sz w:val="20"/>
          <w:szCs w:val="20"/>
          <w:shd w:val="clear" w:color="auto" w:fill="FFFFFF"/>
        </w:rPr>
        <w:t xml:space="preserve">, G. (2015). ORF virus infection in sheep or goats. </w:t>
      </w:r>
      <w:r w:rsidRPr="000D79C4">
        <w:rPr>
          <w:rFonts w:ascii="Arial" w:hAnsi="Arial" w:cs="Arial"/>
          <w:i/>
          <w:iCs/>
          <w:sz w:val="20"/>
          <w:szCs w:val="20"/>
          <w:shd w:val="clear" w:color="auto" w:fill="FFFFFF"/>
        </w:rPr>
        <w:t>Veterinary Microbiology, 181</w:t>
      </w:r>
      <w:r w:rsidRPr="000D79C4">
        <w:rPr>
          <w:rFonts w:ascii="Arial" w:hAnsi="Arial" w:cs="Arial"/>
          <w:sz w:val="20"/>
          <w:szCs w:val="20"/>
          <w:shd w:val="clear" w:color="auto" w:fill="FFFFFF"/>
        </w:rPr>
        <w:t>, 178–182.</w:t>
      </w:r>
    </w:p>
    <w:p w14:paraId="1A6B464C" w14:textId="77777777" w:rsidR="00C37B5B" w:rsidRPr="000D79C4" w:rsidRDefault="00C37B5B" w:rsidP="00336EFC">
      <w:pPr>
        <w:ind w:left="851" w:hanging="774"/>
        <w:jc w:val="both"/>
        <w:rPr>
          <w:rFonts w:ascii="Arial" w:hAnsi="Arial" w:cs="Arial"/>
          <w:sz w:val="20"/>
          <w:szCs w:val="20"/>
        </w:rPr>
      </w:pPr>
      <w:r w:rsidRPr="000D79C4">
        <w:rPr>
          <w:rFonts w:ascii="Arial" w:hAnsi="Arial" w:cs="Arial"/>
          <w:sz w:val="20"/>
          <w:szCs w:val="20"/>
          <w:shd w:val="clear" w:color="auto" w:fill="FFFFFF"/>
        </w:rPr>
        <w:t xml:space="preserve">Sunder Jai, Sujatha T., De A.K., Bhattacharya D., </w:t>
      </w:r>
      <w:proofErr w:type="spellStart"/>
      <w:r w:rsidRPr="000D79C4">
        <w:rPr>
          <w:rFonts w:ascii="Arial" w:hAnsi="Arial" w:cs="Arial"/>
          <w:sz w:val="20"/>
          <w:szCs w:val="20"/>
          <w:shd w:val="clear" w:color="auto" w:fill="FFFFFF"/>
        </w:rPr>
        <w:t>Bhowmick</w:t>
      </w:r>
      <w:proofErr w:type="spellEnd"/>
      <w:r w:rsidRPr="000D79C4">
        <w:rPr>
          <w:rFonts w:ascii="Arial" w:hAnsi="Arial" w:cs="Arial"/>
          <w:sz w:val="20"/>
          <w:szCs w:val="20"/>
          <w:shd w:val="clear" w:color="auto" w:fill="FFFFFF"/>
        </w:rPr>
        <w:t xml:space="preserve"> S., Perumal P., Kundu A. (2019). First report of contagious </w:t>
      </w:r>
      <w:proofErr w:type="spellStart"/>
      <w:r w:rsidRPr="000D79C4">
        <w:rPr>
          <w:rFonts w:ascii="Arial" w:hAnsi="Arial" w:cs="Arial"/>
          <w:sz w:val="20"/>
          <w:szCs w:val="20"/>
          <w:shd w:val="clear" w:color="auto" w:fill="FFFFFF"/>
        </w:rPr>
        <w:t>ecthyma</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outbreak in goats</w:t>
      </w:r>
      <w:r w:rsidR="00481CF1" w:rsidRPr="000D79C4">
        <w:rPr>
          <w:rFonts w:ascii="Arial" w:hAnsi="Arial" w:cs="Arial"/>
          <w:sz w:val="20"/>
          <w:szCs w:val="20"/>
          <w:shd w:val="clear" w:color="auto" w:fill="FFFFFF"/>
        </w:rPr>
        <w:t xml:space="preserve"> of Andaman and Nicobar Islands</w:t>
      </w:r>
      <w:r w:rsidRPr="000D79C4">
        <w:rPr>
          <w:rFonts w:ascii="Arial" w:hAnsi="Arial" w:cs="Arial"/>
          <w:sz w:val="20"/>
          <w:szCs w:val="20"/>
          <w:shd w:val="clear" w:color="auto" w:fill="FFFFFF"/>
        </w:rPr>
        <w:t xml:space="preserve">. Indian Journal of Animal Research. 54(4): 503-507. </w:t>
      </w:r>
      <w:proofErr w:type="spellStart"/>
      <w:proofErr w:type="gramStart"/>
      <w:r w:rsidRPr="000D79C4">
        <w:rPr>
          <w:rFonts w:ascii="Arial" w:hAnsi="Arial" w:cs="Arial"/>
          <w:sz w:val="20"/>
          <w:szCs w:val="20"/>
          <w:shd w:val="clear" w:color="auto" w:fill="FFFFFF"/>
        </w:rPr>
        <w:t>doi</w:t>
      </w:r>
      <w:proofErr w:type="spellEnd"/>
      <w:proofErr w:type="gramEnd"/>
      <w:r w:rsidRPr="000D79C4">
        <w:rPr>
          <w:rFonts w:ascii="Arial" w:hAnsi="Arial" w:cs="Arial"/>
          <w:sz w:val="20"/>
          <w:szCs w:val="20"/>
          <w:shd w:val="clear" w:color="auto" w:fill="FFFFFF"/>
        </w:rPr>
        <w:t>: 10.18805/ijar.B-3787</w:t>
      </w:r>
    </w:p>
    <w:p w14:paraId="207491D3" w14:textId="77777777" w:rsidR="0087217E" w:rsidRPr="000D79C4" w:rsidRDefault="0087217E" w:rsidP="00C371AF">
      <w:pPr>
        <w:rPr>
          <w:rFonts w:ascii="Arial" w:hAnsi="Arial" w:cs="Arial"/>
          <w:b/>
          <w:sz w:val="20"/>
          <w:szCs w:val="20"/>
        </w:rPr>
      </w:pPr>
    </w:p>
    <w:sectPr w:rsidR="0087217E" w:rsidRPr="000D79C4" w:rsidSect="008567F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13T10:29:00Z" w:initials="Ma">
    <w:p w14:paraId="43F3A10B" w14:textId="77777777" w:rsidR="00F12675" w:rsidRPr="00F12675" w:rsidRDefault="00F12675">
      <w:pPr>
        <w:pStyle w:val="CommentText"/>
        <w:rPr>
          <w:lang/>
        </w:rPr>
      </w:pPr>
      <w:r>
        <w:rPr>
          <w:rStyle w:val="CommentReference"/>
        </w:rPr>
        <w:annotationRef/>
      </w:r>
      <w:r>
        <w:rPr>
          <w:lang/>
        </w:rPr>
        <w:t>Write in alphabetical order</w:t>
      </w:r>
    </w:p>
  </w:comment>
  <w:comment w:id="1" w:author="Microsoft account" w:date="2026-03-13T10:30:00Z" w:initials="Ma">
    <w:p w14:paraId="7475E8FA" w14:textId="77777777" w:rsidR="00F12675" w:rsidRPr="00F12675" w:rsidRDefault="00F12675">
      <w:pPr>
        <w:pStyle w:val="CommentText"/>
        <w:rPr>
          <w:lang/>
        </w:rPr>
      </w:pPr>
      <w:r>
        <w:rPr>
          <w:rStyle w:val="CommentReference"/>
        </w:rPr>
        <w:annotationRef/>
      </w:r>
      <w:r>
        <w:rPr>
          <w:lang/>
        </w:rPr>
        <w:t>Follow the guideline of the Journal..how to cite and refere.</w:t>
      </w:r>
    </w:p>
  </w:comment>
  <w:comment w:id="2" w:author="Microsoft account" w:date="2026-03-13T10:32:00Z" w:initials="Ma">
    <w:p w14:paraId="364BDEEE" w14:textId="26A1D6CE" w:rsidR="00677296" w:rsidRPr="00677296" w:rsidRDefault="00677296">
      <w:pPr>
        <w:pStyle w:val="CommentText"/>
        <w:rPr>
          <w:lang/>
        </w:rPr>
      </w:pPr>
      <w:r>
        <w:rPr>
          <w:rStyle w:val="CommentReference"/>
        </w:rPr>
        <w:annotationRef/>
      </w:r>
      <w:r>
        <w:rPr>
          <w:lang/>
        </w:rPr>
        <w:t>Too narrow. Describe the study area including the ecology, GPS, gooat population and other inclusive criteria.</w:t>
      </w:r>
    </w:p>
  </w:comment>
  <w:comment w:id="3" w:author="Microsoft account" w:date="2026-03-13T10:34:00Z" w:initials="Ma">
    <w:p w14:paraId="29BA564F" w14:textId="1CFEF228" w:rsidR="00677296" w:rsidRPr="00677296" w:rsidRDefault="00677296">
      <w:pPr>
        <w:pStyle w:val="CommentText"/>
        <w:rPr>
          <w:lang/>
        </w:rPr>
      </w:pPr>
      <w:r>
        <w:rPr>
          <w:rStyle w:val="CommentReference"/>
        </w:rPr>
        <w:annotationRef/>
      </w:r>
      <w:r>
        <w:rPr>
          <w:lang/>
        </w:rPr>
        <w:t>It is better the breeds  in your study.</w:t>
      </w:r>
    </w:p>
  </w:comment>
  <w:comment w:id="4" w:author="Microsoft account" w:date="2026-03-13T10:38:00Z" w:initials="Ma">
    <w:p w14:paraId="7B9C9B54" w14:textId="07ADC5FD" w:rsidR="00677296" w:rsidRPr="00677296" w:rsidRDefault="00677296">
      <w:pPr>
        <w:pStyle w:val="CommentText"/>
        <w:rPr>
          <w:lang/>
        </w:rPr>
      </w:pPr>
      <w:r>
        <w:rPr>
          <w:rStyle w:val="CommentReference"/>
        </w:rPr>
        <w:annotationRef/>
      </w:r>
      <w:r>
        <w:rPr>
          <w:lang/>
        </w:rPr>
        <w:t>Delete the full styop.</w:t>
      </w:r>
    </w:p>
  </w:comment>
  <w:comment w:id="5" w:author="Microsoft account" w:date="2026-03-13T10:40:00Z" w:initials="Ma">
    <w:p w14:paraId="30913A4D" w14:textId="636EB9F1" w:rsidR="00677296" w:rsidRPr="00677296" w:rsidRDefault="00677296">
      <w:pPr>
        <w:pStyle w:val="CommentText"/>
        <w:rPr>
          <w:lang/>
        </w:rPr>
      </w:pPr>
      <w:r>
        <w:rPr>
          <w:rStyle w:val="CommentReference"/>
        </w:rPr>
        <w:annotationRef/>
      </w:r>
      <w:r>
        <w:rPr>
          <w:lang/>
        </w:rPr>
        <w:t>Write its full form.</w:t>
      </w:r>
    </w:p>
  </w:comment>
  <w:comment w:id="6" w:author="Microsoft account" w:date="2026-03-13T10:49:00Z" w:initials="Ma">
    <w:p w14:paraId="622C4D66" w14:textId="717E2A8E" w:rsidR="00C770F1" w:rsidRPr="00C770F1" w:rsidRDefault="00C770F1">
      <w:pPr>
        <w:pStyle w:val="CommentText"/>
        <w:rPr>
          <w:lang/>
        </w:rPr>
      </w:pPr>
      <w:r>
        <w:rPr>
          <w:rStyle w:val="CommentReference"/>
        </w:rPr>
        <w:annotationRef/>
      </w:r>
      <w:r>
        <w:rPr>
          <w:lang/>
        </w:rPr>
        <w:t>What type of sample is taken for this purpose?</w:t>
      </w:r>
    </w:p>
  </w:comment>
  <w:comment w:id="7" w:author="Microsoft account" w:date="2026-03-13T10:50:00Z" w:initials="Ma">
    <w:p w14:paraId="10338D50" w14:textId="17AA75A9" w:rsidR="00C770F1" w:rsidRPr="00C770F1" w:rsidRDefault="00C770F1">
      <w:pPr>
        <w:pStyle w:val="CommentText"/>
        <w:rPr>
          <w:lang/>
        </w:rPr>
      </w:pPr>
      <w:r>
        <w:rPr>
          <w:rStyle w:val="CommentReference"/>
        </w:rPr>
        <w:annotationRef/>
      </w:r>
      <w:r>
        <w:rPr>
          <w:lang/>
        </w:rPr>
        <w:t>Indicate the sample taken for this purpose.</w:t>
      </w:r>
    </w:p>
  </w:comment>
  <w:comment w:id="8" w:author="Microsoft account" w:date="2026-03-13T10:51:00Z" w:initials="Ma">
    <w:p w14:paraId="01709A4F" w14:textId="2177098D" w:rsidR="00C770F1" w:rsidRPr="00C770F1" w:rsidRDefault="00C770F1">
      <w:pPr>
        <w:pStyle w:val="CommentText"/>
        <w:rPr>
          <w:lang/>
        </w:rPr>
      </w:pPr>
      <w:r>
        <w:rPr>
          <w:rStyle w:val="CommentReference"/>
        </w:rPr>
        <w:annotationRef/>
      </w:r>
      <w:r>
        <w:rPr>
          <w:lang/>
        </w:rPr>
        <w:t>Which drug is used to treat the case?</w:t>
      </w:r>
    </w:p>
  </w:comment>
  <w:comment w:id="10" w:author="Microsoft account" w:date="2026-03-13T10:43:00Z" w:initials="Ma">
    <w:p w14:paraId="0AA77D99" w14:textId="7A9DE161" w:rsidR="00A30D44" w:rsidRPr="00A30D44" w:rsidRDefault="00A30D44">
      <w:pPr>
        <w:pStyle w:val="CommentText"/>
        <w:rPr>
          <w:lang/>
        </w:rPr>
      </w:pPr>
      <w:r>
        <w:rPr>
          <w:rStyle w:val="CommentReference"/>
        </w:rPr>
        <w:annotationRef/>
      </w:r>
      <w:r>
        <w:rPr>
          <w:lang/>
        </w:rPr>
        <w:t>By what criteria? How could you say the prevalence as moderate?</w:t>
      </w:r>
    </w:p>
  </w:comment>
  <w:comment w:id="9" w:author="Microsoft account" w:date="2026-03-13T10:48:00Z" w:initials="Ma">
    <w:p w14:paraId="018070DE" w14:textId="34BA17B5" w:rsidR="00C770F1" w:rsidRPr="00C770F1" w:rsidRDefault="00C770F1">
      <w:pPr>
        <w:pStyle w:val="CommentText"/>
        <w:rPr>
          <w:lang/>
        </w:rPr>
      </w:pPr>
      <w:r>
        <w:rPr>
          <w:rStyle w:val="CommentReference"/>
        </w:rPr>
        <w:annotationRef/>
      </w:r>
      <w:r>
        <w:rPr>
          <w:lang/>
        </w:rPr>
        <w:t>This is narrow. Try to conclude all of your findings.</w:t>
      </w:r>
    </w:p>
  </w:comment>
  <w:comment w:id="12" w:author="Microsoft account" w:date="2026-03-13T10:47:00Z" w:initials="Ma">
    <w:p w14:paraId="76E11F80" w14:textId="507A780C" w:rsidR="00A30D44" w:rsidRPr="00A30D44" w:rsidRDefault="00A30D44">
      <w:pPr>
        <w:pStyle w:val="CommentText"/>
        <w:rPr>
          <w:lang/>
        </w:rPr>
      </w:pPr>
      <w:r>
        <w:rPr>
          <w:rStyle w:val="CommentReference"/>
        </w:rPr>
        <w:annotationRef/>
      </w:r>
      <w:r>
        <w:rPr>
          <w:lang/>
        </w:rPr>
        <w:t>As your sample collection is invasive; the ethical clearance letter should be submitted to the journal editor.</w:t>
      </w:r>
    </w:p>
  </w:comment>
  <w:comment w:id="13" w:author="Microsoft account" w:date="2026-03-13T10:46:00Z" w:initials="Ma">
    <w:p w14:paraId="15DC325D" w14:textId="2675238A" w:rsidR="00A30D44" w:rsidRPr="00A30D44" w:rsidRDefault="00A30D44">
      <w:pPr>
        <w:pStyle w:val="CommentText"/>
        <w:rPr>
          <w:lang/>
        </w:rPr>
      </w:pPr>
      <w:r>
        <w:rPr>
          <w:rStyle w:val="CommentReference"/>
        </w:rPr>
        <w:annotationRef/>
      </w:r>
      <w:r>
        <w:rPr>
          <w:lang/>
        </w:rPr>
        <w:t>Include the doi for all of your reference or remove it to make your reference uniform.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F3A10B" w15:done="0"/>
  <w15:commentEx w15:paraId="7475E8FA" w15:done="0"/>
  <w15:commentEx w15:paraId="364BDEEE" w15:done="0"/>
  <w15:commentEx w15:paraId="29BA564F" w15:done="0"/>
  <w15:commentEx w15:paraId="7B9C9B54" w15:done="0"/>
  <w15:commentEx w15:paraId="30913A4D" w15:done="0"/>
  <w15:commentEx w15:paraId="622C4D66" w15:done="0"/>
  <w15:commentEx w15:paraId="10338D50" w15:done="0"/>
  <w15:commentEx w15:paraId="01709A4F" w15:done="0"/>
  <w15:commentEx w15:paraId="0AA77D99" w15:done="0"/>
  <w15:commentEx w15:paraId="018070DE" w15:done="0"/>
  <w15:commentEx w15:paraId="76E11F80" w15:done="0"/>
  <w15:commentEx w15:paraId="15DC32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2F1E7" w14:textId="77777777" w:rsidR="001D2A49" w:rsidRDefault="001D2A49" w:rsidP="002D6047">
      <w:pPr>
        <w:spacing w:after="0" w:line="240" w:lineRule="auto"/>
      </w:pPr>
      <w:r>
        <w:separator/>
      </w:r>
    </w:p>
  </w:endnote>
  <w:endnote w:type="continuationSeparator" w:id="0">
    <w:p w14:paraId="1CAFA1C7" w14:textId="77777777" w:rsidR="001D2A49" w:rsidRDefault="001D2A49" w:rsidP="002D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0D884" w14:textId="77777777" w:rsidR="002D6047" w:rsidRDefault="002D6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06D6" w14:textId="77777777" w:rsidR="002D6047" w:rsidRDefault="002D6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2DD48" w14:textId="77777777" w:rsidR="002D6047" w:rsidRDefault="002D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E20DA" w14:textId="77777777" w:rsidR="001D2A49" w:rsidRDefault="001D2A49" w:rsidP="002D6047">
      <w:pPr>
        <w:spacing w:after="0" w:line="240" w:lineRule="auto"/>
      </w:pPr>
      <w:r>
        <w:separator/>
      </w:r>
    </w:p>
  </w:footnote>
  <w:footnote w:type="continuationSeparator" w:id="0">
    <w:p w14:paraId="63C373CC" w14:textId="77777777" w:rsidR="001D2A49" w:rsidRDefault="001D2A49" w:rsidP="002D6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CE3C8" w14:textId="77777777" w:rsidR="002D6047" w:rsidRDefault="001D2A49">
    <w:pPr>
      <w:pStyle w:val="Header"/>
    </w:pPr>
    <w:r>
      <w:rPr>
        <w:noProof/>
      </w:rPr>
      <w:pict w14:anchorId="03AB9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CFC1" w14:textId="77777777" w:rsidR="002D6047" w:rsidRDefault="001D2A49">
    <w:pPr>
      <w:pStyle w:val="Header"/>
    </w:pPr>
    <w:r>
      <w:rPr>
        <w:noProof/>
      </w:rPr>
      <w:pict w14:anchorId="69E5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E8E6" w14:textId="77777777" w:rsidR="002D6047" w:rsidRDefault="001D2A49">
    <w:pPr>
      <w:pStyle w:val="Header"/>
    </w:pPr>
    <w:r>
      <w:rPr>
        <w:noProof/>
      </w:rPr>
      <w:pict w14:anchorId="3365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B4F90"/>
    <w:multiLevelType w:val="hybridMultilevel"/>
    <w:tmpl w:val="0B8A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1F23"/>
    <w:multiLevelType w:val="hybridMultilevel"/>
    <w:tmpl w:val="8C48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604A9"/>
    <w:multiLevelType w:val="multilevel"/>
    <w:tmpl w:val="D51C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3c4e83567816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7217E"/>
    <w:rsid w:val="00052A07"/>
    <w:rsid w:val="0009344E"/>
    <w:rsid w:val="000B332E"/>
    <w:rsid w:val="000D05D5"/>
    <w:rsid w:val="000D1F5C"/>
    <w:rsid w:val="000D79C4"/>
    <w:rsid w:val="000E2A2B"/>
    <w:rsid w:val="001005BA"/>
    <w:rsid w:val="0015567E"/>
    <w:rsid w:val="001559DF"/>
    <w:rsid w:val="001568DC"/>
    <w:rsid w:val="00157638"/>
    <w:rsid w:val="0016292C"/>
    <w:rsid w:val="001649B1"/>
    <w:rsid w:val="00172D89"/>
    <w:rsid w:val="00180683"/>
    <w:rsid w:val="00183501"/>
    <w:rsid w:val="001A1D8B"/>
    <w:rsid w:val="001B49AD"/>
    <w:rsid w:val="001D2A49"/>
    <w:rsid w:val="00213DA0"/>
    <w:rsid w:val="00237A0B"/>
    <w:rsid w:val="00240BA1"/>
    <w:rsid w:val="002538AA"/>
    <w:rsid w:val="00281AFF"/>
    <w:rsid w:val="002862BB"/>
    <w:rsid w:val="00296D39"/>
    <w:rsid w:val="002A2C21"/>
    <w:rsid w:val="002A4B65"/>
    <w:rsid w:val="002C6706"/>
    <w:rsid w:val="002D6047"/>
    <w:rsid w:val="002E4462"/>
    <w:rsid w:val="00326EE9"/>
    <w:rsid w:val="00336EFC"/>
    <w:rsid w:val="00346569"/>
    <w:rsid w:val="00355AE8"/>
    <w:rsid w:val="003D2AE5"/>
    <w:rsid w:val="003D73AB"/>
    <w:rsid w:val="003E5502"/>
    <w:rsid w:val="0040021A"/>
    <w:rsid w:val="00401861"/>
    <w:rsid w:val="004131FE"/>
    <w:rsid w:val="00433AE4"/>
    <w:rsid w:val="0044230B"/>
    <w:rsid w:val="004468A8"/>
    <w:rsid w:val="00446AC0"/>
    <w:rsid w:val="00453A95"/>
    <w:rsid w:val="00481CF1"/>
    <w:rsid w:val="004A1AFA"/>
    <w:rsid w:val="004A6EC7"/>
    <w:rsid w:val="004C622C"/>
    <w:rsid w:val="005907CF"/>
    <w:rsid w:val="005B51D5"/>
    <w:rsid w:val="005C735E"/>
    <w:rsid w:val="005D5AE8"/>
    <w:rsid w:val="005E2396"/>
    <w:rsid w:val="006412AC"/>
    <w:rsid w:val="00644754"/>
    <w:rsid w:val="00654472"/>
    <w:rsid w:val="006645D4"/>
    <w:rsid w:val="00672A14"/>
    <w:rsid w:val="00677296"/>
    <w:rsid w:val="006A14CF"/>
    <w:rsid w:val="006B75D4"/>
    <w:rsid w:val="006D375A"/>
    <w:rsid w:val="006E7CFC"/>
    <w:rsid w:val="006F4FEF"/>
    <w:rsid w:val="007318B3"/>
    <w:rsid w:val="00734E68"/>
    <w:rsid w:val="007450A5"/>
    <w:rsid w:val="00755400"/>
    <w:rsid w:val="0076266D"/>
    <w:rsid w:val="007940FD"/>
    <w:rsid w:val="00796529"/>
    <w:rsid w:val="00796915"/>
    <w:rsid w:val="007C0542"/>
    <w:rsid w:val="007C566C"/>
    <w:rsid w:val="007E4D12"/>
    <w:rsid w:val="007E6467"/>
    <w:rsid w:val="00803147"/>
    <w:rsid w:val="00837A3B"/>
    <w:rsid w:val="00840D0A"/>
    <w:rsid w:val="008567FD"/>
    <w:rsid w:val="00865E9A"/>
    <w:rsid w:val="0087217E"/>
    <w:rsid w:val="00880A6E"/>
    <w:rsid w:val="008873C4"/>
    <w:rsid w:val="0089667E"/>
    <w:rsid w:val="008D2225"/>
    <w:rsid w:val="008F612E"/>
    <w:rsid w:val="00920353"/>
    <w:rsid w:val="009444C1"/>
    <w:rsid w:val="00974FB2"/>
    <w:rsid w:val="009C0AC6"/>
    <w:rsid w:val="009D2083"/>
    <w:rsid w:val="009D3F19"/>
    <w:rsid w:val="009E0EDC"/>
    <w:rsid w:val="009E707B"/>
    <w:rsid w:val="00A00246"/>
    <w:rsid w:val="00A06D01"/>
    <w:rsid w:val="00A128F8"/>
    <w:rsid w:val="00A27B46"/>
    <w:rsid w:val="00A30D44"/>
    <w:rsid w:val="00A36C36"/>
    <w:rsid w:val="00A716F6"/>
    <w:rsid w:val="00A77BB2"/>
    <w:rsid w:val="00AA0A87"/>
    <w:rsid w:val="00AA6583"/>
    <w:rsid w:val="00AC2240"/>
    <w:rsid w:val="00AE12C0"/>
    <w:rsid w:val="00AF137A"/>
    <w:rsid w:val="00B05F89"/>
    <w:rsid w:val="00B169B9"/>
    <w:rsid w:val="00B30A5B"/>
    <w:rsid w:val="00B33E6C"/>
    <w:rsid w:val="00B459F9"/>
    <w:rsid w:val="00B542F3"/>
    <w:rsid w:val="00B65DB2"/>
    <w:rsid w:val="00B766B2"/>
    <w:rsid w:val="00B867EA"/>
    <w:rsid w:val="00BA5B66"/>
    <w:rsid w:val="00BE2B43"/>
    <w:rsid w:val="00BF5612"/>
    <w:rsid w:val="00C10F73"/>
    <w:rsid w:val="00C365C0"/>
    <w:rsid w:val="00C371AF"/>
    <w:rsid w:val="00C37B5B"/>
    <w:rsid w:val="00C448E0"/>
    <w:rsid w:val="00C45086"/>
    <w:rsid w:val="00C770F1"/>
    <w:rsid w:val="00C77C8F"/>
    <w:rsid w:val="00C95815"/>
    <w:rsid w:val="00CC3987"/>
    <w:rsid w:val="00CD265D"/>
    <w:rsid w:val="00CD70CE"/>
    <w:rsid w:val="00CE44B8"/>
    <w:rsid w:val="00CF3DE5"/>
    <w:rsid w:val="00D165F9"/>
    <w:rsid w:val="00D335B3"/>
    <w:rsid w:val="00D7266D"/>
    <w:rsid w:val="00D734BD"/>
    <w:rsid w:val="00DE582A"/>
    <w:rsid w:val="00E16106"/>
    <w:rsid w:val="00E63DEA"/>
    <w:rsid w:val="00E9421C"/>
    <w:rsid w:val="00E96BF0"/>
    <w:rsid w:val="00EF351B"/>
    <w:rsid w:val="00F01892"/>
    <w:rsid w:val="00F12675"/>
    <w:rsid w:val="00F152D2"/>
    <w:rsid w:val="00F50EF2"/>
    <w:rsid w:val="00F61207"/>
    <w:rsid w:val="00F947AC"/>
    <w:rsid w:val="00FA1831"/>
    <w:rsid w:val="00FB0A71"/>
    <w:rsid w:val="00FD1E13"/>
    <w:rsid w:val="00FD3E44"/>
    <w:rsid w:val="00FE010C"/>
    <w:rsid w:val="00FE3073"/>
    <w:rsid w:val="00FE7C82"/>
    <w:rsid w:val="00FF1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173814"/>
  <w15:docId w15:val="{1B322421-56EB-4044-8A95-A5403263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FD"/>
  </w:style>
  <w:style w:type="paragraph" w:styleId="Heading2">
    <w:name w:val="heading 2"/>
    <w:basedOn w:val="Normal"/>
    <w:link w:val="Heading2Char"/>
    <w:uiPriority w:val="9"/>
    <w:qFormat/>
    <w:rsid w:val="004131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1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52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07"/>
    <w:rPr>
      <w:rFonts w:ascii="Tahoma" w:hAnsi="Tahoma" w:cs="Tahoma"/>
      <w:sz w:val="16"/>
      <w:szCs w:val="16"/>
    </w:rPr>
  </w:style>
  <w:style w:type="character" w:styleId="Emphasis">
    <w:name w:val="Emphasis"/>
    <w:basedOn w:val="DefaultParagraphFont"/>
    <w:uiPriority w:val="20"/>
    <w:qFormat/>
    <w:rsid w:val="008D2225"/>
    <w:rPr>
      <w:i/>
      <w:iCs/>
    </w:rPr>
  </w:style>
  <w:style w:type="paragraph" w:styleId="ListParagraph">
    <w:name w:val="List Paragraph"/>
    <w:basedOn w:val="Normal"/>
    <w:uiPriority w:val="34"/>
    <w:qFormat/>
    <w:rsid w:val="002538AA"/>
    <w:pPr>
      <w:ind w:left="720"/>
      <w:contextualSpacing/>
    </w:pPr>
  </w:style>
  <w:style w:type="paragraph" w:styleId="NormalWeb">
    <w:name w:val="Normal (Web)"/>
    <w:basedOn w:val="Normal"/>
    <w:uiPriority w:val="99"/>
    <w:semiHidden/>
    <w:unhideWhenUsed/>
    <w:rsid w:val="00887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E44"/>
    <w:rPr>
      <w:b/>
      <w:bCs/>
    </w:rPr>
  </w:style>
  <w:style w:type="character" w:customStyle="1" w:styleId="Heading2Char">
    <w:name w:val="Heading 2 Char"/>
    <w:basedOn w:val="DefaultParagraphFont"/>
    <w:link w:val="Heading2"/>
    <w:uiPriority w:val="9"/>
    <w:rsid w:val="004131FE"/>
    <w:rPr>
      <w:rFonts w:ascii="Times New Roman" w:eastAsia="Times New Roman" w:hAnsi="Times New Roman" w:cs="Times New Roman"/>
      <w:b/>
      <w:bCs/>
      <w:sz w:val="36"/>
      <w:szCs w:val="36"/>
    </w:rPr>
  </w:style>
  <w:style w:type="paragraph" w:styleId="Revision">
    <w:name w:val="Revision"/>
    <w:hidden/>
    <w:uiPriority w:val="99"/>
    <w:semiHidden/>
    <w:rsid w:val="000D05D5"/>
    <w:pPr>
      <w:spacing w:after="0" w:line="240" w:lineRule="auto"/>
    </w:pPr>
  </w:style>
  <w:style w:type="character" w:styleId="Hyperlink">
    <w:name w:val="Hyperlink"/>
    <w:basedOn w:val="DefaultParagraphFont"/>
    <w:uiPriority w:val="99"/>
    <w:unhideWhenUsed/>
    <w:rsid w:val="00C37B5B"/>
    <w:rPr>
      <w:color w:val="0000FF" w:themeColor="hyperlink"/>
      <w:u w:val="single"/>
    </w:rPr>
  </w:style>
  <w:style w:type="paragraph" w:styleId="Header">
    <w:name w:val="header"/>
    <w:basedOn w:val="Normal"/>
    <w:link w:val="HeaderChar"/>
    <w:uiPriority w:val="99"/>
    <w:unhideWhenUsed/>
    <w:rsid w:val="002D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47"/>
  </w:style>
  <w:style w:type="paragraph" w:styleId="Footer">
    <w:name w:val="footer"/>
    <w:basedOn w:val="Normal"/>
    <w:link w:val="FooterChar"/>
    <w:uiPriority w:val="99"/>
    <w:unhideWhenUsed/>
    <w:rsid w:val="002D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47"/>
  </w:style>
  <w:style w:type="character" w:styleId="CommentReference">
    <w:name w:val="annotation reference"/>
    <w:basedOn w:val="DefaultParagraphFont"/>
    <w:uiPriority w:val="99"/>
    <w:semiHidden/>
    <w:unhideWhenUsed/>
    <w:rsid w:val="00F12675"/>
    <w:rPr>
      <w:sz w:val="16"/>
      <w:szCs w:val="16"/>
    </w:rPr>
  </w:style>
  <w:style w:type="paragraph" w:styleId="CommentText">
    <w:name w:val="annotation text"/>
    <w:basedOn w:val="Normal"/>
    <w:link w:val="CommentTextChar"/>
    <w:uiPriority w:val="99"/>
    <w:semiHidden/>
    <w:unhideWhenUsed/>
    <w:rsid w:val="00F12675"/>
    <w:pPr>
      <w:spacing w:line="240" w:lineRule="auto"/>
    </w:pPr>
    <w:rPr>
      <w:sz w:val="20"/>
      <w:szCs w:val="20"/>
    </w:rPr>
  </w:style>
  <w:style w:type="character" w:customStyle="1" w:styleId="CommentTextChar">
    <w:name w:val="Comment Text Char"/>
    <w:basedOn w:val="DefaultParagraphFont"/>
    <w:link w:val="CommentText"/>
    <w:uiPriority w:val="99"/>
    <w:semiHidden/>
    <w:rsid w:val="00F12675"/>
    <w:rPr>
      <w:sz w:val="20"/>
      <w:szCs w:val="20"/>
    </w:rPr>
  </w:style>
  <w:style w:type="paragraph" w:styleId="CommentSubject">
    <w:name w:val="annotation subject"/>
    <w:basedOn w:val="CommentText"/>
    <w:next w:val="CommentText"/>
    <w:link w:val="CommentSubjectChar"/>
    <w:uiPriority w:val="99"/>
    <w:semiHidden/>
    <w:unhideWhenUsed/>
    <w:rsid w:val="00F12675"/>
    <w:rPr>
      <w:b/>
      <w:bCs/>
    </w:rPr>
  </w:style>
  <w:style w:type="character" w:customStyle="1" w:styleId="CommentSubjectChar">
    <w:name w:val="Comment Subject Char"/>
    <w:basedOn w:val="CommentTextChar"/>
    <w:link w:val="CommentSubject"/>
    <w:uiPriority w:val="99"/>
    <w:semiHidden/>
    <w:rsid w:val="00F12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3615">
      <w:bodyDiv w:val="1"/>
      <w:marLeft w:val="0"/>
      <w:marRight w:val="0"/>
      <w:marTop w:val="0"/>
      <w:marBottom w:val="0"/>
      <w:divBdr>
        <w:top w:val="none" w:sz="0" w:space="0" w:color="auto"/>
        <w:left w:val="none" w:sz="0" w:space="0" w:color="auto"/>
        <w:bottom w:val="none" w:sz="0" w:space="0" w:color="auto"/>
        <w:right w:val="none" w:sz="0" w:space="0" w:color="auto"/>
      </w:divBdr>
    </w:div>
    <w:div w:id="1021055201">
      <w:bodyDiv w:val="1"/>
      <w:marLeft w:val="0"/>
      <w:marRight w:val="0"/>
      <w:marTop w:val="0"/>
      <w:marBottom w:val="0"/>
      <w:divBdr>
        <w:top w:val="none" w:sz="0" w:space="0" w:color="auto"/>
        <w:left w:val="none" w:sz="0" w:space="0" w:color="auto"/>
        <w:bottom w:val="none" w:sz="0" w:space="0" w:color="auto"/>
        <w:right w:val="none" w:sz="0" w:space="0" w:color="auto"/>
      </w:divBdr>
    </w:div>
    <w:div w:id="1042292609">
      <w:bodyDiv w:val="1"/>
      <w:marLeft w:val="0"/>
      <w:marRight w:val="0"/>
      <w:marTop w:val="0"/>
      <w:marBottom w:val="0"/>
      <w:divBdr>
        <w:top w:val="none" w:sz="0" w:space="0" w:color="auto"/>
        <w:left w:val="none" w:sz="0" w:space="0" w:color="auto"/>
        <w:bottom w:val="none" w:sz="0" w:space="0" w:color="auto"/>
        <w:right w:val="none" w:sz="0" w:space="0" w:color="auto"/>
      </w:divBdr>
    </w:div>
    <w:div w:id="1800025828">
      <w:bodyDiv w:val="1"/>
      <w:marLeft w:val="0"/>
      <w:marRight w:val="0"/>
      <w:marTop w:val="0"/>
      <w:marBottom w:val="0"/>
      <w:divBdr>
        <w:top w:val="none" w:sz="0" w:space="0" w:color="auto"/>
        <w:left w:val="none" w:sz="0" w:space="0" w:color="auto"/>
        <w:bottom w:val="none" w:sz="0" w:space="0" w:color="auto"/>
        <w:right w:val="none" w:sz="0" w:space="0" w:color="auto"/>
      </w:divBdr>
    </w:div>
    <w:div w:id="1832063256">
      <w:bodyDiv w:val="1"/>
      <w:marLeft w:val="0"/>
      <w:marRight w:val="0"/>
      <w:marTop w:val="0"/>
      <w:marBottom w:val="0"/>
      <w:divBdr>
        <w:top w:val="none" w:sz="0" w:space="0" w:color="auto"/>
        <w:left w:val="none" w:sz="0" w:space="0" w:color="auto"/>
        <w:bottom w:val="none" w:sz="0" w:space="0" w:color="auto"/>
        <w:right w:val="none" w:sz="0" w:space="0" w:color="auto"/>
      </w:divBdr>
    </w:div>
    <w:div w:id="1851288789">
      <w:bodyDiv w:val="1"/>
      <w:marLeft w:val="0"/>
      <w:marRight w:val="0"/>
      <w:marTop w:val="0"/>
      <w:marBottom w:val="0"/>
      <w:divBdr>
        <w:top w:val="none" w:sz="0" w:space="0" w:color="auto"/>
        <w:left w:val="none" w:sz="0" w:space="0" w:color="auto"/>
        <w:bottom w:val="none" w:sz="0" w:space="0" w:color="auto"/>
        <w:right w:val="none" w:sz="0" w:space="0" w:color="auto"/>
      </w:divBdr>
    </w:div>
    <w:div w:id="18859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6</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account</cp:lastModifiedBy>
  <cp:revision>147</cp:revision>
  <dcterms:created xsi:type="dcterms:W3CDTF">2026-03-04T14:21:00Z</dcterms:created>
  <dcterms:modified xsi:type="dcterms:W3CDTF">2026-03-13T16:53:00Z</dcterms:modified>
</cp:coreProperties>
</file>