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jc w:val="right"/>
        <w:rPr>
          <w:rFonts w:ascii="Times New Roman" w:cs="Times New Roman" w:eastAsia="Times New Roman" w:hAnsi="Times New Roman"/>
          <w:b w:val="1"/>
          <w:bCs w:val="1"/>
          <w:i w:val="1"/>
          <w:iCs w:val="1"/>
          <w:sz w:val="32"/>
          <w:szCs w:val="32"/>
        </w:rPr>
      </w:pPr>
      <w:r w:rsidDel="00000000" w:rsidR="00000000" w:rsidRPr="00000000">
        <w:rPr>
          <w:rFonts w:ascii="Times New Roman" w:cs="Times New Roman" w:eastAsia="Times New Roman" w:hAnsi="Times New Roman"/>
          <w:b w:val="1"/>
          <w:bCs w:val="1"/>
          <w:sz w:val="32"/>
          <w:szCs w:val="32"/>
          <w:rtl w:val="0"/>
        </w:rPr>
        <w:t xml:space="preserve">Systemic and Developmental Toxicity of Perinatal Lead Exposure in Rats with Associated Haematological and Mineral Alterations and Their Amelioration by </w:t>
      </w:r>
      <w:r w:rsidDel="00000000" w:rsidR="00000000" w:rsidRPr="00000000">
        <w:rPr>
          <w:rFonts w:ascii="Times New Roman" w:cs="Times New Roman" w:eastAsia="Times New Roman" w:hAnsi="Times New Roman"/>
          <w:b w:val="1"/>
          <w:bCs w:val="1"/>
          <w:i w:val="1"/>
          <w:iCs w:val="1"/>
          <w:sz w:val="32"/>
          <w:szCs w:val="32"/>
          <w:rtl w:val="0"/>
        </w:rPr>
        <w:t xml:space="preserve">Moringa oleifera</w:t>
      </w:r>
    </w:p>
    <w:p w:rsidR="00000000" w:rsidDel="00000000" w:rsidP="00000000" w:rsidRDefault="00000000" w:rsidRPr="00000000" w14:paraId="00000003">
      <w:pPr>
        <w:jc w:val="right"/>
        <w:rPr>
          <w:rFonts w:ascii="Times New Roman" w:cs="Times New Roman" w:eastAsia="Times New Roman" w:hAnsi="Times New Roman"/>
          <w:b w:val="1"/>
          <w:bCs w:val="1"/>
          <w:i w:val="1"/>
          <w:iCs w:val="1"/>
          <w:sz w:val="32"/>
          <w:szCs w:val="32"/>
        </w:rPr>
      </w:pPr>
      <w:r w:rsidDel="00000000" w:rsidR="00000000" w:rsidRPr="00000000">
        <w:rPr>
          <w:rtl w:val="0"/>
        </w:rPr>
      </w:r>
    </w:p>
    <w:p w:rsidR="00000000" w:rsidDel="00000000" w:rsidP="00000000" w:rsidRDefault="00000000" w:rsidRPr="00000000" w14:paraId="00000004">
      <w:pPr>
        <w:numPr>
          <w:ilvl w:val="0"/>
          <w:numId w:val="1"/>
        </w:numPr>
        <w:spacing w:after="0" w:afterAutospacing="0" w:before="240" w:lineRule="auto"/>
        <w:ind w:left="72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i w:val="1"/>
          <w:iCs w:val="1"/>
          <w:sz w:val="24"/>
          <w:szCs w:val="24"/>
          <w:highlight w:val="yellow"/>
          <w:rtl w:val="0"/>
        </w:rPr>
        <w:t xml:space="preserve">Perinatal Lead Toxicity and the Protective Role of Moringa oleifera on Growth, Haematology and Mineral Balance in Wistar Rats</w:t>
        <w:br w:type="textWrapping"/>
        <w:br w:type="textWrapping"/>
      </w:r>
    </w:p>
    <w:p w:rsidR="00000000" w:rsidDel="00000000" w:rsidP="00000000" w:rsidRDefault="00000000" w:rsidRPr="00000000" w14:paraId="00000005">
      <w:pPr>
        <w:numPr>
          <w:ilvl w:val="0"/>
          <w:numId w:val="1"/>
        </w:numPr>
        <w:spacing w:after="240" w:before="0" w:beforeAutospacing="0" w:lineRule="auto"/>
        <w:ind w:left="72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i w:val="1"/>
          <w:iCs w:val="1"/>
          <w:sz w:val="24"/>
          <w:szCs w:val="24"/>
          <w:highlight w:val="yellow"/>
          <w:rtl w:val="0"/>
        </w:rPr>
        <w:t xml:space="preserve">Impact of Perinatal Lead Exposure on Maternal and Offspring Health and the Modulatory Role of Moringa oleifera</w:t>
        <w:br w:type="textWrapping"/>
      </w:r>
    </w:p>
    <w:p w:rsidR="00000000" w:rsidDel="00000000" w:rsidP="00000000" w:rsidRDefault="00000000" w:rsidRPr="00000000" w14:paraId="00000006">
      <w:pPr>
        <w:spacing w:after="240" w:before="240" w:lineRule="auto"/>
        <w:ind w:left="720" w:firstLine="0"/>
        <w:rPr>
          <w:rFonts w:ascii="Times New Roman" w:cs="Times New Roman" w:eastAsia="Times New Roman" w:hAnsi="Times New Roman"/>
          <w:b w:val="1"/>
          <w:bCs w:val="1"/>
          <w:i w:val="1"/>
          <w:iCs w:val="1"/>
          <w:sz w:val="32"/>
          <w:szCs w:val="32"/>
        </w:rPr>
      </w:pPr>
      <w:r w:rsidDel="00000000" w:rsidR="00000000" w:rsidRPr="00000000">
        <w:rPr>
          <w:rtl w:val="0"/>
        </w:rPr>
      </w:r>
    </w:p>
    <w:p w:rsidR="00000000" w:rsidDel="00000000" w:rsidP="00000000" w:rsidRDefault="00000000" w:rsidRPr="00000000" w14:paraId="00000007">
      <w:pPr>
        <w:spacing w:after="240" w:before="240" w:lineRule="auto"/>
        <w:jc w:val="both"/>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Critical analysis of the manuscript indicates that the study presents scientific relevance by investigating the effects of perinatal exposure to lead and the potential protective effect of </w:t>
      </w:r>
      <w:r w:rsidDel="00000000" w:rsidR="00000000" w:rsidRPr="00000000">
        <w:rPr>
          <w:rFonts w:ascii="Times New Roman" w:cs="Times New Roman" w:eastAsia="Times New Roman" w:hAnsi="Times New Roman"/>
          <w:b w:val="1"/>
          <w:bCs w:val="1"/>
          <w:i w:val="1"/>
          <w:iCs w:val="1"/>
          <w:sz w:val="24"/>
          <w:szCs w:val="24"/>
          <w:highlight w:val="yellow"/>
          <w:rtl w:val="0"/>
        </w:rPr>
        <w:t xml:space="preserve">Moringa oleifera</w:t>
      </w:r>
      <w:r w:rsidDel="00000000" w:rsidR="00000000" w:rsidRPr="00000000">
        <w:rPr>
          <w:rFonts w:ascii="Times New Roman" w:cs="Times New Roman" w:eastAsia="Times New Roman" w:hAnsi="Times New Roman"/>
          <w:b w:val="1"/>
          <w:bCs w:val="1"/>
          <w:sz w:val="24"/>
          <w:szCs w:val="24"/>
          <w:highlight w:val="yellow"/>
          <w:rtl w:val="0"/>
        </w:rPr>
        <w:t xml:space="preserve">, an important topic in the field of environmental toxicology and functional nutrition. The experimental design is clear, with well-defined groups and the evaluation of multiple biological parameters (growth, hematology, mineral levels, and lead concentration). Furthermore, the discussion appropriately relates the results to the existing literature, reinforcing the biological plausibility of the findings.</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However, the manuscript presents some structural and scientific writing weaknesses. There is repetition of information between the Results and Discussion sections, inconsistencies in the standardization of terms (for example, “Haematological” appears with different capitalizations), and some methodological sections that could be described more objectively. It would also be useful to better explain the rationale for the selected doses of lead and </w:t>
      </w:r>
      <w:r w:rsidDel="00000000" w:rsidR="00000000" w:rsidRPr="00000000">
        <w:rPr>
          <w:rFonts w:ascii="Times New Roman" w:cs="Times New Roman" w:eastAsia="Times New Roman" w:hAnsi="Times New Roman"/>
          <w:b w:val="1"/>
          <w:bCs w:val="1"/>
          <w:i w:val="1"/>
          <w:iCs w:val="1"/>
          <w:sz w:val="24"/>
          <w:szCs w:val="24"/>
          <w:highlight w:val="yellow"/>
          <w:rtl w:val="0"/>
        </w:rPr>
        <w:t xml:space="preserve">Moringa oleifera</w:t>
      </w:r>
      <w:r w:rsidDel="00000000" w:rsidR="00000000" w:rsidRPr="00000000">
        <w:rPr>
          <w:rFonts w:ascii="Times New Roman" w:cs="Times New Roman" w:eastAsia="Times New Roman" w:hAnsi="Times New Roman"/>
          <w:b w:val="1"/>
          <w:bCs w:val="1"/>
          <w:sz w:val="24"/>
          <w:szCs w:val="24"/>
          <w:highlight w:val="yellow"/>
          <w:rtl w:val="0"/>
        </w:rPr>
        <w:t xml:space="preserve">, including references that justify these concentrations.</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From a scientific perspective, the study demonstrates that supplementation with </w:t>
      </w:r>
      <w:r w:rsidDel="00000000" w:rsidR="00000000" w:rsidRPr="00000000">
        <w:rPr>
          <w:rFonts w:ascii="Times New Roman" w:cs="Times New Roman" w:eastAsia="Times New Roman" w:hAnsi="Times New Roman"/>
          <w:b w:val="1"/>
          <w:bCs w:val="1"/>
          <w:i w:val="1"/>
          <w:iCs w:val="1"/>
          <w:sz w:val="24"/>
          <w:szCs w:val="24"/>
          <w:highlight w:val="yellow"/>
          <w:rtl w:val="0"/>
        </w:rPr>
        <w:t xml:space="preserve">Moringa oleifera</w:t>
      </w:r>
      <w:r w:rsidDel="00000000" w:rsidR="00000000" w:rsidRPr="00000000">
        <w:rPr>
          <w:rFonts w:ascii="Times New Roman" w:cs="Times New Roman" w:eastAsia="Times New Roman" w:hAnsi="Times New Roman"/>
          <w:b w:val="1"/>
          <w:bCs w:val="1"/>
          <w:sz w:val="24"/>
          <w:szCs w:val="24"/>
          <w:highlight w:val="yellow"/>
          <w:rtl w:val="0"/>
        </w:rPr>
        <w:t xml:space="preserve"> provides only a partially protective effect, which is a relevant finding. However, the interpretation could be further strengthened with a deeper mechanistic discussion (for example, antioxidant activity, natural chelating properties, or modulation of mineral metabolism). In addition, the relatively small sample size (n = 6 per group) and the absence of analyses of oxidative stress markers or histopathological evaluations limit a more comprehensive understanding of the mechanisms of toxicity and protection. It is also recommended to improve the organization of the figures (there is duplication in the numbering of Figures 01 and 02) and to revise the formatting of the tables to conform to the journal’s editorial standards.</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b w:val="1"/>
          <w:bCs w:val="1"/>
          <w:sz w:val="24"/>
          <w:szCs w:val="24"/>
          <w:highlight w:val="yellow"/>
          <w:rtl w:val="0"/>
        </w:rPr>
        <w:t xml:space="preserve">Despite these limitations, the study presents consistent data and may contribute to a better understanding of the effects of lead exposure during development and the potential of natural nutritional interventions.</w:t>
      </w:r>
    </w:p>
    <w:p w:rsidR="00000000" w:rsidDel="00000000" w:rsidP="00000000" w:rsidRDefault="00000000" w:rsidRPr="00000000" w14:paraId="0000000B">
      <w:pPr>
        <w:spacing w:after="240" w:before="240" w:lineRule="auto"/>
        <w:ind w:left="0" w:firstLine="0"/>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b w:val="1"/>
          <w:b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 is a persistent environmental heavy metal with no physiological role and is known to cause systemic and developmental toxicity, particularly during pregnancy and early life. The present study was undertaken to evaluate the effects of perinatal exposure to lead acetate on maternal body weight gain, offspring growth, litter parameters, haematological indices, blood lead levels, and essential mineral status in Wistar rats, and to assess the protective effect of Moringa oleifera supplementation. Eighteen pregnant rats were divided into three groups: control, lead acetate treated (0.8% in drinking water), and lead acetate with Moringa oleifera supplemented feed (400 mg/kg body weight). Treatments were administered from gestation day 5 to postnatal day 21. Lead exposure resulted in reduced maternal weight gain, decreased pup body weight, litter size, and litter weight, and increased pup mortality. Haematological examination revealed decreases in haemoglobin, total erythrocyte count, and packed cell volume in both dams and pups. Blood lead levels were markedly increased, whereas levels of essential minerals such as calcium, iron, zinc, and copper were reduced. Supplementation with Moringa oleifera improved growth performance, survival of pups, haematological parameters, and mineral levels, and also reduced blood lead concentration compared with the lead-treated group, although values did not completely return to normal levels.</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Lead toxicity, Moringa oleifera, perinatal exposure, haematology, mineral imbalance.</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Introduction</w:t>
      </w:r>
    </w:p>
    <w:p w:rsidR="00000000" w:rsidDel="00000000" w:rsidP="00000000" w:rsidRDefault="00000000" w:rsidRPr="00000000" w14:paraId="0000001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 (Pb) is a non-essential heavy metal widely distributed in the environment and recognized as a major toxicant affecting both humans and animals. Its environmental persistence, non-biodegradable nature, and extensive industrial use contribute to continuous exposure through contaminated water, soil, food, and atmospheric emissions (Masih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Once absorbed, lead accumulates in blood, liver, kidneys, bone, and nervous tissue and interferes with multiple biochemical and metabolic pathways (Jaishankar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2014).</w:t>
      </w:r>
    </w:p>
    <w:p w:rsidR="00000000" w:rsidDel="00000000" w:rsidP="00000000" w:rsidRDefault="00000000" w:rsidRPr="00000000" w14:paraId="0000001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exposed populations, pregnant females and developing offspring represent the most vulnerable groups. Lead readily crosses the placental barrier and is also excreted through milk, resulting in combined prenatal and postnatal exposure. Developmental exposure has been associated with reduced maternal weight gain, fetal growth retardation, low birth weight, impaired litter outcomes, and increased neonatal mortality (Aprioku and Siminialayi, 2013; Dhir and Dhand, 2010; Gargouri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2016). These adverse effects are attributed to oxidative stress, metabolic disruption, placental dysfunction, and altered maternal behavior.</w:t>
      </w:r>
    </w:p>
    <w:p w:rsidR="00000000" w:rsidDel="00000000" w:rsidP="00000000" w:rsidRDefault="00000000" w:rsidRPr="00000000" w14:paraId="0000001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 toxicity also produces marked Haematological disturbances. It inhibits key enzymes of heme biosynthesis, including δ-aminolevulinic acid dehydratase and ferrochelatase, disrupts iron utilization, and increases erythrocyte fragility, resulting in anemia characterized by reduced haemoglobin concentration, erythrocyte count, and packed cell volume (Masso-Gonzalez and Antonio-Garcia, 2009; Jassim and Hassan, 2011; Aladaileh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w:t>
      </w:r>
    </w:p>
    <w:p w:rsidR="00000000" w:rsidDel="00000000" w:rsidP="00000000" w:rsidRDefault="00000000" w:rsidRPr="00000000" w14:paraId="0000001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hematotoxicity, lead disrupts essential mineral homeostasis by competing with biologically important elements such as calcium, iron, zinc, and copper. This displacement alters enzymatic activity, cellular signaling, and metabolic balance, thereby amplifying systemic toxicity (Ouyang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2019). Altered mineral status further contributes to anemia, impaired growth, and metabolic dysfunction during pregnancy and early development.</w:t>
      </w:r>
    </w:p>
    <w:p w:rsidR="00000000" w:rsidDel="00000000" w:rsidP="00000000" w:rsidRDefault="00000000" w:rsidRPr="00000000" w14:paraId="0000001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Nutritional and plant-based interventions have gained increasing attention as supportive strategies against heavy metal toxicity.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a widely cultivated medicinal plant, is rich in antioxidants, flavonoids, vitamins, and essential minerals and has demonstrated protective effects against oxidative and heavy metal–induced damage in experimental studies. Its nutritional density and potential metal-binding phytochemicals suggest a possible ameliorative role in systemic lead toxicity (Helal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Ejike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2023).</w:t>
      </w:r>
    </w:p>
    <w:p w:rsidR="00000000" w:rsidDel="00000000" w:rsidP="00000000" w:rsidRDefault="00000000" w:rsidRPr="00000000" w14:paraId="0000001A">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Methodology</w:t>
      </w:r>
    </w:p>
    <w:p w:rsidR="00000000" w:rsidDel="00000000" w:rsidP="00000000" w:rsidRDefault="00000000" w:rsidRPr="00000000" w14:paraId="0000001B">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2.1 Location and study period</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was conducted in the Department of Veterinary Pathology with animals housed in the Central Laboratory Animal House under controlled environmental conditions. The study duration was six months</w:t>
      </w:r>
    </w:p>
    <w:p w:rsidR="00000000" w:rsidDel="00000000" w:rsidP="00000000" w:rsidRDefault="00000000" w:rsidRPr="00000000" w14:paraId="0000001D">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2.2 Experimental animals and grouping</w:t>
      </w:r>
    </w:p>
    <w:p w:rsidR="00000000" w:rsidDel="00000000" w:rsidP="00000000" w:rsidRDefault="00000000" w:rsidRPr="00000000" w14:paraId="0000001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 Wistar rats (approximately 12 weeks old, 180–200 g) were procured from a certified breeder. After acclimatization, mating was performed in a 1:1 ratio. Pregnancy was confirmed by vaginal plug and smear examination and designated as gestation day 0.</w:t>
      </w:r>
    </w:p>
    <w:p w:rsidR="00000000" w:rsidDel="00000000" w:rsidP="00000000" w:rsidRDefault="00000000" w:rsidRPr="00000000" w14:paraId="0000001F">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2.3 Experimental design</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1 : Eighteen pregnant Wistar rats (180–200 g) were divided into three groups (n=6)</w:t>
      </w:r>
    </w:p>
    <w:tbl>
      <w:tblPr>
        <w:tblStyle w:val="Table1"/>
        <w:tblW w:w="8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5"/>
        <w:gridCol w:w="4815"/>
        <w:gridCol w:w="2374"/>
        <w:tblGridChange w:id="0">
          <w:tblGrid>
            <w:gridCol w:w="945"/>
            <w:gridCol w:w="4815"/>
            <w:gridCol w:w="2374"/>
          </w:tblGrid>
        </w:tblGridChange>
      </w:tblGrid>
      <w:tr>
        <w:trPr>
          <w:cantSplit w:val="0"/>
          <w:trHeight w:val="20" w:hRule="atLeast"/>
          <w:tblHeader w:val="0"/>
        </w:trPr>
        <w:tc>
          <w:tcP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Group</w:t>
            </w:r>
          </w:p>
        </w:tc>
        <w:tc>
          <w:tcP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Treatment</w:t>
            </w:r>
          </w:p>
        </w:tc>
        <w:tc>
          <w:tcP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Number of animals</w:t>
            </w:r>
          </w:p>
        </w:tc>
      </w:tr>
      <w:tr>
        <w:trPr>
          <w:cantSplit w:val="0"/>
          <w:trHeight w:val="20" w:hRule="atLeast"/>
          <w:tblHeader w:val="0"/>
        </w:trPr>
        <w:tc>
          <w:tcP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w:t>
            </w:r>
          </w:p>
        </w:tc>
        <w:tc>
          <w:tcP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Control</w:t>
            </w:r>
          </w:p>
        </w:tc>
        <w:tc>
          <w:tcP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06</w:t>
            </w:r>
          </w:p>
        </w:tc>
      </w:tr>
      <w:tr>
        <w:trPr>
          <w:cantSplit w:val="0"/>
          <w:trHeight w:val="20" w:hRule="atLeast"/>
          <w:tblHeader w:val="0"/>
        </w:trPr>
        <w:tc>
          <w:tcP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II</w:t>
            </w:r>
          </w:p>
        </w:tc>
        <w:tc>
          <w:tcP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Lead acetate @ of 0.8% in drinking water</w:t>
            </w:r>
          </w:p>
        </w:tc>
        <w:tc>
          <w:tcP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06</w:t>
            </w:r>
          </w:p>
        </w:tc>
      </w:tr>
      <w:tr>
        <w:trPr>
          <w:cantSplit w:val="0"/>
          <w:trHeight w:val="20" w:hRule="atLeast"/>
          <w:tblHeader w:val="0"/>
        </w:trPr>
        <w:tc>
          <w:tcP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III</w:t>
            </w:r>
          </w:p>
        </w:tc>
        <w:tc>
          <w:tcP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Lead acetate at the dose rate of 0.8% in drinking water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Moringa oleifera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400 mg/kg</w:t>
            </w:r>
          </w:p>
        </w:tc>
        <w:tc>
          <w:tcP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06</w:t>
            </w:r>
          </w:p>
        </w:tc>
      </w:tr>
    </w:tbl>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Treatment was given from gestation day 5 to postnatal day 21. Animals were maintained under standard laboratory conditions and ethical guidelines </w:t>
      </w:r>
    </w:p>
    <w:p w:rsidR="00000000" w:rsidDel="00000000" w:rsidP="00000000" w:rsidRDefault="00000000" w:rsidRPr="00000000" w14:paraId="0000002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2.4 Growth and offspring parameters</w:t>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Maternal body weights were recorded weekly. Pup body weights were recorded on postnatal days 0, 7, 14, and 21. Litter size, litter weight, live and dead pups per group, and per dam were recorded.</w:t>
      </w:r>
    </w:p>
    <w:p w:rsidR="00000000" w:rsidDel="00000000" w:rsidP="00000000" w:rsidRDefault="00000000" w:rsidRPr="00000000" w14:paraId="00000030">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2.5 Haematology </w:t>
      </w:r>
    </w:p>
    <w:p w:rsidR="00000000" w:rsidDel="00000000" w:rsidP="00000000" w:rsidRDefault="00000000" w:rsidRPr="00000000" w14:paraId="0000003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Blood samples were collected in heparinized tubes. Hb, TEC, and PCV were measured using an automated analyzer.</w:t>
      </w:r>
    </w:p>
    <w:p w:rsidR="00000000" w:rsidDel="00000000" w:rsidP="00000000" w:rsidRDefault="00000000" w:rsidRPr="00000000" w14:paraId="00000032">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2.6 Estimation of blood mineral levels</w:t>
      </w:r>
    </w:p>
    <w:p w:rsidR="00000000" w:rsidDel="00000000" w:rsidP="00000000" w:rsidRDefault="00000000" w:rsidRPr="00000000" w14:paraId="0000003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Blood mineral concentrations were estimated simultaneously with blood lead levels using inductively coupled plasma mass spectrometry (ICP-MS) following microwave-assisted wet acid digestion. Whole blood samples collected in anticoagulant-coated tubes were stored under refrigerated conditions until analysis. For digestion, a 1 ml of whole blood was transferred into acid-washed digestion vessels, and concentrated nitric acid was added along with hydrogen peroxide as an oxidizing agent. Samples were allowed to undergo pre-digestion at room temperature to control excessive reaction and were then subjected to controlled heating in a digestion assembly until a clear, colorless solution was obtained, indicating complete destruction of the organic matrix. After digestion, samples were cooled and diluted to a 10 ml final volume using double-distilled deionized water. The digested solutions were transferred into acid-washed polypropylene tubes and maintained at low temperature until instrumental analysis. Multi-element calibration standards covering the expected analytical range were prepared from certified reference standards, and calibration curves were generated prior to sample analysis (Welna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2011).</w:t>
      </w:r>
    </w:p>
    <w:p w:rsidR="00000000" w:rsidDel="00000000" w:rsidP="00000000" w:rsidRDefault="00000000" w:rsidRPr="00000000" w14:paraId="0000003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Mineral elements analyzed included calcium (Ca), iron (Fe), zinc (Zn), and copper (Cu). Instrument calibration was verified using quality control standards and reagent blanks to ensure analytical accuracy and to correct for background signal. Samples were analyzed in batch mode with calibration verification after defined intervals to maintain instrument stability. All measurements were carried out under validated operating conditions using manufacturer-recommended parameters for plasma power, gas flow, and detection mode.</w:t>
      </w:r>
    </w:p>
    <w:p w:rsidR="00000000" w:rsidDel="00000000" w:rsidP="00000000" w:rsidRDefault="00000000" w:rsidRPr="00000000" w14:paraId="0000003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Elemental concentrations obtained from the instrument output were corrected for dilution factors and expressed in mg/dl for data presentation. Internal quality control procedures, including blank runs and standard checks, were applied throughout the analytical sequence to ensure precision and reproducibility of mineral estimation</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Material </w:t>
      </w:r>
    </w:p>
    <w:p w:rsidR="00000000" w:rsidDel="00000000" w:rsidP="00000000" w:rsidRDefault="00000000" w:rsidRPr="00000000" w14:paraId="00000037">
      <w:pPr>
        <w:ind w:firstLine="6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Pregnant Wistar rats in groups I and II were provided with a commercially available pelleted diet containing wheat, alfalfa, soybean, vitamins, and minerals. Rats in group III received feed supplemented with Moringa oleifera leaf powder at a dose rate of 400 mg/kg body weight/day.</w:t>
      </w:r>
    </w:p>
    <w:p w:rsidR="00000000" w:rsidDel="00000000" w:rsidP="00000000" w:rsidRDefault="00000000" w:rsidRPr="00000000" w14:paraId="00000038">
      <w:pPr>
        <w:ind w:firstLine="6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Moringa oleifera leaves were obtained from the Department of Horticulture, Jawaharlal Nehru Krishi Vishwa Vidyalaya (JNKVV), Jabalpur, India, air-dried, and finely powdered before incorporation into the feed. The required quantity of Moringa powder was mixed thoroughly with powdered rat feed to achieve the desired dose, and 10 g pellets were prepared and air-dried for 24 hours.</w:t>
      </w:r>
    </w:p>
    <w:p w:rsidR="00000000" w:rsidDel="00000000" w:rsidP="00000000" w:rsidRDefault="00000000" w:rsidRPr="00000000" w14:paraId="00000039">
      <w:pPr>
        <w:ind w:firstLine="69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ensure uniform intake of 0.8% lead acetate supplemented drinking water and enriched feed, animals were subjected to overnight fasting (8:00 PM–8:00 AM). Each rat received one enriched pellet (10 g) daily along with 30 g of normal feed. The dose of Moringa oleifera was adjusted weekly based on the average body weight of the animals, and the quantity incorporated during feed preparation was rounded to the nearest 10 mg to avoid under-dosing.</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2.7 Statistical analysis</w:t>
      </w:r>
    </w:p>
    <w:p w:rsidR="00000000" w:rsidDel="00000000" w:rsidP="00000000" w:rsidRDefault="00000000" w:rsidRPr="00000000" w14:paraId="0000003C">
      <w:pPr>
        <w:jc w:val="both"/>
        <w:rPr>
          <w:rFonts w:ascii="Times New Roman" w:cs="Times New Roman" w:eastAsia="Times New Roman" w:hAnsi="Times New Roman"/>
          <w:sz w:val="24"/>
          <w:szCs w:val="24"/>
        </w:rPr>
      </w:pPr>
      <w:sdt>
        <w:sdtPr>
          <w:id w:val="1045232335"/>
          <w:tag w:val="goog_rdk_0"/>
        </w:sdtPr>
        <w:sdtContent>
          <w:r w:rsidDel="00000000" w:rsidR="00000000" w:rsidRPr="00000000">
            <w:rPr>
              <w:rFonts w:ascii="Gungsuh" w:cs="Gungsuh" w:eastAsia="Gungsuh" w:hAnsi="Gungsuh"/>
              <w:sz w:val="24"/>
              <w:szCs w:val="24"/>
              <w:rtl w:val="0"/>
            </w:rPr>
            <w:t xml:space="preserve">Data were expressed as Mean ± SE. One-way ANOVA followed by pairwise comparison was applied. Significance was set at p ≤ 0.05</w:t>
          </w:r>
        </w:sdtContent>
      </w:sdt>
    </w:p>
    <w:p w:rsidR="00000000" w:rsidDel="00000000" w:rsidP="00000000" w:rsidRDefault="00000000" w:rsidRPr="00000000" w14:paraId="0000003D">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Results</w:t>
      </w:r>
    </w:p>
    <w:p w:rsidR="00000000" w:rsidDel="00000000" w:rsidP="00000000" w:rsidRDefault="00000000" w:rsidRPr="00000000" w14:paraId="0000003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3.1 Maternal body weight</w:t>
      </w:r>
    </w:p>
    <w:p w:rsidR="00000000" w:rsidDel="00000000" w:rsidP="00000000" w:rsidRDefault="00000000" w:rsidRPr="00000000" w14:paraId="0000003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dams showed steady gestational and lactational weight gain. Lead-treated dams showed progressive suppression of weight gain beginning mid-gestation and extending through lactation. The Moringa group showed significantly improved weight gain compared with lead only animals.</w:t>
      </w:r>
    </w:p>
    <w:p w:rsidR="00000000" w:rsidDel="00000000" w:rsidP="00000000" w:rsidRDefault="00000000" w:rsidRPr="00000000" w14:paraId="00000040">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1. Mean weekly body weight (g) of dams</w:t>
      </w:r>
    </w:p>
    <w:tbl>
      <w:tblPr>
        <w:tblStyle w:val="Table2"/>
        <w:tblW w:w="901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
        <w:gridCol w:w="1235"/>
        <w:gridCol w:w="1237"/>
        <w:gridCol w:w="1237"/>
        <w:gridCol w:w="1235"/>
        <w:gridCol w:w="40"/>
        <w:gridCol w:w="1197"/>
        <w:gridCol w:w="1237"/>
        <w:gridCol w:w="1095"/>
        <w:tblGridChange w:id="0">
          <w:tblGrid>
            <w:gridCol w:w="503"/>
            <w:gridCol w:w="1235"/>
            <w:gridCol w:w="1237"/>
            <w:gridCol w:w="1237"/>
            <w:gridCol w:w="1235"/>
            <w:gridCol w:w="40"/>
            <w:gridCol w:w="1197"/>
            <w:gridCol w:w="1237"/>
            <w:gridCol w:w="1095"/>
          </w:tblGrid>
        </w:tblGridChange>
      </w:tblGrid>
      <w:tr>
        <w:trPr>
          <w:cantSplit w:val="0"/>
          <w:trHeight w:val="29" w:hRule="atLeast"/>
          <w:tblHeader w:val="0"/>
        </w:trPr>
        <w:tc>
          <w:tcPr>
            <w:vMerge w:val="restart"/>
            <w:tcMar>
              <w:top w:w="15.0" w:type="dxa"/>
              <w:left w:w="108.0" w:type="dxa"/>
              <w:bottom w:w="0.0" w:type="dxa"/>
              <w:right w:w="108.0" w:type="dxa"/>
            </w:tcMar>
            <w:vAlign w:val="center"/>
          </w:tcPr>
          <w:p w:rsidR="00000000" w:rsidDel="00000000" w:rsidP="00000000" w:rsidRDefault="00000000" w:rsidRPr="00000000" w14:paraId="00000041">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2">
            <w:pPr>
              <w:spacing w:after="40" w:before="40" w:line="240" w:lineRule="auto"/>
              <w:rPr>
                <w:rFonts w:ascii="Times New Roman" w:cs="Times New Roman" w:eastAsia="Times New Roman" w:hAnsi="Times New Roman"/>
                <w:color w:val="000000"/>
                <w:sz w:val="24"/>
                <w:szCs w:val="24"/>
              </w:rPr>
            </w:pPr>
            <w:r w:rsidDel="00000000" w:rsidR="00000000" w:rsidRPr="00000000">
              <w:rPr>
                <w:rtl w:val="0"/>
              </w:rPr>
            </w:r>
          </w:p>
        </w:tc>
        <w:tc>
          <w:tcPr>
            <w:gridSpan w:val="8"/>
          </w:tcPr>
          <w:p w:rsidR="00000000" w:rsidDel="00000000" w:rsidP="00000000" w:rsidRDefault="00000000" w:rsidRPr="00000000" w14:paraId="00000043">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Weekly body weight (Mean ± SE)</w:t>
            </w:r>
          </w:p>
        </w:tc>
      </w:tr>
      <w:tr>
        <w:trPr>
          <w:cantSplit w:val="0"/>
          <w:trHeight w:val="29" w:hRule="atLeast"/>
          <w:tblHeader w:val="0"/>
        </w:trPr>
        <w:tc>
          <w:tcPr>
            <w:vMerge w:val="continue"/>
            <w:tcMar>
              <w:top w:w="15.0" w:type="dxa"/>
              <w:left w:w="108.0" w:type="dxa"/>
              <w:bottom w:w="0.0" w:type="dxa"/>
              <w:right w:w="108.0"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000000"/>
                <w:sz w:val="24"/>
                <w:szCs w:val="24"/>
              </w:rPr>
            </w:pPr>
            <w:r w:rsidDel="00000000" w:rsidR="00000000" w:rsidRPr="00000000">
              <w:rPr>
                <w:rtl w:val="0"/>
              </w:rPr>
            </w:r>
          </w:p>
        </w:tc>
        <w:tc>
          <w:tcPr>
            <w:gridSpan w:val="5"/>
            <w:tcMar>
              <w:top w:w="15.0" w:type="dxa"/>
              <w:left w:w="108.0" w:type="dxa"/>
              <w:bottom w:w="0.0" w:type="dxa"/>
              <w:right w:w="108.0" w:type="dxa"/>
            </w:tcMar>
            <w:vAlign w:val="center"/>
          </w:tcPr>
          <w:p w:rsidR="00000000" w:rsidDel="00000000" w:rsidP="00000000" w:rsidRDefault="00000000" w:rsidRPr="00000000" w14:paraId="0000004C">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Gestation</w:t>
            </w:r>
          </w:p>
        </w:tc>
        <w:tc>
          <w:tcPr>
            <w:gridSpan w:val="3"/>
          </w:tcPr>
          <w:p w:rsidR="00000000" w:rsidDel="00000000" w:rsidP="00000000" w:rsidRDefault="00000000" w:rsidRPr="00000000" w14:paraId="00000051">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Lactation</w:t>
            </w:r>
          </w:p>
        </w:tc>
      </w:tr>
      <w:tr>
        <w:trPr>
          <w:cantSplit w:val="0"/>
          <w:trHeight w:val="29" w:hRule="atLeast"/>
          <w:tblHeader w:val="0"/>
        </w:trPr>
        <w:tc>
          <w:tcPr>
            <w:vMerge w:val="continue"/>
            <w:tcMar>
              <w:top w:w="15.0" w:type="dxa"/>
              <w:left w:w="108.0" w:type="dxa"/>
              <w:bottom w:w="0.0" w:type="dxa"/>
              <w:right w:w="108.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000000"/>
                <w:sz w:val="24"/>
                <w:szCs w:val="24"/>
              </w:rPr>
            </w:pPr>
            <w:r w:rsidDel="00000000" w:rsidR="00000000" w:rsidRPr="00000000">
              <w:rPr>
                <w:rtl w:val="0"/>
              </w:rPr>
            </w:r>
          </w:p>
        </w:tc>
        <w:tc>
          <w:tcPr>
            <w:tcMar>
              <w:top w:w="15.0" w:type="dxa"/>
              <w:left w:w="108.0" w:type="dxa"/>
              <w:bottom w:w="0.0" w:type="dxa"/>
              <w:right w:w="108.0" w:type="dxa"/>
            </w:tcMar>
            <w:vAlign w:val="center"/>
          </w:tcPr>
          <w:p w:rsidR="00000000" w:rsidDel="00000000" w:rsidP="00000000" w:rsidRDefault="00000000" w:rsidRPr="00000000" w14:paraId="00000055">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0</w:t>
            </w:r>
          </w:p>
        </w:tc>
        <w:tc>
          <w:tcPr>
            <w:tcMar>
              <w:top w:w="15.0" w:type="dxa"/>
              <w:left w:w="108.0" w:type="dxa"/>
              <w:bottom w:w="0.0" w:type="dxa"/>
              <w:right w:w="108.0" w:type="dxa"/>
            </w:tcMar>
            <w:vAlign w:val="center"/>
          </w:tcPr>
          <w:p w:rsidR="00000000" w:rsidDel="00000000" w:rsidP="00000000" w:rsidRDefault="00000000" w:rsidRPr="00000000" w14:paraId="00000056">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I</w:t>
            </w:r>
          </w:p>
        </w:tc>
        <w:tc>
          <w:tcPr>
            <w:tcMar>
              <w:top w:w="15.0" w:type="dxa"/>
              <w:left w:w="108.0" w:type="dxa"/>
              <w:bottom w:w="0.0" w:type="dxa"/>
              <w:right w:w="108.0" w:type="dxa"/>
            </w:tcMar>
            <w:vAlign w:val="center"/>
          </w:tcPr>
          <w:p w:rsidR="00000000" w:rsidDel="00000000" w:rsidP="00000000" w:rsidRDefault="00000000" w:rsidRPr="00000000" w14:paraId="00000057">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II</w:t>
            </w:r>
          </w:p>
        </w:tc>
        <w:tc>
          <w:tcPr>
            <w:tcMar>
              <w:top w:w="15.0" w:type="dxa"/>
              <w:left w:w="108.0" w:type="dxa"/>
              <w:bottom w:w="0.0" w:type="dxa"/>
              <w:right w:w="108.0" w:type="dxa"/>
            </w:tcMar>
            <w:vAlign w:val="center"/>
          </w:tcPr>
          <w:p w:rsidR="00000000" w:rsidDel="00000000" w:rsidP="00000000" w:rsidRDefault="00000000" w:rsidRPr="00000000" w14:paraId="00000058">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III</w:t>
            </w:r>
          </w:p>
        </w:tc>
        <w:tc>
          <w:tcPr>
            <w:gridSpan w:val="2"/>
            <w:tcMar>
              <w:top w:w="15.0" w:type="dxa"/>
              <w:left w:w="108.0" w:type="dxa"/>
              <w:bottom w:w="0.0" w:type="dxa"/>
              <w:right w:w="108.0" w:type="dxa"/>
            </w:tcMar>
            <w:vAlign w:val="center"/>
          </w:tcPr>
          <w:p w:rsidR="00000000" w:rsidDel="00000000" w:rsidP="00000000" w:rsidRDefault="00000000" w:rsidRPr="00000000" w14:paraId="00000059">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IV</w:t>
            </w:r>
          </w:p>
        </w:tc>
        <w:tc>
          <w:tcPr>
            <w:tcMar>
              <w:top w:w="15.0" w:type="dxa"/>
              <w:left w:w="108.0" w:type="dxa"/>
              <w:bottom w:w="0.0" w:type="dxa"/>
              <w:right w:w="108.0" w:type="dxa"/>
            </w:tcMar>
            <w:vAlign w:val="center"/>
          </w:tcPr>
          <w:p w:rsidR="00000000" w:rsidDel="00000000" w:rsidP="00000000" w:rsidRDefault="00000000" w:rsidRPr="00000000" w14:paraId="0000005B">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V</w:t>
            </w:r>
          </w:p>
        </w:tc>
        <w:tc>
          <w:tcPr/>
          <w:p w:rsidR="00000000" w:rsidDel="00000000" w:rsidP="00000000" w:rsidRDefault="00000000" w:rsidRPr="00000000" w14:paraId="0000005C">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VI</w:t>
            </w:r>
          </w:p>
        </w:tc>
      </w:tr>
      <w:tr>
        <w:trPr>
          <w:cantSplit w:val="0"/>
          <w:trHeight w:val="41" w:hRule="atLeast"/>
          <w:tblHeader w:val="0"/>
        </w:trPr>
        <w:tc>
          <w:tcPr>
            <w:tcMar>
              <w:top w:w="15.0" w:type="dxa"/>
              <w:left w:w="108.0" w:type="dxa"/>
              <w:bottom w:w="0.0" w:type="dxa"/>
              <w:right w:w="108.0" w:type="dxa"/>
            </w:tcMar>
            <w:vAlign w:val="center"/>
          </w:tcPr>
          <w:p w:rsidR="00000000" w:rsidDel="00000000" w:rsidP="00000000" w:rsidRDefault="00000000" w:rsidRPr="00000000" w14:paraId="0000005D">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w:t>
            </w:r>
          </w:p>
        </w:tc>
        <w:tc>
          <w:tcPr>
            <w:tcMar>
              <w:top w:w="15.0" w:type="dxa"/>
              <w:left w:w="108.0" w:type="dxa"/>
              <w:bottom w:w="0.0" w:type="dxa"/>
              <w:right w:w="108.0" w:type="dxa"/>
            </w:tcMar>
            <w:vAlign w:val="center"/>
          </w:tcPr>
          <w:p w:rsidR="00000000" w:rsidDel="00000000" w:rsidP="00000000" w:rsidRDefault="00000000" w:rsidRPr="00000000" w14:paraId="0000005E">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200.50</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4.42</w:t>
            </w:r>
          </w:p>
        </w:tc>
        <w:tc>
          <w:tcPr>
            <w:tcMar>
              <w:top w:w="15.0" w:type="dxa"/>
              <w:left w:w="108.0" w:type="dxa"/>
              <w:bottom w:w="0.0" w:type="dxa"/>
              <w:right w:w="108.0" w:type="dxa"/>
            </w:tcMar>
            <w:vAlign w:val="center"/>
          </w:tcPr>
          <w:p w:rsidR="00000000" w:rsidDel="00000000" w:rsidP="00000000" w:rsidRDefault="00000000" w:rsidRPr="00000000" w14:paraId="0000005F">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203.67</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5.22</w:t>
            </w:r>
          </w:p>
        </w:tc>
        <w:tc>
          <w:tcPr>
            <w:tcMar>
              <w:top w:w="15.0" w:type="dxa"/>
              <w:left w:w="108.0" w:type="dxa"/>
              <w:bottom w:w="0.0" w:type="dxa"/>
              <w:right w:w="108.0" w:type="dxa"/>
            </w:tcMar>
            <w:vAlign w:val="center"/>
          </w:tcPr>
          <w:p w:rsidR="00000000" w:rsidDel="00000000" w:rsidP="00000000" w:rsidRDefault="00000000" w:rsidRPr="00000000" w14:paraId="00000060">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210.83</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6.26</w:t>
            </w:r>
          </w:p>
        </w:tc>
        <w:tc>
          <w:tcPr>
            <w:tcMar>
              <w:top w:w="15.0" w:type="dxa"/>
              <w:left w:w="108.0" w:type="dxa"/>
              <w:bottom w:w="0.0" w:type="dxa"/>
              <w:right w:w="108.0" w:type="dxa"/>
            </w:tcMar>
            <w:vAlign w:val="center"/>
          </w:tcPr>
          <w:p w:rsidR="00000000" w:rsidDel="00000000" w:rsidP="00000000" w:rsidRDefault="00000000" w:rsidRPr="00000000" w14:paraId="00000061">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219.83</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8.62</w:t>
            </w:r>
          </w:p>
        </w:tc>
        <w:tc>
          <w:tcPr>
            <w:gridSpan w:val="2"/>
            <w:tcMar>
              <w:top w:w="15.0" w:type="dxa"/>
              <w:left w:w="108.0" w:type="dxa"/>
              <w:bottom w:w="0.0" w:type="dxa"/>
              <w:right w:w="108.0" w:type="dxa"/>
            </w:tcMar>
            <w:vAlign w:val="center"/>
          </w:tcPr>
          <w:p w:rsidR="00000000" w:rsidDel="00000000" w:rsidP="00000000" w:rsidRDefault="00000000" w:rsidRPr="00000000" w14:paraId="00000062">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239.50</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6.07</w:t>
            </w:r>
          </w:p>
        </w:tc>
        <w:tc>
          <w:tcPr>
            <w:tcMar>
              <w:top w:w="15.0" w:type="dxa"/>
              <w:left w:w="108.0" w:type="dxa"/>
              <w:bottom w:w="0.0" w:type="dxa"/>
              <w:right w:w="108.0" w:type="dxa"/>
            </w:tcMar>
            <w:vAlign w:val="center"/>
          </w:tcPr>
          <w:p w:rsidR="00000000" w:rsidDel="00000000" w:rsidP="00000000" w:rsidRDefault="00000000" w:rsidRPr="00000000" w14:paraId="00000064">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239.83</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5.97</w:t>
            </w:r>
          </w:p>
        </w:tc>
        <w:tc>
          <w:tcPr>
            <w:vAlign w:val="center"/>
          </w:tcPr>
          <w:p w:rsidR="00000000" w:rsidDel="00000000" w:rsidP="00000000" w:rsidRDefault="00000000" w:rsidRPr="00000000" w14:paraId="00000065">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247.00</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4.67</w:t>
            </w:r>
          </w:p>
        </w:tc>
      </w:tr>
      <w:tr>
        <w:trPr>
          <w:cantSplit w:val="0"/>
          <w:trHeight w:val="41" w:hRule="atLeast"/>
          <w:tblHeader w:val="0"/>
        </w:trPr>
        <w:tc>
          <w:tcPr>
            <w:tcMar>
              <w:top w:w="15.0" w:type="dxa"/>
              <w:left w:w="108.0" w:type="dxa"/>
              <w:bottom w:w="0.0" w:type="dxa"/>
              <w:right w:w="108.0" w:type="dxa"/>
            </w:tcMar>
            <w:vAlign w:val="center"/>
          </w:tcPr>
          <w:p w:rsidR="00000000" w:rsidDel="00000000" w:rsidP="00000000" w:rsidRDefault="00000000" w:rsidRPr="00000000" w14:paraId="00000066">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II</w:t>
            </w:r>
          </w:p>
        </w:tc>
        <w:tc>
          <w:tcPr>
            <w:tcMar>
              <w:top w:w="15.0" w:type="dxa"/>
              <w:left w:w="108.0" w:type="dxa"/>
              <w:bottom w:w="0.0" w:type="dxa"/>
              <w:right w:w="108.0" w:type="dxa"/>
            </w:tcMar>
            <w:vAlign w:val="center"/>
          </w:tcPr>
          <w:p w:rsidR="00000000" w:rsidDel="00000000" w:rsidP="00000000" w:rsidRDefault="00000000" w:rsidRPr="00000000" w14:paraId="00000067">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202.00</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1.93</w:t>
            </w:r>
          </w:p>
        </w:tc>
        <w:tc>
          <w:tcPr>
            <w:tcMar>
              <w:top w:w="15.0" w:type="dxa"/>
              <w:left w:w="108.0" w:type="dxa"/>
              <w:bottom w:w="0.0" w:type="dxa"/>
              <w:right w:w="108.0" w:type="dxa"/>
            </w:tcMar>
            <w:vAlign w:val="center"/>
          </w:tcPr>
          <w:p w:rsidR="00000000" w:rsidDel="00000000" w:rsidP="00000000" w:rsidRDefault="00000000" w:rsidRPr="00000000" w14:paraId="00000068">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204.50</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1.89</w:t>
            </w:r>
          </w:p>
        </w:tc>
        <w:tc>
          <w:tcPr>
            <w:tcMar>
              <w:top w:w="15.0" w:type="dxa"/>
              <w:left w:w="108.0" w:type="dxa"/>
              <w:bottom w:w="0.0" w:type="dxa"/>
              <w:right w:w="108.0" w:type="dxa"/>
            </w:tcMar>
            <w:vAlign w:val="center"/>
          </w:tcPr>
          <w:p w:rsidR="00000000" w:rsidDel="00000000" w:rsidP="00000000" w:rsidRDefault="00000000" w:rsidRPr="00000000" w14:paraId="00000069">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206.50</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2.13</w:t>
            </w:r>
          </w:p>
        </w:tc>
        <w:tc>
          <w:tcPr>
            <w:tcMar>
              <w:top w:w="15.0" w:type="dxa"/>
              <w:left w:w="108.0" w:type="dxa"/>
              <w:bottom w:w="0.0" w:type="dxa"/>
              <w:right w:w="108.0" w:type="dxa"/>
            </w:tcMar>
            <w:vAlign w:val="center"/>
          </w:tcPr>
          <w:p w:rsidR="00000000" w:rsidDel="00000000" w:rsidP="00000000" w:rsidRDefault="00000000" w:rsidRPr="00000000" w14:paraId="0000006A">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203.50</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4.42</w:t>
            </w:r>
          </w:p>
        </w:tc>
        <w:tc>
          <w:tcPr>
            <w:gridSpan w:val="2"/>
            <w:tcMar>
              <w:top w:w="15.0" w:type="dxa"/>
              <w:left w:w="108.0" w:type="dxa"/>
              <w:bottom w:w="0.0" w:type="dxa"/>
              <w:right w:w="108.0" w:type="dxa"/>
            </w:tcMar>
            <w:vAlign w:val="center"/>
          </w:tcPr>
          <w:p w:rsidR="00000000" w:rsidDel="00000000" w:rsidP="00000000" w:rsidRDefault="00000000" w:rsidRPr="00000000" w14:paraId="0000006B">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195.83</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3.51</w:t>
            </w:r>
          </w:p>
        </w:tc>
        <w:tc>
          <w:tcPr>
            <w:tcMar>
              <w:top w:w="15.0" w:type="dxa"/>
              <w:left w:w="108.0" w:type="dxa"/>
              <w:bottom w:w="0.0" w:type="dxa"/>
              <w:right w:w="108.0" w:type="dxa"/>
            </w:tcMar>
            <w:vAlign w:val="center"/>
          </w:tcPr>
          <w:p w:rsidR="00000000" w:rsidDel="00000000" w:rsidP="00000000" w:rsidRDefault="00000000" w:rsidRPr="00000000" w14:paraId="0000006D">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199.33</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4.62</w:t>
            </w:r>
          </w:p>
        </w:tc>
        <w:tc>
          <w:tcPr>
            <w:vAlign w:val="center"/>
          </w:tcPr>
          <w:p w:rsidR="00000000" w:rsidDel="00000000" w:rsidP="00000000" w:rsidRDefault="00000000" w:rsidRPr="00000000" w14:paraId="0000006E">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195.83</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1.83</w:t>
            </w:r>
          </w:p>
        </w:tc>
      </w:tr>
      <w:tr>
        <w:trPr>
          <w:cantSplit w:val="0"/>
          <w:trHeight w:val="41" w:hRule="atLeast"/>
          <w:tblHeader w:val="0"/>
        </w:trPr>
        <w:tc>
          <w:tcPr>
            <w:tcMar>
              <w:top w:w="15.0" w:type="dxa"/>
              <w:left w:w="108.0" w:type="dxa"/>
              <w:bottom w:w="0.0" w:type="dxa"/>
              <w:right w:w="108.0" w:type="dxa"/>
            </w:tcMar>
            <w:vAlign w:val="center"/>
          </w:tcPr>
          <w:p w:rsidR="00000000" w:rsidDel="00000000" w:rsidP="00000000" w:rsidRDefault="00000000" w:rsidRPr="00000000" w14:paraId="0000006F">
            <w:pPr>
              <w:spacing w:after="40" w:before="4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III</w:t>
            </w:r>
          </w:p>
        </w:tc>
        <w:tc>
          <w:tcPr>
            <w:tcMar>
              <w:top w:w="15.0" w:type="dxa"/>
              <w:left w:w="108.0" w:type="dxa"/>
              <w:bottom w:w="0.0" w:type="dxa"/>
              <w:right w:w="108.0" w:type="dxa"/>
            </w:tcMar>
            <w:vAlign w:val="center"/>
          </w:tcPr>
          <w:p w:rsidR="00000000" w:rsidDel="00000000" w:rsidP="00000000" w:rsidRDefault="00000000" w:rsidRPr="00000000" w14:paraId="00000070">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198.17</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1.82</w:t>
            </w:r>
          </w:p>
        </w:tc>
        <w:tc>
          <w:tcPr>
            <w:tcMar>
              <w:top w:w="15.0" w:type="dxa"/>
              <w:left w:w="108.0" w:type="dxa"/>
              <w:bottom w:w="0.0" w:type="dxa"/>
              <w:right w:w="108.0" w:type="dxa"/>
            </w:tcMar>
            <w:vAlign w:val="center"/>
          </w:tcPr>
          <w:p w:rsidR="00000000" w:rsidDel="00000000" w:rsidP="00000000" w:rsidRDefault="00000000" w:rsidRPr="00000000" w14:paraId="00000071">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196.67</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1.98</w:t>
            </w:r>
          </w:p>
        </w:tc>
        <w:tc>
          <w:tcPr>
            <w:tcMar>
              <w:top w:w="15.0" w:type="dxa"/>
              <w:left w:w="108.0" w:type="dxa"/>
              <w:bottom w:w="0.0" w:type="dxa"/>
              <w:right w:w="108.0" w:type="dxa"/>
            </w:tcMar>
            <w:vAlign w:val="center"/>
          </w:tcPr>
          <w:p w:rsidR="00000000" w:rsidDel="00000000" w:rsidP="00000000" w:rsidRDefault="00000000" w:rsidRPr="00000000" w14:paraId="00000072">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199.33</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7.85</w:t>
            </w:r>
          </w:p>
        </w:tc>
        <w:tc>
          <w:tcPr>
            <w:tcMar>
              <w:top w:w="15.0" w:type="dxa"/>
              <w:left w:w="108.0" w:type="dxa"/>
              <w:bottom w:w="0.0" w:type="dxa"/>
              <w:right w:w="108.0" w:type="dxa"/>
            </w:tcMar>
            <w:vAlign w:val="center"/>
          </w:tcPr>
          <w:p w:rsidR="00000000" w:rsidDel="00000000" w:rsidP="00000000" w:rsidRDefault="00000000" w:rsidRPr="00000000" w14:paraId="00000073">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194.50</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12.45 </w:t>
            </w:r>
          </w:p>
        </w:tc>
        <w:tc>
          <w:tcPr>
            <w:gridSpan w:val="2"/>
            <w:tcMar>
              <w:top w:w="15.0" w:type="dxa"/>
              <w:left w:w="108.0" w:type="dxa"/>
              <w:bottom w:w="0.0" w:type="dxa"/>
              <w:right w:w="108.0" w:type="dxa"/>
            </w:tcMar>
            <w:vAlign w:val="center"/>
          </w:tcPr>
          <w:p w:rsidR="00000000" w:rsidDel="00000000" w:rsidP="00000000" w:rsidRDefault="00000000" w:rsidRPr="00000000" w14:paraId="00000074">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206.67</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7.18</w:t>
            </w:r>
          </w:p>
        </w:tc>
        <w:tc>
          <w:tcPr>
            <w:tcMar>
              <w:top w:w="15.0" w:type="dxa"/>
              <w:left w:w="108.0" w:type="dxa"/>
              <w:bottom w:w="0.0" w:type="dxa"/>
              <w:right w:w="108.0" w:type="dxa"/>
            </w:tcMar>
            <w:vAlign w:val="center"/>
          </w:tcPr>
          <w:p w:rsidR="00000000" w:rsidDel="00000000" w:rsidP="00000000" w:rsidRDefault="00000000" w:rsidRPr="00000000" w14:paraId="00000076">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211.67</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8.37</w:t>
            </w:r>
          </w:p>
        </w:tc>
        <w:tc>
          <w:tcPr>
            <w:vAlign w:val="center"/>
          </w:tcPr>
          <w:p w:rsidR="00000000" w:rsidDel="00000000" w:rsidP="00000000" w:rsidRDefault="00000000" w:rsidRPr="00000000" w14:paraId="00000077">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227.33</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4.01</w:t>
            </w:r>
          </w:p>
        </w:tc>
      </w:tr>
    </w:tbl>
    <w:p w:rsidR="00000000" w:rsidDel="00000000" w:rsidP="00000000" w:rsidRDefault="00000000" w:rsidRPr="00000000" w14:paraId="00000078">
      <w:pPr>
        <w:spacing w:after="120" w:line="360" w:lineRule="auto"/>
        <w:ind w:firstLine="720"/>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Means with different superscripts in row differ significantly</w:t>
      </w:r>
      <w:r w:rsidDel="00000000" w:rsidR="00000000" w:rsidRPr="00000000">
        <w:rPr>
          <w:rFonts w:ascii="Times New Roman" w:cs="Times New Roman" w:eastAsia="Times New Roman" w:hAnsi="Times New Roman"/>
          <w:i w:val="1"/>
          <w:iCs w:val="1"/>
          <w:sz w:val="20"/>
          <w:szCs w:val="20"/>
          <w:rtl w:val="0"/>
        </w:rPr>
        <w:t xml:space="preserve"> (p</w:t>
      </w:r>
      <w:sdt>
        <w:sdtPr>
          <w:id w:val="1945251848"/>
          <w:tag w:val="goog_rdk_1"/>
        </w:sdtPr>
        <w:sdtContent>
          <w:r w:rsidDel="00000000" w:rsidR="00000000" w:rsidRPr="00000000">
            <w:rPr>
              <w:rFonts w:ascii="Gungsuh" w:cs="Gungsuh" w:eastAsia="Gungsuh" w:hAnsi="Gungsuh"/>
              <w:sz w:val="20"/>
              <w:szCs w:val="20"/>
              <w:rtl w:val="0"/>
            </w:rPr>
            <w:t xml:space="preserve">≤</w:t>
          </w:r>
        </w:sdtContent>
      </w:sdt>
      <w:r w:rsidDel="00000000" w:rsidR="00000000" w:rsidRPr="00000000">
        <w:rPr>
          <w:rFonts w:ascii="Times New Roman" w:cs="Times New Roman" w:eastAsia="Times New Roman" w:hAnsi="Times New Roman"/>
          <w:i w:val="1"/>
          <w:iCs w:val="1"/>
          <w:sz w:val="20"/>
          <w:szCs w:val="20"/>
          <w:rtl w:val="0"/>
        </w:rPr>
        <w:t xml:space="preserve">0.05)</w:t>
      </w:r>
    </w:p>
    <w:p w:rsidR="00000000" w:rsidDel="00000000" w:rsidP="00000000" w:rsidRDefault="00000000" w:rsidRPr="00000000" w14:paraId="00000079">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3.1.2 Weekly body weight gain of dams</w:t>
      </w:r>
    </w:p>
    <w:p w:rsidR="00000000" w:rsidDel="00000000" w:rsidP="00000000" w:rsidRDefault="00000000" w:rsidRPr="00000000" w14:paraId="0000007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Weekly body weight gain of dams differed significantly among experimental groups across the gestation and lactation period. Control group dams showed consistent positive weight gain throughout the study, with the highest gain observed during late gestation. In contrast, lead-treated dams exhibited reduced and fluctuating weight gain, with negative weight gain recorded during certain intervals, indicating loss of body mass during exposure.</w:t>
      </w:r>
    </w:p>
    <w:p w:rsidR="00000000" w:rsidDel="00000000" w:rsidP="00000000" w:rsidRDefault="00000000" w:rsidRPr="00000000" w14:paraId="0000007B">
      <w:pPr>
        <w:spacing w:after="240" w:before="12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Dams receiving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supplementation along with lead acetate showed moderated fluctuations and significantly improved weight gain during later weeks compared with the lead-only group, although values did not reach control levels. This indicates partial restoration of growth performance with nutritional supplementation. The observed Mean ± SE values are mentioned in table 02</w:t>
      </w:r>
    </w:p>
    <w:p w:rsidR="00000000" w:rsidDel="00000000" w:rsidP="00000000" w:rsidRDefault="00000000" w:rsidRPr="00000000" w14:paraId="0000007C">
      <w:pPr>
        <w:spacing w:after="120" w:line="36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Table 02: Mean weekly body weight gain (g) of dams of different groups</w:t>
      </w:r>
    </w:p>
    <w:tbl>
      <w:tblPr>
        <w:tblStyle w:val="Table3"/>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6"/>
        <w:gridCol w:w="1355"/>
        <w:gridCol w:w="1355"/>
        <w:gridCol w:w="1355"/>
        <w:gridCol w:w="1355"/>
        <w:gridCol w:w="1355"/>
        <w:gridCol w:w="1355"/>
        <w:tblGridChange w:id="0">
          <w:tblGrid>
            <w:gridCol w:w="886"/>
            <w:gridCol w:w="1355"/>
            <w:gridCol w:w="1355"/>
            <w:gridCol w:w="1355"/>
            <w:gridCol w:w="1355"/>
            <w:gridCol w:w="1355"/>
            <w:gridCol w:w="1355"/>
          </w:tblGrid>
        </w:tblGridChange>
      </w:tblGrid>
      <w:tr>
        <w:trPr>
          <w:cantSplit w:val="0"/>
          <w:trHeight w:val="20" w:hRule="atLeast"/>
          <w:tblHeader w:val="0"/>
        </w:trPr>
        <w:tc>
          <w:tcPr>
            <w:tcMar>
              <w:top w:w="72.0" w:type="dxa"/>
              <w:left w:w="144.0" w:type="dxa"/>
              <w:bottom w:w="72.0" w:type="dxa"/>
              <w:right w:w="144.0" w:type="dxa"/>
            </w:tcMar>
            <w:vAlign w:val="center"/>
          </w:tcPr>
          <w:p w:rsidR="00000000" w:rsidDel="00000000" w:rsidP="00000000" w:rsidRDefault="00000000" w:rsidRPr="00000000" w14:paraId="0000007D">
            <w:pPr>
              <w:spacing w:after="0" w:line="240" w:lineRule="auto"/>
              <w:ind w:left="1397" w:hanging="1397"/>
              <w:jc w:val="center"/>
              <w:rPr>
                <w:rFonts w:ascii="Times New Roman" w:cs="Times New Roman" w:eastAsia="Times New Roman" w:hAnsi="Times New Roman"/>
                <w:sz w:val="24"/>
                <w:szCs w:val="24"/>
              </w:rPr>
            </w:pPr>
            <w:r w:rsidDel="00000000" w:rsidR="00000000" w:rsidRPr="00000000">
              <w:rPr>
                <w:rtl w:val="0"/>
              </w:rPr>
            </w:r>
          </w:p>
        </w:tc>
        <w:tc>
          <w:tcPr>
            <w:gridSpan w:val="6"/>
            <w:tcMar>
              <w:top w:w="12.0" w:type="dxa"/>
              <w:left w:w="12.0" w:type="dxa"/>
              <w:bottom w:w="0.0" w:type="dxa"/>
              <w:right w:w="12.0" w:type="dxa"/>
            </w:tcMar>
            <w:vAlign w:val="center"/>
          </w:tcPr>
          <w:p w:rsidR="00000000" w:rsidDel="00000000" w:rsidP="00000000" w:rsidRDefault="00000000" w:rsidRPr="00000000" w14:paraId="0000007E">
            <w:pPr>
              <w:spacing w:after="0" w:line="240" w:lineRule="auto"/>
              <w:ind w:left="1397" w:hanging="1397"/>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(Body weight gain) (Mean ± SE}</w:t>
            </w:r>
          </w:p>
        </w:tc>
      </w:tr>
      <w:tr>
        <w:trPr>
          <w:cantSplit w:val="0"/>
          <w:trHeight w:val="20" w:hRule="atLeast"/>
          <w:tblHeader w:val="0"/>
        </w:trPr>
        <w:tc>
          <w:tcPr>
            <w:tcMar>
              <w:top w:w="72.0" w:type="dxa"/>
              <w:left w:w="144.0" w:type="dxa"/>
              <w:bottom w:w="72.0" w:type="dxa"/>
              <w:right w:w="144.0" w:type="dxa"/>
            </w:tcMar>
            <w:vAlign w:val="center"/>
          </w:tcPr>
          <w:p w:rsidR="00000000" w:rsidDel="00000000" w:rsidP="00000000" w:rsidRDefault="00000000" w:rsidRPr="00000000" w14:paraId="00000084">
            <w:pPr>
              <w:spacing w:after="0" w:line="240" w:lineRule="auto"/>
              <w:ind w:right="-221"/>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Group</w:t>
            </w:r>
          </w:p>
        </w:tc>
        <w:tc>
          <w:tcPr>
            <w:tcMar>
              <w:top w:w="12.0" w:type="dxa"/>
              <w:left w:w="12.0" w:type="dxa"/>
              <w:bottom w:w="0.0" w:type="dxa"/>
              <w:right w:w="12.0" w:type="dxa"/>
            </w:tcMar>
            <w:vAlign w:val="center"/>
          </w:tcPr>
          <w:p w:rsidR="00000000" w:rsidDel="00000000" w:rsidP="00000000" w:rsidRDefault="00000000" w:rsidRPr="00000000" w14:paraId="00000085">
            <w:pPr>
              <w:spacing w:after="0" w:line="240" w:lineRule="auto"/>
              <w:ind w:left="1397" w:hanging="1397"/>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Week 1</w:t>
            </w:r>
          </w:p>
        </w:tc>
        <w:tc>
          <w:tcPr>
            <w:tcMar>
              <w:top w:w="12.0" w:type="dxa"/>
              <w:left w:w="12.0" w:type="dxa"/>
              <w:bottom w:w="0.0" w:type="dxa"/>
              <w:right w:w="12.0" w:type="dxa"/>
            </w:tcMar>
            <w:vAlign w:val="center"/>
          </w:tcPr>
          <w:p w:rsidR="00000000" w:rsidDel="00000000" w:rsidP="00000000" w:rsidRDefault="00000000" w:rsidRPr="00000000" w14:paraId="00000086">
            <w:pPr>
              <w:spacing w:after="0" w:line="240" w:lineRule="auto"/>
              <w:ind w:left="1397" w:hanging="1397"/>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Week 2</w:t>
            </w:r>
          </w:p>
        </w:tc>
        <w:tc>
          <w:tcPr>
            <w:tcMar>
              <w:top w:w="12.0" w:type="dxa"/>
              <w:left w:w="12.0" w:type="dxa"/>
              <w:bottom w:w="0.0" w:type="dxa"/>
              <w:right w:w="12.0" w:type="dxa"/>
            </w:tcMar>
            <w:vAlign w:val="center"/>
          </w:tcPr>
          <w:p w:rsidR="00000000" w:rsidDel="00000000" w:rsidP="00000000" w:rsidRDefault="00000000" w:rsidRPr="00000000" w14:paraId="00000087">
            <w:pPr>
              <w:spacing w:after="0" w:line="240" w:lineRule="auto"/>
              <w:ind w:left="1397" w:hanging="1397"/>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Week 3</w:t>
            </w:r>
          </w:p>
        </w:tc>
        <w:tc>
          <w:tcPr>
            <w:tcMar>
              <w:top w:w="12.0" w:type="dxa"/>
              <w:left w:w="12.0" w:type="dxa"/>
              <w:bottom w:w="0.0" w:type="dxa"/>
              <w:right w:w="12.0" w:type="dxa"/>
            </w:tcMar>
            <w:vAlign w:val="center"/>
          </w:tcPr>
          <w:p w:rsidR="00000000" w:rsidDel="00000000" w:rsidP="00000000" w:rsidRDefault="00000000" w:rsidRPr="00000000" w14:paraId="00000088">
            <w:pPr>
              <w:spacing w:after="0" w:line="240" w:lineRule="auto"/>
              <w:ind w:left="1397" w:hanging="1397"/>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Week 4</w:t>
            </w:r>
          </w:p>
        </w:tc>
        <w:tc>
          <w:tcPr>
            <w:tcMar>
              <w:top w:w="12.0" w:type="dxa"/>
              <w:left w:w="12.0" w:type="dxa"/>
              <w:bottom w:w="0.0" w:type="dxa"/>
              <w:right w:w="12.0" w:type="dxa"/>
            </w:tcMar>
            <w:vAlign w:val="center"/>
          </w:tcPr>
          <w:p w:rsidR="00000000" w:rsidDel="00000000" w:rsidP="00000000" w:rsidRDefault="00000000" w:rsidRPr="00000000" w14:paraId="00000089">
            <w:pPr>
              <w:spacing w:after="0" w:line="240" w:lineRule="auto"/>
              <w:ind w:left="1397" w:hanging="1397"/>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Week 5</w:t>
            </w:r>
          </w:p>
        </w:tc>
        <w:tc>
          <w:tcPr>
            <w:tcMar>
              <w:top w:w="12.0" w:type="dxa"/>
              <w:left w:w="12.0" w:type="dxa"/>
              <w:bottom w:w="0.0" w:type="dxa"/>
              <w:right w:w="12.0" w:type="dxa"/>
            </w:tcMar>
            <w:vAlign w:val="center"/>
          </w:tcPr>
          <w:p w:rsidR="00000000" w:rsidDel="00000000" w:rsidP="00000000" w:rsidRDefault="00000000" w:rsidRPr="00000000" w14:paraId="0000008A">
            <w:pPr>
              <w:spacing w:after="0" w:line="240" w:lineRule="auto"/>
              <w:ind w:left="1397" w:hanging="1397"/>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Week 6</w:t>
            </w:r>
          </w:p>
        </w:tc>
      </w:tr>
      <w:tr>
        <w:trPr>
          <w:cantSplit w:val="0"/>
          <w:trHeight w:val="20" w:hRule="atLeast"/>
          <w:tblHeader w:val="0"/>
        </w:trPr>
        <w:tc>
          <w:tcPr>
            <w:tcMar>
              <w:top w:w="15.0" w:type="dxa"/>
              <w:left w:w="108.0" w:type="dxa"/>
              <w:bottom w:w="0.0" w:type="dxa"/>
              <w:right w:w="108.0" w:type="dxa"/>
            </w:tcMar>
            <w:vAlign w:val="center"/>
          </w:tcPr>
          <w:p w:rsidR="00000000" w:rsidDel="00000000" w:rsidP="00000000" w:rsidRDefault="00000000" w:rsidRPr="00000000" w14:paraId="0000008B">
            <w:pPr>
              <w:spacing w:before="160" w:line="240" w:lineRule="auto"/>
              <w:ind w:left="1395" w:hanging="139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8C">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3.17ᵃ ± 1.87</w:t>
            </w:r>
          </w:p>
        </w:tc>
        <w:tc>
          <w:tcPr>
            <w:tcMar>
              <w:top w:w="12.0" w:type="dxa"/>
              <w:left w:w="12.0" w:type="dxa"/>
              <w:bottom w:w="0.0" w:type="dxa"/>
              <w:right w:w="12.0" w:type="dxa"/>
            </w:tcMar>
            <w:vAlign w:val="center"/>
          </w:tcPr>
          <w:p w:rsidR="00000000" w:rsidDel="00000000" w:rsidP="00000000" w:rsidRDefault="00000000" w:rsidRPr="00000000" w14:paraId="0000008D">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7.17ᵃ ± 2.10</w:t>
            </w:r>
          </w:p>
        </w:tc>
        <w:tc>
          <w:tcPr>
            <w:tcMar>
              <w:top w:w="12.0" w:type="dxa"/>
              <w:left w:w="12.0" w:type="dxa"/>
              <w:bottom w:w="0.0" w:type="dxa"/>
              <w:right w:w="12.0" w:type="dxa"/>
            </w:tcMar>
            <w:vAlign w:val="center"/>
          </w:tcPr>
          <w:p w:rsidR="00000000" w:rsidDel="00000000" w:rsidP="00000000" w:rsidRDefault="00000000" w:rsidRPr="00000000" w14:paraId="0000008E">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9.00ᵃ ± 3.34</w:t>
            </w:r>
          </w:p>
        </w:tc>
        <w:tc>
          <w:tcPr>
            <w:tcMar>
              <w:top w:w="12.0" w:type="dxa"/>
              <w:left w:w="12.0" w:type="dxa"/>
              <w:bottom w:w="0.0" w:type="dxa"/>
              <w:right w:w="12.0" w:type="dxa"/>
            </w:tcMar>
            <w:vAlign w:val="center"/>
          </w:tcPr>
          <w:p w:rsidR="00000000" w:rsidDel="00000000" w:rsidP="00000000" w:rsidRDefault="00000000" w:rsidRPr="00000000" w14:paraId="0000008F">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19.67ᵃ ± 7.13</w:t>
            </w:r>
          </w:p>
        </w:tc>
        <w:tc>
          <w:tcPr>
            <w:tcMar>
              <w:top w:w="12.0" w:type="dxa"/>
              <w:left w:w="12.0" w:type="dxa"/>
              <w:bottom w:w="0.0" w:type="dxa"/>
              <w:right w:w="12.0" w:type="dxa"/>
            </w:tcMar>
            <w:vAlign w:val="center"/>
          </w:tcPr>
          <w:p w:rsidR="00000000" w:rsidDel="00000000" w:rsidP="00000000" w:rsidRDefault="00000000" w:rsidRPr="00000000" w14:paraId="00000090">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0.33ᵃ ± 8.21</w:t>
            </w:r>
          </w:p>
        </w:tc>
        <w:tc>
          <w:tcPr>
            <w:tcMar>
              <w:top w:w="12.0" w:type="dxa"/>
              <w:left w:w="12.0" w:type="dxa"/>
              <w:bottom w:w="0.0" w:type="dxa"/>
              <w:right w:w="12.0" w:type="dxa"/>
            </w:tcMar>
            <w:vAlign w:val="center"/>
          </w:tcPr>
          <w:p w:rsidR="00000000" w:rsidDel="00000000" w:rsidP="00000000" w:rsidRDefault="00000000" w:rsidRPr="00000000" w14:paraId="00000091">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7.17ᵇ ± 2.27</w:t>
            </w:r>
          </w:p>
        </w:tc>
      </w:tr>
      <w:tr>
        <w:trPr>
          <w:cantSplit w:val="0"/>
          <w:trHeight w:val="20" w:hRule="atLeast"/>
          <w:tblHeader w:val="0"/>
        </w:trPr>
        <w:tc>
          <w:tcPr>
            <w:tcMar>
              <w:top w:w="15.0" w:type="dxa"/>
              <w:left w:w="108.0" w:type="dxa"/>
              <w:bottom w:w="0.0" w:type="dxa"/>
              <w:right w:w="108.0" w:type="dxa"/>
            </w:tcMar>
            <w:vAlign w:val="center"/>
          </w:tcPr>
          <w:p w:rsidR="00000000" w:rsidDel="00000000" w:rsidP="00000000" w:rsidRDefault="00000000" w:rsidRPr="00000000" w14:paraId="00000092">
            <w:pPr>
              <w:spacing w:before="160" w:line="240" w:lineRule="auto"/>
              <w:ind w:left="1395" w:hanging="139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II</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93">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2.50ᵃ ± 2.11</w:t>
            </w:r>
          </w:p>
        </w:tc>
        <w:tc>
          <w:tcPr>
            <w:tcMar>
              <w:top w:w="12.0" w:type="dxa"/>
              <w:left w:w="12.0" w:type="dxa"/>
              <w:bottom w:w="0.0" w:type="dxa"/>
              <w:right w:w="12.0" w:type="dxa"/>
            </w:tcMar>
            <w:vAlign w:val="center"/>
          </w:tcPr>
          <w:p w:rsidR="00000000" w:rsidDel="00000000" w:rsidP="00000000" w:rsidRDefault="00000000" w:rsidRPr="00000000" w14:paraId="00000094">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2.00ᵃ ± 2.25</w:t>
            </w:r>
          </w:p>
        </w:tc>
        <w:tc>
          <w:tcPr>
            <w:tcMar>
              <w:top w:w="12.0" w:type="dxa"/>
              <w:left w:w="12.0" w:type="dxa"/>
              <w:bottom w:w="0.0" w:type="dxa"/>
              <w:right w:w="12.0" w:type="dxa"/>
            </w:tcMar>
            <w:vAlign w:val="center"/>
          </w:tcPr>
          <w:p w:rsidR="00000000" w:rsidDel="00000000" w:rsidP="00000000" w:rsidRDefault="00000000" w:rsidRPr="00000000" w14:paraId="00000095">
            <w:pPr>
              <w:spacing w:before="160" w:line="240" w:lineRule="auto"/>
              <w:jc w:val="center"/>
              <w:rPr>
                <w:rFonts w:ascii="Times New Roman" w:cs="Times New Roman" w:eastAsia="Times New Roman" w:hAnsi="Times New Roman"/>
                <w:sz w:val="24"/>
                <w:szCs w:val="24"/>
              </w:rPr>
            </w:pPr>
            <w:sdt>
              <w:sdtPr>
                <w:id w:val="335114971"/>
                <w:tag w:val="goog_rdk_2"/>
              </w:sdtPr>
              <w:sdtContent>
                <w:r w:rsidDel="00000000" w:rsidR="00000000" w:rsidRPr="00000000">
                  <w:rPr>
                    <w:rFonts w:ascii="Caudex" w:cs="Caudex" w:eastAsia="Caudex" w:hAnsi="Caudex"/>
                    <w:sz w:val="24"/>
                    <w:szCs w:val="24"/>
                    <w:rtl w:val="0"/>
                  </w:rPr>
                  <w:t xml:space="preserve">−3.00ᵃ ± 4.82</w:t>
                </w:r>
              </w:sdtContent>
            </w:sdt>
          </w:p>
        </w:tc>
        <w:tc>
          <w:tcPr>
            <w:tcMar>
              <w:top w:w="12.0" w:type="dxa"/>
              <w:left w:w="12.0" w:type="dxa"/>
              <w:bottom w:w="0.0" w:type="dxa"/>
              <w:right w:w="12.0" w:type="dxa"/>
            </w:tcMar>
            <w:vAlign w:val="center"/>
          </w:tcPr>
          <w:p w:rsidR="00000000" w:rsidDel="00000000" w:rsidP="00000000" w:rsidRDefault="00000000" w:rsidRPr="00000000" w14:paraId="00000096">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−7.67ᶜ ± 3.86</w:t>
            </w:r>
          </w:p>
        </w:tc>
        <w:tc>
          <w:tcPr>
            <w:tcMar>
              <w:top w:w="12.0" w:type="dxa"/>
              <w:left w:w="12.0" w:type="dxa"/>
              <w:bottom w:w="0.0" w:type="dxa"/>
              <w:right w:w="12.0" w:type="dxa"/>
            </w:tcMar>
            <w:vAlign w:val="center"/>
          </w:tcPr>
          <w:p w:rsidR="00000000" w:rsidDel="00000000" w:rsidP="00000000" w:rsidRDefault="00000000" w:rsidRPr="00000000" w14:paraId="00000097">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3.50ᵃ ± 4.32</w:t>
            </w:r>
          </w:p>
        </w:tc>
        <w:tc>
          <w:tcPr>
            <w:tcMar>
              <w:top w:w="12.0" w:type="dxa"/>
              <w:left w:w="12.0" w:type="dxa"/>
              <w:bottom w:w="0.0" w:type="dxa"/>
              <w:right w:w="12.0" w:type="dxa"/>
            </w:tcMar>
            <w:vAlign w:val="center"/>
          </w:tcPr>
          <w:p w:rsidR="00000000" w:rsidDel="00000000" w:rsidP="00000000" w:rsidRDefault="00000000" w:rsidRPr="00000000" w14:paraId="00000098">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−3.50ᶜ ± 3.96</w:t>
            </w:r>
          </w:p>
        </w:tc>
      </w:tr>
      <w:tr>
        <w:trPr>
          <w:cantSplit w:val="0"/>
          <w:trHeight w:val="20" w:hRule="atLeast"/>
          <w:tblHeader w:val="0"/>
        </w:trPr>
        <w:tc>
          <w:tcPr>
            <w:tcMar>
              <w:top w:w="15.0" w:type="dxa"/>
              <w:left w:w="108.0" w:type="dxa"/>
              <w:bottom w:w="0.0" w:type="dxa"/>
              <w:right w:w="108.0" w:type="dxa"/>
            </w:tcMar>
            <w:vAlign w:val="center"/>
          </w:tcPr>
          <w:p w:rsidR="00000000" w:rsidDel="00000000" w:rsidP="00000000" w:rsidRDefault="00000000" w:rsidRPr="00000000" w14:paraId="00000099">
            <w:pPr>
              <w:spacing w:before="160" w:line="240" w:lineRule="auto"/>
              <w:ind w:left="1395" w:hanging="139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III</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9A">
            <w:pPr>
              <w:spacing w:before="160" w:line="240" w:lineRule="auto"/>
              <w:jc w:val="center"/>
              <w:rPr>
                <w:rFonts w:ascii="Times New Roman" w:cs="Times New Roman" w:eastAsia="Times New Roman" w:hAnsi="Times New Roman"/>
                <w:sz w:val="24"/>
                <w:szCs w:val="24"/>
              </w:rPr>
            </w:pPr>
            <w:sdt>
              <w:sdtPr>
                <w:id w:val="-576683086"/>
                <w:tag w:val="goog_rdk_3"/>
              </w:sdtPr>
              <w:sdtContent>
                <w:r w:rsidDel="00000000" w:rsidR="00000000" w:rsidRPr="00000000">
                  <w:rPr>
                    <w:rFonts w:ascii="Caudex" w:cs="Caudex" w:eastAsia="Caudex" w:hAnsi="Caudex"/>
                    <w:sz w:val="24"/>
                    <w:szCs w:val="24"/>
                    <w:rtl w:val="0"/>
                  </w:rPr>
                  <w:t xml:space="preserve">−1.50ᵃ ± 1.52</w:t>
                </w:r>
              </w:sdtContent>
            </w:sdt>
          </w:p>
        </w:tc>
        <w:tc>
          <w:tcPr>
            <w:tcMar>
              <w:top w:w="12.0" w:type="dxa"/>
              <w:left w:w="12.0" w:type="dxa"/>
              <w:bottom w:w="0.0" w:type="dxa"/>
              <w:right w:w="12.0" w:type="dxa"/>
            </w:tcMar>
            <w:vAlign w:val="center"/>
          </w:tcPr>
          <w:p w:rsidR="00000000" w:rsidDel="00000000" w:rsidP="00000000" w:rsidRDefault="00000000" w:rsidRPr="00000000" w14:paraId="0000009B">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2.67ᵃ ± 6.99</w:t>
            </w:r>
          </w:p>
        </w:tc>
        <w:tc>
          <w:tcPr>
            <w:tcMar>
              <w:top w:w="12.0" w:type="dxa"/>
              <w:left w:w="12.0" w:type="dxa"/>
              <w:bottom w:w="0.0" w:type="dxa"/>
              <w:right w:w="12.0" w:type="dxa"/>
            </w:tcMar>
            <w:vAlign w:val="center"/>
          </w:tcPr>
          <w:p w:rsidR="00000000" w:rsidDel="00000000" w:rsidP="00000000" w:rsidRDefault="00000000" w:rsidRPr="00000000" w14:paraId="0000009C">
            <w:pPr>
              <w:spacing w:before="160" w:line="240" w:lineRule="auto"/>
              <w:jc w:val="center"/>
              <w:rPr>
                <w:rFonts w:ascii="Times New Roman" w:cs="Times New Roman" w:eastAsia="Times New Roman" w:hAnsi="Times New Roman"/>
                <w:sz w:val="24"/>
                <w:szCs w:val="24"/>
              </w:rPr>
            </w:pPr>
            <w:sdt>
              <w:sdtPr>
                <w:id w:val="1666354533"/>
                <w:tag w:val="goog_rdk_4"/>
              </w:sdtPr>
              <w:sdtContent>
                <w:r w:rsidDel="00000000" w:rsidR="00000000" w:rsidRPr="00000000">
                  <w:rPr>
                    <w:rFonts w:ascii="Caudex" w:cs="Caudex" w:eastAsia="Caudex" w:hAnsi="Caudex"/>
                    <w:sz w:val="24"/>
                    <w:szCs w:val="24"/>
                    <w:rtl w:val="0"/>
                  </w:rPr>
                  <w:t xml:space="preserve">−4.83ᵃ ± 7.79</w:t>
                </w:r>
              </w:sdtContent>
            </w:sdt>
          </w:p>
        </w:tc>
        <w:tc>
          <w:tcPr>
            <w:tcMar>
              <w:top w:w="12.0" w:type="dxa"/>
              <w:left w:w="12.0" w:type="dxa"/>
              <w:bottom w:w="0.0" w:type="dxa"/>
              <w:right w:w="12.0" w:type="dxa"/>
            </w:tcMar>
            <w:vAlign w:val="center"/>
          </w:tcPr>
          <w:p w:rsidR="00000000" w:rsidDel="00000000" w:rsidP="00000000" w:rsidRDefault="00000000" w:rsidRPr="00000000" w14:paraId="0000009D">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12.17ᵇ ± 7.68</w:t>
            </w:r>
          </w:p>
        </w:tc>
        <w:tc>
          <w:tcPr>
            <w:tcMar>
              <w:top w:w="12.0" w:type="dxa"/>
              <w:left w:w="12.0" w:type="dxa"/>
              <w:bottom w:w="0.0" w:type="dxa"/>
              <w:right w:w="12.0" w:type="dxa"/>
            </w:tcMar>
            <w:vAlign w:val="center"/>
          </w:tcPr>
          <w:p w:rsidR="00000000" w:rsidDel="00000000" w:rsidP="00000000" w:rsidRDefault="00000000" w:rsidRPr="00000000" w14:paraId="0000009E">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5.00ᵃ ± 4.77</w:t>
            </w:r>
          </w:p>
        </w:tc>
        <w:tc>
          <w:tcPr>
            <w:tcMar>
              <w:top w:w="12.0" w:type="dxa"/>
              <w:left w:w="12.0" w:type="dxa"/>
              <w:bottom w:w="0.0" w:type="dxa"/>
              <w:right w:w="12.0" w:type="dxa"/>
            </w:tcMar>
            <w:vAlign w:val="center"/>
          </w:tcPr>
          <w:p w:rsidR="00000000" w:rsidDel="00000000" w:rsidP="00000000" w:rsidRDefault="00000000" w:rsidRPr="00000000" w14:paraId="0000009F">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15.67ᵃ ± 7.61</w:t>
            </w:r>
          </w:p>
        </w:tc>
      </w:tr>
    </w:tbl>
    <w:p w:rsidR="00000000" w:rsidDel="00000000" w:rsidP="00000000" w:rsidRDefault="00000000" w:rsidRPr="00000000" w14:paraId="000000A0">
      <w:pPr>
        <w:spacing w:after="120" w:line="360" w:lineRule="auto"/>
        <w:ind w:firstLine="720"/>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Means with different superscripts in row differ significantly</w:t>
      </w:r>
      <w:r w:rsidDel="00000000" w:rsidR="00000000" w:rsidRPr="00000000">
        <w:rPr>
          <w:rFonts w:ascii="Times New Roman" w:cs="Times New Roman" w:eastAsia="Times New Roman" w:hAnsi="Times New Roman"/>
          <w:i w:val="1"/>
          <w:iCs w:val="1"/>
          <w:sz w:val="20"/>
          <w:szCs w:val="20"/>
          <w:rtl w:val="0"/>
        </w:rPr>
        <w:t xml:space="preserve"> (p</w:t>
      </w:r>
      <w:sdt>
        <w:sdtPr>
          <w:id w:val="1546168909"/>
          <w:tag w:val="goog_rdk_5"/>
        </w:sdtPr>
        <w:sdtContent>
          <w:r w:rsidDel="00000000" w:rsidR="00000000" w:rsidRPr="00000000">
            <w:rPr>
              <w:rFonts w:ascii="Gungsuh" w:cs="Gungsuh" w:eastAsia="Gungsuh" w:hAnsi="Gungsuh"/>
              <w:sz w:val="20"/>
              <w:szCs w:val="20"/>
              <w:rtl w:val="0"/>
            </w:rPr>
            <w:t xml:space="preserve">≤</w:t>
          </w:r>
        </w:sdtContent>
      </w:sdt>
      <w:r w:rsidDel="00000000" w:rsidR="00000000" w:rsidRPr="00000000">
        <w:rPr>
          <w:rFonts w:ascii="Times New Roman" w:cs="Times New Roman" w:eastAsia="Times New Roman" w:hAnsi="Times New Roman"/>
          <w:i w:val="1"/>
          <w:iCs w:val="1"/>
          <w:sz w:val="20"/>
          <w:szCs w:val="20"/>
          <w:rtl w:val="0"/>
        </w:rPr>
        <w:t xml:space="preserve">0.05)</w:t>
      </w:r>
    </w:p>
    <w:p w:rsidR="00000000" w:rsidDel="00000000" w:rsidP="00000000" w:rsidRDefault="00000000" w:rsidRPr="00000000" w14:paraId="000000A1">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3.2 Pup body weight</w:t>
      </w:r>
    </w:p>
    <w:p w:rsidR="00000000" w:rsidDel="00000000" w:rsidP="00000000" w:rsidRDefault="00000000" w:rsidRPr="00000000" w14:paraId="000000A2">
      <w:pPr>
        <w:spacing w:after="240" w:before="12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 exposure produced significant growth retardation at birth and throughout lactation. Differences widened with age. Moringa supplementation produced statistically significant improvement at all intervals but remained below control. The observed Mean ± SE values are mentioned in table 03</w:t>
      </w:r>
    </w:p>
    <w:p w:rsidR="00000000" w:rsidDel="00000000" w:rsidP="00000000" w:rsidRDefault="00000000" w:rsidRPr="00000000" w14:paraId="000000A3">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03. Mean pup body weight (g)</w:t>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7"/>
        <w:gridCol w:w="1985"/>
        <w:gridCol w:w="1985"/>
        <w:gridCol w:w="1985"/>
        <w:gridCol w:w="1984"/>
        <w:tblGridChange w:id="0">
          <w:tblGrid>
            <w:gridCol w:w="1077"/>
            <w:gridCol w:w="1985"/>
            <w:gridCol w:w="1985"/>
            <w:gridCol w:w="1985"/>
            <w:gridCol w:w="1984"/>
          </w:tblGrid>
        </w:tblGridChange>
      </w:tblGrid>
      <w:tr>
        <w:trPr>
          <w:cantSplit w:val="0"/>
          <w:trHeight w:val="21" w:hRule="atLeast"/>
          <w:tblHeader w:val="0"/>
        </w:trPr>
        <w:tc>
          <w:tcPr>
            <w:vMerge w:val="restart"/>
            <w:vAlign w:val="center"/>
          </w:tcPr>
          <w:p w:rsidR="00000000" w:rsidDel="00000000" w:rsidP="00000000" w:rsidRDefault="00000000" w:rsidRPr="00000000" w14:paraId="000000A4">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w:t>
            </w:r>
          </w:p>
        </w:tc>
        <w:tc>
          <w:tcPr>
            <w:gridSpan w:val="4"/>
            <w:vAlign w:val="center"/>
          </w:tcPr>
          <w:p w:rsidR="00000000" w:rsidDel="00000000" w:rsidP="00000000" w:rsidRDefault="00000000" w:rsidRPr="00000000" w14:paraId="000000A5">
            <w:pPr>
              <w:tabs>
                <w:tab w:val="left" w:leader="none" w:pos="1134"/>
              </w:tabs>
              <w:spacing w:after="0" w:line="240" w:lineRule="auto"/>
              <w:ind w:left="1276" w:hanging="1276"/>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Body weight (Mean ± SE)</w:t>
            </w:r>
          </w:p>
        </w:tc>
      </w:tr>
      <w:tr>
        <w:trPr>
          <w:cantSplit w:val="0"/>
          <w:trHeight w:val="21" w:hRule="atLeast"/>
          <w:tblHeader w:val="0"/>
        </w:trPr>
        <w:tc>
          <w:tcPr>
            <w:vMerge w:val="continue"/>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000000"/>
                <w:sz w:val="24"/>
                <w:szCs w:val="24"/>
              </w:rPr>
            </w:pPr>
            <w:r w:rsidDel="00000000" w:rsidR="00000000" w:rsidRPr="00000000">
              <w:rPr>
                <w:rtl w:val="0"/>
              </w:rPr>
            </w:r>
          </w:p>
        </w:tc>
        <w:tc>
          <w:tcPr>
            <w:vAlign w:val="center"/>
          </w:tcPr>
          <w:p w:rsidR="00000000" w:rsidDel="00000000" w:rsidP="00000000" w:rsidRDefault="00000000" w:rsidRPr="00000000" w14:paraId="000000AA">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Day 0</w:t>
            </w:r>
          </w:p>
        </w:tc>
        <w:tc>
          <w:tcPr>
            <w:vAlign w:val="center"/>
          </w:tcPr>
          <w:p w:rsidR="00000000" w:rsidDel="00000000" w:rsidP="00000000" w:rsidRDefault="00000000" w:rsidRPr="00000000" w14:paraId="000000AB">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Day 7</w:t>
            </w:r>
          </w:p>
        </w:tc>
        <w:tc>
          <w:tcPr>
            <w:vAlign w:val="center"/>
          </w:tcPr>
          <w:p w:rsidR="00000000" w:rsidDel="00000000" w:rsidP="00000000" w:rsidRDefault="00000000" w:rsidRPr="00000000" w14:paraId="000000AC">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Day 14</w:t>
            </w:r>
          </w:p>
        </w:tc>
        <w:tc>
          <w:tcPr>
            <w:vAlign w:val="center"/>
          </w:tcPr>
          <w:p w:rsidR="00000000" w:rsidDel="00000000" w:rsidP="00000000" w:rsidRDefault="00000000" w:rsidRPr="00000000" w14:paraId="000000AD">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Day 21</w:t>
            </w:r>
          </w:p>
        </w:tc>
      </w:tr>
      <w:tr>
        <w:trPr>
          <w:cantSplit w:val="0"/>
          <w:trHeight w:val="21" w:hRule="atLeast"/>
          <w:tblHeader w:val="0"/>
        </w:trPr>
        <w:tc>
          <w:tcPr>
            <w:vAlign w:val="center"/>
          </w:tcPr>
          <w:p w:rsidR="00000000" w:rsidDel="00000000" w:rsidP="00000000" w:rsidRDefault="00000000" w:rsidRPr="00000000" w14:paraId="000000A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w:t>
            </w:r>
          </w:p>
        </w:tc>
        <w:tc>
          <w:tcPr>
            <w:vAlign w:val="center"/>
          </w:tcPr>
          <w:p w:rsidR="00000000" w:rsidDel="00000000" w:rsidP="00000000" w:rsidRDefault="00000000" w:rsidRPr="00000000" w14:paraId="000000A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04.98ᵃ ± 0.06</w:t>
            </w:r>
          </w:p>
        </w:tc>
        <w:tc>
          <w:tcPr>
            <w:vAlign w:val="center"/>
          </w:tcPr>
          <w:p w:rsidR="00000000" w:rsidDel="00000000" w:rsidP="00000000" w:rsidRDefault="00000000" w:rsidRPr="00000000" w14:paraId="000000B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14.99</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 0.18 </w:t>
            </w:r>
          </w:p>
        </w:tc>
        <w:tc>
          <w:tcPr>
            <w:vAlign w:val="center"/>
          </w:tcPr>
          <w:p w:rsidR="00000000" w:rsidDel="00000000" w:rsidP="00000000" w:rsidRDefault="00000000" w:rsidRPr="00000000" w14:paraId="000000B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27.27</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 0.20 </w:t>
            </w:r>
          </w:p>
        </w:tc>
        <w:tc>
          <w:tcPr>
            <w:vAlign w:val="center"/>
          </w:tcPr>
          <w:p w:rsidR="00000000" w:rsidDel="00000000" w:rsidP="00000000" w:rsidRDefault="00000000" w:rsidRPr="00000000" w14:paraId="000000B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37.50</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 0.70 </w:t>
            </w:r>
          </w:p>
        </w:tc>
      </w:tr>
      <w:tr>
        <w:trPr>
          <w:cantSplit w:val="0"/>
          <w:trHeight w:val="21" w:hRule="atLeast"/>
          <w:tblHeader w:val="0"/>
        </w:trPr>
        <w:tc>
          <w:tcPr>
            <w:vAlign w:val="center"/>
          </w:tcPr>
          <w:p w:rsidR="00000000" w:rsidDel="00000000" w:rsidP="00000000" w:rsidRDefault="00000000" w:rsidRPr="00000000" w14:paraId="000000B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w:t>
            </w:r>
          </w:p>
        </w:tc>
        <w:tc>
          <w:tcPr>
            <w:vAlign w:val="center"/>
          </w:tcPr>
          <w:p w:rsidR="00000000" w:rsidDel="00000000" w:rsidP="00000000" w:rsidRDefault="00000000" w:rsidRPr="00000000" w14:paraId="000000B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03.79ᶜ ± 0.13</w:t>
            </w:r>
          </w:p>
        </w:tc>
        <w:tc>
          <w:tcPr>
            <w:vAlign w:val="center"/>
          </w:tcPr>
          <w:p w:rsidR="00000000" w:rsidDel="00000000" w:rsidP="00000000" w:rsidRDefault="00000000" w:rsidRPr="00000000" w14:paraId="000000B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10.48</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 0.27 </w:t>
            </w:r>
          </w:p>
        </w:tc>
        <w:tc>
          <w:tcPr>
            <w:vAlign w:val="center"/>
          </w:tcPr>
          <w:p w:rsidR="00000000" w:rsidDel="00000000" w:rsidP="00000000" w:rsidRDefault="00000000" w:rsidRPr="00000000" w14:paraId="000000B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15.55</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 0.45</w:t>
            </w:r>
          </w:p>
        </w:tc>
        <w:tc>
          <w:tcPr>
            <w:vAlign w:val="center"/>
          </w:tcPr>
          <w:p w:rsidR="00000000" w:rsidDel="00000000" w:rsidP="00000000" w:rsidRDefault="00000000" w:rsidRPr="00000000" w14:paraId="000000B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25.23</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 0.94 </w:t>
            </w:r>
          </w:p>
        </w:tc>
      </w:tr>
      <w:tr>
        <w:trPr>
          <w:cantSplit w:val="0"/>
          <w:trHeight w:val="21" w:hRule="atLeast"/>
          <w:tblHeader w:val="0"/>
        </w:trPr>
        <w:tc>
          <w:tcPr>
            <w:vAlign w:val="center"/>
          </w:tcPr>
          <w:p w:rsidR="00000000" w:rsidDel="00000000" w:rsidP="00000000" w:rsidRDefault="00000000" w:rsidRPr="00000000" w14:paraId="000000B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III</w:t>
            </w:r>
          </w:p>
        </w:tc>
        <w:tc>
          <w:tcPr>
            <w:vAlign w:val="center"/>
          </w:tcPr>
          <w:p w:rsidR="00000000" w:rsidDel="00000000" w:rsidP="00000000" w:rsidRDefault="00000000" w:rsidRPr="00000000" w14:paraId="000000B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04.24ᵇ ± 0.11</w:t>
            </w:r>
          </w:p>
        </w:tc>
        <w:tc>
          <w:tcPr>
            <w:vAlign w:val="center"/>
          </w:tcPr>
          <w:p w:rsidR="00000000" w:rsidDel="00000000" w:rsidP="00000000" w:rsidRDefault="00000000" w:rsidRPr="00000000" w14:paraId="000000B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13.06</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 0.34 </w:t>
            </w:r>
          </w:p>
        </w:tc>
        <w:tc>
          <w:tcPr>
            <w:vAlign w:val="center"/>
          </w:tcPr>
          <w:p w:rsidR="00000000" w:rsidDel="00000000" w:rsidP="00000000" w:rsidRDefault="00000000" w:rsidRPr="00000000" w14:paraId="000000B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21.63</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 0.56 </w:t>
            </w:r>
          </w:p>
        </w:tc>
        <w:tc>
          <w:tcPr>
            <w:vAlign w:val="center"/>
          </w:tcPr>
          <w:p w:rsidR="00000000" w:rsidDel="00000000" w:rsidP="00000000" w:rsidRDefault="00000000" w:rsidRPr="00000000" w14:paraId="000000B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30.69</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 1.08</w:t>
            </w:r>
          </w:p>
        </w:tc>
      </w:tr>
    </w:tbl>
    <w:p w:rsidR="00000000" w:rsidDel="00000000" w:rsidP="00000000" w:rsidRDefault="00000000" w:rsidRPr="00000000" w14:paraId="000000BD">
      <w:pPr>
        <w:spacing w:after="120" w:line="360" w:lineRule="auto"/>
        <w:ind w:firstLine="720"/>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Means with different superscripts in row differ significantly</w:t>
      </w:r>
      <w:r w:rsidDel="00000000" w:rsidR="00000000" w:rsidRPr="00000000">
        <w:rPr>
          <w:rFonts w:ascii="Times New Roman" w:cs="Times New Roman" w:eastAsia="Times New Roman" w:hAnsi="Times New Roman"/>
          <w:i w:val="1"/>
          <w:iCs w:val="1"/>
          <w:sz w:val="20"/>
          <w:szCs w:val="20"/>
          <w:rtl w:val="0"/>
        </w:rPr>
        <w:t xml:space="preserve"> (p</w:t>
      </w:r>
      <w:sdt>
        <w:sdtPr>
          <w:id w:val="747723094"/>
          <w:tag w:val="goog_rdk_6"/>
        </w:sdtPr>
        <w:sdtContent>
          <w:r w:rsidDel="00000000" w:rsidR="00000000" w:rsidRPr="00000000">
            <w:rPr>
              <w:rFonts w:ascii="Gungsuh" w:cs="Gungsuh" w:eastAsia="Gungsuh" w:hAnsi="Gungsuh"/>
              <w:sz w:val="20"/>
              <w:szCs w:val="20"/>
              <w:rtl w:val="0"/>
            </w:rPr>
            <w:t xml:space="preserve">≤</w:t>
          </w:r>
        </w:sdtContent>
      </w:sdt>
      <w:r w:rsidDel="00000000" w:rsidR="00000000" w:rsidRPr="00000000">
        <w:rPr>
          <w:rFonts w:ascii="Times New Roman" w:cs="Times New Roman" w:eastAsia="Times New Roman" w:hAnsi="Times New Roman"/>
          <w:i w:val="1"/>
          <w:iCs w:val="1"/>
          <w:sz w:val="20"/>
          <w:szCs w:val="20"/>
          <w:rtl w:val="0"/>
        </w:rPr>
        <w:t xml:space="preserve">0.05)</w:t>
      </w:r>
    </w:p>
    <w:p w:rsidR="00000000" w:rsidDel="00000000" w:rsidP="00000000" w:rsidRDefault="00000000" w:rsidRPr="00000000" w14:paraId="000000B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3.2.1 Weekly body weight gain of pups</w:t>
      </w:r>
    </w:p>
    <w:p w:rsidR="00000000" w:rsidDel="00000000" w:rsidP="00000000" w:rsidRDefault="00000000" w:rsidRPr="00000000" w14:paraId="000000BF">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Weekly body weight gain of pups showed a clear group-wise pattern. Control pups demonstrated progressive and significantly higher weekly weight gain throughout the postnatal observation period. Lead-exposed pups showed significantly reduced weekly weight gain at all intervals, confirming persistent growth retardation following perinatal exposure.</w:t>
      </w:r>
    </w:p>
    <w:p w:rsidR="00000000" w:rsidDel="00000000" w:rsidP="00000000" w:rsidRDefault="00000000" w:rsidRPr="00000000" w14:paraId="000000C0">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Pups from the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supplemented group showed significantly higher weekly weight gain compared with the lead-only group at all weeks, indicating partial improvement in postnatal growth performance, although gains remained lower than control pups. Body size comparison shown in figure 01 and figure 02. The observed Mean ± SE values are mentioned in table 04</w:t>
      </w:r>
    </w:p>
    <w:p w:rsidR="00000000" w:rsidDel="00000000" w:rsidP="00000000" w:rsidRDefault="00000000" w:rsidRPr="00000000" w14:paraId="000000C1">
      <w:pPr>
        <w:spacing w:after="120" w:line="36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Table 04: Mean weekly body weight gain (g) of pups of different groups</w:t>
      </w:r>
    </w:p>
    <w:tbl>
      <w:tblPr>
        <w:tblStyle w:val="Table5"/>
        <w:tblW w:w="8093.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1"/>
        <w:gridCol w:w="2068"/>
        <w:gridCol w:w="2068"/>
        <w:gridCol w:w="2276"/>
        <w:tblGridChange w:id="0">
          <w:tblGrid>
            <w:gridCol w:w="1681"/>
            <w:gridCol w:w="2068"/>
            <w:gridCol w:w="2068"/>
            <w:gridCol w:w="2276"/>
          </w:tblGrid>
        </w:tblGridChange>
      </w:tblGrid>
      <w:tr>
        <w:trPr>
          <w:cantSplit w:val="0"/>
          <w:trHeight w:val="20" w:hRule="atLeast"/>
          <w:tblHeader w:val="0"/>
        </w:trPr>
        <w:tc>
          <w:tcPr>
            <w:tcMar>
              <w:top w:w="72.0" w:type="dxa"/>
              <w:left w:w="144.0" w:type="dxa"/>
              <w:bottom w:w="72.0" w:type="dxa"/>
              <w:right w:w="144.0" w:type="dxa"/>
            </w:tcMar>
            <w:vAlign w:val="center"/>
          </w:tcPr>
          <w:p w:rsidR="00000000" w:rsidDel="00000000" w:rsidP="00000000" w:rsidRDefault="00000000" w:rsidRPr="00000000" w14:paraId="000000C2">
            <w:pPr>
              <w:spacing w:after="40" w:before="40" w:line="240" w:lineRule="auto"/>
              <w:ind w:firstLine="1560"/>
              <w:jc w:val="center"/>
              <w:rPr>
                <w:rFonts w:ascii="Times New Roman" w:cs="Times New Roman" w:eastAsia="Times New Roman" w:hAnsi="Times New Roman"/>
                <w:color w:val="000000"/>
                <w:sz w:val="24"/>
                <w:szCs w:val="24"/>
              </w:rPr>
            </w:pPr>
            <w:r w:rsidDel="00000000" w:rsidR="00000000" w:rsidRPr="00000000">
              <w:rPr>
                <w:rtl w:val="0"/>
              </w:rPr>
            </w:r>
          </w:p>
        </w:tc>
        <w:tc>
          <w:tcPr>
            <w:gridSpan w:val="3"/>
            <w:tcMar>
              <w:top w:w="12.0" w:type="dxa"/>
              <w:left w:w="12.0" w:type="dxa"/>
              <w:bottom w:w="0.0" w:type="dxa"/>
              <w:right w:w="12.0" w:type="dxa"/>
            </w:tcMar>
            <w:vAlign w:val="center"/>
          </w:tcPr>
          <w:p w:rsidR="00000000" w:rsidDel="00000000" w:rsidP="00000000" w:rsidRDefault="00000000" w:rsidRPr="00000000" w14:paraId="000000C3">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(Body weight gain) (g) Mean ± SE}</w:t>
            </w:r>
            <w:r w:rsidDel="00000000" w:rsidR="00000000" w:rsidRPr="00000000">
              <w:rPr>
                <w:rtl w:val="0"/>
              </w:rPr>
            </w:r>
          </w:p>
        </w:tc>
      </w:tr>
      <w:tr>
        <w:trPr>
          <w:cantSplit w:val="0"/>
          <w:trHeight w:val="20" w:hRule="atLeast"/>
          <w:tblHeader w:val="0"/>
        </w:trPr>
        <w:tc>
          <w:tcPr>
            <w:tcMar>
              <w:top w:w="72.0" w:type="dxa"/>
              <w:left w:w="144.0" w:type="dxa"/>
              <w:bottom w:w="72.0" w:type="dxa"/>
              <w:right w:w="144.0" w:type="dxa"/>
            </w:tcMar>
            <w:vAlign w:val="center"/>
          </w:tcPr>
          <w:p w:rsidR="00000000" w:rsidDel="00000000" w:rsidP="00000000" w:rsidRDefault="00000000" w:rsidRPr="00000000" w14:paraId="000000C6">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C7">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1</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C8">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2</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C9">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Week 3</w:t>
            </w:r>
            <w:r w:rsidDel="00000000" w:rsidR="00000000" w:rsidRPr="00000000">
              <w:rPr>
                <w:rtl w:val="0"/>
              </w:rPr>
            </w:r>
          </w:p>
        </w:tc>
      </w:tr>
      <w:tr>
        <w:trPr>
          <w:cantSplit w:val="0"/>
          <w:trHeight w:val="20" w:hRule="atLeast"/>
          <w:tblHeader w:val="0"/>
        </w:trPr>
        <w:tc>
          <w:tcPr>
            <w:tcMar>
              <w:top w:w="15.0" w:type="dxa"/>
              <w:left w:w="108.0" w:type="dxa"/>
              <w:bottom w:w="0.0" w:type="dxa"/>
              <w:right w:w="108.0" w:type="dxa"/>
            </w:tcMar>
            <w:vAlign w:val="center"/>
          </w:tcPr>
          <w:p w:rsidR="00000000" w:rsidDel="00000000" w:rsidP="00000000" w:rsidRDefault="00000000" w:rsidRPr="00000000" w14:paraId="000000CA">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CB">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8.95ᵃ ± 0.38</w:t>
            </w:r>
          </w:p>
        </w:tc>
        <w:tc>
          <w:tcPr>
            <w:tcMar>
              <w:top w:w="12.0" w:type="dxa"/>
              <w:left w:w="12.0" w:type="dxa"/>
              <w:bottom w:w="0.0" w:type="dxa"/>
              <w:right w:w="12.0" w:type="dxa"/>
            </w:tcMar>
            <w:vAlign w:val="center"/>
          </w:tcPr>
          <w:p w:rsidR="00000000" w:rsidDel="00000000" w:rsidP="00000000" w:rsidRDefault="00000000" w:rsidRPr="00000000" w14:paraId="000000CC">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9.43ᵃ ± 1.25</w:t>
            </w:r>
          </w:p>
        </w:tc>
        <w:tc>
          <w:tcPr>
            <w:tcMar>
              <w:top w:w="12.0" w:type="dxa"/>
              <w:left w:w="12.0" w:type="dxa"/>
              <w:bottom w:w="0.0" w:type="dxa"/>
              <w:right w:w="12.0" w:type="dxa"/>
            </w:tcMar>
            <w:vAlign w:val="center"/>
          </w:tcPr>
          <w:p w:rsidR="00000000" w:rsidDel="00000000" w:rsidP="00000000" w:rsidRDefault="00000000" w:rsidRPr="00000000" w14:paraId="000000CD">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11.08ᵃ ± 0.87</w:t>
            </w:r>
          </w:p>
        </w:tc>
      </w:tr>
      <w:tr>
        <w:trPr>
          <w:cantSplit w:val="0"/>
          <w:trHeight w:val="20" w:hRule="atLeast"/>
          <w:tblHeader w:val="0"/>
        </w:trPr>
        <w:tc>
          <w:tcPr>
            <w:tcMar>
              <w:top w:w="15.0" w:type="dxa"/>
              <w:left w:w="108.0" w:type="dxa"/>
              <w:bottom w:w="0.0" w:type="dxa"/>
              <w:right w:w="108.0" w:type="dxa"/>
            </w:tcMar>
            <w:vAlign w:val="center"/>
          </w:tcPr>
          <w:p w:rsidR="00000000" w:rsidDel="00000000" w:rsidP="00000000" w:rsidRDefault="00000000" w:rsidRPr="00000000" w14:paraId="000000CE">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II</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CF">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7.45ᶜ ± 0.32</w:t>
            </w:r>
          </w:p>
        </w:tc>
        <w:tc>
          <w:tcPr>
            <w:tcMar>
              <w:top w:w="12.0" w:type="dxa"/>
              <w:left w:w="12.0" w:type="dxa"/>
              <w:bottom w:w="0.0" w:type="dxa"/>
              <w:right w:w="12.0" w:type="dxa"/>
            </w:tcMar>
            <w:vAlign w:val="center"/>
          </w:tcPr>
          <w:p w:rsidR="00000000" w:rsidDel="00000000" w:rsidP="00000000" w:rsidRDefault="00000000" w:rsidRPr="00000000" w14:paraId="000000D0">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6.59ᵇ ± 0.50</w:t>
            </w:r>
          </w:p>
        </w:tc>
        <w:tc>
          <w:tcPr>
            <w:tcMar>
              <w:top w:w="12.0" w:type="dxa"/>
              <w:left w:w="12.0" w:type="dxa"/>
              <w:bottom w:w="0.0" w:type="dxa"/>
              <w:right w:w="12.0" w:type="dxa"/>
            </w:tcMar>
            <w:vAlign w:val="center"/>
          </w:tcPr>
          <w:p w:rsidR="00000000" w:rsidDel="00000000" w:rsidP="00000000" w:rsidRDefault="00000000" w:rsidRPr="00000000" w14:paraId="000000D1">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7.51ᶜ ± 0.74</w:t>
            </w:r>
          </w:p>
        </w:tc>
      </w:tr>
      <w:tr>
        <w:trPr>
          <w:cantSplit w:val="0"/>
          <w:trHeight w:val="20" w:hRule="atLeast"/>
          <w:tblHeader w:val="0"/>
        </w:trPr>
        <w:tc>
          <w:tcPr>
            <w:tcMar>
              <w:top w:w="15.0" w:type="dxa"/>
              <w:left w:w="108.0" w:type="dxa"/>
              <w:bottom w:w="0.0" w:type="dxa"/>
              <w:right w:w="108.0" w:type="dxa"/>
            </w:tcMar>
            <w:vAlign w:val="center"/>
          </w:tcPr>
          <w:p w:rsidR="00000000" w:rsidDel="00000000" w:rsidP="00000000" w:rsidRDefault="00000000" w:rsidRPr="00000000" w14:paraId="000000D2">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III</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D3">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8.77ᵇ ± 0.56</w:t>
            </w:r>
          </w:p>
        </w:tc>
        <w:tc>
          <w:tcPr>
            <w:tcMar>
              <w:top w:w="12.0" w:type="dxa"/>
              <w:left w:w="12.0" w:type="dxa"/>
              <w:bottom w:w="0.0" w:type="dxa"/>
              <w:right w:w="12.0" w:type="dxa"/>
            </w:tcMar>
            <w:vAlign w:val="center"/>
          </w:tcPr>
          <w:p w:rsidR="00000000" w:rsidDel="00000000" w:rsidP="00000000" w:rsidRDefault="00000000" w:rsidRPr="00000000" w14:paraId="000000D4">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8.76ᵇ ± 0.43</w:t>
            </w:r>
          </w:p>
        </w:tc>
        <w:tc>
          <w:tcPr>
            <w:tcMar>
              <w:top w:w="12.0" w:type="dxa"/>
              <w:left w:w="12.0" w:type="dxa"/>
              <w:bottom w:w="0.0" w:type="dxa"/>
              <w:right w:w="12.0" w:type="dxa"/>
            </w:tcMar>
            <w:vAlign w:val="center"/>
          </w:tcPr>
          <w:p w:rsidR="00000000" w:rsidDel="00000000" w:rsidP="00000000" w:rsidRDefault="00000000" w:rsidRPr="00000000" w14:paraId="000000D5">
            <w:pPr>
              <w:spacing w:after="40" w:before="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10.07ᵇ ± 0.69</w:t>
            </w:r>
          </w:p>
        </w:tc>
      </w:tr>
    </w:tbl>
    <w:p w:rsidR="00000000" w:rsidDel="00000000" w:rsidP="00000000" w:rsidRDefault="00000000" w:rsidRPr="00000000" w14:paraId="000000D6">
      <w:pPr>
        <w:spacing w:after="120" w:line="360" w:lineRule="auto"/>
        <w:ind w:firstLine="720"/>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Means with different superscripts in row differ significantly</w:t>
      </w:r>
      <w:r w:rsidDel="00000000" w:rsidR="00000000" w:rsidRPr="00000000">
        <w:rPr>
          <w:rFonts w:ascii="Times New Roman" w:cs="Times New Roman" w:eastAsia="Times New Roman" w:hAnsi="Times New Roman"/>
          <w:i w:val="1"/>
          <w:iCs w:val="1"/>
          <w:sz w:val="20"/>
          <w:szCs w:val="20"/>
          <w:rtl w:val="0"/>
        </w:rPr>
        <w:t xml:space="preserve"> (p</w:t>
      </w:r>
      <w:sdt>
        <w:sdtPr>
          <w:id w:val="1716145105"/>
          <w:tag w:val="goog_rdk_7"/>
        </w:sdtPr>
        <w:sdtContent>
          <w:r w:rsidDel="00000000" w:rsidR="00000000" w:rsidRPr="00000000">
            <w:rPr>
              <w:rFonts w:ascii="Gungsuh" w:cs="Gungsuh" w:eastAsia="Gungsuh" w:hAnsi="Gungsuh"/>
              <w:sz w:val="20"/>
              <w:szCs w:val="20"/>
              <w:rtl w:val="0"/>
            </w:rPr>
            <w:t xml:space="preserve">≤</w:t>
          </w:r>
        </w:sdtContent>
      </w:sdt>
      <w:r w:rsidDel="00000000" w:rsidR="00000000" w:rsidRPr="00000000">
        <w:rPr>
          <w:rFonts w:ascii="Times New Roman" w:cs="Times New Roman" w:eastAsia="Times New Roman" w:hAnsi="Times New Roman"/>
          <w:i w:val="1"/>
          <w:iCs w:val="1"/>
          <w:sz w:val="20"/>
          <w:szCs w:val="20"/>
          <w:rtl w:val="0"/>
        </w:rPr>
        <w:t xml:space="preserve">0.05)</w:t>
      </w:r>
    </w:p>
    <w:p w:rsidR="00000000" w:rsidDel="00000000" w:rsidP="00000000" w:rsidRDefault="00000000" w:rsidRPr="00000000" w14:paraId="000000D7">
      <w:pPr>
        <w:jc w:val="both"/>
        <w:rPr>
          <w:rFonts w:ascii="Times New Roman" w:cs="Times New Roman" w:eastAsia="Times New Roman" w:hAnsi="Times New Roman"/>
          <w:b w:val="1"/>
          <w:bCs w:val="1"/>
          <w:sz w:val="24"/>
          <w:szCs w:val="24"/>
        </w:rPr>
      </w:pPr>
      <w:r w:rsidDel="00000000" w:rsidR="00000000" w:rsidRPr="00000000">
        <w:rPr>
          <w:rFonts w:ascii="Arial" w:cs="Arial" w:eastAsia="Arial" w:hAnsi="Arial"/>
          <w:b w:val="1"/>
          <w:bCs w:val="1"/>
          <w:sz w:val="24"/>
          <w:szCs w:val="24"/>
        </w:rPr>
        <w:drawing>
          <wp:inline distB="0" distT="0" distL="0" distR="0">
            <wp:extent cx="2432501" cy="2819566"/>
            <wp:effectExtent b="12700" l="12700" r="12700" t="12700"/>
            <wp:docPr descr="A pair of white rats on a blue surface&#10;&#10;AI-generated content may be incorrect." id="2108874276" name="image1.png"/>
            <a:graphic>
              <a:graphicData uri="http://schemas.openxmlformats.org/drawingml/2006/picture">
                <pic:pic>
                  <pic:nvPicPr>
                    <pic:cNvPr descr="A pair of white rats on a blue surface&#10;&#10;AI-generated content may be incorrect." id="0" name="image1.png"/>
                    <pic:cNvPicPr preferRelativeResize="0"/>
                  </pic:nvPicPr>
                  <pic:blipFill>
                    <a:blip r:embed="rId7"/>
                    <a:srcRect b="8387" l="1218" r="8890" t="13549"/>
                    <a:stretch>
                      <a:fillRect/>
                    </a:stretch>
                  </pic:blipFill>
                  <pic:spPr>
                    <a:xfrm>
                      <a:off x="0" y="0"/>
                      <a:ext cx="2432501" cy="2819566"/>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2769871</wp:posOffset>
            </wp:positionH>
            <wp:positionV relativeFrom="paragraph">
              <wp:posOffset>20320</wp:posOffset>
            </wp:positionV>
            <wp:extent cx="2888519" cy="2819195"/>
            <wp:effectExtent b="12700" l="12700" r="12700" t="12700"/>
            <wp:wrapNone/>
            <wp:docPr descr="Several white rats with long tails&#10;&#10;AI-generated content may be incorrect." id="2108874275" name="image2.png"/>
            <a:graphic>
              <a:graphicData uri="http://schemas.openxmlformats.org/drawingml/2006/picture">
                <pic:pic>
                  <pic:nvPicPr>
                    <pic:cNvPr descr="Several white rats with long tails&#10;&#10;AI-generated content may be incorrect." id="0" name="image2.png"/>
                    <pic:cNvPicPr preferRelativeResize="0"/>
                  </pic:nvPicPr>
                  <pic:blipFill>
                    <a:blip r:embed="rId8"/>
                    <a:srcRect b="11102" l="0" r="0" t="21257"/>
                    <a:stretch>
                      <a:fillRect/>
                    </a:stretch>
                  </pic:blipFill>
                  <pic:spPr>
                    <a:xfrm>
                      <a:off x="0" y="0"/>
                      <a:ext cx="2888519" cy="2819195"/>
                    </a:xfrm>
                    <a:prstGeom prst="rect"/>
                    <a:ln w="12700">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18099</wp:posOffset>
                </wp:positionH>
                <wp:positionV relativeFrom="paragraph">
                  <wp:posOffset>2884488</wp:posOffset>
                </wp:positionV>
                <wp:extent cx="2440940" cy="1038225"/>
                <wp:effectExtent b="0" l="0" r="0" t="0"/>
                <wp:wrapNone/>
                <wp:docPr id="2108874274" name=""/>
                <a:graphic>
                  <a:graphicData uri="http://schemas.microsoft.com/office/word/2010/wordprocessingShape">
                    <wps:wsp>
                      <wps:cNvSpPr/>
                      <wps:cNvPr id="10" name="Shape 10"/>
                      <wps:spPr>
                        <a:xfrm>
                          <a:off x="4130293" y="3265650"/>
                          <a:ext cx="2431415" cy="1028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993.0000305175781" w:right="0" w:firstLine="0"/>
                              <w:jc w:val="both"/>
                              <w:textDirection w:val="btLr"/>
                            </w:pPr>
                            <w:r w:rsidDel="00000000" w:rsidR="00000000" w:rsidRPr="00000000">
                              <w:rPr>
                                <w:rFonts w:ascii="Aptos" w:cs="Aptos" w:eastAsia="Aptos" w:hAnsi="Aptos"/>
                                <w:b w:val="1"/>
                                <w:i w:val="0"/>
                                <w:smallCaps w:val="0"/>
                                <w:strike w:val="0"/>
                                <w:color w:val="000000"/>
                                <w:sz w:val="22"/>
                                <w:vertAlign w:val="baseline"/>
                              </w:rPr>
                              <w:t xml:space="preserve">Fig. 01.</w:t>
                            </w:r>
                            <w:r w:rsidDel="00000000" w:rsidR="00000000" w:rsidRPr="00000000">
                              <w:rPr>
                                <w:rFonts w:ascii="Aptos" w:cs="Aptos" w:eastAsia="Aptos" w:hAnsi="Aptos"/>
                                <w:b w:val="0"/>
                                <w:i w:val="0"/>
                                <w:smallCaps w:val="0"/>
                                <w:strike w:val="0"/>
                                <w:color w:val="000000"/>
                                <w:sz w:val="22"/>
                                <w:vertAlign w:val="baseline"/>
                              </w:rPr>
                              <w:t xml:space="preserve"> 	(A) group I pup with normal hair development and (B) group II pup with leaner body and delayed hair development at PND 8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18099</wp:posOffset>
                </wp:positionH>
                <wp:positionV relativeFrom="paragraph">
                  <wp:posOffset>2884488</wp:posOffset>
                </wp:positionV>
                <wp:extent cx="2440940" cy="1038225"/>
                <wp:effectExtent b="0" l="0" r="0" t="0"/>
                <wp:wrapNone/>
                <wp:docPr id="210887427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40940"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2768918</wp:posOffset>
                </wp:positionH>
                <wp:positionV relativeFrom="paragraph">
                  <wp:posOffset>2884488</wp:posOffset>
                </wp:positionV>
                <wp:extent cx="2889885" cy="1038225"/>
                <wp:effectExtent b="0" l="0" r="0" t="0"/>
                <wp:wrapNone/>
                <wp:docPr id="2108874272" name=""/>
                <a:graphic>
                  <a:graphicData uri="http://schemas.microsoft.com/office/word/2010/wordprocessingShape">
                    <wps:wsp>
                      <wps:cNvSpPr/>
                      <wps:cNvPr id="8" name="Shape 8"/>
                      <wps:spPr>
                        <a:xfrm>
                          <a:off x="3905820" y="3265650"/>
                          <a:ext cx="2880360" cy="1028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993.0000305175781" w:right="0" w:firstLine="0"/>
                              <w:jc w:val="both"/>
                              <w:textDirection w:val="btLr"/>
                            </w:pPr>
                            <w:r w:rsidDel="00000000" w:rsidR="00000000" w:rsidRPr="00000000">
                              <w:rPr>
                                <w:rFonts w:ascii="Aptos" w:cs="Aptos" w:eastAsia="Aptos" w:hAnsi="Aptos"/>
                                <w:b w:val="1"/>
                                <w:i w:val="0"/>
                                <w:smallCaps w:val="0"/>
                                <w:strike w:val="0"/>
                                <w:color w:val="000000"/>
                                <w:sz w:val="22"/>
                                <w:vertAlign w:val="baseline"/>
                              </w:rPr>
                              <w:t xml:space="preserve">Fig. 02.</w:t>
                            </w:r>
                            <w:r w:rsidDel="00000000" w:rsidR="00000000" w:rsidRPr="00000000">
                              <w:rPr>
                                <w:rFonts w:ascii="Aptos" w:cs="Aptos" w:eastAsia="Aptos" w:hAnsi="Aptos"/>
                                <w:b w:val="0"/>
                                <w:i w:val="0"/>
                                <w:smallCaps w:val="0"/>
                                <w:strike w:val="0"/>
                                <w:color w:val="000000"/>
                                <w:sz w:val="22"/>
                                <w:vertAlign w:val="baseline"/>
                              </w:rPr>
                              <w:t xml:space="preserve">	(A) Group I pup with normal appearance, (B) Group II pup, and (C) Group III pup exhibiting a leaner body and reduced hair density compared to group I at PND 15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2768918</wp:posOffset>
                </wp:positionH>
                <wp:positionV relativeFrom="paragraph">
                  <wp:posOffset>2884488</wp:posOffset>
                </wp:positionV>
                <wp:extent cx="2889885" cy="1038225"/>
                <wp:effectExtent b="0" l="0" r="0" t="0"/>
                <wp:wrapNone/>
                <wp:docPr id="210887427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889885"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2818448</wp:posOffset>
                </wp:positionH>
                <wp:positionV relativeFrom="paragraph">
                  <wp:posOffset>57468</wp:posOffset>
                </wp:positionV>
                <wp:extent cx="314325" cy="245745"/>
                <wp:effectExtent b="0" l="0" r="0" t="0"/>
                <wp:wrapNone/>
                <wp:docPr id="2108874266" name=""/>
                <a:graphic>
                  <a:graphicData uri="http://schemas.microsoft.com/office/word/2010/wordprocessingShape">
                    <wps:wsp>
                      <wps:cNvSpPr/>
                      <wps:cNvPr id="2" name="Shape 2"/>
                      <wps:spPr>
                        <a:xfrm>
                          <a:off x="5193600" y="3661890"/>
                          <a:ext cx="304800" cy="236220"/>
                        </a:xfrm>
                        <a:prstGeom prst="rect">
                          <a:avLst/>
                        </a:prstGeom>
                        <a:noFill/>
                        <a:ln cap="flat" cmpd="sng" w="9525">
                          <a:solidFill>
                            <a:schemeClr val="lt2"/>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e8e8e8"/>
                                <w:sz w:val="22"/>
                                <w:vertAlign w:val="baseline"/>
                              </w:rPr>
                              <w:t xml:space="preserve">A</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e8e8e8"/>
                                <w:sz w:val="22"/>
                                <w:vertAlign w:val="baseline"/>
                              </w:rPr>
                            </w:r>
                            <w:r w:rsidDel="00000000" w:rsidR="00000000" w:rsidRPr="00000000">
                              <w:rPr>
                                <w:rFonts w:ascii="Times New Roman" w:cs="Times New Roman" w:eastAsia="Times New Roman" w:hAnsi="Times New Roman"/>
                                <w:b w:val="1"/>
                                <w:i w:val="0"/>
                                <w:smallCaps w:val="0"/>
                                <w:strike w:val="0"/>
                                <w:color w:val="e8e8e8"/>
                                <w:sz w:val="22"/>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2818448</wp:posOffset>
                </wp:positionH>
                <wp:positionV relativeFrom="paragraph">
                  <wp:posOffset>57468</wp:posOffset>
                </wp:positionV>
                <wp:extent cx="314325" cy="245745"/>
                <wp:effectExtent b="0" l="0" r="0" t="0"/>
                <wp:wrapNone/>
                <wp:docPr id="210887426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1432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3668078</wp:posOffset>
                </wp:positionH>
                <wp:positionV relativeFrom="paragraph">
                  <wp:posOffset>58103</wp:posOffset>
                </wp:positionV>
                <wp:extent cx="314325" cy="245745"/>
                <wp:effectExtent b="0" l="0" r="0" t="0"/>
                <wp:wrapNone/>
                <wp:docPr id="2108874269" name=""/>
                <a:graphic>
                  <a:graphicData uri="http://schemas.microsoft.com/office/word/2010/wordprocessingShape">
                    <wps:wsp>
                      <wps:cNvSpPr/>
                      <wps:cNvPr id="5" name="Shape 5"/>
                      <wps:spPr>
                        <a:xfrm>
                          <a:off x="5193600" y="3661890"/>
                          <a:ext cx="304800" cy="236220"/>
                        </a:xfrm>
                        <a:prstGeom prst="rect">
                          <a:avLst/>
                        </a:prstGeom>
                        <a:noFill/>
                        <a:ln cap="flat" cmpd="sng" w="9525">
                          <a:solidFill>
                            <a:schemeClr val="lt2"/>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e8e8e8"/>
                                <w:sz w:val="22"/>
                                <w:vertAlign w:val="baseline"/>
                              </w:rPr>
                              <w:t xml:space="preserve">B</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e8e8e8"/>
                                <w:sz w:val="22"/>
                                <w:vertAlign w:val="baseline"/>
                              </w:rPr>
                            </w:r>
                            <w:r w:rsidDel="00000000" w:rsidR="00000000" w:rsidRPr="00000000">
                              <w:rPr>
                                <w:rFonts w:ascii="Times New Roman" w:cs="Times New Roman" w:eastAsia="Times New Roman" w:hAnsi="Times New Roman"/>
                                <w:b w:val="1"/>
                                <w:i w:val="0"/>
                                <w:smallCaps w:val="0"/>
                                <w:strike w:val="0"/>
                                <w:color w:val="e8e8e8"/>
                                <w:sz w:val="22"/>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3668078</wp:posOffset>
                </wp:positionH>
                <wp:positionV relativeFrom="paragraph">
                  <wp:posOffset>58103</wp:posOffset>
                </wp:positionV>
                <wp:extent cx="314325" cy="245745"/>
                <wp:effectExtent b="0" l="0" r="0" t="0"/>
                <wp:wrapNone/>
                <wp:docPr id="210887426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1432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4727258</wp:posOffset>
                </wp:positionH>
                <wp:positionV relativeFrom="paragraph">
                  <wp:posOffset>49848</wp:posOffset>
                </wp:positionV>
                <wp:extent cx="314325" cy="245745"/>
                <wp:effectExtent b="0" l="0" r="0" t="0"/>
                <wp:wrapNone/>
                <wp:docPr id="2108874271" name=""/>
                <a:graphic>
                  <a:graphicData uri="http://schemas.microsoft.com/office/word/2010/wordprocessingShape">
                    <wps:wsp>
                      <wps:cNvSpPr/>
                      <wps:cNvPr id="7" name="Shape 7"/>
                      <wps:spPr>
                        <a:xfrm>
                          <a:off x="5193600" y="3661890"/>
                          <a:ext cx="304800" cy="236220"/>
                        </a:xfrm>
                        <a:prstGeom prst="rect">
                          <a:avLst/>
                        </a:prstGeom>
                        <a:noFill/>
                        <a:ln cap="flat" cmpd="sng" w="9525">
                          <a:solidFill>
                            <a:schemeClr val="lt2"/>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e8e8e8"/>
                                <w:sz w:val="22"/>
                                <w:vertAlign w:val="baseline"/>
                              </w:rPr>
                              <w:t xml:space="preserve">C</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e8e8e8"/>
                                <w:sz w:val="22"/>
                                <w:vertAlign w:val="baseline"/>
                              </w:rPr>
                            </w:r>
                            <w:r w:rsidDel="00000000" w:rsidR="00000000" w:rsidRPr="00000000">
                              <w:rPr>
                                <w:rFonts w:ascii="Times New Roman" w:cs="Times New Roman" w:eastAsia="Times New Roman" w:hAnsi="Times New Roman"/>
                                <w:b w:val="1"/>
                                <w:i w:val="0"/>
                                <w:smallCaps w:val="0"/>
                                <w:strike w:val="0"/>
                                <w:color w:val="e8e8e8"/>
                                <w:sz w:val="22"/>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4727258</wp:posOffset>
                </wp:positionH>
                <wp:positionV relativeFrom="paragraph">
                  <wp:posOffset>49848</wp:posOffset>
                </wp:positionV>
                <wp:extent cx="314325" cy="245745"/>
                <wp:effectExtent b="0" l="0" r="0" t="0"/>
                <wp:wrapNone/>
                <wp:docPr id="2108874271"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1432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117157</wp:posOffset>
                </wp:positionH>
                <wp:positionV relativeFrom="paragraph">
                  <wp:posOffset>65088</wp:posOffset>
                </wp:positionV>
                <wp:extent cx="314325" cy="245745"/>
                <wp:effectExtent b="0" l="0" r="0" t="0"/>
                <wp:wrapNone/>
                <wp:docPr id="2108874270" name=""/>
                <a:graphic>
                  <a:graphicData uri="http://schemas.microsoft.com/office/word/2010/wordprocessingShape">
                    <wps:wsp>
                      <wps:cNvSpPr/>
                      <wps:cNvPr id="6" name="Shape 6"/>
                      <wps:spPr>
                        <a:xfrm>
                          <a:off x="5193600" y="3661890"/>
                          <a:ext cx="304800" cy="23622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117157</wp:posOffset>
                </wp:positionH>
                <wp:positionV relativeFrom="paragraph">
                  <wp:posOffset>65088</wp:posOffset>
                </wp:positionV>
                <wp:extent cx="314325" cy="245745"/>
                <wp:effectExtent b="0" l="0" r="0" t="0"/>
                <wp:wrapNone/>
                <wp:docPr id="2108874270"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1432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2060258</wp:posOffset>
                </wp:positionH>
                <wp:positionV relativeFrom="paragraph">
                  <wp:posOffset>126048</wp:posOffset>
                </wp:positionV>
                <wp:extent cx="314325" cy="245745"/>
                <wp:effectExtent b="0" l="0" r="0" t="0"/>
                <wp:wrapNone/>
                <wp:docPr id="2108874273" name=""/>
                <a:graphic>
                  <a:graphicData uri="http://schemas.microsoft.com/office/word/2010/wordprocessingShape">
                    <wps:wsp>
                      <wps:cNvSpPr/>
                      <wps:cNvPr id="9" name="Shape 9"/>
                      <wps:spPr>
                        <a:xfrm>
                          <a:off x="5193600" y="3661890"/>
                          <a:ext cx="304800" cy="23622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B</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2060258</wp:posOffset>
                </wp:positionH>
                <wp:positionV relativeFrom="paragraph">
                  <wp:posOffset>126048</wp:posOffset>
                </wp:positionV>
                <wp:extent cx="314325" cy="245745"/>
                <wp:effectExtent b="0" l="0" r="0" t="0"/>
                <wp:wrapNone/>
                <wp:docPr id="2108874273"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31432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1702118</wp:posOffset>
                </wp:positionH>
                <wp:positionV relativeFrom="paragraph">
                  <wp:posOffset>331788</wp:posOffset>
                </wp:positionV>
                <wp:extent cx="329565" cy="215265"/>
                <wp:effectExtent b="0" l="0" r="0" t="0"/>
                <wp:wrapNone/>
                <wp:docPr id="2108874267" name=""/>
                <a:graphic>
                  <a:graphicData uri="http://schemas.microsoft.com/office/word/2010/wordprocessingShape">
                    <wps:wsp>
                      <wps:cNvCnPr/>
                      <wps:spPr>
                        <a:xfrm flipH="1">
                          <a:off x="5185980" y="3677130"/>
                          <a:ext cx="320040" cy="20574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1702118</wp:posOffset>
                </wp:positionH>
                <wp:positionV relativeFrom="paragraph">
                  <wp:posOffset>331788</wp:posOffset>
                </wp:positionV>
                <wp:extent cx="329565" cy="215265"/>
                <wp:effectExtent b="0" l="0" r="0" t="0"/>
                <wp:wrapNone/>
                <wp:docPr id="210887426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29565" cy="215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360998</wp:posOffset>
                </wp:positionH>
                <wp:positionV relativeFrom="paragraph">
                  <wp:posOffset>362268</wp:posOffset>
                </wp:positionV>
                <wp:extent cx="222885" cy="260985"/>
                <wp:effectExtent b="0" l="0" r="0" t="0"/>
                <wp:wrapNone/>
                <wp:docPr id="2108874268" name=""/>
                <a:graphic>
                  <a:graphicData uri="http://schemas.microsoft.com/office/word/2010/wordprocessingShape">
                    <wps:wsp>
                      <wps:cNvCnPr/>
                      <wps:spPr>
                        <a:xfrm>
                          <a:off x="5239320" y="3654270"/>
                          <a:ext cx="213360" cy="25146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360998</wp:posOffset>
                </wp:positionH>
                <wp:positionV relativeFrom="paragraph">
                  <wp:posOffset>362268</wp:posOffset>
                </wp:positionV>
                <wp:extent cx="222885" cy="260985"/>
                <wp:effectExtent b="0" l="0" r="0" t="0"/>
                <wp:wrapNone/>
                <wp:docPr id="210887426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2885" cy="260985"/>
                        </a:xfrm>
                        <a:prstGeom prst="rect"/>
                        <a:ln/>
                      </pic:spPr>
                    </pic:pic>
                  </a:graphicData>
                </a:graphic>
              </wp:anchor>
            </w:drawing>
          </mc:Fallback>
        </mc:AlternateContent>
      </w:r>
    </w:p>
    <w:p w:rsidR="00000000" w:rsidDel="00000000" w:rsidP="00000000" w:rsidRDefault="00000000" w:rsidRPr="00000000" w14:paraId="000000D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3.3 Offspring parameters</w:t>
      </w:r>
    </w:p>
    <w:p w:rsidR="00000000" w:rsidDel="00000000" w:rsidP="00000000" w:rsidRDefault="00000000" w:rsidRPr="00000000" w14:paraId="000000D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significant variation in offspring parameters was observed among the experimental groups. The lead-treated group showed a significant reduction in litter weight and litter size at birth compared with the control group. In addition, the number of live pups per dam was significantly lower and the number of dead pups per dam was significantly higher in the lead-exposed group. Dams exposed to lead acetate also showed a higher frequency of pup loss and pup-eating behavior compared with controls during the early postnatal period.</w:t>
      </w:r>
    </w:p>
    <w:p w:rsidR="00000000" w:rsidDel="00000000" w:rsidP="00000000" w:rsidRDefault="00000000" w:rsidRPr="00000000" w14:paraId="000000D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supplemented group demonstrated significant improvement in litter weight, litter size, and number of live pups per dam, along with reduced pup mortality compared with the lead-only group. However, these values remained statistically different from the control group, indicating partial but not complete recovery of offspring survival parameters. The observed Mean ± SE values are mentioned in table 05</w:t>
      </w:r>
    </w:p>
    <w:p w:rsidR="00000000" w:rsidDel="00000000" w:rsidP="00000000" w:rsidRDefault="00000000" w:rsidRPr="00000000" w14:paraId="000000DF">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05. Offspring parameters</w:t>
      </w:r>
    </w:p>
    <w:tbl>
      <w:tblPr>
        <w:tblStyle w:val="Table6"/>
        <w:tblW w:w="88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16"/>
        <w:gridCol w:w="656"/>
        <w:gridCol w:w="1417"/>
        <w:gridCol w:w="1709"/>
        <w:gridCol w:w="841"/>
        <w:gridCol w:w="1366"/>
        <w:gridCol w:w="903"/>
        <w:gridCol w:w="1384"/>
        <w:tblGridChange w:id="0">
          <w:tblGrid>
            <w:gridCol w:w="616"/>
            <w:gridCol w:w="656"/>
            <w:gridCol w:w="1417"/>
            <w:gridCol w:w="1709"/>
            <w:gridCol w:w="841"/>
            <w:gridCol w:w="1366"/>
            <w:gridCol w:w="903"/>
            <w:gridCol w:w="1384"/>
          </w:tblGrid>
        </w:tblGridChange>
      </w:tblGrid>
      <w:tr>
        <w:trPr>
          <w:cantSplit w:val="1"/>
          <w:trHeight w:val="55" w:hRule="atLeast"/>
          <w:tblHeader w:val="0"/>
        </w:trPr>
        <w:tc>
          <w:tcPr>
            <w:tcMar>
              <w:top w:w="12.0" w:type="dxa"/>
              <w:left w:w="12.0" w:type="dxa"/>
              <w:bottom w:w="0.0" w:type="dxa"/>
              <w:right w:w="12.0" w:type="dxa"/>
            </w:tcMar>
            <w:vAlign w:val="center"/>
          </w:tcPr>
          <w:p w:rsidR="00000000" w:rsidDel="00000000" w:rsidP="00000000" w:rsidRDefault="00000000" w:rsidRPr="00000000" w14:paraId="000000E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E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No. of dams</w:t>
            </w:r>
            <w:r w:rsidDel="00000000" w:rsidR="00000000" w:rsidRPr="00000000">
              <w:rPr>
                <w:rtl w:val="0"/>
              </w:rPr>
            </w:r>
          </w:p>
        </w:tc>
        <w:tc>
          <w:tcPr>
            <w:vAlign w:val="center"/>
          </w:tcPr>
          <w:p w:rsidR="00000000" w:rsidDel="00000000" w:rsidP="00000000" w:rsidRDefault="00000000" w:rsidRPr="00000000" w14:paraId="000000E2">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Litter Weight     (Mean ± SE)</w:t>
            </w:r>
          </w:p>
        </w:tc>
        <w:tc>
          <w:tcPr>
            <w:tcMar>
              <w:top w:w="12.0" w:type="dxa"/>
              <w:left w:w="12.0" w:type="dxa"/>
              <w:bottom w:w="0.0" w:type="dxa"/>
              <w:right w:w="12.0" w:type="dxa"/>
            </w:tcMar>
            <w:vAlign w:val="center"/>
          </w:tcPr>
          <w:p w:rsidR="00000000" w:rsidDel="00000000" w:rsidP="00000000" w:rsidRDefault="00000000" w:rsidRPr="00000000" w14:paraId="000000E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Litter size at birth (Mean ± SE)</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E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Total live pups/group</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E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Live pups/dam (Mean ± SE)</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E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Total dead pups/group</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0E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Dead pups/dam (Mean ± SE)</w:t>
            </w:r>
            <w:r w:rsidDel="00000000" w:rsidR="00000000" w:rsidRPr="00000000">
              <w:rPr>
                <w:rtl w:val="0"/>
              </w:rPr>
            </w:r>
          </w:p>
        </w:tc>
      </w:tr>
      <w:tr>
        <w:trPr>
          <w:cantSplit w:val="0"/>
          <w:trHeight w:val="55" w:hRule="atLeast"/>
          <w:tblHeader w:val="0"/>
        </w:trPr>
        <w:tc>
          <w:tcPr>
            <w:tcMar>
              <w:top w:w="12.0" w:type="dxa"/>
              <w:left w:w="12.0" w:type="dxa"/>
              <w:bottom w:w="0.0" w:type="dxa"/>
              <w:right w:w="12.0" w:type="dxa"/>
            </w:tcMar>
            <w:vAlign w:val="center"/>
          </w:tcPr>
          <w:p w:rsidR="00000000" w:rsidDel="00000000" w:rsidP="00000000" w:rsidRDefault="00000000" w:rsidRPr="00000000" w14:paraId="000000E8">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w:t>
            </w:r>
          </w:p>
        </w:tc>
        <w:tc>
          <w:tcPr>
            <w:tcMar>
              <w:top w:w="12.0" w:type="dxa"/>
              <w:left w:w="12.0" w:type="dxa"/>
              <w:bottom w:w="0.0" w:type="dxa"/>
              <w:right w:w="12.0" w:type="dxa"/>
            </w:tcMar>
            <w:vAlign w:val="center"/>
          </w:tcPr>
          <w:p w:rsidR="00000000" w:rsidDel="00000000" w:rsidP="00000000" w:rsidRDefault="00000000" w:rsidRPr="00000000" w14:paraId="000000E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vAlign w:val="center"/>
          </w:tcPr>
          <w:p w:rsidR="00000000" w:rsidDel="00000000" w:rsidP="00000000" w:rsidRDefault="00000000" w:rsidRPr="00000000" w14:paraId="000000E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40.60ᵃ ± 1.13</w:t>
            </w:r>
          </w:p>
        </w:tc>
        <w:tc>
          <w:tcPr>
            <w:tcMar>
              <w:top w:w="12.0" w:type="dxa"/>
              <w:left w:w="12.0" w:type="dxa"/>
              <w:bottom w:w="0.0" w:type="dxa"/>
              <w:right w:w="12.0" w:type="dxa"/>
            </w:tcMar>
            <w:vAlign w:val="center"/>
          </w:tcPr>
          <w:p w:rsidR="00000000" w:rsidDel="00000000" w:rsidP="00000000" w:rsidRDefault="00000000" w:rsidRPr="00000000" w14:paraId="000000E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08.17ᵃ ± 0.40</w:t>
            </w:r>
          </w:p>
        </w:tc>
        <w:tc>
          <w:tcPr>
            <w:tcMar>
              <w:top w:w="12.0" w:type="dxa"/>
              <w:left w:w="12.0" w:type="dxa"/>
              <w:bottom w:w="0.0" w:type="dxa"/>
              <w:right w:w="12.0" w:type="dxa"/>
            </w:tcMar>
            <w:vAlign w:val="center"/>
          </w:tcPr>
          <w:p w:rsidR="00000000" w:rsidDel="00000000" w:rsidP="00000000" w:rsidRDefault="00000000" w:rsidRPr="00000000" w14:paraId="000000E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49</w:t>
            </w:r>
          </w:p>
        </w:tc>
        <w:tc>
          <w:tcPr>
            <w:tcMar>
              <w:top w:w="12.0" w:type="dxa"/>
              <w:left w:w="12.0" w:type="dxa"/>
              <w:bottom w:w="0.0" w:type="dxa"/>
              <w:right w:w="12.0" w:type="dxa"/>
            </w:tcMar>
            <w:vAlign w:val="center"/>
          </w:tcPr>
          <w:p w:rsidR="00000000" w:rsidDel="00000000" w:rsidP="00000000" w:rsidRDefault="00000000" w:rsidRPr="00000000" w14:paraId="000000E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08.17ᵃ ± 0.40</w:t>
            </w:r>
          </w:p>
        </w:tc>
        <w:tc>
          <w:tcPr>
            <w:tcMar>
              <w:top w:w="12.0" w:type="dxa"/>
              <w:left w:w="12.0" w:type="dxa"/>
              <w:bottom w:w="0.0" w:type="dxa"/>
              <w:right w:w="12.0" w:type="dxa"/>
            </w:tcMar>
            <w:vAlign w:val="center"/>
          </w:tcPr>
          <w:p w:rsidR="00000000" w:rsidDel="00000000" w:rsidP="00000000" w:rsidRDefault="00000000" w:rsidRPr="00000000" w14:paraId="000000E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w:t>
            </w:r>
          </w:p>
        </w:tc>
        <w:tc>
          <w:tcPr>
            <w:tcMar>
              <w:top w:w="12.0" w:type="dxa"/>
              <w:left w:w="12.0" w:type="dxa"/>
              <w:bottom w:w="0.0" w:type="dxa"/>
              <w:right w:w="12.0" w:type="dxa"/>
            </w:tcMar>
            <w:vAlign w:val="center"/>
          </w:tcPr>
          <w:p w:rsidR="00000000" w:rsidDel="00000000" w:rsidP="00000000" w:rsidRDefault="00000000" w:rsidRPr="00000000" w14:paraId="000000E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00.00ᵇ ± 0.00</w:t>
            </w:r>
          </w:p>
        </w:tc>
      </w:tr>
      <w:tr>
        <w:trPr>
          <w:cantSplit w:val="0"/>
          <w:trHeight w:val="55" w:hRule="atLeast"/>
          <w:tblHeader w:val="0"/>
        </w:trPr>
        <w:tc>
          <w:tcPr>
            <w:tcMar>
              <w:top w:w="12.0" w:type="dxa"/>
              <w:left w:w="12.0" w:type="dxa"/>
              <w:bottom w:w="0.0" w:type="dxa"/>
              <w:right w:w="12.0" w:type="dxa"/>
            </w:tcMar>
            <w:vAlign w:val="center"/>
          </w:tcPr>
          <w:p w:rsidR="00000000" w:rsidDel="00000000" w:rsidP="00000000" w:rsidRDefault="00000000" w:rsidRPr="00000000" w14:paraId="000000F0">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II</w:t>
            </w:r>
          </w:p>
        </w:tc>
        <w:tc>
          <w:tcPr>
            <w:tcMar>
              <w:top w:w="12.0" w:type="dxa"/>
              <w:left w:w="12.0" w:type="dxa"/>
              <w:bottom w:w="0.0" w:type="dxa"/>
              <w:right w:w="12.0" w:type="dxa"/>
            </w:tcMar>
            <w:vAlign w:val="center"/>
          </w:tcPr>
          <w:p w:rsidR="00000000" w:rsidDel="00000000" w:rsidP="00000000" w:rsidRDefault="00000000" w:rsidRPr="00000000" w14:paraId="000000F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vAlign w:val="center"/>
          </w:tcPr>
          <w:p w:rsidR="00000000" w:rsidDel="00000000" w:rsidP="00000000" w:rsidRDefault="00000000" w:rsidRPr="00000000" w14:paraId="000000F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24.83ᶜ ± 1.62</w:t>
            </w:r>
          </w:p>
        </w:tc>
        <w:tc>
          <w:tcPr>
            <w:tcMar>
              <w:top w:w="12.0" w:type="dxa"/>
              <w:left w:w="12.0" w:type="dxa"/>
              <w:bottom w:w="0.0" w:type="dxa"/>
              <w:right w:w="12.0" w:type="dxa"/>
            </w:tcMar>
            <w:vAlign w:val="center"/>
          </w:tcPr>
          <w:p w:rsidR="00000000" w:rsidDel="00000000" w:rsidP="00000000" w:rsidRDefault="00000000" w:rsidRPr="00000000" w14:paraId="000000F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06.50ᵇ ± 0.43</w:t>
            </w:r>
          </w:p>
        </w:tc>
        <w:tc>
          <w:tcPr>
            <w:tcMar>
              <w:top w:w="12.0" w:type="dxa"/>
              <w:left w:w="12.0" w:type="dxa"/>
              <w:bottom w:w="0.0" w:type="dxa"/>
              <w:right w:w="12.0" w:type="dxa"/>
            </w:tcMar>
            <w:vAlign w:val="center"/>
          </w:tcPr>
          <w:p w:rsidR="00000000" w:rsidDel="00000000" w:rsidP="00000000" w:rsidRDefault="00000000" w:rsidRPr="00000000" w14:paraId="000000F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w:t>
            </w:r>
          </w:p>
        </w:tc>
        <w:tc>
          <w:tcPr>
            <w:tcMar>
              <w:top w:w="12.0" w:type="dxa"/>
              <w:left w:w="12.0" w:type="dxa"/>
              <w:bottom w:w="0.0" w:type="dxa"/>
              <w:right w:w="12.0" w:type="dxa"/>
            </w:tcMar>
            <w:vAlign w:val="center"/>
          </w:tcPr>
          <w:p w:rsidR="00000000" w:rsidDel="00000000" w:rsidP="00000000" w:rsidRDefault="00000000" w:rsidRPr="00000000" w14:paraId="000000F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03.00ᶜ ± 0.58</w:t>
            </w:r>
          </w:p>
        </w:tc>
        <w:tc>
          <w:tcPr>
            <w:tcMar>
              <w:top w:w="12.0" w:type="dxa"/>
              <w:left w:w="12.0" w:type="dxa"/>
              <w:bottom w:w="0.0" w:type="dxa"/>
              <w:right w:w="12.0" w:type="dxa"/>
            </w:tcMar>
            <w:vAlign w:val="center"/>
          </w:tcPr>
          <w:p w:rsidR="00000000" w:rsidDel="00000000" w:rsidP="00000000" w:rsidRDefault="00000000" w:rsidRPr="00000000" w14:paraId="000000F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w:t>
            </w:r>
          </w:p>
        </w:tc>
        <w:tc>
          <w:tcPr>
            <w:tcMar>
              <w:top w:w="12.0" w:type="dxa"/>
              <w:left w:w="12.0" w:type="dxa"/>
              <w:bottom w:w="0.0" w:type="dxa"/>
              <w:right w:w="12.0" w:type="dxa"/>
            </w:tcMar>
            <w:vAlign w:val="center"/>
          </w:tcPr>
          <w:p w:rsidR="00000000" w:rsidDel="00000000" w:rsidP="00000000" w:rsidRDefault="00000000" w:rsidRPr="00000000" w14:paraId="000000F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03.50ᵃ ± 0.72</w:t>
            </w:r>
          </w:p>
        </w:tc>
      </w:tr>
      <w:tr>
        <w:trPr>
          <w:cantSplit w:val="0"/>
          <w:trHeight w:val="55" w:hRule="atLeast"/>
          <w:tblHeader w:val="0"/>
        </w:trPr>
        <w:tc>
          <w:tcPr>
            <w:tcMar>
              <w:top w:w="12.0" w:type="dxa"/>
              <w:left w:w="12.0" w:type="dxa"/>
              <w:bottom w:w="0.0" w:type="dxa"/>
              <w:right w:w="12.0" w:type="dxa"/>
            </w:tcMar>
            <w:vAlign w:val="center"/>
          </w:tcPr>
          <w:p w:rsidR="00000000" w:rsidDel="00000000" w:rsidP="00000000" w:rsidRDefault="00000000" w:rsidRPr="00000000" w14:paraId="000000F8">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III</w:t>
            </w:r>
          </w:p>
        </w:tc>
        <w:tc>
          <w:tcPr>
            <w:tcMar>
              <w:top w:w="12.0" w:type="dxa"/>
              <w:left w:w="12.0" w:type="dxa"/>
              <w:bottom w:w="0.0" w:type="dxa"/>
              <w:right w:w="12.0" w:type="dxa"/>
            </w:tcMar>
            <w:vAlign w:val="center"/>
          </w:tcPr>
          <w:p w:rsidR="00000000" w:rsidDel="00000000" w:rsidP="00000000" w:rsidRDefault="00000000" w:rsidRPr="00000000" w14:paraId="000000F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vAlign w:val="center"/>
          </w:tcPr>
          <w:p w:rsidR="00000000" w:rsidDel="00000000" w:rsidP="00000000" w:rsidRDefault="00000000" w:rsidRPr="00000000" w14:paraId="000000F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27.80ᵇ ± 1.07</w:t>
            </w:r>
          </w:p>
        </w:tc>
        <w:tc>
          <w:tcPr>
            <w:tcMar>
              <w:top w:w="12.0" w:type="dxa"/>
              <w:left w:w="12.0" w:type="dxa"/>
              <w:bottom w:w="0.0" w:type="dxa"/>
              <w:right w:w="12.0" w:type="dxa"/>
            </w:tcMar>
            <w:vAlign w:val="center"/>
          </w:tcPr>
          <w:p w:rsidR="00000000" w:rsidDel="00000000" w:rsidP="00000000" w:rsidRDefault="00000000" w:rsidRPr="00000000" w14:paraId="000000F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07.33ᵃᵇ ± 0.21</w:t>
            </w:r>
          </w:p>
        </w:tc>
        <w:tc>
          <w:tcPr>
            <w:tcMar>
              <w:top w:w="12.0" w:type="dxa"/>
              <w:left w:w="12.0" w:type="dxa"/>
              <w:bottom w:w="0.0" w:type="dxa"/>
              <w:right w:w="12.0" w:type="dxa"/>
            </w:tcMar>
            <w:vAlign w:val="center"/>
          </w:tcPr>
          <w:p w:rsidR="00000000" w:rsidDel="00000000" w:rsidP="00000000" w:rsidRDefault="00000000" w:rsidRPr="00000000" w14:paraId="000000F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w:t>
            </w:r>
          </w:p>
        </w:tc>
        <w:tc>
          <w:tcPr>
            <w:tcMar>
              <w:top w:w="12.0" w:type="dxa"/>
              <w:left w:w="12.0" w:type="dxa"/>
              <w:bottom w:w="0.0" w:type="dxa"/>
              <w:right w:w="12.0" w:type="dxa"/>
            </w:tcMar>
            <w:vAlign w:val="center"/>
          </w:tcPr>
          <w:p w:rsidR="00000000" w:rsidDel="00000000" w:rsidP="00000000" w:rsidRDefault="00000000" w:rsidRPr="00000000" w14:paraId="000000F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04.83ᵇ ± 0.48</w:t>
            </w:r>
          </w:p>
        </w:tc>
        <w:tc>
          <w:tcPr>
            <w:tcMar>
              <w:top w:w="12.0" w:type="dxa"/>
              <w:left w:w="12.0" w:type="dxa"/>
              <w:bottom w:w="0.0" w:type="dxa"/>
              <w:right w:w="12.0" w:type="dxa"/>
            </w:tcMar>
            <w:vAlign w:val="center"/>
          </w:tcPr>
          <w:p w:rsidR="00000000" w:rsidDel="00000000" w:rsidP="00000000" w:rsidRDefault="00000000" w:rsidRPr="00000000" w14:paraId="000000F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w:t>
            </w:r>
          </w:p>
        </w:tc>
        <w:tc>
          <w:tcPr>
            <w:tcMar>
              <w:top w:w="12.0" w:type="dxa"/>
              <w:left w:w="12.0" w:type="dxa"/>
              <w:bottom w:w="0.0" w:type="dxa"/>
              <w:right w:w="12.0" w:type="dxa"/>
            </w:tcMar>
            <w:vAlign w:val="center"/>
          </w:tcPr>
          <w:p w:rsidR="00000000" w:rsidDel="00000000" w:rsidP="00000000" w:rsidRDefault="00000000" w:rsidRPr="00000000" w14:paraId="000000F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2.50ᵃ ± 0.62</w:t>
            </w:r>
          </w:p>
        </w:tc>
      </w:tr>
    </w:tbl>
    <w:p w:rsidR="00000000" w:rsidDel="00000000" w:rsidP="00000000" w:rsidRDefault="00000000" w:rsidRPr="00000000" w14:paraId="00000100">
      <w:pPr>
        <w:spacing w:after="120" w:line="360" w:lineRule="auto"/>
        <w:ind w:firstLine="720"/>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Means with different superscripts in row differ significantly</w:t>
      </w:r>
      <w:r w:rsidDel="00000000" w:rsidR="00000000" w:rsidRPr="00000000">
        <w:rPr>
          <w:rFonts w:ascii="Times New Roman" w:cs="Times New Roman" w:eastAsia="Times New Roman" w:hAnsi="Times New Roman"/>
          <w:i w:val="1"/>
          <w:iCs w:val="1"/>
          <w:sz w:val="20"/>
          <w:szCs w:val="20"/>
          <w:rtl w:val="0"/>
        </w:rPr>
        <w:t xml:space="preserve"> (p</w:t>
      </w:r>
      <w:sdt>
        <w:sdtPr>
          <w:id w:val="778612870"/>
          <w:tag w:val="goog_rdk_8"/>
        </w:sdtPr>
        <w:sdtContent>
          <w:r w:rsidDel="00000000" w:rsidR="00000000" w:rsidRPr="00000000">
            <w:rPr>
              <w:rFonts w:ascii="Gungsuh" w:cs="Gungsuh" w:eastAsia="Gungsuh" w:hAnsi="Gungsuh"/>
              <w:sz w:val="20"/>
              <w:szCs w:val="20"/>
              <w:rtl w:val="0"/>
            </w:rPr>
            <w:t xml:space="preserve">≤</w:t>
          </w:r>
        </w:sdtContent>
      </w:sdt>
      <w:r w:rsidDel="00000000" w:rsidR="00000000" w:rsidRPr="00000000">
        <w:rPr>
          <w:rFonts w:ascii="Times New Roman" w:cs="Times New Roman" w:eastAsia="Times New Roman" w:hAnsi="Times New Roman"/>
          <w:i w:val="1"/>
          <w:iCs w:val="1"/>
          <w:sz w:val="20"/>
          <w:szCs w:val="20"/>
          <w:rtl w:val="0"/>
        </w:rPr>
        <w:t xml:space="preserve">0.05)</w:t>
      </w:r>
    </w:p>
    <w:p w:rsidR="00000000" w:rsidDel="00000000" w:rsidP="00000000" w:rsidRDefault="00000000" w:rsidRPr="00000000" w14:paraId="00000101">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3.4 Haematology — dams and pups</w:t>
      </w:r>
    </w:p>
    <w:p w:rsidR="00000000" w:rsidDel="00000000" w:rsidP="00000000" w:rsidRDefault="00000000" w:rsidRPr="00000000" w14:paraId="00000102">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Haematological evaluation revealed significant group-wise differences in erythrocytic indices in both dams and pups. In the lead-treated group, haemoglobin (Hb), total erythrocyte count (TEC), and packed cell volume (PCV) were significantly reduced compared with the respective control group values, indicating Haematological suppression following lead exposure.</w:t>
      </w:r>
    </w:p>
    <w:p w:rsidR="00000000" w:rsidDel="00000000" w:rsidP="00000000" w:rsidRDefault="00000000" w:rsidRPr="00000000" w14:paraId="00000103">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lead-exposed dams and pups showed statistically lower Hb concentration, TEC, and PCV values relative to controls. In contrast, the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supplemented group showed significantly higher Hb, TEC, and PCV values compared with the lead-only group in both dams and pups. However, these parameters remained significantly lower than control values, indicating partial restoration of erythrocytic indices with supplementation </w:t>
      </w:r>
    </w:p>
    <w:p w:rsidR="00000000" w:rsidDel="00000000" w:rsidP="00000000" w:rsidRDefault="00000000" w:rsidRPr="00000000" w14:paraId="00000104">
      <w:pPr>
        <w:spacing w:after="240" w:before="12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observed Mean ± SE values are mentioned in table 06 and 07 </w:t>
      </w:r>
    </w:p>
    <w:p w:rsidR="00000000" w:rsidDel="00000000" w:rsidP="00000000" w:rsidRDefault="00000000" w:rsidRPr="00000000" w14:paraId="00000105">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Table 06. Haematological examination in dams </w:t>
      </w:r>
      <w:r w:rsidDel="00000000" w:rsidR="00000000" w:rsidRPr="00000000">
        <w:rPr>
          <w:rtl w:val="0"/>
        </w:rPr>
      </w:r>
    </w:p>
    <w:tbl>
      <w:tblPr>
        <w:tblStyle w:val="Table7"/>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6"/>
        <w:gridCol w:w="2359"/>
        <w:gridCol w:w="2359"/>
        <w:gridCol w:w="2182"/>
        <w:tblGridChange w:id="0">
          <w:tblGrid>
            <w:gridCol w:w="2116"/>
            <w:gridCol w:w="2359"/>
            <w:gridCol w:w="2359"/>
            <w:gridCol w:w="2182"/>
          </w:tblGrid>
        </w:tblGridChange>
      </w:tblGrid>
      <w:tr>
        <w:trPr>
          <w:cantSplit w:val="0"/>
          <w:trHeight w:val="21" w:hRule="atLeast"/>
          <w:tblHeader w:val="0"/>
        </w:trPr>
        <w:tc>
          <w:tcPr>
            <w:vMerge w:val="restart"/>
            <w:vAlign w:val="center"/>
          </w:tcPr>
          <w:p w:rsidR="00000000" w:rsidDel="00000000" w:rsidP="00000000" w:rsidRDefault="00000000" w:rsidRPr="00000000" w14:paraId="0000010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Parameter</w:t>
            </w:r>
            <w:r w:rsidDel="00000000" w:rsidR="00000000" w:rsidRPr="00000000">
              <w:rPr>
                <w:rtl w:val="0"/>
              </w:rPr>
            </w:r>
          </w:p>
        </w:tc>
        <w:tc>
          <w:tcPr>
            <w:gridSpan w:val="3"/>
            <w:vAlign w:val="center"/>
          </w:tcPr>
          <w:p w:rsidR="00000000" w:rsidDel="00000000" w:rsidP="00000000" w:rsidRDefault="00000000" w:rsidRPr="00000000" w14:paraId="00000107">
            <w:pPr>
              <w:spacing w:after="0" w:line="240" w:lineRule="auto"/>
              <w:ind w:left="885" w:hanging="885"/>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(Mean ± SE)</w:t>
            </w:r>
          </w:p>
        </w:tc>
      </w:tr>
      <w:tr>
        <w:trPr>
          <w:cantSplit w:val="0"/>
          <w:trHeight w:val="21" w:hRule="atLeast"/>
          <w:tblHeader w:val="0"/>
        </w:trPr>
        <w:tc>
          <w:tcPr>
            <w:vMerge w:val="continue"/>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000000"/>
                <w:sz w:val="24"/>
                <w:szCs w:val="24"/>
              </w:rPr>
            </w:pPr>
            <w:r w:rsidDel="00000000" w:rsidR="00000000" w:rsidRPr="00000000">
              <w:rPr>
                <w:rtl w:val="0"/>
              </w:rPr>
            </w:r>
          </w:p>
        </w:tc>
        <w:tc>
          <w:tcPr>
            <w:vAlign w:val="center"/>
          </w:tcPr>
          <w:p w:rsidR="00000000" w:rsidDel="00000000" w:rsidP="00000000" w:rsidRDefault="00000000" w:rsidRPr="00000000" w14:paraId="0000010B">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w:t>
            </w:r>
          </w:p>
        </w:tc>
        <w:tc>
          <w:tcPr>
            <w:vAlign w:val="center"/>
          </w:tcPr>
          <w:p w:rsidR="00000000" w:rsidDel="00000000" w:rsidP="00000000" w:rsidRDefault="00000000" w:rsidRPr="00000000" w14:paraId="0000010C">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II</w:t>
            </w:r>
          </w:p>
        </w:tc>
        <w:tc>
          <w:tcPr>
            <w:vAlign w:val="center"/>
          </w:tcPr>
          <w:p w:rsidR="00000000" w:rsidDel="00000000" w:rsidP="00000000" w:rsidRDefault="00000000" w:rsidRPr="00000000" w14:paraId="0000010D">
            <w:pPr>
              <w:spacing w:after="0"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III</w:t>
            </w:r>
          </w:p>
        </w:tc>
      </w:tr>
      <w:tr>
        <w:trPr>
          <w:cantSplit w:val="0"/>
          <w:trHeight w:val="21" w:hRule="atLeast"/>
          <w:tblHeader w:val="0"/>
        </w:trPr>
        <w:tc>
          <w:tcPr>
            <w:vAlign w:val="center"/>
          </w:tcPr>
          <w:p w:rsidR="00000000" w:rsidDel="00000000" w:rsidP="00000000" w:rsidRDefault="00000000" w:rsidRPr="00000000" w14:paraId="0000010E">
            <w:pP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Hb (g/dl)</w:t>
            </w:r>
          </w:p>
        </w:tc>
        <w:tc>
          <w:tcPr>
            <w:vAlign w:val="bottom"/>
          </w:tcPr>
          <w:p w:rsidR="00000000" w:rsidDel="00000000" w:rsidP="00000000" w:rsidRDefault="00000000" w:rsidRPr="00000000" w14:paraId="0000010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14.84</w:t>
            </w:r>
            <w:r w:rsidDel="00000000" w:rsidR="00000000" w:rsidRPr="00000000">
              <w:rPr>
                <w:rFonts w:ascii="Times New Roman" w:cs="Times New Roman" w:eastAsia="Times New Roman" w:hAnsi="Times New Roman"/>
                <w:color w:val="000000"/>
                <w:sz w:val="24"/>
                <w:szCs w:val="24"/>
                <w:vertAlign w:val="superscript"/>
                <w:rtl w:val="0"/>
              </w:rPr>
              <w:t xml:space="preserve">a </w:t>
            </w:r>
            <w:r w:rsidDel="00000000" w:rsidR="00000000" w:rsidRPr="00000000">
              <w:rPr>
                <w:rFonts w:ascii="Times New Roman" w:cs="Times New Roman" w:eastAsia="Times New Roman" w:hAnsi="Times New Roman"/>
                <w:color w:val="000000"/>
                <w:sz w:val="24"/>
                <w:szCs w:val="24"/>
                <w:rtl w:val="0"/>
              </w:rPr>
              <w:t xml:space="preserve">± 0.18</w:t>
            </w:r>
          </w:p>
        </w:tc>
        <w:tc>
          <w:tcPr>
            <w:vAlign w:val="bottom"/>
          </w:tcPr>
          <w:p w:rsidR="00000000" w:rsidDel="00000000" w:rsidP="00000000" w:rsidRDefault="00000000" w:rsidRPr="00000000" w14:paraId="0000011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09.50</w:t>
            </w:r>
            <w:r w:rsidDel="00000000" w:rsidR="00000000" w:rsidRPr="00000000">
              <w:rPr>
                <w:rFonts w:ascii="Times New Roman" w:cs="Times New Roman" w:eastAsia="Times New Roman" w:hAnsi="Times New Roman"/>
                <w:color w:val="000000"/>
                <w:sz w:val="24"/>
                <w:szCs w:val="24"/>
                <w:vertAlign w:val="superscript"/>
                <w:rtl w:val="0"/>
              </w:rPr>
              <w:t xml:space="preserve">c </w:t>
            </w:r>
            <w:r w:rsidDel="00000000" w:rsidR="00000000" w:rsidRPr="00000000">
              <w:rPr>
                <w:rFonts w:ascii="Times New Roman" w:cs="Times New Roman" w:eastAsia="Times New Roman" w:hAnsi="Times New Roman"/>
                <w:color w:val="000000"/>
                <w:sz w:val="24"/>
                <w:szCs w:val="24"/>
                <w:rtl w:val="0"/>
              </w:rPr>
              <w:t xml:space="preserve">± 0.34</w:t>
            </w:r>
          </w:p>
        </w:tc>
        <w:tc>
          <w:tcPr>
            <w:vAlign w:val="bottom"/>
          </w:tcPr>
          <w:p w:rsidR="00000000" w:rsidDel="00000000" w:rsidP="00000000" w:rsidRDefault="00000000" w:rsidRPr="00000000" w14:paraId="0000011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13.01</w:t>
            </w:r>
            <w:r w:rsidDel="00000000" w:rsidR="00000000" w:rsidRPr="00000000">
              <w:rPr>
                <w:rFonts w:ascii="Times New Roman" w:cs="Times New Roman" w:eastAsia="Times New Roman" w:hAnsi="Times New Roman"/>
                <w:color w:val="000000"/>
                <w:sz w:val="24"/>
                <w:szCs w:val="24"/>
                <w:vertAlign w:val="superscript"/>
                <w:rtl w:val="0"/>
              </w:rPr>
              <w:t xml:space="preserve">b </w:t>
            </w:r>
            <w:r w:rsidDel="00000000" w:rsidR="00000000" w:rsidRPr="00000000">
              <w:rPr>
                <w:rFonts w:ascii="Times New Roman" w:cs="Times New Roman" w:eastAsia="Times New Roman" w:hAnsi="Times New Roman"/>
                <w:color w:val="000000"/>
                <w:sz w:val="24"/>
                <w:szCs w:val="24"/>
                <w:rtl w:val="0"/>
              </w:rPr>
              <w:t xml:space="preserve">± 0.42</w:t>
            </w:r>
          </w:p>
        </w:tc>
      </w:tr>
      <w:tr>
        <w:trPr>
          <w:cantSplit w:val="0"/>
          <w:trHeight w:val="21" w:hRule="atLeast"/>
          <w:tblHeader w:val="0"/>
        </w:trPr>
        <w:tc>
          <w:tcPr>
            <w:vAlign w:val="center"/>
          </w:tcPr>
          <w:p w:rsidR="00000000" w:rsidDel="00000000" w:rsidP="00000000" w:rsidRDefault="00000000" w:rsidRPr="00000000" w14:paraId="00000112">
            <w:pP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TEC (x10</w:t>
            </w:r>
            <w:r w:rsidDel="00000000" w:rsidR="00000000" w:rsidRPr="00000000">
              <w:rPr>
                <w:rFonts w:ascii="Times New Roman" w:cs="Times New Roman" w:eastAsia="Times New Roman" w:hAnsi="Times New Roman"/>
                <w:b w:val="1"/>
                <w:bCs w:val="1"/>
                <w:color w:val="000000"/>
                <w:sz w:val="24"/>
                <w:szCs w:val="24"/>
                <w:vertAlign w:val="superscript"/>
                <w:rtl w:val="0"/>
              </w:rPr>
              <w:t xml:space="preserve">6</w:t>
            </w:r>
            <w:r w:rsidDel="00000000" w:rsidR="00000000" w:rsidRPr="00000000">
              <w:rPr>
                <w:rFonts w:ascii="Times New Roman" w:cs="Times New Roman" w:eastAsia="Times New Roman" w:hAnsi="Times New Roman"/>
                <w:b w:val="1"/>
                <w:bCs w:val="1"/>
                <w:color w:val="000000"/>
                <w:sz w:val="24"/>
                <w:szCs w:val="24"/>
                <w:rtl w:val="0"/>
              </w:rPr>
              <w:t xml:space="preserve">/µl)</w:t>
            </w:r>
          </w:p>
        </w:tc>
        <w:tc>
          <w:tcPr>
            <w:vAlign w:val="bottom"/>
          </w:tcPr>
          <w:p w:rsidR="00000000" w:rsidDel="00000000" w:rsidP="00000000" w:rsidRDefault="00000000" w:rsidRPr="00000000" w14:paraId="0000011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08.05</w:t>
            </w:r>
            <w:r w:rsidDel="00000000" w:rsidR="00000000" w:rsidRPr="00000000">
              <w:rPr>
                <w:rFonts w:ascii="Times New Roman" w:cs="Times New Roman" w:eastAsia="Times New Roman" w:hAnsi="Times New Roman"/>
                <w:color w:val="000000"/>
                <w:sz w:val="24"/>
                <w:szCs w:val="24"/>
                <w:vertAlign w:val="superscript"/>
                <w:rtl w:val="0"/>
              </w:rPr>
              <w:t xml:space="preserve">a </w:t>
            </w:r>
            <w:r w:rsidDel="00000000" w:rsidR="00000000" w:rsidRPr="00000000">
              <w:rPr>
                <w:rFonts w:ascii="Times New Roman" w:cs="Times New Roman" w:eastAsia="Times New Roman" w:hAnsi="Times New Roman"/>
                <w:color w:val="000000"/>
                <w:sz w:val="24"/>
                <w:szCs w:val="24"/>
                <w:rtl w:val="0"/>
              </w:rPr>
              <w:t xml:space="preserve">± 0.12</w:t>
            </w:r>
          </w:p>
        </w:tc>
        <w:tc>
          <w:tcPr>
            <w:vAlign w:val="bottom"/>
          </w:tcPr>
          <w:p w:rsidR="00000000" w:rsidDel="00000000" w:rsidP="00000000" w:rsidRDefault="00000000" w:rsidRPr="00000000" w14:paraId="0000011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05.22</w:t>
            </w:r>
            <w:r w:rsidDel="00000000" w:rsidR="00000000" w:rsidRPr="00000000">
              <w:rPr>
                <w:rFonts w:ascii="Times New Roman" w:cs="Times New Roman" w:eastAsia="Times New Roman" w:hAnsi="Times New Roman"/>
                <w:color w:val="000000"/>
                <w:sz w:val="24"/>
                <w:szCs w:val="24"/>
                <w:vertAlign w:val="superscript"/>
                <w:rtl w:val="0"/>
              </w:rPr>
              <w:t xml:space="preserve">c </w:t>
            </w:r>
            <w:r w:rsidDel="00000000" w:rsidR="00000000" w:rsidRPr="00000000">
              <w:rPr>
                <w:rFonts w:ascii="Times New Roman" w:cs="Times New Roman" w:eastAsia="Times New Roman" w:hAnsi="Times New Roman"/>
                <w:color w:val="000000"/>
                <w:sz w:val="24"/>
                <w:szCs w:val="24"/>
                <w:rtl w:val="0"/>
              </w:rPr>
              <w:t xml:space="preserve">± 0.30</w:t>
            </w:r>
          </w:p>
        </w:tc>
        <w:tc>
          <w:tcPr>
            <w:vAlign w:val="bottom"/>
          </w:tcPr>
          <w:p w:rsidR="00000000" w:rsidDel="00000000" w:rsidP="00000000" w:rsidRDefault="00000000" w:rsidRPr="00000000" w14:paraId="0000011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07.24</w:t>
            </w:r>
            <w:r w:rsidDel="00000000" w:rsidR="00000000" w:rsidRPr="00000000">
              <w:rPr>
                <w:rFonts w:ascii="Times New Roman" w:cs="Times New Roman" w:eastAsia="Times New Roman" w:hAnsi="Times New Roman"/>
                <w:color w:val="000000"/>
                <w:sz w:val="24"/>
                <w:szCs w:val="24"/>
                <w:vertAlign w:val="superscript"/>
                <w:rtl w:val="0"/>
              </w:rPr>
              <w:t xml:space="preserve">b </w:t>
            </w:r>
            <w:r w:rsidDel="00000000" w:rsidR="00000000" w:rsidRPr="00000000">
              <w:rPr>
                <w:rFonts w:ascii="Times New Roman" w:cs="Times New Roman" w:eastAsia="Times New Roman" w:hAnsi="Times New Roman"/>
                <w:color w:val="000000"/>
                <w:sz w:val="24"/>
                <w:szCs w:val="24"/>
                <w:rtl w:val="0"/>
              </w:rPr>
              <w:t xml:space="preserve">± 0.12</w:t>
            </w:r>
          </w:p>
        </w:tc>
      </w:tr>
      <w:tr>
        <w:trPr>
          <w:cantSplit w:val="0"/>
          <w:trHeight w:val="21" w:hRule="atLeast"/>
          <w:tblHeader w:val="0"/>
        </w:trPr>
        <w:tc>
          <w:tcPr>
            <w:vAlign w:val="center"/>
          </w:tcPr>
          <w:p w:rsidR="00000000" w:rsidDel="00000000" w:rsidP="00000000" w:rsidRDefault="00000000" w:rsidRPr="00000000" w14:paraId="00000116">
            <w:pP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PCV (%)</w:t>
            </w:r>
          </w:p>
        </w:tc>
        <w:tc>
          <w:tcPr>
            <w:vAlign w:val="bottom"/>
          </w:tcPr>
          <w:p w:rsidR="00000000" w:rsidDel="00000000" w:rsidP="00000000" w:rsidRDefault="00000000" w:rsidRPr="00000000" w14:paraId="0000011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44.18</w:t>
            </w:r>
            <w:r w:rsidDel="00000000" w:rsidR="00000000" w:rsidRPr="00000000">
              <w:rPr>
                <w:rFonts w:ascii="Times New Roman" w:cs="Times New Roman" w:eastAsia="Times New Roman" w:hAnsi="Times New Roman"/>
                <w:color w:val="000000"/>
                <w:sz w:val="24"/>
                <w:szCs w:val="24"/>
                <w:vertAlign w:val="superscript"/>
                <w:rtl w:val="0"/>
              </w:rPr>
              <w:t xml:space="preserve">a </w:t>
            </w:r>
            <w:r w:rsidDel="00000000" w:rsidR="00000000" w:rsidRPr="00000000">
              <w:rPr>
                <w:rFonts w:ascii="Times New Roman" w:cs="Times New Roman" w:eastAsia="Times New Roman" w:hAnsi="Times New Roman"/>
                <w:color w:val="000000"/>
                <w:sz w:val="24"/>
                <w:szCs w:val="24"/>
                <w:rtl w:val="0"/>
              </w:rPr>
              <w:t xml:space="preserve">± 0.53</w:t>
            </w:r>
          </w:p>
        </w:tc>
        <w:tc>
          <w:tcPr>
            <w:vAlign w:val="bottom"/>
          </w:tcPr>
          <w:p w:rsidR="00000000" w:rsidDel="00000000" w:rsidP="00000000" w:rsidRDefault="00000000" w:rsidRPr="00000000" w14:paraId="0000011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30.42</w:t>
            </w:r>
            <w:r w:rsidDel="00000000" w:rsidR="00000000" w:rsidRPr="00000000">
              <w:rPr>
                <w:rFonts w:ascii="Times New Roman" w:cs="Times New Roman" w:eastAsia="Times New Roman" w:hAnsi="Times New Roman"/>
                <w:color w:val="000000"/>
                <w:sz w:val="24"/>
                <w:szCs w:val="24"/>
                <w:vertAlign w:val="superscript"/>
                <w:rtl w:val="0"/>
              </w:rPr>
              <w:t xml:space="preserve">c </w:t>
            </w:r>
            <w:r w:rsidDel="00000000" w:rsidR="00000000" w:rsidRPr="00000000">
              <w:rPr>
                <w:rFonts w:ascii="Times New Roman" w:cs="Times New Roman" w:eastAsia="Times New Roman" w:hAnsi="Times New Roman"/>
                <w:color w:val="000000"/>
                <w:sz w:val="24"/>
                <w:szCs w:val="24"/>
                <w:rtl w:val="0"/>
              </w:rPr>
              <w:t xml:space="preserve">± 0.87</w:t>
            </w:r>
          </w:p>
        </w:tc>
        <w:tc>
          <w:tcPr>
            <w:vAlign w:val="bottom"/>
          </w:tcPr>
          <w:p w:rsidR="00000000" w:rsidDel="00000000" w:rsidP="00000000" w:rsidRDefault="00000000" w:rsidRPr="00000000" w14:paraId="0000011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38.53</w:t>
            </w:r>
            <w:r w:rsidDel="00000000" w:rsidR="00000000" w:rsidRPr="00000000">
              <w:rPr>
                <w:rFonts w:ascii="Times New Roman" w:cs="Times New Roman" w:eastAsia="Times New Roman" w:hAnsi="Times New Roman"/>
                <w:color w:val="000000"/>
                <w:sz w:val="24"/>
                <w:szCs w:val="24"/>
                <w:vertAlign w:val="superscript"/>
                <w:rtl w:val="0"/>
              </w:rPr>
              <w:t xml:space="preserve">b </w:t>
            </w:r>
            <w:r w:rsidDel="00000000" w:rsidR="00000000" w:rsidRPr="00000000">
              <w:rPr>
                <w:rFonts w:ascii="Times New Roman" w:cs="Times New Roman" w:eastAsia="Times New Roman" w:hAnsi="Times New Roman"/>
                <w:color w:val="000000"/>
                <w:sz w:val="24"/>
                <w:szCs w:val="24"/>
                <w:rtl w:val="0"/>
              </w:rPr>
              <w:t xml:space="preserve">± 0.71</w:t>
            </w:r>
          </w:p>
        </w:tc>
      </w:tr>
    </w:tbl>
    <w:p w:rsidR="00000000" w:rsidDel="00000000" w:rsidP="00000000" w:rsidRDefault="00000000" w:rsidRPr="00000000" w14:paraId="0000011A">
      <w:pPr>
        <w:spacing w:after="120" w:line="36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Means with different superscripts in column differ significantly (</w:t>
      </w:r>
      <w:sdt>
        <w:sdtPr>
          <w:id w:val="-1323834196"/>
          <w:tag w:val="goog_rdk_9"/>
        </w:sdtPr>
        <w:sdtContent>
          <w:r w:rsidDel="00000000" w:rsidR="00000000" w:rsidRPr="00000000">
            <w:rPr>
              <w:rFonts w:ascii="Gungsuh" w:cs="Gungsuh" w:eastAsia="Gungsuh" w:hAnsi="Gungsuh"/>
              <w:i w:val="1"/>
              <w:iCs w:val="1"/>
              <w:sz w:val="20"/>
              <w:szCs w:val="20"/>
              <w:rtl w:val="0"/>
            </w:rPr>
            <w:t xml:space="preserve">p≤0.05</w:t>
          </w:r>
        </w:sdtContent>
      </w:sdt>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1B">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Table 07. Haematological examination in pups </w:t>
      </w:r>
      <w:r w:rsidDel="00000000" w:rsidR="00000000" w:rsidRPr="00000000">
        <w:rPr>
          <w:rtl w:val="0"/>
        </w:rPr>
      </w:r>
    </w:p>
    <w:tbl>
      <w:tblPr>
        <w:tblStyle w:val="Table8"/>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3"/>
        <w:gridCol w:w="2624"/>
        <w:gridCol w:w="2624"/>
        <w:gridCol w:w="1655"/>
        <w:tblGridChange w:id="0">
          <w:tblGrid>
            <w:gridCol w:w="2113"/>
            <w:gridCol w:w="2624"/>
            <w:gridCol w:w="2624"/>
            <w:gridCol w:w="1655"/>
          </w:tblGrid>
        </w:tblGridChange>
      </w:tblGrid>
      <w:tr>
        <w:trPr>
          <w:cantSplit w:val="0"/>
          <w:trHeight w:val="20" w:hRule="atLeast"/>
          <w:tblHeader w:val="0"/>
        </w:trPr>
        <w:tc>
          <w:tcPr>
            <w:vMerge w:val="restart"/>
            <w:tcMar>
              <w:top w:w="15.0" w:type="dxa"/>
              <w:left w:w="108.0" w:type="dxa"/>
              <w:bottom w:w="0.0" w:type="dxa"/>
              <w:right w:w="108.0" w:type="dxa"/>
            </w:tcMar>
            <w:vAlign w:val="center"/>
          </w:tcPr>
          <w:p w:rsidR="00000000" w:rsidDel="00000000" w:rsidP="00000000" w:rsidRDefault="00000000" w:rsidRPr="00000000" w14:paraId="0000011C">
            <w:pPr>
              <w:spacing w:after="0" w:line="240" w:lineRule="auto"/>
              <w:ind w:hanging="10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Parameter</w:t>
            </w:r>
            <w:r w:rsidDel="00000000" w:rsidR="00000000" w:rsidRPr="00000000">
              <w:rPr>
                <w:rtl w:val="0"/>
              </w:rPr>
            </w:r>
          </w:p>
        </w:tc>
        <w:tc>
          <w:tcPr>
            <w:gridSpan w:val="3"/>
            <w:tcMar>
              <w:top w:w="15.0" w:type="dxa"/>
              <w:left w:w="108.0" w:type="dxa"/>
              <w:bottom w:w="0.0" w:type="dxa"/>
              <w:right w:w="108.0" w:type="dxa"/>
            </w:tcMar>
            <w:vAlign w:val="center"/>
          </w:tcPr>
          <w:p w:rsidR="00000000" w:rsidDel="00000000" w:rsidP="00000000" w:rsidRDefault="00000000" w:rsidRPr="00000000" w14:paraId="0000011D">
            <w:pPr>
              <w:spacing w:after="0" w:line="240" w:lineRule="auto"/>
              <w:ind w:hanging="10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(Mean ± SE)</w:t>
            </w:r>
            <w:r w:rsidDel="00000000" w:rsidR="00000000" w:rsidRPr="00000000">
              <w:rPr>
                <w:rtl w:val="0"/>
              </w:rPr>
            </w:r>
          </w:p>
        </w:tc>
      </w:tr>
      <w:tr>
        <w:trPr>
          <w:cantSplit w:val="0"/>
          <w:trHeight w:val="20" w:hRule="atLeast"/>
          <w:tblHeader w:val="0"/>
        </w:trPr>
        <w:tc>
          <w:tcPr>
            <w:vMerge w:val="continue"/>
            <w:tcMar>
              <w:top w:w="15.0" w:type="dxa"/>
              <w:left w:w="108.0" w:type="dxa"/>
              <w:bottom w:w="0.0" w:type="dxa"/>
              <w:right w:w="108.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Mar>
              <w:top w:w="15.0" w:type="dxa"/>
              <w:left w:w="108.0" w:type="dxa"/>
              <w:bottom w:w="0.0" w:type="dxa"/>
              <w:right w:w="108.0" w:type="dxa"/>
            </w:tcMar>
            <w:vAlign w:val="center"/>
          </w:tcPr>
          <w:p w:rsidR="00000000" w:rsidDel="00000000" w:rsidP="00000000" w:rsidRDefault="00000000" w:rsidRPr="00000000" w14:paraId="0000012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w:t>
            </w:r>
            <w:r w:rsidDel="00000000" w:rsidR="00000000" w:rsidRPr="00000000">
              <w:rPr>
                <w:rtl w:val="0"/>
              </w:rPr>
            </w:r>
          </w:p>
        </w:tc>
        <w:tc>
          <w:tcPr>
            <w:tcMar>
              <w:top w:w="15.0" w:type="dxa"/>
              <w:left w:w="108.0" w:type="dxa"/>
              <w:bottom w:w="0.0" w:type="dxa"/>
              <w:right w:w="108.0" w:type="dxa"/>
            </w:tcMar>
            <w:vAlign w:val="center"/>
          </w:tcPr>
          <w:p w:rsidR="00000000" w:rsidDel="00000000" w:rsidP="00000000" w:rsidRDefault="00000000" w:rsidRPr="00000000" w14:paraId="0000012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II</w:t>
            </w:r>
            <w:r w:rsidDel="00000000" w:rsidR="00000000" w:rsidRPr="00000000">
              <w:rPr>
                <w:rtl w:val="0"/>
              </w:rPr>
            </w:r>
          </w:p>
        </w:tc>
        <w:tc>
          <w:tcPr>
            <w:tcMar>
              <w:top w:w="15.0" w:type="dxa"/>
              <w:left w:w="108.0" w:type="dxa"/>
              <w:bottom w:w="0.0" w:type="dxa"/>
              <w:right w:w="108.0" w:type="dxa"/>
            </w:tcMar>
            <w:vAlign w:val="center"/>
          </w:tcPr>
          <w:p w:rsidR="00000000" w:rsidDel="00000000" w:rsidP="00000000" w:rsidRDefault="00000000" w:rsidRPr="00000000" w14:paraId="0000012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III</w:t>
            </w:r>
            <w:r w:rsidDel="00000000" w:rsidR="00000000" w:rsidRPr="00000000">
              <w:rPr>
                <w:rtl w:val="0"/>
              </w:rPr>
            </w:r>
          </w:p>
        </w:tc>
      </w:tr>
      <w:tr>
        <w:trPr>
          <w:cantSplit w:val="0"/>
          <w:trHeight w:val="20" w:hRule="atLeast"/>
          <w:tblHeader w:val="0"/>
        </w:trPr>
        <w:tc>
          <w:tcPr>
            <w:tcMar>
              <w:top w:w="15.0" w:type="dxa"/>
              <w:left w:w="108.0" w:type="dxa"/>
              <w:bottom w:w="0.0" w:type="dxa"/>
              <w:right w:w="108.0" w:type="dxa"/>
            </w:tcMar>
            <w:vAlign w:val="center"/>
          </w:tcPr>
          <w:p w:rsidR="00000000" w:rsidDel="00000000" w:rsidP="00000000" w:rsidRDefault="00000000" w:rsidRPr="00000000" w14:paraId="0000012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Hb (g/dl)</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125">
            <w:pPr>
              <w:spacing w:after="0" w:line="240" w:lineRule="auto"/>
              <w:ind w:hanging="1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13.90ᵃ ± 0.31</w:t>
            </w:r>
          </w:p>
        </w:tc>
        <w:tc>
          <w:tcPr>
            <w:tcMar>
              <w:top w:w="12.0" w:type="dxa"/>
              <w:left w:w="12.0" w:type="dxa"/>
              <w:bottom w:w="0.0" w:type="dxa"/>
              <w:right w:w="12.0" w:type="dxa"/>
            </w:tcMar>
            <w:vAlign w:val="center"/>
          </w:tcPr>
          <w:p w:rsidR="00000000" w:rsidDel="00000000" w:rsidP="00000000" w:rsidRDefault="00000000" w:rsidRPr="00000000" w14:paraId="0000012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08.47ᶜ ± 0.34</w:t>
            </w:r>
          </w:p>
        </w:tc>
        <w:tc>
          <w:tcPr>
            <w:tcMar>
              <w:top w:w="12.0" w:type="dxa"/>
              <w:left w:w="12.0" w:type="dxa"/>
              <w:bottom w:w="0.0" w:type="dxa"/>
              <w:right w:w="12.0" w:type="dxa"/>
            </w:tcMar>
            <w:vAlign w:val="center"/>
          </w:tcPr>
          <w:p w:rsidR="00000000" w:rsidDel="00000000" w:rsidP="00000000" w:rsidRDefault="00000000" w:rsidRPr="00000000" w14:paraId="0000012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11.82ᵇ ± 0.25</w:t>
            </w:r>
          </w:p>
        </w:tc>
      </w:tr>
      <w:tr>
        <w:trPr>
          <w:cantSplit w:val="0"/>
          <w:trHeight w:val="20" w:hRule="atLeast"/>
          <w:tblHeader w:val="0"/>
        </w:trPr>
        <w:tc>
          <w:tcPr>
            <w:tcMar>
              <w:top w:w="15.0" w:type="dxa"/>
              <w:left w:w="108.0" w:type="dxa"/>
              <w:bottom w:w="0.0" w:type="dxa"/>
              <w:right w:w="108.0" w:type="dxa"/>
            </w:tcMar>
            <w:vAlign w:val="center"/>
          </w:tcPr>
          <w:p w:rsidR="00000000" w:rsidDel="00000000" w:rsidP="00000000" w:rsidRDefault="00000000" w:rsidRPr="00000000" w14:paraId="0000012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TEC (x10</w:t>
            </w:r>
            <w:r w:rsidDel="00000000" w:rsidR="00000000" w:rsidRPr="00000000">
              <w:rPr>
                <w:rFonts w:ascii="Times New Roman" w:cs="Times New Roman" w:eastAsia="Times New Roman" w:hAnsi="Times New Roman"/>
                <w:b w:val="1"/>
                <w:bCs w:val="1"/>
                <w:color w:val="000000"/>
                <w:sz w:val="24"/>
                <w:szCs w:val="24"/>
                <w:vertAlign w:val="superscript"/>
                <w:rtl w:val="0"/>
              </w:rPr>
              <w:t xml:space="preserve">6</w:t>
            </w:r>
            <w:r w:rsidDel="00000000" w:rsidR="00000000" w:rsidRPr="00000000">
              <w:rPr>
                <w:rFonts w:ascii="Times New Roman" w:cs="Times New Roman" w:eastAsia="Times New Roman" w:hAnsi="Times New Roman"/>
                <w:b w:val="1"/>
                <w:bCs w:val="1"/>
                <w:color w:val="000000"/>
                <w:sz w:val="24"/>
                <w:szCs w:val="24"/>
                <w:rtl w:val="0"/>
              </w:rPr>
              <w:t xml:space="preserve">/µl)</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129">
            <w:pPr>
              <w:spacing w:after="0" w:line="240" w:lineRule="auto"/>
              <w:ind w:hanging="1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07.08ᵃ ± 0.10</w:t>
            </w:r>
          </w:p>
        </w:tc>
        <w:tc>
          <w:tcPr>
            <w:tcMar>
              <w:top w:w="12.0" w:type="dxa"/>
              <w:left w:w="12.0" w:type="dxa"/>
              <w:bottom w:w="0.0" w:type="dxa"/>
              <w:right w:w="12.0" w:type="dxa"/>
            </w:tcMar>
            <w:vAlign w:val="center"/>
          </w:tcPr>
          <w:p w:rsidR="00000000" w:rsidDel="00000000" w:rsidP="00000000" w:rsidRDefault="00000000" w:rsidRPr="00000000" w14:paraId="0000012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04.37ᶜ ± 0.14</w:t>
            </w:r>
          </w:p>
        </w:tc>
        <w:tc>
          <w:tcPr>
            <w:tcMar>
              <w:top w:w="12.0" w:type="dxa"/>
              <w:left w:w="12.0" w:type="dxa"/>
              <w:bottom w:w="0.0" w:type="dxa"/>
              <w:right w:w="12.0" w:type="dxa"/>
            </w:tcMar>
            <w:vAlign w:val="center"/>
          </w:tcPr>
          <w:p w:rsidR="00000000" w:rsidDel="00000000" w:rsidP="00000000" w:rsidRDefault="00000000" w:rsidRPr="00000000" w14:paraId="0000012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05.91ᵇ ± 0.12</w:t>
            </w:r>
          </w:p>
        </w:tc>
      </w:tr>
      <w:tr>
        <w:trPr>
          <w:cantSplit w:val="0"/>
          <w:trHeight w:val="20" w:hRule="atLeast"/>
          <w:tblHeader w:val="0"/>
        </w:trPr>
        <w:tc>
          <w:tcPr>
            <w:tcMar>
              <w:top w:w="15.0" w:type="dxa"/>
              <w:left w:w="108.0" w:type="dxa"/>
              <w:bottom w:w="0.0" w:type="dxa"/>
              <w:right w:w="108.0" w:type="dxa"/>
            </w:tcMar>
            <w:vAlign w:val="center"/>
          </w:tcPr>
          <w:p w:rsidR="00000000" w:rsidDel="00000000" w:rsidP="00000000" w:rsidRDefault="00000000" w:rsidRPr="00000000" w14:paraId="0000012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PCV (%)</w:t>
            </w:r>
            <w:r w:rsidDel="00000000" w:rsidR="00000000" w:rsidRPr="00000000">
              <w:rPr>
                <w:rtl w:val="0"/>
              </w:rPr>
            </w:r>
          </w:p>
        </w:tc>
        <w:tc>
          <w:tcPr>
            <w:tcMar>
              <w:top w:w="12.0" w:type="dxa"/>
              <w:left w:w="12.0" w:type="dxa"/>
              <w:bottom w:w="0.0" w:type="dxa"/>
              <w:right w:w="12.0" w:type="dxa"/>
            </w:tcMar>
            <w:vAlign w:val="center"/>
          </w:tcPr>
          <w:p w:rsidR="00000000" w:rsidDel="00000000" w:rsidP="00000000" w:rsidRDefault="00000000" w:rsidRPr="00000000" w14:paraId="0000012D">
            <w:pPr>
              <w:spacing w:after="0" w:line="240" w:lineRule="auto"/>
              <w:ind w:hanging="1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41.16ᵃ ± 0.40</w:t>
            </w:r>
          </w:p>
        </w:tc>
        <w:tc>
          <w:tcPr>
            <w:tcMar>
              <w:top w:w="12.0" w:type="dxa"/>
              <w:left w:w="12.0" w:type="dxa"/>
              <w:bottom w:w="0.0" w:type="dxa"/>
              <w:right w:w="12.0" w:type="dxa"/>
            </w:tcMar>
            <w:vAlign w:val="center"/>
          </w:tcPr>
          <w:p w:rsidR="00000000" w:rsidDel="00000000" w:rsidP="00000000" w:rsidRDefault="00000000" w:rsidRPr="00000000" w14:paraId="0000012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29.00ᶜ ± 1.03</w:t>
            </w:r>
          </w:p>
        </w:tc>
        <w:tc>
          <w:tcPr>
            <w:tcMar>
              <w:top w:w="12.0" w:type="dxa"/>
              <w:left w:w="12.0" w:type="dxa"/>
              <w:bottom w:w="0.0" w:type="dxa"/>
              <w:right w:w="12.0" w:type="dxa"/>
            </w:tcMar>
            <w:vAlign w:val="center"/>
          </w:tcPr>
          <w:p w:rsidR="00000000" w:rsidDel="00000000" w:rsidP="00000000" w:rsidRDefault="00000000" w:rsidRPr="00000000" w14:paraId="0000012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34.23ᵇ ± 0.90</w:t>
            </w:r>
          </w:p>
        </w:tc>
      </w:tr>
    </w:tbl>
    <w:p w:rsidR="00000000" w:rsidDel="00000000" w:rsidP="00000000" w:rsidRDefault="00000000" w:rsidRPr="00000000" w14:paraId="00000130">
      <w:pPr>
        <w:spacing w:after="120" w:line="36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Means with different superscripts in column differ significantly (</w:t>
      </w:r>
      <w:sdt>
        <w:sdtPr>
          <w:id w:val="-1861612939"/>
          <w:tag w:val="goog_rdk_10"/>
        </w:sdtPr>
        <w:sdtContent>
          <w:r w:rsidDel="00000000" w:rsidR="00000000" w:rsidRPr="00000000">
            <w:rPr>
              <w:rFonts w:ascii="Gungsuh" w:cs="Gungsuh" w:eastAsia="Gungsuh" w:hAnsi="Gungsuh"/>
              <w:i w:val="1"/>
              <w:iCs w:val="1"/>
              <w:sz w:val="20"/>
              <w:szCs w:val="20"/>
              <w:rtl w:val="0"/>
            </w:rPr>
            <w:t xml:space="preserve">p≤0.05</w:t>
          </w:r>
        </w:sdtContent>
      </w:sdt>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31">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3.5 Blood lead and mineral levels</w:t>
      </w:r>
    </w:p>
    <w:p w:rsidR="00000000" w:rsidDel="00000000" w:rsidP="00000000" w:rsidRDefault="00000000" w:rsidRPr="00000000" w14:paraId="00000132">
      <w:pPr>
        <w:spacing w:after="240" w:before="12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Blood lead concentration showed a significant increase in both dams and pups of the lead-treated group as compared with their respective control groups. The elevation confirmed substantial systemic absorption and maternal–offspring transfer of lead during gestation and lactation. In the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supplemented group, both dams and pups showed a statistically significant reduction in blood lead concentration compared with the lead-only group; however, the values remained significantly higher than controls.</w:t>
      </w:r>
    </w:p>
    <w:p w:rsidR="00000000" w:rsidDel="00000000" w:rsidP="00000000" w:rsidRDefault="00000000" w:rsidRPr="00000000" w14:paraId="00000133">
      <w:pPr>
        <w:spacing w:after="240" w:before="12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of essential mineral concentrations revealed significant alterations in both dams and pups following lead exposure. Lead-treated animals showed reduced blood levels of calcium, iron, zinc, and copper compared with controls, indicating disturbance of mineral homeostasis associated with systemic lead toxicity. The reduction was more pronounced in the lead-only group, while the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supplemented group demonstrated partial restoration of these mineral levels in both dams and pups compared with the lead-treated group.</w:t>
      </w:r>
    </w:p>
    <w:p w:rsidR="00000000" w:rsidDel="00000000" w:rsidP="00000000" w:rsidRDefault="00000000" w:rsidRPr="00000000" w14:paraId="00000134">
      <w:pPr>
        <w:spacing w:after="240" w:before="12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findings in both maternal and offspring samples indicate that perinatal lead exposure increases circulating lead burden and concurrently disrupts essential mineral balance, whereas dietary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supplementation partially mitigates these alterations but does not completely normalize the values</w:t>
      </w:r>
    </w:p>
    <w:p w:rsidR="00000000" w:rsidDel="00000000" w:rsidP="00000000" w:rsidRDefault="00000000" w:rsidRPr="00000000" w14:paraId="00000135">
      <w:pPr>
        <w:spacing w:after="240" w:before="12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observed Mean ± SE values are mentioned in table 08 and 09 </w:t>
      </w:r>
    </w:p>
    <w:p w:rsidR="00000000" w:rsidDel="00000000" w:rsidP="00000000" w:rsidRDefault="00000000" w:rsidRPr="00000000" w14:paraId="00000136">
      <w:pPr>
        <w:spacing w:after="120" w:line="240" w:lineRule="auto"/>
        <w:ind w:left="1260" w:hanging="126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Table 08:</w:t>
        <w:tab/>
        <w:t xml:space="preserve">Mean blood lead and mineral level (µg/dl or mg/dl) in dams of different groups </w:t>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5"/>
        <w:gridCol w:w="2223"/>
        <w:gridCol w:w="2223"/>
        <w:gridCol w:w="2225"/>
        <w:tblGridChange w:id="0">
          <w:tblGrid>
            <w:gridCol w:w="2345"/>
            <w:gridCol w:w="2223"/>
            <w:gridCol w:w="2223"/>
            <w:gridCol w:w="2225"/>
          </w:tblGrid>
        </w:tblGridChange>
      </w:tblGrid>
      <w:tr>
        <w:trPr>
          <w:cantSplit w:val="0"/>
          <w:trHeight w:val="20" w:hRule="atLeast"/>
          <w:tblHeader w:val="0"/>
        </w:trPr>
        <w:tc>
          <w:tcPr>
            <w:vMerge w:val="restart"/>
            <w:tcMar>
              <w:top w:w="15.0" w:type="dxa"/>
              <w:left w:w="15.0" w:type="dxa"/>
              <w:bottom w:w="15.0" w:type="dxa"/>
              <w:right w:w="15.0" w:type="dxa"/>
            </w:tcMar>
            <w:vAlign w:val="center"/>
          </w:tcPr>
          <w:p w:rsidR="00000000" w:rsidDel="00000000" w:rsidP="00000000" w:rsidRDefault="00000000" w:rsidRPr="00000000" w14:paraId="00000137">
            <w:pPr>
              <w:spacing w:after="80" w:before="80" w:line="240" w:lineRule="auto"/>
              <w:ind w:left="9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Parameter</w:t>
            </w:r>
            <w:r w:rsidDel="00000000" w:rsidR="00000000" w:rsidRPr="00000000">
              <w:rPr>
                <w:rtl w:val="0"/>
              </w:rPr>
            </w:r>
          </w:p>
        </w:tc>
        <w:tc>
          <w:tcPr>
            <w:gridSpan w:val="3"/>
            <w:tcMar>
              <w:top w:w="15.0" w:type="dxa"/>
              <w:left w:w="15.0" w:type="dxa"/>
              <w:bottom w:w="15.0" w:type="dxa"/>
              <w:right w:w="15.0" w:type="dxa"/>
            </w:tcMar>
            <w:vAlign w:val="center"/>
          </w:tcPr>
          <w:p w:rsidR="00000000" w:rsidDel="00000000" w:rsidP="00000000" w:rsidRDefault="00000000" w:rsidRPr="00000000" w14:paraId="00000138">
            <w:pPr>
              <w:spacing w:after="80" w:before="80" w:line="240" w:lineRule="auto"/>
              <w:ind w:hanging="2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(Mean ± SE)</w:t>
            </w:r>
            <w:r w:rsidDel="00000000" w:rsidR="00000000" w:rsidRPr="00000000">
              <w:rPr>
                <w:rtl w:val="0"/>
              </w:rPr>
            </w:r>
          </w:p>
        </w:tc>
      </w:tr>
      <w:tr>
        <w:trPr>
          <w:cantSplit w:val="0"/>
          <w:trHeight w:val="2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3C">
            <w:pPr>
              <w:spacing w:after="80" w:before="80" w:line="240" w:lineRule="auto"/>
              <w:ind w:hanging="24"/>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w:t>
            </w:r>
          </w:p>
        </w:tc>
        <w:tc>
          <w:tcPr>
            <w:tcMar>
              <w:top w:w="15.0" w:type="dxa"/>
              <w:left w:w="15.0" w:type="dxa"/>
              <w:bottom w:w="15.0" w:type="dxa"/>
              <w:right w:w="15.0" w:type="dxa"/>
            </w:tcMar>
            <w:vAlign w:val="center"/>
          </w:tcPr>
          <w:p w:rsidR="00000000" w:rsidDel="00000000" w:rsidP="00000000" w:rsidRDefault="00000000" w:rsidRPr="00000000" w14:paraId="0000013D">
            <w:pPr>
              <w:spacing w:after="80" w:before="80" w:line="240" w:lineRule="auto"/>
              <w:ind w:hanging="24"/>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II</w:t>
            </w:r>
          </w:p>
        </w:tc>
        <w:tc>
          <w:tcPr>
            <w:tcMar>
              <w:top w:w="15.0" w:type="dxa"/>
              <w:left w:w="15.0" w:type="dxa"/>
              <w:bottom w:w="15.0" w:type="dxa"/>
              <w:right w:w="15.0" w:type="dxa"/>
            </w:tcMar>
            <w:vAlign w:val="center"/>
          </w:tcPr>
          <w:p w:rsidR="00000000" w:rsidDel="00000000" w:rsidP="00000000" w:rsidRDefault="00000000" w:rsidRPr="00000000" w14:paraId="0000013E">
            <w:pPr>
              <w:spacing w:after="80" w:before="80" w:line="240" w:lineRule="auto"/>
              <w:ind w:hanging="24"/>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III</w:t>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3F">
            <w:pPr>
              <w:spacing w:after="80" w:before="80" w:line="240" w:lineRule="auto"/>
              <w:ind w:left="9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Lead (µg/dl)</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0">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001.90</w:t>
            </w:r>
            <w:r w:rsidDel="00000000" w:rsidR="00000000" w:rsidRPr="00000000">
              <w:rPr>
                <w:rFonts w:ascii="Times New Roman" w:cs="Times New Roman" w:eastAsia="Times New Roman" w:hAnsi="Times New Roman"/>
                <w:sz w:val="24"/>
                <w:szCs w:val="24"/>
                <w:vertAlign w:val="superscript"/>
                <w:rtl w:val="0"/>
              </w:rPr>
              <w:t xml:space="preserve">c</w:t>
            </w:r>
            <w:r w:rsidDel="00000000" w:rsidR="00000000" w:rsidRPr="00000000">
              <w:rPr>
                <w:rFonts w:ascii="Times New Roman" w:cs="Times New Roman" w:eastAsia="Times New Roman" w:hAnsi="Times New Roman"/>
                <w:sz w:val="24"/>
                <w:szCs w:val="24"/>
                <w:rtl w:val="0"/>
              </w:rPr>
              <w:t xml:space="preserve"> ± 0.01</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1">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005.690</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0.07</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2">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004.778</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0.03</w:t>
            </w:r>
            <w:r w:rsidDel="00000000" w:rsidR="00000000" w:rsidRPr="00000000">
              <w:rPr>
                <w:rtl w:val="0"/>
              </w:rPr>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43">
            <w:pPr>
              <w:spacing w:after="80" w:before="80" w:line="240" w:lineRule="auto"/>
              <w:ind w:left="9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Calcium (mg/dl)</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4">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010.07</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0.05</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5">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008.30</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0.04</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6">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008.46</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0.03</w:t>
            </w:r>
            <w:r w:rsidDel="00000000" w:rsidR="00000000" w:rsidRPr="00000000">
              <w:rPr>
                <w:rtl w:val="0"/>
              </w:rPr>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47">
            <w:pPr>
              <w:spacing w:after="80" w:before="80" w:line="240" w:lineRule="auto"/>
              <w:ind w:left="9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Copper (µg/dl)</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8">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109.67</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0.33</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9">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087.96</w:t>
            </w:r>
            <w:r w:rsidDel="00000000" w:rsidR="00000000" w:rsidRPr="00000000">
              <w:rPr>
                <w:rFonts w:ascii="Times New Roman" w:cs="Times New Roman" w:eastAsia="Times New Roman" w:hAnsi="Times New Roman"/>
                <w:sz w:val="24"/>
                <w:szCs w:val="24"/>
                <w:vertAlign w:val="superscript"/>
                <w:rtl w:val="0"/>
              </w:rPr>
              <w:t xml:space="preserve">c</w:t>
            </w:r>
            <w:r w:rsidDel="00000000" w:rsidR="00000000" w:rsidRPr="00000000">
              <w:rPr>
                <w:rFonts w:ascii="Times New Roman" w:cs="Times New Roman" w:eastAsia="Times New Roman" w:hAnsi="Times New Roman"/>
                <w:sz w:val="24"/>
                <w:szCs w:val="24"/>
                <w:rtl w:val="0"/>
              </w:rPr>
              <w:t xml:space="preserve"> ± 0.41</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A">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089.51</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0.35</w:t>
            </w:r>
            <w:r w:rsidDel="00000000" w:rsidR="00000000" w:rsidRPr="00000000">
              <w:rPr>
                <w:rtl w:val="0"/>
              </w:rPr>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4B">
            <w:pPr>
              <w:spacing w:after="80" w:before="80" w:line="240" w:lineRule="auto"/>
              <w:ind w:left="9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Zinc (µg/dl)</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C">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093.00</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0.46</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D">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063.57</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1.54</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4E">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068.37</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1.64</w:t>
            </w:r>
            <w:r w:rsidDel="00000000" w:rsidR="00000000" w:rsidRPr="00000000">
              <w:rPr>
                <w:rtl w:val="0"/>
              </w:rPr>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4F">
            <w:pPr>
              <w:spacing w:after="80" w:before="80" w:line="240" w:lineRule="auto"/>
              <w:ind w:left="9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Iron (µg/dl)</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50">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153.03</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Fonts w:ascii="Times New Roman" w:cs="Times New Roman" w:eastAsia="Times New Roman" w:hAnsi="Times New Roman"/>
                <w:sz w:val="24"/>
                <w:szCs w:val="24"/>
                <w:rtl w:val="0"/>
              </w:rPr>
              <w:t xml:space="preserve"> ± 0.54</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51">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126.39</w:t>
            </w:r>
            <w:r w:rsidDel="00000000" w:rsidR="00000000" w:rsidRPr="00000000">
              <w:rPr>
                <w:rFonts w:ascii="Times New Roman" w:cs="Times New Roman" w:eastAsia="Times New Roman" w:hAnsi="Times New Roman"/>
                <w:sz w:val="24"/>
                <w:szCs w:val="24"/>
                <w:vertAlign w:val="superscript"/>
                <w:rtl w:val="0"/>
              </w:rPr>
              <w:t xml:space="preserve">c</w:t>
            </w:r>
            <w:r w:rsidDel="00000000" w:rsidR="00000000" w:rsidRPr="00000000">
              <w:rPr>
                <w:rFonts w:ascii="Times New Roman" w:cs="Times New Roman" w:eastAsia="Times New Roman" w:hAnsi="Times New Roman"/>
                <w:sz w:val="24"/>
                <w:szCs w:val="24"/>
                <w:rtl w:val="0"/>
              </w:rPr>
              <w:t xml:space="preserve"> ± 0.85</w:t>
            </w:r>
            <w:r w:rsidDel="00000000" w:rsidR="00000000" w:rsidRPr="00000000">
              <w:rPr>
                <w:rtl w:val="0"/>
              </w:rPr>
            </w:r>
          </w:p>
        </w:tc>
        <w:tc>
          <w:tcPr>
            <w:tcMar>
              <w:top w:w="15.0" w:type="dxa"/>
              <w:left w:w="15.0" w:type="dxa"/>
              <w:bottom w:w="15.0" w:type="dxa"/>
              <w:right w:w="15.0" w:type="dxa"/>
            </w:tcMar>
            <w:vAlign w:val="bottom"/>
          </w:tcPr>
          <w:p w:rsidR="00000000" w:rsidDel="00000000" w:rsidP="00000000" w:rsidRDefault="00000000" w:rsidRPr="00000000" w14:paraId="00000152">
            <w:pPr>
              <w:spacing w:after="80" w:before="8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134.14</w:t>
            </w:r>
            <w:r w:rsidDel="00000000" w:rsidR="00000000" w:rsidRPr="00000000">
              <w:rPr>
                <w:rFonts w:ascii="Times New Roman" w:cs="Times New Roman" w:eastAsia="Times New Roman" w:hAnsi="Times New Roman"/>
                <w:sz w:val="24"/>
                <w:szCs w:val="24"/>
                <w:vertAlign w:val="superscript"/>
                <w:rtl w:val="0"/>
              </w:rPr>
              <w:t xml:space="preserve">b</w:t>
            </w:r>
            <w:r w:rsidDel="00000000" w:rsidR="00000000" w:rsidRPr="00000000">
              <w:rPr>
                <w:rFonts w:ascii="Times New Roman" w:cs="Times New Roman" w:eastAsia="Times New Roman" w:hAnsi="Times New Roman"/>
                <w:sz w:val="24"/>
                <w:szCs w:val="24"/>
                <w:rtl w:val="0"/>
              </w:rPr>
              <w:t xml:space="preserve"> ± 1.29</w:t>
            </w:r>
            <w:r w:rsidDel="00000000" w:rsidR="00000000" w:rsidRPr="00000000">
              <w:rPr>
                <w:rtl w:val="0"/>
              </w:rPr>
            </w:r>
          </w:p>
        </w:tc>
      </w:tr>
    </w:tbl>
    <w:p w:rsidR="00000000" w:rsidDel="00000000" w:rsidP="00000000" w:rsidRDefault="00000000" w:rsidRPr="00000000" w14:paraId="00000153">
      <w:pPr>
        <w:spacing w:after="120" w:line="360" w:lineRule="auto"/>
        <w:ind w:firstLine="720"/>
        <w:jc w:val="both"/>
        <w:rPr>
          <w:rFonts w:ascii="Times New Roman" w:cs="Times New Roman" w:eastAsia="Times New Roman" w:hAnsi="Times New Roman"/>
          <w:color w:val="000000"/>
          <w:sz w:val="20"/>
          <w:szCs w:val="20"/>
        </w:rPr>
      </w:pPr>
      <w:sdt>
        <w:sdtPr>
          <w:id w:val="-726484291"/>
          <w:tag w:val="goog_rdk_11"/>
        </w:sdtPr>
        <w:sdtContent>
          <w:r w:rsidDel="00000000" w:rsidR="00000000" w:rsidRPr="00000000">
            <w:rPr>
              <w:rFonts w:ascii="Gungsuh" w:cs="Gungsuh" w:eastAsia="Gungsuh" w:hAnsi="Gungsuh"/>
              <w:color w:val="000000"/>
              <w:sz w:val="20"/>
              <w:szCs w:val="20"/>
              <w:rtl w:val="0"/>
            </w:rPr>
            <w:t xml:space="preserve">Means with different superscripts in column differ significantly (p≤0.05)</w:t>
          </w:r>
        </w:sdtContent>
      </w:sdt>
    </w:p>
    <w:p w:rsidR="00000000" w:rsidDel="00000000" w:rsidP="00000000" w:rsidRDefault="00000000" w:rsidRPr="00000000" w14:paraId="00000154">
      <w:pPr>
        <w:spacing w:after="120" w:line="240" w:lineRule="auto"/>
        <w:ind w:left="1170" w:hanging="117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Table 09:</w:t>
        <w:tab/>
        <w:t xml:space="preserve">Mean blood lead and mineral level (µg/dl or mg/dl) in pups of different groups </w:t>
      </w:r>
    </w:p>
    <w:tbl>
      <w:tblPr>
        <w:tblStyle w:val="Table10"/>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8"/>
        <w:gridCol w:w="2258"/>
        <w:gridCol w:w="2270"/>
        <w:gridCol w:w="2110"/>
        <w:tblGridChange w:id="0">
          <w:tblGrid>
            <w:gridCol w:w="2378"/>
            <w:gridCol w:w="2258"/>
            <w:gridCol w:w="2270"/>
            <w:gridCol w:w="2110"/>
          </w:tblGrid>
        </w:tblGridChange>
      </w:tblGrid>
      <w:tr>
        <w:trPr>
          <w:cantSplit w:val="0"/>
          <w:trHeight w:val="20" w:hRule="atLeast"/>
          <w:tblHeader w:val="0"/>
        </w:trPr>
        <w:tc>
          <w:tcPr>
            <w:vMerge w:val="restart"/>
            <w:tcMar>
              <w:top w:w="15.0" w:type="dxa"/>
              <w:left w:w="15.0" w:type="dxa"/>
              <w:bottom w:w="15.0" w:type="dxa"/>
              <w:right w:w="15.0" w:type="dxa"/>
            </w:tcMar>
            <w:vAlign w:val="center"/>
          </w:tcPr>
          <w:p w:rsidR="00000000" w:rsidDel="00000000" w:rsidP="00000000" w:rsidRDefault="00000000" w:rsidRPr="00000000" w14:paraId="00000155">
            <w:pPr>
              <w:spacing w:after="0" w:line="240" w:lineRule="auto"/>
              <w:ind w:left="103" w:firstLine="1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Parameter</w:t>
            </w:r>
            <w:r w:rsidDel="00000000" w:rsidR="00000000" w:rsidRPr="00000000">
              <w:rPr>
                <w:rtl w:val="0"/>
              </w:rPr>
            </w:r>
          </w:p>
        </w:tc>
        <w:tc>
          <w:tcPr>
            <w:gridSpan w:val="3"/>
            <w:tcMar>
              <w:top w:w="15.0" w:type="dxa"/>
              <w:left w:w="15.0" w:type="dxa"/>
              <w:bottom w:w="15.0" w:type="dxa"/>
              <w:right w:w="15.0" w:type="dxa"/>
            </w:tcMar>
            <w:vAlign w:val="center"/>
          </w:tcPr>
          <w:p w:rsidR="00000000" w:rsidDel="00000000" w:rsidP="00000000" w:rsidRDefault="00000000" w:rsidRPr="00000000" w14:paraId="00000156">
            <w:pPr>
              <w:spacing w:after="0" w:line="240" w:lineRule="auto"/>
              <w:ind w:hanging="2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(Mean ± SE)</w:t>
            </w:r>
            <w:r w:rsidDel="00000000" w:rsidR="00000000" w:rsidRPr="00000000">
              <w:rPr>
                <w:rtl w:val="0"/>
              </w:rPr>
            </w:r>
          </w:p>
        </w:tc>
      </w:tr>
      <w:tr>
        <w:trPr>
          <w:cantSplit w:val="0"/>
          <w:trHeight w:val="2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5A">
            <w:pPr>
              <w:spacing w:after="0" w:line="240" w:lineRule="auto"/>
              <w:ind w:hanging="24"/>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w:t>
            </w:r>
          </w:p>
        </w:tc>
        <w:tc>
          <w:tcPr>
            <w:tcMar>
              <w:top w:w="15.0" w:type="dxa"/>
              <w:left w:w="15.0" w:type="dxa"/>
              <w:bottom w:w="15.0" w:type="dxa"/>
              <w:right w:w="15.0" w:type="dxa"/>
            </w:tcMar>
            <w:vAlign w:val="center"/>
          </w:tcPr>
          <w:p w:rsidR="00000000" w:rsidDel="00000000" w:rsidP="00000000" w:rsidRDefault="00000000" w:rsidRPr="00000000" w14:paraId="0000015B">
            <w:pPr>
              <w:spacing w:after="0" w:line="240" w:lineRule="auto"/>
              <w:ind w:hanging="24"/>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II</w:t>
            </w:r>
          </w:p>
        </w:tc>
        <w:tc>
          <w:tcPr>
            <w:tcMar>
              <w:top w:w="15.0" w:type="dxa"/>
              <w:left w:w="15.0" w:type="dxa"/>
              <w:bottom w:w="15.0" w:type="dxa"/>
              <w:right w:w="15.0" w:type="dxa"/>
            </w:tcMar>
            <w:vAlign w:val="center"/>
          </w:tcPr>
          <w:p w:rsidR="00000000" w:rsidDel="00000000" w:rsidP="00000000" w:rsidRDefault="00000000" w:rsidRPr="00000000" w14:paraId="0000015C">
            <w:pPr>
              <w:spacing w:after="0" w:line="240" w:lineRule="auto"/>
              <w:ind w:hanging="24"/>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Group III</w:t>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5D">
            <w:pPr>
              <w:spacing w:after="0" w:line="240" w:lineRule="auto"/>
              <w:ind w:left="103" w:firstLine="13.00000000000000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Lead (µg/dl)</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5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001.780</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 0.018</w:t>
            </w:r>
          </w:p>
        </w:tc>
        <w:tc>
          <w:tcPr>
            <w:tcMar>
              <w:top w:w="15.0" w:type="dxa"/>
              <w:left w:w="15.0" w:type="dxa"/>
              <w:bottom w:w="15.0" w:type="dxa"/>
              <w:right w:w="15.0" w:type="dxa"/>
            </w:tcMar>
            <w:vAlign w:val="center"/>
          </w:tcPr>
          <w:p w:rsidR="00000000" w:rsidDel="00000000" w:rsidP="00000000" w:rsidRDefault="00000000" w:rsidRPr="00000000" w14:paraId="0000015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005.104</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 0.029</w:t>
            </w:r>
          </w:p>
        </w:tc>
        <w:tc>
          <w:tcPr>
            <w:tcMar>
              <w:top w:w="15.0" w:type="dxa"/>
              <w:left w:w="15.0" w:type="dxa"/>
              <w:bottom w:w="15.0" w:type="dxa"/>
              <w:right w:w="15.0" w:type="dxa"/>
            </w:tcMar>
            <w:vAlign w:val="center"/>
          </w:tcPr>
          <w:p w:rsidR="00000000" w:rsidDel="00000000" w:rsidP="00000000" w:rsidRDefault="00000000" w:rsidRPr="00000000" w14:paraId="0000016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003.45</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 0.032</w:t>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61">
            <w:pPr>
              <w:spacing w:after="0" w:line="240" w:lineRule="auto"/>
              <w:ind w:left="103" w:firstLine="13.00000000000000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Calcium (mg/dl)</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6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010.13</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 0.04</w:t>
            </w:r>
          </w:p>
        </w:tc>
        <w:tc>
          <w:tcPr>
            <w:tcMar>
              <w:top w:w="15.0" w:type="dxa"/>
              <w:left w:w="15.0" w:type="dxa"/>
              <w:bottom w:w="15.0" w:type="dxa"/>
              <w:right w:w="15.0" w:type="dxa"/>
            </w:tcMar>
            <w:vAlign w:val="center"/>
          </w:tcPr>
          <w:p w:rsidR="00000000" w:rsidDel="00000000" w:rsidP="00000000" w:rsidRDefault="00000000" w:rsidRPr="00000000" w14:paraId="0000016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007.54</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 0.07</w:t>
            </w:r>
          </w:p>
        </w:tc>
        <w:tc>
          <w:tcPr>
            <w:tcMar>
              <w:top w:w="15.0" w:type="dxa"/>
              <w:left w:w="15.0" w:type="dxa"/>
              <w:bottom w:w="15.0" w:type="dxa"/>
              <w:right w:w="15.0" w:type="dxa"/>
            </w:tcMar>
            <w:vAlign w:val="center"/>
          </w:tcPr>
          <w:p w:rsidR="00000000" w:rsidDel="00000000" w:rsidP="00000000" w:rsidRDefault="00000000" w:rsidRPr="00000000" w14:paraId="0000016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008.31</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 0.04</w:t>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65">
            <w:pPr>
              <w:spacing w:after="0" w:line="240" w:lineRule="auto"/>
              <w:ind w:left="103" w:firstLine="13.00000000000000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Copper (µg/dl)</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6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115.42</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 1.85</w:t>
            </w:r>
          </w:p>
        </w:tc>
        <w:tc>
          <w:tcPr>
            <w:tcMar>
              <w:top w:w="15.0" w:type="dxa"/>
              <w:left w:w="15.0" w:type="dxa"/>
              <w:bottom w:w="15.0" w:type="dxa"/>
              <w:right w:w="15.0" w:type="dxa"/>
            </w:tcMar>
            <w:vAlign w:val="center"/>
          </w:tcPr>
          <w:p w:rsidR="00000000" w:rsidDel="00000000" w:rsidP="00000000" w:rsidRDefault="00000000" w:rsidRPr="00000000" w14:paraId="0000016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93.31</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 0.66</w:t>
            </w:r>
          </w:p>
        </w:tc>
        <w:tc>
          <w:tcPr>
            <w:tcMar>
              <w:top w:w="15.0" w:type="dxa"/>
              <w:left w:w="15.0" w:type="dxa"/>
              <w:bottom w:w="15.0" w:type="dxa"/>
              <w:right w:w="15.0" w:type="dxa"/>
            </w:tcMar>
            <w:vAlign w:val="center"/>
          </w:tcPr>
          <w:p w:rsidR="00000000" w:rsidDel="00000000" w:rsidP="00000000" w:rsidRDefault="00000000" w:rsidRPr="00000000" w14:paraId="0000016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106.31</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 1.61</w:t>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69">
            <w:pPr>
              <w:spacing w:after="0" w:line="240" w:lineRule="auto"/>
              <w:ind w:left="103" w:firstLine="13.00000000000000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Zinc (µg/dl)</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6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081.99</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 0.93</w:t>
            </w:r>
          </w:p>
        </w:tc>
        <w:tc>
          <w:tcPr>
            <w:tcMar>
              <w:top w:w="15.0" w:type="dxa"/>
              <w:left w:w="15.0" w:type="dxa"/>
              <w:bottom w:w="15.0" w:type="dxa"/>
              <w:right w:w="15.0" w:type="dxa"/>
            </w:tcMar>
            <w:vAlign w:val="center"/>
          </w:tcPr>
          <w:p w:rsidR="00000000" w:rsidDel="00000000" w:rsidP="00000000" w:rsidRDefault="00000000" w:rsidRPr="00000000" w14:paraId="0000016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049.39</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 0.12</w:t>
            </w:r>
          </w:p>
        </w:tc>
        <w:tc>
          <w:tcPr>
            <w:tcMar>
              <w:top w:w="15.0" w:type="dxa"/>
              <w:left w:w="15.0" w:type="dxa"/>
              <w:bottom w:w="15.0" w:type="dxa"/>
              <w:right w:w="15.0" w:type="dxa"/>
            </w:tcMar>
            <w:vAlign w:val="center"/>
          </w:tcPr>
          <w:p w:rsidR="00000000" w:rsidDel="00000000" w:rsidP="00000000" w:rsidRDefault="00000000" w:rsidRPr="00000000" w14:paraId="0000016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056.55</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 3.06</w:t>
            </w:r>
          </w:p>
        </w:tc>
      </w:tr>
      <w:tr>
        <w:trPr>
          <w:cantSplit w:val="0"/>
          <w:trHeight w:val="20" w:hRule="atLeast"/>
          <w:tblHeader w:val="0"/>
        </w:trPr>
        <w:tc>
          <w:tcPr>
            <w:tcMar>
              <w:top w:w="15.0" w:type="dxa"/>
              <w:left w:w="15.0" w:type="dxa"/>
              <w:bottom w:w="15.0" w:type="dxa"/>
              <w:right w:w="15.0" w:type="dxa"/>
            </w:tcMar>
            <w:vAlign w:val="center"/>
          </w:tcPr>
          <w:p w:rsidR="00000000" w:rsidDel="00000000" w:rsidP="00000000" w:rsidRDefault="00000000" w:rsidRPr="00000000" w14:paraId="0000016D">
            <w:pPr>
              <w:spacing w:after="0" w:line="240" w:lineRule="auto"/>
              <w:ind w:left="103" w:firstLine="13.00000000000000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Iron (µg/dl)</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6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145.26</w:t>
            </w:r>
            <w:r w:rsidDel="00000000" w:rsidR="00000000" w:rsidRPr="00000000">
              <w:rPr>
                <w:rFonts w:ascii="Times New Roman" w:cs="Times New Roman" w:eastAsia="Times New Roman" w:hAnsi="Times New Roman"/>
                <w:color w:val="000000"/>
                <w:sz w:val="24"/>
                <w:szCs w:val="24"/>
                <w:vertAlign w:val="super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 0.93</w:t>
            </w:r>
          </w:p>
        </w:tc>
        <w:tc>
          <w:tcPr>
            <w:tcMar>
              <w:top w:w="15.0" w:type="dxa"/>
              <w:left w:w="15.0" w:type="dxa"/>
              <w:bottom w:w="15.0" w:type="dxa"/>
              <w:right w:w="15.0" w:type="dxa"/>
            </w:tcMar>
            <w:vAlign w:val="center"/>
          </w:tcPr>
          <w:p w:rsidR="00000000" w:rsidDel="00000000" w:rsidP="00000000" w:rsidRDefault="00000000" w:rsidRPr="00000000" w14:paraId="0000016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120.34</w:t>
            </w:r>
            <w:r w:rsidDel="00000000" w:rsidR="00000000" w:rsidRPr="00000000">
              <w:rPr>
                <w:rFonts w:ascii="Times New Roman" w:cs="Times New Roman" w:eastAsia="Times New Roman" w:hAnsi="Times New Roman"/>
                <w:color w:val="000000"/>
                <w:sz w:val="24"/>
                <w:szCs w:val="24"/>
                <w:vertAlign w:val="superscript"/>
                <w:rtl w:val="0"/>
              </w:rPr>
              <w:t xml:space="preserve">c</w:t>
            </w:r>
            <w:r w:rsidDel="00000000" w:rsidR="00000000" w:rsidRPr="00000000">
              <w:rPr>
                <w:rFonts w:ascii="Times New Roman" w:cs="Times New Roman" w:eastAsia="Times New Roman" w:hAnsi="Times New Roman"/>
                <w:color w:val="000000"/>
                <w:sz w:val="24"/>
                <w:szCs w:val="24"/>
                <w:rtl w:val="0"/>
              </w:rPr>
              <w:t xml:space="preserve"> ± 0.89</w:t>
            </w:r>
          </w:p>
        </w:tc>
        <w:tc>
          <w:tcPr>
            <w:tcMar>
              <w:top w:w="15.0" w:type="dxa"/>
              <w:left w:w="15.0" w:type="dxa"/>
              <w:bottom w:w="15.0" w:type="dxa"/>
              <w:right w:w="15.0" w:type="dxa"/>
            </w:tcMar>
            <w:vAlign w:val="center"/>
          </w:tcPr>
          <w:p w:rsidR="00000000" w:rsidDel="00000000" w:rsidP="00000000" w:rsidRDefault="00000000" w:rsidRPr="00000000" w14:paraId="0000017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130.87</w:t>
            </w:r>
            <w:r w:rsidDel="00000000" w:rsidR="00000000" w:rsidRPr="00000000">
              <w:rPr>
                <w:rFonts w:ascii="Times New Roman" w:cs="Times New Roman" w:eastAsia="Times New Roman" w:hAnsi="Times New Roman"/>
                <w:color w:val="000000"/>
                <w:sz w:val="24"/>
                <w:szCs w:val="24"/>
                <w:vertAlign w:val="super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 0.91</w:t>
            </w:r>
          </w:p>
        </w:tc>
      </w:tr>
    </w:tbl>
    <w:p w:rsidR="00000000" w:rsidDel="00000000" w:rsidP="00000000" w:rsidRDefault="00000000" w:rsidRPr="00000000" w14:paraId="00000171">
      <w:pPr>
        <w:spacing w:after="120" w:line="360" w:lineRule="auto"/>
        <w:ind w:firstLine="720"/>
        <w:jc w:val="both"/>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Means with different superscripts in columns differ significantly</w:t>
      </w:r>
      <w:sdt>
        <w:sdtPr>
          <w:id w:val="1783869418"/>
          <w:tag w:val="goog_rdk_12"/>
        </w:sdtPr>
        <w:sdtContent>
          <w:r w:rsidDel="00000000" w:rsidR="00000000" w:rsidRPr="00000000">
            <w:rPr>
              <w:rFonts w:ascii="Gungsuh" w:cs="Gungsuh" w:eastAsia="Gungsuh" w:hAnsi="Gungsuh"/>
              <w:i w:val="1"/>
              <w:iCs w:val="1"/>
              <w:color w:val="000000"/>
              <w:sz w:val="20"/>
              <w:szCs w:val="20"/>
              <w:rtl w:val="0"/>
            </w:rPr>
            <w:t xml:space="preserve"> (p≤0.05)</w:t>
          </w:r>
        </w:sdtContent>
      </w:sdt>
    </w:p>
    <w:p w:rsidR="00000000" w:rsidDel="00000000" w:rsidP="00000000" w:rsidRDefault="00000000" w:rsidRPr="00000000" w14:paraId="00000172">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 Discussion</w:t>
      </w:r>
    </w:p>
    <w:p w:rsidR="00000000" w:rsidDel="00000000" w:rsidP="00000000" w:rsidRDefault="00000000" w:rsidRPr="00000000" w14:paraId="0000017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 study demonstrates that perinatal exposure to lead acetate produces marked systemic and developmental toxicity in pregnant Wistar rats and their offspring, characterized by reduced maternal body weight gain, impaired pup growth, adverse litter parameters, Haematological depression, elevated blood lead burden, and disruption of essential mineral balance. Dietary supplementation with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produced significant but partial amelioration across most measured parameters, indicating its supportive protective role.</w:t>
      </w:r>
    </w:p>
    <w:p w:rsidR="00000000" w:rsidDel="00000000" w:rsidP="00000000" w:rsidRDefault="00000000" w:rsidRPr="00000000" w14:paraId="0000017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Maternal body weight and weekly body weight gain were significantly reduced in lead-exposed dams, particularly during later gestation and lactation. Episodes of negative weight gain observed in exposed animals indicate a catabolic physiological state and metabolic stress during exposure. Similar reductions in maternal weight gain following gestational lead exposure have been reported previously (Aprioku and Siminialayi, 2013; Gargouri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2016; Aglan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 These effects are commonly attributed to reduced feed and water intake, gastrointestinal dysfunction, impaired nutrient absorption, and altered metabolic efficiency associated with heavy metal toxicity (Marchlewicz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2004; Elrasoul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The improvement in maternal weight gain observed in the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supplemented group suggests nutritional and antioxidant support that may enhance metabolic resilience under toxic stress.</w:t>
      </w:r>
    </w:p>
    <w:p w:rsidR="00000000" w:rsidDel="00000000" w:rsidP="00000000" w:rsidRDefault="00000000" w:rsidRPr="00000000" w14:paraId="0000017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Offspring growth parameters in the present study showed clear evidence of developmental toxicity. Lead-exposed pups had significantly lower birth weight and reduced weekly weight gain throughout the postnatal observation period. Growth retardation following perinatal lead exposure has been widely documented (Dhir and Dhand, 2010; Hossain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2016; Aglan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 Placental transfer of lead, oxidative stress, endocrine disruption, and altered maternal care behavior are considered major contributing mechanisms. The partial restoration of pup growth and weekly weight gain in the </w:t>
      </w:r>
      <w:r w:rsidDel="00000000" w:rsidR="00000000" w:rsidRPr="00000000">
        <w:rPr>
          <w:rFonts w:ascii="Times New Roman" w:cs="Times New Roman" w:eastAsia="Times New Roman" w:hAnsi="Times New Roman"/>
          <w:i w:val="1"/>
          <w:iCs w:val="1"/>
          <w:sz w:val="24"/>
          <w:szCs w:val="24"/>
          <w:rtl w:val="0"/>
        </w:rPr>
        <w:t xml:space="preserve">Moringa</w:t>
      </w:r>
      <w:r w:rsidDel="00000000" w:rsidR="00000000" w:rsidRPr="00000000">
        <w:rPr>
          <w:rFonts w:ascii="Times New Roman" w:cs="Times New Roman" w:eastAsia="Times New Roman" w:hAnsi="Times New Roman"/>
          <w:sz w:val="24"/>
          <w:szCs w:val="24"/>
          <w:rtl w:val="0"/>
        </w:rPr>
        <w:t xml:space="preserve"> supplemented group is consistent with reports that nutritional and antioxidant supplementation can mitigate heavy metal–induced developmental suppression (Helal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Ejike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2023).</w:t>
      </w:r>
    </w:p>
    <w:p w:rsidR="00000000" w:rsidDel="00000000" w:rsidP="00000000" w:rsidRDefault="00000000" w:rsidRPr="00000000" w14:paraId="0000017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Litter parameters further supported reproductive and neonatal toxicity in the lead-treated group, as evidenced by reduced litter size, decreased litter weight, increased pup mortality, and higher incidence of maternal cannibalism. Comparable reductions in litter size and survival following gestational lead exposure have been reported by Teijon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(2006), Aprioku and Siminialayi (2013), and Dhir and Dhand (2010). Lead crosses the placental barrier and accumulates in reproductive tissues and placenta, where it induces oxidative and degenerative changes that contribute to implantation failure, fetal loss, and weak neonates. Lead-induced neurobehavioral alterations in dams may also impair maternal care and increase pup mortality and cannibalism (Numan and Stolzenberg, 2009; Taroco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2015). The partial improvement in litter outcomes observed with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supplementation supports its protective nutritional and antioxidant role, although the persistence of subnormal values indicates incomplete reversal of toxic effects.</w:t>
      </w:r>
    </w:p>
    <w:p w:rsidR="00000000" w:rsidDel="00000000" w:rsidP="00000000" w:rsidRDefault="00000000" w:rsidRPr="00000000" w14:paraId="0000017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Haematological findings in both dams and pups revealed significant reductions in haemoglobin, total erythrocyte count, and packed cell volume in the lead-exposed group, indicating lead-induced anemia. These findings are in agreement with earlier reports describing hematotoxic effects of lead exposure (Masso-Gonzalez and Antonio-Garcia, 2009; Jassim and Hassan, 2011; Ilesanmi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 Lead interferes with heme biosynthesis by inhibiting key enzymes, including δ-aminolevulinic acid dehydratase and ferrochelatase, and promotes erythrocyte membrane damage and hemolysis (Aladaileh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The significant improvement in Haematological indices in the </w:t>
      </w:r>
      <w:r w:rsidDel="00000000" w:rsidR="00000000" w:rsidRPr="00000000">
        <w:rPr>
          <w:rFonts w:ascii="Times New Roman" w:cs="Times New Roman" w:eastAsia="Times New Roman" w:hAnsi="Times New Roman"/>
          <w:i w:val="1"/>
          <w:iCs w:val="1"/>
          <w:sz w:val="24"/>
          <w:szCs w:val="24"/>
          <w:rtl w:val="0"/>
        </w:rPr>
        <w:t xml:space="preserve">Moringa</w:t>
      </w:r>
      <w:r w:rsidDel="00000000" w:rsidR="00000000" w:rsidRPr="00000000">
        <w:rPr>
          <w:rFonts w:ascii="Times New Roman" w:cs="Times New Roman" w:eastAsia="Times New Roman" w:hAnsi="Times New Roman"/>
          <w:sz w:val="24"/>
          <w:szCs w:val="24"/>
          <w:rtl w:val="0"/>
        </w:rPr>
        <w:t xml:space="preserve"> supplemented group may be attributed to its high iron and micronutrient content and antioxidant phytochemicals that support erythropoiesis and reduce oxidative damage to blood cells (Gopalakrishnan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2016; Abubakar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However, incomplete normalization suggests that supplementation provides supportive rather than complete Haematological protection under continued toxic exposure.</w:t>
      </w:r>
    </w:p>
    <w:p w:rsidR="00000000" w:rsidDel="00000000" w:rsidP="00000000" w:rsidRDefault="00000000" w:rsidRPr="00000000" w14:paraId="0000017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Blood lead concentrations were markedly elevated in exposed animals, confirming effective systemic absorption and transfer during gestation and lactation, consistent with previous experimental findings (Antonio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2003; Rahman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 The significant reduction in blood lead levels in the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supplemented group suggests a potential role in reducing lead bioavailability or enhancing elimination. This effect may be related to plant phytochemicals with metal-binding capacity and improved antioxidant defense, as reported in earlier studies of plant-based interventions in heavy metal toxicity (Helal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Ejike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2023).</w:t>
      </w:r>
    </w:p>
    <w:p w:rsidR="00000000" w:rsidDel="00000000" w:rsidP="00000000" w:rsidRDefault="00000000" w:rsidRPr="00000000" w14:paraId="0000017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important additional finding of the present study was the disruption of essential mineral balance in lead-exposed animals, including reductions in calcium, iron, zinc, and copper levels. Lead is known to compete with and displace essential divalent cations, particularly calcium and iron, thereby altering enzymatic function and metabolic regulation (Ouyang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2019). Iron depletion contributes directly to impaired haemoglobin synthesis, while altered calcium and zinc balance affects multiple cellular processes. The partial restoration of mineral levels observed in the </w:t>
      </w:r>
      <w:r w:rsidDel="00000000" w:rsidR="00000000" w:rsidRPr="00000000">
        <w:rPr>
          <w:rFonts w:ascii="Times New Roman" w:cs="Times New Roman" w:eastAsia="Times New Roman" w:hAnsi="Times New Roman"/>
          <w:i w:val="1"/>
          <w:iCs w:val="1"/>
          <w:sz w:val="24"/>
          <w:szCs w:val="24"/>
          <w:rtl w:val="0"/>
        </w:rPr>
        <w:t xml:space="preserve">Moringa</w:t>
      </w:r>
      <w:r w:rsidDel="00000000" w:rsidR="00000000" w:rsidRPr="00000000">
        <w:rPr>
          <w:rFonts w:ascii="Times New Roman" w:cs="Times New Roman" w:eastAsia="Times New Roman" w:hAnsi="Times New Roman"/>
          <w:sz w:val="24"/>
          <w:szCs w:val="24"/>
          <w:rtl w:val="0"/>
        </w:rPr>
        <w:t xml:space="preserve"> supplemented group is likely related to its high mineral content and improved nutritional status, which may help counteract lead-induced mineral displacement.</w:t>
      </w:r>
    </w:p>
    <w:p w:rsidR="00000000" w:rsidDel="00000000" w:rsidP="00000000" w:rsidRDefault="00000000" w:rsidRPr="00000000" w14:paraId="0000017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Taken together, the findings of the present study indicate that perinatal lead exposure produces a broad spectrum of systemic and developmental toxic effects involving growth suppression, reproductive impairment, Haematological depression, elevated toxic metal burden, and mineral imbalance.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supplementation produced consistent partial amelioration across these domains, supporting its role as a beneficial nutritional adjunct. However, the persistence of significant differences from control values across most parameters indicates that nutritional supplementation alone cannot fully counteract substantial lead exposure and should be viewed as supportive rather than curative.</w:t>
      </w:r>
    </w:p>
    <w:p w:rsidR="00000000" w:rsidDel="00000000" w:rsidP="00000000" w:rsidRDefault="00000000" w:rsidRPr="00000000" w14:paraId="0000017B">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Importance of the Study</w:t>
      </w:r>
    </w:p>
    <w:p w:rsidR="00000000" w:rsidDel="00000000" w:rsidP="00000000" w:rsidRDefault="00000000" w:rsidRPr="00000000" w14:paraId="0000017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 exposure remains a significant environmental health concern due to its persistence and ability to disrupt multiple physiological systems, particularly during pregnancy and early development. Perinatal exposure can adversely affect maternal health, offspring growth, hematological status, and mineral homeostasis. Understanding these systemic effects is important for evaluating the broader biological impact of lead toxicity. The present study provides experimental evidence on the influence of lead exposure on maternal and offspring growth performance, hematological parameters, blood lead burden, and essential mineral balance. Furthermore, the study highlights the potential role of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a nutritionally rich plant with antioxidant properties, as a supportive dietary intervention to mitigate lead-induced systemic alterations. These findings contribute to the growing body of knowledge on heavy metal toxicity and explore the potential of natural nutritional strategies for reducing toxic effects during critical developmental stages</w:t>
      </w:r>
    </w:p>
    <w:p w:rsidR="00000000" w:rsidDel="00000000" w:rsidP="00000000" w:rsidRDefault="00000000" w:rsidRPr="00000000" w14:paraId="0000017D">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5. Conclusion</w:t>
      </w:r>
    </w:p>
    <w:p w:rsidR="00000000" w:rsidDel="00000000" w:rsidP="00000000" w:rsidRDefault="00000000" w:rsidRPr="00000000" w14:paraId="0000017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 study demonstrates that perinatal exposure to lead acetate in Wistar rats results in significant systemic and developmental toxicity as reflected by reduced maternal body weight gain, decreased pup growth and weekly weight gain, impaired litter parameters, increased pup mortality, Haematological depression, elevated blood lead concentration, and reduction in essential blood mineral levels. These findings indicate that gestational and lactational lead exposure adversely affects growth performance, offspring survival, blood profile, and mineral homeostasis in both dams and pups.</w:t>
      </w:r>
    </w:p>
    <w:p w:rsidR="00000000" w:rsidDel="00000000" w:rsidP="00000000" w:rsidRDefault="00000000" w:rsidRPr="00000000" w14:paraId="0000017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Dietary supplementation with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produced significant improvement in maternal and pup growth indices, litter outcomes, Haematological parameters, and blood mineral status, along with a measurable reduction in blood lead burden compared with lead-only exposed animals. However, since most measured parameters did not completely return to control levels, the protective effect should be regarded as partial.</w:t>
      </w:r>
    </w:p>
    <w:p w:rsidR="00000000" w:rsidDel="00000000" w:rsidP="00000000" w:rsidRDefault="00000000" w:rsidRPr="00000000" w14:paraId="0000018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results support the role of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as a supportive nutritional intervention for mitigating lead-induced alterations in growth, hematological, and mineral parameters, while emphasizing that exposure reduction remains the primary requirement for effective prevention.</w:t>
      </w:r>
    </w:p>
    <w:p w:rsidR="00000000" w:rsidDel="00000000" w:rsidP="00000000" w:rsidRDefault="00000000" w:rsidRPr="00000000" w14:paraId="00000181">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Future Scope</w:t>
      </w:r>
    </w:p>
    <w:p w:rsidR="00000000" w:rsidDel="00000000" w:rsidP="00000000" w:rsidRDefault="00000000" w:rsidRPr="00000000" w14:paraId="0000018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studies may focus on understanding the long-term effects of early life lead exposure and nutritional intervention on later stages of growth, reproduction, and overall health. Further research is also needed to investigate the biological mechanisms responsible for lead-induced alterations in haematological parameters and mineral balance. Detailed studies on oxidative stress markers, antioxidant systems, and gene expression may help explain how </w:t>
      </w:r>
      <w:r w:rsidDel="00000000" w:rsidR="00000000" w:rsidRPr="00000000">
        <w:rPr>
          <w:rFonts w:ascii="Times New Roman" w:cs="Times New Roman" w:eastAsia="Times New Roman" w:hAnsi="Times New Roman"/>
          <w:i w:val="1"/>
          <w:iCs w:val="1"/>
          <w:sz w:val="24"/>
          <w:szCs w:val="24"/>
          <w:rtl w:val="0"/>
        </w:rPr>
        <w:t xml:space="preserve">Moringa oleifera</w:t>
      </w:r>
      <w:r w:rsidDel="00000000" w:rsidR="00000000" w:rsidRPr="00000000">
        <w:rPr>
          <w:rFonts w:ascii="Times New Roman" w:cs="Times New Roman" w:eastAsia="Times New Roman" w:hAnsi="Times New Roman"/>
          <w:sz w:val="24"/>
          <w:szCs w:val="24"/>
          <w:rtl w:val="0"/>
        </w:rPr>
        <w:t xml:space="preserve"> exerts its protective effects and support its potential use as a nutritional approach to reduce heavy metal toxicity.</w:t>
      </w:r>
    </w:p>
    <w:p w:rsidR="00000000" w:rsidDel="00000000" w:rsidP="00000000" w:rsidRDefault="00000000" w:rsidRPr="00000000" w14:paraId="00000183">
      <w:pPr>
        <w:jc w:val="both"/>
        <w:rPr>
          <w:rFonts w:ascii="Times New Roman" w:cs="Times New Roman" w:eastAsia="Times New Roman" w:hAnsi="Times New Roman"/>
          <w:sz w:val="24"/>
          <w:szCs w:val="24"/>
        </w:rPr>
      </w:pPr>
      <w:bookmarkStart w:colFirst="0" w:colLast="0" w:name="_heading=h.s4bcxv9g8sbv" w:id="0"/>
      <w:bookmarkEnd w:id="0"/>
      <w:r w:rsidDel="00000000" w:rsidR="00000000" w:rsidRPr="00000000">
        <w:rPr>
          <w:rtl w:val="0"/>
        </w:rPr>
      </w:r>
    </w:p>
    <w:p w:rsidR="00000000" w:rsidDel="00000000" w:rsidP="00000000" w:rsidRDefault="00000000" w:rsidRPr="00000000" w14:paraId="00000184">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p>
    <w:p w:rsidR="00000000" w:rsidDel="00000000" w:rsidP="00000000" w:rsidRDefault="00000000" w:rsidRPr="00000000" w14:paraId="00000185">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Abubakar, K., Mailafiya, M.M., Chiroma, S.M., Danmaigoro, A., Zyoud, T.Y., Abdul Rahim, E. and Abu Bakar Zakaria, M.Z. (2020). Ameliorative effect of curcumin on lead‐induced haematological and hepatorenal toxicity in a rat model. </w:t>
      </w:r>
      <w:r w:rsidDel="00000000" w:rsidR="00000000" w:rsidRPr="00000000">
        <w:rPr>
          <w:rFonts w:ascii="Times New Roman" w:cs="Times New Roman" w:eastAsia="Times New Roman" w:hAnsi="Times New Roman"/>
          <w:i w:val="1"/>
          <w:iCs w:val="1"/>
          <w:rtl w:val="0"/>
        </w:rPr>
        <w:t xml:space="preserve">Journal of Biochemical and Molecular Toxicology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34</w:t>
      </w:r>
      <w:r w:rsidDel="00000000" w:rsidR="00000000" w:rsidRPr="00000000">
        <w:rPr>
          <w:rFonts w:ascii="Times New Roman" w:cs="Times New Roman" w:eastAsia="Times New Roman" w:hAnsi="Times New Roman"/>
          <w:rtl w:val="0"/>
        </w:rPr>
        <w:t xml:space="preserve">(6): 22483.</w:t>
      </w:r>
    </w:p>
    <w:p w:rsidR="00000000" w:rsidDel="00000000" w:rsidP="00000000" w:rsidRDefault="00000000" w:rsidRPr="00000000" w14:paraId="00000186">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Aglan, H.S., Safar, M.M., Ain‐Shoka, A.A.M., Kandil, A.M., Gebremedhn, S., Salilew‐Wondim, D., Schellander, K. and Tesfaye, D. (2021). Developmental toxicity of lead in rats after gestational exposure and the protective role of taurine. </w:t>
      </w:r>
      <w:r w:rsidDel="00000000" w:rsidR="00000000" w:rsidRPr="00000000">
        <w:rPr>
          <w:rFonts w:ascii="Times New Roman" w:cs="Times New Roman" w:eastAsia="Times New Roman" w:hAnsi="Times New Roman"/>
          <w:i w:val="1"/>
          <w:iCs w:val="1"/>
          <w:rtl w:val="0"/>
        </w:rPr>
        <w:t xml:space="preserve">Journal of Biochemical and Molecular Toxicology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35</w:t>
      </w:r>
      <w:r w:rsidDel="00000000" w:rsidR="00000000" w:rsidRPr="00000000">
        <w:rPr>
          <w:rFonts w:ascii="Times New Roman" w:cs="Times New Roman" w:eastAsia="Times New Roman" w:hAnsi="Times New Roman"/>
          <w:rtl w:val="0"/>
        </w:rPr>
        <w:t xml:space="preserve">(8): 22816.</w:t>
      </w:r>
    </w:p>
    <w:p w:rsidR="00000000" w:rsidDel="00000000" w:rsidP="00000000" w:rsidRDefault="00000000" w:rsidRPr="00000000" w14:paraId="00000187">
      <w:pPr>
        <w:spacing w:after="100" w:before="10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Aladaileh, S.H., Khafaga, A.F., Abd El-Hack, M.E., Al-Gabri, N.A., Abukhalil, M.H., Alfwuaires, M.A. and Abdelnour, S. (2020). </w:t>
      </w:r>
      <w:r w:rsidDel="00000000" w:rsidR="00000000" w:rsidRPr="00000000">
        <w:rPr>
          <w:rFonts w:ascii="Times New Roman" w:cs="Times New Roman" w:eastAsia="Times New Roman" w:hAnsi="Times New Roman"/>
          <w:i w:val="1"/>
          <w:iCs w:val="1"/>
          <w:color w:val="000000"/>
          <w:rtl w:val="0"/>
        </w:rPr>
        <w:t xml:space="preserve">Spirulina platensis</w:t>
      </w:r>
      <w:r w:rsidDel="00000000" w:rsidR="00000000" w:rsidRPr="00000000">
        <w:rPr>
          <w:rFonts w:ascii="Times New Roman" w:cs="Times New Roman" w:eastAsia="Times New Roman" w:hAnsi="Times New Roman"/>
          <w:color w:val="000000"/>
          <w:rtl w:val="0"/>
        </w:rPr>
        <w:t xml:space="preserve"> ameliorates the sub chronic toxicities of lead in rabbits via anti-oxidative, anti-inflammatory and immune stimulatory properties. </w:t>
      </w:r>
      <w:r w:rsidDel="00000000" w:rsidR="00000000" w:rsidRPr="00000000">
        <w:rPr>
          <w:rFonts w:ascii="Times New Roman" w:cs="Times New Roman" w:eastAsia="Times New Roman" w:hAnsi="Times New Roman"/>
          <w:i w:val="1"/>
          <w:iCs w:val="1"/>
          <w:color w:val="000000"/>
          <w:rtl w:val="0"/>
        </w:rPr>
        <w:t xml:space="preserve">Science of the Total Environment</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701</w:t>
      </w:r>
      <w:r w:rsidDel="00000000" w:rsidR="00000000" w:rsidRPr="00000000">
        <w:rPr>
          <w:rFonts w:ascii="Times New Roman" w:cs="Times New Roman" w:eastAsia="Times New Roman" w:hAnsi="Times New Roman"/>
          <w:color w:val="000000"/>
          <w:rtl w:val="0"/>
        </w:rPr>
        <w:t xml:space="preserve">(1): 134879. </w:t>
      </w:r>
    </w:p>
    <w:p w:rsidR="00000000" w:rsidDel="00000000" w:rsidP="00000000" w:rsidRDefault="00000000" w:rsidRPr="00000000" w14:paraId="00000188">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Antonio, M.T., Corredor, L. and Leret, M.L. (2003). Study of the activity of several brain enzymes like markers of the neurotoxicity induced by perinatal exposure to lead and/or cadmium. </w:t>
      </w:r>
      <w:r w:rsidDel="00000000" w:rsidR="00000000" w:rsidRPr="00000000">
        <w:rPr>
          <w:rFonts w:ascii="Times New Roman" w:cs="Times New Roman" w:eastAsia="Times New Roman" w:hAnsi="Times New Roman"/>
          <w:i w:val="1"/>
          <w:iCs w:val="1"/>
          <w:rtl w:val="0"/>
        </w:rPr>
        <w:t xml:space="preserve">Toxicology Letters,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143</w:t>
      </w:r>
      <w:r w:rsidDel="00000000" w:rsidR="00000000" w:rsidRPr="00000000">
        <w:rPr>
          <w:rFonts w:ascii="Times New Roman" w:cs="Times New Roman" w:eastAsia="Times New Roman" w:hAnsi="Times New Roman"/>
          <w:rtl w:val="0"/>
        </w:rPr>
        <w:t xml:space="preserve">(3): 331-340.</w:t>
      </w:r>
    </w:p>
    <w:p w:rsidR="00000000" w:rsidDel="00000000" w:rsidP="00000000" w:rsidRDefault="00000000" w:rsidRPr="00000000" w14:paraId="00000189">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Aprioku, J.S. and Siminialayi, I.M. (2013). Maternal lead exposure and pregnancy outcome in wistar albino rats. </w:t>
      </w:r>
      <w:r w:rsidDel="00000000" w:rsidR="00000000" w:rsidRPr="00000000">
        <w:rPr>
          <w:rFonts w:ascii="Times New Roman" w:cs="Times New Roman" w:eastAsia="Times New Roman" w:hAnsi="Times New Roman"/>
          <w:i w:val="1"/>
          <w:iCs w:val="1"/>
          <w:rtl w:val="0"/>
        </w:rPr>
        <w:t xml:space="preserve">Journal of Toxicology and Environmental Health Sciences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5</w:t>
      </w:r>
      <w:r w:rsidDel="00000000" w:rsidR="00000000" w:rsidRPr="00000000">
        <w:rPr>
          <w:rFonts w:ascii="Times New Roman" w:cs="Times New Roman" w:eastAsia="Times New Roman" w:hAnsi="Times New Roman"/>
          <w:rtl w:val="0"/>
        </w:rPr>
        <w:t xml:space="preserve">(10): 185-193.</w:t>
      </w:r>
    </w:p>
    <w:p w:rsidR="00000000" w:rsidDel="00000000" w:rsidP="00000000" w:rsidRDefault="00000000" w:rsidRPr="00000000" w14:paraId="0000018A">
      <w:pPr>
        <w:spacing w:after="100" w:before="100" w:line="240"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Dhir, V. and Dhand, P. (2010). Toxicological approach in chronic exposure to lead on reproductive functions in female rats (Rattus norvegicus). </w:t>
      </w:r>
      <w:r w:rsidDel="00000000" w:rsidR="00000000" w:rsidRPr="00000000">
        <w:rPr>
          <w:rFonts w:ascii="Times New Roman" w:cs="Times New Roman" w:eastAsia="Times New Roman" w:hAnsi="Times New Roman"/>
          <w:i w:val="1"/>
          <w:iCs w:val="1"/>
          <w:color w:val="000000"/>
          <w:highlight w:val="white"/>
          <w:rtl w:val="0"/>
        </w:rPr>
        <w:t xml:space="preserve">Toxicology International</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b w:val="1"/>
          <w:bCs w:val="1"/>
          <w:color w:val="000000"/>
          <w:highlight w:val="white"/>
          <w:rtl w:val="0"/>
        </w:rPr>
        <w:t xml:space="preserve">17</w:t>
      </w:r>
      <w:r w:rsidDel="00000000" w:rsidR="00000000" w:rsidRPr="00000000">
        <w:rPr>
          <w:rFonts w:ascii="Times New Roman" w:cs="Times New Roman" w:eastAsia="Times New Roman" w:hAnsi="Times New Roman"/>
          <w:color w:val="000000"/>
          <w:highlight w:val="white"/>
          <w:rtl w:val="0"/>
        </w:rPr>
        <w:t xml:space="preserve">(1): 1.</w:t>
      </w:r>
    </w:p>
    <w:p w:rsidR="00000000" w:rsidDel="00000000" w:rsidP="00000000" w:rsidRDefault="00000000" w:rsidRPr="00000000" w14:paraId="0000018B">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Ejike, O.C., Florence, O.C., Friday, E.A., Chukwuemeka, O.E., Ukamaka, I.A., Micheal, O.C. and Emmanuel, D.C. (2023). Exploring the therapeutic potential of </w:t>
      </w:r>
      <w:r w:rsidDel="00000000" w:rsidR="00000000" w:rsidRPr="00000000">
        <w:rPr>
          <w:rFonts w:ascii="Times New Roman" w:cs="Times New Roman" w:eastAsia="Times New Roman" w:hAnsi="Times New Roman"/>
          <w:i w:val="1"/>
          <w:iCs w:val="1"/>
          <w:rtl w:val="0"/>
        </w:rPr>
        <w:t xml:space="preserve">moringa oleifera </w:t>
      </w:r>
      <w:r w:rsidDel="00000000" w:rsidR="00000000" w:rsidRPr="00000000">
        <w:rPr>
          <w:rFonts w:ascii="Times New Roman" w:cs="Times New Roman" w:eastAsia="Times New Roman" w:hAnsi="Times New Roman"/>
          <w:rtl w:val="0"/>
        </w:rPr>
        <w:t xml:space="preserve">in lead poisoning: an investigation of its effects on blood lead levels and oxidative stress in rats. </w:t>
      </w:r>
      <w:r w:rsidDel="00000000" w:rsidR="00000000" w:rsidRPr="00000000">
        <w:rPr>
          <w:rFonts w:ascii="Times New Roman" w:cs="Times New Roman" w:eastAsia="Times New Roman" w:hAnsi="Times New Roman"/>
          <w:i w:val="1"/>
          <w:iCs w:val="1"/>
          <w:rtl w:val="0"/>
        </w:rPr>
        <w:t xml:space="preserve">International Journal of Clinical and Biomedical Research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9</w:t>
      </w:r>
      <w:r w:rsidDel="00000000" w:rsidR="00000000" w:rsidRPr="00000000">
        <w:rPr>
          <w:rFonts w:ascii="Times New Roman" w:cs="Times New Roman" w:eastAsia="Times New Roman" w:hAnsi="Times New Roman"/>
          <w:rtl w:val="0"/>
        </w:rPr>
        <w:t xml:space="preserve">(2): 1–6.</w:t>
      </w:r>
    </w:p>
    <w:p w:rsidR="00000000" w:rsidDel="00000000" w:rsidP="00000000" w:rsidRDefault="00000000" w:rsidRPr="00000000" w14:paraId="0000018C">
      <w:pPr>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Elrasoul, A.S.A., Mousa, A.A. orabi, S.H., Mohamed, M.A.E.G., Gad-Allah, S.M., Almeer, R. and Eldaim, M.A.A. (2020). Antioxidant, anti-inflammatory and anti-apoptotic effects of Azolla pinnata ethanolic extract against lead-induced hepatotoxicity in rats. </w:t>
      </w:r>
      <w:r w:rsidDel="00000000" w:rsidR="00000000" w:rsidRPr="00000000">
        <w:rPr>
          <w:rFonts w:ascii="Times New Roman" w:cs="Times New Roman" w:eastAsia="Times New Roman" w:hAnsi="Times New Roman"/>
          <w:i w:val="1"/>
          <w:iCs w:val="1"/>
          <w:color w:val="000000"/>
          <w:rtl w:val="0"/>
        </w:rPr>
        <w:t xml:space="preserve">Antioxidants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9</w:t>
      </w:r>
      <w:r w:rsidDel="00000000" w:rsidR="00000000" w:rsidRPr="00000000">
        <w:rPr>
          <w:rFonts w:ascii="Times New Roman" w:cs="Times New Roman" w:eastAsia="Times New Roman" w:hAnsi="Times New Roman"/>
          <w:color w:val="000000"/>
          <w:rtl w:val="0"/>
        </w:rPr>
        <w:t xml:space="preserve">(10): 1014.</w:t>
      </w:r>
    </w:p>
    <w:p w:rsidR="00000000" w:rsidDel="00000000" w:rsidP="00000000" w:rsidRDefault="00000000" w:rsidRPr="00000000" w14:paraId="0000018D">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Gargouri, M., Saad, H.B., Amara, I.B., Magn, C. and El Feki, A. (2016). Spirulina exhibits hepatoprotective effects against lead induced oxidative injury in newborn rats. </w:t>
      </w:r>
      <w:r w:rsidDel="00000000" w:rsidR="00000000" w:rsidRPr="00000000">
        <w:rPr>
          <w:rFonts w:ascii="Times New Roman" w:cs="Times New Roman" w:eastAsia="Times New Roman" w:hAnsi="Times New Roman"/>
          <w:i w:val="1"/>
          <w:iCs w:val="1"/>
          <w:rtl w:val="0"/>
        </w:rPr>
        <w:t xml:space="preserve">Cellular and Molecular 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62</w:t>
      </w:r>
      <w:r w:rsidDel="00000000" w:rsidR="00000000" w:rsidRPr="00000000">
        <w:rPr>
          <w:rFonts w:ascii="Times New Roman" w:cs="Times New Roman" w:eastAsia="Times New Roman" w:hAnsi="Times New Roman"/>
          <w:rtl w:val="0"/>
        </w:rPr>
        <w:t xml:space="preserve">(10): 85-93.</w:t>
      </w:r>
    </w:p>
    <w:p w:rsidR="00000000" w:rsidDel="00000000" w:rsidP="00000000" w:rsidRDefault="00000000" w:rsidRPr="00000000" w14:paraId="0000018E">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Gopalakrishnan, L., Doriya, K. and Kumar, D.S. (2016). Moringa oleifera: A review on nutritive importance and its medicinal application</w:t>
      </w:r>
      <w:r w:rsidDel="00000000" w:rsidR="00000000" w:rsidRPr="00000000">
        <w:rPr>
          <w:rFonts w:ascii="Times New Roman" w:cs="Times New Roman" w:eastAsia="Times New Roman" w:hAnsi="Times New Roman"/>
          <w:i w:val="1"/>
          <w:iCs w:val="1"/>
          <w:rtl w:val="0"/>
        </w:rPr>
        <w:t xml:space="preserve">. Food Science and Human Wellness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5</w:t>
      </w:r>
      <w:r w:rsidDel="00000000" w:rsidR="00000000" w:rsidRPr="00000000">
        <w:rPr>
          <w:rFonts w:ascii="Times New Roman" w:cs="Times New Roman" w:eastAsia="Times New Roman" w:hAnsi="Times New Roman"/>
          <w:rtl w:val="0"/>
        </w:rPr>
        <w:t xml:space="preserve">(2): 49–56.</w:t>
      </w:r>
    </w:p>
    <w:p w:rsidR="00000000" w:rsidDel="00000000" w:rsidP="00000000" w:rsidRDefault="00000000" w:rsidRPr="00000000" w14:paraId="0000018F">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Helal, H.A., El-Tahan, N.R. and Abd El-Rasheed, F.E.S. (2020). Effect of </w:t>
      </w:r>
      <w:r w:rsidDel="00000000" w:rsidR="00000000" w:rsidRPr="00000000">
        <w:rPr>
          <w:rFonts w:ascii="Times New Roman" w:cs="Times New Roman" w:eastAsia="Times New Roman" w:hAnsi="Times New Roman"/>
          <w:i w:val="1"/>
          <w:iCs w:val="1"/>
          <w:rtl w:val="0"/>
        </w:rPr>
        <w:t xml:space="preserve">Moringa oleifera </w:t>
      </w:r>
      <w:r w:rsidDel="00000000" w:rsidR="00000000" w:rsidRPr="00000000">
        <w:rPr>
          <w:rFonts w:ascii="Times New Roman" w:cs="Times New Roman" w:eastAsia="Times New Roman" w:hAnsi="Times New Roman"/>
          <w:rtl w:val="0"/>
        </w:rPr>
        <w:t xml:space="preserve">(Moringa) on cadmium and lead mixture in rats’ body. </w:t>
      </w:r>
      <w:r w:rsidDel="00000000" w:rsidR="00000000" w:rsidRPr="00000000">
        <w:rPr>
          <w:rFonts w:ascii="Times New Roman" w:cs="Times New Roman" w:eastAsia="Times New Roman" w:hAnsi="Times New Roman"/>
          <w:i w:val="1"/>
          <w:iCs w:val="1"/>
          <w:rtl w:val="0"/>
        </w:rPr>
        <w:t xml:space="preserve">Journal of Home Economics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30</w:t>
      </w:r>
      <w:r w:rsidDel="00000000" w:rsidR="00000000" w:rsidRPr="00000000">
        <w:rPr>
          <w:rFonts w:ascii="Times New Roman" w:cs="Times New Roman" w:eastAsia="Times New Roman" w:hAnsi="Times New Roman"/>
          <w:rtl w:val="0"/>
        </w:rPr>
        <w:t xml:space="preserve">(4): 475-490.</w:t>
      </w:r>
    </w:p>
    <w:p w:rsidR="00000000" w:rsidDel="00000000" w:rsidP="00000000" w:rsidRDefault="00000000" w:rsidRPr="00000000" w14:paraId="00000190">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Hossain, S., Bhowmick, S., Jahan, S., Rozario, L., Sarkar, M., Islam, S., Basunia, M.A., Rahman, A., Choudhury, B.K. and Shahjalal, H. (2016). Maternal lead exposure decreases the levels of brain development and cognition-related proteins with concomitant upsurges of oxidative stress, inflammatory response and apoptosis in the offspring rats. </w:t>
      </w:r>
      <w:r w:rsidDel="00000000" w:rsidR="00000000" w:rsidRPr="00000000">
        <w:rPr>
          <w:rFonts w:ascii="Times New Roman" w:cs="Times New Roman" w:eastAsia="Times New Roman" w:hAnsi="Times New Roman"/>
          <w:i w:val="1"/>
          <w:iCs w:val="1"/>
          <w:rtl w:val="0"/>
        </w:rPr>
        <w:t xml:space="preserve">Neurotoxicology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56</w:t>
      </w:r>
      <w:r w:rsidDel="00000000" w:rsidR="00000000" w:rsidRPr="00000000">
        <w:rPr>
          <w:rFonts w:ascii="Times New Roman" w:cs="Times New Roman" w:eastAsia="Times New Roman" w:hAnsi="Times New Roman"/>
          <w:rtl w:val="0"/>
        </w:rPr>
        <w:t xml:space="preserve">(16): 150-158.</w:t>
      </w:r>
    </w:p>
    <w:p w:rsidR="00000000" w:rsidDel="00000000" w:rsidP="00000000" w:rsidRDefault="00000000" w:rsidRPr="00000000" w14:paraId="00000191">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Ilesanmi, O.B., Adeogun, E.F., Odewale, T.T.  and Chikere, B. (2022). Lead exposure-induced changes in Haematology  and biomarkers of hepatic injury: protective role of Trevo supplement. </w:t>
      </w:r>
      <w:r w:rsidDel="00000000" w:rsidR="00000000" w:rsidRPr="00000000">
        <w:rPr>
          <w:rFonts w:ascii="Times New Roman" w:cs="Times New Roman" w:eastAsia="Times New Roman" w:hAnsi="Times New Roman"/>
          <w:i w:val="1"/>
          <w:iCs w:val="1"/>
          <w:rtl w:val="0"/>
        </w:rPr>
        <w:t xml:space="preserve">Environmental Analysis, Health and Toxicology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37</w:t>
      </w:r>
      <w:r w:rsidDel="00000000" w:rsidR="00000000" w:rsidRPr="00000000">
        <w:rPr>
          <w:rFonts w:ascii="Times New Roman" w:cs="Times New Roman" w:eastAsia="Times New Roman" w:hAnsi="Times New Roman"/>
          <w:rtl w:val="0"/>
        </w:rPr>
        <w:t xml:space="preserve">(2):1-7.</w:t>
      </w:r>
    </w:p>
    <w:p w:rsidR="00000000" w:rsidDel="00000000" w:rsidP="00000000" w:rsidRDefault="00000000" w:rsidRPr="00000000" w14:paraId="0000019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Jaishankar, M., Tseten, T., Anbalagan, N., Mathew, B.B. and Beeregowda, K.N. (2014). Toxicity, mechanism and health effects of some heavy metals. </w:t>
      </w:r>
      <w:r w:rsidDel="00000000" w:rsidR="00000000" w:rsidRPr="00000000">
        <w:rPr>
          <w:rFonts w:ascii="Times New Roman" w:cs="Times New Roman" w:eastAsia="Times New Roman" w:hAnsi="Times New Roman"/>
          <w:i w:val="1"/>
          <w:iCs w:val="1"/>
          <w:rtl w:val="0"/>
        </w:rPr>
        <w:t xml:space="preserve">Interdisciplinary Toxicology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7</w:t>
      </w:r>
      <w:r w:rsidDel="00000000" w:rsidR="00000000" w:rsidRPr="00000000">
        <w:rPr>
          <w:rFonts w:ascii="Times New Roman" w:cs="Times New Roman" w:eastAsia="Times New Roman" w:hAnsi="Times New Roman"/>
          <w:rtl w:val="0"/>
        </w:rPr>
        <w:t xml:space="preserve">(2): 60.</w:t>
      </w:r>
    </w:p>
    <w:p w:rsidR="00000000" w:rsidDel="00000000" w:rsidP="00000000" w:rsidRDefault="00000000" w:rsidRPr="00000000" w14:paraId="0000019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Jassim, H.M. and Hassan, A.A. (2011). Changes in some blood parameters in lactating female rats and their pups exposed to lead: effects of vitamins C and E. </w:t>
      </w:r>
      <w:r w:rsidDel="00000000" w:rsidR="00000000" w:rsidRPr="00000000">
        <w:rPr>
          <w:rFonts w:ascii="Times New Roman" w:cs="Times New Roman" w:eastAsia="Times New Roman" w:hAnsi="Times New Roman"/>
          <w:i w:val="1"/>
          <w:iCs w:val="1"/>
          <w:rtl w:val="0"/>
        </w:rPr>
        <w:t xml:space="preserve">Iraqi Journal of Veterinary Sciences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25</w:t>
      </w:r>
      <w:r w:rsidDel="00000000" w:rsidR="00000000" w:rsidRPr="00000000">
        <w:rPr>
          <w:rFonts w:ascii="Times New Roman" w:cs="Times New Roman" w:eastAsia="Times New Roman" w:hAnsi="Times New Roman"/>
          <w:rtl w:val="0"/>
        </w:rPr>
        <w:t xml:space="preserve">(1): 1-7.</w:t>
      </w:r>
    </w:p>
    <w:p w:rsidR="00000000" w:rsidDel="00000000" w:rsidP="00000000" w:rsidRDefault="00000000" w:rsidRPr="00000000" w14:paraId="00000194">
      <w:pPr>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Marchlewicz, M., Wiszniewska, B., Gonet, B., Baranowska-Bosiacka, I., Safranow, K., Kolasa, A. and Rac, M.E. (2007). Increased lipid peroxidation and ascorbic acid utilization in testis and epididymis of rats chronically exposed to lead. </w:t>
      </w:r>
      <w:r w:rsidDel="00000000" w:rsidR="00000000" w:rsidRPr="00000000">
        <w:rPr>
          <w:rFonts w:ascii="Times New Roman" w:cs="Times New Roman" w:eastAsia="Times New Roman" w:hAnsi="Times New Roman"/>
          <w:i w:val="1"/>
          <w:iCs w:val="1"/>
          <w:color w:val="000000"/>
          <w:rtl w:val="0"/>
        </w:rPr>
        <w:t xml:space="preserve">Biometals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20</w:t>
      </w:r>
      <w:r w:rsidDel="00000000" w:rsidR="00000000" w:rsidRPr="00000000">
        <w:rPr>
          <w:rFonts w:ascii="Times New Roman" w:cs="Times New Roman" w:eastAsia="Times New Roman" w:hAnsi="Times New Roman"/>
          <w:color w:val="000000"/>
          <w:rtl w:val="0"/>
        </w:rPr>
        <w:t xml:space="preserve">(1): 13-19.</w:t>
      </w:r>
    </w:p>
    <w:p w:rsidR="00000000" w:rsidDel="00000000" w:rsidP="00000000" w:rsidRDefault="00000000" w:rsidRPr="00000000" w14:paraId="00000195">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Masih, A.P., Baqri, S.S.R., Rajesh, G., Bajpai, K.G. and Abbas, S.S. (2020). </w:t>
      </w:r>
      <w:r w:rsidDel="00000000" w:rsidR="00000000" w:rsidRPr="00000000">
        <w:rPr>
          <w:rFonts w:ascii="Times New Roman" w:cs="Times New Roman" w:eastAsia="Times New Roman" w:hAnsi="Times New Roman"/>
          <w:i w:val="1"/>
          <w:iCs w:val="1"/>
          <w:rtl w:val="0"/>
        </w:rPr>
        <w:t xml:space="preserve">Reassessing the implications of lead toxicity on the environment and its consequences on human health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Electronic Journal of Biology, </w:t>
      </w:r>
      <w:r w:rsidDel="00000000" w:rsidR="00000000" w:rsidRPr="00000000">
        <w:rPr>
          <w:rFonts w:ascii="Times New Roman" w:cs="Times New Roman" w:eastAsia="Times New Roman" w:hAnsi="Times New Roman"/>
          <w:b w:val="1"/>
          <w:bCs w:val="1"/>
          <w:rtl w:val="0"/>
        </w:rPr>
        <w:t xml:space="preserve">16</w:t>
      </w:r>
      <w:r w:rsidDel="00000000" w:rsidR="00000000" w:rsidRPr="00000000">
        <w:rPr>
          <w:rFonts w:ascii="Times New Roman" w:cs="Times New Roman" w:eastAsia="Times New Roman" w:hAnsi="Times New Roman"/>
          <w:rtl w:val="0"/>
        </w:rPr>
        <w:t xml:space="preserve">(1): 144–152.</w:t>
      </w:r>
    </w:p>
    <w:p w:rsidR="00000000" w:rsidDel="00000000" w:rsidP="00000000" w:rsidRDefault="00000000" w:rsidRPr="00000000" w14:paraId="00000196">
      <w:pPr>
        <w:tabs>
          <w:tab w:val="left" w:leader="none" w:pos="709"/>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Masso-Gonzalez, E.L. and Antonio-Garcia, M.T. (2009). Natural antioxidants protect against lead-induced damage during pregnancy and lactation in rat's pups. </w:t>
      </w:r>
      <w:r w:rsidDel="00000000" w:rsidR="00000000" w:rsidRPr="00000000">
        <w:rPr>
          <w:rFonts w:ascii="Times New Roman" w:cs="Times New Roman" w:eastAsia="Times New Roman" w:hAnsi="Times New Roman"/>
          <w:i w:val="1"/>
          <w:iCs w:val="1"/>
          <w:rtl w:val="0"/>
        </w:rPr>
        <w:t xml:space="preserve">Ecotoxicology and Environmental Safety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72</w:t>
      </w:r>
      <w:r w:rsidDel="00000000" w:rsidR="00000000" w:rsidRPr="00000000">
        <w:rPr>
          <w:rFonts w:ascii="Times New Roman" w:cs="Times New Roman" w:eastAsia="Times New Roman" w:hAnsi="Times New Roman"/>
          <w:rtl w:val="0"/>
        </w:rPr>
        <w:t xml:space="preserve">(8): 2137-2142.</w:t>
      </w:r>
    </w:p>
    <w:p w:rsidR="00000000" w:rsidDel="00000000" w:rsidP="00000000" w:rsidRDefault="00000000" w:rsidRPr="00000000" w14:paraId="00000197">
      <w:pPr>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Numan, M. and Stolzenberg, D.S. (2009). Medial preoptic area interactions with dopamine neural systems in the control of the onset and maintenance of maternal behavior in rats. </w:t>
      </w:r>
      <w:r w:rsidDel="00000000" w:rsidR="00000000" w:rsidRPr="00000000">
        <w:rPr>
          <w:rFonts w:ascii="Times New Roman" w:cs="Times New Roman" w:eastAsia="Times New Roman" w:hAnsi="Times New Roman"/>
          <w:i w:val="1"/>
          <w:iCs w:val="1"/>
          <w:color w:val="000000"/>
          <w:rtl w:val="0"/>
        </w:rPr>
        <w:t xml:space="preserve">Frontiers in Neuroendocrinology</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30</w:t>
      </w:r>
      <w:r w:rsidDel="00000000" w:rsidR="00000000" w:rsidRPr="00000000">
        <w:rPr>
          <w:rFonts w:ascii="Times New Roman" w:cs="Times New Roman" w:eastAsia="Times New Roman" w:hAnsi="Times New Roman"/>
          <w:color w:val="000000"/>
          <w:rtl w:val="0"/>
        </w:rPr>
        <w:t xml:space="preserve">(1): 46-64.</w:t>
      </w:r>
    </w:p>
    <w:p w:rsidR="00000000" w:rsidDel="00000000" w:rsidP="00000000" w:rsidRDefault="00000000" w:rsidRPr="00000000" w14:paraId="00000198">
      <w:pPr>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Ouyang, L., Zhang, W., Du, G., Liu, H., Xie, J., Gu, J. and Fan, G. (2019). Lead exposure-induced cognitive impairment through RyR-modulating intracellular calcium signaling in aged rats. </w:t>
      </w:r>
      <w:r w:rsidDel="00000000" w:rsidR="00000000" w:rsidRPr="00000000">
        <w:rPr>
          <w:rFonts w:ascii="Times New Roman" w:cs="Times New Roman" w:eastAsia="Times New Roman" w:hAnsi="Times New Roman"/>
          <w:i w:val="1"/>
          <w:iCs w:val="1"/>
          <w:color w:val="000000"/>
          <w:rtl w:val="0"/>
        </w:rPr>
        <w:t xml:space="preserve">Toxicology</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419</w:t>
      </w:r>
      <w:r w:rsidDel="00000000" w:rsidR="00000000" w:rsidRPr="00000000">
        <w:rPr>
          <w:rFonts w:ascii="Times New Roman" w:cs="Times New Roman" w:eastAsia="Times New Roman" w:hAnsi="Times New Roman"/>
          <w:color w:val="000000"/>
          <w:rtl w:val="0"/>
        </w:rPr>
        <w:t xml:space="preserve">: 55-64.</w:t>
      </w:r>
    </w:p>
    <w:p w:rsidR="00000000" w:rsidDel="00000000" w:rsidP="00000000" w:rsidRDefault="00000000" w:rsidRPr="00000000" w14:paraId="00000199">
      <w:pPr>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Rahman, A., Al-Awadi, A. A. and Khan, K. M. (2018). Lead affects vitamin D metabolism in rats. </w:t>
      </w:r>
      <w:r w:rsidDel="00000000" w:rsidR="00000000" w:rsidRPr="00000000">
        <w:rPr>
          <w:rFonts w:ascii="Times New Roman" w:cs="Times New Roman" w:eastAsia="Times New Roman" w:hAnsi="Times New Roman"/>
          <w:i w:val="1"/>
          <w:iCs w:val="1"/>
          <w:color w:val="000000"/>
          <w:rtl w:val="0"/>
        </w:rPr>
        <w:t xml:space="preserve">Nutrients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10</w:t>
      </w:r>
      <w:r w:rsidDel="00000000" w:rsidR="00000000" w:rsidRPr="00000000">
        <w:rPr>
          <w:rFonts w:ascii="Times New Roman" w:cs="Times New Roman" w:eastAsia="Times New Roman" w:hAnsi="Times New Roman"/>
          <w:color w:val="000000"/>
          <w:rtl w:val="0"/>
        </w:rPr>
        <w:t xml:space="preserve">(3): 264.</w:t>
      </w:r>
    </w:p>
    <w:p w:rsidR="00000000" w:rsidDel="00000000" w:rsidP="00000000" w:rsidRDefault="00000000" w:rsidRPr="00000000" w14:paraId="0000019A">
      <w:pPr>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Taroco, G., de Genova Gaya, L., Resende, D.R., dos Santos, I.C. and Madureira, A.P. (2015). Environmental and dam effects on cannibalism in Wistar rat litters. acta scientiarum. </w:t>
      </w:r>
      <w:r w:rsidDel="00000000" w:rsidR="00000000" w:rsidRPr="00000000">
        <w:rPr>
          <w:rFonts w:ascii="Times New Roman" w:cs="Times New Roman" w:eastAsia="Times New Roman" w:hAnsi="Times New Roman"/>
          <w:i w:val="1"/>
          <w:iCs w:val="1"/>
          <w:color w:val="000000"/>
          <w:rtl w:val="0"/>
        </w:rPr>
        <w:t xml:space="preserve">Biological Sciences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37</w:t>
      </w:r>
      <w:r w:rsidDel="00000000" w:rsidR="00000000" w:rsidRPr="00000000">
        <w:rPr>
          <w:rFonts w:ascii="Times New Roman" w:cs="Times New Roman" w:eastAsia="Times New Roman" w:hAnsi="Times New Roman"/>
          <w:color w:val="000000"/>
          <w:rtl w:val="0"/>
        </w:rPr>
        <w:t xml:space="preserve">(2): 225-229.</w:t>
      </w:r>
    </w:p>
    <w:p w:rsidR="00000000" w:rsidDel="00000000" w:rsidP="00000000" w:rsidRDefault="00000000" w:rsidRPr="00000000" w14:paraId="0000019B">
      <w:pPr>
        <w:spacing w:after="100" w:before="100" w:line="240" w:lineRule="auto"/>
        <w:jc w:val="both"/>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Teijon, C., Olmo, R., Blanco, D., Romero, A. and Teijon, J.M. (2006). Low doses of lead: effects on reproduction and development in rats. </w:t>
      </w:r>
      <w:r w:rsidDel="00000000" w:rsidR="00000000" w:rsidRPr="00000000">
        <w:rPr>
          <w:rFonts w:ascii="Times New Roman" w:cs="Times New Roman" w:eastAsia="Times New Roman" w:hAnsi="Times New Roman"/>
          <w:i w:val="1"/>
          <w:iCs w:val="1"/>
          <w:color w:val="000000"/>
          <w:highlight w:val="white"/>
          <w:rtl w:val="0"/>
        </w:rPr>
        <w:t xml:space="preserve">Biological Trace Element Research</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b w:val="1"/>
          <w:bCs w:val="1"/>
          <w:color w:val="000000"/>
          <w:highlight w:val="white"/>
          <w:rtl w:val="0"/>
        </w:rPr>
        <w:t xml:space="preserve">111</w:t>
      </w:r>
      <w:r w:rsidDel="00000000" w:rsidR="00000000" w:rsidRPr="00000000">
        <w:rPr>
          <w:rFonts w:ascii="Times New Roman" w:cs="Times New Roman" w:eastAsia="Times New Roman" w:hAnsi="Times New Roman"/>
          <w:color w:val="000000"/>
          <w:highlight w:val="white"/>
          <w:rtl w:val="0"/>
        </w:rPr>
        <w:t xml:space="preserve">: 151-165.</w:t>
      </w:r>
    </w:p>
    <w:p w:rsidR="00000000" w:rsidDel="00000000" w:rsidP="00000000" w:rsidRDefault="00000000" w:rsidRPr="00000000" w14:paraId="0000019C">
      <w:pPr>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Welna, M., Szymczycha Madeja, A. and Pohl, P. (2011). Quality of the trace element analysis: sample preparation steps. </w:t>
      </w:r>
      <w:r w:rsidDel="00000000" w:rsidR="00000000" w:rsidRPr="00000000">
        <w:rPr>
          <w:rFonts w:ascii="Times New Roman" w:cs="Times New Roman" w:eastAsia="Times New Roman" w:hAnsi="Times New Roman"/>
          <w:i w:val="1"/>
          <w:iCs w:val="1"/>
          <w:color w:val="000000"/>
          <w:rtl w:val="0"/>
        </w:rPr>
        <w:t xml:space="preserve">Wide Spectra of Quality Control</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1</w:t>
      </w:r>
      <w:r w:rsidDel="00000000" w:rsidR="00000000" w:rsidRPr="00000000">
        <w:rPr>
          <w:rFonts w:ascii="Times New Roman" w:cs="Times New Roman" w:eastAsia="Times New Roman" w:hAnsi="Times New Roman"/>
          <w:color w:val="000000"/>
          <w:rtl w:val="0"/>
        </w:rPr>
        <w:t xml:space="preserve">: 1-16.</w:t>
      </w:r>
    </w:p>
    <w:p w:rsidR="00000000" w:rsidDel="00000000" w:rsidP="00000000" w:rsidRDefault="00000000" w:rsidRPr="00000000" w14:paraId="0000019D">
      <w:pPr>
        <w:ind w:left="1440" w:hanging="1440"/>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19E">
      <w:pPr>
        <w:tabs>
          <w:tab w:val="left" w:leader="none" w:pos="709"/>
        </w:tabs>
        <w:ind w:left="1440" w:hanging="1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ungsuh"/>
  <w:font w:name="Arial"/>
  <w:font w:name="Aptos"/>
  <w:font w:name="Play">
    <w:embedRegular w:fontKey="{00000000-0000-0000-0000-000000000000}" r:id="rId1" w:subsetted="0"/>
    <w:embedBold w:fontKey="{00000000-0000-0000-0000-000000000000}" r:id="rId2" w:subsetted="0"/>
  </w:font>
  <w:font w:name="Caudex">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Pr>
      <w:pict>
        <v:shape id="PowerPlusWaterMarkObject3" style="position:absolute;width:572.65pt;height:63.6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ptos&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Pr>
      <w:pict>
        <v:shape id="PowerPlusWaterMarkObject1" style="position:absolute;width:572.65pt;height:63.6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ptos&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Pr>
      <w:pict>
        <v:shape id="PowerPlusWaterMarkObject2" style="position:absolute;width:572.65pt;height:63.6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ptos&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5A2514"/>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5A2514"/>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5A2514"/>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A2514"/>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5A2514"/>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5A2514"/>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5A2514"/>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5A2514"/>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5A251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5A251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5A251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5A2514"/>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5A2514"/>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5A251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5A251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5A2514"/>
    <w:rPr>
      <w:i w:val="1"/>
      <w:iCs w:val="1"/>
      <w:color w:val="404040" w:themeColor="text1" w:themeTint="0000BF"/>
    </w:rPr>
  </w:style>
  <w:style w:type="paragraph" w:styleId="ListParagraph">
    <w:name w:val="List Paragraph"/>
    <w:basedOn w:val="Normal"/>
    <w:uiPriority w:val="34"/>
    <w:qFormat w:val="1"/>
    <w:rsid w:val="005A2514"/>
    <w:pPr>
      <w:ind w:left="720"/>
      <w:contextualSpacing w:val="1"/>
    </w:pPr>
  </w:style>
  <w:style w:type="character" w:styleId="IntenseEmphasis">
    <w:name w:val="Intense Emphasis"/>
    <w:basedOn w:val="DefaultParagraphFont"/>
    <w:uiPriority w:val="21"/>
    <w:qFormat w:val="1"/>
    <w:rsid w:val="005A2514"/>
    <w:rPr>
      <w:i w:val="1"/>
      <w:iCs w:val="1"/>
      <w:color w:val="0f4761" w:themeColor="accent1" w:themeShade="0000BF"/>
    </w:rPr>
  </w:style>
  <w:style w:type="paragraph" w:styleId="IntenseQuote">
    <w:name w:val="Intense Quote"/>
    <w:basedOn w:val="Normal"/>
    <w:next w:val="Normal"/>
    <w:link w:val="IntenseQuoteChar"/>
    <w:uiPriority w:val="30"/>
    <w:qFormat w:val="1"/>
    <w:rsid w:val="005A251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5A2514"/>
    <w:rPr>
      <w:i w:val="1"/>
      <w:iCs w:val="1"/>
      <w:color w:val="0f4761" w:themeColor="accent1" w:themeShade="0000BF"/>
    </w:rPr>
  </w:style>
  <w:style w:type="character" w:styleId="IntenseReference">
    <w:name w:val="Intense Reference"/>
    <w:basedOn w:val="DefaultParagraphFont"/>
    <w:uiPriority w:val="32"/>
    <w:qFormat w:val="1"/>
    <w:rsid w:val="005A2514"/>
    <w:rPr>
      <w:b w:val="1"/>
      <w:bCs w:val="1"/>
      <w:smallCaps w:val="1"/>
      <w:color w:val="0f4761" w:themeColor="accent1" w:themeShade="0000BF"/>
      <w:spacing w:val="5"/>
    </w:rPr>
  </w:style>
  <w:style w:type="paragraph" w:styleId="TableParagraph" w:customStyle="1">
    <w:name w:val="Table Paragraph"/>
    <w:basedOn w:val="Normal"/>
    <w:uiPriority w:val="1"/>
    <w:qFormat w:val="1"/>
    <w:rsid w:val="005A2514"/>
    <w:pPr>
      <w:widowControl w:val="0"/>
      <w:autoSpaceDE w:val="0"/>
      <w:autoSpaceDN w:val="0"/>
      <w:spacing w:after="0" w:line="240" w:lineRule="auto"/>
    </w:pPr>
    <w:rPr>
      <w:rFonts w:ascii="Arial MT" w:cs="Arial MT" w:eastAsia="Arial MT" w:hAnsi="Arial MT"/>
      <w:lang w:val="en-US"/>
    </w:rPr>
  </w:style>
  <w:style w:type="table" w:styleId="TableGrid">
    <w:name w:val="Table Grid"/>
    <w:basedOn w:val="TableNormal"/>
    <w:uiPriority w:val="39"/>
    <w:rsid w:val="005A251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770FF"/>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yperlink">
    <w:name w:val="Hyperlink"/>
    <w:basedOn w:val="DefaultParagraphFont"/>
    <w:uiPriority w:val="99"/>
    <w:unhideWhenUsed w:val="1"/>
    <w:rsid w:val="00010314"/>
    <w:rPr>
      <w:color w:val="467886" w:themeColor="hyperlink"/>
      <w:u w:val="single"/>
    </w:rPr>
  </w:style>
  <w:style w:type="character" w:styleId="UnresolvedMention">
    <w:name w:val="Unresolved Mention"/>
    <w:basedOn w:val="DefaultParagraphFont"/>
    <w:uiPriority w:val="99"/>
    <w:semiHidden w:val="1"/>
    <w:unhideWhenUsed w:val="1"/>
    <w:rsid w:val="00010314"/>
    <w:rPr>
      <w:color w:val="605e5c"/>
      <w:shd w:color="auto" w:fill="e1dfdd" w:val="clear"/>
    </w:rPr>
  </w:style>
  <w:style w:type="paragraph" w:styleId="Header">
    <w:name w:val="header"/>
    <w:basedOn w:val="Normal"/>
    <w:link w:val="HeaderChar"/>
    <w:uiPriority w:val="99"/>
    <w:unhideWhenUsed w:val="1"/>
    <w:rsid w:val="00B65B4A"/>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5B4A"/>
  </w:style>
  <w:style w:type="paragraph" w:styleId="Footer">
    <w:name w:val="footer"/>
    <w:basedOn w:val="Normal"/>
    <w:link w:val="FooterChar"/>
    <w:uiPriority w:val="99"/>
    <w:unhideWhenUsed w:val="1"/>
    <w:rsid w:val="00B65B4A"/>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5B4A"/>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72.0" w:type="dxa"/>
        <w:left w:w="72.0" w:type="dxa"/>
        <w:bottom w:w="72.0" w:type="dxa"/>
        <w:right w:w="72.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udex-regular.ttf"/><Relationship Id="rId4" Type="http://schemas.openxmlformats.org/officeDocument/2006/relationships/font" Target="fonts/Caudex-bold.ttf"/><Relationship Id="rId5" Type="http://schemas.openxmlformats.org/officeDocument/2006/relationships/font" Target="fonts/Caudex-italic.ttf"/><Relationship Id="rId6"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0pERD2cRIRy4pcsV1MH8cKvOjg==">CgMxLjAaJQoBMBIgCh4IB0IaCg9UaW1lcyBOZXcgUm9tYW4SB0d1bmdzdWgaJQoBMRIgCh4IB0IaCg9UaW1lcyBOZXcgUm9tYW4SB0d1bmdzdWgaJAoBMhIfCh0IB0IZCg9UaW1lcyBOZXcgUm9tYW4SBkNhdWRleBokCgEzEh8KHQgHQhkKD1RpbWVzIE5ldyBSb21hbhIGQ2F1ZGV4GiQKATQSHwodCAdCGQoPVGltZXMgTmV3IFJvbWFuEgZDYXVkZX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yDmguczRiY3h2OWc4c2J2OAByITFIa28zZjg0b19uZ2JuTk5jcjRSX1BLMzFYQ25JdDNu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2026-02-18T05:34:00Z</dcterms:created>
  <dc:creator>mayur temghare</dc:creator>
</cp:coreProperties>
</file>