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customXml/itemProps16.xml" ContentType="application/vnd.openxmlformats-officedocument.customXmlProperties+xml"/>
  <Override PartName="/customXml/itemProps11.xml" ContentType="application/vnd.openxmlformats-officedocument.customXmlProperti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7.xml" ContentType="application/vnd.openxmlformats-officedocument.customXmlProperties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customXml/itemProps6.xml" ContentType="application/vnd.openxmlformats-officedocument.customXmlProperties+xml"/>
  <Override PartName="/customXml/itemProps15.xml" ContentType="application/vnd.openxmlformats-officedocument.customXmlProperties+xml"/>
  <Override PartName="/customXml/itemProps21.xml" ContentType="application/vnd.openxmlformats-officedocument.customXmlProperties+xml"/>
  <Override PartName="/word/commentsExtended.xml" ContentType="application/vnd.openxmlformats-officedocument.wordprocessingml.commentsExtended+xml"/>
  <Override PartName="/word/footer3.xml" ContentType="application/vnd.openxmlformats-officedocument.wordprocessingml.footer+xml"/>
  <Override PartName="/customXml/itemProps12.xml" ContentType="application/vnd.openxmlformats-officedocument.customXmlProperties+xml"/>
  <Override PartName="/word/document.xml" ContentType="application/vnd.openxmlformats-officedocument.wordprocessingml.document.main+xml"/>
  <Override PartName="/customXml/itemProps24.xml" ContentType="application/vnd.openxmlformats-officedocument.customXmlProperties+xml"/>
  <Override PartName="/customXml/itemProps1.xml" ContentType="application/vnd.openxmlformats-officedocument.customXmlProperties+xml"/>
  <Override PartName="/customXml/itemProps9.xml" ContentType="application/vnd.openxmlformats-officedocument.customXmlProperties+xml"/>
  <Override PartName="/customXml/itemProps20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oter4.xml" ContentType="application/vnd.openxmlformats-officedocument.wordprocessingml.footer+xml"/>
  <Override PartName="/customXml/itemProps4.xml" ContentType="application/vnd.openxmlformats-officedocument.customXmlProperties+xml"/>
  <Override PartName="/word/fontTable.xml" ContentType="application/vnd.openxmlformats-officedocument.wordprocessingml.fontTable+xml"/>
  <Override PartName="/customXml/itemProps22.xml" ContentType="application/vnd.openxmlformats-officedocument.customXmlProperties+xml"/>
  <Override PartName="/customXml/itemProps14.xml" ContentType="application/vnd.openxmlformats-officedocument.customXmlProperties+xml"/>
  <Override PartName="/docProps/core.xml" ContentType="application/vnd.openxmlformats-package.core-properties+xml"/>
  <Override PartName="/customXml/itemProps19.xml" ContentType="application/vnd.openxmlformats-officedocument.customXmlProperties+xml"/>
  <Override PartName="/customXml/itemProps8.xml" ContentType="application/vnd.openxmlformats-officedocument.customXmlProperties+xml"/>
  <Override PartName="/docProps/custom.xml" ContentType="application/vnd.openxmlformats-officedocument.custom-properties+xml"/>
  <Override PartName="/customXml/itemProps10.xml" ContentType="application/vnd.openxmlformats-officedocument.customXmlProperties+xml"/>
  <Override PartName="/word/header2.xml" ContentType="application/vnd.openxmlformats-officedocument.wordprocessingml.header+xml"/>
  <Override PartName="/customXml/itemProps23.xml" ContentType="application/vnd.openxmlformats-officedocument.customXmlProperties+xml"/>
  <Override PartName="/customXml/itemProps13.xml" ContentType="application/vnd.openxmlformats-officedocument.customXmlProperties+xml"/>
  <Override PartName="/customXml/itemProps18.xml" ContentType="application/vnd.openxmlformats-officedocument.customXmlProperties+xml"/>
  <Override PartName="/word/comments.xml" ContentType="application/vnd.openxmlformats-officedocument.wordprocessingml.comments+xml"/>
  <Override PartName="/customXml/itemProps3.xml" ContentType="application/vnd.openxmlformats-officedocument.customXmlProperties+xml"/>
  <Override PartName="/customXml/itemProps7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rFonts w:ascii="Times New Roman" w:cs="Times New Roman" w:hAnsi="Times New Roman"/>
          <w:b/>
          <w:bCs/>
          <w:i/>
          <w:iCs/>
          <w:sz w:val="24"/>
          <w:szCs w:val="24"/>
          <w:u w:val="single"/>
          <w:lang w:val="en-US"/>
        </w:rPr>
      </w:pPr>
      <w:r>
        <w:rPr>
          <w:rFonts w:ascii="Times New Roman" w:cs="Times New Roman" w:hAnsi="Times New Roman"/>
          <w:b/>
          <w:bCs/>
          <w:i/>
          <w:iCs/>
          <w:sz w:val="24"/>
          <w:szCs w:val="24"/>
          <w:u w:val="single"/>
          <w:lang w:val="en-US"/>
        </w:rPr>
        <w:t>Original Research Article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Formulation and Nutritive Quality Assessment of a Composite Food Supplement Incorporating Malabar Spinach (</w:t>
      </w:r>
      <w:r>
        <w:rPr>
          <w:rFonts w:ascii="Times New Roman" w:cs="Times New Roman" w:hAnsi="Times New Roman"/>
          <w:i/>
          <w:iCs/>
          <w:sz w:val="24"/>
          <w:szCs w:val="24"/>
        </w:rPr>
        <w:t>Basella rubra</w:t>
      </w:r>
      <w:r>
        <w:rPr>
          <w:rFonts w:ascii="Times New Roman" w:cs="Times New Roman" w:hAnsi="Times New Roman"/>
          <w:sz w:val="24"/>
          <w:szCs w:val="24"/>
        </w:rPr>
        <w:t xml:space="preserve"> L.)</w:t>
      </w:r>
    </w:p>
    <w:p>
      <w:pPr>
        <w:pStyle w:val="style0"/>
        <w:spacing w:lineRule="auto" w:line="360"/>
        <w:rPr>
          <w:rFonts w:ascii="Times New Roman" w:cs="Times New Roman" w:hAnsi="Times New Roman"/>
          <w:b/>
          <w:bCs/>
          <w:sz w:val="24"/>
          <w:szCs w:val="24"/>
        </w:rPr>
      </w:pPr>
    </w:p>
    <w:p>
      <w:pPr>
        <w:pStyle w:val="style0"/>
        <w:spacing w:lineRule="auto" w:line="360"/>
        <w:rPr>
          <w:rFonts w:ascii="Times New Roman" w:cs="Times New Roman" w:hAnsi="Times New Roman"/>
          <w:b/>
          <w:bCs/>
          <w:sz w:val="24"/>
          <w:szCs w:val="24"/>
        </w:rPr>
      </w:pPr>
    </w:p>
    <w:p>
      <w:pPr>
        <w:pStyle w:val="style0"/>
        <w:spacing w:lineRule="auto" w:line="360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ABSTRACT</w:t>
      </w:r>
    </w:p>
    <w:p>
      <w:pPr>
        <w:pStyle w:val="style0"/>
        <w:spacing w:lineRule="auto" w:line="360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Abstract</w:t>
      </w:r>
    </w:p>
    <w:p>
      <w:pPr>
        <w:pStyle w:val="style0"/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Background:</w:t>
      </w:r>
      <w:r>
        <w:rPr>
          <w:rFonts w:ascii="Times New Roman" w:cs="Times New Roman" w:hAnsi="Times New Roman"/>
          <w:sz w:val="24"/>
          <w:szCs w:val="24"/>
        </w:rPr>
        <w:t xml:space="preserve"> Micronutrient deficiencies, or "hidden hunger," affect over 2 billion people globally. Despite dietary guidelines, urban populations often consume less than 50% of the recommended daily intake of green leafy vegetables (GLVs). </w:t>
      </w:r>
      <w:commentRangeStart w:id="1"/>
      <w:r>
        <w:rPr>
          <w:rFonts w:ascii="Times New Roman" w:cs="Times New Roman" w:hAnsi="Times New Roman"/>
          <w:sz w:val="24"/>
          <w:szCs w:val="24"/>
        </w:rPr>
        <w:t>Basella rubra</w:t>
      </w:r>
      <w:commentRangeEnd w:id="1"/>
      <w:r>
        <w:rPr/>
        <w:commentReference w:id="1"/>
      </w:r>
      <w:r>
        <w:rPr>
          <w:rFonts w:ascii="Times New Roman" w:cs="Times New Roman" w:hAnsi="Times New Roman"/>
          <w:sz w:val="24"/>
          <w:szCs w:val="24"/>
        </w:rPr>
        <w:t xml:space="preserve"> L. (red Malabar spinach) is an underutilized indigenous vegetable with superior nutritional density compared to conventional spinach, yet its application in functional food matrices remains limited. Objective: This study aimed to develop and evaluate a novel, ready-to-cook (RTC) composite </w:t>
      </w:r>
      <w:r>
        <w:rPr>
          <w:rFonts w:ascii="Times New Roman" w:cs="Times New Roman" w:hAnsi="Times New Roman"/>
          <w:sz w:val="24"/>
          <w:szCs w:val="24"/>
        </w:rPr>
        <w:t>nutrimix</w:t>
      </w:r>
      <w:r>
        <w:rPr>
          <w:rFonts w:ascii="Times New Roman" w:cs="Times New Roman" w:hAnsi="Times New Roman"/>
          <w:sz w:val="24"/>
          <w:szCs w:val="24"/>
        </w:rPr>
        <w:t xml:space="preserve"> powder incorporating freeze-dried B. rubra to address urban micronutrient gaps. </w:t>
      </w:r>
      <w:commentRangeStart w:id="2"/>
      <w:r>
        <w:rPr>
          <w:rFonts w:ascii="Times New Roman" w:cs="Times New Roman" w:hAnsi="Times New Roman"/>
          <w:sz w:val="24"/>
          <w:szCs w:val="24"/>
        </w:rPr>
        <w:t>Methods</w:t>
      </w:r>
      <w:commentRangeEnd w:id="2"/>
      <w:r>
        <w:rPr/>
        <w:commentReference w:id="2"/>
      </w:r>
      <w:r>
        <w:rPr>
          <w:rFonts w:ascii="Times New Roman" w:cs="Times New Roman" w:hAnsi="Times New Roman"/>
          <w:sz w:val="24"/>
          <w:szCs w:val="24"/>
        </w:rPr>
        <w:t xml:space="preserve">: Five experimental formulations (N₁–N₅) were developed by varying B. rubra content (5–25%) alongside pumpkin powder, brown rice flour, and mung bean flour. Sensory evaluation (n = 30) was </w:t>
      </w:r>
      <w:r>
        <w:rPr>
          <w:rFonts w:ascii="Times New Roman" w:cs="Times New Roman" w:hAnsi="Times New Roman"/>
          <w:sz w:val="24"/>
          <w:szCs w:val="24"/>
        </w:rPr>
        <w:t>analyzed</w:t>
      </w:r>
      <w:r>
        <w:rPr>
          <w:rFonts w:ascii="Times New Roman" w:cs="Times New Roman" w:hAnsi="Times New Roman"/>
          <w:sz w:val="24"/>
          <w:szCs w:val="24"/>
        </w:rPr>
        <w:t xml:space="preserve"> via Friedman's ANOVA. The optimized formulation was subjected to comprehensive proximate, mineral, vitamin, and phytochemical characterization following AOAC (2019) protocols. </w:t>
      </w:r>
    </w:p>
    <w:p>
      <w:pPr>
        <w:pStyle w:val="style0"/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Results:</w:t>
      </w:r>
      <w:r>
        <w:rPr>
          <w:rFonts w:ascii="Times New Roman" w:cs="Times New Roman" w:hAnsi="Times New Roman"/>
          <w:sz w:val="24"/>
          <w:szCs w:val="24"/>
        </w:rPr>
        <w:t xml:space="preserve"> Formulation N₂ (10% B. rubra) achieved the highest overall acceptability score (8.54 ± 0.35, p &lt; 0.001), with higher inclusion levels (≥15%) significantly reducing scores due to bitter off-</w:t>
      </w:r>
      <w:r>
        <w:rPr>
          <w:rFonts w:ascii="Times New Roman" w:cs="Times New Roman" w:hAnsi="Times New Roman"/>
          <w:sz w:val="24"/>
          <w:szCs w:val="24"/>
        </w:rPr>
        <w:t>flavors</w:t>
      </w:r>
      <w:r>
        <w:rPr>
          <w:rFonts w:ascii="Times New Roman" w:cs="Times New Roman" w:hAnsi="Times New Roman"/>
          <w:sz w:val="24"/>
          <w:szCs w:val="24"/>
        </w:rPr>
        <w:t xml:space="preserve">. The optimized </w:t>
      </w:r>
      <w:r>
        <w:rPr>
          <w:rFonts w:ascii="Times New Roman" w:cs="Times New Roman" w:hAnsi="Times New Roman"/>
          <w:sz w:val="24"/>
          <w:szCs w:val="24"/>
        </w:rPr>
        <w:t>nutrimix</w:t>
      </w:r>
      <w:r>
        <w:rPr>
          <w:rFonts w:ascii="Times New Roman" w:cs="Times New Roman" w:hAnsi="Times New Roman"/>
          <w:sz w:val="24"/>
          <w:szCs w:val="24"/>
        </w:rPr>
        <w:t xml:space="preserve"> exhibited a balanced macronutrient profile (protein: 11.52 ± 0.02 g/100g) and substantial mineral density (iron: 5.23 ± 0.02 mg/100g; calcium: 125.40 ± 0.53 mg/100g). The co-presence of vitamin C (19.07 ± 0.03 mg/100g) suggests enhanced non-</w:t>
      </w:r>
      <w:r>
        <w:rPr>
          <w:rFonts w:ascii="Times New Roman" w:cs="Times New Roman" w:hAnsi="Times New Roman"/>
          <w:sz w:val="24"/>
          <w:szCs w:val="24"/>
        </w:rPr>
        <w:t>heme</w:t>
      </w:r>
      <w:r>
        <w:rPr>
          <w:rFonts w:ascii="Times New Roman" w:cs="Times New Roman" w:hAnsi="Times New Roman"/>
          <w:sz w:val="24"/>
          <w:szCs w:val="24"/>
        </w:rPr>
        <w:t xml:space="preserve"> iron bioavailability. Furthermore, an exceptionally high total phenolic content (41.35 ± 0.01 mg GAE/g) was recorded, attributed to the </w:t>
      </w:r>
      <w:r>
        <w:rPr>
          <w:rFonts w:ascii="Times New Roman" w:cs="Times New Roman" w:hAnsi="Times New Roman"/>
          <w:sz w:val="24"/>
          <w:szCs w:val="24"/>
        </w:rPr>
        <w:t>betalain</w:t>
      </w:r>
      <w:r>
        <w:rPr>
          <w:rFonts w:ascii="Times New Roman" w:cs="Times New Roman" w:hAnsi="Times New Roman"/>
          <w:sz w:val="24"/>
          <w:szCs w:val="24"/>
        </w:rPr>
        <w:t xml:space="preserve">-rich B. rubra matrix. Low moisture content (7.04 ± 0.03%) indicates </w:t>
      </w:r>
      <w:r>
        <w:rPr>
          <w:rFonts w:ascii="Times New Roman" w:cs="Times New Roman" w:hAnsi="Times New Roman"/>
          <w:sz w:val="24"/>
          <w:szCs w:val="24"/>
        </w:rPr>
        <w:t>favorable</w:t>
      </w:r>
      <w:r>
        <w:rPr>
          <w:rFonts w:ascii="Times New Roman" w:cs="Times New Roman" w:hAnsi="Times New Roman"/>
          <w:sz w:val="24"/>
          <w:szCs w:val="24"/>
        </w:rPr>
        <w:t xml:space="preserve"> shelf stability. </w:t>
      </w:r>
      <w:r>
        <w:rPr>
          <w:rFonts w:ascii="Times New Roman" w:cs="Times New Roman" w:hAnsi="Times New Roman"/>
          <w:b/>
          <w:bCs/>
          <w:sz w:val="24"/>
          <w:szCs w:val="24"/>
        </w:rPr>
        <w:t>Conclusion: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commentRangeStart w:id="3"/>
      <w:r>
        <w:rPr>
          <w:rFonts w:ascii="Times New Roman" w:cs="Times New Roman" w:hAnsi="Times New Roman"/>
          <w:sz w:val="24"/>
          <w:szCs w:val="24"/>
        </w:rPr>
        <w:t>The 10% B. rubra formulation is a sensorially acceptable and nutritionally superior functional food.</w:t>
      </w:r>
      <w:commentRangeEnd w:id="3"/>
      <w:r>
        <w:rPr/>
        <w:commentReference w:id="3"/>
      </w:r>
      <w:r>
        <w:rPr>
          <w:rFonts w:ascii="Times New Roman" w:cs="Times New Roman" w:hAnsi="Times New Roman"/>
          <w:sz w:val="24"/>
          <w:szCs w:val="24"/>
        </w:rPr>
        <w:t xml:space="preserve"> This study demonstrates the viability of </w:t>
      </w:r>
      <w:r>
        <w:rPr>
          <w:rFonts w:ascii="Times New Roman" w:cs="Times New Roman" w:hAnsi="Times New Roman"/>
          <w:sz w:val="24"/>
          <w:szCs w:val="24"/>
        </w:rPr>
        <w:t>valorizing</w:t>
      </w:r>
      <w:r>
        <w:rPr>
          <w:rFonts w:ascii="Times New Roman" w:cs="Times New Roman" w:hAnsi="Times New Roman"/>
          <w:sz w:val="24"/>
          <w:szCs w:val="24"/>
        </w:rPr>
        <w:t xml:space="preserve"> underutilized indigenous greens to create scalable, shelf-stable solutions for improving micronutrient security in modern food systems</w:t>
      </w:r>
    </w:p>
    <w:p>
      <w:pPr>
        <w:pStyle w:val="style0"/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Keywords: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commentRangeStart w:id="4"/>
      <w:r>
        <w:rPr>
          <w:rFonts w:ascii="Times New Roman" w:cs="Times New Roman" w:hAnsi="Times New Roman"/>
          <w:sz w:val="24"/>
          <w:szCs w:val="24"/>
        </w:rPr>
        <w:t xml:space="preserve">Basella rubra; Malabar spinach; composite </w:t>
      </w:r>
      <w:r>
        <w:rPr>
          <w:rFonts w:ascii="Times New Roman" w:cs="Times New Roman" w:hAnsi="Times New Roman"/>
          <w:sz w:val="24"/>
          <w:szCs w:val="24"/>
        </w:rPr>
        <w:t>nutrimix</w:t>
      </w:r>
      <w:r>
        <w:rPr>
          <w:rFonts w:ascii="Times New Roman" w:cs="Times New Roman" w:hAnsi="Times New Roman"/>
          <w:sz w:val="24"/>
          <w:szCs w:val="24"/>
        </w:rPr>
        <w:t>; functional food; micronutrient fortification;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sensory evaluation;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ready-to-cook supplement</w:t>
      </w:r>
      <w:commentRangeEnd w:id="4"/>
      <w:r>
        <w:rPr/>
        <w:commentReference w:id="4"/>
      </w:r>
    </w:p>
    <w:p>
      <w:pPr>
        <w:pStyle w:val="style179"/>
        <w:numPr>
          <w:ilvl w:val="0"/>
          <w:numId w:val="1"/>
        </w:numPr>
        <w:spacing w:lineRule="auto" w:line="360"/>
        <w:jc w:val="both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Introduction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Micronutrient deficiencies, or "hidden hunger," affect over 2 billion people globally, with iron-deficiency </w:t>
      </w:r>
      <w:r>
        <w:rPr>
          <w:rFonts w:ascii="Times New Roman" w:cs="Times New Roman" w:hAnsi="Times New Roman"/>
          <w:sz w:val="24"/>
          <w:szCs w:val="24"/>
        </w:rPr>
        <w:t>anemia</w:t>
      </w:r>
      <w:r>
        <w:rPr>
          <w:rFonts w:ascii="Times New Roman" w:cs="Times New Roman" w:hAnsi="Times New Roman"/>
          <w:sz w:val="24"/>
          <w:szCs w:val="24"/>
        </w:rPr>
        <w:t>, vitamin A deficiency, and calcium inadequacy being the most prevalent (</w:t>
      </w:r>
      <w:r>
        <w:rPr>
          <w:rFonts w:ascii="Times New Roman" w:cs="Times New Roman" w:hAnsi="Times New Roman"/>
          <w:sz w:val="24"/>
          <w:szCs w:val="24"/>
        </w:rPr>
        <w:t xml:space="preserve">Kumar </w:t>
      </w:r>
      <w:r>
        <w:rPr>
          <w:rFonts w:ascii="Times New Roman" w:cs="Times New Roman" w:hAnsi="Times New Roman"/>
          <w:i/>
          <w:iCs/>
          <w:sz w:val="24"/>
          <w:szCs w:val="24"/>
        </w:rPr>
        <w:t>et al</w:t>
      </w:r>
      <w:r>
        <w:rPr>
          <w:rFonts w:ascii="Times New Roman" w:cs="Times New Roman" w:hAnsi="Times New Roman"/>
          <w:sz w:val="24"/>
          <w:szCs w:val="24"/>
        </w:rPr>
        <w:t>.,</w:t>
      </w:r>
      <w:r>
        <w:rPr>
          <w:rFonts w:ascii="Times New Roman" w:cs="Times New Roman" w:hAnsi="Times New Roman"/>
          <w:sz w:val="24"/>
          <w:szCs w:val="24"/>
        </w:rPr>
        <w:t xml:space="preserve"> 2023). Despite increased agricultural productivity, modern diets have shifted toward energy-dense, nutrient-poor staples, leading to reduced consumption of green leafy vegetables (GLVs) (</w:t>
      </w:r>
      <w:r>
        <w:rPr>
          <w:rFonts w:ascii="Times New Roman" w:cs="Times New Roman" w:hAnsi="Times New Roman"/>
          <w:sz w:val="24"/>
          <w:szCs w:val="24"/>
        </w:rPr>
        <w:t>Willett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</w:rPr>
        <w:t>et al</w:t>
      </w:r>
      <w:r>
        <w:rPr>
          <w:rFonts w:ascii="Times New Roman" w:cs="Times New Roman" w:hAnsi="Times New Roman"/>
          <w:sz w:val="24"/>
          <w:szCs w:val="24"/>
        </w:rPr>
        <w:t>., 202</w:t>
      </w:r>
      <w:r>
        <w:rPr>
          <w:rFonts w:ascii="Times New Roman" w:cs="Times New Roman" w:hAnsi="Times New Roman"/>
          <w:sz w:val="24"/>
          <w:szCs w:val="24"/>
        </w:rPr>
        <w:t>4</w:t>
      </w:r>
      <w:r>
        <w:rPr>
          <w:rFonts w:ascii="Times New Roman" w:cs="Times New Roman" w:hAnsi="Times New Roman"/>
          <w:sz w:val="24"/>
          <w:szCs w:val="24"/>
        </w:rPr>
        <w:t xml:space="preserve">). This nutritional transition, driven by urbanization and time-constrained lifestyles, has increased demand for convenient, minimally prepared functional foods </w:t>
      </w:r>
      <w:r>
        <w:rPr>
          <w:rFonts w:ascii="Times New Roman" w:cs="Times New Roman" w:hAnsi="Times New Roman"/>
          <w:sz w:val="24"/>
          <w:szCs w:val="24"/>
        </w:rPr>
        <w:t xml:space="preserve">(Kaur </w:t>
      </w:r>
      <w:r>
        <w:rPr>
          <w:rFonts w:ascii="Times New Roman" w:cs="Times New Roman" w:hAnsi="Times New Roman"/>
          <w:i/>
          <w:iCs/>
          <w:sz w:val="24"/>
          <w:szCs w:val="24"/>
        </w:rPr>
        <w:t>et al</w:t>
      </w:r>
      <w:r>
        <w:rPr>
          <w:rFonts w:ascii="Times New Roman" w:cs="Times New Roman" w:hAnsi="Times New Roman"/>
          <w:sz w:val="24"/>
          <w:szCs w:val="24"/>
        </w:rPr>
        <w:t>., 202</w:t>
      </w:r>
      <w:r>
        <w:rPr>
          <w:rFonts w:ascii="Times New Roman" w:cs="Times New Roman" w:hAnsi="Times New Roman"/>
          <w:sz w:val="24"/>
          <w:szCs w:val="24"/>
        </w:rPr>
        <w:t>5</w:t>
      </w:r>
      <w:r>
        <w:rPr>
          <w:rFonts w:ascii="Times New Roman" w:cs="Times New Roman" w:hAnsi="Times New Roman"/>
          <w:sz w:val="24"/>
          <w:szCs w:val="24"/>
        </w:rPr>
        <w:t>). Consequently, developing Ready-to-Cook (RTC) and Ready-to-Eat (RTE) supplements that deliver concentrated micronutrients is a vital strategy to combat malnutrition (</w:t>
      </w:r>
      <w:r>
        <w:rPr>
          <w:rFonts w:ascii="Times New Roman" w:cs="Times New Roman" w:hAnsi="Times New Roman"/>
          <w:sz w:val="24"/>
          <w:szCs w:val="24"/>
        </w:rPr>
        <w:t>Rani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</w:rPr>
        <w:t>et al</w:t>
      </w:r>
      <w:r>
        <w:rPr>
          <w:rFonts w:ascii="Times New Roman" w:cs="Times New Roman" w:hAnsi="Times New Roman"/>
          <w:sz w:val="24"/>
          <w:szCs w:val="24"/>
        </w:rPr>
        <w:t>., 202</w:t>
      </w:r>
      <w:r>
        <w:rPr>
          <w:rFonts w:ascii="Times New Roman" w:cs="Times New Roman" w:hAnsi="Times New Roman"/>
          <w:sz w:val="24"/>
          <w:szCs w:val="24"/>
        </w:rPr>
        <w:t>4</w:t>
      </w:r>
      <w:r>
        <w:rPr>
          <w:rFonts w:ascii="Times New Roman" w:cs="Times New Roman" w:hAnsi="Times New Roman"/>
          <w:sz w:val="24"/>
          <w:szCs w:val="24"/>
        </w:rPr>
        <w:t>).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Current functional food matrices—predominantly cereals, legumes, and oilseeds—often lack sufficient bioavailable iron, calcium, and folate, which are abundant in GLVs (</w:t>
      </w:r>
      <w:r>
        <w:rPr>
          <w:rFonts w:ascii="Times New Roman" w:cs="Times New Roman" w:hAnsi="Times New Roman"/>
          <w:sz w:val="24"/>
          <w:szCs w:val="24"/>
        </w:rPr>
        <w:t>Natesh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</w:rPr>
        <w:t>et al</w:t>
      </w:r>
      <w:r>
        <w:rPr>
          <w:rFonts w:ascii="Times New Roman" w:cs="Times New Roman" w:hAnsi="Times New Roman"/>
          <w:sz w:val="24"/>
          <w:szCs w:val="24"/>
        </w:rPr>
        <w:t>., 20</w:t>
      </w:r>
      <w:r>
        <w:rPr>
          <w:rFonts w:ascii="Times New Roman" w:cs="Times New Roman" w:hAnsi="Times New Roman"/>
          <w:sz w:val="24"/>
          <w:szCs w:val="24"/>
        </w:rPr>
        <w:t>17</w:t>
      </w:r>
      <w:r>
        <w:rPr>
          <w:rFonts w:ascii="Times New Roman" w:cs="Times New Roman" w:hAnsi="Times New Roman"/>
          <w:sz w:val="24"/>
          <w:szCs w:val="24"/>
        </w:rPr>
        <w:t>). Despite guidelines recommending 100–125 g of GLV intake daily (ICMR, 2020), over 70% of urban adults in developing countries consume less than half this amount (NNMB, 20</w:t>
      </w:r>
      <w:r>
        <w:rPr>
          <w:rFonts w:ascii="Times New Roman" w:cs="Times New Roman" w:hAnsi="Times New Roman"/>
          <w:sz w:val="24"/>
          <w:szCs w:val="24"/>
        </w:rPr>
        <w:t>17</w:t>
      </w:r>
      <w:r>
        <w:rPr>
          <w:rFonts w:ascii="Times New Roman" w:cs="Times New Roman" w:hAnsi="Times New Roman"/>
          <w:sz w:val="24"/>
          <w:szCs w:val="24"/>
        </w:rPr>
        <w:t>). This gap presents a critical opportunity to incorporate underutilized GLV species into convenient food formats.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Among these, </w:t>
      </w:r>
      <w:commentRangeStart w:id="6"/>
      <w:commentRangeStart w:id="5"/>
      <w:r>
        <w:rPr>
          <w:rFonts w:ascii="Times New Roman" w:cs="Times New Roman" w:hAnsi="Times New Roman"/>
          <w:sz w:val="24"/>
          <w:szCs w:val="24"/>
        </w:rPr>
        <w:t xml:space="preserve">Basella rubra </w:t>
      </w:r>
      <w:commentRangeEnd w:id="5"/>
      <w:r>
        <w:rPr/>
        <w:commentReference w:id="5"/>
      </w:r>
      <w:commentRangeEnd w:id="6"/>
      <w:r>
        <w:rPr/>
        <w:commentReference w:id="6"/>
      </w:r>
      <w:r>
        <w:rPr>
          <w:rFonts w:ascii="Times New Roman" w:cs="Times New Roman" w:hAnsi="Times New Roman"/>
          <w:sz w:val="24"/>
          <w:szCs w:val="24"/>
        </w:rPr>
        <w:t>L. (red Malabar spinach) offers exceptional, yet unexploited</w:t>
      </w:r>
      <w:commentRangeStart w:id="7"/>
      <w:r>
        <w:rPr>
          <w:rFonts w:ascii="Times New Roman" w:cs="Times New Roman" w:hAnsi="Times New Roman"/>
          <w:sz w:val="24"/>
          <w:szCs w:val="24"/>
        </w:rPr>
        <w:t>,</w:t>
      </w:r>
      <w:commentRangeEnd w:id="7"/>
      <w:r>
        <w:rPr/>
        <w:commentReference w:id="7"/>
      </w:r>
      <w:r>
        <w:rPr>
          <w:rFonts w:ascii="Times New Roman" w:cs="Times New Roman" w:hAnsi="Times New Roman"/>
          <w:sz w:val="24"/>
          <w:szCs w:val="24"/>
        </w:rPr>
        <w:t xml:space="preserve"> nutritional potential. 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commentRangeStart w:id="8"/>
      <w:r>
        <w:rPr>
          <w:rFonts w:ascii="Times New Roman" w:cs="Times New Roman" w:hAnsi="Times New Roman"/>
          <w:sz w:val="24"/>
          <w:szCs w:val="24"/>
        </w:rPr>
        <w:t>c</w:t>
      </w:r>
      <w:commentRangeEnd w:id="8"/>
      <w:r>
        <w:rPr/>
        <w:commentReference w:id="8"/>
      </w:r>
      <w:r>
        <w:rPr>
          <w:rFonts w:ascii="Times New Roman" w:cs="Times New Roman" w:hAnsi="Times New Roman"/>
          <w:sz w:val="24"/>
          <w:szCs w:val="24"/>
        </w:rPr>
        <w:t>omparison of the nutritional content of Malabar spinach leaves with that of other known green leafy vegetables such as Moringa, Kale (</w:t>
      </w:r>
      <w:r>
        <w:rPr>
          <w:rFonts w:ascii="Times New Roman" w:cs="Times New Roman" w:hAnsi="Times New Roman"/>
          <w:i/>
          <w:iCs/>
          <w:sz w:val="24"/>
          <w:szCs w:val="24"/>
        </w:rPr>
        <w:t>Brassica oleracea</w:t>
      </w:r>
      <w:r>
        <w:rPr>
          <w:rFonts w:ascii="Times New Roman" w:cs="Times New Roman" w:hAnsi="Times New Roman"/>
          <w:sz w:val="24"/>
          <w:szCs w:val="24"/>
        </w:rPr>
        <w:t>), and spinach (</w:t>
      </w:r>
      <w:r>
        <w:rPr>
          <w:rFonts w:ascii="Times New Roman" w:cs="Times New Roman" w:hAnsi="Times New Roman"/>
          <w:i/>
          <w:iCs/>
          <w:sz w:val="24"/>
          <w:szCs w:val="24"/>
        </w:rPr>
        <w:t>Spinacia oleracea</w:t>
      </w:r>
      <w:r>
        <w:rPr>
          <w:rFonts w:ascii="Times New Roman" w:cs="Times New Roman" w:hAnsi="Times New Roman"/>
          <w:sz w:val="24"/>
          <w:szCs w:val="24"/>
        </w:rPr>
        <w:t xml:space="preserve">) showed that crude protein content in Malabar spinach leaves was twice that of Moringa leaves (Teixeira </w:t>
      </w:r>
      <w:r>
        <w:rPr>
          <w:rFonts w:ascii="Times New Roman" w:cs="Times New Roman" w:hAnsi="Times New Roman"/>
          <w:i/>
          <w:iCs/>
          <w:sz w:val="24"/>
          <w:szCs w:val="24"/>
        </w:rPr>
        <w:t>et al</w:t>
      </w:r>
      <w:r>
        <w:rPr>
          <w:rFonts w:ascii="Times New Roman" w:cs="Times New Roman" w:hAnsi="Times New Roman"/>
          <w:sz w:val="24"/>
          <w:szCs w:val="24"/>
        </w:rPr>
        <w:t>., 2014) and has over 3 times more vitamin C than spinach (</w:t>
      </w:r>
      <w:r>
        <w:rPr>
          <w:rFonts w:ascii="Times New Roman" w:cs="Times New Roman" w:hAnsi="Times New Roman"/>
          <w:i/>
          <w:iCs/>
          <w:sz w:val="24"/>
          <w:szCs w:val="24"/>
        </w:rPr>
        <w:t>Spinacia oleracea</w:t>
      </w:r>
      <w:r>
        <w:rPr>
          <w:rFonts w:ascii="Times New Roman" w:cs="Times New Roman" w:hAnsi="Times New Roman"/>
          <w:sz w:val="24"/>
          <w:szCs w:val="24"/>
        </w:rPr>
        <w:t>), 1.5 times more vitamin A than kale (</w:t>
      </w:r>
      <w:r>
        <w:rPr>
          <w:rFonts w:ascii="Times New Roman" w:cs="Times New Roman" w:hAnsi="Times New Roman"/>
          <w:i/>
          <w:iCs/>
          <w:sz w:val="24"/>
          <w:szCs w:val="24"/>
        </w:rPr>
        <w:t>Brassica oleracea</w:t>
      </w:r>
      <w:r>
        <w:rPr>
          <w:rFonts w:ascii="Times New Roman" w:cs="Times New Roman" w:hAnsi="Times New Roman"/>
          <w:sz w:val="24"/>
          <w:szCs w:val="24"/>
        </w:rPr>
        <w:t xml:space="preserve">). The β-carotene and iron content was also reported to be sevenfold higher than that of spinach leaves (Banerjee </w:t>
      </w:r>
      <w:r>
        <w:rPr>
          <w:rFonts w:ascii="Times New Roman" w:cs="Times New Roman" w:hAnsi="Times New Roman"/>
          <w:i/>
          <w:iCs/>
          <w:sz w:val="24"/>
          <w:szCs w:val="24"/>
        </w:rPr>
        <w:t>et al</w:t>
      </w:r>
      <w:r>
        <w:rPr>
          <w:rFonts w:ascii="Times New Roman" w:cs="Times New Roman" w:hAnsi="Times New Roman"/>
          <w:sz w:val="24"/>
          <w:szCs w:val="24"/>
        </w:rPr>
        <w:t>., 2015)</w:t>
      </w:r>
      <w:r>
        <w:rPr>
          <w:rFonts w:ascii="Times New Roman" w:cs="Times New Roman" w:hAnsi="Times New Roman"/>
          <w:sz w:val="24"/>
          <w:szCs w:val="24"/>
        </w:rPr>
        <w:t xml:space="preserve">. </w:t>
      </w:r>
      <w:r>
        <w:rPr>
          <w:rFonts w:ascii="Times New Roman" w:cs="Times New Roman" w:hAnsi="Times New Roman"/>
          <w:sz w:val="24"/>
          <w:szCs w:val="24"/>
        </w:rPr>
        <w:t>Formulating</w:t>
      </w:r>
      <w:r>
        <w:rPr>
          <w:rFonts w:ascii="Times New Roman" w:cs="Times New Roman" w:hAnsi="Times New Roman"/>
          <w:sz w:val="24"/>
          <w:szCs w:val="24"/>
        </w:rPr>
        <w:t xml:space="preserve"> composite supplements requires strategic ingredient selection to balance macronutrients and enhance bioavailability (</w:t>
      </w:r>
      <w:r>
        <w:rPr>
          <w:rFonts w:ascii="Times New Roman" w:cs="Times New Roman" w:hAnsi="Times New Roman"/>
          <w:sz w:val="24"/>
          <w:szCs w:val="24"/>
        </w:rPr>
        <w:t>Granato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</w:rPr>
        <w:t>et al</w:t>
      </w:r>
      <w:r>
        <w:rPr>
          <w:rFonts w:ascii="Times New Roman" w:cs="Times New Roman" w:hAnsi="Times New Roman"/>
          <w:sz w:val="24"/>
          <w:szCs w:val="24"/>
        </w:rPr>
        <w:t>., 202</w:t>
      </w:r>
      <w:r>
        <w:rPr>
          <w:rFonts w:ascii="Times New Roman" w:cs="Times New Roman" w:hAnsi="Times New Roman"/>
          <w:sz w:val="24"/>
          <w:szCs w:val="24"/>
        </w:rPr>
        <w:t>0</w:t>
      </w:r>
      <w:r>
        <w:rPr>
          <w:rFonts w:ascii="Times New Roman" w:cs="Times New Roman" w:hAnsi="Times New Roman"/>
          <w:sz w:val="24"/>
          <w:szCs w:val="24"/>
        </w:rPr>
        <w:t xml:space="preserve">). Cereal-legume combinations, such as brown rice and mung bean, provide essential amino acid complementation (Nosworthy </w:t>
      </w:r>
      <w:r>
        <w:rPr>
          <w:rFonts w:ascii="Times New Roman" w:cs="Times New Roman" w:hAnsi="Times New Roman"/>
          <w:i/>
          <w:iCs/>
          <w:sz w:val="24"/>
          <w:szCs w:val="24"/>
        </w:rPr>
        <w:t>et al</w:t>
      </w:r>
      <w:r>
        <w:rPr>
          <w:rFonts w:ascii="Times New Roman" w:cs="Times New Roman" w:hAnsi="Times New Roman"/>
          <w:sz w:val="24"/>
          <w:szCs w:val="24"/>
        </w:rPr>
        <w:t>., 201</w:t>
      </w:r>
      <w:r>
        <w:rPr>
          <w:rFonts w:ascii="Times New Roman" w:cs="Times New Roman" w:hAnsi="Times New Roman"/>
          <w:sz w:val="24"/>
          <w:szCs w:val="24"/>
        </w:rPr>
        <w:t>8</w:t>
      </w:r>
      <w:r>
        <w:rPr>
          <w:rFonts w:ascii="Times New Roman" w:cs="Times New Roman" w:hAnsi="Times New Roman"/>
          <w:sz w:val="24"/>
          <w:szCs w:val="24"/>
        </w:rPr>
        <w:t>), while GLV-derived ascorbic acid can enhance non-</w:t>
      </w:r>
      <w:r>
        <w:rPr>
          <w:rFonts w:ascii="Times New Roman" w:cs="Times New Roman" w:hAnsi="Times New Roman"/>
          <w:sz w:val="24"/>
          <w:szCs w:val="24"/>
        </w:rPr>
        <w:t>heme</w:t>
      </w:r>
      <w:r>
        <w:rPr>
          <w:rFonts w:ascii="Times New Roman" w:cs="Times New Roman" w:hAnsi="Times New Roman"/>
          <w:sz w:val="24"/>
          <w:szCs w:val="24"/>
        </w:rPr>
        <w:t xml:space="preserve"> iron absorption (</w:t>
      </w:r>
      <w:r>
        <w:rPr>
          <w:rFonts w:ascii="Times New Roman" w:cs="Times New Roman" w:hAnsi="Times New Roman"/>
          <w:sz w:val="24"/>
          <w:szCs w:val="24"/>
        </w:rPr>
        <w:t>Karregat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</w:rPr>
        <w:t>et al</w:t>
      </w:r>
      <w:r>
        <w:rPr>
          <w:rFonts w:ascii="Times New Roman" w:cs="Times New Roman" w:hAnsi="Times New Roman"/>
          <w:sz w:val="24"/>
          <w:szCs w:val="24"/>
        </w:rPr>
        <w:t>., 20</w:t>
      </w:r>
      <w:r>
        <w:rPr>
          <w:rFonts w:ascii="Times New Roman" w:cs="Times New Roman" w:hAnsi="Times New Roman"/>
          <w:sz w:val="24"/>
          <w:szCs w:val="24"/>
        </w:rPr>
        <w:t>22</w:t>
      </w:r>
      <w:r>
        <w:rPr>
          <w:rFonts w:ascii="Times New Roman" w:cs="Times New Roman" w:hAnsi="Times New Roman"/>
          <w:sz w:val="24"/>
          <w:szCs w:val="24"/>
        </w:rPr>
        <w:t>).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However, nutrient retention is highly dependent on preprocessing. </w:t>
      </w:r>
      <w:r>
        <w:rPr>
          <w:rFonts w:ascii="Times New Roman" w:cs="Times New Roman" w:hAnsi="Times New Roman"/>
          <w:sz w:val="24"/>
          <w:szCs w:val="24"/>
        </w:rPr>
        <w:t xml:space="preserve">Freeze-drying (lyophilization) is widely considered the premier food preservation method for retaining nutritional value, typically preserving 85–97% of vitamins, minerals, and antioxidants </w:t>
      </w:r>
      <w:r>
        <w:rPr>
          <w:rFonts w:ascii="Times New Roman" w:cs="Times New Roman" w:hAnsi="Times New Roman"/>
          <w:sz w:val="24"/>
          <w:szCs w:val="24"/>
        </w:rPr>
        <w:t>(</w:t>
      </w:r>
      <w:r>
        <w:rPr>
          <w:rFonts w:ascii="Times New Roman" w:cs="Times New Roman" w:hAnsi="Times New Roman"/>
          <w:sz w:val="24"/>
          <w:szCs w:val="24"/>
        </w:rPr>
        <w:t>Nowak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</w:rPr>
        <w:t>et al</w:t>
      </w:r>
      <w:r>
        <w:rPr>
          <w:rFonts w:ascii="Times New Roman" w:cs="Times New Roman" w:hAnsi="Times New Roman"/>
          <w:sz w:val="24"/>
          <w:szCs w:val="24"/>
        </w:rPr>
        <w:t>., 202</w:t>
      </w:r>
      <w:r>
        <w:rPr>
          <w:rFonts w:ascii="Times New Roman" w:cs="Times New Roman" w:hAnsi="Times New Roman"/>
          <w:sz w:val="24"/>
          <w:szCs w:val="24"/>
        </w:rPr>
        <w:t>0</w:t>
      </w:r>
      <w:r>
        <w:rPr>
          <w:rFonts w:ascii="Times New Roman" w:cs="Times New Roman" w:hAnsi="Times New Roman"/>
          <w:sz w:val="24"/>
          <w:szCs w:val="24"/>
        </w:rPr>
        <w:t>).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Despite research on other GLVs like </w:t>
      </w:r>
      <w:commentRangeStart w:id="9"/>
      <w:r>
        <w:rPr>
          <w:rFonts w:ascii="Times New Roman" w:cs="Times New Roman" w:hAnsi="Times New Roman"/>
          <w:sz w:val="24"/>
          <w:szCs w:val="24"/>
        </w:rPr>
        <w:t>Moringa oleifera</w:t>
      </w:r>
      <w:commentRangeEnd w:id="9"/>
      <w:r>
        <w:rPr/>
        <w:commentReference w:id="9"/>
      </w:r>
      <w:r>
        <w:rPr>
          <w:rFonts w:ascii="Times New Roman" w:cs="Times New Roman" w:hAnsi="Times New Roman"/>
          <w:sz w:val="24"/>
          <w:szCs w:val="24"/>
        </w:rPr>
        <w:t xml:space="preserve">, there is a notable paucity of data on B. rubra-based composite supplements, </w:t>
      </w:r>
      <w:r>
        <w:rPr>
          <w:rFonts w:ascii="Times New Roman" w:cs="Times New Roman" w:hAnsi="Times New Roman"/>
          <w:sz w:val="24"/>
          <w:szCs w:val="24"/>
        </w:rPr>
        <w:t xml:space="preserve">specifically regarding optimized formulation ratios, </w:t>
      </w:r>
      <w:r>
        <w:rPr>
          <w:rFonts w:ascii="Times New Roman" w:cs="Times New Roman" w:hAnsi="Times New Roman"/>
          <w:sz w:val="24"/>
          <w:szCs w:val="24"/>
        </w:rPr>
        <w:t>betalain</w:t>
      </w:r>
      <w:r>
        <w:rPr>
          <w:rFonts w:ascii="Times New Roman" w:cs="Times New Roman" w:hAnsi="Times New Roman"/>
          <w:sz w:val="24"/>
          <w:szCs w:val="24"/>
        </w:rPr>
        <w:t xml:space="preserve"> stability, and mineral bioavailability in complex matrices. No published studies have systematically characterized freeze-dried B. rubra-fortified powders for RTC applications. Therefore, this study aimed to develop and evaluate a novel composite powder supplement incorporating freeze-</w:t>
      </w:r>
      <w:commentRangeStart w:id="10"/>
      <w:r>
        <w:rPr>
          <w:rFonts w:ascii="Times New Roman" w:cs="Times New Roman" w:hAnsi="Times New Roman"/>
          <w:sz w:val="24"/>
          <w:szCs w:val="24"/>
        </w:rPr>
        <w:t xml:space="preserve">dried B. rubra leaves (10%), brown rice flour (35%), mung bean flour (30%), and dehydrated pumpkin powder (25%). </w:t>
      </w:r>
      <w:commentRangeEnd w:id="10"/>
      <w:r>
        <w:rPr/>
        <w:commentReference w:id="10"/>
      </w:r>
      <w:r>
        <w:rPr>
          <w:rFonts w:ascii="Times New Roman" w:cs="Times New Roman" w:hAnsi="Times New Roman"/>
          <w:sz w:val="24"/>
          <w:szCs w:val="24"/>
        </w:rPr>
        <w:t>This formulation strategy seeks to address urban micronutrient gaps through a shelf-stable, nutrient-dense, and culturally acceptable food format.</w:t>
      </w:r>
    </w:p>
    <w:p>
      <w:pPr>
        <w:pStyle w:val="style179"/>
        <w:numPr>
          <w:ilvl w:val="0"/>
          <w:numId w:val="1"/>
        </w:numPr>
        <w:spacing w:lineRule="auto" w:line="360"/>
        <w:jc w:val="both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Materials and Methods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 xml:space="preserve">2.1 </w:t>
      </w:r>
      <w:r>
        <w:rPr>
          <w:rFonts w:ascii="Times New Roman" w:cs="Times New Roman" w:hAnsi="Times New Roman"/>
          <w:b/>
          <w:bCs/>
          <w:sz w:val="24"/>
          <w:szCs w:val="24"/>
        </w:rPr>
        <w:t>Plant Material and Authentication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Fresh leaves of </w:t>
      </w:r>
      <w:r>
        <w:rPr>
          <w:rFonts w:ascii="Times New Roman" w:cs="Times New Roman" w:hAnsi="Times New Roman"/>
          <w:i/>
          <w:iCs/>
          <w:sz w:val="24"/>
          <w:szCs w:val="24"/>
        </w:rPr>
        <w:t>Basella rubra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L</w:t>
      </w:r>
      <w:r>
        <w:rPr>
          <w:rFonts w:ascii="Times New Roman" w:cs="Times New Roman" w:hAnsi="Times New Roman"/>
          <w:sz w:val="24"/>
          <w:szCs w:val="24"/>
        </w:rPr>
        <w:t xml:space="preserve">. (red-stemmed Malabar spinach, family </w:t>
      </w:r>
      <w:r>
        <w:rPr>
          <w:rFonts w:ascii="Times New Roman" w:cs="Times New Roman" w:hAnsi="Times New Roman"/>
          <w:sz w:val="24"/>
          <w:szCs w:val="24"/>
        </w:rPr>
        <w:t>Basellaceae</w:t>
      </w:r>
      <w:r>
        <w:rPr>
          <w:rFonts w:ascii="Times New Roman" w:cs="Times New Roman" w:hAnsi="Times New Roman"/>
          <w:sz w:val="24"/>
          <w:szCs w:val="24"/>
        </w:rPr>
        <w:t xml:space="preserve">) were cultivated and harvested from </w:t>
      </w:r>
      <w:r>
        <w:rPr>
          <w:rFonts w:ascii="Times New Roman" w:cs="Times New Roman" w:hAnsi="Times New Roman"/>
          <w:sz w:val="24"/>
          <w:szCs w:val="24"/>
        </w:rPr>
        <w:t>a</w:t>
      </w:r>
      <w:r>
        <w:rPr>
          <w:rFonts w:ascii="Times New Roman" w:cs="Times New Roman" w:hAnsi="Times New Roman"/>
          <w:sz w:val="24"/>
          <w:szCs w:val="24"/>
        </w:rPr>
        <w:t xml:space="preserve"> plot in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Kattakada</w:t>
      </w:r>
      <w:r>
        <w:rPr>
          <w:rFonts w:ascii="Times New Roman" w:cs="Times New Roman" w:hAnsi="Times New Roman"/>
          <w:sz w:val="24"/>
          <w:szCs w:val="24"/>
        </w:rPr>
        <w:t>, Thiruvananthapuram, Kerala, India (Latitude 8.50°N, Longitude 77.08°E)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during (</w:t>
      </w:r>
      <w:r>
        <w:rPr>
          <w:rFonts w:ascii="Times New Roman" w:cs="Times New Roman" w:hAnsi="Times New Roman"/>
          <w:sz w:val="24"/>
          <w:szCs w:val="24"/>
        </w:rPr>
        <w:t>March–April 2023</w:t>
      </w:r>
      <w:r>
        <w:rPr>
          <w:rFonts w:ascii="Times New Roman" w:cs="Times New Roman" w:hAnsi="Times New Roman"/>
          <w:sz w:val="24"/>
          <w:szCs w:val="24"/>
        </w:rPr>
        <w:t xml:space="preserve">. </w:t>
      </w:r>
      <w:r>
        <w:rPr>
          <w:rFonts w:ascii="Times New Roman" w:cs="Times New Roman" w:hAnsi="Times New Roman"/>
          <w:sz w:val="24"/>
          <w:szCs w:val="24"/>
        </w:rPr>
        <w:t>Plants were cultivated in red non-gravelly laterite soil under manual hand watering with standard agronomic practices</w:t>
      </w:r>
      <w:r>
        <w:rPr>
          <w:rFonts w:ascii="Times New Roman" w:cs="Times New Roman" w:hAnsi="Times New Roman"/>
          <w:sz w:val="24"/>
          <w:szCs w:val="24"/>
        </w:rPr>
        <w:t xml:space="preserve">. </w:t>
      </w:r>
      <w:r>
        <w:rPr>
          <w:rFonts w:ascii="Times New Roman" w:cs="Times New Roman" w:hAnsi="Times New Roman"/>
          <w:sz w:val="24"/>
          <w:szCs w:val="24"/>
        </w:rPr>
        <w:t xml:space="preserve">Mature, succulent leaves (3–4 inches </w:t>
      </w:r>
      <w:r>
        <w:rPr>
          <w:rFonts w:ascii="Times New Roman" w:cs="Times New Roman" w:hAnsi="Times New Roman"/>
          <w:sz w:val="24"/>
          <w:szCs w:val="24"/>
        </w:rPr>
        <w:t xml:space="preserve">in </w:t>
      </w:r>
      <w:r>
        <w:rPr>
          <w:rFonts w:ascii="Times New Roman" w:cs="Times New Roman" w:hAnsi="Times New Roman"/>
          <w:sz w:val="24"/>
          <w:szCs w:val="24"/>
        </w:rPr>
        <w:t xml:space="preserve">length) along with tender stem tips were harvested 70 days after </w:t>
      </w:r>
      <w:r>
        <w:rPr>
          <w:rFonts w:ascii="Times New Roman" w:cs="Times New Roman" w:hAnsi="Times New Roman"/>
          <w:sz w:val="24"/>
          <w:szCs w:val="24"/>
        </w:rPr>
        <w:t>planting</w:t>
      </w:r>
      <w:r>
        <w:rPr>
          <w:rFonts w:ascii="Times New Roman" w:cs="Times New Roman" w:hAnsi="Times New Roman"/>
          <w:sz w:val="24"/>
          <w:szCs w:val="24"/>
        </w:rPr>
        <w:t xml:space="preserve"> during early morning hours to minimize respiration losses. Harvested leaves were immediately transported to the laboratory.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 xml:space="preserve">2.2 </w:t>
      </w:r>
      <w:r>
        <w:rPr>
          <w:rFonts w:ascii="Times New Roman" w:cs="Times New Roman" w:hAnsi="Times New Roman"/>
          <w:b/>
          <w:bCs/>
          <w:sz w:val="24"/>
          <w:szCs w:val="24"/>
        </w:rPr>
        <w:t>Collection and Preparation of Raw Materials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Freeze-dried Malabar spinach (Basella rubra) leaves, pumpkin (</w:t>
      </w:r>
      <w:r>
        <w:rPr>
          <w:rFonts w:ascii="Times New Roman" w:cs="Times New Roman" w:hAnsi="Times New Roman"/>
          <w:i/>
          <w:iCs/>
          <w:sz w:val="24"/>
          <w:szCs w:val="24"/>
        </w:rPr>
        <w:t>Cucurbita maxima</w:t>
      </w:r>
      <w:r>
        <w:rPr>
          <w:rFonts w:ascii="Times New Roman" w:cs="Times New Roman" w:hAnsi="Times New Roman"/>
          <w:sz w:val="24"/>
          <w:szCs w:val="24"/>
        </w:rPr>
        <w:t xml:space="preserve">), whole grain </w:t>
      </w:r>
      <w:r>
        <w:rPr>
          <w:rFonts w:ascii="Times New Roman" w:cs="Times New Roman" w:hAnsi="Times New Roman"/>
          <w:sz w:val="24"/>
          <w:szCs w:val="24"/>
        </w:rPr>
        <w:t>Njavara</w:t>
      </w:r>
      <w:r>
        <w:rPr>
          <w:rFonts w:ascii="Times New Roman" w:cs="Times New Roman" w:hAnsi="Times New Roman"/>
          <w:sz w:val="24"/>
          <w:szCs w:val="24"/>
        </w:rPr>
        <w:t xml:space="preserve"> rice (</w:t>
      </w:r>
      <w:r>
        <w:rPr>
          <w:rFonts w:ascii="Times New Roman" w:cs="Times New Roman" w:hAnsi="Times New Roman"/>
          <w:i/>
          <w:iCs/>
          <w:sz w:val="24"/>
          <w:szCs w:val="24"/>
        </w:rPr>
        <w:t>Oryza sativa</w:t>
      </w:r>
      <w:r>
        <w:rPr>
          <w:rFonts w:ascii="Times New Roman" w:cs="Times New Roman" w:hAnsi="Times New Roman"/>
          <w:sz w:val="24"/>
          <w:szCs w:val="24"/>
        </w:rPr>
        <w:t xml:space="preserve"> var. </w:t>
      </w:r>
      <w:r>
        <w:rPr>
          <w:rFonts w:ascii="Times New Roman" w:cs="Times New Roman" w:hAnsi="Times New Roman"/>
          <w:sz w:val="24"/>
          <w:szCs w:val="24"/>
        </w:rPr>
        <w:t>Njavara</w:t>
      </w:r>
      <w:r>
        <w:rPr>
          <w:rFonts w:ascii="Times New Roman" w:cs="Times New Roman" w:hAnsi="Times New Roman"/>
          <w:sz w:val="24"/>
          <w:szCs w:val="24"/>
        </w:rPr>
        <w:t>), and green gram (</w:t>
      </w:r>
      <w:r>
        <w:rPr>
          <w:rFonts w:ascii="Times New Roman" w:cs="Times New Roman" w:hAnsi="Times New Roman"/>
          <w:i/>
          <w:iCs/>
          <w:sz w:val="24"/>
          <w:szCs w:val="24"/>
        </w:rPr>
        <w:t>Vigna radiata</w:t>
      </w:r>
      <w:r>
        <w:rPr>
          <w:rFonts w:ascii="Times New Roman" w:cs="Times New Roman" w:hAnsi="Times New Roman"/>
          <w:sz w:val="24"/>
          <w:szCs w:val="24"/>
        </w:rPr>
        <w:t xml:space="preserve">) were processed for </w:t>
      </w:r>
      <w:r>
        <w:rPr>
          <w:rFonts w:ascii="Times New Roman" w:cs="Times New Roman" w:hAnsi="Times New Roman"/>
          <w:sz w:val="24"/>
          <w:szCs w:val="24"/>
        </w:rPr>
        <w:t>nutrimix</w:t>
      </w:r>
      <w:r>
        <w:rPr>
          <w:rFonts w:ascii="Times New Roman" w:cs="Times New Roman" w:hAnsi="Times New Roman"/>
          <w:sz w:val="24"/>
          <w:szCs w:val="24"/>
        </w:rPr>
        <w:t xml:space="preserve"> formulation.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Leaf Processing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Fresh Malabar spinach leaves were washed under running tap water to remove soil and debris, then triple-rinsed with deionized water. Leaves were evenly spread on stainless steel trays (200 g m⁻² loading density) and freeze-dried using a </w:t>
      </w:r>
      <w:r>
        <w:rPr>
          <w:rFonts w:ascii="Times New Roman" w:cs="Times New Roman" w:hAnsi="Times New Roman"/>
          <w:sz w:val="24"/>
          <w:szCs w:val="24"/>
        </w:rPr>
        <w:t>VirTis</w:t>
      </w:r>
      <w:r>
        <w:rPr>
          <w:rFonts w:ascii="Times New Roman" w:cs="Times New Roman" w:hAnsi="Times New Roman"/>
          <w:sz w:val="24"/>
          <w:szCs w:val="24"/>
        </w:rPr>
        <w:t xml:space="preserve"> Genesis FD-10 (SP Scientific, USA) at −40°C chamber </w:t>
      </w:r>
      <w:r>
        <w:rPr>
          <w:rFonts w:ascii="Times New Roman" w:cs="Times New Roman" w:hAnsi="Times New Roman"/>
          <w:sz w:val="24"/>
          <w:szCs w:val="24"/>
        </w:rPr>
        <w:t>temperature,−</w:t>
      </w:r>
      <w:r>
        <w:rPr>
          <w:rFonts w:ascii="Times New Roman" w:cs="Times New Roman" w:hAnsi="Times New Roman"/>
          <w:sz w:val="24"/>
          <w:szCs w:val="24"/>
        </w:rPr>
        <w:t>55°C condenser temperature, and 0.1 mbar vacuum for 72 h until moisture content was &lt;5% w/w. The resulting material was milled, sieved through a 150 µm (100 mesh) screen, and stored in glass jars.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Other Ingredients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Fresh pumpkin was washed, peeled, deseeded, sliced to 2 mm thickness, treated with 1 g L⁻¹ sodium metabisulfite (3 min), blanched (90–95°C, 3 min), and rapidly cooled. </w:t>
      </w:r>
      <w:r>
        <w:rPr>
          <w:rFonts w:ascii="Times New Roman" w:cs="Times New Roman" w:hAnsi="Times New Roman"/>
          <w:sz w:val="24"/>
          <w:szCs w:val="24"/>
        </w:rPr>
        <w:t>Njavara</w:t>
      </w:r>
      <w:r>
        <w:rPr>
          <w:rFonts w:ascii="Times New Roman" w:cs="Times New Roman" w:hAnsi="Times New Roman"/>
          <w:sz w:val="24"/>
          <w:szCs w:val="24"/>
        </w:rPr>
        <w:t xml:space="preserve"> rice and green gram—sourced from </w:t>
      </w:r>
      <w:r>
        <w:rPr>
          <w:rFonts w:ascii="Times New Roman" w:cs="Times New Roman" w:hAnsi="Times New Roman"/>
          <w:sz w:val="24"/>
          <w:szCs w:val="24"/>
        </w:rPr>
        <w:t>Kattakada</w:t>
      </w:r>
      <w:r>
        <w:rPr>
          <w:rFonts w:ascii="Times New Roman" w:cs="Times New Roman" w:hAnsi="Times New Roman"/>
          <w:sz w:val="24"/>
          <w:szCs w:val="24"/>
        </w:rPr>
        <w:t xml:space="preserve"> markets, Thiruvananthapuram—were cleaned of impurities and washed with potable water. All materials (pumpkin slices, rice, mung beans) were dried at 55°C for 9 h in a cabinet dryer, milled, passed through a 150 µm sieve, and stored in airtight containers until blending</w:t>
      </w:r>
      <w:r>
        <w:rPr>
          <w:rFonts w:ascii="Times New Roman" w:cs="Times New Roman" w:hAnsi="Times New Roman"/>
          <w:sz w:val="24"/>
          <w:szCs w:val="24"/>
        </w:rPr>
        <w:t xml:space="preserve">. 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2.</w:t>
      </w:r>
      <w:r>
        <w:rPr>
          <w:rFonts w:ascii="Times New Roman" w:cs="Times New Roman" w:hAnsi="Times New Roman"/>
          <w:b/>
          <w:bCs/>
          <w:sz w:val="24"/>
          <w:szCs w:val="24"/>
        </w:rPr>
        <w:t>3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Formulation of Composite </w:t>
      </w:r>
      <w:r>
        <w:rPr>
          <w:rFonts w:ascii="Times New Roman" w:cs="Times New Roman" w:hAnsi="Times New Roman"/>
          <w:b/>
          <w:bCs/>
          <w:sz w:val="24"/>
          <w:szCs w:val="24"/>
        </w:rPr>
        <w:t>Nutrimix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Five experimental formulations (N₁–N₅) were developed by varying the proportion of freeze-dried Malabar spinach powder from 5% to 25% in 5% increments, with complementary adjustments in pumpkin, brown rice, and mung bean powders (Table 1). The formulation strategy was based on: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Maintaining a cereal-legume ratio of 55–70% to ensure protein complementation and structural integrity</w:t>
      </w:r>
      <w:r>
        <w:rPr>
          <w:rFonts w:ascii="Times New Roman" w:cs="Times New Roman" w:hAnsi="Times New Roman"/>
          <w:sz w:val="24"/>
          <w:szCs w:val="24"/>
        </w:rPr>
        <w:t>. A strategy of blending legume</w:t>
      </w:r>
      <w:commentRangeStart w:id="12"/>
      <w:r>
        <w:rPr>
          <w:rFonts w:ascii="Times New Roman" w:cs="Times New Roman" w:hAnsi="Times New Roman"/>
          <w:sz w:val="24"/>
          <w:szCs w:val="24"/>
        </w:rPr>
        <w:t xml:space="preserve"> </w:t>
      </w:r>
      <w:commentRangeStart w:id="11"/>
      <w:r>
        <w:rPr>
          <w:rFonts w:ascii="Times New Roman" w:cs="Times New Roman" w:hAnsi="Times New Roman"/>
          <w:sz w:val="24"/>
          <w:szCs w:val="24"/>
        </w:rPr>
        <w:t>&amp;</w:t>
      </w:r>
      <w:commentRangeEnd w:id="11"/>
      <w:r>
        <w:rPr/>
        <w:commentReference w:id="11"/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commentRangeEnd w:id="12"/>
      <w:r>
        <w:rPr/>
        <w:commentReference w:id="12"/>
      </w:r>
      <w:r>
        <w:rPr>
          <w:rFonts w:ascii="Times New Roman" w:cs="Times New Roman" w:hAnsi="Times New Roman"/>
          <w:sz w:val="24"/>
          <w:szCs w:val="24"/>
        </w:rPr>
        <w:t>cereal-based proteins can thus improve essential amino acid profile as they have complementary amino acid composition (</w:t>
      </w:r>
      <w:commentRangeStart w:id="13"/>
      <w:r>
        <w:rPr>
          <w:rFonts w:ascii="Times New Roman" w:cs="Times New Roman" w:hAnsi="Times New Roman"/>
          <w:sz w:val="24"/>
          <w:szCs w:val="24"/>
        </w:rPr>
        <w:t>Dimina</w:t>
      </w:r>
      <w:r>
        <w:rPr>
          <w:rFonts w:ascii="Times New Roman" w:cs="Times New Roman" w:hAnsi="Times New Roman"/>
          <w:sz w:val="24"/>
          <w:szCs w:val="24"/>
        </w:rPr>
        <w:t xml:space="preserve"> et al</w:t>
      </w:r>
      <w:commentRangeEnd w:id="13"/>
      <w:r>
        <w:rPr/>
        <w:commentReference w:id="13"/>
      </w:r>
      <w:r>
        <w:rPr>
          <w:rFonts w:ascii="Times New Roman" w:cs="Times New Roman" w:hAnsi="Times New Roman"/>
          <w:sz w:val="24"/>
          <w:szCs w:val="24"/>
        </w:rPr>
        <w:t>.,</w:t>
      </w:r>
      <w:r>
        <w:rPr>
          <w:rFonts w:ascii="Times New Roman" w:cs="Times New Roman" w:hAnsi="Times New Roman"/>
          <w:sz w:val="24"/>
          <w:szCs w:val="24"/>
        </w:rPr>
        <w:t xml:space="preserve"> 20</w:t>
      </w:r>
      <w:r>
        <w:rPr>
          <w:rFonts w:ascii="Times New Roman" w:cs="Times New Roman" w:hAnsi="Times New Roman"/>
          <w:sz w:val="24"/>
          <w:szCs w:val="24"/>
        </w:rPr>
        <w:t>22</w:t>
      </w:r>
      <w:r>
        <w:rPr>
          <w:rFonts w:ascii="Times New Roman" w:cs="Times New Roman" w:hAnsi="Times New Roman"/>
          <w:sz w:val="24"/>
          <w:szCs w:val="24"/>
        </w:rPr>
        <w:t>)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Incorporating 20–30% pumpkin for β-carotene enrichment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Gradually increasing Malabar spinach inclusion to evaluate dose-response effects on nutritional density and sensory </w:t>
      </w:r>
      <w:commentRangeStart w:id="14"/>
      <w:r>
        <w:rPr>
          <w:rFonts w:ascii="Times New Roman" w:cs="Times New Roman" w:hAnsi="Times New Roman"/>
          <w:sz w:val="24"/>
          <w:szCs w:val="24"/>
        </w:rPr>
        <w:t>acceptability</w:t>
      </w:r>
      <w:commentRangeEnd w:id="14"/>
      <w:r>
        <w:rPr/>
        <w:commentReference w:id="14"/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Table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bCs/>
          <w:sz w:val="24"/>
          <w:szCs w:val="24"/>
        </w:rPr>
        <w:t>1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Proportions of Ingredients </w:t>
      </w:r>
      <w:r>
        <w:rPr>
          <w:rFonts w:ascii="Times New Roman" w:cs="Times New Roman" w:hAnsi="Times New Roman"/>
          <w:b/>
          <w:bCs/>
          <w:sz w:val="24"/>
          <w:szCs w:val="24"/>
        </w:rPr>
        <w:t>Nutrimix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 Formulations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2035"/>
        <w:gridCol w:w="1613"/>
        <w:gridCol w:w="1342"/>
        <w:gridCol w:w="1342"/>
        <w:gridCol w:w="1342"/>
        <w:gridCol w:w="1342"/>
      </w:tblGrid>
      <w:tr>
        <w:trPr/>
        <w:tc>
          <w:tcPr>
            <w:tcW w:w="2035" w:type="dxa"/>
            <w:tcBorders/>
          </w:tcPr>
          <w:p>
            <w:pPr>
              <w:pStyle w:val="style0"/>
              <w:widowControl w:val="false"/>
              <w:autoSpaceDE w:val="false"/>
              <w:autoSpaceDN w:val="false"/>
              <w:spacing w:before="1" w:lineRule="auto" w:line="360"/>
              <w:ind w:right="520"/>
              <w:jc w:val="both"/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14:ligatures xmlns:w14="http://schemas.microsoft.com/office/word/2010/wordml" w14:val="none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Ingredients </w:t>
            </w:r>
          </w:p>
        </w:tc>
        <w:tc>
          <w:tcPr>
            <w:tcW w:w="1613" w:type="dxa"/>
            <w:tcBorders/>
          </w:tcPr>
          <w:p>
            <w:pPr>
              <w:pStyle w:val="style0"/>
              <w:widowControl w:val="false"/>
              <w:autoSpaceDE w:val="false"/>
              <w:autoSpaceDN w:val="false"/>
              <w:spacing w:before="1" w:lineRule="auto" w:line="360"/>
              <w:ind w:right="520"/>
              <w:jc w:val="both"/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14:ligatures xmlns:w14="http://schemas.microsoft.com/office/word/2010/wordml" w14:val="none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N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₁(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%)</w:t>
            </w:r>
          </w:p>
        </w:tc>
        <w:tc>
          <w:tcPr>
            <w:tcW w:w="1342" w:type="dxa"/>
            <w:tcBorders/>
          </w:tcPr>
          <w:p>
            <w:pPr>
              <w:pStyle w:val="style0"/>
              <w:widowControl w:val="false"/>
              <w:autoSpaceDE w:val="false"/>
              <w:autoSpaceDN w:val="false"/>
              <w:spacing w:before="1" w:lineRule="auto" w:line="360"/>
              <w:ind w:right="520"/>
              <w:jc w:val="both"/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14:ligatures xmlns:w14="http://schemas.microsoft.com/office/word/2010/wordml" w14:val="none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N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₂(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%)</w:t>
            </w:r>
          </w:p>
        </w:tc>
        <w:tc>
          <w:tcPr>
            <w:tcW w:w="1342" w:type="dxa"/>
            <w:tcBorders/>
          </w:tcPr>
          <w:p>
            <w:pPr>
              <w:pStyle w:val="style0"/>
              <w:widowControl w:val="false"/>
              <w:autoSpaceDE w:val="false"/>
              <w:autoSpaceDN w:val="false"/>
              <w:spacing w:before="1" w:lineRule="auto" w:line="360"/>
              <w:ind w:right="520"/>
              <w:jc w:val="both"/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14:ligatures xmlns:w14="http://schemas.microsoft.com/office/word/2010/wordml" w14:val="none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N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₃(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%)</w:t>
            </w:r>
          </w:p>
        </w:tc>
        <w:tc>
          <w:tcPr>
            <w:tcW w:w="1342" w:type="dxa"/>
            <w:tcBorders/>
          </w:tcPr>
          <w:p>
            <w:pPr>
              <w:pStyle w:val="style0"/>
              <w:widowControl w:val="false"/>
              <w:autoSpaceDE w:val="false"/>
              <w:autoSpaceDN w:val="false"/>
              <w:spacing w:before="1" w:lineRule="auto" w:line="360"/>
              <w:ind w:right="520"/>
              <w:jc w:val="both"/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14:ligatures xmlns:w14="http://schemas.microsoft.com/office/word/2010/wordml" w14:val="none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N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₄(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%)</w:t>
            </w:r>
          </w:p>
        </w:tc>
        <w:tc>
          <w:tcPr>
            <w:tcW w:w="1342" w:type="dxa"/>
            <w:tcBorders/>
          </w:tcPr>
          <w:p>
            <w:pPr>
              <w:pStyle w:val="style0"/>
              <w:widowControl w:val="false"/>
              <w:autoSpaceDE w:val="false"/>
              <w:autoSpaceDN w:val="false"/>
              <w:spacing w:before="1" w:lineRule="auto" w:line="360"/>
              <w:ind w:right="520"/>
              <w:jc w:val="both"/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14:ligatures xmlns:w14="http://schemas.microsoft.com/office/word/2010/wordml" w14:val="none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N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₅(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%)</w:t>
            </w:r>
          </w:p>
        </w:tc>
      </w:tr>
      <w:tr>
        <w:tblPrEx/>
        <w:trPr/>
        <w:tc>
          <w:tcPr>
            <w:tcW w:w="2035" w:type="dxa"/>
            <w:tcBorders/>
          </w:tcPr>
          <w:p>
            <w:pPr>
              <w:pStyle w:val="style0"/>
              <w:widowControl w:val="false"/>
              <w:autoSpaceDE w:val="false"/>
              <w:autoSpaceDN w:val="false"/>
              <w:spacing w:before="1" w:lineRule="auto" w:line="360"/>
              <w:ind w:right="520"/>
              <w:jc w:val="both"/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14:ligatures xmlns:w14="http://schemas.microsoft.com/office/word/2010/wordml" w14:val="none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Malabar Spinach Leaf Powder </w:t>
            </w:r>
          </w:p>
        </w:tc>
        <w:tc>
          <w:tcPr>
            <w:tcW w:w="1613" w:type="dxa"/>
            <w:tcBorders/>
          </w:tcPr>
          <w:p>
            <w:pPr>
              <w:pStyle w:val="style0"/>
              <w:widowControl w:val="false"/>
              <w:autoSpaceDE w:val="false"/>
              <w:autoSpaceDN w:val="false"/>
              <w:spacing w:before="1" w:lineRule="auto" w:line="360"/>
              <w:ind w:right="520"/>
              <w:jc w:val="both"/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14:ligatures xmlns:w14="http://schemas.microsoft.com/office/word/2010/wordml" w14:val="none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42" w:type="dxa"/>
            <w:tcBorders/>
          </w:tcPr>
          <w:p>
            <w:pPr>
              <w:pStyle w:val="style0"/>
              <w:widowControl w:val="false"/>
              <w:autoSpaceDE w:val="false"/>
              <w:autoSpaceDN w:val="false"/>
              <w:spacing w:before="1" w:lineRule="auto" w:line="360"/>
              <w:ind w:right="520"/>
              <w:jc w:val="both"/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14:ligatures xmlns:w14="http://schemas.microsoft.com/office/word/2010/wordml" w14:val="none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342" w:type="dxa"/>
            <w:tcBorders/>
          </w:tcPr>
          <w:p>
            <w:pPr>
              <w:pStyle w:val="style0"/>
              <w:widowControl w:val="false"/>
              <w:autoSpaceDE w:val="false"/>
              <w:autoSpaceDN w:val="false"/>
              <w:spacing w:before="1" w:lineRule="auto" w:line="360"/>
              <w:ind w:right="520"/>
              <w:jc w:val="both"/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14:ligatures xmlns:w14="http://schemas.microsoft.com/office/word/2010/wordml" w14:val="none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342" w:type="dxa"/>
            <w:tcBorders/>
          </w:tcPr>
          <w:p>
            <w:pPr>
              <w:pStyle w:val="style0"/>
              <w:widowControl w:val="false"/>
              <w:autoSpaceDE w:val="false"/>
              <w:autoSpaceDN w:val="false"/>
              <w:spacing w:before="1" w:lineRule="auto" w:line="360"/>
              <w:ind w:right="520"/>
              <w:jc w:val="both"/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14:ligatures xmlns:w14="http://schemas.microsoft.com/office/word/2010/wordml" w14:val="none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342" w:type="dxa"/>
            <w:tcBorders/>
          </w:tcPr>
          <w:p>
            <w:pPr>
              <w:pStyle w:val="style0"/>
              <w:widowControl w:val="false"/>
              <w:autoSpaceDE w:val="false"/>
              <w:autoSpaceDN w:val="false"/>
              <w:spacing w:before="1" w:lineRule="auto" w:line="360"/>
              <w:ind w:right="520"/>
              <w:jc w:val="both"/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14:ligatures xmlns:w14="http://schemas.microsoft.com/office/word/2010/wordml" w14:val="none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25</w:t>
            </w:r>
          </w:p>
        </w:tc>
      </w:tr>
      <w:tr>
        <w:tblPrEx/>
        <w:trPr/>
        <w:tc>
          <w:tcPr>
            <w:tcW w:w="2035" w:type="dxa"/>
            <w:tcBorders/>
          </w:tcPr>
          <w:p>
            <w:pPr>
              <w:pStyle w:val="style0"/>
              <w:widowControl w:val="false"/>
              <w:autoSpaceDE w:val="false"/>
              <w:autoSpaceDN w:val="false"/>
              <w:spacing w:before="1" w:lineRule="auto" w:line="360"/>
              <w:ind w:right="520"/>
              <w:jc w:val="both"/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14:ligatures xmlns:w14="http://schemas.microsoft.com/office/word/2010/wordml" w14:val="none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Pumpkin Powder </w:t>
            </w:r>
          </w:p>
        </w:tc>
        <w:tc>
          <w:tcPr>
            <w:tcW w:w="1613" w:type="dxa"/>
            <w:tcBorders/>
          </w:tcPr>
          <w:p>
            <w:pPr>
              <w:pStyle w:val="style0"/>
              <w:widowControl w:val="false"/>
              <w:autoSpaceDE w:val="false"/>
              <w:autoSpaceDN w:val="false"/>
              <w:spacing w:before="1" w:lineRule="auto" w:line="360"/>
              <w:ind w:right="520"/>
              <w:jc w:val="both"/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14:ligatures xmlns:w14="http://schemas.microsoft.com/office/word/2010/wordml" w14:val="none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342" w:type="dxa"/>
            <w:tcBorders/>
          </w:tcPr>
          <w:p>
            <w:pPr>
              <w:pStyle w:val="style0"/>
              <w:widowControl w:val="false"/>
              <w:autoSpaceDE w:val="false"/>
              <w:autoSpaceDN w:val="false"/>
              <w:spacing w:before="1" w:lineRule="auto" w:line="360"/>
              <w:ind w:right="520"/>
              <w:jc w:val="both"/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14:ligatures xmlns:w14="http://schemas.microsoft.com/office/word/2010/wordml" w14:val="none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342" w:type="dxa"/>
            <w:tcBorders/>
          </w:tcPr>
          <w:p>
            <w:pPr>
              <w:pStyle w:val="style0"/>
              <w:widowControl w:val="false"/>
              <w:autoSpaceDE w:val="false"/>
              <w:autoSpaceDN w:val="false"/>
              <w:spacing w:before="1" w:lineRule="auto" w:line="360"/>
              <w:ind w:right="520"/>
              <w:jc w:val="both"/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14:ligatures xmlns:w14="http://schemas.microsoft.com/office/word/2010/wordml" w14:val="none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342" w:type="dxa"/>
            <w:tcBorders/>
          </w:tcPr>
          <w:p>
            <w:pPr>
              <w:pStyle w:val="style0"/>
              <w:widowControl w:val="false"/>
              <w:autoSpaceDE w:val="false"/>
              <w:autoSpaceDN w:val="false"/>
              <w:spacing w:before="1" w:lineRule="auto" w:line="360"/>
              <w:ind w:right="520"/>
              <w:jc w:val="both"/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14:ligatures xmlns:w14="http://schemas.microsoft.com/office/word/2010/wordml" w14:val="none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342" w:type="dxa"/>
            <w:tcBorders/>
          </w:tcPr>
          <w:p>
            <w:pPr>
              <w:pStyle w:val="style0"/>
              <w:widowControl w:val="false"/>
              <w:autoSpaceDE w:val="false"/>
              <w:autoSpaceDN w:val="false"/>
              <w:spacing w:before="1" w:lineRule="auto" w:line="360"/>
              <w:ind w:right="520"/>
              <w:jc w:val="both"/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14:ligatures xmlns:w14="http://schemas.microsoft.com/office/word/2010/wordml" w14:val="none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20</w:t>
            </w:r>
          </w:p>
        </w:tc>
      </w:tr>
      <w:tr>
        <w:tblPrEx/>
        <w:trPr/>
        <w:tc>
          <w:tcPr>
            <w:tcW w:w="2035" w:type="dxa"/>
            <w:tcBorders/>
          </w:tcPr>
          <w:p>
            <w:pPr>
              <w:pStyle w:val="style0"/>
              <w:widowControl w:val="false"/>
              <w:autoSpaceDE w:val="false"/>
              <w:autoSpaceDN w:val="false"/>
              <w:spacing w:before="1" w:lineRule="auto" w:line="360"/>
              <w:ind w:right="520"/>
              <w:jc w:val="both"/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14:ligatures xmlns:w14="http://schemas.microsoft.com/office/word/2010/wordml" w14:val="none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Brown Rice Powder </w:t>
            </w:r>
          </w:p>
        </w:tc>
        <w:tc>
          <w:tcPr>
            <w:tcW w:w="1613" w:type="dxa"/>
            <w:tcBorders/>
          </w:tcPr>
          <w:p>
            <w:pPr>
              <w:pStyle w:val="style0"/>
              <w:widowControl w:val="false"/>
              <w:autoSpaceDE w:val="false"/>
              <w:autoSpaceDN w:val="false"/>
              <w:spacing w:before="1" w:lineRule="auto" w:line="360"/>
              <w:ind w:right="520"/>
              <w:jc w:val="both"/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14:ligatures xmlns:w14="http://schemas.microsoft.com/office/word/2010/wordml" w14:val="none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342" w:type="dxa"/>
            <w:tcBorders/>
          </w:tcPr>
          <w:p>
            <w:pPr>
              <w:pStyle w:val="style0"/>
              <w:widowControl w:val="false"/>
              <w:autoSpaceDE w:val="false"/>
              <w:autoSpaceDN w:val="false"/>
              <w:spacing w:before="1" w:lineRule="auto" w:line="360"/>
              <w:ind w:right="520"/>
              <w:jc w:val="both"/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14:ligatures xmlns:w14="http://schemas.microsoft.com/office/word/2010/wordml" w14:val="none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342" w:type="dxa"/>
            <w:tcBorders/>
          </w:tcPr>
          <w:p>
            <w:pPr>
              <w:pStyle w:val="style0"/>
              <w:widowControl w:val="false"/>
              <w:autoSpaceDE w:val="false"/>
              <w:autoSpaceDN w:val="false"/>
              <w:spacing w:before="1" w:lineRule="auto" w:line="360"/>
              <w:ind w:right="520"/>
              <w:jc w:val="both"/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14:ligatures xmlns:w14="http://schemas.microsoft.com/office/word/2010/wordml" w14:val="none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342" w:type="dxa"/>
            <w:tcBorders/>
          </w:tcPr>
          <w:p>
            <w:pPr>
              <w:pStyle w:val="style0"/>
              <w:widowControl w:val="false"/>
              <w:autoSpaceDE w:val="false"/>
              <w:autoSpaceDN w:val="false"/>
              <w:spacing w:before="1" w:lineRule="auto" w:line="360"/>
              <w:ind w:right="520"/>
              <w:jc w:val="both"/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14:ligatures xmlns:w14="http://schemas.microsoft.com/office/word/2010/wordml" w14:val="none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342" w:type="dxa"/>
            <w:tcBorders/>
          </w:tcPr>
          <w:p>
            <w:pPr>
              <w:pStyle w:val="style0"/>
              <w:widowControl w:val="false"/>
              <w:autoSpaceDE w:val="false"/>
              <w:autoSpaceDN w:val="false"/>
              <w:spacing w:before="1" w:lineRule="auto" w:line="360"/>
              <w:ind w:right="520"/>
              <w:jc w:val="both"/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14:ligatures xmlns:w14="http://schemas.microsoft.com/office/word/2010/wordml" w14:val="none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20</w:t>
            </w:r>
          </w:p>
        </w:tc>
      </w:tr>
      <w:tr>
        <w:tblPrEx/>
        <w:trPr/>
        <w:tc>
          <w:tcPr>
            <w:tcW w:w="2035" w:type="dxa"/>
            <w:tcBorders/>
          </w:tcPr>
          <w:p>
            <w:pPr>
              <w:pStyle w:val="style0"/>
              <w:widowControl w:val="false"/>
              <w:autoSpaceDE w:val="false"/>
              <w:autoSpaceDN w:val="false"/>
              <w:spacing w:before="1" w:lineRule="auto" w:line="360"/>
              <w:ind w:right="520"/>
              <w:jc w:val="both"/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14:ligatures xmlns:w14="http://schemas.microsoft.com/office/word/2010/wordml" w14:val="none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Mung Bean Powder </w:t>
            </w:r>
          </w:p>
        </w:tc>
        <w:tc>
          <w:tcPr>
            <w:tcW w:w="1613" w:type="dxa"/>
            <w:tcBorders/>
          </w:tcPr>
          <w:p>
            <w:pPr>
              <w:pStyle w:val="style0"/>
              <w:widowControl w:val="false"/>
              <w:autoSpaceDE w:val="false"/>
              <w:autoSpaceDN w:val="false"/>
              <w:spacing w:before="1" w:lineRule="auto" w:line="360"/>
              <w:ind w:right="520"/>
              <w:jc w:val="both"/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14:ligatures xmlns:w14="http://schemas.microsoft.com/office/word/2010/wordml" w14:val="none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342" w:type="dxa"/>
            <w:tcBorders/>
          </w:tcPr>
          <w:p>
            <w:pPr>
              <w:pStyle w:val="style0"/>
              <w:widowControl w:val="false"/>
              <w:autoSpaceDE w:val="false"/>
              <w:autoSpaceDN w:val="false"/>
              <w:spacing w:before="1" w:lineRule="auto" w:line="360"/>
              <w:ind w:right="520"/>
              <w:jc w:val="both"/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14:ligatures xmlns:w14="http://schemas.microsoft.com/office/word/2010/wordml" w14:val="none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342" w:type="dxa"/>
            <w:tcBorders/>
          </w:tcPr>
          <w:p>
            <w:pPr>
              <w:pStyle w:val="style0"/>
              <w:widowControl w:val="false"/>
              <w:autoSpaceDE w:val="false"/>
              <w:autoSpaceDN w:val="false"/>
              <w:spacing w:before="1" w:lineRule="auto" w:line="360"/>
              <w:ind w:right="520"/>
              <w:jc w:val="both"/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14:ligatures xmlns:w14="http://schemas.microsoft.com/office/word/2010/wordml" w14:val="none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342" w:type="dxa"/>
            <w:tcBorders/>
          </w:tcPr>
          <w:p>
            <w:pPr>
              <w:pStyle w:val="style0"/>
              <w:widowControl w:val="false"/>
              <w:autoSpaceDE w:val="false"/>
              <w:autoSpaceDN w:val="false"/>
              <w:spacing w:before="1" w:lineRule="auto" w:line="360"/>
              <w:ind w:right="520"/>
              <w:jc w:val="both"/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14:ligatures xmlns:w14="http://schemas.microsoft.com/office/word/2010/wordml" w14:val="none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342" w:type="dxa"/>
            <w:tcBorders/>
          </w:tcPr>
          <w:p>
            <w:pPr>
              <w:pStyle w:val="style0"/>
              <w:widowControl w:val="false"/>
              <w:autoSpaceDE w:val="false"/>
              <w:autoSpaceDN w:val="false"/>
              <w:spacing w:before="1" w:lineRule="auto" w:line="360"/>
              <w:ind w:right="520"/>
              <w:jc w:val="both"/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14:ligatures xmlns:w14="http://schemas.microsoft.com/office/word/2010/wordml" w14:val="none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35</w:t>
            </w:r>
          </w:p>
        </w:tc>
      </w:tr>
    </w:tbl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Powders were weighed using an electronic balance (accuracy ±0.01 g) and mixed thoroughly in a </w:t>
      </w:r>
      <w:r>
        <w:rPr>
          <w:rFonts w:ascii="Times New Roman" w:cs="Times New Roman" w:hAnsi="Times New Roman"/>
          <w:sz w:val="24"/>
          <w:szCs w:val="24"/>
        </w:rPr>
        <w:t>stainless steel</w:t>
      </w:r>
      <w:r>
        <w:rPr>
          <w:rFonts w:ascii="Times New Roman" w:cs="Times New Roman" w:hAnsi="Times New Roman"/>
          <w:sz w:val="24"/>
          <w:szCs w:val="24"/>
        </w:rPr>
        <w:t xml:space="preserve"> bowl to ensure homogeneity. Each formulation was prepared in triplicate and stored in airtight amber glass bottles at 4 °C until analysis.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 xml:space="preserve">2.4 </w:t>
      </w:r>
      <w:r>
        <w:rPr>
          <w:rFonts w:ascii="Times New Roman" w:cs="Times New Roman" w:hAnsi="Times New Roman"/>
          <w:b/>
          <w:bCs/>
          <w:sz w:val="24"/>
          <w:szCs w:val="24"/>
        </w:rPr>
        <w:t>Proximate Composition Analysis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Proximate analysis was conducted in triplicate for each formulation following standard AOAC methods (AOAC, 2019)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 xml:space="preserve">2.5 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Experimental Design </w:t>
      </w:r>
      <w:commentRangeStart w:id="15"/>
      <w:r>
        <w:rPr>
          <w:rFonts w:ascii="Times New Roman" w:cs="Times New Roman" w:hAnsi="Times New Roman"/>
          <w:b/>
          <w:bCs/>
          <w:sz w:val="24"/>
          <w:szCs w:val="24"/>
        </w:rPr>
        <w:t xml:space="preserve">&amp; </w:t>
      </w:r>
      <w:commentRangeEnd w:id="15"/>
      <w:r>
        <w:rPr/>
        <w:commentReference w:id="15"/>
      </w:r>
      <w:r>
        <w:rPr>
          <w:rFonts w:ascii="Times New Roman" w:cs="Times New Roman" w:hAnsi="Times New Roman"/>
          <w:b/>
          <w:bCs/>
          <w:sz w:val="24"/>
          <w:szCs w:val="24"/>
        </w:rPr>
        <w:t>Evaluation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 Completely Randomised Design (CRD) with five treatments (N1–N5) and three replications was used.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commentRangeStart w:id="16"/>
      <w:r>
        <w:rPr>
          <w:rFonts w:ascii="Times New Roman" w:cs="Times New Roman" w:hAnsi="Times New Roman"/>
          <w:sz w:val="24"/>
          <w:szCs w:val="24"/>
        </w:rPr>
        <w:t>Physical and sensory evaluation of cooked mixes thereafter identified the best formulation.</w:t>
      </w:r>
      <w:commentRangeEnd w:id="16"/>
      <w:r>
        <w:rPr/>
        <w:commentReference w:id="16"/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Data were </w:t>
      </w:r>
      <w:r>
        <w:rPr>
          <w:rFonts w:ascii="Times New Roman" w:cs="Times New Roman" w:hAnsi="Times New Roman"/>
          <w:sz w:val="24"/>
          <w:szCs w:val="24"/>
        </w:rPr>
        <w:t>analyzed</w:t>
      </w:r>
      <w:r>
        <w:rPr>
          <w:rFonts w:ascii="Times New Roman" w:cs="Times New Roman" w:hAnsi="Times New Roman"/>
          <w:sz w:val="24"/>
          <w:szCs w:val="24"/>
        </w:rPr>
        <w:t xml:space="preserve"> using one-way ANOVA. </w:t>
      </w:r>
    </w:p>
    <w:p>
      <w:pPr>
        <w:pStyle w:val="style179"/>
        <w:numPr>
          <w:ilvl w:val="0"/>
          <w:numId w:val="1"/>
        </w:numPr>
        <w:spacing w:lineRule="auto" w:line="360"/>
        <w:jc w:val="both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 xml:space="preserve">Results and Discussion 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 xml:space="preserve">3.1 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Sensory evaluation of </w:t>
      </w:r>
      <w:r>
        <w:rPr>
          <w:rFonts w:ascii="Times New Roman" w:cs="Times New Roman" w:hAnsi="Times New Roman"/>
          <w:b/>
          <w:bCs/>
          <w:sz w:val="24"/>
          <w:szCs w:val="24"/>
        </w:rPr>
        <w:t>Nutrimix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 powder 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The sensory evaluation revealed a pronounced curvilinear relationship between Malabar spinach incorporation and consumer acceptability. Formulation N</w:t>
      </w:r>
      <w:r>
        <w:rPr>
          <w:rFonts w:ascii="Times New Roman" w:cs="Times New Roman" w:hAnsi="Times New Roman"/>
          <w:sz w:val="24"/>
          <w:szCs w:val="24"/>
        </w:rPr>
        <w:t>2</w:t>
      </w:r>
      <w:r>
        <w:rPr>
          <w:rFonts w:ascii="Times New Roman" w:cs="Times New Roman" w:hAnsi="Times New Roman"/>
          <w:sz w:val="24"/>
          <w:szCs w:val="24"/>
        </w:rPr>
        <w:t xml:space="preserve"> (10% Basella rubra) emerged as the optimal treatment, achieving an overall acceptability score of 8.54 ± 0.35. This score positions the product in the 'like very much to like extremely' category on the hedonic scale, proving its commercial and therapeutic viability.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 xml:space="preserve">Table </w:t>
      </w:r>
      <w:r>
        <w:rPr>
          <w:rFonts w:ascii="Times New Roman" w:cs="Times New Roman" w:hAnsi="Times New Roman"/>
          <w:b/>
          <w:bCs/>
          <w:sz w:val="24"/>
          <w:szCs w:val="24"/>
        </w:rPr>
        <w:t>2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 Sensory Evaluation Scores of </w:t>
      </w:r>
      <w:r>
        <w:rPr>
          <w:rFonts w:ascii="Times New Roman" w:cs="Times New Roman" w:hAnsi="Times New Roman"/>
          <w:b/>
          <w:bCs/>
          <w:sz w:val="24"/>
          <w:szCs w:val="24"/>
        </w:rPr>
        <w:t>Nutrimix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 Formulations</w:t>
      </w:r>
    </w:p>
    <w:tbl>
      <w:tblPr>
        <w:tblStyle w:val="style154"/>
        <w:tblW w:w="9575" w:type="dxa"/>
        <w:tblLook w:val="04A0" w:firstRow="1" w:lastRow="0" w:firstColumn="1" w:lastColumn="0" w:noHBand="0" w:noVBand="1"/>
      </w:tblPr>
      <w:tblGrid>
        <w:gridCol w:w="1235"/>
        <w:gridCol w:w="1500"/>
        <w:gridCol w:w="1016"/>
        <w:gridCol w:w="1077"/>
        <w:gridCol w:w="1016"/>
        <w:gridCol w:w="1016"/>
        <w:gridCol w:w="960"/>
        <w:gridCol w:w="1756"/>
      </w:tblGrid>
      <w:tr>
        <w:trPr>
          <w:trHeight w:val="312" w:hRule="atLeast"/>
        </w:trPr>
        <w:tc>
          <w:tcPr>
            <w:tcW w:w="1183" w:type="dxa"/>
            <w:tcBorders/>
          </w:tcPr>
          <w:p>
            <w:pPr>
              <w:pStyle w:val="style0"/>
              <w:jc w:val="both"/>
              <w:rPr/>
            </w:pPr>
            <w:r>
              <w:t>Treatment</w:t>
            </w:r>
          </w:p>
        </w:tc>
        <w:tc>
          <w:tcPr>
            <w:tcW w:w="1506" w:type="dxa"/>
            <w:tcBorders/>
          </w:tcPr>
          <w:p>
            <w:pPr>
              <w:pStyle w:val="style0"/>
              <w:jc w:val="both"/>
              <w:rPr/>
            </w:pPr>
            <w:r>
              <w:t>Appearance</w:t>
            </w:r>
          </w:p>
        </w:tc>
        <w:tc>
          <w:tcPr>
            <w:tcW w:w="1023" w:type="dxa"/>
            <w:tcBorders/>
          </w:tcPr>
          <w:p>
            <w:pPr>
              <w:pStyle w:val="style0"/>
              <w:jc w:val="both"/>
              <w:rPr/>
            </w:pPr>
            <w:r>
              <w:t>Color</w:t>
            </w:r>
          </w:p>
        </w:tc>
        <w:tc>
          <w:tcPr>
            <w:tcW w:w="1087" w:type="dxa"/>
            <w:tcBorders/>
          </w:tcPr>
          <w:p>
            <w:pPr>
              <w:pStyle w:val="style0"/>
              <w:jc w:val="both"/>
              <w:rPr/>
            </w:pPr>
            <w:r>
              <w:t>Flavor</w:t>
            </w:r>
          </w:p>
        </w:tc>
        <w:tc>
          <w:tcPr>
            <w:tcW w:w="1023" w:type="dxa"/>
            <w:tcBorders/>
          </w:tcPr>
          <w:p>
            <w:pPr>
              <w:pStyle w:val="style0"/>
              <w:jc w:val="both"/>
              <w:rPr/>
            </w:pPr>
            <w:r>
              <w:t>Aroma</w:t>
            </w:r>
          </w:p>
        </w:tc>
        <w:tc>
          <w:tcPr>
            <w:tcW w:w="1023" w:type="dxa"/>
            <w:tcBorders/>
          </w:tcPr>
          <w:p>
            <w:pPr>
              <w:pStyle w:val="style0"/>
              <w:jc w:val="both"/>
              <w:rPr/>
            </w:pPr>
            <w:r>
              <w:t>Taste</w:t>
            </w:r>
          </w:p>
        </w:tc>
        <w:tc>
          <w:tcPr>
            <w:tcW w:w="959" w:type="dxa"/>
            <w:tcBorders/>
          </w:tcPr>
          <w:p>
            <w:pPr>
              <w:pStyle w:val="style0"/>
              <w:jc w:val="both"/>
              <w:rPr/>
            </w:pPr>
            <w:r>
              <w:t>Texture</w:t>
            </w:r>
          </w:p>
        </w:tc>
        <w:tc>
          <w:tcPr>
            <w:tcW w:w="1771" w:type="dxa"/>
            <w:tcBorders/>
          </w:tcPr>
          <w:p>
            <w:pPr>
              <w:pStyle w:val="style0"/>
              <w:jc w:val="both"/>
              <w:rPr/>
            </w:pPr>
            <w:r>
              <w:t>Overall Acceptability</w:t>
            </w:r>
          </w:p>
        </w:tc>
      </w:tr>
      <w:tr>
        <w:tblPrEx/>
        <w:trPr>
          <w:trHeight w:val="312" w:hRule="atLeast"/>
        </w:trPr>
        <w:tc>
          <w:tcPr>
            <w:tcW w:w="1183" w:type="dxa"/>
            <w:tcBorders/>
          </w:tcPr>
          <w:p>
            <w:pPr>
              <w:pStyle w:val="style0"/>
              <w:jc w:val="both"/>
              <w:rPr/>
            </w:pPr>
            <w:r>
              <w:t>N₁ (5%)</w:t>
            </w:r>
          </w:p>
        </w:tc>
        <w:tc>
          <w:tcPr>
            <w:tcW w:w="1506" w:type="dxa"/>
            <w:tcBorders/>
          </w:tcPr>
          <w:p>
            <w:pPr>
              <w:pStyle w:val="style0"/>
              <w:jc w:val="both"/>
              <w:rPr/>
            </w:pPr>
            <w:r>
              <w:t>7.90 ± 0.71</w:t>
            </w:r>
            <w:r>
              <w:rPr>
                <w:rFonts w:ascii="Arial" w:cs="Arial" w:hAnsi="Arial"/>
              </w:rPr>
              <w:t>ᵃᵇ</w:t>
            </w:r>
          </w:p>
        </w:tc>
        <w:tc>
          <w:tcPr>
            <w:tcW w:w="1023" w:type="dxa"/>
            <w:tcBorders/>
          </w:tcPr>
          <w:p>
            <w:pPr>
              <w:pStyle w:val="style0"/>
              <w:jc w:val="both"/>
              <w:rPr/>
            </w:pPr>
            <w:r>
              <w:t>7.83 ± 0.65</w:t>
            </w:r>
            <w:r>
              <w:rPr>
                <w:rFonts w:ascii="Arial" w:cs="Arial" w:hAnsi="Arial"/>
              </w:rPr>
              <w:t>ᵃ</w:t>
            </w:r>
          </w:p>
        </w:tc>
        <w:tc>
          <w:tcPr>
            <w:tcW w:w="1087" w:type="dxa"/>
            <w:tcBorders/>
          </w:tcPr>
          <w:p>
            <w:pPr>
              <w:pStyle w:val="style0"/>
              <w:jc w:val="both"/>
              <w:rPr/>
            </w:pPr>
            <w:r>
              <w:t>7.80 ± 0.71</w:t>
            </w:r>
            <w:r>
              <w:rPr>
                <w:rFonts w:ascii="Arial" w:cs="Arial" w:hAnsi="Arial"/>
              </w:rPr>
              <w:t>ᵃ</w:t>
            </w:r>
          </w:p>
        </w:tc>
        <w:tc>
          <w:tcPr>
            <w:tcW w:w="1023" w:type="dxa"/>
            <w:tcBorders/>
          </w:tcPr>
          <w:p>
            <w:pPr>
              <w:pStyle w:val="style0"/>
              <w:jc w:val="both"/>
              <w:rPr/>
            </w:pPr>
            <w:r>
              <w:t>7.83 ± 0.70</w:t>
            </w:r>
            <w:r>
              <w:rPr>
                <w:rFonts w:ascii="Arial" w:cs="Arial" w:hAnsi="Arial"/>
              </w:rPr>
              <w:t>ᵃ</w:t>
            </w:r>
          </w:p>
        </w:tc>
        <w:tc>
          <w:tcPr>
            <w:tcW w:w="1023" w:type="dxa"/>
            <w:tcBorders/>
          </w:tcPr>
          <w:p>
            <w:pPr>
              <w:pStyle w:val="style0"/>
              <w:jc w:val="both"/>
              <w:rPr/>
            </w:pPr>
            <w:r>
              <w:t>8.00 ± 0.64</w:t>
            </w:r>
            <w:r>
              <w:rPr>
                <w:rFonts w:ascii="Arial" w:cs="Arial" w:hAnsi="Arial"/>
              </w:rPr>
              <w:t>ᵃ</w:t>
            </w:r>
          </w:p>
        </w:tc>
        <w:tc>
          <w:tcPr>
            <w:tcW w:w="959" w:type="dxa"/>
            <w:tcBorders/>
          </w:tcPr>
          <w:p>
            <w:pPr>
              <w:pStyle w:val="style0"/>
              <w:jc w:val="both"/>
              <w:rPr/>
            </w:pPr>
            <w:r>
              <w:t>7.67 ± 0.71</w:t>
            </w:r>
            <w:r>
              <w:rPr>
                <w:rFonts w:ascii="Arial" w:cs="Arial" w:hAnsi="Arial"/>
              </w:rPr>
              <w:t>ᵃ</w:t>
            </w:r>
          </w:p>
        </w:tc>
        <w:tc>
          <w:tcPr>
            <w:tcW w:w="1771" w:type="dxa"/>
            <w:tcBorders/>
          </w:tcPr>
          <w:p>
            <w:pPr>
              <w:pStyle w:val="style0"/>
              <w:jc w:val="both"/>
              <w:rPr/>
            </w:pPr>
            <w:r>
              <w:t>7.84 ± 0.52</w:t>
            </w:r>
            <w:r>
              <w:rPr>
                <w:rFonts w:ascii="Arial" w:cs="Arial" w:hAnsi="Arial"/>
              </w:rPr>
              <w:t>ᵃ</w:t>
            </w:r>
          </w:p>
        </w:tc>
      </w:tr>
      <w:tr>
        <w:tblPrEx/>
        <w:trPr>
          <w:trHeight w:val="312" w:hRule="atLeast"/>
        </w:trPr>
        <w:tc>
          <w:tcPr>
            <w:tcW w:w="1183" w:type="dxa"/>
            <w:tcBorders/>
          </w:tcPr>
          <w:p>
            <w:pPr>
              <w:pStyle w:val="style0"/>
              <w:jc w:val="both"/>
              <w:rPr/>
            </w:pPr>
            <w:r>
              <w:t>N₂ (10%)</w:t>
            </w:r>
          </w:p>
        </w:tc>
        <w:tc>
          <w:tcPr>
            <w:tcW w:w="1506" w:type="dxa"/>
            <w:tcBorders/>
          </w:tcPr>
          <w:p>
            <w:pPr>
              <w:pStyle w:val="style0"/>
              <w:jc w:val="both"/>
              <w:rPr/>
            </w:pPr>
            <w:r>
              <w:t>8.53 ± 0.51</w:t>
            </w:r>
            <w:r>
              <w:rPr>
                <w:rFonts w:ascii="Arial" w:cs="Arial" w:hAnsi="Arial"/>
              </w:rPr>
              <w:t>ᵃ</w:t>
            </w:r>
          </w:p>
        </w:tc>
        <w:tc>
          <w:tcPr>
            <w:tcW w:w="1023" w:type="dxa"/>
            <w:tcBorders/>
          </w:tcPr>
          <w:p>
            <w:pPr>
              <w:pStyle w:val="style0"/>
              <w:jc w:val="both"/>
              <w:rPr/>
            </w:pPr>
            <w:r>
              <w:t>8.50 ± 0.51</w:t>
            </w:r>
            <w:r>
              <w:rPr>
                <w:rFonts w:ascii="Arial" w:cs="Arial" w:hAnsi="Arial"/>
              </w:rPr>
              <w:t>ᵇ</w:t>
            </w:r>
          </w:p>
        </w:tc>
        <w:tc>
          <w:tcPr>
            <w:tcW w:w="1087" w:type="dxa"/>
            <w:tcBorders/>
          </w:tcPr>
          <w:p>
            <w:pPr>
              <w:pStyle w:val="style0"/>
              <w:jc w:val="both"/>
              <w:rPr/>
            </w:pPr>
            <w:r>
              <w:t>8.53 ± 0.51</w:t>
            </w:r>
            <w:r>
              <w:rPr>
                <w:rFonts w:ascii="Arial" w:cs="Arial" w:hAnsi="Arial"/>
              </w:rPr>
              <w:t>ᵇ</w:t>
            </w:r>
          </w:p>
        </w:tc>
        <w:tc>
          <w:tcPr>
            <w:tcW w:w="1023" w:type="dxa"/>
            <w:tcBorders/>
          </w:tcPr>
          <w:p>
            <w:pPr>
              <w:pStyle w:val="style0"/>
              <w:jc w:val="both"/>
              <w:rPr/>
            </w:pPr>
            <w:r>
              <w:t>8.50 ± 0.51</w:t>
            </w:r>
            <w:r>
              <w:rPr>
                <w:rFonts w:ascii="Arial" w:cs="Arial" w:hAnsi="Arial"/>
              </w:rPr>
              <w:t>ᵃ</w:t>
            </w:r>
          </w:p>
        </w:tc>
        <w:tc>
          <w:tcPr>
            <w:tcW w:w="1023" w:type="dxa"/>
            <w:tcBorders/>
          </w:tcPr>
          <w:p>
            <w:pPr>
              <w:pStyle w:val="style0"/>
              <w:jc w:val="both"/>
              <w:rPr/>
            </w:pPr>
            <w:r>
              <w:t>8.73 ± 0.45</w:t>
            </w:r>
            <w:r>
              <w:rPr>
                <w:rFonts w:ascii="Arial" w:cs="Arial" w:hAnsi="Arial"/>
              </w:rPr>
              <w:t>ᵃ</w:t>
            </w:r>
          </w:p>
        </w:tc>
        <w:tc>
          <w:tcPr>
            <w:tcW w:w="959" w:type="dxa"/>
            <w:tcBorders/>
          </w:tcPr>
          <w:p>
            <w:pPr>
              <w:pStyle w:val="style0"/>
              <w:jc w:val="both"/>
              <w:rPr/>
            </w:pPr>
            <w:r>
              <w:t>8.50 ± 0.51</w:t>
            </w:r>
            <w:r>
              <w:rPr>
                <w:rFonts w:ascii="Arial" w:cs="Arial" w:hAnsi="Arial"/>
              </w:rPr>
              <w:t>ᵇ</w:t>
            </w:r>
          </w:p>
        </w:tc>
        <w:tc>
          <w:tcPr>
            <w:tcW w:w="1771" w:type="dxa"/>
            <w:tcBorders/>
          </w:tcPr>
          <w:p>
            <w:pPr>
              <w:pStyle w:val="style0"/>
              <w:jc w:val="both"/>
              <w:rPr/>
            </w:pPr>
            <w:r>
              <w:t>8.54 ± 0.35</w:t>
            </w:r>
            <w:r>
              <w:rPr>
                <w:rFonts w:ascii="Arial" w:cs="Arial" w:hAnsi="Arial"/>
              </w:rPr>
              <w:t>ᵇ</w:t>
            </w:r>
          </w:p>
        </w:tc>
      </w:tr>
      <w:tr>
        <w:tblPrEx/>
        <w:trPr>
          <w:trHeight w:val="312" w:hRule="atLeast"/>
        </w:trPr>
        <w:tc>
          <w:tcPr>
            <w:tcW w:w="1183" w:type="dxa"/>
            <w:tcBorders/>
          </w:tcPr>
          <w:p>
            <w:pPr>
              <w:pStyle w:val="style0"/>
              <w:jc w:val="both"/>
              <w:rPr/>
            </w:pPr>
            <w:r>
              <w:t>N₃ (15%)</w:t>
            </w:r>
          </w:p>
        </w:tc>
        <w:tc>
          <w:tcPr>
            <w:tcW w:w="1506" w:type="dxa"/>
            <w:tcBorders/>
          </w:tcPr>
          <w:p>
            <w:pPr>
              <w:pStyle w:val="style0"/>
              <w:jc w:val="both"/>
              <w:rPr/>
            </w:pPr>
            <w:r>
              <w:t>7.50 ± 0.51</w:t>
            </w:r>
            <w:r>
              <w:rPr>
                <w:rFonts w:ascii="Arial" w:cs="Arial" w:hAnsi="Arial"/>
              </w:rPr>
              <w:t>ᵇ</w:t>
            </w:r>
          </w:p>
        </w:tc>
        <w:tc>
          <w:tcPr>
            <w:tcW w:w="1023" w:type="dxa"/>
            <w:tcBorders/>
          </w:tcPr>
          <w:p>
            <w:pPr>
              <w:pStyle w:val="style0"/>
              <w:jc w:val="both"/>
              <w:rPr/>
            </w:pPr>
            <w:r>
              <w:t>7.60 ± 0.50</w:t>
            </w:r>
            <w:r>
              <w:rPr>
                <w:rFonts w:ascii="Arial" w:cs="Arial" w:hAnsi="Arial"/>
              </w:rPr>
              <w:t>ᵃ</w:t>
            </w:r>
          </w:p>
        </w:tc>
        <w:tc>
          <w:tcPr>
            <w:tcW w:w="1087" w:type="dxa"/>
            <w:tcBorders/>
          </w:tcPr>
          <w:p>
            <w:pPr>
              <w:pStyle w:val="style0"/>
              <w:jc w:val="both"/>
              <w:rPr/>
            </w:pPr>
            <w:r>
              <w:t>7.47 ± 0.51</w:t>
            </w:r>
            <w:r>
              <w:rPr>
                <w:rFonts w:ascii="Arial" w:cs="Arial" w:hAnsi="Arial"/>
              </w:rPr>
              <w:t>ᵃ</w:t>
            </w:r>
          </w:p>
        </w:tc>
        <w:tc>
          <w:tcPr>
            <w:tcW w:w="1023" w:type="dxa"/>
            <w:tcBorders/>
          </w:tcPr>
          <w:p>
            <w:pPr>
              <w:pStyle w:val="style0"/>
              <w:jc w:val="both"/>
              <w:rPr/>
            </w:pPr>
            <w:r>
              <w:t>6.67 ± 0.48</w:t>
            </w:r>
            <w:r>
              <w:rPr>
                <w:rFonts w:ascii="Arial" w:cs="Arial" w:hAnsi="Arial"/>
              </w:rPr>
              <w:t>ᵇ</w:t>
            </w:r>
          </w:p>
        </w:tc>
        <w:tc>
          <w:tcPr>
            <w:tcW w:w="1023" w:type="dxa"/>
            <w:tcBorders/>
          </w:tcPr>
          <w:p>
            <w:pPr>
              <w:pStyle w:val="style0"/>
              <w:jc w:val="both"/>
              <w:rPr/>
            </w:pPr>
            <w:r>
              <w:t>5.87 ± 0.73</w:t>
            </w:r>
            <w:r>
              <w:rPr>
                <w:rFonts w:ascii="Arial" w:cs="Arial" w:hAnsi="Arial"/>
              </w:rPr>
              <w:t>ᵇ</w:t>
            </w:r>
          </w:p>
        </w:tc>
        <w:tc>
          <w:tcPr>
            <w:tcW w:w="959" w:type="dxa"/>
            <w:tcBorders/>
          </w:tcPr>
          <w:p>
            <w:pPr>
              <w:pStyle w:val="style0"/>
              <w:jc w:val="both"/>
              <w:rPr/>
            </w:pPr>
            <w:r>
              <w:t>7.50 ± 0.51</w:t>
            </w:r>
            <w:r>
              <w:rPr>
                <w:rFonts w:ascii="Arial" w:cs="Arial" w:hAnsi="Arial"/>
              </w:rPr>
              <w:t>ᵃ</w:t>
            </w:r>
          </w:p>
        </w:tc>
        <w:tc>
          <w:tcPr>
            <w:tcW w:w="1771" w:type="dxa"/>
            <w:tcBorders/>
          </w:tcPr>
          <w:p>
            <w:pPr>
              <w:pStyle w:val="style0"/>
              <w:jc w:val="both"/>
              <w:rPr/>
            </w:pPr>
            <w:r>
              <w:t>7.10 ± 0.33</w:t>
            </w:r>
            <w:r>
              <w:rPr>
                <w:rFonts w:ascii="Arial" w:cs="Arial" w:hAnsi="Arial"/>
              </w:rPr>
              <w:t>ᶜ</w:t>
            </w:r>
          </w:p>
        </w:tc>
      </w:tr>
      <w:tr>
        <w:tblPrEx/>
        <w:trPr>
          <w:trHeight w:val="312" w:hRule="atLeast"/>
        </w:trPr>
        <w:tc>
          <w:tcPr>
            <w:tcW w:w="1183" w:type="dxa"/>
            <w:tcBorders/>
          </w:tcPr>
          <w:p>
            <w:pPr>
              <w:pStyle w:val="style0"/>
              <w:jc w:val="both"/>
              <w:rPr/>
            </w:pPr>
            <w:r>
              <w:t>N₄ (20%)</w:t>
            </w:r>
          </w:p>
        </w:tc>
        <w:tc>
          <w:tcPr>
            <w:tcW w:w="1506" w:type="dxa"/>
            <w:tcBorders/>
          </w:tcPr>
          <w:p>
            <w:pPr>
              <w:pStyle w:val="style0"/>
              <w:jc w:val="both"/>
              <w:rPr/>
            </w:pPr>
            <w:r>
              <w:t>4.97 ± 0.72</w:t>
            </w:r>
            <w:r>
              <w:rPr>
                <w:rFonts w:ascii="Arial" w:cs="Arial" w:hAnsi="Arial"/>
              </w:rPr>
              <w:t>ᶜ</w:t>
            </w:r>
          </w:p>
        </w:tc>
        <w:tc>
          <w:tcPr>
            <w:tcW w:w="1023" w:type="dxa"/>
            <w:tcBorders/>
          </w:tcPr>
          <w:p>
            <w:pPr>
              <w:pStyle w:val="style0"/>
              <w:jc w:val="both"/>
              <w:rPr/>
            </w:pPr>
            <w:r>
              <w:t>5.50 ± 0.51</w:t>
            </w:r>
            <w:r>
              <w:rPr>
                <w:rFonts w:ascii="Arial" w:cs="Arial" w:hAnsi="Arial"/>
              </w:rPr>
              <w:t>ᶜ</w:t>
            </w:r>
          </w:p>
        </w:tc>
        <w:tc>
          <w:tcPr>
            <w:tcW w:w="1087" w:type="dxa"/>
            <w:tcBorders/>
          </w:tcPr>
          <w:p>
            <w:pPr>
              <w:pStyle w:val="style0"/>
              <w:jc w:val="both"/>
              <w:rPr/>
            </w:pPr>
            <w:r>
              <w:t>6.53 ± 0.51</w:t>
            </w:r>
            <w:r>
              <w:rPr>
                <w:rFonts w:ascii="Arial" w:cs="Arial" w:hAnsi="Arial"/>
              </w:rPr>
              <w:t>ᶜ</w:t>
            </w:r>
          </w:p>
        </w:tc>
        <w:tc>
          <w:tcPr>
            <w:tcW w:w="1023" w:type="dxa"/>
            <w:tcBorders/>
          </w:tcPr>
          <w:p>
            <w:pPr>
              <w:pStyle w:val="style0"/>
              <w:jc w:val="both"/>
              <w:rPr/>
            </w:pPr>
            <w:r>
              <w:t>6.50 ± 0.51</w:t>
            </w:r>
            <w:r>
              <w:rPr>
                <w:rFonts w:ascii="Arial" w:cs="Arial" w:hAnsi="Arial"/>
              </w:rPr>
              <w:t>ᵇ</w:t>
            </w:r>
          </w:p>
        </w:tc>
        <w:tc>
          <w:tcPr>
            <w:tcW w:w="1023" w:type="dxa"/>
            <w:tcBorders/>
          </w:tcPr>
          <w:p>
            <w:pPr>
              <w:pStyle w:val="style0"/>
              <w:jc w:val="both"/>
              <w:rPr/>
            </w:pPr>
            <w:r>
              <w:t>4.67 ± 0.48</w:t>
            </w:r>
            <w:r>
              <w:rPr>
                <w:rFonts w:ascii="Arial" w:cs="Arial" w:hAnsi="Arial"/>
              </w:rPr>
              <w:t>ᶜ</w:t>
            </w:r>
          </w:p>
        </w:tc>
        <w:tc>
          <w:tcPr>
            <w:tcW w:w="959" w:type="dxa"/>
            <w:tcBorders/>
          </w:tcPr>
          <w:p>
            <w:pPr>
              <w:pStyle w:val="style0"/>
              <w:jc w:val="both"/>
              <w:rPr/>
            </w:pPr>
            <w:r>
              <w:t>4.97 ± 0.72</w:t>
            </w:r>
            <w:r>
              <w:rPr>
                <w:rFonts w:ascii="Arial" w:cs="Arial" w:hAnsi="Arial"/>
              </w:rPr>
              <w:t>ᶜ</w:t>
            </w:r>
          </w:p>
        </w:tc>
        <w:tc>
          <w:tcPr>
            <w:tcW w:w="1771" w:type="dxa"/>
            <w:tcBorders/>
          </w:tcPr>
          <w:p>
            <w:pPr>
              <w:pStyle w:val="style0"/>
              <w:jc w:val="both"/>
              <w:rPr/>
            </w:pPr>
            <w:r>
              <w:t>5.53 ± 0.27</w:t>
            </w:r>
            <w:r>
              <w:rPr>
                <w:rFonts w:ascii="Arial" w:cs="Arial" w:hAnsi="Arial"/>
              </w:rPr>
              <w:t>ᵈ</w:t>
            </w:r>
          </w:p>
        </w:tc>
      </w:tr>
      <w:tr>
        <w:tblPrEx/>
        <w:trPr>
          <w:trHeight w:val="312" w:hRule="atLeast"/>
        </w:trPr>
        <w:tc>
          <w:tcPr>
            <w:tcW w:w="1183" w:type="dxa"/>
            <w:tcBorders/>
          </w:tcPr>
          <w:p>
            <w:pPr>
              <w:pStyle w:val="style0"/>
              <w:jc w:val="both"/>
              <w:rPr/>
            </w:pPr>
            <w:r>
              <w:t>N₅ (25%)</w:t>
            </w:r>
          </w:p>
        </w:tc>
        <w:tc>
          <w:tcPr>
            <w:tcW w:w="1506" w:type="dxa"/>
            <w:tcBorders/>
          </w:tcPr>
          <w:p>
            <w:pPr>
              <w:pStyle w:val="style0"/>
              <w:jc w:val="both"/>
              <w:rPr/>
            </w:pPr>
            <w:r>
              <w:t>4.33 ± 0.48</w:t>
            </w:r>
            <w:r>
              <w:rPr>
                <w:rFonts w:ascii="Arial" w:cs="Arial" w:hAnsi="Arial"/>
              </w:rPr>
              <w:t>ᶜ</w:t>
            </w:r>
          </w:p>
        </w:tc>
        <w:tc>
          <w:tcPr>
            <w:tcW w:w="1023" w:type="dxa"/>
            <w:tcBorders/>
          </w:tcPr>
          <w:p>
            <w:pPr>
              <w:pStyle w:val="style0"/>
              <w:jc w:val="both"/>
              <w:rPr/>
            </w:pPr>
            <w:r>
              <w:t>4.53 ± 0.51</w:t>
            </w:r>
            <w:r>
              <w:rPr>
                <w:rFonts w:ascii="Arial" w:cs="Arial" w:hAnsi="Arial"/>
              </w:rPr>
              <w:t>ᵈ</w:t>
            </w:r>
          </w:p>
        </w:tc>
        <w:tc>
          <w:tcPr>
            <w:tcW w:w="1087" w:type="dxa"/>
            <w:tcBorders/>
          </w:tcPr>
          <w:p>
            <w:pPr>
              <w:pStyle w:val="style0"/>
              <w:jc w:val="both"/>
              <w:rPr/>
            </w:pPr>
            <w:r>
              <w:t>5.50 ± 0.51</w:t>
            </w:r>
            <w:r>
              <w:rPr>
                <w:rFonts w:ascii="Arial" w:cs="Arial" w:hAnsi="Arial"/>
              </w:rPr>
              <w:t>ᵈ</w:t>
            </w:r>
          </w:p>
        </w:tc>
        <w:tc>
          <w:tcPr>
            <w:tcW w:w="1023" w:type="dxa"/>
            <w:tcBorders/>
          </w:tcPr>
          <w:p>
            <w:pPr>
              <w:pStyle w:val="style0"/>
              <w:jc w:val="both"/>
              <w:rPr/>
            </w:pPr>
            <w:r>
              <w:t>5.50 ± 0.51</w:t>
            </w:r>
            <w:r>
              <w:rPr>
                <w:rFonts w:ascii="Arial" w:cs="Arial" w:hAnsi="Arial"/>
              </w:rPr>
              <w:t>ᶜ</w:t>
            </w:r>
          </w:p>
        </w:tc>
        <w:tc>
          <w:tcPr>
            <w:tcW w:w="1023" w:type="dxa"/>
            <w:tcBorders/>
          </w:tcPr>
          <w:p>
            <w:pPr>
              <w:pStyle w:val="style0"/>
              <w:jc w:val="both"/>
              <w:rPr/>
            </w:pPr>
            <w:r>
              <w:t>3.67 ± 0.48</w:t>
            </w:r>
            <w:r>
              <w:rPr>
                <w:rFonts w:ascii="Arial" w:cs="Arial" w:hAnsi="Arial"/>
              </w:rPr>
              <w:t>ᵈ</w:t>
            </w:r>
          </w:p>
        </w:tc>
        <w:tc>
          <w:tcPr>
            <w:tcW w:w="959" w:type="dxa"/>
            <w:tcBorders/>
          </w:tcPr>
          <w:p>
            <w:pPr>
              <w:pStyle w:val="style0"/>
              <w:jc w:val="both"/>
              <w:rPr/>
            </w:pPr>
            <w:r>
              <w:t>4.33 ± 0.48</w:t>
            </w:r>
            <w:r>
              <w:rPr>
                <w:rFonts w:ascii="Arial" w:cs="Arial" w:hAnsi="Arial"/>
              </w:rPr>
              <w:t>ᶜ</w:t>
            </w:r>
          </w:p>
        </w:tc>
        <w:tc>
          <w:tcPr>
            <w:tcW w:w="1771" w:type="dxa"/>
            <w:tcBorders/>
          </w:tcPr>
          <w:p>
            <w:pPr>
              <w:pStyle w:val="style0"/>
              <w:jc w:val="both"/>
              <w:rPr/>
            </w:pPr>
            <w:r>
              <w:t>4.64 ± 0.25</w:t>
            </w:r>
            <w:r>
              <w:rPr>
                <w:rFonts w:ascii="Arial" w:cs="Arial" w:hAnsi="Arial"/>
              </w:rPr>
              <w:t>ᵉ</w:t>
            </w:r>
          </w:p>
        </w:tc>
      </w:tr>
      <w:tr>
        <w:tblPrEx/>
        <w:trPr>
          <w:trHeight w:val="155" w:hRule="atLeast"/>
        </w:trPr>
        <w:tc>
          <w:tcPr>
            <w:tcW w:w="1183" w:type="dxa"/>
            <w:tcBorders/>
          </w:tcPr>
          <w:p>
            <w:pPr>
              <w:pStyle w:val="style0"/>
              <w:jc w:val="both"/>
              <w:rPr/>
            </w:pPr>
            <w:r>
              <w:t>Chi-square (χ²)</w:t>
            </w:r>
          </w:p>
        </w:tc>
        <w:tc>
          <w:tcPr>
            <w:tcW w:w="1506" w:type="dxa"/>
            <w:tcBorders/>
          </w:tcPr>
          <w:p>
            <w:pPr>
              <w:pStyle w:val="style0"/>
              <w:jc w:val="both"/>
              <w:rPr/>
            </w:pPr>
            <w:r>
              <w:t>124.01</w:t>
            </w:r>
          </w:p>
        </w:tc>
        <w:tc>
          <w:tcPr>
            <w:tcW w:w="1023" w:type="dxa"/>
            <w:tcBorders/>
          </w:tcPr>
          <w:p>
            <w:pPr>
              <w:pStyle w:val="style0"/>
              <w:jc w:val="both"/>
              <w:rPr/>
            </w:pPr>
            <w:r>
              <w:t>126.21</w:t>
            </w:r>
          </w:p>
        </w:tc>
        <w:tc>
          <w:tcPr>
            <w:tcW w:w="1087" w:type="dxa"/>
            <w:tcBorders/>
          </w:tcPr>
          <w:p>
            <w:pPr>
              <w:pStyle w:val="style0"/>
              <w:jc w:val="both"/>
              <w:rPr/>
            </w:pPr>
            <w:r>
              <w:t>117.65</w:t>
            </w:r>
          </w:p>
        </w:tc>
        <w:tc>
          <w:tcPr>
            <w:tcW w:w="1023" w:type="dxa"/>
            <w:tcBorders/>
          </w:tcPr>
          <w:p>
            <w:pPr>
              <w:pStyle w:val="style0"/>
              <w:jc w:val="both"/>
              <w:rPr/>
            </w:pPr>
            <w:r>
              <w:t>120.31</w:t>
            </w:r>
          </w:p>
        </w:tc>
        <w:tc>
          <w:tcPr>
            <w:tcW w:w="1023" w:type="dxa"/>
            <w:tcBorders/>
          </w:tcPr>
          <w:p>
            <w:pPr>
              <w:pStyle w:val="style0"/>
              <w:jc w:val="both"/>
              <w:rPr/>
            </w:pPr>
            <w:r>
              <w:t>135.58</w:t>
            </w:r>
          </w:p>
        </w:tc>
        <w:tc>
          <w:tcPr>
            <w:tcW w:w="959" w:type="dxa"/>
            <w:tcBorders/>
          </w:tcPr>
          <w:p>
            <w:pPr>
              <w:pStyle w:val="style0"/>
              <w:jc w:val="both"/>
              <w:rPr/>
            </w:pPr>
            <w:r>
              <w:t>124.18</w:t>
            </w:r>
          </w:p>
        </w:tc>
        <w:tc>
          <w:tcPr>
            <w:tcW w:w="1771" w:type="dxa"/>
            <w:tcBorders/>
          </w:tcPr>
          <w:p>
            <w:pPr>
              <w:pStyle w:val="style0"/>
              <w:jc w:val="both"/>
              <w:rPr/>
            </w:pPr>
            <w:r>
              <w:t>136.69</w:t>
            </w:r>
          </w:p>
        </w:tc>
      </w:tr>
      <w:tr>
        <w:tblPrEx/>
        <w:trPr>
          <w:trHeight w:val="155" w:hRule="atLeast"/>
        </w:trPr>
        <w:tc>
          <w:tcPr>
            <w:tcW w:w="1183" w:type="dxa"/>
            <w:tcBorders/>
          </w:tcPr>
          <w:p>
            <w:pPr>
              <w:pStyle w:val="style0"/>
              <w:jc w:val="both"/>
              <w:rPr/>
            </w:pPr>
            <w:r>
              <w:t>p-value</w:t>
            </w:r>
          </w:p>
        </w:tc>
        <w:tc>
          <w:tcPr>
            <w:tcW w:w="1506" w:type="dxa"/>
            <w:tcBorders/>
          </w:tcPr>
          <w:p>
            <w:pPr>
              <w:pStyle w:val="style0"/>
              <w:jc w:val="both"/>
              <w:rPr/>
            </w:pPr>
            <w:r>
              <w:t>&lt;0.001</w:t>
            </w:r>
          </w:p>
        </w:tc>
        <w:tc>
          <w:tcPr>
            <w:tcW w:w="1023" w:type="dxa"/>
            <w:tcBorders/>
          </w:tcPr>
          <w:p>
            <w:pPr>
              <w:pStyle w:val="style0"/>
              <w:jc w:val="both"/>
              <w:rPr/>
            </w:pPr>
            <w:r>
              <w:t>&lt;0.001</w:t>
            </w:r>
          </w:p>
        </w:tc>
        <w:tc>
          <w:tcPr>
            <w:tcW w:w="1087" w:type="dxa"/>
            <w:tcBorders/>
          </w:tcPr>
          <w:p>
            <w:pPr>
              <w:pStyle w:val="style0"/>
              <w:jc w:val="both"/>
              <w:rPr/>
            </w:pPr>
            <w:r>
              <w:t>&lt;0.001</w:t>
            </w:r>
          </w:p>
        </w:tc>
        <w:tc>
          <w:tcPr>
            <w:tcW w:w="1023" w:type="dxa"/>
            <w:tcBorders/>
          </w:tcPr>
          <w:p>
            <w:pPr>
              <w:pStyle w:val="style0"/>
              <w:jc w:val="both"/>
              <w:rPr/>
            </w:pPr>
            <w:r>
              <w:t>&lt;0.001</w:t>
            </w:r>
          </w:p>
        </w:tc>
        <w:tc>
          <w:tcPr>
            <w:tcW w:w="1023" w:type="dxa"/>
            <w:tcBorders/>
          </w:tcPr>
          <w:p>
            <w:pPr>
              <w:pStyle w:val="style0"/>
              <w:jc w:val="both"/>
              <w:rPr/>
            </w:pPr>
            <w:r>
              <w:t>&lt;0.001</w:t>
            </w:r>
          </w:p>
        </w:tc>
        <w:tc>
          <w:tcPr>
            <w:tcW w:w="959" w:type="dxa"/>
            <w:tcBorders/>
          </w:tcPr>
          <w:p>
            <w:pPr>
              <w:pStyle w:val="style0"/>
              <w:jc w:val="both"/>
              <w:rPr/>
            </w:pPr>
            <w:r>
              <w:t>&lt;0.001</w:t>
            </w:r>
          </w:p>
        </w:tc>
        <w:tc>
          <w:tcPr>
            <w:tcW w:w="1771" w:type="dxa"/>
            <w:tcBorders/>
          </w:tcPr>
          <w:p>
            <w:pPr>
              <w:pStyle w:val="style0"/>
              <w:jc w:val="both"/>
              <w:rPr/>
            </w:pPr>
            <w:r>
              <w:t>&lt;0.001</w:t>
            </w:r>
          </w:p>
        </w:tc>
      </w:tr>
    </w:tbl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Sensory evaluation identified a pronounced curvilinear relationship between </w:t>
      </w:r>
      <w:commentRangeStart w:id="17"/>
      <w:r>
        <w:rPr>
          <w:rFonts w:ascii="Times New Roman" w:cs="Times New Roman" w:hAnsi="Times New Roman"/>
          <w:sz w:val="24"/>
          <w:szCs w:val="24"/>
        </w:rPr>
        <w:t xml:space="preserve">Basella rubra </w:t>
      </w:r>
      <w:commentRangeEnd w:id="17"/>
      <w:r>
        <w:rPr/>
        <w:commentReference w:id="17"/>
      </w:r>
      <w:r>
        <w:rPr>
          <w:rFonts w:ascii="Times New Roman" w:cs="Times New Roman" w:hAnsi="Times New Roman"/>
          <w:sz w:val="24"/>
          <w:szCs w:val="24"/>
        </w:rPr>
        <w:t>incorporation and consumer preference. Formulation N2 (10% inclusion) emerged as the optimal treatment, achieving the highest overall acceptability score of 8.54 ± 0.35. This 10% threshold aligns with research findings on green leafy vegetable (GLV) incorporation in cereal matrices, which suggests that levels between 8% and 12% maximize nutritional fortification without introducing the "grassy" off-</w:t>
      </w:r>
      <w:r>
        <w:rPr>
          <w:rFonts w:ascii="Times New Roman" w:cs="Times New Roman" w:hAnsi="Times New Roman"/>
          <w:sz w:val="24"/>
          <w:szCs w:val="24"/>
        </w:rPr>
        <w:t>flavors</w:t>
      </w:r>
      <w:r>
        <w:rPr>
          <w:rFonts w:ascii="Times New Roman" w:cs="Times New Roman" w:hAnsi="Times New Roman"/>
          <w:sz w:val="24"/>
          <w:szCs w:val="24"/>
        </w:rPr>
        <w:t xml:space="preserve"> or bitter notes associated with concentrated leaf saponins and oxalates</w:t>
      </w:r>
      <w:r>
        <w:rPr>
          <w:rFonts w:ascii="Times New Roman" w:cs="Times New Roman" w:hAnsi="Times New Roman"/>
          <w:sz w:val="24"/>
          <w:szCs w:val="24"/>
        </w:rPr>
        <w:t xml:space="preserve">. </w:t>
      </w:r>
      <w:r>
        <w:rPr>
          <w:rFonts w:ascii="Times New Roman" w:cs="Times New Roman" w:hAnsi="Times New Roman"/>
          <w:sz w:val="24"/>
          <w:szCs w:val="24"/>
        </w:rPr>
        <w:t xml:space="preserve">The high sensory score values confirm a robust consensus among the </w:t>
      </w:r>
      <w:r>
        <w:rPr>
          <w:rFonts w:ascii="Times New Roman" w:cs="Times New Roman" w:hAnsi="Times New Roman"/>
          <w:sz w:val="24"/>
          <w:szCs w:val="24"/>
        </w:rPr>
        <w:t>panelists</w:t>
      </w:r>
      <w:r>
        <w:rPr>
          <w:rFonts w:ascii="Times New Roman" w:cs="Times New Roman" w:hAnsi="Times New Roman"/>
          <w:sz w:val="24"/>
          <w:szCs w:val="24"/>
        </w:rPr>
        <w:t>, validating the 10% formulation for commercial scaling</w:t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 xml:space="preserve">3.2 </w:t>
      </w:r>
      <w:r>
        <w:rPr>
          <w:rFonts w:ascii="Times New Roman" w:cs="Times New Roman" w:hAnsi="Times New Roman"/>
          <w:b/>
          <w:bCs/>
          <w:sz w:val="24"/>
          <w:szCs w:val="24"/>
        </w:rPr>
        <w:t>Nutritional and Mineral Characterization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The </w:t>
      </w:r>
      <w:r>
        <w:rPr>
          <w:rFonts w:ascii="Times New Roman" w:cs="Times New Roman" w:hAnsi="Times New Roman"/>
          <w:sz w:val="24"/>
          <w:szCs w:val="24"/>
        </w:rPr>
        <w:t>nutrimix</w:t>
      </w:r>
      <w:r>
        <w:rPr>
          <w:rFonts w:ascii="Times New Roman" w:cs="Times New Roman" w:hAnsi="Times New Roman"/>
          <w:sz w:val="24"/>
          <w:szCs w:val="24"/>
        </w:rPr>
        <w:t xml:space="preserve"> flour exhibited a moisture content of 7.04%, which is well below the 10% threshold required to ensure the shelf stability of dehydrated powders by inhibiting microbial growth and enzymatic activity (FSSAI, 2022). The recorded protein content (11.52 g/100g) demonstrates effective cereal-legume complementation; the inclusion of brown rice (35%) provides </w:t>
      </w:r>
      <w:r>
        <w:rPr>
          <w:rFonts w:ascii="Times New Roman" w:cs="Times New Roman" w:hAnsi="Times New Roman"/>
          <w:sz w:val="24"/>
          <w:szCs w:val="24"/>
        </w:rPr>
        <w:t>sulfur</w:t>
      </w:r>
      <w:r>
        <w:rPr>
          <w:rFonts w:ascii="Times New Roman" w:cs="Times New Roman" w:hAnsi="Times New Roman"/>
          <w:sz w:val="24"/>
          <w:szCs w:val="24"/>
        </w:rPr>
        <w:t>-containing amino acids (methionine and cysteine) to offset the lysine-rich but methionine-deficient profile of mung bean (30%), yielding a balanced amino acid profile suitable for human nutrition (</w:t>
      </w:r>
      <w:commentRangeStart w:id="18"/>
      <w:r>
        <w:rPr>
          <w:rFonts w:ascii="Times New Roman" w:cs="Times New Roman" w:hAnsi="Times New Roman"/>
          <w:sz w:val="24"/>
          <w:szCs w:val="24"/>
        </w:rPr>
        <w:t>Nosworthy et al</w:t>
      </w:r>
      <w:commentRangeEnd w:id="18"/>
      <w:r>
        <w:rPr/>
        <w:commentReference w:id="18"/>
      </w:r>
      <w:r>
        <w:rPr>
          <w:rFonts w:ascii="Times New Roman" w:cs="Times New Roman" w:hAnsi="Times New Roman"/>
          <w:sz w:val="24"/>
          <w:szCs w:val="24"/>
        </w:rPr>
        <w:t>., 2017).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The carbohydrate content (68.16 g/100g) provides a robust energy base, while the crude </w:t>
      </w:r>
      <w:r>
        <w:rPr>
          <w:rFonts w:ascii="Times New Roman" w:cs="Times New Roman" w:hAnsi="Times New Roman"/>
          <w:sz w:val="24"/>
          <w:szCs w:val="24"/>
        </w:rPr>
        <w:t>fiber</w:t>
      </w:r>
      <w:r>
        <w:rPr>
          <w:rFonts w:ascii="Times New Roman" w:cs="Times New Roman" w:hAnsi="Times New Roman"/>
          <w:sz w:val="24"/>
          <w:szCs w:val="24"/>
        </w:rPr>
        <w:t xml:space="preserve"> content (6.28 g/100g) contributes to gastrointestinal health and </w:t>
      </w:r>
      <w:r>
        <w:rPr>
          <w:rFonts w:ascii="Times New Roman" w:cs="Times New Roman" w:hAnsi="Times New Roman"/>
          <w:sz w:val="24"/>
          <w:szCs w:val="24"/>
        </w:rPr>
        <w:t>glycemic</w:t>
      </w:r>
      <w:r>
        <w:rPr>
          <w:rFonts w:ascii="Times New Roman" w:cs="Times New Roman" w:hAnsi="Times New Roman"/>
          <w:sz w:val="24"/>
          <w:szCs w:val="24"/>
        </w:rPr>
        <w:t xml:space="preserve"> regulation. The total mineral content (3.22 g/100g) reflects the substantial inorganic nutrient density achieved through the incorporation of mineral-rich Basella rubra and pumpkin powder.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The mineral profile revealed iron (5.23 mg/100g) and calcium (125.40 mg/100g) levels that significantly enhance the nutrient density of the composite compared to traditional cereal-only formulations </w:t>
      </w:r>
      <w:commentRangeStart w:id="19"/>
      <w:r>
        <w:rPr>
          <w:rFonts w:ascii="Times New Roman" w:cs="Times New Roman" w:hAnsi="Times New Roman"/>
          <w:sz w:val="24"/>
          <w:szCs w:val="24"/>
        </w:rPr>
        <w:t>(Gopalan et al.,</w:t>
      </w:r>
      <w:commentRangeEnd w:id="19"/>
      <w:r>
        <w:rPr/>
        <w:commentReference w:id="19"/>
      </w:r>
      <w:r>
        <w:rPr>
          <w:rFonts w:ascii="Times New Roman" w:cs="Times New Roman" w:hAnsi="Times New Roman"/>
          <w:sz w:val="24"/>
          <w:szCs w:val="24"/>
        </w:rPr>
        <w:t xml:space="preserve"> 2011). Potassium content (152.13 mg/100g) coupled with minimal sodium (35.03 mg/100g) yields a </w:t>
      </w:r>
      <w:r>
        <w:rPr>
          <w:rFonts w:ascii="Times New Roman" w:cs="Times New Roman" w:hAnsi="Times New Roman"/>
          <w:sz w:val="24"/>
          <w:szCs w:val="24"/>
        </w:rPr>
        <w:t>favorable</w:t>
      </w:r>
      <w:r>
        <w:rPr>
          <w:rFonts w:ascii="Times New Roman" w:cs="Times New Roman" w:hAnsi="Times New Roman"/>
          <w:sz w:val="24"/>
          <w:szCs w:val="24"/>
        </w:rPr>
        <w:t xml:space="preserve"> K:Na ratio (4.3:1), which is beneficial for cardiovascular health. The co-presence of vitamin C (19.07 mg/100g) is scientifically significant, as ascorbic acid acts as a potent enhancer of non-</w:t>
      </w:r>
      <w:r>
        <w:rPr>
          <w:rFonts w:ascii="Times New Roman" w:cs="Times New Roman" w:hAnsi="Times New Roman"/>
          <w:sz w:val="24"/>
          <w:szCs w:val="24"/>
        </w:rPr>
        <w:t>heme</w:t>
      </w:r>
      <w:r>
        <w:rPr>
          <w:rFonts w:ascii="Times New Roman" w:cs="Times New Roman" w:hAnsi="Times New Roman"/>
          <w:sz w:val="24"/>
          <w:szCs w:val="24"/>
        </w:rPr>
        <w:t xml:space="preserve"> iron absorption by reducing ferric iron (Fe³⁺) to the more bioavailable ferrous (Fe²⁺) state within the intestinal lumen, potentially increasing iron absorption by 3–4 fold (</w:t>
      </w:r>
      <w:commentRangeStart w:id="20"/>
      <w:r>
        <w:rPr>
          <w:rFonts w:ascii="Times New Roman" w:cs="Times New Roman" w:hAnsi="Times New Roman"/>
          <w:sz w:val="24"/>
          <w:szCs w:val="24"/>
        </w:rPr>
        <w:t>Collings et al.</w:t>
      </w:r>
      <w:commentRangeEnd w:id="20"/>
      <w:r>
        <w:rPr/>
        <w:commentReference w:id="20"/>
      </w:r>
      <w:r>
        <w:rPr>
          <w:rFonts w:ascii="Times New Roman" w:cs="Times New Roman" w:hAnsi="Times New Roman"/>
          <w:sz w:val="24"/>
          <w:szCs w:val="24"/>
        </w:rPr>
        <w:t xml:space="preserve">, 2013). Additionally, vitamin A content (105.93 </w:t>
      </w:r>
      <w:r>
        <w:rPr>
          <w:rFonts w:ascii="Times New Roman" w:cs="Times New Roman" w:hAnsi="Times New Roman"/>
          <w:sz w:val="24"/>
          <w:szCs w:val="24"/>
        </w:rPr>
        <w:t>μg</w:t>
      </w:r>
      <w:r>
        <w:rPr>
          <w:rFonts w:ascii="Times New Roman" w:cs="Times New Roman" w:hAnsi="Times New Roman"/>
          <w:sz w:val="24"/>
          <w:szCs w:val="24"/>
        </w:rPr>
        <w:t xml:space="preserve"> RAE/100g) from β-carotene in pumpkin contributes to visual health and immune function.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 xml:space="preserve">3.2.1 </w:t>
      </w:r>
      <w:r>
        <w:rPr>
          <w:rFonts w:ascii="Times New Roman" w:cs="Times New Roman" w:hAnsi="Times New Roman"/>
          <w:b/>
          <w:bCs/>
          <w:sz w:val="24"/>
          <w:szCs w:val="24"/>
        </w:rPr>
        <w:t>Bioactive Potential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The total phenolic content (41.35 mg GAE/g) serves as the primary indicator of the product's antioxidant capacity and therapeutic potential. This exceptionally high phytochemical payload, derived predominantly from the </w:t>
      </w:r>
      <w:r>
        <w:rPr>
          <w:rFonts w:ascii="Times New Roman" w:cs="Times New Roman" w:hAnsi="Times New Roman"/>
          <w:sz w:val="24"/>
          <w:szCs w:val="24"/>
        </w:rPr>
        <w:t>betalain</w:t>
      </w:r>
      <w:r>
        <w:rPr>
          <w:rFonts w:ascii="Times New Roman" w:cs="Times New Roman" w:hAnsi="Times New Roman"/>
          <w:sz w:val="24"/>
          <w:szCs w:val="24"/>
        </w:rPr>
        <w:t xml:space="preserve">-rich red-stemmed </w:t>
      </w:r>
      <w:commentRangeStart w:id="21"/>
      <w:r>
        <w:rPr>
          <w:rFonts w:ascii="Times New Roman" w:cs="Times New Roman" w:hAnsi="Times New Roman"/>
          <w:sz w:val="24"/>
          <w:szCs w:val="24"/>
        </w:rPr>
        <w:t>Basella</w:t>
      </w:r>
      <w:r>
        <w:rPr>
          <w:rFonts w:ascii="Times New Roman" w:cs="Times New Roman" w:hAnsi="Times New Roman"/>
          <w:sz w:val="24"/>
          <w:szCs w:val="24"/>
        </w:rPr>
        <w:t xml:space="preserve"> rubra</w:t>
      </w:r>
      <w:commentRangeEnd w:id="21"/>
      <w:r>
        <w:rPr/>
        <w:commentReference w:id="21"/>
      </w:r>
      <w:r>
        <w:rPr>
          <w:rFonts w:ascii="Times New Roman" w:cs="Times New Roman" w:hAnsi="Times New Roman"/>
          <w:sz w:val="24"/>
          <w:szCs w:val="24"/>
        </w:rPr>
        <w:t xml:space="preserve">, positions the </w:t>
      </w:r>
      <w:r>
        <w:rPr>
          <w:rFonts w:ascii="Times New Roman" w:cs="Times New Roman" w:hAnsi="Times New Roman"/>
          <w:sz w:val="24"/>
          <w:szCs w:val="24"/>
        </w:rPr>
        <w:t>nutrimix</w:t>
      </w:r>
      <w:r>
        <w:rPr>
          <w:rFonts w:ascii="Times New Roman" w:cs="Times New Roman" w:hAnsi="Times New Roman"/>
          <w:sz w:val="24"/>
          <w:szCs w:val="24"/>
        </w:rPr>
        <w:t xml:space="preserve"> as a significant source of dietary antioxidants with demonstrated free radical scavenging activity (Deshmukh </w:t>
      </w:r>
      <w:commentRangeStart w:id="22"/>
      <w:r>
        <w:rPr>
          <w:rFonts w:ascii="Times New Roman" w:cs="Times New Roman" w:hAnsi="Times New Roman"/>
          <w:sz w:val="24"/>
          <w:szCs w:val="24"/>
        </w:rPr>
        <w:t>&amp;</w:t>
      </w:r>
      <w:commentRangeEnd w:id="22"/>
      <w:r>
        <w:rPr/>
        <w:commentReference w:id="22"/>
      </w:r>
      <w:r>
        <w:rPr>
          <w:rFonts w:ascii="Times New Roman" w:cs="Times New Roman" w:hAnsi="Times New Roman"/>
          <w:sz w:val="24"/>
          <w:szCs w:val="24"/>
        </w:rPr>
        <w:t xml:space="preserve"> Gaikwad, 2014). The total flavonoid content (0.24 mg QE/g), while modest, represents an additional class of bioactive compounds contributing to the overall health-promoting properties of the formulation.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This finding supports the study's objective of utilizing underutilized indigenous vegetables to bridge the nutritional gap in modern, time-constrained populations through convenient, ready-to-cook (RTC) formats. The synergistic combination of macronutrients, essential minerals, vitamins, and bioactive phytochemicals positions this </w:t>
      </w:r>
      <w:r>
        <w:rPr>
          <w:rFonts w:ascii="Times New Roman" w:cs="Times New Roman" w:hAnsi="Times New Roman"/>
          <w:sz w:val="24"/>
          <w:szCs w:val="24"/>
        </w:rPr>
        <w:t>nutrimix</w:t>
      </w:r>
      <w:r>
        <w:rPr>
          <w:rFonts w:ascii="Times New Roman" w:cs="Times New Roman" w:hAnsi="Times New Roman"/>
          <w:sz w:val="24"/>
          <w:szCs w:val="24"/>
        </w:rPr>
        <w:t xml:space="preserve"> as a functionally superior alternative to conventional cereal-based products, addressing multiple dimensions of nutritional deficiency prevalent in urban populations with suboptimal green leafy vegetable intake (</w:t>
      </w:r>
      <w:commentRangeStart w:id="23"/>
      <w:r>
        <w:rPr>
          <w:rFonts w:ascii="Times New Roman" w:cs="Times New Roman" w:hAnsi="Times New Roman"/>
          <w:sz w:val="24"/>
          <w:szCs w:val="24"/>
        </w:rPr>
        <w:t>Damndja</w:t>
      </w:r>
      <w:r>
        <w:rPr>
          <w:rFonts w:ascii="Times New Roman" w:cs="Times New Roman" w:hAnsi="Times New Roman"/>
          <w:sz w:val="24"/>
          <w:szCs w:val="24"/>
        </w:rPr>
        <w:t xml:space="preserve"> et al.,</w:t>
      </w:r>
      <w:commentRangeEnd w:id="23"/>
      <w:r>
        <w:rPr/>
        <w:commentReference w:id="23"/>
      </w:r>
      <w:r>
        <w:rPr>
          <w:rFonts w:ascii="Times New Roman" w:cs="Times New Roman" w:hAnsi="Times New Roman"/>
          <w:sz w:val="24"/>
          <w:szCs w:val="24"/>
        </w:rPr>
        <w:t xml:space="preserve"> 2024).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Table 3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: 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Nutritional Composition of Optimized </w:t>
      </w:r>
      <w:r>
        <w:rPr>
          <w:rFonts w:ascii="Times New Roman" w:cs="Times New Roman" w:hAnsi="Times New Roman"/>
          <w:b/>
          <w:bCs/>
          <w:sz w:val="24"/>
          <w:szCs w:val="24"/>
        </w:rPr>
        <w:t>Nutrimix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 Formulation (N₂)</w:t>
      </w:r>
    </w:p>
    <w:tbl>
      <w:tblPr>
        <w:tblStyle w:val="style154"/>
        <w:tblW w:w="7853" w:type="dxa"/>
        <w:tblLook w:val="04A0" w:firstRow="1" w:lastRow="0" w:firstColumn="1" w:lastColumn="0" w:noHBand="0" w:noVBand="1"/>
      </w:tblPr>
      <w:tblGrid>
        <w:gridCol w:w="3737"/>
        <w:gridCol w:w="2104"/>
        <w:gridCol w:w="2010"/>
      </w:tblGrid>
      <w:tr>
        <w:trPr>
          <w:trHeight w:val="272" w:hRule="atLeast"/>
        </w:trPr>
        <w:tc>
          <w:tcPr>
            <w:tcW w:w="0" w:type="auto"/>
            <w:tcBorders/>
            <w:hideMark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bCs/>
                <w:kern w:val="0"/>
                <w:sz w:val="24"/>
                <w:szCs w:val="24"/>
                <w:lang w:eastAsia="en-IN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kern w:val="0"/>
                <w:sz w:val="24"/>
                <w:szCs w:val="24"/>
                <w:lang w:eastAsia="en-IN"/>
                <w14:ligatures xmlns:w14="http://schemas.microsoft.com/office/word/2010/wordml" w14:val="none"/>
              </w:rPr>
              <w:t>Parameter</w:t>
            </w:r>
          </w:p>
        </w:tc>
        <w:tc>
          <w:tcPr>
            <w:tcW w:w="0" w:type="auto"/>
            <w:tcBorders/>
            <w:hideMark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bCs/>
                <w:kern w:val="0"/>
                <w:sz w:val="24"/>
                <w:szCs w:val="24"/>
                <w:lang w:eastAsia="en-IN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kern w:val="0"/>
                <w:sz w:val="24"/>
                <w:szCs w:val="24"/>
                <w:lang w:eastAsia="en-IN"/>
                <w14:ligatures xmlns:w14="http://schemas.microsoft.com/office/word/2010/wordml" w14:val="none"/>
              </w:rPr>
              <w:t>Value</w:t>
            </w:r>
          </w:p>
        </w:tc>
        <w:tc>
          <w:tcPr>
            <w:tcW w:w="0" w:type="auto"/>
            <w:tcBorders/>
            <w:hideMark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bCs/>
                <w:kern w:val="0"/>
                <w:sz w:val="24"/>
                <w:szCs w:val="24"/>
                <w:lang w:eastAsia="en-IN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kern w:val="0"/>
                <w:sz w:val="24"/>
                <w:szCs w:val="24"/>
                <w:lang w:eastAsia="en-IN"/>
                <w14:ligatures xmlns:w14="http://schemas.microsoft.com/office/word/2010/wordml" w14:val="none"/>
              </w:rPr>
              <w:t>Unit</w:t>
            </w:r>
          </w:p>
        </w:tc>
      </w:tr>
      <w:tr>
        <w:tblPrEx/>
        <w:trPr>
          <w:trHeight w:val="280" w:hRule="atLeast"/>
        </w:trPr>
        <w:tc>
          <w:tcPr>
            <w:tcW w:w="0" w:type="auto"/>
            <w:gridSpan w:val="3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kern w:val="0"/>
                <w:sz w:val="20"/>
                <w:szCs w:val="20"/>
                <w:lang w:eastAsia="en-IN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kern w:val="0"/>
                <w:sz w:val="24"/>
                <w:szCs w:val="24"/>
                <w:lang w:eastAsia="en-IN"/>
                <w14:ligatures xmlns:w14="http://schemas.microsoft.com/office/word/2010/wordml" w14:val="none"/>
              </w:rPr>
              <w:t>Proximate Composition</w:t>
            </w:r>
          </w:p>
        </w:tc>
      </w:tr>
      <w:tr>
        <w:tblPrEx/>
        <w:trPr>
          <w:trHeight w:val="272" w:hRule="atLeast"/>
        </w:trPr>
        <w:tc>
          <w:tcPr>
            <w:tcW w:w="0" w:type="auto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en-IN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en-IN"/>
                <w14:ligatures xmlns:w14="http://schemas.microsoft.com/office/word/2010/wordml" w14:val="none"/>
              </w:rPr>
              <w:t>Carbohydrate</w:t>
            </w:r>
          </w:p>
        </w:tc>
        <w:tc>
          <w:tcPr>
            <w:tcW w:w="0" w:type="auto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en-IN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en-IN"/>
                <w14:ligatures xmlns:w14="http://schemas.microsoft.com/office/word/2010/wordml" w14:val="none"/>
              </w:rPr>
              <w:t>68.16 ± 0.18</w:t>
            </w:r>
          </w:p>
        </w:tc>
        <w:tc>
          <w:tcPr>
            <w:tcW w:w="0" w:type="auto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en-IN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en-IN"/>
                <w14:ligatures xmlns:w14="http://schemas.microsoft.com/office/word/2010/wordml" w14:val="none"/>
              </w:rPr>
              <w:t>g/100 g</w:t>
            </w:r>
          </w:p>
        </w:tc>
      </w:tr>
      <w:tr>
        <w:tblPrEx/>
        <w:trPr>
          <w:trHeight w:val="272" w:hRule="atLeast"/>
        </w:trPr>
        <w:tc>
          <w:tcPr>
            <w:tcW w:w="0" w:type="auto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en-IN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en-IN"/>
                <w14:ligatures xmlns:w14="http://schemas.microsoft.com/office/word/2010/wordml" w14:val="none"/>
              </w:rPr>
              <w:t>Protein</w:t>
            </w:r>
          </w:p>
        </w:tc>
        <w:tc>
          <w:tcPr>
            <w:tcW w:w="0" w:type="auto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en-IN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en-IN"/>
                <w14:ligatures xmlns:w14="http://schemas.microsoft.com/office/word/2010/wordml" w14:val="none"/>
              </w:rPr>
              <w:t>11.52 ± 0.02</w:t>
            </w:r>
          </w:p>
        </w:tc>
        <w:tc>
          <w:tcPr>
            <w:tcW w:w="0" w:type="auto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en-IN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en-IN"/>
                <w14:ligatures xmlns:w14="http://schemas.microsoft.com/office/word/2010/wordml" w14:val="none"/>
              </w:rPr>
              <w:t>g/100 g</w:t>
            </w:r>
          </w:p>
        </w:tc>
      </w:tr>
      <w:tr>
        <w:tblPrEx/>
        <w:trPr>
          <w:trHeight w:val="280" w:hRule="atLeast"/>
        </w:trPr>
        <w:tc>
          <w:tcPr>
            <w:tcW w:w="0" w:type="auto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en-IN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en-IN"/>
                <w14:ligatures xmlns:w14="http://schemas.microsoft.com/office/word/2010/wordml" w14:val="none"/>
              </w:rPr>
              <w:t>Crude Fat</w:t>
            </w:r>
          </w:p>
        </w:tc>
        <w:tc>
          <w:tcPr>
            <w:tcW w:w="0" w:type="auto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en-IN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en-IN"/>
                <w14:ligatures xmlns:w14="http://schemas.microsoft.com/office/word/2010/wordml" w14:val="none"/>
              </w:rPr>
              <w:t>3.03 ± 0.</w:t>
            </w:r>
            <w:r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en-IN"/>
                <w14:ligatures xmlns:w14="http://schemas.microsoft.com/office/word/2010/wordml" w14:val="none"/>
              </w:rPr>
              <w:t>0</w:t>
            </w:r>
            <w:r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en-IN"/>
                <w14:ligatures xmlns:w14="http://schemas.microsoft.com/office/word/2010/wordml" w14:val="none"/>
              </w:rPr>
              <w:t>2</w:t>
            </w:r>
          </w:p>
        </w:tc>
        <w:tc>
          <w:tcPr>
            <w:tcW w:w="0" w:type="auto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en-IN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en-IN"/>
                <w14:ligatures xmlns:w14="http://schemas.microsoft.com/office/word/2010/wordml" w14:val="none"/>
              </w:rPr>
              <w:t>g/100 g</w:t>
            </w:r>
          </w:p>
        </w:tc>
      </w:tr>
      <w:tr>
        <w:tblPrEx/>
        <w:trPr>
          <w:trHeight w:val="272" w:hRule="atLeast"/>
        </w:trPr>
        <w:tc>
          <w:tcPr>
            <w:tcW w:w="0" w:type="auto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en-IN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en-IN"/>
                <w14:ligatures xmlns:w14="http://schemas.microsoft.com/office/word/2010/wordml" w14:val="none"/>
              </w:rPr>
              <w:t>Crude Fiber</w:t>
            </w:r>
          </w:p>
        </w:tc>
        <w:tc>
          <w:tcPr>
            <w:tcW w:w="0" w:type="auto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en-IN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en-IN"/>
                <w14:ligatures xmlns:w14="http://schemas.microsoft.com/office/word/2010/wordml" w14:val="none"/>
              </w:rPr>
              <w:t>6.2</w:t>
            </w:r>
            <w:r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en-IN"/>
                <w14:ligatures xmlns:w14="http://schemas.microsoft.com/office/word/2010/wordml" w14:val="none"/>
              </w:rPr>
              <w:t>8</w:t>
            </w:r>
            <w:r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en-IN"/>
                <w14:ligatures xmlns:w14="http://schemas.microsoft.com/office/word/2010/wordml" w14:val="none"/>
              </w:rPr>
              <w:t xml:space="preserve"> ± 0.</w:t>
            </w:r>
            <w:r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en-IN"/>
                <w14:ligatures xmlns:w14="http://schemas.microsoft.com/office/word/2010/wordml" w14:val="none"/>
              </w:rPr>
              <w:t>03</w:t>
            </w:r>
          </w:p>
        </w:tc>
        <w:tc>
          <w:tcPr>
            <w:tcW w:w="0" w:type="auto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en-IN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en-IN"/>
                <w14:ligatures xmlns:w14="http://schemas.microsoft.com/office/word/2010/wordml" w14:val="none"/>
              </w:rPr>
              <w:t>g/100 g</w:t>
            </w:r>
          </w:p>
        </w:tc>
      </w:tr>
      <w:tr>
        <w:tblPrEx/>
        <w:trPr>
          <w:trHeight w:val="280" w:hRule="atLeast"/>
        </w:trPr>
        <w:tc>
          <w:tcPr>
            <w:tcW w:w="0" w:type="auto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en-IN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en-IN"/>
                <w14:ligatures xmlns:w14="http://schemas.microsoft.com/office/word/2010/wordml" w14:val="none"/>
              </w:rPr>
              <w:t>Moisture Content</w:t>
            </w:r>
          </w:p>
        </w:tc>
        <w:tc>
          <w:tcPr>
            <w:tcW w:w="0" w:type="auto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en-IN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en-IN"/>
                <w14:ligatures xmlns:w14="http://schemas.microsoft.com/office/word/2010/wordml" w14:val="none"/>
              </w:rPr>
              <w:t>7.0</w:t>
            </w:r>
            <w:r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en-IN"/>
                <w14:ligatures xmlns:w14="http://schemas.microsoft.com/office/word/2010/wordml" w14:val="none"/>
              </w:rPr>
              <w:t>4</w:t>
            </w:r>
            <w:r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en-IN"/>
                <w14:ligatures xmlns:w14="http://schemas.microsoft.com/office/word/2010/wordml" w14:val="none"/>
              </w:rPr>
              <w:t xml:space="preserve"> ± 0.0</w:t>
            </w:r>
            <w:r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en-IN"/>
                <w14:ligatures xmlns:w14="http://schemas.microsoft.com/office/word/2010/wordml" w14:val="none"/>
              </w:rPr>
              <w:t>3</w:t>
            </w:r>
          </w:p>
        </w:tc>
        <w:tc>
          <w:tcPr>
            <w:tcW w:w="0" w:type="auto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en-IN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en-IN"/>
                <w14:ligatures xmlns:w14="http://schemas.microsoft.com/office/word/2010/wordml" w14:val="none"/>
              </w:rPr>
              <w:t>%</w:t>
            </w:r>
          </w:p>
        </w:tc>
      </w:tr>
      <w:tr>
        <w:tblPrEx/>
        <w:trPr>
          <w:trHeight w:val="272" w:hRule="atLeast"/>
        </w:trPr>
        <w:tc>
          <w:tcPr>
            <w:tcW w:w="0" w:type="auto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en-IN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en-IN"/>
                <w14:ligatures xmlns:w14="http://schemas.microsoft.com/office/word/2010/wordml" w14:val="none"/>
              </w:rPr>
              <w:t>Total Mineral (Ash)</w:t>
            </w:r>
          </w:p>
        </w:tc>
        <w:tc>
          <w:tcPr>
            <w:tcW w:w="0" w:type="auto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en-IN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en-IN"/>
                <w14:ligatures xmlns:w14="http://schemas.microsoft.com/office/word/2010/wordml" w14:val="none"/>
              </w:rPr>
              <w:t>3.2</w:t>
            </w:r>
            <w:r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en-IN"/>
                <w14:ligatures xmlns:w14="http://schemas.microsoft.com/office/word/2010/wordml" w14:val="none"/>
              </w:rPr>
              <w:t>2</w:t>
            </w:r>
            <w:r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en-IN"/>
                <w14:ligatures xmlns:w14="http://schemas.microsoft.com/office/word/2010/wordml" w14:val="none"/>
              </w:rPr>
              <w:t xml:space="preserve"> ± 0.0</w:t>
            </w:r>
            <w:r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en-IN"/>
                <w14:ligatures xmlns:w14="http://schemas.microsoft.com/office/word/2010/wordml" w14:val="none"/>
              </w:rPr>
              <w:t>3</w:t>
            </w:r>
          </w:p>
        </w:tc>
        <w:tc>
          <w:tcPr>
            <w:tcW w:w="0" w:type="auto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en-IN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en-IN"/>
                <w14:ligatures xmlns:w14="http://schemas.microsoft.com/office/word/2010/wordml" w14:val="none"/>
              </w:rPr>
              <w:t>g/100 g</w:t>
            </w:r>
          </w:p>
        </w:tc>
      </w:tr>
      <w:tr>
        <w:tblPrEx/>
        <w:trPr>
          <w:trHeight w:val="272" w:hRule="atLeast"/>
        </w:trPr>
        <w:tc>
          <w:tcPr>
            <w:tcW w:w="0" w:type="auto"/>
            <w:gridSpan w:val="3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kern w:val="0"/>
                <w:sz w:val="20"/>
                <w:szCs w:val="20"/>
                <w:lang w:eastAsia="en-IN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kern w:val="0"/>
                <w:sz w:val="24"/>
                <w:szCs w:val="24"/>
                <w:lang w:eastAsia="en-IN"/>
                <w14:ligatures xmlns:w14="http://schemas.microsoft.com/office/word/2010/wordml" w14:val="none"/>
              </w:rPr>
              <w:t>Micronutrient Profile</w:t>
            </w:r>
          </w:p>
        </w:tc>
      </w:tr>
      <w:tr>
        <w:tblPrEx/>
        <w:trPr>
          <w:trHeight w:val="280" w:hRule="atLeast"/>
        </w:trPr>
        <w:tc>
          <w:tcPr>
            <w:tcW w:w="0" w:type="auto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en-IN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en-IN"/>
                <w14:ligatures xmlns:w14="http://schemas.microsoft.com/office/word/2010/wordml" w14:val="none"/>
              </w:rPr>
              <w:t>Calcium (Ca)</w:t>
            </w:r>
          </w:p>
        </w:tc>
        <w:tc>
          <w:tcPr>
            <w:tcW w:w="0" w:type="auto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en-IN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en-IN"/>
                <w14:ligatures xmlns:w14="http://schemas.microsoft.com/office/word/2010/wordml" w14:val="none"/>
              </w:rPr>
              <w:t>125.40 ± 0.53</w:t>
            </w:r>
          </w:p>
        </w:tc>
        <w:tc>
          <w:tcPr>
            <w:tcW w:w="0" w:type="auto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en-IN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en-IN"/>
                <w14:ligatures xmlns:w14="http://schemas.microsoft.com/office/word/2010/wordml" w14:val="none"/>
              </w:rPr>
              <w:t>mg/100 g</w:t>
            </w:r>
          </w:p>
        </w:tc>
      </w:tr>
      <w:tr>
        <w:tblPrEx/>
        <w:trPr>
          <w:trHeight w:val="272" w:hRule="atLeast"/>
        </w:trPr>
        <w:tc>
          <w:tcPr>
            <w:tcW w:w="0" w:type="auto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en-IN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en-IN"/>
                <w14:ligatures xmlns:w14="http://schemas.microsoft.com/office/word/2010/wordml" w14:val="none"/>
              </w:rPr>
              <w:t>Iron (Fe)</w:t>
            </w:r>
          </w:p>
        </w:tc>
        <w:tc>
          <w:tcPr>
            <w:tcW w:w="0" w:type="auto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en-IN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en-IN"/>
                <w14:ligatures xmlns:w14="http://schemas.microsoft.com/office/word/2010/wordml" w14:val="none"/>
              </w:rPr>
              <w:t>5.23 ± 0.02</w:t>
            </w:r>
          </w:p>
        </w:tc>
        <w:tc>
          <w:tcPr>
            <w:tcW w:w="0" w:type="auto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en-IN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en-IN"/>
                <w14:ligatures xmlns:w14="http://schemas.microsoft.com/office/word/2010/wordml" w14:val="none"/>
              </w:rPr>
              <w:t>mg/100 g</w:t>
            </w:r>
          </w:p>
        </w:tc>
      </w:tr>
      <w:tr>
        <w:tblPrEx/>
        <w:trPr>
          <w:trHeight w:val="272" w:hRule="atLeast"/>
        </w:trPr>
        <w:tc>
          <w:tcPr>
            <w:tcW w:w="0" w:type="auto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en-IN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en-IN"/>
                <w14:ligatures xmlns:w14="http://schemas.microsoft.com/office/word/2010/wordml" w14:val="none"/>
              </w:rPr>
              <w:t>Potassium (K)</w:t>
            </w:r>
          </w:p>
        </w:tc>
        <w:tc>
          <w:tcPr>
            <w:tcW w:w="0" w:type="auto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en-IN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en-IN"/>
                <w14:ligatures xmlns:w14="http://schemas.microsoft.com/office/word/2010/wordml" w14:val="none"/>
              </w:rPr>
              <w:t>152.13 ± 0.15</w:t>
            </w:r>
          </w:p>
        </w:tc>
        <w:tc>
          <w:tcPr>
            <w:tcW w:w="0" w:type="auto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en-IN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en-IN"/>
                <w14:ligatures xmlns:w14="http://schemas.microsoft.com/office/word/2010/wordml" w14:val="none"/>
              </w:rPr>
              <w:t>mg/100 g</w:t>
            </w:r>
          </w:p>
        </w:tc>
      </w:tr>
      <w:tr>
        <w:tblPrEx/>
        <w:trPr>
          <w:trHeight w:val="280" w:hRule="atLeast"/>
        </w:trPr>
        <w:tc>
          <w:tcPr>
            <w:tcW w:w="0" w:type="auto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en-IN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en-IN"/>
                <w14:ligatures xmlns:w14="http://schemas.microsoft.com/office/word/2010/wordml" w14:val="none"/>
              </w:rPr>
              <w:t>Sodium (Na)</w:t>
            </w:r>
          </w:p>
        </w:tc>
        <w:tc>
          <w:tcPr>
            <w:tcW w:w="0" w:type="auto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en-IN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en-IN"/>
                <w14:ligatures xmlns:w14="http://schemas.microsoft.com/office/word/2010/wordml" w14:val="none"/>
              </w:rPr>
              <w:t>35.0</w:t>
            </w:r>
            <w:r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en-IN"/>
                <w14:ligatures xmlns:w14="http://schemas.microsoft.com/office/word/2010/wordml" w14:val="none"/>
              </w:rPr>
              <w:t>3</w:t>
            </w:r>
            <w:r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en-IN"/>
                <w14:ligatures xmlns:w14="http://schemas.microsoft.com/office/word/2010/wordml" w14:val="none"/>
              </w:rPr>
              <w:t xml:space="preserve"> ± </w:t>
            </w:r>
            <w:r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en-IN"/>
                <w14:ligatures xmlns:w14="http://schemas.microsoft.com/office/word/2010/wordml" w14:val="none"/>
              </w:rPr>
              <w:t>0.06</w:t>
            </w:r>
          </w:p>
        </w:tc>
        <w:tc>
          <w:tcPr>
            <w:tcW w:w="0" w:type="auto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en-IN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en-IN"/>
                <w14:ligatures xmlns:w14="http://schemas.microsoft.com/office/word/2010/wordml" w14:val="none"/>
              </w:rPr>
              <w:t>mg/100 g</w:t>
            </w:r>
          </w:p>
        </w:tc>
      </w:tr>
      <w:tr>
        <w:tblPrEx/>
        <w:trPr>
          <w:trHeight w:val="272" w:hRule="atLeast"/>
        </w:trPr>
        <w:tc>
          <w:tcPr>
            <w:tcW w:w="0" w:type="auto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en-IN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en-IN"/>
                <w14:ligatures xmlns:w14="http://schemas.microsoft.com/office/word/2010/wordml" w14:val="none"/>
              </w:rPr>
              <w:t>Vitamin C</w:t>
            </w:r>
          </w:p>
        </w:tc>
        <w:tc>
          <w:tcPr>
            <w:tcW w:w="0" w:type="auto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en-IN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en-IN"/>
                <w14:ligatures xmlns:w14="http://schemas.microsoft.com/office/word/2010/wordml" w14:val="none"/>
              </w:rPr>
              <w:t>19.07 ± 0.03</w:t>
            </w:r>
          </w:p>
        </w:tc>
        <w:tc>
          <w:tcPr>
            <w:tcW w:w="0" w:type="auto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en-IN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en-IN"/>
                <w14:ligatures xmlns:w14="http://schemas.microsoft.com/office/word/2010/wordml" w14:val="none"/>
              </w:rPr>
              <w:t>mg/100 g</w:t>
            </w:r>
          </w:p>
        </w:tc>
      </w:tr>
      <w:tr>
        <w:tblPrEx/>
        <w:trPr>
          <w:trHeight w:val="272" w:hRule="atLeast"/>
        </w:trPr>
        <w:tc>
          <w:tcPr>
            <w:tcW w:w="0" w:type="auto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en-IN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en-IN"/>
                <w14:ligatures xmlns:w14="http://schemas.microsoft.com/office/word/2010/wordml" w14:val="none"/>
              </w:rPr>
              <w:t>Vitamin A (as β-carotene)</w:t>
            </w:r>
          </w:p>
        </w:tc>
        <w:tc>
          <w:tcPr>
            <w:tcW w:w="0" w:type="auto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en-IN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en-IN"/>
                <w14:ligatures xmlns:w14="http://schemas.microsoft.com/office/word/2010/wordml" w14:val="none"/>
              </w:rPr>
              <w:t>105.93 ± 0.04</w:t>
            </w:r>
          </w:p>
        </w:tc>
        <w:tc>
          <w:tcPr>
            <w:tcW w:w="0" w:type="auto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en-IN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en-IN"/>
                <w14:ligatures xmlns:w14="http://schemas.microsoft.com/office/word/2010/wordml" w14:val="none"/>
              </w:rPr>
              <w:t>μg</w:t>
            </w:r>
            <w:r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en-IN"/>
                <w14:ligatures xmlns:w14="http://schemas.microsoft.com/office/word/2010/wordml" w14:val="none"/>
              </w:rPr>
              <w:t xml:space="preserve"> RAE/100 g</w:t>
            </w:r>
          </w:p>
        </w:tc>
      </w:tr>
      <w:tr>
        <w:tblPrEx/>
        <w:trPr>
          <w:trHeight w:val="280" w:hRule="atLeast"/>
        </w:trPr>
        <w:tc>
          <w:tcPr>
            <w:tcW w:w="0" w:type="auto"/>
            <w:gridSpan w:val="3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kern w:val="0"/>
                <w:sz w:val="20"/>
                <w:szCs w:val="20"/>
                <w:lang w:eastAsia="en-IN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kern w:val="0"/>
                <w:sz w:val="24"/>
                <w:szCs w:val="24"/>
                <w:lang w:eastAsia="en-IN"/>
                <w14:ligatures xmlns:w14="http://schemas.microsoft.com/office/word/2010/wordml" w14:val="none"/>
              </w:rPr>
              <w:t>Bioactive Constituents</w:t>
            </w:r>
          </w:p>
        </w:tc>
      </w:tr>
      <w:tr>
        <w:tblPrEx/>
        <w:trPr>
          <w:trHeight w:val="272" w:hRule="atLeast"/>
        </w:trPr>
        <w:tc>
          <w:tcPr>
            <w:tcW w:w="0" w:type="auto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en-IN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en-IN"/>
                <w14:ligatures xmlns:w14="http://schemas.microsoft.com/office/word/2010/wordml" w14:val="none"/>
              </w:rPr>
              <w:t>Total Phenolic Content</w:t>
            </w:r>
          </w:p>
        </w:tc>
        <w:tc>
          <w:tcPr>
            <w:tcW w:w="0" w:type="auto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en-IN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en-IN"/>
                <w14:ligatures xmlns:w14="http://schemas.microsoft.com/office/word/2010/wordml" w14:val="none"/>
              </w:rPr>
              <w:t>41.35 ± 0.01</w:t>
            </w:r>
          </w:p>
        </w:tc>
        <w:tc>
          <w:tcPr>
            <w:tcW w:w="0" w:type="auto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en-IN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en-IN"/>
                <w14:ligatures xmlns:w14="http://schemas.microsoft.com/office/word/2010/wordml" w14:val="none"/>
              </w:rPr>
              <w:t>mg GAE/g</w:t>
            </w:r>
          </w:p>
        </w:tc>
      </w:tr>
      <w:tr>
        <w:tblPrEx/>
        <w:trPr>
          <w:trHeight w:val="280" w:hRule="atLeast"/>
        </w:trPr>
        <w:tc>
          <w:tcPr>
            <w:tcW w:w="0" w:type="auto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en-IN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en-IN"/>
                <w14:ligatures xmlns:w14="http://schemas.microsoft.com/office/word/2010/wordml" w14:val="none"/>
              </w:rPr>
              <w:t>Total Flavonoids</w:t>
            </w:r>
          </w:p>
        </w:tc>
        <w:tc>
          <w:tcPr>
            <w:tcW w:w="0" w:type="auto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en-IN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en-IN"/>
                <w14:ligatures xmlns:w14="http://schemas.microsoft.com/office/word/2010/wordml" w14:val="none"/>
              </w:rPr>
              <w:t>0.24 ± 0.0</w:t>
            </w:r>
            <w:r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en-IN"/>
                <w14:ligatures xmlns:w14="http://schemas.microsoft.com/office/word/2010/wordml" w14:val="none"/>
              </w:rPr>
              <w:t>0</w:t>
            </w:r>
          </w:p>
        </w:tc>
        <w:tc>
          <w:tcPr>
            <w:tcW w:w="0" w:type="auto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en-IN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eastAsia="en-IN"/>
                <w14:ligatures xmlns:w14="http://schemas.microsoft.com/office/word/2010/wordml" w14:val="none"/>
              </w:rPr>
              <w:t>mg QE/g</w:t>
            </w:r>
          </w:p>
        </w:tc>
      </w:tr>
    </w:tbl>
    <w:p>
      <w:pPr>
        <w:pStyle w:val="style0"/>
        <w:spacing w:lineRule="auto" w:line="360"/>
        <w:jc w:val="both"/>
        <w:rPr>
          <w:rFonts w:ascii="Times New Roman" w:cs="Times New Roman" w:hAnsi="Times New Roman"/>
          <w:b/>
          <w:bCs/>
          <w:sz w:val="24"/>
          <w:szCs w:val="24"/>
        </w:rPr>
      </w:pP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b/>
          <w:bCs/>
          <w:sz w:val="24"/>
          <w:szCs w:val="24"/>
        </w:rPr>
      </w:pP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b/>
          <w:bCs/>
          <w:sz w:val="24"/>
          <w:szCs w:val="24"/>
        </w:rPr>
      </w:pP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b/>
          <w:bCs/>
          <w:sz w:val="24"/>
          <w:szCs w:val="24"/>
        </w:rPr>
      </w:pPr>
    </w:p>
    <w:p>
      <w:pPr>
        <w:pStyle w:val="style179"/>
        <w:numPr>
          <w:ilvl w:val="0"/>
          <w:numId w:val="1"/>
        </w:numPr>
        <w:spacing w:lineRule="auto" w:line="360"/>
        <w:jc w:val="both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Conclusion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This research successfully developed a high-quality composite </w:t>
      </w:r>
      <w:r>
        <w:rPr>
          <w:rFonts w:ascii="Times New Roman" w:cs="Times New Roman" w:hAnsi="Times New Roman"/>
          <w:sz w:val="24"/>
          <w:szCs w:val="24"/>
        </w:rPr>
        <w:t>nutrimix</w:t>
      </w:r>
      <w:r>
        <w:rPr>
          <w:rFonts w:ascii="Times New Roman" w:cs="Times New Roman" w:hAnsi="Times New Roman"/>
          <w:sz w:val="24"/>
          <w:szCs w:val="24"/>
        </w:rPr>
        <w:t xml:space="preserve"> utilizing 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10% </w:t>
      </w:r>
      <w:r>
        <w:rPr>
          <w:rFonts w:ascii="Times New Roman" w:cs="Times New Roman" w:hAnsi="Times New Roman"/>
          <w:b/>
          <w:bCs/>
          <w:i/>
          <w:iCs/>
          <w:sz w:val="24"/>
          <w:szCs w:val="24"/>
        </w:rPr>
        <w:t>Basella</w:t>
      </w:r>
      <w:r>
        <w:rPr>
          <w:rFonts w:ascii="Times New Roman" w:cs="Times New Roman" w:hAnsi="Times New Roman"/>
          <w:b/>
          <w:bCs/>
          <w:i/>
          <w:iCs/>
          <w:sz w:val="24"/>
          <w:szCs w:val="24"/>
        </w:rPr>
        <w:t xml:space="preserve"> rubra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 L.</w:t>
      </w:r>
      <w:r>
        <w:rPr>
          <w:rFonts w:ascii="Times New Roman" w:cs="Times New Roman" w:hAnsi="Times New Roman"/>
          <w:sz w:val="24"/>
          <w:szCs w:val="24"/>
        </w:rPr>
        <w:t xml:space="preserve">, which achieved superior sensory acceptability (8.54/9.0) and a robust nutritional profile. The optimized blend (10% spinach, 25% pumpkin, 35% rice, 30% mung bean) provides a balanced macronutrient distribution (11.5% protein, </w:t>
      </w:r>
      <w:r>
        <w:rPr>
          <w:rFonts w:ascii="Times New Roman" w:cs="Times New Roman" w:hAnsi="Times New Roman"/>
          <w:sz w:val="24"/>
          <w:szCs w:val="24"/>
        </w:rPr>
        <w:t xml:space="preserve">68.16% </w:t>
      </w:r>
      <w:r>
        <w:rPr>
          <w:rFonts w:ascii="Times New Roman" w:cs="Times New Roman" w:hAnsi="Times New Roman"/>
          <w:sz w:val="24"/>
          <w:szCs w:val="24"/>
        </w:rPr>
        <w:t>carbohydrate) and critical micronutrients, specifically iron and pro-vitamin A, to combat "hidden hunger</w:t>
      </w:r>
      <w:r>
        <w:rPr>
          <w:rFonts w:ascii="Times New Roman" w:cs="Times New Roman" w:hAnsi="Times New Roman"/>
          <w:sz w:val="24"/>
          <w:szCs w:val="24"/>
        </w:rPr>
        <w:t>" .</w:t>
      </w:r>
      <w:r>
        <w:rPr>
          <w:rFonts w:ascii="Times New Roman" w:cs="Times New Roman" w:hAnsi="Times New Roman"/>
          <w:sz w:val="24"/>
          <w:szCs w:val="24"/>
        </w:rPr>
        <w:t xml:space="preserve"> The low sodium (35 mg/100g) and moisture levels further </w:t>
      </w:r>
      <w:commentRangeStart w:id="24"/>
      <w:r>
        <w:rPr>
          <w:rFonts w:ascii="Times New Roman" w:cs="Times New Roman" w:hAnsi="Times New Roman"/>
          <w:sz w:val="24"/>
          <w:szCs w:val="24"/>
        </w:rPr>
        <w:t>enhance</w:t>
      </w:r>
      <w:commentRangeEnd w:id="24"/>
      <w:r>
        <w:rPr/>
        <w:commentReference w:id="24"/>
      </w:r>
      <w:r>
        <w:rPr>
          <w:rFonts w:ascii="Times New Roman" w:cs="Times New Roman" w:hAnsi="Times New Roman"/>
          <w:sz w:val="24"/>
          <w:szCs w:val="24"/>
        </w:rPr>
        <w:t xml:space="preserve"> its therapeutic and commercial viability. This formulation offers a scalable, agronomically sustainable intervention for improving population-level micronutrient security through the </w:t>
      </w:r>
      <w:r>
        <w:rPr>
          <w:rFonts w:ascii="Times New Roman" w:cs="Times New Roman" w:hAnsi="Times New Roman"/>
          <w:sz w:val="24"/>
          <w:szCs w:val="24"/>
        </w:rPr>
        <w:t>valorization</w:t>
      </w:r>
      <w:r>
        <w:rPr>
          <w:rFonts w:ascii="Times New Roman" w:cs="Times New Roman" w:hAnsi="Times New Roman"/>
          <w:sz w:val="24"/>
          <w:szCs w:val="24"/>
        </w:rPr>
        <w:t xml:space="preserve"> of underutilized indigenous greens.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Conflict of Interest:</w:t>
      </w:r>
      <w:r>
        <w:rPr>
          <w:rFonts w:ascii="Times New Roman" w:cs="Times New Roman" w:hAnsi="Times New Roman"/>
          <w:sz w:val="24"/>
          <w:szCs w:val="24"/>
        </w:rPr>
        <w:t xml:space="preserve"> The authors declare that there are no conflicts of interest regarding the publication of this manuscript.</w:t>
      </w:r>
    </w:p>
    <w:bookmarkStart w:id="0" w:name="_GoBack"/>
    <w:bookmarkEnd w:id="0"/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Data Availability Statement:</w:t>
      </w:r>
      <w:r>
        <w:rPr>
          <w:rFonts w:ascii="Times New Roman" w:cs="Times New Roman" w:hAnsi="Times New Roman"/>
          <w:sz w:val="24"/>
          <w:szCs w:val="24"/>
        </w:rPr>
        <w:t xml:space="preserve"> All data generated or </w:t>
      </w:r>
      <w:r>
        <w:rPr>
          <w:rFonts w:ascii="Times New Roman" w:cs="Times New Roman" w:hAnsi="Times New Roman"/>
          <w:sz w:val="24"/>
          <w:szCs w:val="24"/>
        </w:rPr>
        <w:t>analyzed</w:t>
      </w:r>
      <w:r>
        <w:rPr>
          <w:rFonts w:ascii="Times New Roman" w:cs="Times New Roman" w:hAnsi="Times New Roman"/>
          <w:sz w:val="24"/>
          <w:szCs w:val="24"/>
        </w:rPr>
        <w:t xml:space="preserve"> during this study are included in this published article.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 xml:space="preserve">Reference </w:t>
      </w:r>
    </w:p>
    <w:p>
      <w:pPr>
        <w:pStyle w:val="style0"/>
        <w:spacing w:lineRule="auto" w:line="360"/>
        <w:ind w:left="720" w:hanging="72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AOAC 2019 international 18th ed. AOAC Int.; </w:t>
      </w:r>
      <w:r>
        <w:rPr>
          <w:rFonts w:ascii="Times New Roman" w:cs="Times New Roman" w:hAnsi="Times New Roman"/>
          <w:sz w:val="24"/>
          <w:szCs w:val="24"/>
        </w:rPr>
        <w:t>Gaithrsburg</w:t>
      </w:r>
      <w:r>
        <w:rPr>
          <w:rFonts w:ascii="Times New Roman" w:cs="Times New Roman" w:hAnsi="Times New Roman"/>
          <w:sz w:val="24"/>
          <w:szCs w:val="24"/>
        </w:rPr>
        <w:t>, MD: 2019. Official methods of analysis</w:t>
      </w:r>
    </w:p>
    <w:p>
      <w:pPr>
        <w:pStyle w:val="style0"/>
        <w:spacing w:lineRule="auto" w:line="360"/>
        <w:ind w:left="720" w:hanging="72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Banerjee, S., Adak, K., Adak, M.M., Ghosh, S.</w:t>
      </w:r>
      <w:r>
        <w:rPr>
          <w:rFonts w:ascii="Times New Roman" w:cs="Times New Roman" w:hAnsi="Times New Roman"/>
          <w:sz w:val="24"/>
          <w:szCs w:val="24"/>
        </w:rPr>
        <w:t xml:space="preserve">,  </w:t>
      </w:r>
      <w:r>
        <w:rPr>
          <w:rFonts w:ascii="Times New Roman" w:cs="Times New Roman" w:hAnsi="Times New Roman"/>
          <w:sz w:val="24"/>
          <w:szCs w:val="24"/>
        </w:rPr>
        <w:t>Chaterj</w:t>
      </w:r>
      <w:r>
        <w:rPr>
          <w:rFonts w:ascii="Times New Roman" w:cs="Times New Roman" w:hAnsi="Times New Roman"/>
          <w:sz w:val="24"/>
          <w:szCs w:val="24"/>
        </w:rPr>
        <w:t xml:space="preserve">, A. 2015.  Antinutritional Effect Factors of on Some the Bioavailability of Minerals along with the Study of Chemical Constituents and Antioxidant Property in </w:t>
      </w:r>
      <w:r>
        <w:rPr>
          <w:rFonts w:ascii="Times New Roman" w:cs="Times New Roman" w:hAnsi="Times New Roman"/>
          <w:sz w:val="24"/>
          <w:szCs w:val="24"/>
        </w:rPr>
        <w:t>Typhonium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Trilobatum</w:t>
      </w:r>
      <w:r>
        <w:rPr>
          <w:rFonts w:ascii="Times New Roman" w:cs="Times New Roman" w:hAnsi="Times New Roman"/>
          <w:sz w:val="24"/>
          <w:szCs w:val="24"/>
        </w:rPr>
        <w:t xml:space="preserve"> and </w:t>
      </w:r>
      <w:r>
        <w:rPr>
          <w:rFonts w:ascii="Times New Roman" w:cs="Times New Roman" w:hAnsi="Times New Roman"/>
          <w:sz w:val="24"/>
          <w:szCs w:val="24"/>
        </w:rPr>
        <w:t>Spinacia</w:t>
      </w:r>
      <w:r>
        <w:rPr>
          <w:rFonts w:ascii="Times New Roman" w:cs="Times New Roman" w:hAnsi="Times New Roman"/>
          <w:sz w:val="24"/>
          <w:szCs w:val="24"/>
        </w:rPr>
        <w:t xml:space="preserve"> Oleracea. Chem. Sci. Rev Lett. 4(14): 429–439.</w:t>
      </w:r>
    </w:p>
    <w:p>
      <w:pPr>
        <w:pStyle w:val="style0"/>
        <w:spacing w:lineRule="auto" w:line="360"/>
        <w:ind w:left="720" w:hanging="72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Collings, R., Harvey, L. J., Hooper, L., Hurst, R., Brown, T. J., Ansett, J., King, M., Fairweather-Tait, S. J., &amp; Brough, L. (2013). The absorption of iron from whole diets: A systematic review. The American Journal of Clinical Nutrition, 98(1), 65–81. </w:t>
      </w:r>
      <w:r>
        <w:rPr/>
        <w:fldChar w:fldCharType="begin"/>
      </w:r>
      <w:r>
        <w:instrText xml:space="preserve"> HYPERLINK "https://doi.org/10.3945/ajcn.112.050609" </w:instrText>
      </w:r>
      <w:r>
        <w:rPr/>
        <w:fldChar w:fldCharType="separate"/>
      </w:r>
      <w:r>
        <w:rPr>
          <w:rStyle w:val="style85"/>
          <w:rFonts w:ascii="Times New Roman" w:cs="Times New Roman" w:hAnsi="Times New Roman"/>
          <w:sz w:val="24"/>
          <w:szCs w:val="24"/>
        </w:rPr>
        <w:t>https://doi.org/10.3945/ajcn.112.050609</w:t>
      </w:r>
      <w:r>
        <w:rPr/>
        <w:fldChar w:fldCharType="end"/>
      </w:r>
    </w:p>
    <w:p>
      <w:pPr>
        <w:pStyle w:val="style0"/>
        <w:spacing w:lineRule="auto" w:line="360"/>
        <w:ind w:left="720" w:hanging="72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Damndja</w:t>
      </w:r>
      <w:r>
        <w:rPr>
          <w:rFonts w:ascii="Times New Roman" w:cs="Times New Roman" w:hAnsi="Times New Roman"/>
          <w:sz w:val="24"/>
          <w:szCs w:val="24"/>
        </w:rPr>
        <w:t xml:space="preserve">, W.N., </w:t>
      </w:r>
      <w:r>
        <w:rPr>
          <w:rFonts w:ascii="Times New Roman" w:cs="Times New Roman" w:hAnsi="Times New Roman"/>
          <w:sz w:val="24"/>
          <w:szCs w:val="24"/>
        </w:rPr>
        <w:t>Agamou</w:t>
      </w:r>
      <w:r>
        <w:rPr>
          <w:rFonts w:ascii="Times New Roman" w:cs="Times New Roman" w:hAnsi="Times New Roman"/>
          <w:sz w:val="24"/>
          <w:szCs w:val="24"/>
        </w:rPr>
        <w:t xml:space="preserve">, J.A.A., </w:t>
      </w:r>
      <w:r>
        <w:rPr>
          <w:rFonts w:ascii="Times New Roman" w:cs="Times New Roman" w:hAnsi="Times New Roman"/>
          <w:sz w:val="24"/>
          <w:szCs w:val="24"/>
        </w:rPr>
        <w:t>Ntso</w:t>
      </w:r>
      <w:r>
        <w:rPr>
          <w:rFonts w:ascii="Times New Roman" w:cs="Times New Roman" w:hAnsi="Times New Roman"/>
          <w:sz w:val="24"/>
          <w:szCs w:val="24"/>
        </w:rPr>
        <w:t xml:space="preserve">, A.S.A., </w:t>
      </w:r>
      <w:r>
        <w:rPr>
          <w:rFonts w:ascii="Times New Roman" w:cs="Times New Roman" w:hAnsi="Times New Roman"/>
          <w:sz w:val="24"/>
          <w:szCs w:val="24"/>
        </w:rPr>
        <w:t>Dzusuo</w:t>
      </w:r>
      <w:r>
        <w:rPr>
          <w:rFonts w:ascii="Times New Roman" w:cs="Times New Roman" w:hAnsi="Times New Roman"/>
          <w:sz w:val="24"/>
          <w:szCs w:val="24"/>
        </w:rPr>
        <w:t>, W.T. and Aba, R.E., 2024. Nutritional, functional and sensory characteristics of an infant puree food from pre-treated pumpkin flesh (</w:t>
      </w:r>
      <w:r>
        <w:rPr>
          <w:rFonts w:ascii="Times New Roman" w:cs="Times New Roman" w:hAnsi="Times New Roman"/>
          <w:sz w:val="24"/>
          <w:szCs w:val="24"/>
        </w:rPr>
        <w:t>Curcubita</w:t>
      </w:r>
      <w:r>
        <w:rPr>
          <w:rFonts w:ascii="Times New Roman" w:cs="Times New Roman" w:hAnsi="Times New Roman"/>
          <w:sz w:val="24"/>
          <w:szCs w:val="24"/>
        </w:rPr>
        <w:t xml:space="preserve"> pepo L.), soybean (Glycine max L.) and spinach leaves (Spinacia oleracea). Journal of Agriculture and Food Research, 16, p.101183.</w:t>
      </w:r>
    </w:p>
    <w:p>
      <w:pPr>
        <w:pStyle w:val="style0"/>
        <w:spacing w:lineRule="auto" w:line="360"/>
        <w:ind w:left="720" w:hanging="72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Deshmukh S. A. and Gaikwad, D. K. 2014. A review of the taxonomy, ethnobotany, phytochemistry and pharmacology of </w:t>
      </w:r>
      <w:r>
        <w:rPr>
          <w:rFonts w:ascii="Times New Roman" w:cs="Times New Roman" w:hAnsi="Times New Roman"/>
          <w:sz w:val="24"/>
          <w:szCs w:val="24"/>
        </w:rPr>
        <w:t>Basella</w:t>
      </w:r>
      <w:r>
        <w:rPr>
          <w:rFonts w:ascii="Times New Roman" w:cs="Times New Roman" w:hAnsi="Times New Roman"/>
          <w:sz w:val="24"/>
          <w:szCs w:val="24"/>
        </w:rPr>
        <w:t xml:space="preserve"> alba (</w:t>
      </w:r>
      <w:r>
        <w:rPr>
          <w:rFonts w:ascii="Times New Roman" w:cs="Times New Roman" w:hAnsi="Times New Roman"/>
          <w:sz w:val="24"/>
          <w:szCs w:val="24"/>
        </w:rPr>
        <w:t>Basellaceae</w:t>
      </w:r>
      <w:r>
        <w:rPr>
          <w:rFonts w:ascii="Times New Roman" w:cs="Times New Roman" w:hAnsi="Times New Roman"/>
          <w:sz w:val="24"/>
          <w:szCs w:val="24"/>
        </w:rPr>
        <w:t>). J. Applied Pharm. Sci. 4(1):153–165</w:t>
      </w:r>
    </w:p>
    <w:p>
      <w:pPr>
        <w:pStyle w:val="style0"/>
        <w:spacing w:lineRule="auto" w:line="360"/>
        <w:ind w:left="720" w:hanging="72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Dimina</w:t>
      </w:r>
      <w:r>
        <w:rPr>
          <w:rFonts w:ascii="Times New Roman" w:cs="Times New Roman" w:hAnsi="Times New Roman"/>
          <w:sz w:val="24"/>
          <w:szCs w:val="24"/>
        </w:rPr>
        <w:t xml:space="preserve"> L, </w:t>
      </w:r>
      <w:r>
        <w:rPr>
          <w:rFonts w:ascii="Times New Roman" w:cs="Times New Roman" w:hAnsi="Times New Roman"/>
          <w:sz w:val="24"/>
          <w:szCs w:val="24"/>
        </w:rPr>
        <w:t>Rémond</w:t>
      </w:r>
      <w:r>
        <w:rPr>
          <w:rFonts w:ascii="Times New Roman" w:cs="Times New Roman" w:hAnsi="Times New Roman"/>
          <w:sz w:val="24"/>
          <w:szCs w:val="24"/>
        </w:rPr>
        <w:t xml:space="preserve"> D, </w:t>
      </w:r>
      <w:r>
        <w:rPr>
          <w:rFonts w:ascii="Times New Roman" w:cs="Times New Roman" w:hAnsi="Times New Roman"/>
          <w:sz w:val="24"/>
          <w:szCs w:val="24"/>
        </w:rPr>
        <w:t>Huneau</w:t>
      </w:r>
      <w:r>
        <w:rPr>
          <w:rFonts w:ascii="Times New Roman" w:cs="Times New Roman" w:hAnsi="Times New Roman"/>
          <w:sz w:val="24"/>
          <w:szCs w:val="24"/>
        </w:rPr>
        <w:t xml:space="preserve"> JF, </w:t>
      </w:r>
      <w:r>
        <w:rPr>
          <w:rFonts w:ascii="Times New Roman" w:cs="Times New Roman" w:hAnsi="Times New Roman"/>
          <w:sz w:val="24"/>
          <w:szCs w:val="24"/>
        </w:rPr>
        <w:t>Mariotti</w:t>
      </w:r>
      <w:r>
        <w:rPr>
          <w:rFonts w:ascii="Times New Roman" w:cs="Times New Roman" w:hAnsi="Times New Roman"/>
          <w:sz w:val="24"/>
          <w:szCs w:val="24"/>
        </w:rPr>
        <w:t xml:space="preserve"> F. Combining Plant Proteins to Achieve Amino Acid Profiles Adapted to Various Nutritional Objectives-An Exploratory Analysis Using Linear Programming. Front </w:t>
      </w:r>
      <w:r>
        <w:rPr>
          <w:rFonts w:ascii="Times New Roman" w:cs="Times New Roman" w:hAnsi="Times New Roman"/>
          <w:sz w:val="24"/>
          <w:szCs w:val="24"/>
        </w:rPr>
        <w:t>Nutr</w:t>
      </w:r>
      <w:r>
        <w:rPr>
          <w:rFonts w:ascii="Times New Roman" w:cs="Times New Roman" w:hAnsi="Times New Roman"/>
          <w:sz w:val="24"/>
          <w:szCs w:val="24"/>
        </w:rPr>
        <w:t xml:space="preserve">. 2022 Feb </w:t>
      </w:r>
      <w:r>
        <w:rPr>
          <w:rFonts w:ascii="Times New Roman" w:cs="Times New Roman" w:hAnsi="Times New Roman"/>
          <w:sz w:val="24"/>
          <w:szCs w:val="24"/>
        </w:rPr>
        <w:t>3;8:809685</w:t>
      </w:r>
      <w:r>
        <w:rPr>
          <w:rFonts w:ascii="Times New Roman" w:cs="Times New Roman" w:hAnsi="Times New Roman"/>
          <w:sz w:val="24"/>
          <w:szCs w:val="24"/>
        </w:rPr>
        <w:t xml:space="preserve">. </w:t>
      </w:r>
      <w:r>
        <w:rPr>
          <w:rFonts w:ascii="Times New Roman" w:cs="Times New Roman" w:hAnsi="Times New Roman"/>
          <w:sz w:val="24"/>
          <w:szCs w:val="24"/>
        </w:rPr>
        <w:t>doi</w:t>
      </w:r>
      <w:r>
        <w:rPr>
          <w:rFonts w:ascii="Times New Roman" w:cs="Times New Roman" w:hAnsi="Times New Roman"/>
          <w:sz w:val="24"/>
          <w:szCs w:val="24"/>
        </w:rPr>
        <w:t>: 10.3389/fnut.2021.809685. PMID: 35187024; PMCID: PMC8850771.</w:t>
      </w:r>
    </w:p>
    <w:p>
      <w:pPr>
        <w:pStyle w:val="style0"/>
        <w:spacing w:lineRule="auto" w:line="360"/>
        <w:ind w:left="720" w:hanging="72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Food Safety and Standards Authority of India (FSSAI). (2022). Manual of methods of analysis of foods: Cereal and cereal products (2nd ed.). Ministry of Health and Family Welfare, Government of India. </w:t>
      </w:r>
      <w:r>
        <w:rPr/>
        <w:fldChar w:fldCharType="begin"/>
      </w:r>
      <w:r>
        <w:instrText xml:space="preserve"> HYPERLINK "https://www.fssai.gov.in/cms/manuals-of-methods-of-analysis-for-foods.php" </w:instrText>
      </w:r>
      <w:r>
        <w:rPr/>
        <w:fldChar w:fldCharType="separate"/>
      </w:r>
      <w:r>
        <w:rPr>
          <w:rStyle w:val="style85"/>
          <w:rFonts w:ascii="Times New Roman" w:cs="Times New Roman" w:hAnsi="Times New Roman"/>
          <w:sz w:val="24"/>
          <w:szCs w:val="24"/>
        </w:rPr>
        <w:t>https://www.fssai.gov.in/cms/manuals-of-methods-of-analysis-for-foods.php</w:t>
      </w:r>
      <w:r>
        <w:rPr/>
        <w:fldChar w:fldCharType="end"/>
      </w:r>
    </w:p>
    <w:p>
      <w:pPr>
        <w:pStyle w:val="style0"/>
        <w:spacing w:lineRule="auto" w:line="360"/>
        <w:ind w:left="720" w:hanging="72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Granato, D., Barba, F. J., </w:t>
      </w:r>
      <w:r>
        <w:rPr>
          <w:rFonts w:ascii="Times New Roman" w:cs="Times New Roman" w:hAnsi="Times New Roman"/>
          <w:sz w:val="24"/>
          <w:szCs w:val="24"/>
        </w:rPr>
        <w:t>Bursać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Kovačević</w:t>
      </w:r>
      <w:r>
        <w:rPr>
          <w:rFonts w:ascii="Times New Roman" w:cs="Times New Roman" w:hAnsi="Times New Roman"/>
          <w:sz w:val="24"/>
          <w:szCs w:val="24"/>
        </w:rPr>
        <w:t xml:space="preserve">, D., Lorenzo, J. M., &amp; Cruz, A. G. (2020). Putative health benefits of functional foods: A review of the scientific evidence. Trends in Food Science &amp; Technology, 104, 1–14. </w:t>
      </w:r>
    </w:p>
    <w:p>
      <w:pPr>
        <w:pStyle w:val="style0"/>
        <w:spacing w:lineRule="auto" w:line="360"/>
        <w:ind w:left="720" w:hanging="72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Indian Council of Medical Research – National Institute of Nutrition. (2020). What India eats: Findings from the National Nutrition Monitoring Bureau survey. National Institute of Nutrition. Retrieved from </w:t>
      </w:r>
      <w:r>
        <w:rPr/>
        <w:fldChar w:fldCharType="begin"/>
      </w:r>
      <w:r>
        <w:instrText xml:space="preserve"> HYPERLINK "https://www.nin.res.in/downloads/What_India_Eats%20Report_13th_April_23.pdf" </w:instrText>
      </w:r>
      <w:r>
        <w:rPr/>
        <w:fldChar w:fldCharType="separate"/>
      </w:r>
      <w:r>
        <w:rPr>
          <w:rStyle w:val="style85"/>
          <w:rFonts w:ascii="Times New Roman" w:cs="Times New Roman" w:hAnsi="Times New Roman"/>
          <w:sz w:val="24"/>
          <w:szCs w:val="24"/>
        </w:rPr>
        <w:t>https://www.nin.res.in/downloads/What_India_Eats%20Report_13th_April_23.pdf</w:t>
      </w:r>
      <w:r>
        <w:rPr/>
        <w:fldChar w:fldCharType="end"/>
      </w:r>
    </w:p>
    <w:p>
      <w:pPr>
        <w:pStyle w:val="style0"/>
        <w:spacing w:lineRule="auto" w:line="360"/>
        <w:ind w:left="720" w:hanging="72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Karregat</w:t>
      </w:r>
      <w:r>
        <w:rPr>
          <w:rFonts w:ascii="Times New Roman" w:cs="Times New Roman" w:hAnsi="Times New Roman"/>
          <w:sz w:val="24"/>
          <w:szCs w:val="24"/>
        </w:rPr>
        <w:t xml:space="preserve"> J, </w:t>
      </w:r>
      <w:r>
        <w:rPr>
          <w:rFonts w:ascii="Times New Roman" w:cs="Times New Roman" w:hAnsi="Times New Roman"/>
          <w:sz w:val="24"/>
          <w:szCs w:val="24"/>
        </w:rPr>
        <w:t>Sweegers</w:t>
      </w:r>
      <w:r>
        <w:rPr>
          <w:rFonts w:ascii="Times New Roman" w:cs="Times New Roman" w:hAnsi="Times New Roman"/>
          <w:sz w:val="24"/>
          <w:szCs w:val="24"/>
        </w:rPr>
        <w:t xml:space="preserve"> MG, </w:t>
      </w:r>
      <w:r>
        <w:rPr>
          <w:rFonts w:ascii="Times New Roman" w:cs="Times New Roman" w:hAnsi="Times New Roman"/>
          <w:sz w:val="24"/>
          <w:szCs w:val="24"/>
        </w:rPr>
        <w:t>Quee</w:t>
      </w:r>
      <w:r>
        <w:rPr>
          <w:rFonts w:ascii="Times New Roman" w:cs="Times New Roman" w:hAnsi="Times New Roman"/>
          <w:sz w:val="24"/>
          <w:szCs w:val="24"/>
        </w:rPr>
        <w:t xml:space="preserve"> FA, </w:t>
      </w:r>
      <w:r>
        <w:rPr>
          <w:rFonts w:ascii="Times New Roman" w:cs="Times New Roman" w:hAnsi="Times New Roman"/>
          <w:sz w:val="24"/>
          <w:szCs w:val="24"/>
        </w:rPr>
        <w:t>Weekamp</w:t>
      </w:r>
      <w:r>
        <w:rPr>
          <w:rFonts w:ascii="Times New Roman" w:cs="Times New Roman" w:hAnsi="Times New Roman"/>
          <w:sz w:val="24"/>
          <w:szCs w:val="24"/>
        </w:rPr>
        <w:t xml:space="preserve"> HH, Swinkels DW, Novotny VMJ, </w:t>
      </w:r>
      <w:r>
        <w:rPr>
          <w:rFonts w:ascii="Times New Roman" w:cs="Times New Roman" w:hAnsi="Times New Roman"/>
          <w:sz w:val="24"/>
          <w:szCs w:val="24"/>
        </w:rPr>
        <w:t>Zaaijer</w:t>
      </w:r>
      <w:r>
        <w:rPr>
          <w:rFonts w:ascii="Times New Roman" w:cs="Times New Roman" w:hAnsi="Times New Roman"/>
          <w:sz w:val="24"/>
          <w:szCs w:val="24"/>
        </w:rPr>
        <w:t xml:space="preserve"> HL, van den Hurk K. Ferritin-guided iron supplementation in whole blood donors: optimal dosage, donor response, return and efficacy (FORTE)-a randomised controlled trial protocol. BMJ Open. 2022 Mar 9;12(3</w:t>
      </w:r>
      <w:r>
        <w:rPr>
          <w:rFonts w:ascii="Times New Roman" w:cs="Times New Roman" w:hAnsi="Times New Roman"/>
          <w:sz w:val="24"/>
          <w:szCs w:val="24"/>
        </w:rPr>
        <w:t>):e</w:t>
      </w:r>
      <w:r>
        <w:rPr>
          <w:rFonts w:ascii="Times New Roman" w:cs="Times New Roman" w:hAnsi="Times New Roman"/>
          <w:sz w:val="24"/>
          <w:szCs w:val="24"/>
        </w:rPr>
        <w:t xml:space="preserve">056316. </w:t>
      </w:r>
      <w:r>
        <w:rPr>
          <w:rFonts w:ascii="Times New Roman" w:cs="Times New Roman" w:hAnsi="Times New Roman"/>
          <w:sz w:val="24"/>
          <w:szCs w:val="24"/>
        </w:rPr>
        <w:t>doi</w:t>
      </w:r>
      <w:r>
        <w:rPr>
          <w:rFonts w:ascii="Times New Roman" w:cs="Times New Roman" w:hAnsi="Times New Roman"/>
          <w:sz w:val="24"/>
          <w:szCs w:val="24"/>
        </w:rPr>
        <w:t>: 10.1136/bmjopen-2021-056316. PMID: 35264362; PMCID: PMC8915278.</w:t>
      </w:r>
    </w:p>
    <w:p>
      <w:pPr>
        <w:pStyle w:val="style0"/>
        <w:spacing w:lineRule="auto" w:line="360"/>
        <w:ind w:left="720" w:hanging="72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Kaur, Harsimran, and Ramandeep Singh. "Insights into Modern Consumer Behaviour: Identifying Key Factors in the Ready-to-Eat Segment." Indian Journal of Health and Well-being 16, no. 3 (2025): 629-638.</w:t>
      </w:r>
    </w:p>
    <w:p>
      <w:pPr>
        <w:pStyle w:val="style0"/>
        <w:spacing w:lineRule="auto" w:line="360"/>
        <w:ind w:left="720" w:hanging="72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Kumar A., </w:t>
      </w:r>
      <w:r>
        <w:rPr>
          <w:rFonts w:ascii="Times New Roman" w:cs="Times New Roman" w:hAnsi="Times New Roman"/>
          <w:sz w:val="24"/>
          <w:szCs w:val="24"/>
        </w:rPr>
        <w:t>Kerketta</w:t>
      </w:r>
      <w:r>
        <w:rPr>
          <w:rFonts w:ascii="Times New Roman" w:cs="Times New Roman" w:hAnsi="Times New Roman"/>
          <w:sz w:val="24"/>
          <w:szCs w:val="24"/>
        </w:rPr>
        <w:t xml:space="preserve"> A., </w:t>
      </w:r>
      <w:r>
        <w:rPr>
          <w:rFonts w:ascii="Times New Roman" w:cs="Times New Roman" w:hAnsi="Times New Roman"/>
          <w:sz w:val="24"/>
          <w:szCs w:val="24"/>
        </w:rPr>
        <w:t>Dewali</w:t>
      </w:r>
      <w:r>
        <w:rPr>
          <w:rFonts w:ascii="Times New Roman" w:cs="Times New Roman" w:hAnsi="Times New Roman"/>
          <w:sz w:val="24"/>
          <w:szCs w:val="24"/>
        </w:rPr>
        <w:t xml:space="preserve"> S., Sharma N., Kumari Panda A., Singh Bisht S. Emerging Solutions in Sustainable Food and Nutrition Security. Springer International Publishing; Cham, Switzerland: 2023. Tackling hidden hunger: Understanding micronutrient deficiency and effective mitigation strategies; pp. 305–319.</w:t>
      </w:r>
    </w:p>
    <w:p>
      <w:pPr>
        <w:pStyle w:val="style0"/>
        <w:spacing w:lineRule="auto" w:line="360"/>
        <w:ind w:left="720" w:hanging="72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Natesh, H. N., L. Abbey, and S. K. Asiedu. "An overview of nutritional and antinutritional factors in green leafy vegetables." Horticulture International Journal 1, no. 2 (2017): 58-65.</w:t>
      </w:r>
    </w:p>
    <w:p>
      <w:pPr>
        <w:pStyle w:val="style0"/>
        <w:spacing w:lineRule="auto" w:line="360"/>
        <w:ind w:left="720" w:hanging="72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National Nutrition Monitoring Bureau. (2017). Diet and nutritional status of urban population in India and prevalence of obesity, hypertension, diabetes and hyperlipidaemia in urban men and women: A brief NNMB Urban Nutrition Report (Technical Report No. 27). National Institute of Nutrition, Indian Council of Medical Research</w:t>
      </w:r>
    </w:p>
    <w:p>
      <w:pPr>
        <w:pStyle w:val="style0"/>
        <w:spacing w:lineRule="auto" w:line="360"/>
        <w:ind w:left="720" w:hanging="72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Nosworthy MG, Neufeld J, Frohlich P, Young G, Malcolmson L, House JD. Determination of the protein quality of cooked Canadian pulses. Food Sci </w:t>
      </w:r>
      <w:r>
        <w:rPr>
          <w:rFonts w:ascii="Times New Roman" w:cs="Times New Roman" w:hAnsi="Times New Roman"/>
          <w:sz w:val="24"/>
          <w:szCs w:val="24"/>
        </w:rPr>
        <w:t>Nutr</w:t>
      </w:r>
      <w:r>
        <w:rPr>
          <w:rFonts w:ascii="Times New Roman" w:cs="Times New Roman" w:hAnsi="Times New Roman"/>
          <w:sz w:val="24"/>
          <w:szCs w:val="24"/>
        </w:rPr>
        <w:t xml:space="preserve">. 2017 Jun 20;5(4):896-903. </w:t>
      </w:r>
      <w:r>
        <w:rPr>
          <w:rFonts w:ascii="Times New Roman" w:cs="Times New Roman" w:hAnsi="Times New Roman"/>
          <w:sz w:val="24"/>
          <w:szCs w:val="24"/>
        </w:rPr>
        <w:t>doi</w:t>
      </w:r>
      <w:r>
        <w:rPr>
          <w:rFonts w:ascii="Times New Roman" w:cs="Times New Roman" w:hAnsi="Times New Roman"/>
          <w:sz w:val="24"/>
          <w:szCs w:val="24"/>
        </w:rPr>
        <w:t>: 10.1002/fsn3.473. PMID: 28748078; PMCID: PMC5521049.</w:t>
      </w:r>
    </w:p>
    <w:p>
      <w:pPr>
        <w:pStyle w:val="style0"/>
        <w:spacing w:lineRule="auto" w:line="360"/>
        <w:ind w:left="720" w:hanging="72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Nosworthy, M. G., Medina, G., Franczyk, A. J., Neufeld, J., Appah, P., </w:t>
      </w:r>
      <w:r>
        <w:rPr>
          <w:rFonts w:ascii="Times New Roman" w:cs="Times New Roman" w:hAnsi="Times New Roman"/>
          <w:sz w:val="24"/>
          <w:szCs w:val="24"/>
        </w:rPr>
        <w:t>Utioh</w:t>
      </w:r>
      <w:r>
        <w:rPr>
          <w:rFonts w:ascii="Times New Roman" w:cs="Times New Roman" w:hAnsi="Times New Roman"/>
          <w:sz w:val="24"/>
          <w:szCs w:val="24"/>
        </w:rPr>
        <w:t xml:space="preserve">, A., Frohlich, P., &amp; House, J. D. (2018). Effect of processing on the in vitro and in vivo protein quality of beans (Phaseolus vulgaris) and their utilization in composite food systems. Food &amp; Function, 8(9), 3170–3181. </w:t>
      </w:r>
      <w:r>
        <w:rPr/>
        <w:fldChar w:fldCharType="begin"/>
      </w:r>
      <w:r>
        <w:instrText xml:space="preserve"> HYPERLINK "https://doi.org/10.1039/C7FO00728J" </w:instrText>
      </w:r>
      <w:r>
        <w:rPr/>
        <w:fldChar w:fldCharType="separate"/>
      </w:r>
      <w:r>
        <w:rPr>
          <w:rStyle w:val="style85"/>
          <w:rFonts w:ascii="Times New Roman" w:cs="Times New Roman" w:hAnsi="Times New Roman"/>
          <w:sz w:val="24"/>
          <w:szCs w:val="24"/>
        </w:rPr>
        <w:t>https://doi.org/10.1039/C7FO00728J</w:t>
      </w:r>
      <w:r>
        <w:rPr/>
        <w:fldChar w:fldCharType="end"/>
      </w:r>
    </w:p>
    <w:p>
      <w:pPr>
        <w:pStyle w:val="style0"/>
        <w:spacing w:lineRule="auto" w:line="360"/>
        <w:ind w:left="720" w:hanging="72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Nowak D, Jakubczyk E. The Freeze-Drying of Foods-The Characteristic of the Process Course and the Effect of Its Parameters on the Physical Properties of Food Materials. Foods. 2020 Oct 18;9(10):1488. </w:t>
      </w:r>
      <w:r>
        <w:rPr>
          <w:rFonts w:ascii="Times New Roman" w:cs="Times New Roman" w:hAnsi="Times New Roman"/>
          <w:sz w:val="24"/>
          <w:szCs w:val="24"/>
        </w:rPr>
        <w:t>doi</w:t>
      </w:r>
      <w:r>
        <w:rPr>
          <w:rFonts w:ascii="Times New Roman" w:cs="Times New Roman" w:hAnsi="Times New Roman"/>
          <w:sz w:val="24"/>
          <w:szCs w:val="24"/>
        </w:rPr>
        <w:t>: 10.3390/foods9101488. PMID: 33080983; PMCID: PMC7603155.</w:t>
      </w:r>
    </w:p>
    <w:p>
      <w:pPr>
        <w:pStyle w:val="style0"/>
        <w:spacing w:lineRule="auto" w:line="360"/>
        <w:ind w:left="720" w:hanging="72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Rani, Rekha, Payal Karmakar, Simrat Kaur, and Chinju Davis. "Nutrition and Other Associated Benefits of Ready-to-Eat Foods." In Recent Advances in Ready-to-Eat Food Technology, pp. 162-183. CRC Press, 2024.</w:t>
      </w:r>
    </w:p>
    <w:p>
      <w:pPr>
        <w:pStyle w:val="style0"/>
        <w:spacing w:lineRule="auto" w:line="360"/>
        <w:ind w:left="720" w:hanging="72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Teixeira, E.M.B., </w:t>
      </w:r>
      <w:r>
        <w:rPr>
          <w:rFonts w:ascii="Times New Roman" w:cs="Times New Roman" w:hAnsi="Times New Roman"/>
          <w:sz w:val="24"/>
          <w:szCs w:val="24"/>
        </w:rPr>
        <w:t>Ferriani</w:t>
      </w:r>
      <w:r>
        <w:rPr>
          <w:rFonts w:ascii="Times New Roman" w:cs="Times New Roman" w:hAnsi="Times New Roman"/>
          <w:sz w:val="24"/>
          <w:szCs w:val="24"/>
        </w:rPr>
        <w:t>, M.D.G.C., Neves, V.A., Silva, M.A. and Arantes, P. L. 2014. Chemical characteristics and fractionation of proteins from Moringa oleifera Lam. Leaves. Food Chemistry. 14751–54.</w:t>
      </w:r>
    </w:p>
    <w:p>
      <w:pPr>
        <w:pStyle w:val="style0"/>
        <w:spacing w:lineRule="auto" w:line="360"/>
        <w:ind w:left="720" w:hanging="72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Willett, Walter, and Marco Springmann. "Food, health, and climate change: can epidemiologists contribute </w:t>
      </w:r>
      <w:r>
        <w:rPr>
          <w:rFonts w:ascii="Times New Roman" w:cs="Times New Roman" w:hAnsi="Times New Roman"/>
          <w:sz w:val="24"/>
          <w:szCs w:val="24"/>
        </w:rPr>
        <w:t>further?.</w:t>
      </w:r>
      <w:r>
        <w:rPr>
          <w:rFonts w:ascii="Times New Roman" w:cs="Times New Roman" w:hAnsi="Times New Roman"/>
          <w:sz w:val="24"/>
          <w:szCs w:val="24"/>
        </w:rPr>
        <w:t>" International journal of epidemiology 53, no. 5 (2024): dyae109.</w:t>
      </w: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comment w:id="1" w:author="Dare Ibiyeye" w:date="2026-02-22T11:47:00Z" w:initials="Dare Ibiy">
    <w:p w14:paraId="1">
      <w:pPr>
        <w:pStyle w:val="style0"/>
        <w:rPr/>
      </w:pPr>
      <w:r>
        <w:rPr/>
        <w:annotationRef/>
      </w:r>
      <w:r>
        <w:t xml:space="preserve">italize </w:t>
      </w:r>
    </w:p>
  </w:comment>
  <w:comment w:id="2" w:author="Dare Ibiyeye" w:date="2026-02-22T11:49:00Z" w:initials="Dare Ibiy">
    <w:p w14:paraId="2">
      <w:pPr>
        <w:pStyle w:val="style0"/>
        <w:rPr/>
      </w:pPr>
      <w:r>
        <w:rPr/>
        <w:annotationRef/>
      </w:r>
      <w:r>
        <w:t>bold</w:t>
      </w:r>
    </w:p>
  </w:comment>
  <w:comment w:id="3" w:author="Dare Ibiyeye" w:date="2026-02-22T12:20:00Z" w:initials="Dare Ibiy">
    <w:p w14:paraId="3">
      <w:pPr>
        <w:pStyle w:val="style0"/>
        <w:rPr/>
      </w:pPr>
      <w:r>
        <w:rPr/>
        <w:annotationRef/>
      </w:r>
      <w:r>
        <w:t xml:space="preserve">mention standard used to measure these attributes </w:t>
      </w:r>
    </w:p>
  </w:comment>
  <w:comment w:id="4" w:author="Dare Ibiyeye" w:date="2026-02-22T11:59:00Z" w:initials="Dare Ibiy">
    <w:p w14:paraId="4">
      <w:pPr>
        <w:pStyle w:val="style0"/>
        <w:rPr/>
      </w:pPr>
      <w:r>
        <w:rPr/>
        <w:annotationRef/>
      </w:r>
      <w:r>
        <w:t>these key words are double (phrases) words, they should be single words apart from the named micronutrients.</w:t>
      </w:r>
    </w:p>
  </w:comment>
  <w:comment w:id="5" w:author="Dare Ibiyeye" w:date="2026-02-22T12:02:00Z" w:initials="Dare Ibiy">
    <w:p w14:paraId="5">
      <w:pPr>
        <w:pStyle w:val="style0"/>
        <w:rPr/>
      </w:pPr>
      <w:r>
        <w:rPr/>
        <w:annotationRef/>
      </w:r>
      <w:r>
        <w:t xml:space="preserve">italize </w:t>
      </w:r>
    </w:p>
  </w:comment>
  <w:comment w:id="6" w:author="Dare Ibiyeye" w:date="2026-02-22T12:05:00Z" w:initials="Dare Ibiy">
    <w:p w14:paraId="6">
      <w:pPr>
        <w:pStyle w:val="style0"/>
        <w:rPr/>
      </w:pPr>
      <w:r>
        <w:rPr/>
        <w:annotationRef/>
      </w:r>
      <w:r>
        <w:t xml:space="preserve">italize </w:t>
      </w:r>
    </w:p>
  </w:comment>
  <w:comment w:id="7" w:author="Dare Ibiyeye" w:date="2026-02-22T12:06:00Z" w:initials="Dare Ibiy">
    <w:p w14:paraId="7">
      <w:pPr>
        <w:pStyle w:val="style0"/>
        <w:rPr/>
      </w:pPr>
      <w:r>
        <w:rPr/>
        <w:annotationRef/>
      </w:r>
      <w:r>
        <w:t>delete comma</w:t>
      </w:r>
    </w:p>
  </w:comment>
  <w:comment w:id="8" w:author="Dare Ibiyeye" w:date="2026-02-22T12:07:00Z" w:initials="Dare Ibiy">
    <w:p w14:paraId="8">
      <w:pPr>
        <w:pStyle w:val="style0"/>
        <w:rPr/>
      </w:pPr>
      <w:r>
        <w:rPr/>
        <w:annotationRef/>
      </w:r>
      <w:r>
        <w:t xml:space="preserve">Capital letter please </w:t>
      </w:r>
    </w:p>
  </w:comment>
  <w:comment w:id="9" w:author="Dare Ibiyeye" w:date="2026-02-22T12:05:00Z" w:initials="Dare Ibiy">
    <w:p w14:paraId="9">
      <w:pPr>
        <w:pStyle w:val="style0"/>
        <w:rPr/>
      </w:pPr>
      <w:r>
        <w:rPr/>
        <w:annotationRef/>
      </w:r>
      <w:r>
        <w:t xml:space="preserve">italize </w:t>
      </w:r>
    </w:p>
  </w:comment>
  <w:comment w:id="10" w:author="Dare Ibiyeye" w:date="2026-02-22T12:09:00Z" w:initials="Dare Ibiy">
    <w:p w14:paraId="10">
      <w:pPr>
        <w:pStyle w:val="style0"/>
        <w:rPr/>
      </w:pPr>
      <w:r>
        <w:rPr/>
        <w:annotationRef/>
      </w:r>
      <w:r>
        <w:t>what informed these % percentages?</w:t>
      </w:r>
    </w:p>
  </w:comment>
  <w:comment w:id="11" w:author="Dare Ibiyeye" w:date="2026-02-22T12:14:00Z" w:initials="Dare Ibiy">
    <w:p w14:paraId="11">
      <w:pPr>
        <w:pStyle w:val="style0"/>
        <w:rPr/>
      </w:pPr>
      <w:r>
        <w:rPr/>
        <w:annotationRef/>
      </w:r>
      <w:r>
        <w:t>use the word 'and' not it's symbol</w:t>
      </w:r>
    </w:p>
  </w:comment>
  <w:comment w:id="12" w:author="Dare Ibiyeye" w:date="2026-02-22T12:22:00Z" w:initials="Dare Ibiy">
    <w:p w14:paraId="12">
      <w:pPr>
        <w:pStyle w:val="style0"/>
        <w:rPr/>
      </w:pPr>
      <w:r>
        <w:rPr/>
        <w:annotationRef/>
      </w:r>
      <w:r>
        <w:t>do not use word symbols here</w:t>
      </w:r>
    </w:p>
  </w:comment>
  <w:comment w:id="13" w:author="Dare Ibiyeye" w:date="2026-02-22T12:15:00Z" w:initials="Dare Ibiy">
    <w:p w14:paraId="13">
      <w:pPr>
        <w:pStyle w:val="style0"/>
        <w:rPr/>
      </w:pPr>
      <w:r>
        <w:rPr/>
        <w:annotationRef/>
      </w:r>
      <w:r>
        <w:t xml:space="preserve">italize </w:t>
      </w:r>
    </w:p>
  </w:comment>
  <w:comment w:id="14" w:author="Dare Ibiyeye" w:date="2026-02-22T12:24:00Z" w:initials="Dare Ibiy">
    <w:p w14:paraId="14">
      <w:pPr>
        <w:pStyle w:val="style0"/>
        <w:rPr/>
      </w:pPr>
      <w:r>
        <w:rPr/>
        <w:annotationRef/>
      </w:r>
      <w:r>
        <w:t xml:space="preserve">do not forget punctuation marks </w:t>
      </w:r>
    </w:p>
  </w:comment>
  <w:comment w:id="15" w:author="Dare Ibiyeye" w:date="2026-02-22T12:16:00Z" w:initials="Dare Ibiy">
    <w:p w14:paraId="15">
      <w:pPr>
        <w:pStyle w:val="style0"/>
        <w:rPr/>
      </w:pPr>
      <w:r>
        <w:rPr/>
        <w:annotationRef/>
      </w:r>
      <w:r>
        <w:t xml:space="preserve">do not use symbol </w:t>
      </w:r>
    </w:p>
  </w:comment>
  <w:comment w:id="16" w:author="Dare Ibiyeye" w:date="2026-02-22T12:21:00Z" w:initials="Dare Ibiy">
    <w:p w14:paraId="16">
      <w:pPr>
        <w:pStyle w:val="style0"/>
        <w:rPr/>
      </w:pPr>
      <w:r>
        <w:rPr/>
        <w:annotationRef/>
      </w:r>
      <w:r>
        <w:t xml:space="preserve">reference </w:t>
      </w:r>
    </w:p>
  </w:comment>
  <w:comment w:id="17" w:author="Dare Ibiyeye" w:date="2026-02-22T12:25:00Z" w:initials="Dare Ibiy">
    <w:p w14:paraId="17">
      <w:pPr>
        <w:pStyle w:val="style0"/>
        <w:rPr/>
      </w:pPr>
      <w:r>
        <w:rPr/>
        <w:annotationRef/>
      </w:r>
      <w:r>
        <w:t xml:space="preserve">italize </w:t>
      </w:r>
    </w:p>
  </w:comment>
  <w:comment w:id="18" w:author="Dare Ibiyeye" w:date="2026-02-22T12:27:00Z" w:initials="Dare Ibiy">
    <w:p w14:paraId="18">
      <w:pPr>
        <w:pStyle w:val="style0"/>
        <w:rPr/>
      </w:pPr>
      <w:r>
        <w:rPr/>
        <w:annotationRef/>
      </w:r>
      <w:r>
        <w:t xml:space="preserve">italize </w:t>
      </w:r>
    </w:p>
  </w:comment>
  <w:comment w:id="19" w:author="Dare Ibiyeye" w:date="2026-02-22T12:28:00Z" w:initials="Dare Ibiy">
    <w:p w14:paraId="19">
      <w:pPr>
        <w:pStyle w:val="style0"/>
        <w:rPr/>
      </w:pPr>
      <w:r>
        <w:rPr/>
        <w:annotationRef/>
      </w:r>
      <w:r>
        <w:t xml:space="preserve">italize </w:t>
      </w:r>
    </w:p>
  </w:comment>
  <w:comment w:id="20" w:author="Dare Ibiyeye" w:date="2026-02-22T12:28:00Z" w:initials="Dare Ibiy">
    <w:p w14:paraId="20">
      <w:pPr>
        <w:pStyle w:val="style0"/>
        <w:rPr/>
      </w:pPr>
      <w:r>
        <w:rPr/>
        <w:annotationRef/>
      </w:r>
      <w:r>
        <w:t xml:space="preserve">italize </w:t>
      </w:r>
    </w:p>
  </w:comment>
  <w:comment w:id="21" w:author="Dare Ibiyeye" w:date="2026-02-22T12:29:00Z" w:initials="Dare Ibiy">
    <w:p w14:paraId="21">
      <w:pPr>
        <w:pStyle w:val="style0"/>
        <w:rPr/>
      </w:pPr>
      <w:r>
        <w:rPr/>
        <w:annotationRef/>
      </w:r>
      <w:r>
        <w:t xml:space="preserve">italize </w:t>
      </w:r>
    </w:p>
  </w:comment>
  <w:comment w:id="22" w:author="Dare Ibiyeye" w:date="2026-02-22T12:29:00Z" w:initials="Dare Ibiy">
    <w:p w14:paraId="22">
      <w:pPr>
        <w:pStyle w:val="style0"/>
        <w:rPr/>
      </w:pPr>
      <w:r>
        <w:rPr/>
        <w:annotationRef/>
      </w:r>
      <w:r>
        <w:t xml:space="preserve">ditto </w:t>
      </w:r>
    </w:p>
  </w:comment>
  <w:comment w:id="23" w:author="Dare Ibiyeye" w:date="2026-02-22T12:31:00Z" w:initials="Dare Ibiy">
    <w:p w14:paraId="23">
      <w:pPr>
        <w:pStyle w:val="style0"/>
        <w:rPr/>
      </w:pPr>
      <w:r>
        <w:rPr/>
        <w:annotationRef/>
      </w:r>
      <w:r>
        <w:t xml:space="preserve">italize </w:t>
      </w:r>
    </w:p>
  </w:comment>
  <w:comment w:id="24" w:author="Dare Ibiyeye" w:date="2026-02-22T12:32:00Z" w:initials="Dare Ibiy">
    <w:p w14:paraId="24">
      <w:pPr>
        <w:pStyle w:val="style0"/>
        <w:rPr/>
      </w:pPr>
      <w:r>
        <w:rPr/>
        <w:annotationRef/>
      </w:r>
      <w:r>
        <w:t xml:space="preserve">enhanced </w:t>
      </w:r>
    </w:p>
  </w:comment>
</w:comments>
</file>

<file path=word/commentsExtended.xml><?xml version="1.0" encoding="utf-8"?>
<w15:commentsEx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w15="http://schemas.microsoft.com/office/word/2012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ne="http://schemas.microsoft.com/office/word/2006/wordml" mc:Ignorable="w15 w14 wp14">
  <w15:commentEx w15:paraId="1"/>
  <w15:commentEx w15:paraId="2"/>
  <w15:commentEx w15:paraId="3"/>
  <w15:commentEx w15:paraId="4"/>
  <w15:commentEx w15:paraId="5"/>
  <w15:commentEx w15:paraId="6"/>
  <w15:commentEx w15:paraId="7"/>
  <w15:commentEx w15:paraId="8"/>
  <w15:commentEx w15:paraId="9"/>
  <w15:commentEx w15:paraId="10"/>
  <w15:commentEx w15:paraId="11"/>
  <w15:commentEx w15:paraId="12"/>
  <w15:commentEx w15:paraId="13"/>
  <w15:commentEx w15:paraId="14"/>
  <w15:commentEx w15:paraId="15"/>
  <w15:commentEx w15:paraId="16"/>
  <w15:commentEx w15:paraId="17"/>
  <w15:commentEx w15:paraId="18"/>
  <w15:commentEx w15:paraId="19"/>
  <w15:commentEx w15:paraId="20"/>
  <w15:commentEx w15:paraId="21"/>
  <w15:commentEx w15:paraId="22"/>
  <w15:commentEx w15:paraId="23"/>
  <w15:commentEx w15:paraId="24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panose1 w:val="00000000000000000000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panose1 w:val="00000000000000000000"/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</w:fonts>
</file>

<file path=word/footer3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rPr/>
    </w:pPr>
  </w:p>
</w:ftr>
</file>

<file path=word/footer4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noProof/>
      </w:rPr>
      <w:pict>
        <v:shapetype id="_x0000_t136" coordsize="21600,21600" adj="10800" o:spt="136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locs="@9,0;@10,10800;@11,21600;@12,10800" o:connecttype="custom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4098" type="#_x0000_t136" fillcolor="silver" stroked="f" style="position:absolute;margin-left:0.0pt;margin-top:0.0pt;width:571.65pt;height:64.5pt;z-index:-2147483644;mso-position-horizontal:center;mso-position-vertical:center;mso-position-horizontal-relative:margin;mso-position-vertical-relative:margin;mso-width-relative:page;mso-height-relative:page;mso-wrap-distance-left:0.0pt;mso-wrap-distance-right:0.0pt;visibility:visible;rotation:-2949120fd;" o:allowincell="false">
          <v:stroke on="f"/>
          <o:lock text="true" v:ext="view"/>
          <v:fill opacity="50%"/>
          <v:textpath string="UNDER PEER REVIEW" fitshape="t" on="t" style="font-size:1.0pt;font-family:&quot;Aptos&quot;;"/>
        </v:shape>
      </w:pict>
    </w:r>
  </w:p>
</w:hdr>
</file>

<file path=word/header2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noProof/>
      </w:rPr>
      <w:pict>
        <v:shapetype id="_x0000_t136" coordsize="21600,21600" adj="10800" o:spt="136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locs="@9,0;@10,10800;@11,21600;@12,10800" o:connecttype="custom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4099" type="#_x0000_t136" fillcolor="silver" stroked="f" style="position:absolute;margin-left:0.0pt;margin-top:0.0pt;width:571.65pt;height:64.5pt;z-index:-2147483643;mso-position-horizontal:center;mso-position-vertical:center;mso-position-horizontal-relative:margin;mso-position-vertical-relative:margin;mso-width-relative:page;mso-height-relative:page;mso-wrap-distance-left:0.0pt;mso-wrap-distance-right:0.0pt;visibility:visible;rotation:-2949120fd;" o:allowincell="false">
          <v:stroke on="f"/>
          <o:lock text="true" v:ext="view"/>
          <v:fill opacity="50%"/>
          <v:textpath string="UNDER PEER REVIEW" fitshape="t" on="t" style="font-size:1.0pt;font-family:&quot;Aptos&quot;;"/>
        </v:shape>
      </w:pict>
    </w:r>
  </w:p>
</w:hdr>
</file>

<file path=word/header5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noProof/>
      </w:rPr>
      <w:pict>
        <v:shapetype id="_x0000_t136" coordsize="21600,21600" adj="10800" o:spt="136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locs="@9,0;@10,10800;@11,21600;@12,10800" o:connecttype="custom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4100" type="#_x0000_t136" fillcolor="silver" stroked="f" style="position:absolute;margin-left:0.0pt;margin-top:0.0pt;width:571.65pt;height:64.5pt;z-index:-2147483645;mso-position-horizontal:center;mso-position-vertical:center;mso-position-horizontal-relative:margin;mso-position-vertical-relative:margin;mso-width-relative:page;mso-height-relative:page;mso-wrap-distance-left:0.0pt;mso-wrap-distance-right:0.0pt;visibility:visible;rotation:-2949120fd;" o:allowincell="false">
          <v:stroke on="f"/>
          <o:lock text="true" v:ext="view"/>
          <v:fill opacity="50%"/>
          <v:textpath string="UNDER PEER REVIEW" fitshape="t" on="t" style="font-size:1.0pt;font-family:&quot;Aptos&quot;;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37EEFF6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24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Aptos" w:cs="宋体" w:eastAsia="Aptos" w:hAnsi="Aptos"/>
        <w:kern w:val="2"/>
        <w:sz w:val="22"/>
        <w:szCs w:val="22"/>
        <w:lang w:val="en-IN" w:bidi="ar-SA" w:eastAsia="en-US"/>
        <w14:ligatures xmlns:w14="http://schemas.microsoft.com/office/word/2010/wordml" w14:val="standardContextual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0"/>
    <w:link w:val="style4097"/>
    <w:qFormat/>
    <w:uiPriority w:val="9"/>
    <w:pPr>
      <w:keepNext/>
      <w:keepLines/>
      <w:spacing w:before="360" w:after="80"/>
      <w:outlineLvl w:val="0"/>
    </w:pPr>
    <w:rPr>
      <w:rFonts w:ascii="Aptos Display" w:cs="宋体" w:eastAsia="宋体" w:hAnsi="Aptos Display"/>
      <w:color w:val="0f4761"/>
      <w:sz w:val="40"/>
      <w:szCs w:val="40"/>
    </w:rPr>
  </w:style>
  <w:style w:type="paragraph" w:styleId="style2">
    <w:name w:val="heading 2"/>
    <w:basedOn w:val="style0"/>
    <w:next w:val="style0"/>
    <w:link w:val="style4098"/>
    <w:qFormat/>
    <w:uiPriority w:val="9"/>
    <w:pPr>
      <w:keepNext/>
      <w:keepLines/>
      <w:spacing w:before="160" w:after="80"/>
      <w:outlineLvl w:val="1"/>
    </w:pPr>
    <w:rPr>
      <w:rFonts w:ascii="Aptos Display" w:cs="宋体" w:eastAsia="宋体" w:hAnsi="Aptos Display"/>
      <w:color w:val="0f4761"/>
      <w:sz w:val="32"/>
      <w:szCs w:val="32"/>
    </w:rPr>
  </w:style>
  <w:style w:type="paragraph" w:styleId="style3">
    <w:name w:val="heading 3"/>
    <w:basedOn w:val="style0"/>
    <w:next w:val="style0"/>
    <w:link w:val="style4099"/>
    <w:qFormat/>
    <w:uiPriority w:val="9"/>
    <w:pPr>
      <w:keepNext/>
      <w:keepLines/>
      <w:spacing w:before="160" w:after="80"/>
      <w:outlineLvl w:val="2"/>
    </w:pPr>
    <w:rPr>
      <w:rFonts w:cs="宋体" w:eastAsia="宋体"/>
      <w:color w:val="0f4761"/>
      <w:sz w:val="28"/>
      <w:szCs w:val="28"/>
    </w:rPr>
  </w:style>
  <w:style w:type="paragraph" w:styleId="style4">
    <w:name w:val="heading 4"/>
    <w:basedOn w:val="style0"/>
    <w:next w:val="style0"/>
    <w:link w:val="style4100"/>
    <w:qFormat/>
    <w:uiPriority w:val="9"/>
    <w:pPr>
      <w:keepNext/>
      <w:keepLines/>
      <w:spacing w:before="80" w:after="40"/>
      <w:outlineLvl w:val="3"/>
    </w:pPr>
    <w:rPr>
      <w:rFonts w:cs="宋体" w:eastAsia="宋体"/>
      <w:i/>
      <w:iCs/>
      <w:color w:val="0f4761"/>
    </w:rPr>
  </w:style>
  <w:style w:type="paragraph" w:styleId="style5">
    <w:name w:val="heading 5"/>
    <w:basedOn w:val="style0"/>
    <w:next w:val="style0"/>
    <w:link w:val="style4101"/>
    <w:qFormat/>
    <w:uiPriority w:val="9"/>
    <w:pPr>
      <w:keepNext/>
      <w:keepLines/>
      <w:spacing w:before="80" w:after="40"/>
      <w:outlineLvl w:val="4"/>
    </w:pPr>
    <w:rPr>
      <w:rFonts w:cs="宋体" w:eastAsia="宋体"/>
      <w:color w:val="0f4761"/>
    </w:rPr>
  </w:style>
  <w:style w:type="paragraph" w:styleId="style6">
    <w:name w:val="heading 6"/>
    <w:basedOn w:val="style0"/>
    <w:next w:val="style0"/>
    <w:link w:val="style4102"/>
    <w:qFormat/>
    <w:uiPriority w:val="9"/>
    <w:pPr>
      <w:keepNext/>
      <w:keepLines/>
      <w:spacing w:before="40" w:after="0"/>
      <w:outlineLvl w:val="5"/>
    </w:pPr>
    <w:rPr>
      <w:rFonts w:cs="宋体" w:eastAsia="宋体"/>
      <w:i/>
      <w:iCs/>
      <w:color w:val="595959"/>
    </w:rPr>
  </w:style>
  <w:style w:type="paragraph" w:styleId="style7">
    <w:name w:val="heading 7"/>
    <w:basedOn w:val="style0"/>
    <w:next w:val="style0"/>
    <w:link w:val="style4103"/>
    <w:qFormat/>
    <w:uiPriority w:val="9"/>
    <w:pPr>
      <w:keepNext/>
      <w:keepLines/>
      <w:spacing w:before="40" w:after="0"/>
      <w:outlineLvl w:val="6"/>
    </w:pPr>
    <w:rPr>
      <w:rFonts w:cs="宋体" w:eastAsia="宋体"/>
      <w:color w:val="595959"/>
    </w:rPr>
  </w:style>
  <w:style w:type="paragraph" w:styleId="style8">
    <w:name w:val="heading 8"/>
    <w:basedOn w:val="style0"/>
    <w:next w:val="style0"/>
    <w:link w:val="style4104"/>
    <w:qFormat/>
    <w:uiPriority w:val="9"/>
    <w:pPr>
      <w:keepNext/>
      <w:keepLines/>
      <w:spacing w:after="0"/>
      <w:outlineLvl w:val="7"/>
    </w:pPr>
    <w:rPr>
      <w:rFonts w:cs="宋体" w:eastAsia="宋体"/>
      <w:i/>
      <w:iCs/>
      <w:color w:val="272727"/>
    </w:rPr>
  </w:style>
  <w:style w:type="paragraph" w:styleId="style9">
    <w:name w:val="heading 9"/>
    <w:basedOn w:val="style0"/>
    <w:next w:val="style0"/>
    <w:link w:val="style4105"/>
    <w:qFormat/>
    <w:uiPriority w:val="9"/>
    <w:pPr>
      <w:keepNext/>
      <w:keepLines/>
      <w:spacing w:after="0"/>
      <w:outlineLvl w:val="8"/>
    </w:pPr>
    <w:rPr>
      <w:rFonts w:cs="宋体" w:eastAsia="宋体"/>
      <w:color w:val="272727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1 Char_984ead27-2ac0-45e7-8c9e-9fc21c0fcfd6"/>
    <w:basedOn w:val="style65"/>
    <w:next w:val="style4097"/>
    <w:link w:val="style1"/>
    <w:uiPriority w:val="9"/>
    <w:rPr>
      <w:rFonts w:ascii="Aptos Display" w:cs="宋体" w:eastAsia="宋体" w:hAnsi="Aptos Display"/>
      <w:color w:val="0f4761"/>
      <w:sz w:val="40"/>
      <w:szCs w:val="40"/>
    </w:rPr>
  </w:style>
  <w:style w:type="character" w:customStyle="1" w:styleId="style4098">
    <w:name w:val="Heading 2 Char_9214804b-6992-40ca-ac2c-26645675c1a4"/>
    <w:basedOn w:val="style65"/>
    <w:next w:val="style4098"/>
    <w:link w:val="style2"/>
    <w:uiPriority w:val="9"/>
    <w:rPr>
      <w:rFonts w:ascii="Aptos Display" w:cs="宋体" w:eastAsia="宋体" w:hAnsi="Aptos Display"/>
      <w:color w:val="0f4761"/>
      <w:sz w:val="32"/>
      <w:szCs w:val="32"/>
    </w:rPr>
  </w:style>
  <w:style w:type="character" w:customStyle="1" w:styleId="style4099">
    <w:name w:val="Heading 3 Char_f2f38193-7f05-43e8-9849-deab701dbaa2"/>
    <w:basedOn w:val="style65"/>
    <w:next w:val="style4099"/>
    <w:link w:val="style3"/>
    <w:uiPriority w:val="9"/>
    <w:rPr>
      <w:rFonts w:cs="宋体" w:eastAsia="宋体"/>
      <w:color w:val="0f4761"/>
      <w:sz w:val="28"/>
      <w:szCs w:val="28"/>
    </w:rPr>
  </w:style>
  <w:style w:type="character" w:customStyle="1" w:styleId="style4100">
    <w:name w:val="Heading 4 Char_368bda1d-4c0a-4ab6-9423-b4b6d4fb8780"/>
    <w:basedOn w:val="style65"/>
    <w:next w:val="style4100"/>
    <w:link w:val="style4"/>
    <w:uiPriority w:val="9"/>
    <w:rPr>
      <w:rFonts w:cs="宋体" w:eastAsia="宋体"/>
      <w:i/>
      <w:iCs/>
      <w:color w:val="0f4761"/>
    </w:rPr>
  </w:style>
  <w:style w:type="character" w:customStyle="1" w:styleId="style4101">
    <w:name w:val="Heading 5 Char_8bbb46fe-d473-4f88-a89a-71c837660ffd"/>
    <w:basedOn w:val="style65"/>
    <w:next w:val="style4101"/>
    <w:link w:val="style5"/>
    <w:uiPriority w:val="9"/>
    <w:rPr>
      <w:rFonts w:cs="宋体" w:eastAsia="宋体"/>
      <w:color w:val="0f4761"/>
    </w:rPr>
  </w:style>
  <w:style w:type="character" w:customStyle="1" w:styleId="style4102">
    <w:name w:val="Heading 6 Char_a1a81b75-7fb0-4b59-a115-9db16593d5b6"/>
    <w:basedOn w:val="style65"/>
    <w:next w:val="style4102"/>
    <w:link w:val="style6"/>
    <w:uiPriority w:val="9"/>
    <w:rPr>
      <w:rFonts w:cs="宋体" w:eastAsia="宋体"/>
      <w:i/>
      <w:iCs/>
      <w:color w:val="595959"/>
    </w:rPr>
  </w:style>
  <w:style w:type="character" w:customStyle="1" w:styleId="style4103">
    <w:name w:val="Heading 7 Char_df730bd3-b10b-4643-bf8e-f8956e89da74"/>
    <w:basedOn w:val="style65"/>
    <w:next w:val="style4103"/>
    <w:link w:val="style7"/>
    <w:uiPriority w:val="9"/>
    <w:rPr>
      <w:rFonts w:cs="宋体" w:eastAsia="宋体"/>
      <w:color w:val="595959"/>
    </w:rPr>
  </w:style>
  <w:style w:type="character" w:customStyle="1" w:styleId="style4104">
    <w:name w:val="Heading 8 Char_2677d40a-aa64-4061-affe-5030a80b2ab0"/>
    <w:basedOn w:val="style65"/>
    <w:next w:val="style4104"/>
    <w:link w:val="style8"/>
    <w:uiPriority w:val="9"/>
    <w:rPr>
      <w:rFonts w:cs="宋体" w:eastAsia="宋体"/>
      <w:i/>
      <w:iCs/>
      <w:color w:val="272727"/>
    </w:rPr>
  </w:style>
  <w:style w:type="character" w:customStyle="1" w:styleId="style4105">
    <w:name w:val="Heading 9 Char_a72fb20f-8e30-4e1a-8d56-cf56dbe68ef3"/>
    <w:basedOn w:val="style65"/>
    <w:next w:val="style4105"/>
    <w:link w:val="style9"/>
    <w:uiPriority w:val="9"/>
    <w:rPr>
      <w:rFonts w:cs="宋体" w:eastAsia="宋体"/>
      <w:color w:val="272727"/>
    </w:rPr>
  </w:style>
  <w:style w:type="paragraph" w:styleId="style62">
    <w:name w:val="Title"/>
    <w:basedOn w:val="style0"/>
    <w:next w:val="style0"/>
    <w:link w:val="style4106"/>
    <w:qFormat/>
    <w:uiPriority w:val="10"/>
    <w:pPr>
      <w:spacing w:after="80" w:lineRule="auto" w:line="240"/>
      <w:contextualSpacing/>
    </w:pPr>
    <w:rPr>
      <w:rFonts w:ascii="Aptos Display" w:cs="宋体" w:eastAsia="宋体" w:hAnsi="Aptos Display"/>
      <w:spacing w:val="-10"/>
      <w:kern w:val="28"/>
      <w:sz w:val="56"/>
      <w:szCs w:val="56"/>
    </w:rPr>
  </w:style>
  <w:style w:type="character" w:customStyle="1" w:styleId="style4106">
    <w:name w:val="Title Char_98cbe6ca-636f-4abe-9703-a709d6c8dac2"/>
    <w:basedOn w:val="style65"/>
    <w:next w:val="style4106"/>
    <w:link w:val="style62"/>
    <w:uiPriority w:val="10"/>
    <w:rPr>
      <w:rFonts w:ascii="Aptos Display" w:cs="宋体" w:eastAsia="宋体" w:hAnsi="Aptos Display"/>
      <w:spacing w:val="-10"/>
      <w:kern w:val="28"/>
      <w:sz w:val="56"/>
      <w:szCs w:val="56"/>
    </w:rPr>
  </w:style>
  <w:style w:type="paragraph" w:styleId="style74">
    <w:name w:val="Subtitle"/>
    <w:basedOn w:val="style0"/>
    <w:next w:val="style0"/>
    <w:link w:val="style4107"/>
    <w:qFormat/>
    <w:uiPriority w:val="11"/>
    <w:pPr>
      <w:numPr>
        <w:ilvl w:val="1"/>
        <w:numId w:val="0"/>
      </w:numPr>
    </w:pPr>
    <w:rPr>
      <w:rFonts w:cs="宋体" w:eastAsia="宋体"/>
      <w:color w:val="595959"/>
      <w:spacing w:val="15"/>
      <w:sz w:val="28"/>
      <w:szCs w:val="28"/>
    </w:rPr>
  </w:style>
  <w:style w:type="character" w:customStyle="1" w:styleId="style4107">
    <w:name w:val="Subtitle Char"/>
    <w:basedOn w:val="style65"/>
    <w:next w:val="style4107"/>
    <w:link w:val="style74"/>
    <w:uiPriority w:val="11"/>
    <w:rPr>
      <w:rFonts w:cs="宋体" w:eastAsia="宋体"/>
      <w:color w:val="595959"/>
      <w:spacing w:val="15"/>
      <w:sz w:val="28"/>
      <w:szCs w:val="28"/>
    </w:rPr>
  </w:style>
  <w:style w:type="paragraph" w:styleId="style180">
    <w:name w:val="Quote"/>
    <w:basedOn w:val="style0"/>
    <w:next w:val="style0"/>
    <w:link w:val="style4108"/>
    <w:qFormat/>
    <w:uiPriority w:val="29"/>
    <w:pPr>
      <w:spacing w:before="160"/>
      <w:jc w:val="center"/>
    </w:pPr>
    <w:rPr>
      <w:i/>
      <w:iCs/>
      <w:color w:val="404040"/>
    </w:rPr>
  </w:style>
  <w:style w:type="character" w:customStyle="1" w:styleId="style4108">
    <w:name w:val="Quote Char_802673ea-77aa-4afe-861d-6996109cd86d"/>
    <w:basedOn w:val="style65"/>
    <w:next w:val="style4108"/>
    <w:link w:val="style180"/>
    <w:uiPriority w:val="29"/>
    <w:rPr>
      <w:i/>
      <w:iCs/>
      <w:color w:val="404040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261">
    <w:name w:val="Intense Emphasis"/>
    <w:basedOn w:val="style65"/>
    <w:next w:val="style261"/>
    <w:qFormat/>
    <w:uiPriority w:val="21"/>
    <w:rPr>
      <w:i/>
      <w:iCs/>
      <w:color w:val="0f4761"/>
    </w:rPr>
  </w:style>
  <w:style w:type="paragraph" w:styleId="style181">
    <w:name w:val="Intense Quote"/>
    <w:basedOn w:val="style0"/>
    <w:next w:val="style0"/>
    <w:link w:val="style4109"/>
    <w:qFormat/>
    <w:uiPriority w:val="30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style4109">
    <w:name w:val="Intense Quote Char_74072649-4a73-42a4-b5a7-7e3a9eedf67d"/>
    <w:basedOn w:val="style65"/>
    <w:next w:val="style4109"/>
    <w:link w:val="style181"/>
    <w:uiPriority w:val="30"/>
    <w:rPr>
      <w:i/>
      <w:iCs/>
      <w:color w:val="0f4761"/>
    </w:rPr>
  </w:style>
  <w:style w:type="character" w:styleId="style263">
    <w:name w:val="Intense Reference"/>
    <w:basedOn w:val="style65"/>
    <w:next w:val="style263"/>
    <w:qFormat/>
    <w:uiPriority w:val="32"/>
    <w:rPr>
      <w:b/>
      <w:bCs/>
      <w:smallCaps/>
      <w:color w:val="0f4761"/>
      <w:spacing w:val="5"/>
    </w:rPr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table" w:customStyle="1" w:styleId="style4110">
    <w:name w:val="Grid Table Light"/>
    <w:basedOn w:val="style105"/>
    <w:next w:val="style4110"/>
    <w:uiPriority w:val="40"/>
    <w:pPr>
      <w:spacing w:after="0" w:lineRule="auto" w:line="240"/>
    </w:pPr>
    <w:rPr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cPr>
      <w:tcBorders/>
    </w:tcPr>
  </w:style>
  <w:style w:type="table" w:customStyle="1" w:styleId="style4111">
    <w:name w:val="Plain Table 1"/>
    <w:basedOn w:val="style105"/>
    <w:next w:val="style4111"/>
    <w:uiPriority w:val="41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double" w:sz="4" w:space="0" w:color="bfbfbf"/>
        </w:tcBorders>
      </w:tcPr>
    </w:tblStylePr>
    <w:tblStylePr w:type="band1Horz">
      <w:pPr/>
      <w:tblPr/>
      <w:tcPr>
        <w:tcBorders/>
        <w:shd w:val="clear" w:color="auto" w:fill="f2f2f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2f2f2"/>
      </w:tcPr>
    </w:tblStylePr>
    <w:tcPr>
      <w:tcBorders/>
    </w:tcPr>
  </w:style>
  <w:style w:type="table" w:customStyle="1" w:styleId="style4112">
    <w:name w:val="Plain Table 2"/>
    <w:basedOn w:val="style105"/>
    <w:next w:val="style4112"/>
    <w:uiPriority w:val="42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pPr/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7f7f7f"/>
        </w:tcBorders>
      </w:tcPr>
    </w:tblStylePr>
    <w:tblStylePr w:type="band1Horz">
      <w:pPr/>
      <w:tblPr/>
      <w:tcPr>
        <w:tcBorders>
          <w:top w:val="single" w:sz="4" w:space="0" w:color="7f7f7f"/>
          <w:bottom w:val="single" w:sz="4" w:space="0" w:color="7f7f7f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pPr/>
      <w:tblPr/>
      <w:tcPr>
        <w:tcBorders>
          <w:left w:val="single" w:sz="4" w:space="0" w:color="7f7f7f"/>
          <w:right w:val="single" w:sz="4" w:space="0" w:color="7f7f7f"/>
        </w:tcBorders>
      </w:tcPr>
    </w:tblStylePr>
    <w:tcPr>
      <w:tcBorders/>
    </w:tcPr>
  </w:style>
  <w:style w:type="table" w:customStyle="1" w:styleId="style4113">
    <w:name w:val="Plain Table 3"/>
    <w:basedOn w:val="style105"/>
    <w:next w:val="style4113"/>
    <w:uiPriority w:val="43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pPr/>
      <w:rPr>
        <w:b/>
        <w:bCs/>
        <w:caps/>
      </w:rPr>
      <w:tblPr/>
      <w:tcPr>
        <w:tcBorders>
          <w:top w:val="nil"/>
        </w:tcBorders>
      </w:tcPr>
    </w:tblStylePr>
    <w:tblStylePr w:type="band1Horz">
      <w:pPr/>
      <w:tblPr/>
      <w:tcPr>
        <w:tcBorders/>
        <w:shd w:val="clear" w:color="auto" w:fill="f2f2f2"/>
      </w:tcPr>
    </w:tblStylePr>
    <w:tblStylePr w:type="firstCol">
      <w:pPr/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pPr/>
      <w:rPr>
        <w:b/>
        <w:bCs/>
        <w:caps/>
      </w:rPr>
      <w:tblPr/>
      <w:tcPr>
        <w:tcBorders>
          <w:left w:val="nil"/>
        </w:tcBorders>
      </w:tcPr>
    </w:tblStylePr>
    <w:tblStylePr w:type="band1Vert">
      <w:pPr/>
      <w:tblPr/>
      <w:tcPr>
        <w:tcBorders/>
        <w:shd w:val="clear" w:color="auto" w:fill="f2f2f2"/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cPr>
      <w:tcBorders/>
    </w:tcPr>
  </w:style>
  <w:style w:type="character" w:styleId="style85">
    <w:name w:val="Hyperlink"/>
    <w:basedOn w:val="style65"/>
    <w:next w:val="style85"/>
    <w:uiPriority w:val="99"/>
    <w:rPr>
      <w:color w:val="467886"/>
      <w:u w:val="single"/>
    </w:rPr>
  </w:style>
  <w:style w:type="character" w:customStyle="1" w:styleId="style4114">
    <w:name w:val="Unresolved Mention"/>
    <w:basedOn w:val="style65"/>
    <w:next w:val="style4114"/>
    <w:uiPriority w:val="99"/>
    <w:rPr>
      <w:color w:val="605e5c"/>
      <w:shd w:val="clear" w:color="auto" w:fill="e1dfdd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paragraph" w:styleId="style31">
    <w:name w:val="header"/>
    <w:basedOn w:val="style0"/>
    <w:next w:val="style31"/>
    <w:link w:val="style4115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115">
    <w:name w:val="Header Char_a15944e3-c3a7-4aea-af5b-64302b04a7ad"/>
    <w:basedOn w:val="style65"/>
    <w:next w:val="style4115"/>
    <w:link w:val="style31"/>
    <w:uiPriority w:val="99"/>
  </w:style>
  <w:style w:type="paragraph" w:styleId="style32">
    <w:name w:val="footer"/>
    <w:basedOn w:val="style0"/>
    <w:next w:val="style32"/>
    <w:link w:val="style4116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116">
    <w:name w:val="Footer Char_1fb6d6db-8107-4c85-8190-2c65a1327992"/>
    <w:basedOn w:val="style65"/>
    <w:next w:val="style4116"/>
    <w:link w:val="style32"/>
    <w:uiPriority w:val="99"/>
  </w:style>
</w:styles>
</file>

<file path=word/_rels/document.xml.rels><?xml version="1.0" encoding="UTF-8"?>
<Relationships xmlns="http://schemas.openxmlformats.org/package/2006/relationships"><Relationship Id="rId20" Type="http://schemas.openxmlformats.org/officeDocument/2006/relationships/customXml" Target="../customXml/item8.xml"/><Relationship Id="rId22" Type="http://schemas.openxmlformats.org/officeDocument/2006/relationships/customXml" Target="../customXml/item10.xml"/><Relationship Id="rId21" Type="http://schemas.openxmlformats.org/officeDocument/2006/relationships/customXml" Target="../customXml/item9.xml"/><Relationship Id="rId24" Type="http://schemas.openxmlformats.org/officeDocument/2006/relationships/customXml" Target="../customXml/item12.xml"/><Relationship Id="rId23" Type="http://schemas.openxmlformats.org/officeDocument/2006/relationships/customXml" Target="../customXml/item11.xml"/><Relationship Id="rId1" Type="http://schemas.openxmlformats.org/officeDocument/2006/relationships/numbering" Target="numbering.xml"/><Relationship Id="rId2" Type="http://schemas.microsoft.com/office/2011/relationships/commentsExtended" Target="commentsExtended.xml"/><Relationship Id="rId3" Type="http://schemas.openxmlformats.org/officeDocument/2006/relationships/comments" Target="comments.xml"/><Relationship Id="rId4" Type="http://schemas.openxmlformats.org/officeDocument/2006/relationships/header" Target="header1.xml"/><Relationship Id="rId9" Type="http://schemas.openxmlformats.org/officeDocument/2006/relationships/styles" Target="styles.xml"/><Relationship Id="rId26" Type="http://schemas.openxmlformats.org/officeDocument/2006/relationships/customXml" Target="../customXml/item14.xml"/><Relationship Id="rId25" Type="http://schemas.openxmlformats.org/officeDocument/2006/relationships/customXml" Target="../customXml/item13.xml"/><Relationship Id="rId28" Type="http://schemas.openxmlformats.org/officeDocument/2006/relationships/customXml" Target="../customXml/item16.xml"/><Relationship Id="rId27" Type="http://schemas.openxmlformats.org/officeDocument/2006/relationships/customXml" Target="../customXml/item15.xml"/><Relationship Id="rId5" Type="http://schemas.openxmlformats.org/officeDocument/2006/relationships/header" Target="header2.xml"/><Relationship Id="rId6" Type="http://schemas.openxmlformats.org/officeDocument/2006/relationships/footer" Target="footer3.xml"/><Relationship Id="rId29" Type="http://schemas.openxmlformats.org/officeDocument/2006/relationships/customXml" Target="../customXml/item17.xml"/><Relationship Id="rId7" Type="http://schemas.openxmlformats.org/officeDocument/2006/relationships/footer" Target="footer4.xml"/><Relationship Id="rId8" Type="http://schemas.openxmlformats.org/officeDocument/2006/relationships/header" Target="header5.xml"/><Relationship Id="rId31" Type="http://schemas.openxmlformats.org/officeDocument/2006/relationships/customXml" Target="../customXml/item19.xml"/><Relationship Id="rId30" Type="http://schemas.openxmlformats.org/officeDocument/2006/relationships/customXml" Target="../customXml/item18.xml"/><Relationship Id="rId11" Type="http://schemas.openxmlformats.org/officeDocument/2006/relationships/settings" Target="settings.xml"/><Relationship Id="rId33" Type="http://schemas.openxmlformats.org/officeDocument/2006/relationships/customXml" Target="../customXml/item21.xml"/><Relationship Id="rId10" Type="http://schemas.openxmlformats.org/officeDocument/2006/relationships/fontTable" Target="fontTable.xml"/><Relationship Id="rId32" Type="http://schemas.openxmlformats.org/officeDocument/2006/relationships/customXml" Target="../customXml/item20.xml"/><Relationship Id="rId13" Type="http://schemas.openxmlformats.org/officeDocument/2006/relationships/customXml" Target="../customXml/item1.xml"/><Relationship Id="rId35" Type="http://schemas.openxmlformats.org/officeDocument/2006/relationships/customXml" Target="../customXml/item23.xml"/><Relationship Id="rId12" Type="http://schemas.openxmlformats.org/officeDocument/2006/relationships/theme" Target="theme/theme1.xml"/><Relationship Id="rId34" Type="http://schemas.openxmlformats.org/officeDocument/2006/relationships/customXml" Target="../customXml/item22.xml"/><Relationship Id="rId15" Type="http://schemas.openxmlformats.org/officeDocument/2006/relationships/customXml" Target="../customXml/item3.xml"/><Relationship Id="rId14" Type="http://schemas.openxmlformats.org/officeDocument/2006/relationships/customXml" Target="../customXml/item2.xml"/><Relationship Id="rId36" Type="http://schemas.openxmlformats.org/officeDocument/2006/relationships/customXml" Target="../customXml/item24.xml"/><Relationship Id="rId17" Type="http://schemas.openxmlformats.org/officeDocument/2006/relationships/customXml" Target="../customXml/item5.xml"/><Relationship Id="rId16" Type="http://schemas.openxmlformats.org/officeDocument/2006/relationships/customXml" Target="../customXml/item4.xml"/><Relationship Id="rId19" Type="http://schemas.openxmlformats.org/officeDocument/2006/relationships/customXml" Target="../customXml/item7.xml"/><Relationship Id="rId18" Type="http://schemas.openxmlformats.org/officeDocument/2006/relationships/customXml" Target="../customXml/item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?>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?>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?>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?>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?>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?>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?>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?>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?>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?>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?>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?>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?>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?>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?>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?>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?>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?>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?>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?>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0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1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2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3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4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5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6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7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8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9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2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20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21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22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23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24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3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4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5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6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7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8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9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e7a86-748d-43c4-8d0e-04acbe39338f}">
  <ds:schemaRefs>
    <ds:schemaRef ds:uri="http://www.wps.cn/android/officeDocument/2013/mofficeCustomData"/>
  </ds:schemaRefs>
</ds:datastoreItem>
</file>

<file path=customXml/itemProps10.xml><?xml version="1.0" encoding="utf-8"?>
<ds:datastoreItem xmlns:ds="http://schemas.openxmlformats.org/officeDocument/2006/customXml" ds:itemID="{18e50b3f-97d2-4582-8d29-774e5164fc91}">
  <ds:schemaRefs>
    <ds:schemaRef ds:uri="http://www.wps.cn/android/officeDocument/2013/mofficeCustomData"/>
  </ds:schemaRefs>
</ds:datastoreItem>
</file>

<file path=customXml/itemProps11.xml><?xml version="1.0" encoding="utf-8"?>
<ds:datastoreItem xmlns:ds="http://schemas.openxmlformats.org/officeDocument/2006/customXml" ds:itemID="{21050607-01d8-4b34-9178-4125c7c43e65}">
  <ds:schemaRefs>
    <ds:schemaRef ds:uri="http://www.wps.cn/android/officeDocument/2013/mofficeCustomData"/>
  </ds:schemaRefs>
</ds:datastoreItem>
</file>

<file path=customXml/itemProps12.xml><?xml version="1.0" encoding="utf-8"?>
<ds:datastoreItem xmlns:ds="http://schemas.openxmlformats.org/officeDocument/2006/customXml" ds:itemID="{4a06b197-3828-4f8f-a43e-ad7d77263abf}">
  <ds:schemaRefs>
    <ds:schemaRef ds:uri="http://www.wps.cn/android/officeDocument/2013/mofficeCustomData"/>
  </ds:schemaRefs>
</ds:datastoreItem>
</file>

<file path=customXml/itemProps13.xml><?xml version="1.0" encoding="utf-8"?>
<ds:datastoreItem xmlns:ds="http://schemas.openxmlformats.org/officeDocument/2006/customXml" ds:itemID="{704c6566-98e4-4a73-bf31-c92bd1cfa6b9}">
  <ds:schemaRefs>
    <ds:schemaRef ds:uri="http://www.wps.cn/android/officeDocument/2013/mofficeCustomData"/>
  </ds:schemaRefs>
</ds:datastoreItem>
</file>

<file path=customXml/itemProps14.xml><?xml version="1.0" encoding="utf-8"?>
<ds:datastoreItem xmlns:ds="http://schemas.openxmlformats.org/officeDocument/2006/customXml" ds:itemID="{daf562cd-0c41-496a-b786-a1347acec2b6}">
  <ds:schemaRefs>
    <ds:schemaRef ds:uri="http://www.wps.cn/android/officeDocument/2013/mofficeCustomData"/>
  </ds:schemaRefs>
</ds:datastoreItem>
</file>

<file path=customXml/itemProps15.xml><?xml version="1.0" encoding="utf-8"?>
<ds:datastoreItem xmlns:ds="http://schemas.openxmlformats.org/officeDocument/2006/customXml" ds:itemID="{889fe578-2763-4f57-844b-17de71561c42}">
  <ds:schemaRefs>
    <ds:schemaRef ds:uri="http://www.wps.cn/android/officeDocument/2013/mofficeCustomData"/>
  </ds:schemaRefs>
</ds:datastoreItem>
</file>

<file path=customXml/itemProps16.xml><?xml version="1.0" encoding="utf-8"?>
<ds:datastoreItem xmlns:ds="http://schemas.openxmlformats.org/officeDocument/2006/customXml" ds:itemID="{37f543bb-dce0-41f9-ada9-8d594a33c5e2}">
  <ds:schemaRefs>
    <ds:schemaRef ds:uri="http://www.wps.cn/android/officeDocument/2013/mofficeCustomData"/>
  </ds:schemaRefs>
</ds:datastoreItem>
</file>

<file path=customXml/itemProps17.xml><?xml version="1.0" encoding="utf-8"?>
<ds:datastoreItem xmlns:ds="http://schemas.openxmlformats.org/officeDocument/2006/customXml" ds:itemID="{d555d7ea-6e3c-4fca-b20d-14f7dd85a36f}">
  <ds:schemaRefs>
    <ds:schemaRef ds:uri="http://www.wps.cn/android/officeDocument/2013/mofficeCustomData"/>
  </ds:schemaRefs>
</ds:datastoreItem>
</file>

<file path=customXml/itemProps18.xml><?xml version="1.0" encoding="utf-8"?>
<ds:datastoreItem xmlns:ds="http://schemas.openxmlformats.org/officeDocument/2006/customXml" ds:itemID="{39e79208-02fb-4934-b2e3-89f418c3a6a4}">
  <ds:schemaRefs>
    <ds:schemaRef ds:uri="http://www.wps.cn/android/officeDocument/2013/mofficeCustomData"/>
  </ds:schemaRefs>
</ds:datastoreItem>
</file>

<file path=customXml/itemProps19.xml><?xml version="1.0" encoding="utf-8"?>
<ds:datastoreItem xmlns:ds="http://schemas.openxmlformats.org/officeDocument/2006/customXml" ds:itemID="{f7683ea7-8691-4666-8e59-64eef0f1bbe7}">
  <ds:schemaRefs>
    <ds:schemaRef ds:uri="http://www.wps.cn/android/officeDocument/2013/mofficeCustomData"/>
  </ds:schemaRefs>
</ds:datastoreItem>
</file>

<file path=customXml/itemProps2.xml><?xml version="1.0" encoding="utf-8"?>
<ds:datastoreItem xmlns:ds="http://schemas.openxmlformats.org/officeDocument/2006/customXml" ds:itemID="{19ce592a-7522-4ccb-addd-605a1506b06d}">
  <ds:schemaRefs>
    <ds:schemaRef ds:uri="http://www.wps.cn/android/officeDocument/2013/mofficeCustomData"/>
  </ds:schemaRefs>
</ds:datastoreItem>
</file>

<file path=customXml/itemProps20.xml><?xml version="1.0" encoding="utf-8"?>
<ds:datastoreItem xmlns:ds="http://schemas.openxmlformats.org/officeDocument/2006/customXml" ds:itemID="{249df400-b318-414a-b1b5-7d1fb07f59eb}">
  <ds:schemaRefs>
    <ds:schemaRef ds:uri="http://www.wps.cn/android/officeDocument/2013/mofficeCustomData"/>
  </ds:schemaRefs>
</ds:datastoreItem>
</file>

<file path=customXml/itemProps21.xml><?xml version="1.0" encoding="utf-8"?>
<ds:datastoreItem xmlns:ds="http://schemas.openxmlformats.org/officeDocument/2006/customXml" ds:itemID="{fa786354-56bf-4a77-ae20-aa09dc442e5e}">
  <ds:schemaRefs>
    <ds:schemaRef ds:uri="http://www.wps.cn/android/officeDocument/2013/mofficeCustomData"/>
  </ds:schemaRefs>
</ds:datastoreItem>
</file>

<file path=customXml/itemProps22.xml><?xml version="1.0" encoding="utf-8"?>
<ds:datastoreItem xmlns:ds="http://schemas.openxmlformats.org/officeDocument/2006/customXml" ds:itemID="{667246ae-341a-44a5-bb93-3588f27a6d92}">
  <ds:schemaRefs>
    <ds:schemaRef ds:uri="http://www.wps.cn/android/officeDocument/2013/mofficeCustomData"/>
  </ds:schemaRefs>
</ds:datastoreItem>
</file>

<file path=customXml/itemProps23.xml><?xml version="1.0" encoding="utf-8"?>
<ds:datastoreItem xmlns:ds="http://schemas.openxmlformats.org/officeDocument/2006/customXml" ds:itemID="{33e36790-5c5e-4459-b1e9-3243f69141ed}">
  <ds:schemaRefs>
    <ds:schemaRef ds:uri="http://www.wps.cn/android/officeDocument/2013/mofficeCustomData"/>
  </ds:schemaRefs>
</ds:datastoreItem>
</file>

<file path=customXml/itemProps24.xml><?xml version="1.0" encoding="utf-8"?>
<ds:datastoreItem xmlns:ds="http://schemas.openxmlformats.org/officeDocument/2006/customXml" ds:itemID="{e55980f0-820f-4d16-992f-10b786e23d06}">
  <ds:schemaRefs>
    <ds:schemaRef ds:uri="http://www.wps.cn/android/officeDocument/2013/mofficeCustomData"/>
  </ds:schemaRefs>
</ds:datastoreItem>
</file>

<file path=customXml/itemProps3.xml><?xml version="1.0" encoding="utf-8"?>
<ds:datastoreItem xmlns:ds="http://schemas.openxmlformats.org/officeDocument/2006/customXml" ds:itemID="{1283ff71-1924-4b43-ab5d-12c5c2d38b62}">
  <ds:schemaRefs>
    <ds:schemaRef ds:uri="http://www.wps.cn/android/officeDocument/2013/mofficeCustomData"/>
  </ds:schemaRefs>
</ds:datastoreItem>
</file>

<file path=customXml/itemProps4.xml><?xml version="1.0" encoding="utf-8"?>
<ds:datastoreItem xmlns:ds="http://schemas.openxmlformats.org/officeDocument/2006/customXml" ds:itemID="{5c825924-b5f7-49da-976c-8c5d86b4c106}">
  <ds:schemaRefs>
    <ds:schemaRef ds:uri="http://www.wps.cn/android/officeDocument/2013/mofficeCustomData"/>
  </ds:schemaRefs>
</ds:datastoreItem>
</file>

<file path=customXml/itemProps5.xml><?xml version="1.0" encoding="utf-8"?>
<ds:datastoreItem xmlns:ds="http://schemas.openxmlformats.org/officeDocument/2006/customXml" ds:itemID="{6b498d0d-bff6-46bb-b7c7-144c42fadeb2}">
  <ds:schemaRefs>
    <ds:schemaRef ds:uri="http://www.wps.cn/android/officeDocument/2013/mofficeCustomData"/>
  </ds:schemaRefs>
</ds:datastoreItem>
</file>

<file path=customXml/itemProps6.xml><?xml version="1.0" encoding="utf-8"?>
<ds:datastoreItem xmlns:ds="http://schemas.openxmlformats.org/officeDocument/2006/customXml" ds:itemID="{779ca623-0eb4-4cbb-9933-efe9d89b4e80}">
  <ds:schemaRefs>
    <ds:schemaRef ds:uri="http://www.wps.cn/android/officeDocument/2013/mofficeCustomData"/>
  </ds:schemaRefs>
</ds:datastoreItem>
</file>

<file path=customXml/itemProps7.xml><?xml version="1.0" encoding="utf-8"?>
<ds:datastoreItem xmlns:ds="http://schemas.openxmlformats.org/officeDocument/2006/customXml" ds:itemID="{8fc56f54-0a5f-46f6-985f-a5fd21d806a2}">
  <ds:schemaRefs>
    <ds:schemaRef ds:uri="http://www.wps.cn/android/officeDocument/2013/mofficeCustomData"/>
  </ds:schemaRefs>
</ds:datastoreItem>
</file>

<file path=customXml/itemProps8.xml><?xml version="1.0" encoding="utf-8"?>
<ds:datastoreItem xmlns:ds="http://schemas.openxmlformats.org/officeDocument/2006/customXml" ds:itemID="{29148c8b-258b-4d7f-b889-9b32284f3ec1}">
  <ds:schemaRefs>
    <ds:schemaRef ds:uri="http://www.wps.cn/android/officeDocument/2013/mofficeCustomData"/>
  </ds:schemaRefs>
</ds:datastoreItem>
</file>

<file path=customXml/itemProps9.xml><?xml version="1.0" encoding="utf-8"?>
<ds:datastoreItem xmlns:ds="http://schemas.openxmlformats.org/officeDocument/2006/customXml" ds:itemID="{FA7DCB0D-7AEA-47BC-B7D6-57F089F16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Words>3030</Words>
  <Pages>10</Pages>
  <Characters>18473</Characters>
  <Application>WPS Office</Application>
  <DocSecurity>0</DocSecurity>
  <Paragraphs>286</Paragraphs>
  <ScaleCrop>false</ScaleCrop>
  <LinksUpToDate>false</LinksUpToDate>
  <CharactersWithSpaces>21282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2026-02-21T04:40:00Z</dcterms:created>
  <dc:creator>Gayathri Devi</dc:creator>
  <lastModifiedBy>itel A662L</lastModifiedBy>
  <dcterms:modified xsi:type="dcterms:W3CDTF">2026-02-22T12:16:46Z</dcterms:modified>
  <revision>6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cde1e88b-465e-465e-b039-1612919de21c</vt:lpwstr>
  </property>
  <property fmtid="{D5CDD505-2E9C-101B-9397-08002B2CF9AE}" pid="3" name="ICV">
    <vt:lpwstr>95e5f3144159474d96362f48496fc256</vt:lpwstr>
  </property>
</Properties>
</file>