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C9A08" w14:textId="6C1720D5" w:rsidR="00382B72" w:rsidRDefault="00382B72" w:rsidP="00381390">
      <w:pPr>
        <w:jc w:val="both"/>
        <w:rPr>
          <w:rFonts w:ascii="Arial" w:hAnsi="Arial" w:cs="Arial"/>
          <w:b/>
          <w:bCs/>
          <w:sz w:val="28"/>
          <w:szCs w:val="28"/>
          <w:u w:val="single"/>
        </w:rPr>
      </w:pPr>
      <w:r w:rsidRPr="00382B72">
        <w:rPr>
          <w:rFonts w:ascii="Arial" w:hAnsi="Arial" w:cs="Arial"/>
          <w:b/>
          <w:bCs/>
          <w:sz w:val="28"/>
          <w:szCs w:val="28"/>
          <w:u w:val="single"/>
        </w:rPr>
        <w:t>Review Article</w:t>
      </w:r>
    </w:p>
    <w:p w14:paraId="72479EBD" w14:textId="77777777" w:rsidR="00382B72" w:rsidRPr="00382B72" w:rsidRDefault="00382B72" w:rsidP="00381390">
      <w:pPr>
        <w:jc w:val="both"/>
        <w:rPr>
          <w:rFonts w:ascii="Arial" w:hAnsi="Arial" w:cs="Arial"/>
          <w:b/>
          <w:bCs/>
          <w:sz w:val="28"/>
          <w:szCs w:val="28"/>
          <w:u w:val="single"/>
        </w:rPr>
      </w:pPr>
    </w:p>
    <w:p w14:paraId="128920DF" w14:textId="68133C49" w:rsidR="00CA6F2F" w:rsidRPr="00381390" w:rsidRDefault="00CA6F2F" w:rsidP="00551038">
      <w:pPr>
        <w:jc w:val="right"/>
        <w:rPr>
          <w:rFonts w:ascii="Arial" w:hAnsi="Arial" w:cs="Arial"/>
          <w:b/>
          <w:bCs/>
          <w:sz w:val="28"/>
          <w:szCs w:val="28"/>
        </w:rPr>
      </w:pPr>
      <w:r w:rsidRPr="00381390">
        <w:rPr>
          <w:rFonts w:ascii="Arial" w:hAnsi="Arial" w:cs="Arial"/>
          <w:b/>
          <w:bCs/>
          <w:sz w:val="28"/>
          <w:szCs w:val="28"/>
        </w:rPr>
        <w:t xml:space="preserve">Soil microbes: </w:t>
      </w:r>
      <w:r w:rsidR="00BB1226">
        <w:rPr>
          <w:rFonts w:ascii="Arial" w:hAnsi="Arial" w:cs="Arial"/>
          <w:b/>
          <w:bCs/>
          <w:sz w:val="28"/>
          <w:szCs w:val="28"/>
        </w:rPr>
        <w:t>Silent Heroes of nature that</w:t>
      </w:r>
      <w:r w:rsidRPr="00381390">
        <w:rPr>
          <w:rFonts w:ascii="Arial" w:hAnsi="Arial" w:cs="Arial"/>
          <w:b/>
          <w:bCs/>
          <w:sz w:val="28"/>
          <w:szCs w:val="28"/>
        </w:rPr>
        <w:t xml:space="preserve"> boast up the soil health and ultimately accelerate the human welfare</w:t>
      </w:r>
    </w:p>
    <w:p w14:paraId="31BEC2C2" w14:textId="77777777" w:rsidR="00CA6F2F" w:rsidRPr="00381390" w:rsidRDefault="00CA6F2F" w:rsidP="00551038">
      <w:pPr>
        <w:jc w:val="right"/>
        <w:rPr>
          <w:rFonts w:ascii="Arial" w:hAnsi="Arial" w:cs="Arial"/>
          <w:b/>
          <w:bCs/>
          <w:sz w:val="22"/>
          <w:szCs w:val="22"/>
        </w:rPr>
      </w:pPr>
    </w:p>
    <w:p w14:paraId="6CC061B2" w14:textId="1792F088" w:rsidR="000B0911" w:rsidRDefault="000B0911" w:rsidP="000B0911">
      <w:pPr>
        <w:jc w:val="both"/>
        <w:rPr>
          <w:rFonts w:ascii="Arial" w:hAnsi="Arial" w:cs="Arial"/>
          <w:sz w:val="20"/>
          <w:szCs w:val="20"/>
        </w:rPr>
      </w:pPr>
    </w:p>
    <w:p w14:paraId="7B2253DD" w14:textId="77777777" w:rsidR="00EF360D" w:rsidRPr="000B0911" w:rsidRDefault="00EF360D" w:rsidP="000B0911">
      <w:pPr>
        <w:jc w:val="both"/>
        <w:rPr>
          <w:rFonts w:ascii="Arial" w:hAnsi="Arial" w:cs="Arial"/>
          <w:sz w:val="20"/>
          <w:szCs w:val="20"/>
        </w:rPr>
      </w:pPr>
    </w:p>
    <w:p w14:paraId="2B70DE7B"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Abstract</w:t>
      </w:r>
    </w:p>
    <w:p w14:paraId="2413DA98" w14:textId="77777777" w:rsidR="00B65ABE" w:rsidRDefault="00E97FA3" w:rsidP="00381390">
      <w:pPr>
        <w:spacing w:line="360" w:lineRule="auto"/>
        <w:jc w:val="both"/>
        <w:rPr>
          <w:rFonts w:ascii="Arial" w:hAnsi="Arial" w:cs="Arial"/>
          <w:sz w:val="22"/>
          <w:szCs w:val="22"/>
        </w:rPr>
      </w:pPr>
      <w:r w:rsidRPr="00381390">
        <w:rPr>
          <w:rFonts w:ascii="Arial" w:hAnsi="Arial" w:cs="Arial"/>
          <w:sz w:val="22"/>
          <w:szCs w:val="22"/>
        </w:rPr>
        <w:t xml:space="preserve">The </w:t>
      </w:r>
      <w:commentRangeStart w:id="0"/>
      <w:r w:rsidRPr="00381390">
        <w:rPr>
          <w:rFonts w:ascii="Arial" w:hAnsi="Arial" w:cs="Arial"/>
          <w:sz w:val="22"/>
          <w:szCs w:val="22"/>
        </w:rPr>
        <w:t>main</w:t>
      </w:r>
      <w:commentRangeEnd w:id="0"/>
      <w:r w:rsidR="00582119">
        <w:rPr>
          <w:rStyle w:val="CommentReference"/>
        </w:rPr>
        <w:commentReference w:id="0"/>
      </w:r>
      <w:r w:rsidRPr="00381390">
        <w:rPr>
          <w:rFonts w:ascii="Arial" w:hAnsi="Arial" w:cs="Arial"/>
          <w:sz w:val="22"/>
          <w:szCs w:val="22"/>
        </w:rPr>
        <w:t xml:space="preserve"> factor influencing agricultural output is the health of the soil, which is a complex </w:t>
      </w:r>
      <w:commentRangeStart w:id="1"/>
      <w:r w:rsidRPr="00381390">
        <w:rPr>
          <w:rFonts w:ascii="Arial" w:hAnsi="Arial" w:cs="Arial"/>
          <w:sz w:val="22"/>
          <w:szCs w:val="22"/>
        </w:rPr>
        <w:t>set</w:t>
      </w:r>
      <w:commentRangeEnd w:id="1"/>
      <w:r w:rsidR="00582119">
        <w:rPr>
          <w:rStyle w:val="CommentReference"/>
        </w:rPr>
        <w:commentReference w:id="1"/>
      </w:r>
      <w:r w:rsidRPr="00381390">
        <w:rPr>
          <w:rFonts w:ascii="Arial" w:hAnsi="Arial" w:cs="Arial"/>
          <w:sz w:val="22"/>
          <w:szCs w:val="22"/>
        </w:rPr>
        <w:t xml:space="preserve"> of biological, chemical, and physical interactions driven by microorganisms. Certain microorganisms, like mycorrhizal fungi, phosphorus-solubilizing bacteria, and symbiotic bacteria that fix nitrogen, are known to improve the health of mineral soil and have a significant effect on plant performance. </w:t>
      </w:r>
      <w:r w:rsidR="00957470" w:rsidRPr="00381390">
        <w:rPr>
          <w:rFonts w:ascii="Arial" w:hAnsi="Arial" w:cs="Arial"/>
          <w:sz w:val="22"/>
          <w:szCs w:val="22"/>
        </w:rPr>
        <w:t xml:space="preserve">Ecology, pharmacology, food production, biofuel or energy generation, or the development of medicines, nitrogen and carbon fixation, biocontrol agents, bioremediation, organic matter decomposition, and soil formation are all areas in which microorganisms are essential. </w:t>
      </w:r>
      <w:r w:rsidR="004B1493" w:rsidRPr="00381390">
        <w:rPr>
          <w:rFonts w:ascii="Arial" w:hAnsi="Arial" w:cs="Arial"/>
          <w:sz w:val="22"/>
          <w:szCs w:val="22"/>
        </w:rPr>
        <w:t xml:space="preserve">Soil formation, nitrogen and carbon fixation, biocontrol agents, bioremediation, pharmaceuticals, food sources, biofuel or energy production, drug or medicine development, and the breakdown of organic matter are just a few of the numerous processes that depend on microbes. The balance shifts from degeneration to regeneration due to beneficial microorganisms. </w:t>
      </w:r>
      <w:r w:rsidR="00B65ABE" w:rsidRPr="00381390">
        <w:rPr>
          <w:rFonts w:ascii="Arial" w:hAnsi="Arial" w:cs="Arial"/>
          <w:sz w:val="22"/>
          <w:szCs w:val="22"/>
        </w:rPr>
        <w:t>Because of their divers</w:t>
      </w:r>
      <w:r w:rsidR="004B1493" w:rsidRPr="00381390">
        <w:rPr>
          <w:rFonts w:ascii="Arial" w:hAnsi="Arial" w:cs="Arial"/>
          <w:sz w:val="22"/>
          <w:szCs w:val="22"/>
        </w:rPr>
        <w:t>ity and number, microorganisms,</w:t>
      </w:r>
      <w:r w:rsidR="00B65ABE" w:rsidRPr="00381390">
        <w:rPr>
          <w:rFonts w:ascii="Arial" w:hAnsi="Arial" w:cs="Arial"/>
          <w:sz w:val="22"/>
          <w:szCs w:val="22"/>
        </w:rPr>
        <w:t xml:space="preserve"> which include 1 trillion species, or 60% of all living things play a significant role in Earth's life. They are essential to ecosystems and human health, yet their contributions are typically overlooked or underestimated. The purpose of this study is to illustrate their contributions to sustainable development and human well-being. It also seeks to educate researchers and/or scientists about the useful applications of microbial communities. We think that study on microbes should be given top attention in order to improve human well-being because they have the ability to ensure the functioning of the Earth's ecosystem and increase human welfare.</w:t>
      </w:r>
    </w:p>
    <w:p w14:paraId="1B92C65A" w14:textId="77777777" w:rsidR="003D41B0" w:rsidRDefault="003D41B0" w:rsidP="00381390">
      <w:pPr>
        <w:spacing w:line="360" w:lineRule="auto"/>
        <w:jc w:val="both"/>
        <w:rPr>
          <w:rFonts w:ascii="Arial" w:hAnsi="Arial" w:cs="Arial"/>
          <w:sz w:val="22"/>
          <w:szCs w:val="22"/>
        </w:rPr>
      </w:pPr>
    </w:p>
    <w:p w14:paraId="5F63BB2B"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t>Introduction</w:t>
      </w:r>
    </w:p>
    <w:p w14:paraId="10103E49" w14:textId="77777777" w:rsidR="0060485F"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t xml:space="preserve">Plants cannot exist without dirt. Thus, plant-soil interactions play a critical role in many physiological processes. </w:t>
      </w:r>
      <w:commentRangeStart w:id="2"/>
      <w:r w:rsidRPr="00381390">
        <w:rPr>
          <w:rFonts w:ascii="Arial" w:hAnsi="Arial" w:cs="Arial"/>
          <w:sz w:val="22"/>
          <w:szCs w:val="22"/>
        </w:rPr>
        <w:t>Effective microorganisms may positively impact plant growth and development by modifying the conditions under which microorganisms live in a certain soil, according to numerous published studies</w:t>
      </w:r>
      <w:commentRangeEnd w:id="2"/>
      <w:r w:rsidR="00582119">
        <w:rPr>
          <w:rStyle w:val="CommentReference"/>
        </w:rPr>
        <w:commentReference w:id="2"/>
      </w:r>
      <w:r w:rsidRPr="00381390">
        <w:rPr>
          <w:rFonts w:ascii="Arial" w:hAnsi="Arial" w:cs="Arial"/>
          <w:sz w:val="22"/>
          <w:szCs w:val="22"/>
        </w:rPr>
        <w:t>. Effective bacteria may also affect nutrient availability (Kleiber et al., 2014).</w:t>
      </w:r>
    </w:p>
    <w:p w14:paraId="5A322BF1" w14:textId="77777777" w:rsidR="00373208" w:rsidRPr="00381390" w:rsidRDefault="00373208" w:rsidP="00381390">
      <w:pPr>
        <w:spacing w:line="360" w:lineRule="auto"/>
        <w:jc w:val="both"/>
        <w:rPr>
          <w:rFonts w:ascii="Arial" w:hAnsi="Arial" w:cs="Arial"/>
          <w:sz w:val="22"/>
          <w:szCs w:val="22"/>
        </w:rPr>
      </w:pPr>
      <w:r w:rsidRPr="00381390">
        <w:rPr>
          <w:rFonts w:ascii="Arial" w:hAnsi="Arial" w:cs="Arial"/>
          <w:sz w:val="22"/>
          <w:szCs w:val="22"/>
        </w:rPr>
        <w:lastRenderedPageBreak/>
        <w:t>Soil microorganisms, such as bacteria, fungus, viruses, archaea, protozoa, and tiny algae, are crucial to maintaining the fertility and health of the soil (Islam et al, 2020). They are crucial to the soil ecosystem's processes, such as the breakdown of organic matter, the cycling of nutrients, and the defense against diseases that spread via the soil (</w:t>
      </w:r>
      <w:proofErr w:type="spellStart"/>
      <w:r w:rsidRPr="00381390">
        <w:rPr>
          <w:rFonts w:ascii="Arial" w:hAnsi="Arial" w:cs="Arial"/>
          <w:sz w:val="22"/>
          <w:szCs w:val="22"/>
        </w:rPr>
        <w:t>Khazeiv</w:t>
      </w:r>
      <w:proofErr w:type="spellEnd"/>
      <w:r w:rsidRPr="00381390">
        <w:rPr>
          <w:rFonts w:ascii="Arial" w:hAnsi="Arial" w:cs="Arial"/>
          <w:sz w:val="22"/>
          <w:szCs w:val="22"/>
        </w:rPr>
        <w:t>, 2011). The production of healthy crops and the sustainability of agricultural systems depend on the diversity of these microorganisms.</w:t>
      </w:r>
    </w:p>
    <w:p w14:paraId="51CCA9F2" w14:textId="77777777" w:rsidR="00373208" w:rsidRPr="00381390" w:rsidRDefault="00373208" w:rsidP="00381390">
      <w:pPr>
        <w:spacing w:line="360" w:lineRule="auto"/>
        <w:jc w:val="both"/>
        <w:rPr>
          <w:rFonts w:ascii="Arial" w:hAnsi="Arial" w:cs="Arial"/>
          <w:sz w:val="22"/>
          <w:szCs w:val="22"/>
        </w:rPr>
      </w:pPr>
    </w:p>
    <w:p w14:paraId="33A08A3F" w14:textId="77777777" w:rsidR="00373208" w:rsidRPr="00381390" w:rsidRDefault="00373208" w:rsidP="00381390">
      <w:pPr>
        <w:spacing w:line="360" w:lineRule="auto"/>
        <w:jc w:val="both"/>
        <w:rPr>
          <w:rFonts w:ascii="Arial" w:hAnsi="Arial" w:cs="Arial"/>
          <w:sz w:val="22"/>
          <w:szCs w:val="22"/>
        </w:rPr>
      </w:pPr>
      <w:r w:rsidRPr="00381390">
        <w:rPr>
          <w:rFonts w:ascii="Arial" w:hAnsi="Arial" w:cs="Arial"/>
          <w:sz w:val="22"/>
          <w:szCs w:val="22"/>
        </w:rPr>
        <w:t>Because soil ecosystems are complicated due to their unique physical and chemical characteristics, a vast range of soil microorganisms can be found. However, changes in the global environment, including land-use shifts, intensive agriculture, and climate change, constantly threaten this variety (Li et al., 2016). Crop growth and health depend on ecosystem services like disease resistance and nutrient cycling. Ecosystem services may be significantly impacted by the reduction of soil microbial diversity (Zhao et al., 2024).</w:t>
      </w:r>
    </w:p>
    <w:p w14:paraId="30E46ADB" w14:textId="77777777" w:rsidR="0060485F" w:rsidRPr="00381390" w:rsidRDefault="00A6618C" w:rsidP="00381390">
      <w:pPr>
        <w:spacing w:line="360" w:lineRule="auto"/>
        <w:jc w:val="both"/>
        <w:rPr>
          <w:rFonts w:ascii="Arial" w:hAnsi="Arial" w:cs="Arial"/>
          <w:sz w:val="22"/>
          <w:szCs w:val="22"/>
        </w:rPr>
      </w:pPr>
      <w:r w:rsidRPr="00381390">
        <w:rPr>
          <w:rFonts w:ascii="Arial" w:hAnsi="Arial" w:cs="Arial"/>
          <w:color w:val="FF0000"/>
          <w:sz w:val="22"/>
          <w:szCs w:val="22"/>
        </w:rPr>
        <w:cr/>
      </w:r>
      <w:r w:rsidR="0060485F" w:rsidRPr="00381390">
        <w:rPr>
          <w:rFonts w:ascii="Arial" w:hAnsi="Arial" w:cs="Arial"/>
          <w:sz w:val="22"/>
          <w:szCs w:val="22"/>
        </w:rPr>
        <w:t xml:space="preserve"> "A soil lacking microorganisms is dead soil," according to renowned microbiologist Jacob Lipman. Soil is not a dead substance. Fertile soil has a wide variety of microbiological species, such as actinomycetes, fungi, bacteria, algae, and protozoa. They mostly live in the </w:t>
      </w:r>
      <w:proofErr w:type="spellStart"/>
      <w:r w:rsidR="0060485F" w:rsidRPr="00381390">
        <w:rPr>
          <w:rFonts w:ascii="Arial" w:hAnsi="Arial" w:cs="Arial"/>
          <w:sz w:val="22"/>
          <w:szCs w:val="22"/>
        </w:rPr>
        <w:t>rhizospheric</w:t>
      </w:r>
      <w:proofErr w:type="spellEnd"/>
      <w:r w:rsidR="0060485F" w:rsidRPr="00381390">
        <w:rPr>
          <w:rFonts w:ascii="Arial" w:hAnsi="Arial" w:cs="Arial"/>
          <w:sz w:val="22"/>
          <w:szCs w:val="22"/>
        </w:rPr>
        <w:t xml:space="preserve"> soil, where they break down organic matter to create humus, which improves soil fertility and holds nutrients.</w:t>
      </w:r>
    </w:p>
    <w:p w14:paraId="45E4107A" w14:textId="77777777" w:rsidR="0060485F"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t xml:space="preserve">Microorganisms are definitely valuable when it comes to soil fertility. Although the majority of people believe that bacteria cause illness, they actually serve a variety of beneficial purposes in the biosphere, which is the region of our planet that contains soil, water, and air. Most importantly, beneficial bacteria help break down hazardous waste and other contaminants and improve soil fertility. Numerous studies on their role in boosting soil fertility have been conducted in recent years. The purpose of this paper is to investigate their effects on soil </w:t>
      </w:r>
      <w:r w:rsidR="007A66A7" w:rsidRPr="00381390">
        <w:rPr>
          <w:rFonts w:ascii="Arial" w:hAnsi="Arial" w:cs="Arial"/>
          <w:sz w:val="22"/>
          <w:szCs w:val="22"/>
        </w:rPr>
        <w:t xml:space="preserve">fertility, plant nutrition, and above all </w:t>
      </w:r>
      <w:r w:rsidRPr="00381390">
        <w:rPr>
          <w:rFonts w:ascii="Arial" w:hAnsi="Arial" w:cs="Arial"/>
          <w:sz w:val="22"/>
          <w:szCs w:val="22"/>
        </w:rPr>
        <w:t>crop productivity (Sidhu, 1998).</w:t>
      </w:r>
    </w:p>
    <w:p w14:paraId="5958E5A5" w14:textId="77777777" w:rsidR="0060485F"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br/>
      </w:r>
      <w:r w:rsidR="0060485F" w:rsidRPr="00381390">
        <w:rPr>
          <w:rFonts w:ascii="Arial" w:hAnsi="Arial" w:cs="Arial"/>
          <w:sz w:val="22"/>
          <w:szCs w:val="22"/>
        </w:rPr>
        <w:t xml:space="preserve">Soils contain a wide variety of microorganisms. A single gram of soil can contain up to one billion bacterial cells, tens of thousands of species, up to 200 m of fungal hyphae, and a variety of mites, nematodes, and arthropods (Wagg et al. 2014). Like most other living things, microbes require air, water, ideal soil temperatures, the proper soil </w:t>
      </w:r>
      <w:r w:rsidR="0060485F" w:rsidRPr="00381390">
        <w:rPr>
          <w:rFonts w:ascii="Arial" w:hAnsi="Arial" w:cs="Arial"/>
          <w:sz w:val="22"/>
          <w:szCs w:val="22"/>
        </w:rPr>
        <w:lastRenderedPageBreak/>
        <w:t>chemistry for growth, and an abundance of food to survive and multiply. If one of the requirements is not met, the number of soil microorganisms will decline.</w:t>
      </w:r>
    </w:p>
    <w:p w14:paraId="426ED62A" w14:textId="77777777" w:rsidR="004E30AC" w:rsidRPr="00381390" w:rsidRDefault="004E30AC" w:rsidP="00381390">
      <w:pPr>
        <w:spacing w:line="360" w:lineRule="auto"/>
        <w:jc w:val="both"/>
        <w:rPr>
          <w:rFonts w:ascii="Arial" w:hAnsi="Arial" w:cs="Arial"/>
          <w:sz w:val="22"/>
          <w:szCs w:val="22"/>
        </w:rPr>
      </w:pPr>
    </w:p>
    <w:p w14:paraId="311AE053"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noProof/>
          <w:sz w:val="22"/>
          <w:szCs w:val="22"/>
          <w:lang w:val="en-IN" w:eastAsia="en-IN"/>
        </w:rPr>
        <w:drawing>
          <wp:inline distT="0" distB="0" distL="0" distR="0" wp14:anchorId="56B8652C" wp14:editId="7B0E2511">
            <wp:extent cx="5486400" cy="2877185"/>
            <wp:effectExtent l="0" t="0" r="0" b="0"/>
            <wp:docPr id="1628573365" name="Picture 1" descr="Microorganisms found in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73365" name="Picture 1" descr="Microorganisms found in so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2877185"/>
                    </a:xfrm>
                    <a:prstGeom prst="rect">
                      <a:avLst/>
                    </a:prstGeom>
                    <a:noFill/>
                    <a:ln>
                      <a:noFill/>
                    </a:ln>
                  </pic:spPr>
                </pic:pic>
              </a:graphicData>
            </a:graphic>
          </wp:inline>
        </w:drawing>
      </w:r>
    </w:p>
    <w:p w14:paraId="6F1CAC89" w14:textId="77777777" w:rsidR="004E30AC" w:rsidRPr="00381390" w:rsidRDefault="00A6618C" w:rsidP="00381390">
      <w:pPr>
        <w:spacing w:line="360" w:lineRule="auto"/>
        <w:jc w:val="both"/>
        <w:rPr>
          <w:rFonts w:ascii="Arial" w:hAnsi="Arial" w:cs="Arial"/>
          <w:sz w:val="22"/>
          <w:szCs w:val="22"/>
          <w:shd w:val="clear" w:color="auto" w:fill="FFFFFF"/>
        </w:rPr>
      </w:pPr>
      <w:commentRangeStart w:id="3"/>
      <w:r w:rsidRPr="00381390">
        <w:rPr>
          <w:rFonts w:ascii="Arial" w:hAnsi="Arial" w:cs="Arial"/>
          <w:sz w:val="22"/>
          <w:szCs w:val="22"/>
        </w:rPr>
        <w:t>Figure 1: Different types of soil microbes (</w:t>
      </w:r>
      <w:r w:rsidRPr="00381390">
        <w:rPr>
          <w:rFonts w:ascii="Arial" w:hAnsi="Arial" w:cs="Arial"/>
          <w:color w:val="000000"/>
          <w:sz w:val="22"/>
          <w:szCs w:val="22"/>
          <w:shd w:val="clear" w:color="auto" w:fill="FFFFFF"/>
        </w:rPr>
        <w:t>Created with BioRender.com)</w:t>
      </w:r>
      <w:commentRangeEnd w:id="3"/>
      <w:r w:rsidR="00582119">
        <w:rPr>
          <w:rStyle w:val="CommentReference"/>
        </w:rPr>
        <w:commentReference w:id="3"/>
      </w:r>
    </w:p>
    <w:p w14:paraId="3A14028D"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2CB29B96"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5B07A474" w14:textId="77777777" w:rsidR="00681DBF" w:rsidRPr="00381390" w:rsidRDefault="00681DBF" w:rsidP="00381390">
      <w:pPr>
        <w:autoSpaceDE w:val="0"/>
        <w:autoSpaceDN w:val="0"/>
        <w:adjustRightInd w:val="0"/>
        <w:spacing w:line="360" w:lineRule="auto"/>
        <w:jc w:val="both"/>
        <w:rPr>
          <w:rFonts w:ascii="Arial" w:hAnsi="Arial" w:cs="Arial"/>
          <w:b/>
          <w:bCs/>
          <w:sz w:val="22"/>
          <w:szCs w:val="22"/>
          <w:shd w:val="clear" w:color="auto" w:fill="FFFFFF"/>
        </w:rPr>
      </w:pPr>
    </w:p>
    <w:p w14:paraId="4F3CE39C" w14:textId="77777777" w:rsidR="00681DBF" w:rsidRPr="00381390" w:rsidRDefault="00681DBF" w:rsidP="00381390">
      <w:pPr>
        <w:autoSpaceDE w:val="0"/>
        <w:autoSpaceDN w:val="0"/>
        <w:adjustRightInd w:val="0"/>
        <w:spacing w:line="360" w:lineRule="auto"/>
        <w:jc w:val="both"/>
        <w:rPr>
          <w:rFonts w:ascii="Arial" w:hAnsi="Arial" w:cs="Arial"/>
          <w:b/>
          <w:bCs/>
          <w:sz w:val="22"/>
          <w:szCs w:val="22"/>
          <w:shd w:val="clear" w:color="auto" w:fill="FFFFFF"/>
        </w:rPr>
      </w:pPr>
    </w:p>
    <w:p w14:paraId="6DF4BFF8" w14:textId="77777777" w:rsidR="004E30AC" w:rsidRPr="00381390" w:rsidRDefault="00A6618C" w:rsidP="00381390">
      <w:pPr>
        <w:autoSpaceDE w:val="0"/>
        <w:autoSpaceDN w:val="0"/>
        <w:adjustRightInd w:val="0"/>
        <w:spacing w:line="360" w:lineRule="auto"/>
        <w:jc w:val="both"/>
        <w:rPr>
          <w:rFonts w:ascii="Arial" w:hAnsi="Arial" w:cs="Arial"/>
          <w:b/>
          <w:bCs/>
          <w:sz w:val="22"/>
          <w:szCs w:val="22"/>
          <w:shd w:val="clear" w:color="auto" w:fill="FFFFFF"/>
        </w:rPr>
      </w:pPr>
      <w:r w:rsidRPr="00381390">
        <w:rPr>
          <w:rFonts w:ascii="Arial" w:hAnsi="Arial" w:cs="Arial"/>
          <w:b/>
          <w:bCs/>
          <w:sz w:val="22"/>
          <w:szCs w:val="22"/>
          <w:shd w:val="clear" w:color="auto" w:fill="FFFFFF"/>
        </w:rPr>
        <w:t>Importance of Soil Microbes in Nutrient Use Efficiency, Maintain Biological Fertility of Soil Sustainable Crop Yield</w:t>
      </w:r>
    </w:p>
    <w:p w14:paraId="6175874D" w14:textId="77777777" w:rsidR="004E30AC" w:rsidRPr="00381390" w:rsidRDefault="004E30AC" w:rsidP="00381390">
      <w:pPr>
        <w:autoSpaceDE w:val="0"/>
        <w:autoSpaceDN w:val="0"/>
        <w:adjustRightInd w:val="0"/>
        <w:spacing w:line="360" w:lineRule="auto"/>
        <w:jc w:val="both"/>
        <w:rPr>
          <w:rFonts w:ascii="Arial" w:hAnsi="Arial" w:cs="Arial"/>
          <w:b/>
          <w:bCs/>
          <w:sz w:val="22"/>
          <w:szCs w:val="22"/>
          <w:shd w:val="clear" w:color="auto" w:fill="FFFFFF"/>
        </w:rPr>
      </w:pPr>
    </w:p>
    <w:p w14:paraId="74D478B3"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Fixation of the nitrogen in the soil and enhance nutrient uptake</w:t>
      </w:r>
    </w:p>
    <w:p w14:paraId="1627622B"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Suppressing existing pathogen in soil</w:t>
      </w:r>
    </w:p>
    <w:p w14:paraId="7FEDB7E6"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Accelerate the decomposition of organic waste, residues and composting</w:t>
      </w:r>
    </w:p>
    <w:p w14:paraId="5DB5002B"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Bio composting by indigenous microorganisms</w:t>
      </w:r>
    </w:p>
    <w:p w14:paraId="03D4572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Increase beneficial minerals in the organic compound</w:t>
      </w:r>
    </w:p>
    <w:p w14:paraId="04202B5E"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Enhance the activities of indigenous microorganism</w:t>
      </w:r>
    </w:p>
    <w:p w14:paraId="612C717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Boost the strength of plants and yield of crops</w:t>
      </w:r>
    </w:p>
    <w:p w14:paraId="0109C48A"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Benefits of EM in livestock farming</w:t>
      </w:r>
    </w:p>
    <w:p w14:paraId="6EC5A198"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Reduce environmental pollution</w:t>
      </w:r>
    </w:p>
    <w:p w14:paraId="2ED53EA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Bioremediation</w:t>
      </w:r>
    </w:p>
    <w:p w14:paraId="45D16A67" w14:textId="77777777" w:rsidR="007A66A7" w:rsidRPr="00381390" w:rsidRDefault="007A66A7" w:rsidP="00381390">
      <w:pPr>
        <w:pStyle w:val="ListParagraph"/>
        <w:autoSpaceDE w:val="0"/>
        <w:autoSpaceDN w:val="0"/>
        <w:adjustRightInd w:val="0"/>
        <w:spacing w:line="360" w:lineRule="auto"/>
        <w:jc w:val="both"/>
        <w:rPr>
          <w:rFonts w:ascii="Arial" w:hAnsi="Arial" w:cs="Arial"/>
          <w:sz w:val="22"/>
          <w:szCs w:val="22"/>
          <w:shd w:val="clear" w:color="auto" w:fill="FFFFFF"/>
        </w:rPr>
      </w:pPr>
    </w:p>
    <w:p w14:paraId="0DEBD42D" w14:textId="77777777" w:rsidR="004E30AC"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lastRenderedPageBreak/>
        <w:t xml:space="preserve">Soil microbes also produce simple organic molecules for plant uptake, complex heavy metals to limit plant uptake, dissolve insoluble nutrient sources, break down organic wastes and residues, suppress soil-borne pathogens, recycle and increase plant nutrient availability, break down toxicants like pesticides, and produce antibiotics and other bioactive compounds (Higa and Parr, 1994; Szymanski and Patterson, 2003). </w:t>
      </w:r>
    </w:p>
    <w:p w14:paraId="2B378543" w14:textId="77777777" w:rsidR="00681DBF" w:rsidRPr="00381390" w:rsidRDefault="00681DBF" w:rsidP="00381390">
      <w:pPr>
        <w:spacing w:line="360" w:lineRule="auto"/>
        <w:jc w:val="both"/>
        <w:rPr>
          <w:rFonts w:ascii="Arial" w:hAnsi="Arial" w:cs="Arial"/>
          <w:sz w:val="22"/>
          <w:szCs w:val="22"/>
        </w:rPr>
      </w:pPr>
    </w:p>
    <w:p w14:paraId="0C0016B0" w14:textId="77777777" w:rsidR="00681DBF"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t xml:space="preserve">Three mechanisms are frequently proposed to explain how microorganisms can stimulate plant growth: </w:t>
      </w:r>
      <w:r w:rsidRPr="00381390">
        <w:rPr>
          <w:rFonts w:ascii="Arial" w:hAnsi="Arial" w:cs="Arial"/>
          <w:sz w:val="22"/>
          <w:szCs w:val="22"/>
        </w:rPr>
        <w:br/>
        <w:t xml:space="preserve">1. Modifying the signaling of plant hormones (Verbon and Liberman, 2016) </w:t>
      </w:r>
      <w:r w:rsidRPr="00381390">
        <w:rPr>
          <w:rFonts w:ascii="Arial" w:hAnsi="Arial" w:cs="Arial"/>
          <w:sz w:val="22"/>
          <w:szCs w:val="22"/>
        </w:rPr>
        <w:br/>
        <w:t xml:space="preserve">2. Preventing or combating harmful microbial strains (Mendes et al., 2013); </w:t>
      </w:r>
      <w:commentRangeStart w:id="4"/>
      <w:r w:rsidRPr="00381390">
        <w:rPr>
          <w:rFonts w:ascii="Arial" w:hAnsi="Arial" w:cs="Arial"/>
          <w:sz w:val="22"/>
          <w:szCs w:val="22"/>
        </w:rPr>
        <w:t xml:space="preserve">and 3. </w:t>
      </w:r>
      <w:commentRangeEnd w:id="4"/>
      <w:r w:rsidR="00582119">
        <w:rPr>
          <w:rStyle w:val="CommentReference"/>
        </w:rPr>
        <w:commentReference w:id="4"/>
      </w:r>
      <w:r w:rsidRPr="00381390">
        <w:rPr>
          <w:rFonts w:ascii="Arial" w:hAnsi="Arial" w:cs="Arial"/>
          <w:sz w:val="22"/>
          <w:szCs w:val="22"/>
        </w:rPr>
        <w:t xml:space="preserve">Increasing soil-based nutrients' bioavailability (van der Heijden et al., 2008). </w:t>
      </w:r>
      <w:r w:rsidRPr="00381390">
        <w:rPr>
          <w:rFonts w:ascii="Arial" w:hAnsi="Arial" w:cs="Arial"/>
          <w:sz w:val="22"/>
          <w:szCs w:val="22"/>
        </w:rPr>
        <w:br/>
      </w:r>
      <w:r w:rsidRPr="00381390">
        <w:rPr>
          <w:rFonts w:ascii="Arial" w:hAnsi="Arial" w:cs="Arial"/>
          <w:sz w:val="22"/>
          <w:szCs w:val="22"/>
        </w:rPr>
        <w:br/>
        <w:t xml:space="preserve">Bacteria improve the natural environment for a number of reasons. </w:t>
      </w:r>
      <w:r w:rsidR="00681DBF" w:rsidRPr="00381390">
        <w:rPr>
          <w:rFonts w:ascii="Arial" w:hAnsi="Arial" w:cs="Arial"/>
          <w:sz w:val="22"/>
          <w:szCs w:val="22"/>
        </w:rPr>
        <w:t>Such as:</w:t>
      </w:r>
    </w:p>
    <w:p w14:paraId="7A730C04" w14:textId="77777777" w:rsidR="004E30AC" w:rsidRPr="00381390" w:rsidRDefault="00A6618C" w:rsidP="00381390">
      <w:pPr>
        <w:spacing w:line="360" w:lineRule="auto"/>
        <w:jc w:val="both"/>
        <w:rPr>
          <w:rFonts w:ascii="Arial" w:hAnsi="Arial" w:cs="Arial"/>
          <w:sz w:val="22"/>
          <w:szCs w:val="22"/>
        </w:rPr>
      </w:pPr>
      <w:commentRangeStart w:id="5"/>
      <w:r w:rsidRPr="00381390">
        <w:rPr>
          <w:rFonts w:ascii="Arial" w:hAnsi="Arial" w:cs="Arial"/>
          <w:b/>
          <w:bCs/>
          <w:sz w:val="22"/>
          <w:szCs w:val="22"/>
        </w:rPr>
        <w:t>Microorganisms fixing nitrogen</w:t>
      </w:r>
      <w:commentRangeEnd w:id="5"/>
      <w:r w:rsidR="00582119">
        <w:rPr>
          <w:rStyle w:val="CommentReference"/>
        </w:rPr>
        <w:commentReference w:id="5"/>
      </w:r>
      <w:r w:rsidRPr="00381390">
        <w:rPr>
          <w:rFonts w:ascii="Arial" w:hAnsi="Arial" w:cs="Arial"/>
          <w:b/>
          <w:bCs/>
          <w:sz w:val="22"/>
          <w:szCs w:val="22"/>
        </w:rPr>
        <w:t>:</w:t>
      </w:r>
      <w:r w:rsidR="00681DBF" w:rsidRPr="00381390">
        <w:rPr>
          <w:rFonts w:ascii="Arial" w:hAnsi="Arial" w:cs="Arial"/>
          <w:b/>
          <w:bCs/>
          <w:sz w:val="22"/>
          <w:szCs w:val="22"/>
        </w:rPr>
        <w:t xml:space="preserve"> </w:t>
      </w:r>
      <w:r w:rsidR="00D57964" w:rsidRPr="00381390">
        <w:rPr>
          <w:rFonts w:ascii="Arial" w:hAnsi="Arial" w:cs="Arial"/>
          <w:sz w:val="22"/>
          <w:szCs w:val="22"/>
        </w:rPr>
        <w:t>Biological nitrogen fixation is the process that converts inert N</w:t>
      </w:r>
      <w:r w:rsidR="00D57964" w:rsidRPr="00381390">
        <w:rPr>
          <w:rFonts w:ascii="Cambria Math" w:hAnsi="Cambria Math" w:cs="Cambria Math"/>
          <w:sz w:val="22"/>
          <w:szCs w:val="22"/>
        </w:rPr>
        <w:t>₂</w:t>
      </w:r>
      <w:r w:rsidR="00D57964" w:rsidRPr="00381390">
        <w:rPr>
          <w:rFonts w:ascii="Arial" w:hAnsi="Arial" w:cs="Arial"/>
          <w:sz w:val="22"/>
          <w:szCs w:val="22"/>
        </w:rPr>
        <w:t xml:space="preserve"> into physiologically useful NH</w:t>
      </w:r>
      <w:r w:rsidR="00D57964" w:rsidRPr="00381390">
        <w:rPr>
          <w:rFonts w:ascii="Cambria Math" w:hAnsi="Cambria Math" w:cs="Cambria Math"/>
          <w:sz w:val="22"/>
          <w:szCs w:val="22"/>
        </w:rPr>
        <w:t>₃</w:t>
      </w:r>
      <w:r w:rsidR="00D57964" w:rsidRPr="00381390">
        <w:rPr>
          <w:rFonts w:ascii="Arial" w:hAnsi="Arial" w:cs="Arial"/>
          <w:sz w:val="22"/>
          <w:szCs w:val="22"/>
        </w:rPr>
        <w:t>. In nature, only N-fixing rhizobia bacteria (</w:t>
      </w:r>
      <w:proofErr w:type="spellStart"/>
      <w:r w:rsidR="00D57964" w:rsidRPr="00381390">
        <w:rPr>
          <w:rFonts w:ascii="Arial" w:hAnsi="Arial" w:cs="Arial"/>
          <w:sz w:val="22"/>
          <w:szCs w:val="22"/>
        </w:rPr>
        <w:t>Rhizobiaceae</w:t>
      </w:r>
      <w:proofErr w:type="spellEnd"/>
      <w:r w:rsidR="00D57964" w:rsidRPr="00381390">
        <w:rPr>
          <w:rFonts w:ascii="Arial" w:hAnsi="Arial" w:cs="Arial"/>
          <w:sz w:val="22"/>
          <w:szCs w:val="22"/>
        </w:rPr>
        <w:t>, α-</w:t>
      </w:r>
      <w:proofErr w:type="spellStart"/>
      <w:r w:rsidR="00D57964" w:rsidRPr="00381390">
        <w:rPr>
          <w:rFonts w:ascii="Arial" w:hAnsi="Arial" w:cs="Arial"/>
          <w:sz w:val="22"/>
          <w:szCs w:val="22"/>
        </w:rPr>
        <w:t>Proteobacteria</w:t>
      </w:r>
      <w:proofErr w:type="spellEnd"/>
      <w:r w:rsidR="00D57964" w:rsidRPr="00381390">
        <w:rPr>
          <w:rFonts w:ascii="Arial" w:hAnsi="Arial" w:cs="Arial"/>
          <w:sz w:val="22"/>
          <w:szCs w:val="22"/>
        </w:rPr>
        <w:t>) promote the aforementioned process (</w:t>
      </w:r>
      <w:proofErr w:type="spellStart"/>
      <w:r w:rsidR="00D57964" w:rsidRPr="00381390">
        <w:rPr>
          <w:rFonts w:ascii="Arial" w:hAnsi="Arial" w:cs="Arial"/>
          <w:sz w:val="22"/>
          <w:szCs w:val="22"/>
        </w:rPr>
        <w:t>Sørensen</w:t>
      </w:r>
      <w:proofErr w:type="spellEnd"/>
      <w:r w:rsidR="00D57964" w:rsidRPr="00381390">
        <w:rPr>
          <w:rFonts w:ascii="Arial" w:hAnsi="Arial" w:cs="Arial"/>
          <w:sz w:val="22"/>
          <w:szCs w:val="22"/>
        </w:rPr>
        <w:t xml:space="preserve"> and </w:t>
      </w:r>
      <w:proofErr w:type="spellStart"/>
      <w:r w:rsidR="00D57964" w:rsidRPr="00381390">
        <w:rPr>
          <w:rFonts w:ascii="Arial" w:hAnsi="Arial" w:cs="Arial"/>
          <w:sz w:val="22"/>
          <w:szCs w:val="22"/>
        </w:rPr>
        <w:t>Sessitsch</w:t>
      </w:r>
      <w:proofErr w:type="spellEnd"/>
      <w:r w:rsidR="00D57964" w:rsidRPr="00381390">
        <w:rPr>
          <w:rFonts w:ascii="Arial" w:hAnsi="Arial" w:cs="Arial"/>
          <w:sz w:val="22"/>
          <w:szCs w:val="22"/>
        </w:rPr>
        <w:t>, 2007). With rising input costs and a fundamental shift towards understanding soil health and its impact on human health, our food production methodology is poised for a significant advancement into biological systems to enhance both yield and quality rather than merely augmenting yield potential and maximizing productivity.</w:t>
      </w:r>
    </w:p>
    <w:p w14:paraId="2AA0EA7E"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 xml:space="preserve">Due to increased accountability, farmers must find a balance between productivity and sustainability (Herridge et al., 2008). In order to maintain agricultural systems' sustainability, profitability, and productivity while protecting our ecosystem, restoring or efficiently recycling nutrient reserves drained from the soil requires cooperation with nearby ecosystems and natural resources. It is wise to start using both efficient management techniques and methods to take advantage of soil biodiversity </w:t>
      </w:r>
      <w:commentRangeStart w:id="6"/>
      <w:r w:rsidRPr="00381390">
        <w:rPr>
          <w:rFonts w:ascii="Arial" w:hAnsi="Arial" w:cs="Arial"/>
          <w:sz w:val="22"/>
          <w:szCs w:val="22"/>
        </w:rPr>
        <w:t>(Graham et al., 2000)</w:t>
      </w:r>
      <w:commentRangeEnd w:id="6"/>
      <w:r w:rsidR="00582119">
        <w:rPr>
          <w:rStyle w:val="CommentReference"/>
        </w:rPr>
        <w:commentReference w:id="6"/>
      </w:r>
      <w:r w:rsidRPr="00381390">
        <w:rPr>
          <w:rFonts w:ascii="Arial" w:hAnsi="Arial" w:cs="Arial"/>
          <w:sz w:val="22"/>
          <w:szCs w:val="22"/>
        </w:rPr>
        <w:t>. Biological nitrogen fixation (BNF) is a suitable and effective place to start in this situation.</w:t>
      </w:r>
    </w:p>
    <w:p w14:paraId="7A50B31F" w14:textId="77777777" w:rsidR="004E30AC" w:rsidRPr="00381390" w:rsidRDefault="004E30AC" w:rsidP="00381390">
      <w:pPr>
        <w:spacing w:line="360" w:lineRule="auto"/>
        <w:jc w:val="both"/>
        <w:rPr>
          <w:rFonts w:ascii="Arial" w:hAnsi="Arial" w:cs="Arial"/>
          <w:sz w:val="22"/>
          <w:szCs w:val="22"/>
        </w:rPr>
      </w:pPr>
    </w:p>
    <w:p w14:paraId="04F493D1" w14:textId="77777777" w:rsidR="009F3EF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 Microorganisms' solubilization of phosphorus: </w:t>
      </w:r>
    </w:p>
    <w:p w14:paraId="35D76D9A"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 xml:space="preserve">Phosphate solubilizing microorganisms (PSMs) are bacteria or fungi that may break down insoluble forms of phosphorus, such as phosphates, in the soil and make it easily soluble for plants to ingest, according to Rawat et al. (2020). One of the essential minerals needed for plant growth and development is phosphorus (P), which makes up </w:t>
      </w:r>
      <w:r w:rsidRPr="00381390">
        <w:rPr>
          <w:rFonts w:ascii="Arial" w:hAnsi="Arial" w:cs="Arial"/>
          <w:sz w:val="22"/>
          <w:szCs w:val="22"/>
        </w:rPr>
        <w:lastRenderedPageBreak/>
        <w:t>about 0.2% of a plant's dry weight. It is second only to nitrogen among the mineral nutrients that most commonly limit crop growth (Azziz et al., 2012, Tak et al., 2012).</w:t>
      </w:r>
    </w:p>
    <w:p w14:paraId="24947B06"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Only 0.1% of the 0.05% (w/w) of phosphorus that is normally present in soil may be utilized by plants (Zhu et al., 2011). Historically, the issue of soil phosphorus deficiency has been addressed with phosphorus fertilizers. But since most of the phosphorus in fertilizers is unavailable to plants, adding more inorganic fertilizers than is usually done to counteract this effect can lead to environmental problems like groundwater contamination and eutrophication of rivers (Kang et al., 2011). Thus, it is crucial to investigate management strategies that can increase crop yields, enhance the efficiency of phosphorus fertilization, and reduce the harm that soil phosphorus</w:t>
      </w:r>
      <w:r w:rsidR="00681DBF" w:rsidRPr="00381390">
        <w:rPr>
          <w:rFonts w:ascii="Arial" w:hAnsi="Arial" w:cs="Arial"/>
          <w:sz w:val="22"/>
          <w:szCs w:val="22"/>
        </w:rPr>
        <w:t xml:space="preserve"> loss causes to the ecosystem. </w:t>
      </w:r>
      <w:r w:rsidRPr="00381390">
        <w:rPr>
          <w:rFonts w:ascii="Arial" w:hAnsi="Arial" w:cs="Arial"/>
          <w:sz w:val="22"/>
          <w:szCs w:val="22"/>
        </w:rPr>
        <w:t xml:space="preserve">Soil microorganisms help plants absorb nutrients. Among the several biological processes in which they take part is the conversion of insoluble soil nutrients (Babalola and Glick., 2012). For plant growth, some have the capacity to mineralize and solubilize insoluble soil phosphorus. Other than chemical fertilization, the only way to increase plant-available phosphorus is by microbial P-solubilization and mineralization. A range of soil and rhizosphere microorganisms efficiently release phosphorus from the total amount of soil phosphorus in the natural environment through solubilization and mineralization (Bhattacharyya and Jha., 2012). This group of microorganisms is known as Phosphorus Solubilizing Microorganisms (PSM). Numerous soil-dwelling bacteria and fungi have the ability to mobilize phosphorus in plants and solubilize it in vitro. PSM increases the bioavailability of soil-insoluble phosphorus for plant uptake. Halophilic or salt-tolerant soil bacteria that can also dissolve insoluble phosphorus enable saline-alkali soil-based agriculture (Zhu et al., 2011). </w:t>
      </w:r>
    </w:p>
    <w:p w14:paraId="6F4052FE"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They solubilize insoluble inorganic (mineral) phosphorus and mineralize insoluble organic phosphorus, according to Sharma et al. (2013). Therefore, inoculating soil or crops with phosphate solubilizing/mineralizing microorganisms is an effective way to increase plant uptake of phosphorus and reduce the application of chemical fertilizers that are harmful to our planet (Alori et al., 2012).</w:t>
      </w:r>
    </w:p>
    <w:p w14:paraId="11BCD4DC" w14:textId="77777777" w:rsidR="004E30AC" w:rsidRPr="00381390" w:rsidRDefault="004E30AC" w:rsidP="00381390">
      <w:pPr>
        <w:autoSpaceDE w:val="0"/>
        <w:autoSpaceDN w:val="0"/>
        <w:adjustRightInd w:val="0"/>
        <w:spacing w:line="360" w:lineRule="auto"/>
        <w:jc w:val="both"/>
        <w:rPr>
          <w:rFonts w:ascii="Arial" w:hAnsi="Arial" w:cs="Arial"/>
          <w:sz w:val="22"/>
          <w:szCs w:val="22"/>
          <w:u w:val="single"/>
        </w:rPr>
      </w:pPr>
    </w:p>
    <w:p w14:paraId="143EB5B2" w14:textId="77777777" w:rsidR="009F3EF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Enhancement of fertility with mycorrhizal fungi</w:t>
      </w:r>
      <w:r w:rsidR="009F3EFC" w:rsidRPr="00381390">
        <w:rPr>
          <w:rFonts w:ascii="Arial" w:hAnsi="Arial" w:cs="Arial"/>
          <w:b/>
          <w:bCs/>
          <w:sz w:val="22"/>
          <w:szCs w:val="22"/>
        </w:rPr>
        <w:t xml:space="preserve"> </w:t>
      </w:r>
    </w:p>
    <w:p w14:paraId="44CD22DD"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 xml:space="preserve">Among all the basic partnerships discovered in nature, mycorrhiza is one of the most significant symbiotic relationships between plants and fungi. It is present in all soil types where plants can grow and aids in the absorption of water and nutrients (Huey et al., 2020). Approximately 80% of terrestrial plants that are distributed throughout different </w:t>
      </w:r>
      <w:r w:rsidRPr="00381390">
        <w:rPr>
          <w:rFonts w:ascii="Arial" w:hAnsi="Arial" w:cs="Arial"/>
          <w:sz w:val="22"/>
          <w:szCs w:val="22"/>
        </w:rPr>
        <w:lastRenderedPageBreak/>
        <w:t>habitats exhibit AM association (</w:t>
      </w:r>
      <w:proofErr w:type="spellStart"/>
      <w:r w:rsidRPr="00381390">
        <w:rPr>
          <w:rFonts w:ascii="Arial" w:hAnsi="Arial" w:cs="Arial"/>
          <w:sz w:val="22"/>
          <w:szCs w:val="22"/>
        </w:rPr>
        <w:t>Quilambo</w:t>
      </w:r>
      <w:proofErr w:type="spellEnd"/>
      <w:r w:rsidRPr="00381390">
        <w:rPr>
          <w:rFonts w:ascii="Arial" w:hAnsi="Arial" w:cs="Arial"/>
          <w:sz w:val="22"/>
          <w:szCs w:val="22"/>
        </w:rPr>
        <w:t xml:space="preserve">, 2003). This symbiotic association played a major role in the early territorialization and diversification of terrestrial plants. </w:t>
      </w:r>
    </w:p>
    <w:p w14:paraId="0CBF50C7"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The relationship between AM fungus and plants is referred to as a bidirectional mutualistic symbiotic interaction, in which both provide nutrient resources to one another (Kiers et al., 2011). Mycorrhizal fungi provide more than 80% of the nitrogen (N) and 100% of the phosphorus (P) required for plant growth, even though fungi consume photosynthetically fixed organic carbon-based compounds from plants (Smith and Read, 2008) (</w:t>
      </w:r>
      <w:proofErr w:type="spellStart"/>
      <w:r w:rsidRPr="00381390">
        <w:rPr>
          <w:rFonts w:ascii="Arial" w:hAnsi="Arial" w:cs="Arial"/>
          <w:sz w:val="22"/>
          <w:szCs w:val="22"/>
        </w:rPr>
        <w:t>Luginbuehl</w:t>
      </w:r>
      <w:proofErr w:type="spellEnd"/>
      <w:r w:rsidRPr="00381390">
        <w:rPr>
          <w:rFonts w:ascii="Arial" w:hAnsi="Arial" w:cs="Arial"/>
          <w:sz w:val="22"/>
          <w:szCs w:val="22"/>
        </w:rPr>
        <w:t xml:space="preserve"> et al., 2017). Beyond just exchanging nutrients, this interaction promoted plant colonization by increasing resilience and tolerance to diseases, drought, and poor soil conditions (</w:t>
      </w:r>
      <w:proofErr w:type="spellStart"/>
      <w:r w:rsidRPr="00381390">
        <w:rPr>
          <w:rFonts w:ascii="Arial" w:hAnsi="Arial" w:cs="Arial"/>
          <w:sz w:val="22"/>
          <w:szCs w:val="22"/>
        </w:rPr>
        <w:t>Quilambo</w:t>
      </w:r>
      <w:proofErr w:type="spellEnd"/>
      <w:r w:rsidRPr="00381390">
        <w:rPr>
          <w:rFonts w:ascii="Arial" w:hAnsi="Arial" w:cs="Arial"/>
          <w:sz w:val="22"/>
          <w:szCs w:val="22"/>
        </w:rPr>
        <w:t xml:space="preserve">, 2003). </w:t>
      </w:r>
    </w:p>
    <w:p w14:paraId="228AA9A0"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3C9A35F8" w14:textId="77777777" w:rsidR="004E30AC" w:rsidRPr="00381390" w:rsidRDefault="00A6618C" w:rsidP="00381390">
      <w:pPr>
        <w:autoSpaceDE w:val="0"/>
        <w:autoSpaceDN w:val="0"/>
        <w:adjustRightInd w:val="0"/>
        <w:spacing w:line="360" w:lineRule="auto"/>
        <w:jc w:val="both"/>
        <w:rPr>
          <w:rFonts w:ascii="Arial" w:hAnsi="Arial" w:cs="Arial"/>
          <w:sz w:val="22"/>
          <w:szCs w:val="22"/>
          <w:u w:val="single"/>
        </w:rPr>
      </w:pPr>
      <w:r w:rsidRPr="00381390">
        <w:rPr>
          <w:rFonts w:ascii="Arial" w:hAnsi="Arial" w:cs="Arial"/>
          <w:noProof/>
          <w:sz w:val="22"/>
          <w:szCs w:val="22"/>
          <w:lang w:val="en-IN" w:eastAsia="en-IN"/>
        </w:rPr>
        <w:drawing>
          <wp:inline distT="0" distB="0" distL="0" distR="0" wp14:anchorId="68B10671" wp14:editId="6A511442">
            <wp:extent cx="5486400" cy="3648710"/>
            <wp:effectExtent l="0" t="0" r="0" b="8890"/>
            <wp:docPr id="1308587295" name="Picture 1" descr="Mycorrhiza associations play a key role in the growth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87295" name="Picture 1" descr="Mycorrhiza associations play a key role in the growth of a pl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648710"/>
                    </a:xfrm>
                    <a:prstGeom prst="rect">
                      <a:avLst/>
                    </a:prstGeom>
                    <a:noFill/>
                    <a:ln>
                      <a:noFill/>
                    </a:ln>
                  </pic:spPr>
                </pic:pic>
              </a:graphicData>
            </a:graphic>
          </wp:inline>
        </w:drawing>
      </w:r>
    </w:p>
    <w:p w14:paraId="03153294" w14:textId="7EE06E98" w:rsidR="004E30AC" w:rsidRPr="00381390" w:rsidRDefault="00A6618C" w:rsidP="00381390">
      <w:pPr>
        <w:autoSpaceDE w:val="0"/>
        <w:autoSpaceDN w:val="0"/>
        <w:adjustRightInd w:val="0"/>
        <w:spacing w:line="360" w:lineRule="auto"/>
        <w:jc w:val="both"/>
        <w:rPr>
          <w:rFonts w:ascii="Arial" w:hAnsi="Arial" w:cs="Arial"/>
          <w:sz w:val="22"/>
          <w:szCs w:val="22"/>
        </w:rPr>
      </w:pPr>
      <w:r w:rsidRPr="00381390">
        <w:rPr>
          <w:rFonts w:ascii="Arial" w:hAnsi="Arial" w:cs="Arial"/>
          <w:sz w:val="22"/>
          <w:szCs w:val="22"/>
          <w:highlight w:val="white"/>
          <w:lang w:bidi="bn-IN"/>
        </w:rPr>
        <w:t xml:space="preserve">Figure </w:t>
      </w:r>
      <w:r w:rsidR="008F68BC">
        <w:rPr>
          <w:rFonts w:ascii="Arial" w:hAnsi="Arial" w:cs="Arial"/>
          <w:sz w:val="22"/>
          <w:szCs w:val="22"/>
          <w:highlight w:val="white"/>
          <w:lang w:bidi="bn-IN"/>
        </w:rPr>
        <w:t>2</w:t>
      </w:r>
      <w:r w:rsidRPr="00381390">
        <w:rPr>
          <w:rFonts w:ascii="Arial" w:hAnsi="Arial" w:cs="Arial"/>
          <w:sz w:val="22"/>
          <w:szCs w:val="22"/>
          <w:highlight w:val="white"/>
          <w:lang w:bidi="bn-IN"/>
        </w:rPr>
        <w:t xml:space="preserve">: </w:t>
      </w:r>
      <w:r w:rsidRPr="00381390">
        <w:rPr>
          <w:rFonts w:ascii="Arial" w:hAnsi="Arial" w:cs="Arial"/>
          <w:sz w:val="22"/>
          <w:szCs w:val="22"/>
          <w:lang w:bidi="bn-IN"/>
        </w:rPr>
        <w:t xml:space="preserve">Association of </w:t>
      </w:r>
      <w:r w:rsidRPr="00381390">
        <w:rPr>
          <w:rFonts w:ascii="Arial" w:hAnsi="Arial" w:cs="Arial"/>
          <w:sz w:val="22"/>
          <w:szCs w:val="22"/>
        </w:rPr>
        <w:t>mycorrhizal fungi with plants</w:t>
      </w:r>
      <w:bookmarkStart w:id="7" w:name="_Hlk201489962"/>
      <w:r w:rsidRPr="00381390">
        <w:rPr>
          <w:rFonts w:ascii="Arial" w:hAnsi="Arial" w:cs="Arial"/>
          <w:sz w:val="22"/>
          <w:szCs w:val="22"/>
        </w:rPr>
        <w:t xml:space="preserve"> (</w:t>
      </w:r>
      <w:r w:rsidRPr="00381390">
        <w:rPr>
          <w:rFonts w:ascii="Arial" w:hAnsi="Arial" w:cs="Arial"/>
          <w:sz w:val="22"/>
          <w:szCs w:val="22"/>
          <w:shd w:val="clear" w:color="auto" w:fill="FFFFFF"/>
        </w:rPr>
        <w:t xml:space="preserve">Ullah et al., </w:t>
      </w:r>
      <w:r w:rsidRPr="00381390">
        <w:rPr>
          <w:rFonts w:ascii="Arial" w:hAnsi="Arial" w:cs="Arial"/>
          <w:sz w:val="22"/>
          <w:szCs w:val="22"/>
        </w:rPr>
        <w:t>20</w:t>
      </w:r>
      <w:bookmarkEnd w:id="7"/>
      <w:r w:rsidRPr="00381390">
        <w:rPr>
          <w:rFonts w:ascii="Arial" w:hAnsi="Arial" w:cs="Arial"/>
          <w:sz w:val="22"/>
          <w:szCs w:val="22"/>
        </w:rPr>
        <w:t>19)</w:t>
      </w:r>
    </w:p>
    <w:p w14:paraId="5F42162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559C852"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 xml:space="preserve">Soil microbial status of some </w:t>
      </w:r>
      <w:commentRangeStart w:id="8"/>
      <w:r w:rsidRPr="00381390">
        <w:rPr>
          <w:rFonts w:ascii="Arial" w:hAnsi="Arial" w:cs="Arial"/>
          <w:b/>
          <w:bCs/>
          <w:sz w:val="22"/>
          <w:szCs w:val="22"/>
          <w:highlight w:val="white"/>
          <w:lang w:bidi="bn-IN"/>
        </w:rPr>
        <w:t xml:space="preserve">AEZs </w:t>
      </w:r>
      <w:commentRangeEnd w:id="8"/>
      <w:r w:rsidR="00582119">
        <w:rPr>
          <w:rStyle w:val="CommentReference"/>
        </w:rPr>
        <w:commentReference w:id="8"/>
      </w:r>
      <w:r w:rsidRPr="00381390">
        <w:rPr>
          <w:rFonts w:ascii="Arial" w:hAnsi="Arial" w:cs="Arial"/>
          <w:b/>
          <w:bCs/>
          <w:sz w:val="22"/>
          <w:szCs w:val="22"/>
          <w:highlight w:val="white"/>
          <w:lang w:bidi="bn-IN"/>
        </w:rPr>
        <w:t>in Bangladesh</w:t>
      </w:r>
    </w:p>
    <w:p w14:paraId="6066A197"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Nahar et al. conducted a study in the year 2020 with the purpose of determining the soil microbial populations that were present in Bangladesh's various AEZs. Soil samples (0–15 cm depth) have been collected using GPS recording in the districts of AEZ-8 (Kishoreganj), AEZ-21 (</w:t>
      </w:r>
      <w:proofErr w:type="spellStart"/>
      <w:r w:rsidRPr="00381390">
        <w:rPr>
          <w:rFonts w:ascii="Arial" w:hAnsi="Arial" w:cs="Arial"/>
          <w:sz w:val="22"/>
          <w:szCs w:val="22"/>
        </w:rPr>
        <w:t>Kishoreganj</w:t>
      </w:r>
      <w:proofErr w:type="spellEnd"/>
      <w:r w:rsidRPr="00381390">
        <w:rPr>
          <w:rFonts w:ascii="Arial" w:hAnsi="Arial" w:cs="Arial"/>
          <w:sz w:val="22"/>
          <w:szCs w:val="22"/>
        </w:rPr>
        <w:t>), AEZ-10 (</w:t>
      </w:r>
      <w:proofErr w:type="spellStart"/>
      <w:r w:rsidRPr="00381390">
        <w:rPr>
          <w:rFonts w:ascii="Arial" w:hAnsi="Arial" w:cs="Arial"/>
          <w:sz w:val="22"/>
          <w:szCs w:val="22"/>
        </w:rPr>
        <w:t>Faridpur</w:t>
      </w:r>
      <w:proofErr w:type="spellEnd"/>
      <w:r w:rsidRPr="00381390">
        <w:rPr>
          <w:rFonts w:ascii="Arial" w:hAnsi="Arial" w:cs="Arial"/>
          <w:sz w:val="22"/>
          <w:szCs w:val="22"/>
        </w:rPr>
        <w:t xml:space="preserve"> </w:t>
      </w:r>
      <w:proofErr w:type="spellStart"/>
      <w:r w:rsidRPr="00381390">
        <w:rPr>
          <w:rFonts w:ascii="Arial" w:hAnsi="Arial" w:cs="Arial"/>
          <w:sz w:val="22"/>
          <w:szCs w:val="22"/>
        </w:rPr>
        <w:t>Sadar</w:t>
      </w:r>
      <w:proofErr w:type="spellEnd"/>
      <w:r w:rsidRPr="00381390">
        <w:rPr>
          <w:rFonts w:ascii="Arial" w:hAnsi="Arial" w:cs="Arial"/>
          <w:sz w:val="22"/>
          <w:szCs w:val="22"/>
        </w:rPr>
        <w:t>), AEZ-16 (</w:t>
      </w:r>
      <w:proofErr w:type="spellStart"/>
      <w:r w:rsidRPr="00381390">
        <w:rPr>
          <w:rFonts w:ascii="Arial" w:hAnsi="Arial" w:cs="Arial"/>
          <w:sz w:val="22"/>
          <w:szCs w:val="22"/>
        </w:rPr>
        <w:t>Munshiganj</w:t>
      </w:r>
      <w:proofErr w:type="spellEnd"/>
      <w:r w:rsidRPr="00381390">
        <w:rPr>
          <w:rFonts w:ascii="Arial" w:hAnsi="Arial" w:cs="Arial"/>
          <w:sz w:val="22"/>
          <w:szCs w:val="22"/>
        </w:rPr>
        <w:t xml:space="preserve">), </w:t>
      </w:r>
      <w:r w:rsidRPr="00381390">
        <w:rPr>
          <w:rFonts w:ascii="Arial" w:hAnsi="Arial" w:cs="Arial"/>
          <w:sz w:val="22"/>
          <w:szCs w:val="22"/>
        </w:rPr>
        <w:lastRenderedPageBreak/>
        <w:t>AEZ-19 (</w:t>
      </w:r>
      <w:proofErr w:type="spellStart"/>
      <w:r w:rsidRPr="00381390">
        <w:rPr>
          <w:rFonts w:ascii="Arial" w:hAnsi="Arial" w:cs="Arial"/>
          <w:sz w:val="22"/>
          <w:szCs w:val="22"/>
        </w:rPr>
        <w:t>Cumilla</w:t>
      </w:r>
      <w:proofErr w:type="spellEnd"/>
      <w:r w:rsidRPr="00381390">
        <w:rPr>
          <w:rFonts w:ascii="Arial" w:hAnsi="Arial" w:cs="Arial"/>
          <w:sz w:val="22"/>
          <w:szCs w:val="22"/>
        </w:rPr>
        <w:t>), AEZ-22 (</w:t>
      </w:r>
      <w:proofErr w:type="spellStart"/>
      <w:r w:rsidRPr="00381390">
        <w:rPr>
          <w:rFonts w:ascii="Arial" w:hAnsi="Arial" w:cs="Arial"/>
          <w:sz w:val="22"/>
          <w:szCs w:val="22"/>
        </w:rPr>
        <w:t>Habiganj</w:t>
      </w:r>
      <w:proofErr w:type="spellEnd"/>
      <w:r w:rsidRPr="00381390">
        <w:rPr>
          <w:rFonts w:ascii="Arial" w:hAnsi="Arial" w:cs="Arial"/>
          <w:sz w:val="22"/>
          <w:szCs w:val="22"/>
        </w:rPr>
        <w:t xml:space="preserve"> and </w:t>
      </w:r>
      <w:proofErr w:type="spellStart"/>
      <w:r w:rsidRPr="00381390">
        <w:rPr>
          <w:rFonts w:ascii="Arial" w:hAnsi="Arial" w:cs="Arial"/>
          <w:sz w:val="22"/>
          <w:szCs w:val="22"/>
        </w:rPr>
        <w:t>Moulovibazar</w:t>
      </w:r>
      <w:proofErr w:type="spellEnd"/>
      <w:r w:rsidRPr="00381390">
        <w:rPr>
          <w:rFonts w:ascii="Arial" w:hAnsi="Arial" w:cs="Arial"/>
          <w:sz w:val="22"/>
          <w:szCs w:val="22"/>
        </w:rPr>
        <w:t>), and AEZ-27 (</w:t>
      </w:r>
      <w:proofErr w:type="spellStart"/>
      <w:r w:rsidRPr="00381390">
        <w:rPr>
          <w:rFonts w:ascii="Arial" w:hAnsi="Arial" w:cs="Arial"/>
          <w:sz w:val="22"/>
          <w:szCs w:val="22"/>
        </w:rPr>
        <w:t>Rangpur</w:t>
      </w:r>
      <w:proofErr w:type="spellEnd"/>
      <w:r w:rsidRPr="00381390">
        <w:rPr>
          <w:rFonts w:ascii="Arial" w:hAnsi="Arial" w:cs="Arial"/>
          <w:sz w:val="22"/>
          <w:szCs w:val="22"/>
        </w:rPr>
        <w:t xml:space="preserve">). The spread plate count method was employed to quantify the populations of beneficial and total bacteria, fungi, and actinomycetes cultivated in specific media. According to the study report, Kishoreganj (AEZ-21) had highest total number of bacteria among the examined AEZs, followed by </w:t>
      </w:r>
      <w:proofErr w:type="spellStart"/>
      <w:r w:rsidRPr="00381390">
        <w:rPr>
          <w:rFonts w:ascii="Arial" w:hAnsi="Arial" w:cs="Arial"/>
          <w:sz w:val="22"/>
          <w:szCs w:val="22"/>
        </w:rPr>
        <w:t>Habiganj</w:t>
      </w:r>
      <w:proofErr w:type="spellEnd"/>
      <w:r w:rsidRPr="00381390">
        <w:rPr>
          <w:rFonts w:ascii="Arial" w:hAnsi="Arial" w:cs="Arial"/>
          <w:sz w:val="22"/>
          <w:szCs w:val="22"/>
        </w:rPr>
        <w:t xml:space="preserve"> (AEZ-22) and </w:t>
      </w:r>
      <w:proofErr w:type="spellStart"/>
      <w:r w:rsidRPr="00381390">
        <w:rPr>
          <w:rFonts w:ascii="Arial" w:hAnsi="Arial" w:cs="Arial"/>
          <w:sz w:val="22"/>
          <w:szCs w:val="22"/>
        </w:rPr>
        <w:t>Faridpur</w:t>
      </w:r>
      <w:proofErr w:type="spellEnd"/>
      <w:r w:rsidRPr="00381390">
        <w:rPr>
          <w:rFonts w:ascii="Arial" w:hAnsi="Arial" w:cs="Arial"/>
          <w:sz w:val="22"/>
          <w:szCs w:val="22"/>
        </w:rPr>
        <w:t xml:space="preserve"> Sadar (AEZ-10). </w:t>
      </w:r>
      <w:proofErr w:type="spellStart"/>
      <w:r w:rsidRPr="00381390">
        <w:rPr>
          <w:rFonts w:ascii="Arial" w:hAnsi="Arial" w:cs="Arial"/>
          <w:sz w:val="22"/>
          <w:szCs w:val="22"/>
        </w:rPr>
        <w:t>Cumilla</w:t>
      </w:r>
      <w:proofErr w:type="spellEnd"/>
      <w:r w:rsidRPr="00381390">
        <w:rPr>
          <w:rFonts w:ascii="Arial" w:hAnsi="Arial" w:cs="Arial"/>
          <w:sz w:val="22"/>
          <w:szCs w:val="22"/>
        </w:rPr>
        <w:t xml:space="preserve"> had a larger total fungal population (AEZ-19).</w:t>
      </w:r>
    </w:p>
    <w:p w14:paraId="5C5219B6" w14:textId="77777777" w:rsidR="004E30AC" w:rsidRPr="00381390" w:rsidRDefault="00A6618C" w:rsidP="00381390">
      <w:pPr>
        <w:spacing w:after="240" w:line="360" w:lineRule="auto"/>
        <w:jc w:val="both"/>
        <w:rPr>
          <w:rFonts w:ascii="Arial" w:hAnsi="Arial" w:cs="Arial"/>
          <w:sz w:val="22"/>
          <w:szCs w:val="22"/>
        </w:rPr>
      </w:pPr>
      <w:r w:rsidRPr="00381390">
        <w:rPr>
          <w:rFonts w:ascii="Arial" w:hAnsi="Arial" w:cs="Arial"/>
          <w:sz w:val="22"/>
          <w:szCs w:val="22"/>
        </w:rPr>
        <w:t xml:space="preserve">The actinomycetes population in all analyzed AEZ soils was minimal and nearly uniform. The concentration of free-living nitrogen-fixing bacteria ranges from 5.84 to 4.73 log10 </w:t>
      </w:r>
      <w:proofErr w:type="spellStart"/>
      <w:r w:rsidRPr="00381390">
        <w:rPr>
          <w:rFonts w:ascii="Arial" w:hAnsi="Arial" w:cs="Arial"/>
          <w:sz w:val="22"/>
          <w:szCs w:val="22"/>
        </w:rPr>
        <w:t>cfu</w:t>
      </w:r>
      <w:proofErr w:type="spellEnd"/>
      <w:r w:rsidRPr="00381390">
        <w:rPr>
          <w:rFonts w:ascii="Arial" w:hAnsi="Arial" w:cs="Arial"/>
          <w:sz w:val="22"/>
          <w:szCs w:val="22"/>
        </w:rPr>
        <w:t xml:space="preserve"> g</w:t>
      </w:r>
      <w:r w:rsidRPr="00381390">
        <w:rPr>
          <w:rFonts w:ascii="Arial" w:hAnsi="Arial" w:cs="Arial"/>
          <w:sz w:val="22"/>
          <w:szCs w:val="22"/>
          <w:vertAlign w:val="superscript"/>
        </w:rPr>
        <w:t>-1</w:t>
      </w:r>
      <w:r w:rsidRPr="00381390">
        <w:rPr>
          <w:rFonts w:ascii="Arial" w:hAnsi="Arial" w:cs="Arial"/>
          <w:sz w:val="22"/>
          <w:szCs w:val="22"/>
        </w:rPr>
        <w:t xml:space="preserve"> of dry soil weight, while phosphate-solubilizing bacteria range from 5.46 to 4.73 log10 </w:t>
      </w:r>
      <w:proofErr w:type="spellStart"/>
      <w:r w:rsidRPr="00381390">
        <w:rPr>
          <w:rFonts w:ascii="Arial" w:hAnsi="Arial" w:cs="Arial"/>
          <w:sz w:val="22"/>
          <w:szCs w:val="22"/>
        </w:rPr>
        <w:t>cfu</w:t>
      </w:r>
      <w:proofErr w:type="spellEnd"/>
      <w:r w:rsidRPr="00381390">
        <w:rPr>
          <w:rFonts w:ascii="Arial" w:hAnsi="Arial" w:cs="Arial"/>
          <w:sz w:val="22"/>
          <w:szCs w:val="22"/>
        </w:rPr>
        <w:t xml:space="preserve"> g-1 of dry soil weight. Compared to healthy agricultural soil, there was a reduced presence of free-living N2-fixing, Rhizobium, and phosphate-solubilizing bacteria. The restoration of beneficial bacteria may improve soil health. </w:t>
      </w:r>
    </w:p>
    <w:p w14:paraId="54B13E9F"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t xml:space="preserve">Ecological balance among plants, soil and microbes </w:t>
      </w:r>
      <w:r w:rsidR="00681DBF" w:rsidRPr="00381390">
        <w:rPr>
          <w:rFonts w:ascii="Arial" w:hAnsi="Arial" w:cs="Arial"/>
          <w:b/>
          <w:bCs/>
          <w:sz w:val="22"/>
          <w:szCs w:val="22"/>
        </w:rPr>
        <w:t xml:space="preserve"> </w:t>
      </w:r>
    </w:p>
    <w:p w14:paraId="2EBC3BFE" w14:textId="77777777" w:rsidR="00FB2D9F" w:rsidRPr="00381390" w:rsidRDefault="00FB2D9F" w:rsidP="00381390">
      <w:pPr>
        <w:spacing w:line="360" w:lineRule="auto"/>
        <w:jc w:val="both"/>
        <w:rPr>
          <w:rFonts w:ascii="Arial" w:hAnsi="Arial" w:cs="Arial"/>
          <w:sz w:val="22"/>
          <w:szCs w:val="22"/>
        </w:rPr>
      </w:pPr>
      <w:r w:rsidRPr="00381390">
        <w:rPr>
          <w:rFonts w:ascii="Arial" w:hAnsi="Arial" w:cs="Arial"/>
          <w:sz w:val="22"/>
          <w:szCs w:val="22"/>
        </w:rPr>
        <w:t xml:space="preserve">Biofertilizer is also used in organic farming systems, however the selection of microbial inoculants and plant cultivars is still poorly understood mechanistically (Bender et al., 2016). Applying organic fertilizers wisely enhances the soil's physical, chemical, or biological characteristics as well as the fertilizer's effectiveness, increasing crop output (Tiwari et al., 2021). Through a variety of ecological interactions, including competitive, exploitative, cooperative, commensal, and reciprocal partnerships, plants interact with creatures that live in the soil. The goal of many plant-based interactions in modern science has been to lessen pathogens like infection and herbivory or abiotic stress situations. The decomposition of organic materials in the soil by bacteria and root and microbial respiration in the rhizosphere are the two primary sources of carbon dioxide (CO2) outflow from soil. Plants can get both organic and inorganic nitrogen from nitrogen-fixing bacteria in the </w:t>
      </w:r>
      <w:proofErr w:type="spellStart"/>
      <w:r w:rsidRPr="00381390">
        <w:rPr>
          <w:rFonts w:ascii="Arial" w:hAnsi="Arial" w:cs="Arial"/>
          <w:sz w:val="22"/>
          <w:szCs w:val="22"/>
        </w:rPr>
        <w:t>rhizosphere</w:t>
      </w:r>
      <w:proofErr w:type="spellEnd"/>
      <w:r w:rsidRPr="00381390">
        <w:rPr>
          <w:rFonts w:ascii="Arial" w:hAnsi="Arial" w:cs="Arial"/>
          <w:sz w:val="22"/>
          <w:szCs w:val="22"/>
        </w:rPr>
        <w:t xml:space="preserve"> (</w:t>
      </w:r>
      <w:proofErr w:type="spellStart"/>
      <w:r w:rsidRPr="00381390">
        <w:rPr>
          <w:rFonts w:ascii="Arial" w:hAnsi="Arial" w:cs="Arial"/>
          <w:sz w:val="22"/>
          <w:szCs w:val="22"/>
        </w:rPr>
        <w:t>Dominati</w:t>
      </w:r>
      <w:proofErr w:type="spellEnd"/>
      <w:r w:rsidRPr="00381390">
        <w:rPr>
          <w:rFonts w:ascii="Arial" w:hAnsi="Arial" w:cs="Arial"/>
          <w:sz w:val="22"/>
          <w:szCs w:val="22"/>
        </w:rPr>
        <w:t xml:space="preserve"> et al., 2010). Soil preservation is a top priority, and maintaining soil health requires a thorough grasp of ecosystem processes. This alteration may allow for differential microbial studies inside the soil health study, according to Hopkin (1998). Therefore, in terms of microbial populations and activity, it can be considered an excellent indicator of improved soil health. A teaspoon of soil is said to contain more bacteria than there are people on the globe. </w:t>
      </w:r>
    </w:p>
    <w:p w14:paraId="06565E23" w14:textId="77777777" w:rsidR="00FB2D9F" w:rsidRPr="00381390" w:rsidRDefault="00FB2D9F" w:rsidP="00381390">
      <w:pPr>
        <w:spacing w:line="360" w:lineRule="auto"/>
        <w:jc w:val="both"/>
        <w:rPr>
          <w:rFonts w:ascii="Arial" w:hAnsi="Arial" w:cs="Arial"/>
          <w:sz w:val="22"/>
          <w:szCs w:val="22"/>
        </w:rPr>
      </w:pPr>
      <w:r w:rsidRPr="00381390">
        <w:rPr>
          <w:rFonts w:ascii="Arial" w:hAnsi="Arial" w:cs="Arial"/>
          <w:sz w:val="22"/>
          <w:szCs w:val="22"/>
        </w:rPr>
        <w:t xml:space="preserve">Soils are thought to contain 8–15 tons of bacteria, worms, protozoa, nematodes, </w:t>
      </w:r>
      <w:r w:rsidR="00027423" w:rsidRPr="00381390">
        <w:rPr>
          <w:rFonts w:ascii="Arial" w:hAnsi="Arial" w:cs="Arial"/>
          <w:sz w:val="22"/>
          <w:szCs w:val="22"/>
        </w:rPr>
        <w:t>and arthropods (</w:t>
      </w:r>
      <w:proofErr w:type="spellStart"/>
      <w:r w:rsidR="00027423" w:rsidRPr="00381390">
        <w:rPr>
          <w:rFonts w:ascii="Arial" w:hAnsi="Arial" w:cs="Arial"/>
          <w:sz w:val="22"/>
          <w:szCs w:val="22"/>
        </w:rPr>
        <w:t>Hoorman</w:t>
      </w:r>
      <w:proofErr w:type="spellEnd"/>
      <w:r w:rsidR="00027423" w:rsidRPr="00381390">
        <w:rPr>
          <w:rFonts w:ascii="Arial" w:hAnsi="Arial" w:cs="Arial"/>
          <w:sz w:val="22"/>
          <w:szCs w:val="22"/>
        </w:rPr>
        <w:t xml:space="preserve">, 2010). </w:t>
      </w:r>
      <w:r w:rsidRPr="00381390">
        <w:rPr>
          <w:rFonts w:ascii="Arial" w:hAnsi="Arial" w:cs="Arial"/>
          <w:sz w:val="22"/>
          <w:szCs w:val="22"/>
        </w:rPr>
        <w:t xml:space="preserve">The physical and chemical makeup of soil material </w:t>
      </w:r>
      <w:r w:rsidRPr="00381390">
        <w:rPr>
          <w:rFonts w:ascii="Arial" w:hAnsi="Arial" w:cs="Arial"/>
          <w:sz w:val="22"/>
          <w:szCs w:val="22"/>
        </w:rPr>
        <w:lastRenderedPageBreak/>
        <w:t>changes significantly when microbial populations shift, which may signal the start of soil improvement or degradation. The rate of microbial biomass turnover is one example.</w:t>
      </w:r>
    </w:p>
    <w:p w14:paraId="3A66168B" w14:textId="77777777" w:rsidR="004E30AC" w:rsidRPr="00381390" w:rsidRDefault="004E30AC" w:rsidP="00381390">
      <w:pPr>
        <w:spacing w:line="360" w:lineRule="auto"/>
        <w:jc w:val="both"/>
        <w:rPr>
          <w:rFonts w:ascii="Arial" w:hAnsi="Arial" w:cs="Arial"/>
          <w:sz w:val="22"/>
          <w:szCs w:val="22"/>
        </w:rPr>
      </w:pPr>
    </w:p>
    <w:p w14:paraId="797BA451" w14:textId="77777777" w:rsidR="004E30AC" w:rsidRPr="00381390" w:rsidRDefault="00A6618C" w:rsidP="00381390">
      <w:pPr>
        <w:spacing w:line="360" w:lineRule="auto"/>
        <w:jc w:val="both"/>
        <w:rPr>
          <w:rFonts w:ascii="Arial" w:hAnsi="Arial" w:cs="Arial"/>
          <w:b/>
          <w:bCs/>
          <w:color w:val="C00000"/>
          <w:sz w:val="22"/>
          <w:szCs w:val="22"/>
        </w:rPr>
      </w:pPr>
      <w:r w:rsidRPr="00381390">
        <w:rPr>
          <w:rFonts w:ascii="Arial" w:hAnsi="Arial" w:cs="Arial"/>
          <w:b/>
          <w:bCs/>
          <w:sz w:val="22"/>
          <w:szCs w:val="22"/>
        </w:rPr>
        <w:t xml:space="preserve">Soil Health and Crop Productivity </w:t>
      </w:r>
    </w:p>
    <w:p w14:paraId="175B9EC1" w14:textId="77777777" w:rsidR="001962FA"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 xml:space="preserve"> </w:t>
      </w:r>
      <w:r w:rsidR="001962FA" w:rsidRPr="00381390">
        <w:rPr>
          <w:rFonts w:ascii="Arial" w:hAnsi="Arial" w:cs="Arial"/>
          <w:sz w:val="22"/>
          <w:szCs w:val="22"/>
        </w:rPr>
        <w:t xml:space="preserve">Soil microorganisms are crucial for enhancing soil quality and influencing agricultural production, according to Sahoo et al. (2015). It controlled the soil's fertility by altering its characteristics, whether directly or indirectly. The relationship between bacteria and plants is one of the most significant elements of the agricultural system. This organization may be able to help achieve the objective of sustainable agriculture in the future. Among the numerous microorganisms present in soil were bacteria, fungi, mosses, and liverwort. The three main categories of soil microbes are actinomycetes, fungus, and bacteria. </w:t>
      </w:r>
      <w:proofErr w:type="spellStart"/>
      <w:r w:rsidR="001962FA" w:rsidRPr="00381390">
        <w:rPr>
          <w:rFonts w:ascii="Arial" w:hAnsi="Arial" w:cs="Arial"/>
          <w:sz w:val="22"/>
          <w:szCs w:val="22"/>
        </w:rPr>
        <w:t>Rhizospheric</w:t>
      </w:r>
      <w:proofErr w:type="spellEnd"/>
      <w:r w:rsidR="001962FA" w:rsidRPr="00381390">
        <w:rPr>
          <w:rFonts w:ascii="Arial" w:hAnsi="Arial" w:cs="Arial"/>
          <w:sz w:val="22"/>
          <w:szCs w:val="22"/>
        </w:rPr>
        <w:t xml:space="preserve"> bacteria are in charge of forming connections with plants, which enhances water availability, nutrient uptake, and resistance to biotic and abiotic stressors.</w:t>
      </w:r>
    </w:p>
    <w:p w14:paraId="30E6182C" w14:textId="77777777" w:rsidR="001962FA" w:rsidRPr="00381390" w:rsidRDefault="001962FA" w:rsidP="00381390">
      <w:pPr>
        <w:spacing w:line="360" w:lineRule="auto"/>
        <w:jc w:val="both"/>
        <w:rPr>
          <w:rFonts w:ascii="Arial" w:hAnsi="Arial" w:cs="Arial"/>
          <w:sz w:val="22"/>
          <w:szCs w:val="22"/>
        </w:rPr>
      </w:pPr>
      <w:r w:rsidRPr="00381390">
        <w:rPr>
          <w:rFonts w:ascii="Arial" w:hAnsi="Arial" w:cs="Arial"/>
          <w:sz w:val="22"/>
          <w:szCs w:val="22"/>
        </w:rPr>
        <w:t xml:space="preserve">The three main categories of soil microbes are actinomycetes, fungus, and bacteria. The development of partnerships between </w:t>
      </w:r>
      <w:proofErr w:type="spellStart"/>
      <w:r w:rsidRPr="00381390">
        <w:rPr>
          <w:rFonts w:ascii="Arial" w:hAnsi="Arial" w:cs="Arial"/>
          <w:sz w:val="22"/>
          <w:szCs w:val="22"/>
        </w:rPr>
        <w:t>rhizospheric</w:t>
      </w:r>
      <w:proofErr w:type="spellEnd"/>
      <w:r w:rsidRPr="00381390">
        <w:rPr>
          <w:rFonts w:ascii="Arial" w:hAnsi="Arial" w:cs="Arial"/>
          <w:sz w:val="22"/>
          <w:szCs w:val="22"/>
        </w:rPr>
        <w:t xml:space="preserve"> bacteria and plants enhances nutrient intake, water availability, and resistance to biotic and abiotic challenges. Microbes are a sign of the biological activity occurring in the soil and regulate its chemical and physical characteristics. Microbes are a vital component of soil for all nutrient cycles and plant nutrition. Temperature fluctuations, low water content, human activity, and grazing all have detrimental effects on microbiological diversity and soil processes. </w:t>
      </w:r>
    </w:p>
    <w:p w14:paraId="063A2375" w14:textId="77777777" w:rsidR="001962FA" w:rsidRPr="00381390" w:rsidRDefault="001962FA" w:rsidP="00381390">
      <w:pPr>
        <w:spacing w:line="360" w:lineRule="auto"/>
        <w:jc w:val="both"/>
        <w:rPr>
          <w:rFonts w:ascii="Arial" w:hAnsi="Arial" w:cs="Arial"/>
          <w:sz w:val="22"/>
          <w:szCs w:val="22"/>
        </w:rPr>
      </w:pPr>
      <w:r w:rsidRPr="00381390">
        <w:rPr>
          <w:rFonts w:ascii="Arial" w:hAnsi="Arial" w:cs="Arial"/>
          <w:sz w:val="22"/>
          <w:szCs w:val="22"/>
        </w:rPr>
        <w:t>Soil, roots, and bacteria have a comparatively stable and beneficial relationship. According to Ahmad et al. (2008), some microorganisms have a negative impact on the rhizosphere and hinder the growth and development of plants. Soil microbial diversity is decreased by intense farming and the harmful effects of fertilizers.</w:t>
      </w:r>
    </w:p>
    <w:p w14:paraId="7F6F0050" w14:textId="77777777" w:rsidR="004E30AC" w:rsidRPr="00381390" w:rsidRDefault="004E30AC" w:rsidP="00381390">
      <w:pPr>
        <w:spacing w:line="360" w:lineRule="auto"/>
        <w:jc w:val="both"/>
        <w:rPr>
          <w:rFonts w:ascii="Arial" w:hAnsi="Arial" w:cs="Arial"/>
          <w:sz w:val="22"/>
          <w:szCs w:val="22"/>
        </w:rPr>
      </w:pPr>
    </w:p>
    <w:p w14:paraId="606C01D5"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Management of Soil Organic Matter and Soil Fertility </w:t>
      </w:r>
    </w:p>
    <w:p w14:paraId="2A8F437D" w14:textId="77777777" w:rsidR="004E30AC" w:rsidRPr="00381390" w:rsidRDefault="00A6618C" w:rsidP="00381390">
      <w:pPr>
        <w:spacing w:line="360" w:lineRule="auto"/>
        <w:jc w:val="both"/>
        <w:rPr>
          <w:rFonts w:ascii="Arial" w:hAnsi="Arial" w:cs="Arial"/>
          <w:sz w:val="22"/>
          <w:szCs w:val="22"/>
        </w:rPr>
      </w:pPr>
      <w:proofErr w:type="spellStart"/>
      <w:r w:rsidRPr="00381390">
        <w:rPr>
          <w:rFonts w:ascii="Arial" w:hAnsi="Arial" w:cs="Arial"/>
          <w:sz w:val="22"/>
          <w:szCs w:val="22"/>
        </w:rPr>
        <w:t>Ssoil</w:t>
      </w:r>
      <w:proofErr w:type="spellEnd"/>
      <w:r w:rsidRPr="00381390">
        <w:rPr>
          <w:rFonts w:ascii="Arial" w:hAnsi="Arial" w:cs="Arial"/>
          <w:sz w:val="22"/>
          <w:szCs w:val="22"/>
        </w:rPr>
        <w:t xml:space="preserve"> organic matter is essential for maintaining production by improving nutrient and water-use efficiency by enhancing soil physical properties, increasing biological activity, and elevating crop quality. The preservation of soil organic carbon levels is crucial for soil productivity and is also linked to global warming via the greenhouse effect. Soil organic matter is the most crucial factor that must be addressed for the restoration of soil health via the incorporation of organic materials and the implementation of various management practices. (Biswas, T., Kole, S.C. 2018)</w:t>
      </w:r>
    </w:p>
    <w:p w14:paraId="551CD698" w14:textId="77777777" w:rsidR="00681DBF" w:rsidRPr="00381390" w:rsidRDefault="00681DBF" w:rsidP="00381390">
      <w:pPr>
        <w:spacing w:line="360" w:lineRule="auto"/>
        <w:jc w:val="both"/>
        <w:rPr>
          <w:rFonts w:ascii="Arial" w:hAnsi="Arial" w:cs="Arial"/>
          <w:sz w:val="22"/>
          <w:szCs w:val="22"/>
        </w:rPr>
      </w:pPr>
    </w:p>
    <w:p w14:paraId="4E616A4C"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Interaction between soil microbes </w:t>
      </w:r>
    </w:p>
    <w:p w14:paraId="0A37C0BA"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Numerous vital soil processes that are vital to crop health are facilitated by the wide variety of microorganisms that live in soil. Additionally, the interactions between soil bacteria can be either antagonistic or synergistic, which affects their efficiency.</w:t>
      </w:r>
    </w:p>
    <w:p w14:paraId="17E94E41"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Such a feature or attribute may also have an impact on the manufacturing and application of bioinoculants. The interactions between arbuscular mycorrhizal fungus and soil bacteria are among the most significant interactions between various types of soil microorganisms, according to Artursson et al. (2006). AM fungus can alter the composition of soil bacteria by affecting root development and rhizodeposition. For the soil bacteria that inhabit the mycorrhizosphere, rhizodeposition and root development are important sources of nutrients and secondary metabolites (</w:t>
      </w:r>
      <w:proofErr w:type="spellStart"/>
      <w:r w:rsidRPr="00381390">
        <w:rPr>
          <w:rFonts w:ascii="Arial" w:eastAsia="SimSun" w:hAnsi="Arial" w:cs="Arial"/>
          <w:sz w:val="22"/>
          <w:szCs w:val="22"/>
          <w:lang w:eastAsia="zh-CN" w:bidi="ar"/>
        </w:rPr>
        <w:t>Gryndler</w:t>
      </w:r>
      <w:proofErr w:type="spellEnd"/>
      <w:r w:rsidRPr="00381390">
        <w:rPr>
          <w:rFonts w:ascii="Arial" w:eastAsia="SimSun" w:hAnsi="Arial" w:cs="Arial"/>
          <w:sz w:val="22"/>
          <w:szCs w:val="22"/>
          <w:lang w:eastAsia="zh-CN" w:bidi="ar"/>
        </w:rPr>
        <w:t xml:space="preserve"> 2000, </w:t>
      </w:r>
      <w:proofErr w:type="spellStart"/>
      <w:r w:rsidRPr="00381390">
        <w:rPr>
          <w:rFonts w:ascii="Arial" w:eastAsia="SimSun" w:hAnsi="Arial" w:cs="Arial"/>
          <w:sz w:val="22"/>
          <w:szCs w:val="22"/>
          <w:lang w:eastAsia="zh-CN" w:bidi="ar"/>
        </w:rPr>
        <w:t>Miransari</w:t>
      </w:r>
      <w:proofErr w:type="spellEnd"/>
      <w:r w:rsidRPr="00381390">
        <w:rPr>
          <w:rFonts w:ascii="Arial" w:eastAsia="SimSun" w:hAnsi="Arial" w:cs="Arial"/>
          <w:sz w:val="22"/>
          <w:szCs w:val="22"/>
          <w:lang w:eastAsia="zh-CN" w:bidi="ar"/>
        </w:rPr>
        <w:t xml:space="preserve"> and Mackenzie, 2011).</w:t>
      </w:r>
    </w:p>
    <w:p w14:paraId="6C6BCD4E"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 xml:space="preserve"> </w:t>
      </w:r>
      <w:r w:rsidRPr="00381390">
        <w:rPr>
          <w:rFonts w:ascii="Arial" w:eastAsia="SimSun" w:hAnsi="Arial" w:cs="Arial"/>
          <w:sz w:val="22"/>
          <w:szCs w:val="22"/>
          <w:lang w:eastAsia="zh-CN" w:bidi="ar"/>
        </w:rPr>
        <w:t xml:space="preserve">The importance of interactions between AM and soil bacteria is also influenced by a number of factors, such as (1) competition for nutrients and (2) the highly specific responses of some bacteria to specific AM species, which result from the production of particular AM fungal products like polysaccharides (Artursson and </w:t>
      </w:r>
      <w:proofErr w:type="spellStart"/>
      <w:r w:rsidRPr="00381390">
        <w:rPr>
          <w:rFonts w:ascii="Arial" w:eastAsia="SimSun" w:hAnsi="Arial" w:cs="Arial"/>
          <w:sz w:val="22"/>
          <w:szCs w:val="22"/>
          <w:lang w:eastAsia="zh-CN" w:bidi="ar"/>
        </w:rPr>
        <w:t>Jansson</w:t>
      </w:r>
      <w:proofErr w:type="spellEnd"/>
      <w:r w:rsidRPr="00381390">
        <w:rPr>
          <w:rFonts w:ascii="Arial" w:eastAsia="SimSun" w:hAnsi="Arial" w:cs="Arial"/>
          <w:sz w:val="22"/>
          <w:szCs w:val="22"/>
          <w:lang w:eastAsia="zh-CN" w:bidi="ar"/>
        </w:rPr>
        <w:t xml:space="preserve"> 2003, </w:t>
      </w:r>
      <w:proofErr w:type="spellStart"/>
      <w:r w:rsidRPr="00381390">
        <w:rPr>
          <w:rFonts w:ascii="Arial" w:eastAsia="SimSun" w:hAnsi="Arial" w:cs="Arial"/>
          <w:sz w:val="22"/>
          <w:szCs w:val="22"/>
          <w:lang w:eastAsia="zh-CN" w:bidi="ar"/>
        </w:rPr>
        <w:t>Toljander</w:t>
      </w:r>
      <w:proofErr w:type="spellEnd"/>
      <w:r w:rsidRPr="00381390">
        <w:rPr>
          <w:rFonts w:ascii="Arial" w:eastAsia="SimSun" w:hAnsi="Arial" w:cs="Arial"/>
          <w:sz w:val="22"/>
          <w:szCs w:val="22"/>
          <w:lang w:eastAsia="zh-CN" w:bidi="ar"/>
        </w:rPr>
        <w:t xml:space="preserve"> et al., 2006). AM fungi, including Pseudomonas species, Bacillus species, </w:t>
      </w:r>
      <w:proofErr w:type="spellStart"/>
      <w:r w:rsidRPr="00381390">
        <w:rPr>
          <w:rFonts w:ascii="Arial" w:eastAsia="SimSun" w:hAnsi="Arial" w:cs="Arial"/>
          <w:sz w:val="22"/>
          <w:szCs w:val="22"/>
          <w:lang w:eastAsia="zh-CN" w:bidi="ar"/>
        </w:rPr>
        <w:t>Paeinibacills</w:t>
      </w:r>
      <w:proofErr w:type="spellEnd"/>
      <w:r w:rsidRPr="00381390">
        <w:rPr>
          <w:rFonts w:ascii="Arial" w:eastAsia="SimSun" w:hAnsi="Arial" w:cs="Arial"/>
          <w:sz w:val="22"/>
          <w:szCs w:val="22"/>
          <w:lang w:eastAsia="zh-CN" w:bidi="ar"/>
        </w:rPr>
        <w:t xml:space="preserve"> species, Rhizobium species, and </w:t>
      </w:r>
      <w:proofErr w:type="spellStart"/>
      <w:r w:rsidRPr="00381390">
        <w:rPr>
          <w:rFonts w:ascii="Arial" w:eastAsia="SimSun" w:hAnsi="Arial" w:cs="Arial"/>
          <w:sz w:val="22"/>
          <w:szCs w:val="22"/>
          <w:lang w:eastAsia="zh-CN" w:bidi="ar"/>
        </w:rPr>
        <w:t>Entrobater</w:t>
      </w:r>
      <w:proofErr w:type="spellEnd"/>
      <w:r w:rsidRPr="00381390">
        <w:rPr>
          <w:rFonts w:ascii="Arial" w:eastAsia="SimSun" w:hAnsi="Arial" w:cs="Arial"/>
          <w:sz w:val="22"/>
          <w:szCs w:val="22"/>
          <w:lang w:eastAsia="zh-CN" w:bidi="ar"/>
        </w:rPr>
        <w:t xml:space="preserve"> species, have been shown to positively interact with PGPR by a number of researchers. Gram-positive bacteria seem to be more closely associated with AM fungus than Gram-negative bacteria. According to research by Hildebrandt et al. (2002) and Artursson et al. (2006), PGPR may be able to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AM hypha.</w:t>
      </w:r>
    </w:p>
    <w:p w14:paraId="7EB0244A" w14:textId="77777777" w:rsidR="004E30AC" w:rsidRPr="00381390" w:rsidRDefault="004E30AC" w:rsidP="00381390">
      <w:pPr>
        <w:spacing w:line="360" w:lineRule="auto"/>
        <w:jc w:val="both"/>
        <w:rPr>
          <w:rFonts w:ascii="Arial" w:hAnsi="Arial" w:cs="Arial"/>
          <w:color w:val="C00000"/>
          <w:sz w:val="22"/>
          <w:szCs w:val="22"/>
        </w:rPr>
      </w:pPr>
    </w:p>
    <w:p w14:paraId="466D2DE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Microbial biomass</w:t>
      </w:r>
    </w:p>
    <w:p w14:paraId="6587F7D3"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The part of soil that aids in the cycling of nutrients and energy as well as the control of organic matter transformation is known as soil microbial biomass (Gregorich et al., 1994; Turco et al., 1994). The amount of microbial biomass in the soil, the rate of decomposition, and the amount of nitrogen that is </w:t>
      </w:r>
      <w:proofErr w:type="spellStart"/>
      <w:r w:rsidRPr="00381390">
        <w:rPr>
          <w:rFonts w:ascii="Arial" w:eastAsia="SimSun" w:hAnsi="Arial" w:cs="Arial"/>
          <w:sz w:val="22"/>
          <w:szCs w:val="22"/>
          <w:lang w:eastAsia="zh-CN" w:bidi="ar"/>
        </w:rPr>
        <w:t>mineralised</w:t>
      </w:r>
      <w:proofErr w:type="spellEnd"/>
      <w:r w:rsidRPr="00381390">
        <w:rPr>
          <w:rFonts w:ascii="Arial" w:eastAsia="SimSun" w:hAnsi="Arial" w:cs="Arial"/>
          <w:sz w:val="22"/>
          <w:szCs w:val="22"/>
          <w:lang w:eastAsia="zh-CN" w:bidi="ar"/>
        </w:rPr>
        <w:t xml:space="preserve"> are all closely related, according to several studies (Carter et al., 1999). In organic farming, microbial biomass has been shown to positively correlate with grain yield, but not in conventional farming (</w:t>
      </w:r>
      <w:proofErr w:type="spellStart"/>
      <w:r w:rsidRPr="00381390">
        <w:rPr>
          <w:rFonts w:ascii="Arial" w:eastAsia="SimSun" w:hAnsi="Arial" w:cs="Arial"/>
          <w:sz w:val="22"/>
          <w:szCs w:val="22"/>
          <w:lang w:eastAsia="zh-CN" w:bidi="ar"/>
        </w:rPr>
        <w:t>Mäder</w:t>
      </w:r>
      <w:proofErr w:type="spellEnd"/>
      <w:r w:rsidRPr="00381390">
        <w:rPr>
          <w:rFonts w:ascii="Arial" w:eastAsia="SimSun" w:hAnsi="Arial" w:cs="Arial"/>
          <w:sz w:val="22"/>
          <w:szCs w:val="22"/>
          <w:lang w:eastAsia="zh-CN" w:bidi="ar"/>
        </w:rPr>
        <w:t xml:space="preserve"> et al., 2001). In the end, soil microbial biomass contributes to soil </w:t>
      </w:r>
      <w:proofErr w:type="spellStart"/>
      <w:r w:rsidRPr="00381390">
        <w:rPr>
          <w:rFonts w:ascii="Arial" w:eastAsia="SimSun" w:hAnsi="Arial" w:cs="Arial"/>
          <w:sz w:val="22"/>
          <w:szCs w:val="22"/>
          <w:lang w:eastAsia="zh-CN" w:bidi="ar"/>
        </w:rPr>
        <w:t>stabilisation</w:t>
      </w:r>
      <w:proofErr w:type="spellEnd"/>
      <w:r w:rsidRPr="00381390">
        <w:rPr>
          <w:rFonts w:ascii="Arial" w:eastAsia="SimSun" w:hAnsi="Arial" w:cs="Arial"/>
          <w:sz w:val="22"/>
          <w:szCs w:val="22"/>
          <w:lang w:eastAsia="zh-CN" w:bidi="ar"/>
        </w:rPr>
        <w:t xml:space="preserve"> and structure (</w:t>
      </w:r>
      <w:proofErr w:type="spellStart"/>
      <w:r w:rsidRPr="00381390">
        <w:rPr>
          <w:rFonts w:ascii="Arial" w:eastAsia="SimSun" w:hAnsi="Arial" w:cs="Arial"/>
          <w:sz w:val="22"/>
          <w:szCs w:val="22"/>
          <w:lang w:eastAsia="zh-CN" w:bidi="ar"/>
        </w:rPr>
        <w:t>Führbach</w:t>
      </w:r>
      <w:proofErr w:type="spellEnd"/>
      <w:r w:rsidRPr="00381390">
        <w:rPr>
          <w:rFonts w:ascii="Arial" w:eastAsia="SimSun" w:hAnsi="Arial" w:cs="Arial"/>
          <w:sz w:val="22"/>
          <w:szCs w:val="22"/>
          <w:lang w:eastAsia="zh-CN" w:bidi="ar"/>
        </w:rPr>
        <w:t xml:space="preserve"> et al., 2000). </w:t>
      </w:r>
    </w:p>
    <w:p w14:paraId="2C3B36DD" w14:textId="77777777" w:rsidR="004E30AC" w:rsidRPr="00381390" w:rsidRDefault="004E30AC" w:rsidP="00381390">
      <w:pPr>
        <w:spacing w:line="360" w:lineRule="auto"/>
        <w:jc w:val="both"/>
        <w:rPr>
          <w:rFonts w:ascii="Arial" w:hAnsi="Arial" w:cs="Arial"/>
          <w:sz w:val="22"/>
          <w:szCs w:val="22"/>
        </w:rPr>
      </w:pPr>
    </w:p>
    <w:p w14:paraId="76B4949F"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lastRenderedPageBreak/>
        <w:t xml:space="preserve">Microbial Roles in Major Biogeochemical Cycles and other </w:t>
      </w:r>
      <w:proofErr w:type="spellStart"/>
      <w:r w:rsidRPr="00381390">
        <w:rPr>
          <w:rFonts w:ascii="Arial" w:hAnsi="Arial" w:cs="Arial"/>
          <w:b/>
          <w:bCs/>
          <w:sz w:val="22"/>
          <w:szCs w:val="22"/>
        </w:rPr>
        <w:t>processess</w:t>
      </w:r>
      <w:proofErr w:type="spellEnd"/>
    </w:p>
    <w:p w14:paraId="08B69DE3"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1. Carbon Cycle</w:t>
      </w:r>
    </w:p>
    <w:p w14:paraId="60D3C655" w14:textId="77777777" w:rsidR="00261F06"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t>Through a variety of processes, microbes are essential for controlling the flow</w:t>
      </w:r>
      <w:r w:rsidR="00381390">
        <w:rPr>
          <w:rFonts w:ascii="Arial" w:hAnsi="Arial" w:cs="Arial"/>
          <w:sz w:val="22"/>
          <w:szCs w:val="22"/>
        </w:rPr>
        <w:t xml:space="preserve"> of carbon in the environment. </w:t>
      </w:r>
      <w:r w:rsidRPr="00381390">
        <w:rPr>
          <w:rFonts w:ascii="Arial" w:hAnsi="Arial" w:cs="Arial"/>
          <w:sz w:val="22"/>
          <w:szCs w:val="22"/>
        </w:rPr>
        <w:t>Decomposition is the process by which bacteria and fungi break down organic materials, releasing CO2 into the soil or atmosphere. Both terrestrial and aquatic ecosystems depend on this process for the turnover of ca</w:t>
      </w:r>
      <w:r w:rsidR="00381390">
        <w:rPr>
          <w:rFonts w:ascii="Arial" w:hAnsi="Arial" w:cs="Arial"/>
          <w:sz w:val="22"/>
          <w:szCs w:val="22"/>
        </w:rPr>
        <w:t xml:space="preserve">rbon (Falkowski et al., 2008). </w:t>
      </w:r>
      <w:r w:rsidRPr="00381390">
        <w:rPr>
          <w:rFonts w:ascii="Arial" w:hAnsi="Arial" w:cs="Arial"/>
          <w:sz w:val="22"/>
          <w:szCs w:val="22"/>
        </w:rPr>
        <w:br/>
        <w:t>By using photosynthesis to transform atmospheric CO2 into organic carbon, cyanobacteria and algae contribute significantly to carbon fixation and build the groundwork for a variety of food webs (van der Heijden et al., 2008).</w:t>
      </w:r>
    </w:p>
    <w:p w14:paraId="376CA5E9"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 2. Nitrogen Cycle</w:t>
      </w:r>
    </w:p>
    <w:p w14:paraId="5E25BF39" w14:textId="77777777" w:rsidR="00261F06"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t xml:space="preserve">Microbial processes play a major role in the nitrogen cycle: </w:t>
      </w:r>
      <w:r w:rsidRPr="00381390">
        <w:rPr>
          <w:rFonts w:ascii="Arial" w:hAnsi="Arial" w:cs="Arial"/>
          <w:sz w:val="22"/>
          <w:szCs w:val="22"/>
        </w:rPr>
        <w:br/>
        <w:t>Nitrogen fixation is the process by which free-living organisms like Azotobacter and symbiotic bacteria like Rhizobium convert atmospheric nitrogen (N</w:t>
      </w:r>
      <w:r w:rsidRPr="00381390">
        <w:rPr>
          <w:rFonts w:ascii="Cambria Math" w:hAnsi="Cambria Math" w:cs="Cambria Math"/>
          <w:sz w:val="22"/>
          <w:szCs w:val="22"/>
        </w:rPr>
        <w:t>₂</w:t>
      </w:r>
      <w:r w:rsidRPr="00381390">
        <w:rPr>
          <w:rFonts w:ascii="Arial" w:hAnsi="Arial" w:cs="Arial"/>
          <w:sz w:val="22"/>
          <w:szCs w:val="22"/>
        </w:rPr>
        <w:t>) into ammonia (NH</w:t>
      </w:r>
      <w:r w:rsidRPr="00381390">
        <w:rPr>
          <w:rFonts w:ascii="Cambria Math" w:hAnsi="Cambria Math" w:cs="Cambria Math"/>
          <w:sz w:val="22"/>
          <w:szCs w:val="22"/>
        </w:rPr>
        <w:t>₃</w:t>
      </w:r>
      <w:r w:rsidRPr="00381390">
        <w:rPr>
          <w:rFonts w:ascii="Arial" w:hAnsi="Arial" w:cs="Arial"/>
          <w:sz w:val="22"/>
          <w:szCs w:val="22"/>
        </w:rPr>
        <w:t>) that plants can use. Nitrification is the process by which ammonia-oxidizing bacteria, such as Nitrosomonas and Nitrobacter, oxidize ammonia to nitrite (NO</w:t>
      </w:r>
      <w:r w:rsidRPr="00381390">
        <w:rPr>
          <w:rFonts w:ascii="Cambria Math" w:hAnsi="Cambria Math" w:cs="Cambria Math"/>
          <w:sz w:val="22"/>
          <w:szCs w:val="22"/>
        </w:rPr>
        <w:t>₂⁻</w:t>
      </w:r>
      <w:r w:rsidRPr="00381390">
        <w:rPr>
          <w:rFonts w:ascii="Arial" w:hAnsi="Arial" w:cs="Arial"/>
          <w:sz w:val="22"/>
          <w:szCs w:val="22"/>
        </w:rPr>
        <w:t>) and nitrate (NO</w:t>
      </w:r>
      <w:r w:rsidRPr="00381390">
        <w:rPr>
          <w:rFonts w:ascii="Cambria Math" w:hAnsi="Cambria Math" w:cs="Cambria Math"/>
          <w:sz w:val="22"/>
          <w:szCs w:val="22"/>
        </w:rPr>
        <w:t>₃⁻</w:t>
      </w:r>
      <w:r w:rsidRPr="00381390">
        <w:rPr>
          <w:rFonts w:ascii="Arial" w:hAnsi="Arial" w:cs="Arial"/>
          <w:sz w:val="22"/>
          <w:szCs w:val="22"/>
        </w:rPr>
        <w:t>), increasing nitrogen bioavailability for plants. By transforming nitrates (NO</w:t>
      </w:r>
      <w:r w:rsidRPr="00381390">
        <w:rPr>
          <w:rFonts w:ascii="Cambria Math" w:hAnsi="Cambria Math" w:cs="Cambria Math"/>
          <w:sz w:val="22"/>
          <w:szCs w:val="22"/>
        </w:rPr>
        <w:t>₃⁻</w:t>
      </w:r>
      <w:r w:rsidRPr="00381390">
        <w:rPr>
          <w:rFonts w:ascii="Arial" w:hAnsi="Arial" w:cs="Arial"/>
          <w:sz w:val="22"/>
          <w:szCs w:val="22"/>
        </w:rPr>
        <w:t>) into N</w:t>
      </w:r>
      <w:r w:rsidRPr="00381390">
        <w:rPr>
          <w:rFonts w:ascii="Cambria Math" w:hAnsi="Cambria Math" w:cs="Cambria Math"/>
          <w:sz w:val="22"/>
          <w:szCs w:val="22"/>
        </w:rPr>
        <w:t>₂</w:t>
      </w:r>
      <w:r w:rsidRPr="00381390">
        <w:rPr>
          <w:rFonts w:ascii="Arial" w:hAnsi="Arial" w:cs="Arial"/>
          <w:sz w:val="22"/>
          <w:szCs w:val="22"/>
        </w:rPr>
        <w:t xml:space="preserve"> gas, denitrifying bacteria like Pseudomonas are essential for replenishing nitrogen in the environment. The nitrogen balance in ecosystems depends on this process (Falkowski et al., 2008). </w:t>
      </w:r>
    </w:p>
    <w:p w14:paraId="6925D6E7" w14:textId="77777777" w:rsidR="004E30AC"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t>Ammonification is the process by which bacteria break down organic nitrogen to produce ammonia, completing the recycling of nitrogen molecules in ecosystems (Kuypers et al., 2018).</w:t>
      </w:r>
    </w:p>
    <w:p w14:paraId="6BB25D04"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sz w:val="22"/>
          <w:szCs w:val="22"/>
        </w:rPr>
        <w:t xml:space="preserve"> </w:t>
      </w:r>
      <w:r w:rsidRPr="00381390">
        <w:rPr>
          <w:rFonts w:ascii="Arial" w:hAnsi="Arial" w:cs="Arial"/>
          <w:b/>
          <w:bCs/>
          <w:sz w:val="22"/>
          <w:szCs w:val="22"/>
        </w:rPr>
        <w:t>3. Phosphorus Cycle</w:t>
      </w:r>
    </w:p>
    <w:p w14:paraId="34A76162" w14:textId="77777777" w:rsidR="004E30AC"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Microbial modification of both organic and inorganic forms is included in the cycling of phosphorus. Phosphate Solubilization: According to van der Heijden et al. (2008), some bacteria, such as Bacillus and Pseudomonas, can change insoluble phosphates into forms that plants can absorb.</w:t>
      </w:r>
    </w:p>
    <w:p w14:paraId="144FBB0E"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sz w:val="22"/>
          <w:szCs w:val="22"/>
        </w:rPr>
        <w:t xml:space="preserve"> </w:t>
      </w:r>
      <w:r w:rsidR="00681DBF" w:rsidRPr="00381390">
        <w:rPr>
          <w:rFonts w:ascii="Arial" w:hAnsi="Arial" w:cs="Arial"/>
          <w:b/>
          <w:bCs/>
          <w:sz w:val="22"/>
          <w:szCs w:val="22"/>
        </w:rPr>
        <w:t>4</w:t>
      </w:r>
      <w:r w:rsidRPr="00381390">
        <w:rPr>
          <w:rFonts w:ascii="Arial" w:hAnsi="Arial" w:cs="Arial"/>
          <w:b/>
          <w:bCs/>
          <w:sz w:val="22"/>
          <w:szCs w:val="22"/>
        </w:rPr>
        <w:t>. Importance to Ecosystems</w:t>
      </w:r>
    </w:p>
    <w:p w14:paraId="51C7C261" w14:textId="77777777" w:rsidR="004E30AC"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 xml:space="preserve">Microbes' ability to cycle nutrients is essential for preserving ecosystem resilience, increasing primary productivity, and resolving environmental problems including eutrophication and greenhouse gas emissions. For instance, microbial sulfate reduction prevents the accumulation of dangerous sulfur compounds, while microbial nitrogen </w:t>
      </w:r>
      <w:r w:rsidRPr="00381390">
        <w:rPr>
          <w:rFonts w:ascii="Arial" w:hAnsi="Arial" w:cs="Arial"/>
          <w:sz w:val="22"/>
          <w:szCs w:val="22"/>
        </w:rPr>
        <w:lastRenderedPageBreak/>
        <w:t>fixation increases agricultural output by restoring soil nitrogen levels (Kuypers et al., 2018).</w:t>
      </w:r>
    </w:p>
    <w:p w14:paraId="7778E936"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5.</w:t>
      </w:r>
      <w:r w:rsidR="00A6618C" w:rsidRPr="00381390">
        <w:rPr>
          <w:rFonts w:ascii="Arial" w:hAnsi="Arial" w:cs="Arial"/>
          <w:b/>
          <w:bCs/>
          <w:sz w:val="22"/>
          <w:szCs w:val="22"/>
        </w:rPr>
        <w:t xml:space="preserve">Microorganisms in Aquatic Carbon Sequestration: </w:t>
      </w:r>
      <w:r w:rsidR="007B35E3" w:rsidRPr="00381390">
        <w:rPr>
          <w:rFonts w:ascii="Arial" w:hAnsi="Arial" w:cs="Arial"/>
          <w:sz w:val="22"/>
          <w:szCs w:val="22"/>
        </w:rPr>
        <w:t>Phytoplankton and Cyanobacteria: In freshwater and marine environments, these photosynthetic microbes are essential for fixing CO2 into organic carbon. The "biological pump," which facilitates the movement of carbon from surface waters to deeper oceanic layers, depends on these species, which form the basis of the marine food web (Jiao et al., 2010).</w:t>
      </w:r>
    </w:p>
    <w:p w14:paraId="7497C4FC"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6</w:t>
      </w:r>
      <w:r w:rsidR="00A6618C" w:rsidRPr="00381390">
        <w:rPr>
          <w:rFonts w:ascii="Arial" w:hAnsi="Arial" w:cs="Arial"/>
          <w:b/>
          <w:bCs/>
          <w:sz w:val="22"/>
          <w:szCs w:val="22"/>
        </w:rPr>
        <w:t xml:space="preserve">. Methanotrophs and Carbon Sequestration: </w:t>
      </w:r>
      <w:r w:rsidR="007B35E3" w:rsidRPr="00381390">
        <w:rPr>
          <w:rFonts w:ascii="Arial" w:hAnsi="Arial" w:cs="Arial"/>
          <w:sz w:val="22"/>
          <w:szCs w:val="22"/>
        </w:rPr>
        <w:t>Methane Oxidation: Methanotrophic bacteria reduce the impact of methane (CH</w:t>
      </w:r>
      <w:r w:rsidR="007B35E3" w:rsidRPr="00381390">
        <w:rPr>
          <w:rFonts w:ascii="Cambria Math" w:hAnsi="Cambria Math" w:cs="Cambria Math"/>
          <w:sz w:val="22"/>
          <w:szCs w:val="22"/>
        </w:rPr>
        <w:t>₄</w:t>
      </w:r>
      <w:r w:rsidR="007B35E3" w:rsidRPr="00381390">
        <w:rPr>
          <w:rFonts w:ascii="Arial" w:hAnsi="Arial" w:cs="Arial"/>
          <w:sz w:val="22"/>
          <w:szCs w:val="22"/>
        </w:rPr>
        <w:t>), a major greenhouse gas, by converting it into CO</w:t>
      </w:r>
      <w:r w:rsidR="007B35E3" w:rsidRPr="00381390">
        <w:rPr>
          <w:rFonts w:ascii="Cambria Math" w:hAnsi="Cambria Math" w:cs="Cambria Math"/>
          <w:sz w:val="22"/>
          <w:szCs w:val="22"/>
        </w:rPr>
        <w:t>₂</w:t>
      </w:r>
      <w:r w:rsidR="007B35E3" w:rsidRPr="00381390">
        <w:rPr>
          <w:rFonts w:ascii="Arial" w:hAnsi="Arial" w:cs="Arial"/>
          <w:sz w:val="22"/>
          <w:szCs w:val="22"/>
        </w:rPr>
        <w:t>. Photosynthesis or other carbon sequestration processes can then be used to absorb the CO2 (Falkowski et al., 2008).</w:t>
      </w:r>
    </w:p>
    <w:p w14:paraId="7D6CE7DC"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7</w:t>
      </w:r>
      <w:r w:rsidR="00A6618C" w:rsidRPr="00381390">
        <w:rPr>
          <w:rFonts w:ascii="Arial" w:hAnsi="Arial" w:cs="Arial"/>
          <w:b/>
          <w:bCs/>
          <w:sz w:val="22"/>
          <w:szCs w:val="22"/>
        </w:rPr>
        <w:t xml:space="preserve">. Carbon Sequestration in Permafrost and Wetlands: </w:t>
      </w:r>
      <w:r w:rsidR="007B35E3" w:rsidRPr="00381390">
        <w:rPr>
          <w:rFonts w:ascii="Arial" w:hAnsi="Arial" w:cs="Arial"/>
          <w:sz w:val="22"/>
          <w:szCs w:val="22"/>
        </w:rPr>
        <w:t>Microbes in Peatlands: Because their water-saturated, low-oxygen habitats hinder microbial breakdown processes, wetlands and peatlands are important carbon stores. These environments have specific microbial communities that help stabilize organic carbon (Freeman et al., 2001).</w:t>
      </w:r>
    </w:p>
    <w:p w14:paraId="5607EDEA"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 xml:space="preserve">8. </w:t>
      </w:r>
      <w:r w:rsidR="00A6618C" w:rsidRPr="00381390">
        <w:rPr>
          <w:rFonts w:ascii="Arial" w:hAnsi="Arial" w:cs="Arial"/>
          <w:b/>
          <w:bCs/>
          <w:sz w:val="22"/>
          <w:szCs w:val="22"/>
        </w:rPr>
        <w:t>Microbial Activity in Permafrost:</w:t>
      </w:r>
      <w:r w:rsidR="00A6618C" w:rsidRPr="00381390">
        <w:rPr>
          <w:rFonts w:ascii="Arial" w:hAnsi="Arial" w:cs="Arial"/>
          <w:sz w:val="22"/>
          <w:szCs w:val="22"/>
        </w:rPr>
        <w:t xml:space="preserve"> </w:t>
      </w:r>
      <w:r w:rsidR="007B35E3" w:rsidRPr="00381390">
        <w:rPr>
          <w:rFonts w:ascii="Arial" w:hAnsi="Arial" w:cs="Arial"/>
          <w:sz w:val="22"/>
          <w:szCs w:val="22"/>
        </w:rPr>
        <w:t>Microbes serve two purposes in permafrost regions: on the one hand, their breakdown activities can release CO</w:t>
      </w:r>
      <w:r w:rsidR="007B35E3" w:rsidRPr="00381390">
        <w:rPr>
          <w:rFonts w:ascii="Cambria Math" w:hAnsi="Cambria Math" w:cs="Cambria Math"/>
          <w:sz w:val="22"/>
          <w:szCs w:val="22"/>
        </w:rPr>
        <w:t>₂</w:t>
      </w:r>
      <w:r w:rsidR="007B35E3" w:rsidRPr="00381390">
        <w:rPr>
          <w:rFonts w:ascii="Arial" w:hAnsi="Arial" w:cs="Arial"/>
          <w:sz w:val="22"/>
          <w:szCs w:val="22"/>
        </w:rPr>
        <w:t xml:space="preserve"> and CH</w:t>
      </w:r>
      <w:r w:rsidR="007B35E3" w:rsidRPr="00381390">
        <w:rPr>
          <w:rFonts w:ascii="Cambria Math" w:hAnsi="Cambria Math" w:cs="Cambria Math"/>
          <w:sz w:val="22"/>
          <w:szCs w:val="22"/>
        </w:rPr>
        <w:t>₄</w:t>
      </w:r>
      <w:r w:rsidR="007B35E3" w:rsidRPr="00381390">
        <w:rPr>
          <w:rFonts w:ascii="Arial" w:hAnsi="Arial" w:cs="Arial"/>
          <w:sz w:val="22"/>
          <w:szCs w:val="22"/>
        </w:rPr>
        <w:t>, and on the other hand, certain microbial processes can stabilize soil carbon in freezing conditions (Turetsky et al., 2020).</w:t>
      </w:r>
    </w:p>
    <w:p w14:paraId="093F01C1"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9</w:t>
      </w:r>
      <w:r w:rsidR="00A6618C" w:rsidRPr="00381390">
        <w:rPr>
          <w:rFonts w:ascii="Arial" w:hAnsi="Arial" w:cs="Arial"/>
          <w:b/>
          <w:bCs/>
          <w:sz w:val="22"/>
          <w:szCs w:val="22"/>
        </w:rPr>
        <w:t>. Biochar and Microbial Interaction Soil Amendment:</w:t>
      </w:r>
      <w:r w:rsidR="00A6618C" w:rsidRPr="00381390">
        <w:rPr>
          <w:rFonts w:ascii="Arial" w:hAnsi="Arial" w:cs="Arial"/>
          <w:sz w:val="22"/>
          <w:szCs w:val="22"/>
        </w:rPr>
        <w:t xml:space="preserve"> </w:t>
      </w:r>
      <w:r w:rsidR="007B35E3" w:rsidRPr="00381390">
        <w:rPr>
          <w:rFonts w:ascii="Arial" w:hAnsi="Arial" w:cs="Arial"/>
          <w:sz w:val="22"/>
          <w:szCs w:val="22"/>
        </w:rPr>
        <w:t>A carbon-rich byproduct of biomass pyrolysis, biochar encourages more microbial activity in soils. By incorporating biochar into soil organic matter, microbes help stabilize it and increase its capacity to sequester carbon (Lehmann et al., 2011).</w:t>
      </w:r>
    </w:p>
    <w:p w14:paraId="5132F120" w14:textId="77777777" w:rsidR="004E30AC" w:rsidRPr="00381390" w:rsidRDefault="00681DBF" w:rsidP="00381390">
      <w:pPr>
        <w:spacing w:line="360" w:lineRule="auto"/>
        <w:jc w:val="both"/>
        <w:rPr>
          <w:rFonts w:ascii="Arial" w:hAnsi="Arial" w:cs="Arial"/>
          <w:b/>
          <w:bCs/>
          <w:sz w:val="22"/>
          <w:szCs w:val="22"/>
        </w:rPr>
      </w:pPr>
      <w:r w:rsidRPr="00381390">
        <w:rPr>
          <w:rFonts w:ascii="Arial" w:hAnsi="Arial" w:cs="Arial"/>
          <w:b/>
          <w:bCs/>
          <w:sz w:val="22"/>
          <w:szCs w:val="22"/>
        </w:rPr>
        <w:t xml:space="preserve">10. </w:t>
      </w:r>
      <w:r w:rsidR="00A6618C" w:rsidRPr="00381390">
        <w:rPr>
          <w:rFonts w:ascii="Arial" w:hAnsi="Arial" w:cs="Arial"/>
          <w:b/>
          <w:bCs/>
          <w:sz w:val="22"/>
          <w:szCs w:val="22"/>
        </w:rPr>
        <w:t xml:space="preserve">Role of Microbes in case of Greenhouse Gas </w:t>
      </w:r>
    </w:p>
    <w:p w14:paraId="2A593251" w14:textId="77777777" w:rsidR="007B35E3"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Microbes have a major role in the transformation and mitigation of greenhouse gases (GHGs), including carbon dioxide (CO</w:t>
      </w:r>
      <w:r w:rsidRPr="00381390">
        <w:rPr>
          <w:rFonts w:ascii="Cambria Math" w:hAnsi="Cambria Math" w:cs="Cambria Math"/>
          <w:sz w:val="22"/>
          <w:szCs w:val="22"/>
        </w:rPr>
        <w:t>₂</w:t>
      </w:r>
      <w:r w:rsidRPr="00381390">
        <w:rPr>
          <w:rFonts w:ascii="Arial" w:hAnsi="Arial" w:cs="Arial"/>
          <w:sz w:val="22"/>
          <w:szCs w:val="22"/>
        </w:rPr>
        <w:t>), methane (CH</w:t>
      </w:r>
      <w:r w:rsidRPr="00381390">
        <w:rPr>
          <w:rFonts w:ascii="Cambria Math" w:hAnsi="Cambria Math" w:cs="Cambria Math"/>
          <w:sz w:val="22"/>
          <w:szCs w:val="22"/>
        </w:rPr>
        <w:t>₄</w:t>
      </w:r>
      <w:r w:rsidRPr="00381390">
        <w:rPr>
          <w:rFonts w:ascii="Arial" w:hAnsi="Arial" w:cs="Arial"/>
          <w:sz w:val="22"/>
          <w:szCs w:val="22"/>
        </w:rPr>
        <w:t>), and nitrous oxide (N</w:t>
      </w:r>
      <w:r w:rsidRPr="00381390">
        <w:rPr>
          <w:rFonts w:ascii="Cambria Math" w:hAnsi="Cambria Math" w:cs="Cambria Math"/>
          <w:sz w:val="22"/>
          <w:szCs w:val="22"/>
        </w:rPr>
        <w:t>₂</w:t>
      </w:r>
      <w:r w:rsidRPr="00381390">
        <w:rPr>
          <w:rFonts w:ascii="Arial" w:hAnsi="Arial" w:cs="Arial"/>
          <w:sz w:val="22"/>
          <w:szCs w:val="22"/>
        </w:rPr>
        <w:t xml:space="preserve">O). They play crucial roles in biogeochemical cycles because their actions can either exacerbate or mitigate climate change, depending on environmental conditions and metabolic pathways. For example, Microbial Reduction of Greenhouse Gases. Methane Oxidation: Methanotrophs, or methane-oxidizing bacteria, such </w:t>
      </w:r>
      <w:proofErr w:type="spellStart"/>
      <w:r w:rsidRPr="00381390">
        <w:rPr>
          <w:rFonts w:ascii="Arial" w:hAnsi="Arial" w:cs="Arial"/>
          <w:sz w:val="22"/>
          <w:szCs w:val="22"/>
        </w:rPr>
        <w:t>Methylosinus</w:t>
      </w:r>
      <w:proofErr w:type="spellEnd"/>
      <w:r w:rsidRPr="00381390">
        <w:rPr>
          <w:rFonts w:ascii="Arial" w:hAnsi="Arial" w:cs="Arial"/>
          <w:sz w:val="22"/>
          <w:szCs w:val="22"/>
        </w:rPr>
        <w:t xml:space="preserve"> and </w:t>
      </w:r>
      <w:proofErr w:type="spellStart"/>
      <w:r w:rsidRPr="00381390">
        <w:rPr>
          <w:rFonts w:ascii="Arial" w:hAnsi="Arial" w:cs="Arial"/>
          <w:sz w:val="22"/>
          <w:szCs w:val="22"/>
        </w:rPr>
        <w:t>Methylocystis</w:t>
      </w:r>
      <w:proofErr w:type="spellEnd"/>
      <w:r w:rsidRPr="00381390">
        <w:rPr>
          <w:rFonts w:ascii="Arial" w:hAnsi="Arial" w:cs="Arial"/>
          <w:sz w:val="22"/>
          <w:szCs w:val="22"/>
        </w:rPr>
        <w:t>, are crucial for reducing atmospheric CH</w:t>
      </w:r>
      <w:r w:rsidRPr="00381390">
        <w:rPr>
          <w:rFonts w:ascii="Cambria Math" w:hAnsi="Cambria Math" w:cs="Cambria Math"/>
          <w:sz w:val="22"/>
          <w:szCs w:val="22"/>
        </w:rPr>
        <w:t>₄</w:t>
      </w:r>
      <w:r w:rsidRPr="00381390">
        <w:rPr>
          <w:rFonts w:ascii="Arial" w:hAnsi="Arial" w:cs="Arial"/>
          <w:sz w:val="22"/>
          <w:szCs w:val="22"/>
        </w:rPr>
        <w:t xml:space="preserve"> because, in the presence of oxygen, they convert it to CO</w:t>
      </w:r>
      <w:r w:rsidRPr="00381390">
        <w:rPr>
          <w:rFonts w:ascii="Cambria Math" w:hAnsi="Cambria Math" w:cs="Cambria Math"/>
          <w:sz w:val="22"/>
          <w:szCs w:val="22"/>
        </w:rPr>
        <w:t>₂</w:t>
      </w:r>
      <w:r w:rsidRPr="00381390">
        <w:rPr>
          <w:rFonts w:ascii="Arial" w:hAnsi="Arial" w:cs="Arial"/>
          <w:sz w:val="22"/>
          <w:szCs w:val="22"/>
        </w:rPr>
        <w:t>. This technique lowers methane emissions in wetlands, soils, and aquatic systems (Conrad, 2009).</w:t>
      </w:r>
    </w:p>
    <w:p w14:paraId="3AEC1129" w14:textId="77777777" w:rsidR="00681DBF" w:rsidRPr="00381390" w:rsidRDefault="00681DBF" w:rsidP="00381390">
      <w:pPr>
        <w:autoSpaceDE w:val="0"/>
        <w:autoSpaceDN w:val="0"/>
        <w:adjustRightInd w:val="0"/>
        <w:spacing w:line="360" w:lineRule="auto"/>
        <w:jc w:val="both"/>
        <w:rPr>
          <w:rFonts w:ascii="Arial" w:hAnsi="Arial" w:cs="Arial"/>
          <w:b/>
          <w:bCs/>
          <w:sz w:val="22"/>
          <w:szCs w:val="22"/>
          <w:highlight w:val="white"/>
          <w:lang w:bidi="bn-IN"/>
        </w:rPr>
      </w:pPr>
    </w:p>
    <w:p w14:paraId="0D5B338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Plant growth-promoting rhizobacteria (PGPR)</w:t>
      </w:r>
    </w:p>
    <w:p w14:paraId="7ED48F84"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Free-living bacteria called plant growth-promoting </w:t>
      </w:r>
      <w:proofErr w:type="spellStart"/>
      <w:r w:rsidRPr="00381390">
        <w:rPr>
          <w:rFonts w:ascii="Arial" w:eastAsia="SimSun" w:hAnsi="Arial" w:cs="Arial"/>
          <w:sz w:val="22"/>
          <w:szCs w:val="22"/>
          <w:lang w:eastAsia="zh-CN" w:bidi="ar"/>
        </w:rPr>
        <w:t>rhizobacteria</w:t>
      </w:r>
      <w:proofErr w:type="spellEnd"/>
      <w:r w:rsidRPr="00381390">
        <w:rPr>
          <w:rFonts w:ascii="Arial" w:eastAsia="SimSun" w:hAnsi="Arial" w:cs="Arial"/>
          <w:sz w:val="22"/>
          <w:szCs w:val="22"/>
          <w:lang w:eastAsia="zh-CN" w:bidi="ar"/>
        </w:rPr>
        <w:t xml:space="preserve">, or PGPR,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plant roots to encourage plant development. According to Perez-Montano et al. (2014), </w:t>
      </w:r>
      <w:proofErr w:type="spellStart"/>
      <w:r w:rsidRPr="00381390">
        <w:rPr>
          <w:rFonts w:ascii="Arial" w:eastAsia="SimSun" w:hAnsi="Arial" w:cs="Arial"/>
          <w:sz w:val="22"/>
          <w:szCs w:val="22"/>
          <w:lang w:eastAsia="zh-CN" w:bidi="ar"/>
        </w:rPr>
        <w:t>Vocciante</w:t>
      </w:r>
      <w:proofErr w:type="spellEnd"/>
      <w:r w:rsidRPr="00381390">
        <w:rPr>
          <w:rFonts w:ascii="Arial" w:eastAsia="SimSun" w:hAnsi="Arial" w:cs="Arial"/>
          <w:sz w:val="22"/>
          <w:szCs w:val="22"/>
          <w:lang w:eastAsia="zh-CN" w:bidi="ar"/>
        </w:rPr>
        <w:t xml:space="preserve"> et al. (2022), and </w:t>
      </w:r>
      <w:proofErr w:type="spellStart"/>
      <w:r w:rsidRPr="00381390">
        <w:rPr>
          <w:rFonts w:ascii="Arial" w:eastAsia="SimSun" w:hAnsi="Arial" w:cs="Arial"/>
          <w:sz w:val="22"/>
          <w:szCs w:val="22"/>
          <w:lang w:eastAsia="zh-CN" w:bidi="ar"/>
        </w:rPr>
        <w:t>Bhanse</w:t>
      </w:r>
      <w:proofErr w:type="spellEnd"/>
      <w:r w:rsidRPr="00381390">
        <w:rPr>
          <w:rFonts w:ascii="Arial" w:eastAsia="SimSun" w:hAnsi="Arial" w:cs="Arial"/>
          <w:sz w:val="22"/>
          <w:szCs w:val="22"/>
          <w:lang w:eastAsia="zh-CN" w:bidi="ar"/>
        </w:rPr>
        <w:t xml:space="preserve"> et al. (2022), PGPR may use their own metabolism (</w:t>
      </w:r>
      <w:proofErr w:type="spellStart"/>
      <w:r w:rsidRPr="00381390">
        <w:rPr>
          <w:rFonts w:ascii="Arial" w:eastAsia="SimSun" w:hAnsi="Arial" w:cs="Arial"/>
          <w:sz w:val="22"/>
          <w:szCs w:val="22"/>
          <w:lang w:eastAsia="zh-CN" w:bidi="ar"/>
        </w:rPr>
        <w:t>solubilising</w:t>
      </w:r>
      <w:proofErr w:type="spellEnd"/>
      <w:r w:rsidRPr="00381390">
        <w:rPr>
          <w:rFonts w:ascii="Arial" w:eastAsia="SimSun" w:hAnsi="Arial" w:cs="Arial"/>
          <w:sz w:val="22"/>
          <w:szCs w:val="22"/>
          <w:lang w:eastAsia="zh-CN" w:bidi="ar"/>
        </w:rPr>
        <w:t xml:space="preserve"> phosphates, producing hormones, or fixing nitrogen), directly affect the plant metabolism (increasing the uptake of water and minerals), improve root development, increase the plant's enzymatic activity, "help" other beneficial microorganisms to increase their effects on the plant.</w:t>
      </w:r>
      <w:r w:rsidR="00681DBF" w:rsidRPr="00381390">
        <w:rPr>
          <w:rFonts w:ascii="Arial" w:hAnsi="Arial" w:cs="Arial"/>
          <w:sz w:val="22"/>
          <w:szCs w:val="22"/>
        </w:rPr>
        <w:t xml:space="preserve"> </w:t>
      </w:r>
      <w:r w:rsidRPr="00381390">
        <w:rPr>
          <w:rFonts w:ascii="Arial" w:eastAsia="SimSun" w:hAnsi="Arial" w:cs="Arial"/>
          <w:sz w:val="22"/>
          <w:szCs w:val="22"/>
          <w:lang w:eastAsia="zh-CN" w:bidi="ar"/>
        </w:rPr>
        <w:t>By competing with diseases for limited nutrients, they biocontrol pathogens through the creation of fungal cell wall lysing enzymes, the production of aseptic-activity chemicals, and the development of systemic responses in host plants.</w:t>
      </w:r>
      <w:r w:rsidR="00681DBF" w:rsidRPr="00381390">
        <w:rPr>
          <w:rFonts w:ascii="Arial" w:hAnsi="Arial" w:cs="Arial"/>
          <w:sz w:val="22"/>
          <w:szCs w:val="22"/>
        </w:rPr>
        <w:t xml:space="preserve"> </w:t>
      </w:r>
      <w:r w:rsidRPr="00381390">
        <w:rPr>
          <w:rFonts w:ascii="Arial" w:eastAsia="SimSun" w:hAnsi="Arial" w:cs="Arial"/>
          <w:sz w:val="22"/>
          <w:szCs w:val="22"/>
          <w:lang w:eastAsia="zh-CN" w:bidi="ar"/>
        </w:rPr>
        <w:t xml:space="preserve">PGPR could help plants flourish in the face of abiotic stress by improving plant fitness, stress tolerance, and pollutant cleanup. </w:t>
      </w:r>
      <w:proofErr w:type="spellStart"/>
      <w:r w:rsidRPr="00381390">
        <w:rPr>
          <w:rFonts w:ascii="Arial" w:eastAsia="SimSun" w:hAnsi="Arial" w:cs="Arial"/>
          <w:sz w:val="22"/>
          <w:szCs w:val="22"/>
          <w:lang w:eastAsia="zh-CN" w:bidi="ar"/>
        </w:rPr>
        <w:t>Oleň</w:t>
      </w:r>
      <w:proofErr w:type="spellEnd"/>
      <w:r w:rsidRPr="00381390">
        <w:rPr>
          <w:rFonts w:ascii="Arial" w:eastAsia="SimSun" w:hAnsi="Arial" w:cs="Arial"/>
          <w:sz w:val="22"/>
          <w:szCs w:val="22"/>
          <w:lang w:eastAsia="zh-CN" w:bidi="ar"/>
        </w:rPr>
        <w:t xml:space="preserve"> et al.'s 2020 study suggests that gathering more information and expanding our understanding of the traits of the bacteria that promote plant growth may inspire and stimulate the creation of novel solutions that make use of PGPR in highly variable environments and climates.</w:t>
      </w:r>
    </w:p>
    <w:p w14:paraId="3B92B41D"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06148B70" w14:textId="77777777" w:rsidR="004E30AC" w:rsidRPr="00381390" w:rsidRDefault="00A6618C" w:rsidP="00381390">
      <w:pPr>
        <w:autoSpaceDE w:val="0"/>
        <w:autoSpaceDN w:val="0"/>
        <w:adjustRightInd w:val="0"/>
        <w:spacing w:line="360" w:lineRule="auto"/>
        <w:jc w:val="both"/>
        <w:rPr>
          <w:rFonts w:ascii="Arial" w:hAnsi="Arial" w:cs="Arial"/>
          <w:b/>
          <w:bCs/>
          <w:sz w:val="22"/>
          <w:szCs w:val="22"/>
          <w:lang w:bidi="bn-IN"/>
        </w:rPr>
      </w:pPr>
      <w:r w:rsidRPr="00381390">
        <w:rPr>
          <w:rFonts w:ascii="Arial" w:hAnsi="Arial" w:cs="Arial"/>
          <w:b/>
          <w:bCs/>
          <w:sz w:val="22"/>
          <w:szCs w:val="22"/>
          <w:lang w:bidi="bn-IN"/>
        </w:rPr>
        <w:t xml:space="preserve">Integrated Nutrient Management for Improving Soil Organic Carbon </w:t>
      </w:r>
    </w:p>
    <w:p w14:paraId="5D36056D"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Soil fertility and plant nutrient provision can be achieved through integrated nutrient management (INM), which involves optimizing the advantages of all available organic, inorganic, and biological sources in a cohesive manner to sustain desired productivity. (Chandrasekhar Rao 2012). Farmyard manure (FYM) is the most prevalent type of organic </w:t>
      </w:r>
      <w:proofErr w:type="spellStart"/>
      <w:r w:rsidRPr="00381390">
        <w:rPr>
          <w:rFonts w:ascii="Arial" w:hAnsi="Arial" w:cs="Arial"/>
          <w:sz w:val="22"/>
          <w:szCs w:val="22"/>
          <w:lang w:bidi="bn-IN"/>
        </w:rPr>
        <w:t>fertiliser</w:t>
      </w:r>
      <w:proofErr w:type="spellEnd"/>
      <w:r w:rsidRPr="00381390">
        <w:rPr>
          <w:rFonts w:ascii="Arial" w:hAnsi="Arial" w:cs="Arial"/>
          <w:sz w:val="22"/>
          <w:szCs w:val="22"/>
          <w:lang w:bidi="bn-IN"/>
        </w:rPr>
        <w:t xml:space="preserve">. It comprises approximately 0.5% nitrogen, 0.2% phosphorus, and 0.5% potassium, in addition to all secondary and micronutrients. Moreover, it enhances soil moisture retention and overall soil health. Effective management of crop residues is essential for restoring soil fertility and enhancing its physical and biological characteristics. By </w:t>
      </w:r>
      <w:proofErr w:type="spellStart"/>
      <w:r w:rsidRPr="00381390">
        <w:rPr>
          <w:rFonts w:ascii="Arial" w:hAnsi="Arial" w:cs="Arial"/>
          <w:sz w:val="22"/>
          <w:szCs w:val="22"/>
          <w:lang w:bidi="bn-IN"/>
        </w:rPr>
        <w:t>utilising</w:t>
      </w:r>
      <w:proofErr w:type="spellEnd"/>
      <w:r w:rsidRPr="00381390">
        <w:rPr>
          <w:rFonts w:ascii="Arial" w:hAnsi="Arial" w:cs="Arial"/>
          <w:sz w:val="22"/>
          <w:szCs w:val="22"/>
          <w:lang w:bidi="bn-IN"/>
        </w:rPr>
        <w:t xml:space="preserve"> enrichment techniques, such as vermicompost and </w:t>
      </w:r>
      <w:proofErr w:type="spellStart"/>
      <w:r w:rsidRPr="00381390">
        <w:rPr>
          <w:rFonts w:ascii="Arial" w:hAnsi="Arial" w:cs="Arial"/>
          <w:sz w:val="22"/>
          <w:szCs w:val="22"/>
          <w:lang w:bidi="bn-IN"/>
        </w:rPr>
        <w:t>phosphocompost</w:t>
      </w:r>
      <w:proofErr w:type="spellEnd"/>
      <w:r w:rsidRPr="00381390">
        <w:rPr>
          <w:rFonts w:ascii="Arial" w:hAnsi="Arial" w:cs="Arial"/>
          <w:sz w:val="22"/>
          <w:szCs w:val="22"/>
          <w:lang w:bidi="bn-IN"/>
        </w:rPr>
        <w:t xml:space="preserve">, crop residues can be transformed into high-value manure. (Basak et al. 2012). </w:t>
      </w:r>
      <w:proofErr w:type="spellStart"/>
      <w:r w:rsidRPr="00381390">
        <w:rPr>
          <w:rFonts w:ascii="Arial" w:hAnsi="Arial" w:cs="Arial"/>
          <w:sz w:val="22"/>
          <w:szCs w:val="22"/>
          <w:lang w:bidi="bn-IN"/>
        </w:rPr>
        <w:t>Biofertilizers</w:t>
      </w:r>
      <w:proofErr w:type="spellEnd"/>
      <w:r w:rsidRPr="00381390">
        <w:rPr>
          <w:rFonts w:ascii="Arial" w:hAnsi="Arial" w:cs="Arial"/>
          <w:sz w:val="22"/>
          <w:szCs w:val="22"/>
          <w:lang w:bidi="bn-IN"/>
        </w:rPr>
        <w:t xml:space="preserve">, including Rhizobium, </w:t>
      </w:r>
      <w:proofErr w:type="spellStart"/>
      <w:r w:rsidRPr="00381390">
        <w:rPr>
          <w:rFonts w:ascii="Arial" w:hAnsi="Arial" w:cs="Arial"/>
          <w:sz w:val="22"/>
          <w:szCs w:val="22"/>
          <w:lang w:bidi="bn-IN"/>
        </w:rPr>
        <w:t>Azotobacter</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Azospirillum</w:t>
      </w:r>
      <w:proofErr w:type="spellEnd"/>
      <w:r w:rsidRPr="00381390">
        <w:rPr>
          <w:rFonts w:ascii="Arial" w:hAnsi="Arial" w:cs="Arial"/>
          <w:sz w:val="22"/>
          <w:szCs w:val="22"/>
          <w:lang w:bidi="bn-IN"/>
        </w:rPr>
        <w:t xml:space="preserve">, blue-green algae, phosphate-solubilizing organisms, VAM, and cellulose decomposers, are crucial components, especially in arid regions with minimal application of fertilizer. Swarup (1998) reported that integrated nutrient management increased the soil organic carbon concentration in rice soils from less than 5 g per kg in 1973 to approximately 8 g per kg in 1994. Long-term fertilizer experiments in India have demonstrated that balanced </w:t>
      </w:r>
      <w:r w:rsidRPr="00381390">
        <w:rPr>
          <w:rFonts w:ascii="Arial" w:hAnsi="Arial" w:cs="Arial"/>
          <w:sz w:val="22"/>
          <w:szCs w:val="22"/>
          <w:lang w:bidi="bn-IN"/>
        </w:rPr>
        <w:lastRenderedPageBreak/>
        <w:t>fertilization increased the status of soil organic carbon (SOC) in the upper 42 cm of soil by 8 tons per hectare at a rate of 0.25 tons per hectare per year.</w:t>
      </w:r>
    </w:p>
    <w:p w14:paraId="7C7B1A35" w14:textId="77777777" w:rsidR="004E30AC" w:rsidRPr="00381390" w:rsidRDefault="004E30AC" w:rsidP="00381390">
      <w:pPr>
        <w:autoSpaceDE w:val="0"/>
        <w:autoSpaceDN w:val="0"/>
        <w:adjustRightInd w:val="0"/>
        <w:spacing w:line="360" w:lineRule="auto"/>
        <w:jc w:val="both"/>
        <w:rPr>
          <w:rFonts w:ascii="Arial" w:hAnsi="Arial" w:cs="Arial"/>
          <w:sz w:val="22"/>
          <w:szCs w:val="22"/>
          <w:lang w:bidi="bn-IN"/>
        </w:rPr>
      </w:pPr>
    </w:p>
    <w:p w14:paraId="19A96DE0" w14:textId="77777777" w:rsidR="004E30AC" w:rsidRPr="00381390" w:rsidRDefault="00A6618C" w:rsidP="00381390">
      <w:pPr>
        <w:autoSpaceDE w:val="0"/>
        <w:autoSpaceDN w:val="0"/>
        <w:adjustRightInd w:val="0"/>
        <w:spacing w:line="360" w:lineRule="auto"/>
        <w:jc w:val="both"/>
        <w:rPr>
          <w:rFonts w:ascii="Arial" w:hAnsi="Arial" w:cs="Arial"/>
          <w:b/>
          <w:bCs/>
          <w:sz w:val="22"/>
          <w:szCs w:val="22"/>
          <w:lang w:bidi="bn-IN"/>
        </w:rPr>
      </w:pPr>
      <w:r w:rsidRPr="00381390">
        <w:rPr>
          <w:rFonts w:ascii="Arial" w:hAnsi="Arial" w:cs="Arial"/>
          <w:b/>
          <w:bCs/>
          <w:sz w:val="22"/>
          <w:szCs w:val="22"/>
          <w:lang w:bidi="bn-IN"/>
        </w:rPr>
        <w:t xml:space="preserve">On-Farm Strategies for Improving Soil Organic Carbon </w:t>
      </w:r>
    </w:p>
    <w:p w14:paraId="13E8DF5A"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By implementing appropriate on-farm strategies and land management practices, it is possible to increase the uptake of CO2 and decrease its emission, thereby enhancing SOC. A site-specific nutrient management package for individual farmers' fields can be formulated based on the crops cultivated and soil test results. Tillage expedites the depletion of organic matter through heightened oxidation and erosion rates. Consequently, soil disturbance through tillage should be limited to the optimal level necessary for seeding, weed management, and soil aeration. Conservation practices that minimize tillage decelerate the decomposition rate of crop residues on the soil surface and mitigate erosion losses (Pandey and Singh 2012). </w:t>
      </w:r>
    </w:p>
    <w:p w14:paraId="67CD4347" w14:textId="77777777" w:rsidR="004E30AC" w:rsidRPr="00381390" w:rsidRDefault="004E30AC" w:rsidP="00381390">
      <w:pPr>
        <w:autoSpaceDE w:val="0"/>
        <w:autoSpaceDN w:val="0"/>
        <w:adjustRightInd w:val="0"/>
        <w:spacing w:line="360" w:lineRule="auto"/>
        <w:jc w:val="both"/>
        <w:rPr>
          <w:rFonts w:ascii="Arial" w:hAnsi="Arial" w:cs="Arial"/>
          <w:color w:val="C00000"/>
          <w:sz w:val="22"/>
          <w:szCs w:val="22"/>
          <w:highlight w:val="white"/>
          <w:lang w:bidi="bn-IN"/>
        </w:rPr>
      </w:pPr>
    </w:p>
    <w:p w14:paraId="489AF4DA" w14:textId="77777777" w:rsidR="004E30AC" w:rsidRPr="00381390" w:rsidRDefault="00A6618C" w:rsidP="00381390">
      <w:pPr>
        <w:autoSpaceDE w:val="0"/>
        <w:autoSpaceDN w:val="0"/>
        <w:adjustRightInd w:val="0"/>
        <w:spacing w:line="360" w:lineRule="auto"/>
        <w:jc w:val="both"/>
        <w:rPr>
          <w:rFonts w:ascii="Arial" w:hAnsi="Arial" w:cs="Arial"/>
          <w:b/>
          <w:bCs/>
          <w:color w:val="000000" w:themeColor="text1"/>
          <w:sz w:val="22"/>
          <w:szCs w:val="22"/>
          <w:highlight w:val="white"/>
          <w:lang w:bidi="bn-IN"/>
        </w:rPr>
      </w:pPr>
      <w:r w:rsidRPr="00381390">
        <w:rPr>
          <w:rFonts w:ascii="Arial" w:hAnsi="Arial" w:cs="Arial"/>
          <w:b/>
          <w:bCs/>
          <w:color w:val="000000" w:themeColor="text1"/>
          <w:sz w:val="22"/>
          <w:szCs w:val="22"/>
          <w:highlight w:val="white"/>
          <w:lang w:bidi="bn-IN"/>
        </w:rPr>
        <w:t>Microbial Strains That Promote Plant Growth by Enhancing N, P, and S Nutrition</w:t>
      </w:r>
    </w:p>
    <w:p w14:paraId="7BB024E9"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Demonstrating that prospective growth-promoting strains can be successfully reintroduced to plants, colonize the </w:t>
      </w:r>
      <w:proofErr w:type="spellStart"/>
      <w:r w:rsidRPr="00381390">
        <w:rPr>
          <w:rFonts w:ascii="Arial" w:hAnsi="Arial" w:cs="Arial"/>
          <w:sz w:val="22"/>
          <w:szCs w:val="22"/>
        </w:rPr>
        <w:t>rhizospheric</w:t>
      </w:r>
      <w:proofErr w:type="spellEnd"/>
      <w:r w:rsidRPr="00381390">
        <w:rPr>
          <w:rFonts w:ascii="Arial" w:hAnsi="Arial" w:cs="Arial"/>
          <w:sz w:val="22"/>
          <w:szCs w:val="22"/>
        </w:rPr>
        <w:t xml:space="preserve"> environment, and aid in nutrient mobilization that promotes plant growth is crucial for their successful implementation in agriculture. Assays for plant-microbe interactions can be used to assess candidate strains' capacity to improve nutrient uptake and stimulate plant development (</w:t>
      </w:r>
      <w:proofErr w:type="spellStart"/>
      <w:r w:rsidRPr="00381390">
        <w:rPr>
          <w:rFonts w:ascii="Arial" w:hAnsi="Arial" w:cs="Arial"/>
          <w:sz w:val="22"/>
          <w:szCs w:val="22"/>
        </w:rPr>
        <w:t>Ahemad</w:t>
      </w:r>
      <w:proofErr w:type="spellEnd"/>
      <w:r w:rsidRPr="00381390">
        <w:rPr>
          <w:rFonts w:ascii="Arial" w:hAnsi="Arial" w:cs="Arial"/>
          <w:sz w:val="22"/>
          <w:szCs w:val="22"/>
        </w:rPr>
        <w:t xml:space="preserve"> and </w:t>
      </w:r>
      <w:proofErr w:type="spellStart"/>
      <w:r w:rsidRPr="00381390">
        <w:rPr>
          <w:rFonts w:ascii="Arial" w:hAnsi="Arial" w:cs="Arial"/>
          <w:sz w:val="22"/>
          <w:szCs w:val="22"/>
        </w:rPr>
        <w:t>Kibret</w:t>
      </w:r>
      <w:proofErr w:type="spellEnd"/>
      <w:r w:rsidRPr="00381390">
        <w:rPr>
          <w:rFonts w:ascii="Arial" w:hAnsi="Arial" w:cs="Arial"/>
          <w:sz w:val="22"/>
          <w:szCs w:val="22"/>
        </w:rPr>
        <w:t xml:space="preserve">, 2014). This field of study has advanced significantly, especially with regard to nitrogen-fixing Rhizobia. Finding the optimum combinations of plant genotypes and rhizobia strains suited to specific climates and soils has been the focus of decades of research into the best inoculation techniques (Lindstrom et al., 2010). </w:t>
      </w:r>
    </w:p>
    <w:p w14:paraId="2F84F70E"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It is crucial to remember that nitrogenase genes are present in a variety of bacterial taxa when talking about the taxonomy of nitrogen-fixing symbioses (Gyaneshwar et al., 2011). Furthermore, it has been demonstrated that non-leguminous plants have N2-fixing bacterial strains (Santi et al., 2013), indicating that nitrogen fixation may also be facilitated by other plant–microbe interactions (beyond legumes and Rhizobia) (Mus et al., 2016). Increased yields in plants injected with particular bacterial strains suggest that microbial mobilization of different nitrogen sources can stimulate plant growth (</w:t>
      </w:r>
      <w:proofErr w:type="spellStart"/>
      <w:r w:rsidRPr="00381390">
        <w:rPr>
          <w:rFonts w:ascii="Arial" w:hAnsi="Arial" w:cs="Arial"/>
          <w:sz w:val="22"/>
          <w:szCs w:val="22"/>
        </w:rPr>
        <w:t>Shaharoona</w:t>
      </w:r>
      <w:proofErr w:type="spellEnd"/>
      <w:r w:rsidRPr="00381390">
        <w:rPr>
          <w:rFonts w:ascii="Arial" w:hAnsi="Arial" w:cs="Arial"/>
          <w:sz w:val="22"/>
          <w:szCs w:val="22"/>
        </w:rPr>
        <w:t xml:space="preserve"> et al., 2008).</w:t>
      </w:r>
    </w:p>
    <w:p w14:paraId="1B06AA08"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Since the fungus </w:t>
      </w:r>
      <w:proofErr w:type="spellStart"/>
      <w:r w:rsidRPr="00381390">
        <w:rPr>
          <w:rFonts w:ascii="Arial" w:hAnsi="Arial" w:cs="Arial"/>
          <w:sz w:val="22"/>
          <w:szCs w:val="22"/>
        </w:rPr>
        <w:t>Glomus</w:t>
      </w:r>
      <w:proofErr w:type="spellEnd"/>
      <w:r w:rsidRPr="00381390">
        <w:rPr>
          <w:rFonts w:ascii="Arial" w:hAnsi="Arial" w:cs="Arial"/>
          <w:sz w:val="22"/>
          <w:szCs w:val="22"/>
        </w:rPr>
        <w:t xml:space="preserve"> </w:t>
      </w:r>
      <w:proofErr w:type="spellStart"/>
      <w:r w:rsidRPr="00381390">
        <w:rPr>
          <w:rFonts w:ascii="Arial" w:hAnsi="Arial" w:cs="Arial"/>
          <w:sz w:val="22"/>
          <w:szCs w:val="22"/>
        </w:rPr>
        <w:t>intraradices</w:t>
      </w:r>
      <w:proofErr w:type="spellEnd"/>
      <w:r w:rsidRPr="00381390">
        <w:rPr>
          <w:rFonts w:ascii="Arial" w:hAnsi="Arial" w:cs="Arial"/>
          <w:sz w:val="22"/>
          <w:szCs w:val="22"/>
        </w:rPr>
        <w:t xml:space="preserve"> has been shown by Thirkell et al. (2016) to be able to transfer organic nitrogen to plants, further research could look at other fungal strains </w:t>
      </w:r>
      <w:r w:rsidRPr="00381390">
        <w:rPr>
          <w:rFonts w:ascii="Arial" w:hAnsi="Arial" w:cs="Arial"/>
          <w:sz w:val="22"/>
          <w:szCs w:val="22"/>
        </w:rPr>
        <w:lastRenderedPageBreak/>
        <w:t>that have this ability and determine the genes and mechanisms involved. Numerous reports of bacterial and fungal strains that can mineralize organic phosphorus and solubilize inorganic phosphorus are found in the literature (</w:t>
      </w:r>
      <w:proofErr w:type="spellStart"/>
      <w:r w:rsidRPr="00381390">
        <w:rPr>
          <w:rFonts w:ascii="Arial" w:hAnsi="Arial" w:cs="Arial"/>
          <w:sz w:val="22"/>
          <w:szCs w:val="22"/>
        </w:rPr>
        <w:t>Plassard</w:t>
      </w:r>
      <w:proofErr w:type="spellEnd"/>
      <w:r w:rsidRPr="00381390">
        <w:rPr>
          <w:rFonts w:ascii="Arial" w:hAnsi="Arial" w:cs="Arial"/>
          <w:sz w:val="22"/>
          <w:szCs w:val="22"/>
        </w:rPr>
        <w:t xml:space="preserve"> et al., 2011; </w:t>
      </w:r>
      <w:proofErr w:type="spellStart"/>
      <w:r w:rsidRPr="00381390">
        <w:rPr>
          <w:rFonts w:ascii="Arial" w:hAnsi="Arial" w:cs="Arial"/>
          <w:sz w:val="22"/>
          <w:szCs w:val="22"/>
        </w:rPr>
        <w:t>Ahemad</w:t>
      </w:r>
      <w:proofErr w:type="spellEnd"/>
      <w:r w:rsidRPr="00381390">
        <w:rPr>
          <w:rFonts w:ascii="Arial" w:hAnsi="Arial" w:cs="Arial"/>
          <w:sz w:val="22"/>
          <w:szCs w:val="22"/>
        </w:rPr>
        <w:t xml:space="preserve"> and </w:t>
      </w:r>
      <w:proofErr w:type="spellStart"/>
      <w:r w:rsidRPr="00381390">
        <w:rPr>
          <w:rFonts w:ascii="Arial" w:hAnsi="Arial" w:cs="Arial"/>
          <w:sz w:val="22"/>
          <w:szCs w:val="22"/>
        </w:rPr>
        <w:t>Kibret</w:t>
      </w:r>
      <w:proofErr w:type="spellEnd"/>
      <w:r w:rsidRPr="00381390">
        <w:rPr>
          <w:rFonts w:ascii="Arial" w:hAnsi="Arial" w:cs="Arial"/>
          <w:sz w:val="22"/>
          <w:szCs w:val="22"/>
        </w:rPr>
        <w:t xml:space="preserve">, 2014). Although many P-mobilizing strains have also been found to be growth-promoting microorganisms, there are a variety of ways in which microbial promotion of plant development takes place. Whether P-mobilization is the cause of the plant growth boost seen with these strains is sometimes still up for debate (Richardson and Simpson, 2011). </w:t>
      </w:r>
    </w:p>
    <w:p w14:paraId="69B5B57E"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Genetic deletion of the sulfonate monooxygenase enzyme has been used in studies on a Pseudomonas strain that promotes plant growth to show that organic-S mineralization contributes to part of the growth-promoting phenotype (Kertesz and Mirleau, 2004). </w:t>
      </w:r>
      <w:r w:rsidRPr="00381390">
        <w:rPr>
          <w:rFonts w:ascii="Arial" w:hAnsi="Arial" w:cs="Arial"/>
          <w:sz w:val="22"/>
          <w:szCs w:val="22"/>
        </w:rPr>
        <w:br/>
        <w:t xml:space="preserve">Researchers are now compiling a significant number of genomically sequenced bacterial isolates that can be reassembled into </w:t>
      </w:r>
      <w:proofErr w:type="spellStart"/>
      <w:r w:rsidRPr="00381390">
        <w:rPr>
          <w:rFonts w:ascii="Arial" w:hAnsi="Arial" w:cs="Arial"/>
          <w:sz w:val="22"/>
          <w:szCs w:val="22"/>
        </w:rPr>
        <w:t>SynComs</w:t>
      </w:r>
      <w:proofErr w:type="spellEnd"/>
      <w:r w:rsidRPr="00381390">
        <w:rPr>
          <w:rFonts w:ascii="Arial" w:hAnsi="Arial" w:cs="Arial"/>
          <w:sz w:val="22"/>
          <w:szCs w:val="22"/>
        </w:rPr>
        <w:t xml:space="preserve"> (</w:t>
      </w:r>
      <w:proofErr w:type="spellStart"/>
      <w:r w:rsidRPr="00381390">
        <w:rPr>
          <w:rFonts w:ascii="Arial" w:hAnsi="Arial" w:cs="Arial"/>
          <w:sz w:val="22"/>
          <w:szCs w:val="22"/>
        </w:rPr>
        <w:t>Bai</w:t>
      </w:r>
      <w:proofErr w:type="spellEnd"/>
      <w:r w:rsidRPr="00381390">
        <w:rPr>
          <w:rFonts w:ascii="Arial" w:hAnsi="Arial" w:cs="Arial"/>
          <w:sz w:val="22"/>
          <w:szCs w:val="22"/>
        </w:rPr>
        <w:t xml:space="preserve"> et al., 2015; Xia et al., 2015). </w:t>
      </w:r>
    </w:p>
    <w:p w14:paraId="7B0092A3" w14:textId="77777777" w:rsidR="00976F42" w:rsidRPr="00381390" w:rsidRDefault="00976F42" w:rsidP="00381390">
      <w:pPr>
        <w:spacing w:line="360" w:lineRule="auto"/>
        <w:jc w:val="both"/>
        <w:rPr>
          <w:rFonts w:ascii="Arial" w:hAnsi="Arial" w:cs="Arial"/>
          <w:sz w:val="22"/>
          <w:szCs w:val="22"/>
          <w:lang w:bidi="bn-IN"/>
        </w:rPr>
      </w:pPr>
    </w:p>
    <w:p w14:paraId="60067EAF"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b/>
          <w:bCs/>
          <w:color w:val="000000" w:themeColor="text1"/>
          <w:sz w:val="22"/>
          <w:szCs w:val="22"/>
        </w:rPr>
        <w:t>Nitrogen-supplying</w:t>
      </w:r>
      <w:r w:rsidR="00381390">
        <w:rPr>
          <w:rFonts w:ascii="Arial" w:hAnsi="Arial" w:cs="Arial"/>
          <w:b/>
          <w:bCs/>
          <w:color w:val="000000" w:themeColor="text1"/>
          <w:sz w:val="22"/>
          <w:szCs w:val="22"/>
        </w:rPr>
        <w:t xml:space="preserve"> </w:t>
      </w:r>
      <w:r w:rsidRPr="00381390">
        <w:rPr>
          <w:rFonts w:ascii="Arial" w:hAnsi="Arial" w:cs="Arial"/>
          <w:b/>
          <w:bCs/>
          <w:color w:val="000000" w:themeColor="text1"/>
          <w:sz w:val="22"/>
          <w:szCs w:val="22"/>
        </w:rPr>
        <w:t>biofertilizers</w:t>
      </w:r>
      <w:r w:rsidRPr="00381390">
        <w:rPr>
          <w:rFonts w:ascii="Arial" w:hAnsi="Arial" w:cs="Arial"/>
          <w:color w:val="000000" w:themeColor="text1"/>
          <w:sz w:val="22"/>
          <w:szCs w:val="22"/>
        </w:rPr>
        <w:t xml:space="preserve"> </w:t>
      </w:r>
      <w:r w:rsidRPr="00381390">
        <w:rPr>
          <w:rFonts w:ascii="Arial" w:hAnsi="Arial" w:cs="Arial"/>
          <w:color w:val="000000" w:themeColor="text1"/>
          <w:sz w:val="22"/>
          <w:szCs w:val="22"/>
        </w:rPr>
        <w:br/>
      </w:r>
      <w:r w:rsidRPr="00381390">
        <w:rPr>
          <w:rFonts w:ascii="Arial" w:eastAsia="SimSun" w:hAnsi="Arial" w:cs="Arial"/>
          <w:sz w:val="22"/>
          <w:szCs w:val="22"/>
          <w:lang w:eastAsia="zh-CN" w:bidi="ar"/>
        </w:rPr>
        <w:t xml:space="preserve">Numerous free-living bacteria found in soil or in symbiotic relationships with plants fix a significant amount of atmospheric nitrogen (78% by volume). A profile of some microorganisms that fix atmospheric nitrogen and are used in biofertilizers is shown in Table </w:t>
      </w:r>
      <w:commentRangeStart w:id="9"/>
      <w:r w:rsidRPr="00381390">
        <w:rPr>
          <w:rFonts w:ascii="Arial" w:eastAsia="SimSun" w:hAnsi="Arial" w:cs="Arial"/>
          <w:sz w:val="22"/>
          <w:szCs w:val="22"/>
          <w:lang w:eastAsia="zh-CN" w:bidi="ar"/>
        </w:rPr>
        <w:t>1</w:t>
      </w:r>
      <w:commentRangeEnd w:id="9"/>
      <w:r w:rsidR="00582119">
        <w:rPr>
          <w:rStyle w:val="CommentReference"/>
        </w:rPr>
        <w:commentReference w:id="9"/>
      </w:r>
      <w:r w:rsidRPr="00381390">
        <w:rPr>
          <w:rFonts w:ascii="Arial" w:eastAsia="SimSun" w:hAnsi="Arial" w:cs="Arial"/>
          <w:sz w:val="22"/>
          <w:szCs w:val="22"/>
          <w:lang w:eastAsia="zh-CN" w:bidi="ar"/>
        </w:rPr>
        <w:t>.</w:t>
      </w:r>
    </w:p>
    <w:p w14:paraId="7436E8FF" w14:textId="77777777" w:rsidR="004E30AC" w:rsidRPr="00381390" w:rsidRDefault="00A6618C" w:rsidP="00381390">
      <w:pPr>
        <w:spacing w:after="160"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br w:type="page"/>
      </w:r>
    </w:p>
    <w:p w14:paraId="79956E47"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Table 1. A profile of different biofertilizers which fix nitrogen</w:t>
      </w:r>
    </w:p>
    <w:tbl>
      <w:tblPr>
        <w:tblStyle w:val="TableGrid"/>
        <w:tblW w:w="0" w:type="auto"/>
        <w:tblLayout w:type="fixed"/>
        <w:tblLook w:val="04A0" w:firstRow="1" w:lastRow="0" w:firstColumn="1" w:lastColumn="0" w:noHBand="0" w:noVBand="1"/>
      </w:tblPr>
      <w:tblGrid>
        <w:gridCol w:w="417"/>
        <w:gridCol w:w="1616"/>
        <w:gridCol w:w="2282"/>
        <w:gridCol w:w="2430"/>
        <w:gridCol w:w="2605"/>
      </w:tblGrid>
      <w:tr w:rsidR="004E30AC" w:rsidRPr="00381390" w14:paraId="15FDE67F" w14:textId="77777777">
        <w:trPr>
          <w:trHeight w:val="300"/>
        </w:trPr>
        <w:tc>
          <w:tcPr>
            <w:tcW w:w="417" w:type="dxa"/>
            <w:noWrap/>
          </w:tcPr>
          <w:p w14:paraId="74B48C81" w14:textId="77777777" w:rsidR="004E30AC" w:rsidRPr="00381390" w:rsidRDefault="00A6618C" w:rsidP="00381390">
            <w:pPr>
              <w:spacing w:line="360" w:lineRule="auto"/>
              <w:jc w:val="both"/>
              <w:rPr>
                <w:rFonts w:ascii="Arial" w:hAnsi="Arial" w:cs="Arial"/>
                <w:b/>
                <w:bCs/>
                <w:sz w:val="20"/>
                <w:szCs w:val="20"/>
              </w:rPr>
            </w:pPr>
            <w:commentRangeStart w:id="10"/>
            <w:proofErr w:type="spellStart"/>
            <w:r w:rsidRPr="00381390">
              <w:rPr>
                <w:rFonts w:ascii="Arial" w:hAnsi="Arial" w:cs="Arial"/>
                <w:b/>
                <w:bCs/>
                <w:sz w:val="20"/>
                <w:szCs w:val="20"/>
              </w:rPr>
              <w:t>Sl</w:t>
            </w:r>
            <w:proofErr w:type="spellEnd"/>
          </w:p>
        </w:tc>
        <w:tc>
          <w:tcPr>
            <w:tcW w:w="1616" w:type="dxa"/>
          </w:tcPr>
          <w:p w14:paraId="4D7F34A9"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Biofertilizer</w:t>
            </w:r>
          </w:p>
        </w:tc>
        <w:tc>
          <w:tcPr>
            <w:tcW w:w="2282" w:type="dxa"/>
          </w:tcPr>
          <w:p w14:paraId="241424B8"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Function/Contribution</w:t>
            </w:r>
          </w:p>
        </w:tc>
        <w:tc>
          <w:tcPr>
            <w:tcW w:w="2430" w:type="dxa"/>
          </w:tcPr>
          <w:p w14:paraId="33D15AD8"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Limitations</w:t>
            </w:r>
          </w:p>
        </w:tc>
        <w:tc>
          <w:tcPr>
            <w:tcW w:w="2605" w:type="dxa"/>
          </w:tcPr>
          <w:p w14:paraId="0196EC8F"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Used for crops</w:t>
            </w:r>
          </w:p>
        </w:tc>
      </w:tr>
      <w:tr w:rsidR="004E30AC" w:rsidRPr="00381390" w14:paraId="5FC1059E" w14:textId="77777777">
        <w:trPr>
          <w:trHeight w:val="600"/>
        </w:trPr>
        <w:tc>
          <w:tcPr>
            <w:tcW w:w="417" w:type="dxa"/>
            <w:vMerge w:val="restart"/>
            <w:noWrap/>
          </w:tcPr>
          <w:p w14:paraId="4880409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1</w:t>
            </w:r>
          </w:p>
        </w:tc>
        <w:tc>
          <w:tcPr>
            <w:tcW w:w="1616" w:type="dxa"/>
            <w:vMerge w:val="restart"/>
          </w:tcPr>
          <w:p w14:paraId="7B3BF8B9"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Rhizobium</w:t>
            </w:r>
          </w:p>
        </w:tc>
        <w:tc>
          <w:tcPr>
            <w:tcW w:w="2282" w:type="dxa"/>
          </w:tcPr>
          <w:p w14:paraId="46C1DB6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50-100 kg N/ha</w:t>
            </w:r>
          </w:p>
        </w:tc>
        <w:tc>
          <w:tcPr>
            <w:tcW w:w="2430" w:type="dxa"/>
          </w:tcPr>
          <w:p w14:paraId="1609C99E"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only with legumes symbiotically</w:t>
            </w:r>
          </w:p>
        </w:tc>
        <w:tc>
          <w:tcPr>
            <w:tcW w:w="2605" w:type="dxa"/>
          </w:tcPr>
          <w:p w14:paraId="108880C7"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Pulse &amp; legumes like chickpea red gram, pea, lentil, black gram etc.,</w:t>
            </w:r>
          </w:p>
        </w:tc>
      </w:tr>
      <w:tr w:rsidR="004E30AC" w:rsidRPr="00381390" w14:paraId="5F8F081E" w14:textId="77777777">
        <w:trPr>
          <w:trHeight w:val="600"/>
        </w:trPr>
        <w:tc>
          <w:tcPr>
            <w:tcW w:w="417" w:type="dxa"/>
            <w:vMerge/>
          </w:tcPr>
          <w:p w14:paraId="0B016880"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5012B1C5" w14:textId="77777777" w:rsidR="004E30AC" w:rsidRPr="00381390" w:rsidRDefault="004E30AC" w:rsidP="00381390">
            <w:pPr>
              <w:spacing w:line="360" w:lineRule="auto"/>
              <w:jc w:val="both"/>
              <w:rPr>
                <w:rFonts w:ascii="Arial" w:hAnsi="Arial" w:cs="Arial"/>
                <w:sz w:val="20"/>
                <w:szCs w:val="20"/>
              </w:rPr>
            </w:pPr>
          </w:p>
        </w:tc>
        <w:tc>
          <w:tcPr>
            <w:tcW w:w="2282" w:type="dxa"/>
          </w:tcPr>
          <w:p w14:paraId="783AA00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10-35% increase in yield</w:t>
            </w:r>
          </w:p>
        </w:tc>
        <w:tc>
          <w:tcPr>
            <w:tcW w:w="2430" w:type="dxa"/>
          </w:tcPr>
          <w:p w14:paraId="7C1A98C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Visible effect not reflected in traditional area, Needs optimum P&amp; Mo demands</w:t>
            </w:r>
          </w:p>
        </w:tc>
        <w:tc>
          <w:tcPr>
            <w:tcW w:w="2605" w:type="dxa"/>
          </w:tcPr>
          <w:p w14:paraId="236472A6"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 Oil seed legumes like soybean &amp; groundnut, </w:t>
            </w:r>
          </w:p>
        </w:tc>
      </w:tr>
      <w:tr w:rsidR="004E30AC" w:rsidRPr="00381390" w14:paraId="4113E618" w14:textId="77777777">
        <w:trPr>
          <w:trHeight w:val="300"/>
        </w:trPr>
        <w:tc>
          <w:tcPr>
            <w:tcW w:w="417" w:type="dxa"/>
            <w:vMerge/>
          </w:tcPr>
          <w:p w14:paraId="0D37617C"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20A38BD2" w14:textId="77777777" w:rsidR="004E30AC" w:rsidRPr="00381390" w:rsidRDefault="004E30AC" w:rsidP="00381390">
            <w:pPr>
              <w:spacing w:line="360" w:lineRule="auto"/>
              <w:jc w:val="both"/>
              <w:rPr>
                <w:rFonts w:ascii="Arial" w:hAnsi="Arial" w:cs="Arial"/>
                <w:sz w:val="20"/>
                <w:szCs w:val="20"/>
              </w:rPr>
            </w:pPr>
          </w:p>
        </w:tc>
        <w:tc>
          <w:tcPr>
            <w:tcW w:w="2282" w:type="dxa"/>
          </w:tcPr>
          <w:p w14:paraId="3D37AC7D"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iii. Leaves residual N </w:t>
            </w:r>
          </w:p>
        </w:tc>
        <w:tc>
          <w:tcPr>
            <w:tcW w:w="2430" w:type="dxa"/>
          </w:tcPr>
          <w:p w14:paraId="1BE10FE7"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iii. High organic matter</w:t>
            </w:r>
          </w:p>
        </w:tc>
        <w:tc>
          <w:tcPr>
            <w:tcW w:w="2605" w:type="dxa"/>
          </w:tcPr>
          <w:p w14:paraId="242BD84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iii. Forage legumes like clover and lucerne, </w:t>
            </w:r>
          </w:p>
        </w:tc>
      </w:tr>
      <w:tr w:rsidR="004E30AC" w:rsidRPr="00381390" w14:paraId="65DC7550" w14:textId="77777777">
        <w:trPr>
          <w:trHeight w:val="300"/>
        </w:trPr>
        <w:tc>
          <w:tcPr>
            <w:tcW w:w="417" w:type="dxa"/>
            <w:vMerge/>
          </w:tcPr>
          <w:p w14:paraId="336EEE34"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41B4FF4E" w14:textId="77777777" w:rsidR="004E30AC" w:rsidRPr="00381390" w:rsidRDefault="004E30AC" w:rsidP="00381390">
            <w:pPr>
              <w:spacing w:line="360" w:lineRule="auto"/>
              <w:jc w:val="both"/>
              <w:rPr>
                <w:rFonts w:ascii="Arial" w:hAnsi="Arial" w:cs="Arial"/>
                <w:sz w:val="20"/>
                <w:szCs w:val="20"/>
              </w:rPr>
            </w:pPr>
          </w:p>
        </w:tc>
        <w:tc>
          <w:tcPr>
            <w:tcW w:w="2282" w:type="dxa"/>
          </w:tcPr>
          <w:p w14:paraId="57B338F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tcPr>
          <w:p w14:paraId="119C34B8"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Pr>
          <w:p w14:paraId="309F2F0B"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iv. Tree legumes like Leucaena</w:t>
            </w:r>
          </w:p>
        </w:tc>
      </w:tr>
      <w:tr w:rsidR="004E30AC" w:rsidRPr="00381390" w14:paraId="38E9824A" w14:textId="77777777">
        <w:trPr>
          <w:trHeight w:val="900"/>
        </w:trPr>
        <w:tc>
          <w:tcPr>
            <w:tcW w:w="417" w:type="dxa"/>
            <w:vMerge w:val="restart"/>
            <w:shd w:val="clear" w:color="auto" w:fill="FFFFFF" w:themeFill="background1"/>
            <w:noWrap/>
          </w:tcPr>
          <w:p w14:paraId="558D605E"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2</w:t>
            </w:r>
          </w:p>
        </w:tc>
        <w:tc>
          <w:tcPr>
            <w:tcW w:w="1616" w:type="dxa"/>
            <w:vMerge w:val="restart"/>
            <w:shd w:val="clear" w:color="auto" w:fill="FFFFFF" w:themeFill="background1"/>
          </w:tcPr>
          <w:p w14:paraId="2BB6DBF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Azotobacter- (non-symbiotic)</w:t>
            </w:r>
          </w:p>
        </w:tc>
        <w:tc>
          <w:tcPr>
            <w:tcW w:w="2282" w:type="dxa"/>
            <w:shd w:val="clear" w:color="auto" w:fill="FFFFFF" w:themeFill="background1"/>
          </w:tcPr>
          <w:p w14:paraId="2121D9E4"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20-25 kg N/ha</w:t>
            </w:r>
          </w:p>
        </w:tc>
        <w:tc>
          <w:tcPr>
            <w:tcW w:w="2430" w:type="dxa"/>
            <w:shd w:val="clear" w:color="auto" w:fill="FFFFFF" w:themeFill="background1"/>
          </w:tcPr>
          <w:p w14:paraId="2AB0D207"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Visible effect not reflected in traditional area, Needs optimum P&amp; Mo Demands</w:t>
            </w:r>
          </w:p>
        </w:tc>
        <w:tc>
          <w:tcPr>
            <w:tcW w:w="2605" w:type="dxa"/>
            <w:shd w:val="clear" w:color="auto" w:fill="FFFFFF" w:themeFill="background1"/>
          </w:tcPr>
          <w:p w14:paraId="5C7613FC"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Wheat, maize, cotton, sorghum, sugarcane, pearl millet, rice and vegetables and several other crops</w:t>
            </w:r>
          </w:p>
        </w:tc>
      </w:tr>
      <w:tr w:rsidR="004E30AC" w:rsidRPr="00381390" w14:paraId="2EA7B1CB" w14:textId="77777777">
        <w:trPr>
          <w:trHeight w:val="300"/>
        </w:trPr>
        <w:tc>
          <w:tcPr>
            <w:tcW w:w="417" w:type="dxa"/>
            <w:vMerge/>
            <w:shd w:val="clear" w:color="auto" w:fill="FFFFFF" w:themeFill="background1"/>
          </w:tcPr>
          <w:p w14:paraId="71381F41" w14:textId="77777777" w:rsidR="004E30AC" w:rsidRPr="00381390" w:rsidRDefault="004E30AC" w:rsidP="00381390">
            <w:pPr>
              <w:spacing w:line="360" w:lineRule="auto"/>
              <w:jc w:val="both"/>
              <w:rPr>
                <w:rFonts w:ascii="Arial" w:hAnsi="Arial" w:cs="Arial"/>
                <w:sz w:val="20"/>
                <w:szCs w:val="20"/>
              </w:rPr>
            </w:pPr>
          </w:p>
        </w:tc>
        <w:tc>
          <w:tcPr>
            <w:tcW w:w="1616" w:type="dxa"/>
            <w:vMerge/>
            <w:shd w:val="clear" w:color="auto" w:fill="FFFFFF" w:themeFill="background1"/>
          </w:tcPr>
          <w:p w14:paraId="111400AB" w14:textId="77777777" w:rsidR="004E30AC" w:rsidRPr="00381390" w:rsidRDefault="004E30AC" w:rsidP="00381390">
            <w:pPr>
              <w:spacing w:line="360" w:lineRule="auto"/>
              <w:jc w:val="both"/>
              <w:rPr>
                <w:rFonts w:ascii="Arial" w:hAnsi="Arial" w:cs="Arial"/>
                <w:sz w:val="20"/>
                <w:szCs w:val="20"/>
              </w:rPr>
            </w:pPr>
          </w:p>
        </w:tc>
        <w:tc>
          <w:tcPr>
            <w:tcW w:w="2282" w:type="dxa"/>
            <w:shd w:val="clear" w:color="auto" w:fill="FFFFFF" w:themeFill="background1"/>
          </w:tcPr>
          <w:p w14:paraId="476A63EE"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shd w:val="clear" w:color="auto" w:fill="FFFFFF" w:themeFill="background1"/>
          </w:tcPr>
          <w:p w14:paraId="57888A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High organic matter</w:t>
            </w:r>
          </w:p>
        </w:tc>
        <w:tc>
          <w:tcPr>
            <w:tcW w:w="2605" w:type="dxa"/>
            <w:shd w:val="clear" w:color="auto" w:fill="FFFFFF" w:themeFill="background1"/>
          </w:tcPr>
          <w:p w14:paraId="2C25512B"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132B1E06" w14:textId="77777777">
        <w:trPr>
          <w:trHeight w:val="300"/>
        </w:trPr>
        <w:tc>
          <w:tcPr>
            <w:tcW w:w="417" w:type="dxa"/>
            <w:vMerge w:val="restart"/>
            <w:noWrap/>
          </w:tcPr>
          <w:p w14:paraId="725C840C"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3</w:t>
            </w:r>
          </w:p>
        </w:tc>
        <w:tc>
          <w:tcPr>
            <w:tcW w:w="1616" w:type="dxa"/>
            <w:vMerge w:val="restart"/>
          </w:tcPr>
          <w:p w14:paraId="6242AF4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Azospirillum</w:t>
            </w:r>
            <w:proofErr w:type="spellEnd"/>
            <w:r w:rsidRPr="00381390">
              <w:rPr>
                <w:rFonts w:ascii="Arial" w:hAnsi="Arial" w:cs="Arial"/>
                <w:sz w:val="20"/>
                <w:szCs w:val="20"/>
              </w:rPr>
              <w:t xml:space="preserve"> (Associative)</w:t>
            </w:r>
          </w:p>
        </w:tc>
        <w:tc>
          <w:tcPr>
            <w:tcW w:w="2282" w:type="dxa"/>
          </w:tcPr>
          <w:p w14:paraId="334A23DC"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10-15% increase in yield</w:t>
            </w:r>
          </w:p>
        </w:tc>
        <w:tc>
          <w:tcPr>
            <w:tcW w:w="2430" w:type="dxa"/>
          </w:tcPr>
          <w:p w14:paraId="3E4E8132" w14:textId="77777777" w:rsidR="004E30AC" w:rsidRPr="00381390" w:rsidRDefault="004E30AC" w:rsidP="00381390">
            <w:pPr>
              <w:spacing w:line="360" w:lineRule="auto"/>
              <w:jc w:val="both"/>
              <w:rPr>
                <w:rFonts w:ascii="Arial" w:hAnsi="Arial" w:cs="Arial"/>
                <w:sz w:val="20"/>
                <w:szCs w:val="20"/>
              </w:rPr>
            </w:pPr>
          </w:p>
        </w:tc>
        <w:tc>
          <w:tcPr>
            <w:tcW w:w="2605" w:type="dxa"/>
          </w:tcPr>
          <w:p w14:paraId="64BF1F92"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For all cereals, sorghum millets etc.</w:t>
            </w:r>
          </w:p>
        </w:tc>
      </w:tr>
      <w:tr w:rsidR="004E30AC" w:rsidRPr="00381390" w14:paraId="739045F5" w14:textId="77777777">
        <w:trPr>
          <w:trHeight w:val="600"/>
        </w:trPr>
        <w:tc>
          <w:tcPr>
            <w:tcW w:w="417" w:type="dxa"/>
            <w:vMerge/>
          </w:tcPr>
          <w:p w14:paraId="782B9AED"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3BE372A1" w14:textId="77777777" w:rsidR="004E30AC" w:rsidRPr="00381390" w:rsidRDefault="004E30AC" w:rsidP="00381390">
            <w:pPr>
              <w:spacing w:line="360" w:lineRule="auto"/>
              <w:jc w:val="both"/>
              <w:rPr>
                <w:rFonts w:ascii="Arial" w:hAnsi="Arial" w:cs="Arial"/>
                <w:sz w:val="20"/>
                <w:szCs w:val="20"/>
              </w:rPr>
            </w:pPr>
          </w:p>
        </w:tc>
        <w:tc>
          <w:tcPr>
            <w:tcW w:w="2282" w:type="dxa"/>
          </w:tcPr>
          <w:p w14:paraId="1FB1602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Production of growth promoting substances</w:t>
            </w:r>
          </w:p>
        </w:tc>
        <w:tc>
          <w:tcPr>
            <w:tcW w:w="2430" w:type="dxa"/>
          </w:tcPr>
          <w:p w14:paraId="72C1C36D"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Pr>
          <w:p w14:paraId="0E732CF4"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0022B568" w14:textId="77777777">
        <w:trPr>
          <w:trHeight w:val="300"/>
        </w:trPr>
        <w:tc>
          <w:tcPr>
            <w:tcW w:w="417" w:type="dxa"/>
            <w:vMerge/>
          </w:tcPr>
          <w:p w14:paraId="00D8C67D"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17434DE7" w14:textId="77777777" w:rsidR="004E30AC" w:rsidRPr="00381390" w:rsidRDefault="004E30AC" w:rsidP="00381390">
            <w:pPr>
              <w:spacing w:line="360" w:lineRule="auto"/>
              <w:jc w:val="both"/>
              <w:rPr>
                <w:rFonts w:ascii="Arial" w:hAnsi="Arial" w:cs="Arial"/>
                <w:sz w:val="20"/>
                <w:szCs w:val="20"/>
              </w:rPr>
            </w:pPr>
          </w:p>
        </w:tc>
        <w:tc>
          <w:tcPr>
            <w:tcW w:w="2282" w:type="dxa"/>
          </w:tcPr>
          <w:p w14:paraId="0C105C0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iii. Fixation of 20-30 kg N/ha</w:t>
            </w:r>
          </w:p>
        </w:tc>
        <w:tc>
          <w:tcPr>
            <w:tcW w:w="2430" w:type="dxa"/>
          </w:tcPr>
          <w:p w14:paraId="6AA66379"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Borders>
              <w:bottom w:val="single" w:sz="4" w:space="0" w:color="auto"/>
            </w:tcBorders>
          </w:tcPr>
          <w:p w14:paraId="0C42F7A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69C64E6C" w14:textId="77777777">
        <w:trPr>
          <w:trHeight w:val="600"/>
        </w:trPr>
        <w:tc>
          <w:tcPr>
            <w:tcW w:w="417" w:type="dxa"/>
            <w:vMerge w:val="restart"/>
            <w:shd w:val="clear" w:color="auto" w:fill="FFFFFF" w:themeFill="background1"/>
            <w:noWrap/>
          </w:tcPr>
          <w:p w14:paraId="4E9609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4</w:t>
            </w:r>
          </w:p>
        </w:tc>
        <w:tc>
          <w:tcPr>
            <w:tcW w:w="1616" w:type="dxa"/>
            <w:vMerge w:val="restart"/>
            <w:shd w:val="clear" w:color="auto" w:fill="FFFFFF" w:themeFill="background1"/>
          </w:tcPr>
          <w:p w14:paraId="6CE659B7"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Blue Green Algae or Cyanobacteria (Phototrophic) in yield</w:t>
            </w:r>
          </w:p>
        </w:tc>
        <w:tc>
          <w:tcPr>
            <w:tcW w:w="2282" w:type="dxa"/>
            <w:shd w:val="clear" w:color="auto" w:fill="FFFFFF" w:themeFill="background1"/>
          </w:tcPr>
          <w:p w14:paraId="5C0CC4D4"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Production of growth promoting substances</w:t>
            </w:r>
          </w:p>
        </w:tc>
        <w:tc>
          <w:tcPr>
            <w:tcW w:w="2430" w:type="dxa"/>
            <w:tcBorders>
              <w:right w:val="single" w:sz="4" w:space="0" w:color="auto"/>
            </w:tcBorders>
            <w:shd w:val="clear" w:color="auto" w:fill="FFFFFF" w:themeFill="background1"/>
          </w:tcPr>
          <w:p w14:paraId="70E7E2E3"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Effective only in submerged rice</w:t>
            </w: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AF8118F"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Flooded rice</w:t>
            </w:r>
          </w:p>
        </w:tc>
      </w:tr>
      <w:tr w:rsidR="004E30AC" w:rsidRPr="00381390" w14:paraId="2C1CFAFC" w14:textId="77777777">
        <w:trPr>
          <w:trHeight w:val="300"/>
        </w:trPr>
        <w:tc>
          <w:tcPr>
            <w:tcW w:w="417" w:type="dxa"/>
            <w:vMerge/>
            <w:shd w:val="clear" w:color="auto" w:fill="E2EFD9" w:themeFill="accent6" w:themeFillTint="33"/>
          </w:tcPr>
          <w:p w14:paraId="77BB7D44" w14:textId="77777777" w:rsidR="004E30AC" w:rsidRPr="00381390" w:rsidRDefault="004E30AC" w:rsidP="00381390">
            <w:pPr>
              <w:spacing w:line="360" w:lineRule="auto"/>
              <w:jc w:val="both"/>
              <w:rPr>
                <w:rFonts w:ascii="Arial" w:hAnsi="Arial" w:cs="Arial"/>
                <w:sz w:val="20"/>
                <w:szCs w:val="20"/>
              </w:rPr>
            </w:pPr>
          </w:p>
        </w:tc>
        <w:tc>
          <w:tcPr>
            <w:tcW w:w="1616" w:type="dxa"/>
            <w:vMerge/>
            <w:shd w:val="clear" w:color="auto" w:fill="E2EFD9" w:themeFill="accent6" w:themeFillTint="33"/>
          </w:tcPr>
          <w:p w14:paraId="6EC19974" w14:textId="77777777" w:rsidR="004E30AC" w:rsidRPr="00381390" w:rsidRDefault="004E30AC" w:rsidP="00381390">
            <w:pPr>
              <w:spacing w:line="360" w:lineRule="auto"/>
              <w:jc w:val="both"/>
              <w:rPr>
                <w:rFonts w:ascii="Arial" w:hAnsi="Arial" w:cs="Arial"/>
                <w:sz w:val="20"/>
                <w:szCs w:val="20"/>
              </w:rPr>
            </w:pPr>
          </w:p>
        </w:tc>
        <w:tc>
          <w:tcPr>
            <w:tcW w:w="2282" w:type="dxa"/>
            <w:shd w:val="clear" w:color="auto" w:fill="FFFFFF" w:themeFill="background1"/>
          </w:tcPr>
          <w:p w14:paraId="1428EBC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tcBorders>
              <w:right w:val="single" w:sz="4" w:space="0" w:color="auto"/>
            </w:tcBorders>
            <w:shd w:val="clear" w:color="auto" w:fill="FFFFFF" w:themeFill="background1"/>
          </w:tcPr>
          <w:p w14:paraId="00EB10A3"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Demands bright</w:t>
            </w: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E5AD" w14:textId="77777777" w:rsidR="004E30AC" w:rsidRPr="00381390" w:rsidRDefault="004E30AC" w:rsidP="00381390">
            <w:pPr>
              <w:spacing w:line="360" w:lineRule="auto"/>
              <w:jc w:val="both"/>
              <w:rPr>
                <w:rFonts w:ascii="Arial" w:hAnsi="Arial" w:cs="Arial"/>
                <w:sz w:val="20"/>
                <w:szCs w:val="20"/>
              </w:rPr>
            </w:pPr>
          </w:p>
        </w:tc>
      </w:tr>
      <w:tr w:rsidR="004E30AC" w:rsidRPr="00381390" w14:paraId="659DDC51" w14:textId="77777777">
        <w:trPr>
          <w:trHeight w:val="600"/>
        </w:trPr>
        <w:tc>
          <w:tcPr>
            <w:tcW w:w="417" w:type="dxa"/>
            <w:vMerge w:val="restart"/>
            <w:noWrap/>
          </w:tcPr>
          <w:p w14:paraId="6ED57261"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5</w:t>
            </w:r>
          </w:p>
        </w:tc>
        <w:tc>
          <w:tcPr>
            <w:tcW w:w="1616" w:type="dxa"/>
            <w:vMerge w:val="restart"/>
          </w:tcPr>
          <w:p w14:paraId="0D91F578"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Azolla (Symbiotic)</w:t>
            </w:r>
          </w:p>
        </w:tc>
        <w:tc>
          <w:tcPr>
            <w:tcW w:w="2282" w:type="dxa"/>
          </w:tcPr>
          <w:p w14:paraId="3382A462"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30-100 kg N/ha</w:t>
            </w:r>
          </w:p>
        </w:tc>
        <w:tc>
          <w:tcPr>
            <w:tcW w:w="2430" w:type="dxa"/>
            <w:tcBorders>
              <w:right w:val="single" w:sz="4" w:space="0" w:color="auto"/>
            </w:tcBorders>
          </w:tcPr>
          <w:p w14:paraId="35E90863"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xml:space="preserve">. Survival difficult at high temperature </w:t>
            </w:r>
          </w:p>
        </w:tc>
        <w:tc>
          <w:tcPr>
            <w:tcW w:w="2605" w:type="dxa"/>
            <w:tcBorders>
              <w:top w:val="single" w:sz="4" w:space="0" w:color="auto"/>
              <w:left w:val="single" w:sz="4" w:space="0" w:color="auto"/>
              <w:bottom w:val="single" w:sz="4" w:space="0" w:color="auto"/>
              <w:right w:val="single" w:sz="4" w:space="0" w:color="auto"/>
            </w:tcBorders>
          </w:tcPr>
          <w:p w14:paraId="47F38E1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Only for Flooded rice</w:t>
            </w:r>
          </w:p>
        </w:tc>
      </w:tr>
      <w:tr w:rsidR="004E30AC" w:rsidRPr="00381390" w14:paraId="3A6703B5" w14:textId="77777777">
        <w:trPr>
          <w:trHeight w:val="300"/>
        </w:trPr>
        <w:tc>
          <w:tcPr>
            <w:tcW w:w="417" w:type="dxa"/>
            <w:vMerge/>
          </w:tcPr>
          <w:p w14:paraId="741A0DD4"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26916844" w14:textId="77777777" w:rsidR="004E30AC" w:rsidRPr="00381390" w:rsidRDefault="004E30AC" w:rsidP="00381390">
            <w:pPr>
              <w:spacing w:line="360" w:lineRule="auto"/>
              <w:jc w:val="both"/>
              <w:rPr>
                <w:rFonts w:ascii="Arial" w:hAnsi="Arial" w:cs="Arial"/>
                <w:sz w:val="20"/>
                <w:szCs w:val="20"/>
              </w:rPr>
            </w:pPr>
          </w:p>
        </w:tc>
        <w:tc>
          <w:tcPr>
            <w:tcW w:w="2282" w:type="dxa"/>
          </w:tcPr>
          <w:p w14:paraId="3359C2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Yield increases 10-25%</w:t>
            </w:r>
          </w:p>
        </w:tc>
        <w:tc>
          <w:tcPr>
            <w:tcW w:w="2430" w:type="dxa"/>
          </w:tcPr>
          <w:p w14:paraId="15768C9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Borders>
              <w:top w:val="single" w:sz="4" w:space="0" w:color="auto"/>
            </w:tcBorders>
          </w:tcPr>
          <w:p w14:paraId="7FFD7B1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commentRangeEnd w:id="10"/>
            <w:r w:rsidR="00582119">
              <w:rPr>
                <w:rStyle w:val="CommentReference"/>
              </w:rPr>
              <w:commentReference w:id="10"/>
            </w:r>
          </w:p>
        </w:tc>
      </w:tr>
    </w:tbl>
    <w:p w14:paraId="1D060A00"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BBA7446" w14:textId="77777777" w:rsidR="004E30AC" w:rsidRPr="00381390" w:rsidRDefault="00381390" w:rsidP="00381390">
      <w:pPr>
        <w:autoSpaceDE w:val="0"/>
        <w:autoSpaceDN w:val="0"/>
        <w:adjustRightInd w:val="0"/>
        <w:spacing w:line="360" w:lineRule="auto"/>
        <w:jc w:val="lowKashida"/>
        <w:rPr>
          <w:rFonts w:ascii="Arial" w:hAnsi="Arial" w:cs="Arial"/>
          <w:color w:val="000000" w:themeColor="text1"/>
          <w:sz w:val="22"/>
          <w:szCs w:val="22"/>
          <w:highlight w:val="white"/>
          <w:lang w:bidi="bn-IN"/>
        </w:rPr>
      </w:pPr>
      <w:r>
        <w:rPr>
          <w:rFonts w:ascii="Arial" w:hAnsi="Arial" w:cs="Arial"/>
          <w:b/>
          <w:bCs/>
          <w:color w:val="000000" w:themeColor="text1"/>
          <w:sz w:val="22"/>
          <w:szCs w:val="22"/>
          <w:highlight w:val="white"/>
          <w:lang w:bidi="bn-IN"/>
        </w:rPr>
        <w:t xml:space="preserve">                                                                                                      </w:t>
      </w:r>
      <w:r w:rsidR="00A6618C" w:rsidRPr="00381390">
        <w:rPr>
          <w:rFonts w:ascii="Arial" w:hAnsi="Arial" w:cs="Arial"/>
          <w:color w:val="000000" w:themeColor="text1"/>
          <w:sz w:val="22"/>
          <w:szCs w:val="22"/>
          <w:highlight w:val="white"/>
          <w:lang w:bidi="bn-IN"/>
        </w:rPr>
        <w:t>(</w:t>
      </w:r>
      <w:commentRangeStart w:id="11"/>
      <w:r w:rsidR="00A6618C" w:rsidRPr="00381390">
        <w:rPr>
          <w:rFonts w:ascii="Arial" w:hAnsi="Arial" w:cs="Arial"/>
          <w:color w:val="000000" w:themeColor="text1"/>
          <w:sz w:val="22"/>
          <w:szCs w:val="22"/>
          <w:highlight w:val="white"/>
          <w:lang w:bidi="bn-IN"/>
        </w:rPr>
        <w:t>Tilak K.V. B. R., 1991</w:t>
      </w:r>
      <w:commentRangeEnd w:id="11"/>
      <w:r w:rsidR="00582119">
        <w:rPr>
          <w:rStyle w:val="CommentReference"/>
        </w:rPr>
        <w:commentReference w:id="11"/>
      </w:r>
      <w:r w:rsidR="00A6618C" w:rsidRPr="00381390">
        <w:rPr>
          <w:rFonts w:ascii="Arial" w:hAnsi="Arial" w:cs="Arial"/>
          <w:color w:val="000000" w:themeColor="text1"/>
          <w:sz w:val="22"/>
          <w:szCs w:val="22"/>
          <w:highlight w:val="white"/>
          <w:lang w:bidi="bn-IN"/>
        </w:rPr>
        <w:t>)</w:t>
      </w:r>
    </w:p>
    <w:p w14:paraId="0B0B65D8" w14:textId="77777777" w:rsidR="004E30AC" w:rsidRPr="00381390" w:rsidRDefault="004E30AC" w:rsidP="00381390">
      <w:pPr>
        <w:autoSpaceDE w:val="0"/>
        <w:autoSpaceDN w:val="0"/>
        <w:adjustRightInd w:val="0"/>
        <w:spacing w:line="360" w:lineRule="auto"/>
        <w:jc w:val="both"/>
        <w:rPr>
          <w:rFonts w:ascii="Arial" w:hAnsi="Arial" w:cs="Arial"/>
          <w:b/>
          <w:bCs/>
          <w:color w:val="000000" w:themeColor="text1"/>
          <w:sz w:val="22"/>
          <w:szCs w:val="22"/>
          <w:highlight w:val="white"/>
          <w:lang w:bidi="bn-IN"/>
        </w:rPr>
      </w:pPr>
    </w:p>
    <w:p w14:paraId="4F4EBCBA"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lastRenderedPageBreak/>
        <w:t>Positive Impacts of Rhizobacteria</w:t>
      </w:r>
      <w:r w:rsidRPr="00381390">
        <w:rPr>
          <w:rStyle w:val="CommentReference"/>
          <w:rFonts w:ascii="Arial" w:hAnsi="Arial" w:cs="Arial"/>
          <w:sz w:val="22"/>
          <w:szCs w:val="22"/>
        </w:rPr>
        <w:t xml:space="preserve"> </w:t>
      </w:r>
    </w:p>
    <w:p w14:paraId="1AAAFA53"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Sustainable agriculture is crucial in today's world to meet agricultural demands and ensure future food security.  Our traditional agricultural methods are inadequate due to various concerns.  We urgently require the development of a sustainable and effective mechanism to achieve the same objective.  Sustainable agriculture has the potential to fulfil our agricultural needs that conventional methods have failed to address.  This type of agricultural practice employs specialized techniques that fully utilize environmental resources without compromising them.  Biological methods, as part of specialized forming, may serve as a significant alternative to address the deficiencies created by traditional methods.  This form of agriculture is advantageous, utilizing natural resources without jeopardizing future generations.  A diverse and dense population of microbes, including bacteria, fungi, and Actinomycetes, colonizes plant roots.  These microorganisms are a collection of naturally occurring beneficial microbes utilized as inoculants to promote plant growth and development (Ahmad et al. 2008).  These microbial groups possess numerous characteristics that captivate contemporary scientists and policymakers.  Furthermore, these microbial communities enhance soil quality, soil health, and crop quality.  Organic matter, in the form of root exudates, attracts numerous microbes and provides a habitat for a variety of microorganisms.  Rhizobacteria respond to root exudates through chemotactic mechanisms and competent rhizobacteria inhabit the rhizosphere zone of plant roots.  Certain microbes inhabit proximity to plants and interact via various methods (Singh et al. 2011).  Communication transpires at the molecular level via specific signaling molecules.  Based on the compatibility between plants and microbes, root nodules may form, creating an optimal environment for microbes to fix atmospheric molecular nitrogen (Masciarelli et al. 2014).  The microbial community comprises specific groups of microbes that possess plant growth-promoting characteristics.  These microbes may inhabit the rhizosphere and enhance plant growth.  Soil microorganisms contribute significantly to the sustainability of various ecosystems.  These microbes govern nutrient cycling, modulate the dynamics of soil organic matter, and improve the efficiency of nutrient acquisition.  The symbiotic microbes augment the efficiency of nutrient and water acquisition in plants.  Decomposition, mineralization, and nutrient cycling are also governed by these microbial associations.</w:t>
      </w:r>
    </w:p>
    <w:p w14:paraId="2C51F1F5" w14:textId="77777777" w:rsidR="004E30AC" w:rsidRDefault="004E30AC" w:rsidP="00381390">
      <w:pPr>
        <w:spacing w:line="360" w:lineRule="auto"/>
        <w:jc w:val="both"/>
        <w:rPr>
          <w:rFonts w:ascii="Arial" w:hAnsi="Arial" w:cs="Arial"/>
          <w:sz w:val="22"/>
          <w:szCs w:val="22"/>
        </w:rPr>
      </w:pPr>
    </w:p>
    <w:p w14:paraId="5EBC197F" w14:textId="77777777" w:rsidR="00381390" w:rsidRPr="00381390" w:rsidRDefault="00381390" w:rsidP="00381390">
      <w:pPr>
        <w:spacing w:line="360" w:lineRule="auto"/>
        <w:jc w:val="both"/>
        <w:rPr>
          <w:rFonts w:ascii="Arial" w:hAnsi="Arial" w:cs="Arial"/>
          <w:sz w:val="22"/>
          <w:szCs w:val="22"/>
        </w:rPr>
      </w:pPr>
    </w:p>
    <w:p w14:paraId="712B00A4"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lastRenderedPageBreak/>
        <w:t>Rhizobium</w:t>
      </w:r>
    </w:p>
    <w:p w14:paraId="19C475D0" w14:textId="77777777" w:rsidR="004E30AC" w:rsidRPr="00381390"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Rhizobium fixes nitrogen in legume root nodules at a rate of approximately 14 million </w:t>
      </w:r>
      <w:proofErr w:type="spellStart"/>
      <w:r w:rsidRPr="00381390">
        <w:rPr>
          <w:rFonts w:ascii="Arial" w:eastAsia="SimSun" w:hAnsi="Arial" w:cs="Arial"/>
          <w:sz w:val="22"/>
          <w:szCs w:val="22"/>
          <w:lang w:eastAsia="zh-CN" w:bidi="ar"/>
        </w:rPr>
        <w:t>tonnes</w:t>
      </w:r>
      <w:proofErr w:type="spellEnd"/>
      <w:r w:rsidRPr="00381390">
        <w:rPr>
          <w:rFonts w:ascii="Arial" w:eastAsia="SimSun" w:hAnsi="Arial" w:cs="Arial"/>
          <w:sz w:val="22"/>
          <w:szCs w:val="22"/>
          <w:lang w:eastAsia="zh-CN" w:bidi="ar"/>
        </w:rPr>
        <w:t xml:space="preserve"> globally, or over half of the 30 million </w:t>
      </w:r>
      <w:proofErr w:type="spellStart"/>
      <w:r w:rsidRPr="00381390">
        <w:rPr>
          <w:rFonts w:ascii="Arial" w:eastAsia="SimSun" w:hAnsi="Arial" w:cs="Arial"/>
          <w:sz w:val="22"/>
          <w:szCs w:val="22"/>
          <w:lang w:eastAsia="zh-CN" w:bidi="ar"/>
        </w:rPr>
        <w:t>tonnes</w:t>
      </w:r>
      <w:proofErr w:type="spellEnd"/>
      <w:r w:rsidRPr="00381390">
        <w:rPr>
          <w:rFonts w:ascii="Arial" w:eastAsia="SimSun" w:hAnsi="Arial" w:cs="Arial"/>
          <w:sz w:val="22"/>
          <w:szCs w:val="22"/>
          <w:lang w:eastAsia="zh-CN" w:bidi="ar"/>
        </w:rPr>
        <w:t xml:space="preserve"> of nitrogen fixation produced in industry each year. Effective </w:t>
      </w:r>
      <w:proofErr w:type="spellStart"/>
      <w:r w:rsidRPr="00381390">
        <w:rPr>
          <w:rFonts w:ascii="Arial" w:eastAsia="SimSun" w:hAnsi="Arial" w:cs="Arial"/>
          <w:sz w:val="22"/>
          <w:szCs w:val="22"/>
          <w:lang w:eastAsia="zh-CN" w:bidi="ar"/>
        </w:rPr>
        <w:t>rhizobial</w:t>
      </w:r>
      <w:proofErr w:type="spellEnd"/>
      <w:r w:rsidRPr="00381390">
        <w:rPr>
          <w:rFonts w:ascii="Arial" w:eastAsia="SimSun" w:hAnsi="Arial" w:cs="Arial"/>
          <w:sz w:val="22"/>
          <w:szCs w:val="22"/>
          <w:lang w:eastAsia="zh-CN" w:bidi="ar"/>
        </w:rPr>
        <w:t xml:space="preserve"> cultures have now been shown to greatly increase the yield of oilseed legumes and pulses (Table 2), and several experiments conducted in India have shown that inoculation with effective rhizobia can save nearly 50% of nitrogenous </w:t>
      </w:r>
      <w:proofErr w:type="spellStart"/>
      <w:r w:rsidRPr="00381390">
        <w:rPr>
          <w:rFonts w:ascii="Arial" w:eastAsia="SimSun" w:hAnsi="Arial" w:cs="Arial"/>
          <w:sz w:val="22"/>
          <w:szCs w:val="22"/>
          <w:lang w:eastAsia="zh-CN" w:bidi="ar"/>
        </w:rPr>
        <w:t>fertiliser</w:t>
      </w:r>
      <w:proofErr w:type="spellEnd"/>
      <w:r w:rsidRPr="00381390">
        <w:rPr>
          <w:rFonts w:ascii="Arial" w:eastAsia="SimSun" w:hAnsi="Arial" w:cs="Arial"/>
          <w:sz w:val="22"/>
          <w:szCs w:val="22"/>
          <w:lang w:eastAsia="zh-CN" w:bidi="ar"/>
        </w:rPr>
        <w:t xml:space="preserve"> (</w:t>
      </w:r>
      <w:proofErr w:type="spellStart"/>
      <w:r w:rsidRPr="00381390">
        <w:rPr>
          <w:rFonts w:ascii="Arial" w:eastAsia="SimSun" w:hAnsi="Arial" w:cs="Arial"/>
          <w:sz w:val="22"/>
          <w:szCs w:val="22"/>
          <w:lang w:eastAsia="zh-CN" w:bidi="ar"/>
        </w:rPr>
        <w:t>Subba</w:t>
      </w:r>
      <w:proofErr w:type="spellEnd"/>
      <w:r w:rsidRPr="00381390">
        <w:rPr>
          <w:rFonts w:ascii="Arial" w:eastAsia="SimSun" w:hAnsi="Arial" w:cs="Arial"/>
          <w:sz w:val="22"/>
          <w:szCs w:val="22"/>
          <w:lang w:eastAsia="zh-CN" w:bidi="ar"/>
        </w:rPr>
        <w:t xml:space="preserve"> Rao et al., 1993).</w:t>
      </w:r>
    </w:p>
    <w:p w14:paraId="20E86523" w14:textId="77777777" w:rsidR="00600786" w:rsidRPr="00381390" w:rsidRDefault="00600786" w:rsidP="00381390">
      <w:pPr>
        <w:spacing w:line="360" w:lineRule="auto"/>
        <w:jc w:val="both"/>
        <w:rPr>
          <w:rFonts w:ascii="Arial" w:hAnsi="Arial" w:cs="Arial"/>
          <w:sz w:val="22"/>
          <w:szCs w:val="22"/>
        </w:rPr>
      </w:pPr>
    </w:p>
    <w:p w14:paraId="0E7CA88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Table 2. Quantity of nitrogen fixed of legumes due to rhizobium inoculation</w:t>
      </w:r>
    </w:p>
    <w:tbl>
      <w:tblPr>
        <w:tblStyle w:val="TableGrid"/>
        <w:tblW w:w="0" w:type="auto"/>
        <w:tblLook w:val="04A0" w:firstRow="1" w:lastRow="0" w:firstColumn="1" w:lastColumn="0" w:noHBand="0" w:noVBand="1"/>
      </w:tblPr>
      <w:tblGrid>
        <w:gridCol w:w="871"/>
        <w:gridCol w:w="4851"/>
        <w:gridCol w:w="2764"/>
      </w:tblGrid>
      <w:tr w:rsidR="004E30AC" w:rsidRPr="00381390" w14:paraId="06F9FBE7" w14:textId="77777777">
        <w:trPr>
          <w:trHeight w:val="255"/>
        </w:trPr>
        <w:tc>
          <w:tcPr>
            <w:tcW w:w="879" w:type="dxa"/>
          </w:tcPr>
          <w:p w14:paraId="5F59774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SI</w:t>
            </w:r>
          </w:p>
        </w:tc>
        <w:tc>
          <w:tcPr>
            <w:tcW w:w="4911" w:type="dxa"/>
          </w:tcPr>
          <w:p w14:paraId="0642399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2798" w:type="dxa"/>
          </w:tcPr>
          <w:p w14:paraId="35A7F1F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fixed (%)</w:t>
            </w:r>
          </w:p>
        </w:tc>
      </w:tr>
      <w:tr w:rsidR="004E30AC" w:rsidRPr="00381390" w14:paraId="20EB79E4" w14:textId="77777777">
        <w:trPr>
          <w:trHeight w:val="255"/>
        </w:trPr>
        <w:tc>
          <w:tcPr>
            <w:tcW w:w="879" w:type="dxa"/>
          </w:tcPr>
          <w:p w14:paraId="3F4193B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1.</w:t>
            </w:r>
          </w:p>
        </w:tc>
        <w:tc>
          <w:tcPr>
            <w:tcW w:w="4911" w:type="dxa"/>
          </w:tcPr>
          <w:p w14:paraId="51CD12F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Chickpea</w:t>
            </w:r>
          </w:p>
        </w:tc>
        <w:tc>
          <w:tcPr>
            <w:tcW w:w="2798" w:type="dxa"/>
          </w:tcPr>
          <w:p w14:paraId="435EA4F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85-110</w:t>
            </w:r>
          </w:p>
        </w:tc>
      </w:tr>
      <w:tr w:rsidR="004E30AC" w:rsidRPr="00381390" w14:paraId="463B26DA" w14:textId="77777777">
        <w:trPr>
          <w:trHeight w:val="255"/>
        </w:trPr>
        <w:tc>
          <w:tcPr>
            <w:tcW w:w="879" w:type="dxa"/>
          </w:tcPr>
          <w:p w14:paraId="04AFD15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2.</w:t>
            </w:r>
          </w:p>
        </w:tc>
        <w:tc>
          <w:tcPr>
            <w:tcW w:w="4911" w:type="dxa"/>
          </w:tcPr>
          <w:p w14:paraId="67FF6C5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Cowpea</w:t>
            </w:r>
          </w:p>
        </w:tc>
        <w:tc>
          <w:tcPr>
            <w:tcW w:w="2798" w:type="dxa"/>
          </w:tcPr>
          <w:p w14:paraId="4CED49F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80-85</w:t>
            </w:r>
          </w:p>
        </w:tc>
      </w:tr>
      <w:tr w:rsidR="004E30AC" w:rsidRPr="00381390" w14:paraId="03FA04CF" w14:textId="77777777">
        <w:trPr>
          <w:trHeight w:val="255"/>
        </w:trPr>
        <w:tc>
          <w:tcPr>
            <w:tcW w:w="879" w:type="dxa"/>
          </w:tcPr>
          <w:p w14:paraId="664E53C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3.</w:t>
            </w:r>
          </w:p>
        </w:tc>
        <w:tc>
          <w:tcPr>
            <w:tcW w:w="4911" w:type="dxa"/>
          </w:tcPr>
          <w:p w14:paraId="65F110A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Groundnut</w:t>
            </w:r>
          </w:p>
        </w:tc>
        <w:tc>
          <w:tcPr>
            <w:tcW w:w="2798" w:type="dxa"/>
          </w:tcPr>
          <w:p w14:paraId="6C1886D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50-60</w:t>
            </w:r>
          </w:p>
        </w:tc>
      </w:tr>
      <w:tr w:rsidR="004E30AC" w:rsidRPr="00381390" w14:paraId="54B225C8" w14:textId="77777777">
        <w:trPr>
          <w:trHeight w:val="90"/>
        </w:trPr>
        <w:tc>
          <w:tcPr>
            <w:tcW w:w="879" w:type="dxa"/>
          </w:tcPr>
          <w:p w14:paraId="299721E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4.</w:t>
            </w:r>
          </w:p>
        </w:tc>
        <w:tc>
          <w:tcPr>
            <w:tcW w:w="4911" w:type="dxa"/>
          </w:tcPr>
          <w:p w14:paraId="25FBCD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Lentil</w:t>
            </w:r>
          </w:p>
        </w:tc>
        <w:tc>
          <w:tcPr>
            <w:tcW w:w="2798" w:type="dxa"/>
          </w:tcPr>
          <w:p w14:paraId="47F9C97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90-100</w:t>
            </w:r>
          </w:p>
        </w:tc>
      </w:tr>
      <w:tr w:rsidR="004E30AC" w:rsidRPr="00381390" w14:paraId="3CCEF5BF" w14:textId="77777777">
        <w:trPr>
          <w:trHeight w:val="246"/>
        </w:trPr>
        <w:tc>
          <w:tcPr>
            <w:tcW w:w="879" w:type="dxa"/>
          </w:tcPr>
          <w:p w14:paraId="51603DCD"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5.</w:t>
            </w:r>
          </w:p>
        </w:tc>
        <w:tc>
          <w:tcPr>
            <w:tcW w:w="4911" w:type="dxa"/>
          </w:tcPr>
          <w:p w14:paraId="742FBAA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Mung bean</w:t>
            </w:r>
          </w:p>
        </w:tc>
        <w:tc>
          <w:tcPr>
            <w:tcW w:w="2798" w:type="dxa"/>
          </w:tcPr>
          <w:p w14:paraId="6617DEE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50-55</w:t>
            </w:r>
          </w:p>
        </w:tc>
      </w:tr>
      <w:tr w:rsidR="004E30AC" w:rsidRPr="00381390" w14:paraId="10236931" w14:textId="77777777">
        <w:trPr>
          <w:trHeight w:val="255"/>
        </w:trPr>
        <w:tc>
          <w:tcPr>
            <w:tcW w:w="879" w:type="dxa"/>
          </w:tcPr>
          <w:p w14:paraId="6AB67235"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6.</w:t>
            </w:r>
          </w:p>
        </w:tc>
        <w:tc>
          <w:tcPr>
            <w:tcW w:w="4911" w:type="dxa"/>
          </w:tcPr>
          <w:p w14:paraId="74484294"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Pigeon pea</w:t>
            </w:r>
          </w:p>
        </w:tc>
        <w:tc>
          <w:tcPr>
            <w:tcW w:w="2798" w:type="dxa"/>
          </w:tcPr>
          <w:p w14:paraId="132F141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168</w:t>
            </w:r>
          </w:p>
        </w:tc>
      </w:tr>
      <w:tr w:rsidR="004E30AC" w:rsidRPr="00381390" w14:paraId="7F548220" w14:textId="77777777">
        <w:trPr>
          <w:trHeight w:val="255"/>
        </w:trPr>
        <w:tc>
          <w:tcPr>
            <w:tcW w:w="879" w:type="dxa"/>
          </w:tcPr>
          <w:p w14:paraId="3987294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7.</w:t>
            </w:r>
          </w:p>
        </w:tc>
        <w:tc>
          <w:tcPr>
            <w:tcW w:w="4911" w:type="dxa"/>
          </w:tcPr>
          <w:p w14:paraId="1148917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proofErr w:type="spellStart"/>
            <w:r w:rsidRPr="00381390">
              <w:rPr>
                <w:rFonts w:ascii="Arial" w:hAnsi="Arial" w:cs="Arial"/>
                <w:sz w:val="22"/>
                <w:szCs w:val="22"/>
                <w:highlight w:val="white"/>
                <w:lang w:bidi="bn-IN"/>
              </w:rPr>
              <w:t>Urdbean</w:t>
            </w:r>
            <w:proofErr w:type="spellEnd"/>
          </w:p>
        </w:tc>
        <w:tc>
          <w:tcPr>
            <w:tcW w:w="2798" w:type="dxa"/>
          </w:tcPr>
          <w:p w14:paraId="280267C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50-55</w:t>
            </w:r>
          </w:p>
        </w:tc>
      </w:tr>
    </w:tbl>
    <w:p w14:paraId="68110C58" w14:textId="77777777" w:rsidR="004E30AC" w:rsidRPr="00381390" w:rsidRDefault="00A6618C" w:rsidP="00381390">
      <w:pPr>
        <w:autoSpaceDE w:val="0"/>
        <w:autoSpaceDN w:val="0"/>
        <w:adjustRightInd w:val="0"/>
        <w:spacing w:line="360" w:lineRule="auto"/>
        <w:jc w:val="right"/>
        <w:rPr>
          <w:rFonts w:ascii="Arial" w:hAnsi="Arial" w:cs="Arial"/>
          <w:sz w:val="22"/>
          <w:szCs w:val="22"/>
          <w:highlight w:val="white"/>
          <w:lang w:bidi="bn-IN"/>
        </w:rPr>
      </w:pPr>
      <w:r w:rsidRPr="00381390">
        <w:rPr>
          <w:rFonts w:ascii="Arial" w:hAnsi="Arial" w:cs="Arial"/>
          <w:sz w:val="22"/>
          <w:szCs w:val="22"/>
          <w:highlight w:val="white"/>
          <w:lang w:bidi="bn-IN"/>
        </w:rPr>
        <w:t>(Subba Rao et al., 1993)</w:t>
      </w:r>
    </w:p>
    <w:p w14:paraId="71137C95"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139F608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Azotobacter</w:t>
      </w:r>
    </w:p>
    <w:p w14:paraId="64480E50" w14:textId="77777777" w:rsidR="00600786" w:rsidRPr="00381390"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Azotobacter's level of nitrogen fixation and the amount of carbohydrates it consumes are closely related. Azotobacter is beneficial for grains, vegetables, mulberries, and other foods. N </w:t>
      </w:r>
      <w:proofErr w:type="spellStart"/>
      <w:r w:rsidRPr="00381390">
        <w:rPr>
          <w:rFonts w:ascii="Arial" w:eastAsia="SimSun" w:hAnsi="Arial" w:cs="Arial"/>
          <w:sz w:val="22"/>
          <w:szCs w:val="22"/>
          <w:lang w:eastAsia="zh-CN" w:bidi="ar"/>
        </w:rPr>
        <w:t>fertiliser</w:t>
      </w:r>
      <w:proofErr w:type="spellEnd"/>
      <w:r w:rsidRPr="00381390">
        <w:rPr>
          <w:rFonts w:ascii="Arial" w:eastAsia="SimSun" w:hAnsi="Arial" w:cs="Arial"/>
          <w:sz w:val="22"/>
          <w:szCs w:val="22"/>
          <w:lang w:eastAsia="zh-CN" w:bidi="ar"/>
        </w:rPr>
        <w:t xml:space="preserve"> application can be decreased by around 25–50% using Azotobacter inoculation (Bagyaraj, 1992).</w:t>
      </w:r>
    </w:p>
    <w:p w14:paraId="3B59EE07" w14:textId="77777777" w:rsidR="00600786" w:rsidRPr="00381390" w:rsidRDefault="00600786" w:rsidP="00381390">
      <w:pPr>
        <w:spacing w:line="360" w:lineRule="auto"/>
        <w:jc w:val="both"/>
        <w:rPr>
          <w:rFonts w:ascii="Arial" w:hAnsi="Arial" w:cs="Arial"/>
          <w:sz w:val="22"/>
          <w:szCs w:val="22"/>
        </w:rPr>
      </w:pPr>
    </w:p>
    <w:p w14:paraId="040D49A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b/>
          <w:bCs/>
          <w:sz w:val="22"/>
          <w:szCs w:val="22"/>
          <w:highlight w:val="white"/>
          <w:lang w:bidi="bn-IN"/>
        </w:rPr>
        <w:t>Table 3: Cane yield due to Azotobacter inoculation</w:t>
      </w:r>
    </w:p>
    <w:tbl>
      <w:tblPr>
        <w:tblStyle w:val="TableGrid"/>
        <w:tblW w:w="0" w:type="auto"/>
        <w:tblLook w:val="04A0" w:firstRow="1" w:lastRow="0" w:firstColumn="1" w:lastColumn="0" w:noHBand="0" w:noVBand="1"/>
      </w:tblPr>
      <w:tblGrid>
        <w:gridCol w:w="707"/>
        <w:gridCol w:w="3517"/>
        <w:gridCol w:w="2228"/>
        <w:gridCol w:w="2034"/>
      </w:tblGrid>
      <w:tr w:rsidR="004E30AC" w:rsidRPr="00381390" w14:paraId="4395D675" w14:textId="77777777">
        <w:trPr>
          <w:trHeight w:val="330"/>
        </w:trPr>
        <w:tc>
          <w:tcPr>
            <w:tcW w:w="715" w:type="dxa"/>
            <w:vMerge w:val="restart"/>
          </w:tcPr>
          <w:p w14:paraId="0CCF4D9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3599" w:type="dxa"/>
            <w:vMerge w:val="restart"/>
          </w:tcPr>
          <w:p w14:paraId="07E1072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levels</w:t>
            </w:r>
          </w:p>
        </w:tc>
        <w:tc>
          <w:tcPr>
            <w:tcW w:w="4316" w:type="dxa"/>
            <w:gridSpan w:val="2"/>
          </w:tcPr>
          <w:p w14:paraId="5EDC46D2"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Cane yield (t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268EF1AD" w14:textId="77777777">
        <w:trPr>
          <w:trHeight w:val="210"/>
        </w:trPr>
        <w:tc>
          <w:tcPr>
            <w:tcW w:w="715" w:type="dxa"/>
            <w:vMerge/>
          </w:tcPr>
          <w:p w14:paraId="66511D1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3599" w:type="dxa"/>
            <w:vMerge/>
          </w:tcPr>
          <w:p w14:paraId="50D70733"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2251" w:type="dxa"/>
          </w:tcPr>
          <w:p w14:paraId="643C20AB"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Azotobacter</w:t>
            </w:r>
          </w:p>
        </w:tc>
        <w:tc>
          <w:tcPr>
            <w:tcW w:w="2065" w:type="dxa"/>
          </w:tcPr>
          <w:p w14:paraId="71BE249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Control</w:t>
            </w:r>
          </w:p>
        </w:tc>
      </w:tr>
      <w:tr w:rsidR="004E30AC" w:rsidRPr="00381390" w14:paraId="06CC0735" w14:textId="77777777">
        <w:tc>
          <w:tcPr>
            <w:tcW w:w="715" w:type="dxa"/>
          </w:tcPr>
          <w:p w14:paraId="54DA497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3599" w:type="dxa"/>
          </w:tcPr>
          <w:p w14:paraId="55426A3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150 kg N ha</w:t>
            </w:r>
            <w:r w:rsidRPr="00381390">
              <w:rPr>
                <w:rFonts w:ascii="Arial" w:hAnsi="Arial" w:cs="Arial"/>
                <w:sz w:val="22"/>
                <w:szCs w:val="22"/>
                <w:highlight w:val="white"/>
                <w:vertAlign w:val="superscript"/>
                <w:lang w:bidi="bn-IN"/>
              </w:rPr>
              <w:t>-1</w:t>
            </w:r>
          </w:p>
        </w:tc>
        <w:tc>
          <w:tcPr>
            <w:tcW w:w="2251" w:type="dxa"/>
          </w:tcPr>
          <w:p w14:paraId="6FF0F0E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175.58</w:t>
            </w:r>
          </w:p>
        </w:tc>
        <w:tc>
          <w:tcPr>
            <w:tcW w:w="2065" w:type="dxa"/>
          </w:tcPr>
          <w:p w14:paraId="0957C27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143.47</w:t>
            </w:r>
          </w:p>
        </w:tc>
      </w:tr>
      <w:tr w:rsidR="004E30AC" w:rsidRPr="00381390" w14:paraId="3E3510F5" w14:textId="77777777">
        <w:tc>
          <w:tcPr>
            <w:tcW w:w="715" w:type="dxa"/>
          </w:tcPr>
          <w:p w14:paraId="5C3D23A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3599" w:type="dxa"/>
          </w:tcPr>
          <w:p w14:paraId="308E1F6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200 kg N ha</w:t>
            </w:r>
            <w:r w:rsidRPr="00381390">
              <w:rPr>
                <w:rFonts w:ascii="Arial" w:hAnsi="Arial" w:cs="Arial"/>
                <w:sz w:val="22"/>
                <w:szCs w:val="22"/>
                <w:highlight w:val="white"/>
                <w:vertAlign w:val="superscript"/>
                <w:lang w:bidi="bn-IN"/>
              </w:rPr>
              <w:t>-1</w:t>
            </w:r>
          </w:p>
        </w:tc>
        <w:tc>
          <w:tcPr>
            <w:tcW w:w="2251" w:type="dxa"/>
          </w:tcPr>
          <w:p w14:paraId="57587D4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195.92</w:t>
            </w:r>
          </w:p>
        </w:tc>
        <w:tc>
          <w:tcPr>
            <w:tcW w:w="2065" w:type="dxa"/>
          </w:tcPr>
          <w:p w14:paraId="78CBD19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172.77</w:t>
            </w:r>
          </w:p>
        </w:tc>
      </w:tr>
      <w:tr w:rsidR="004E30AC" w:rsidRPr="00381390" w14:paraId="08A4C12F" w14:textId="77777777">
        <w:tc>
          <w:tcPr>
            <w:tcW w:w="715" w:type="dxa"/>
          </w:tcPr>
          <w:p w14:paraId="14D8655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3599" w:type="dxa"/>
          </w:tcPr>
          <w:p w14:paraId="4CB48861"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250 kg N ha</w:t>
            </w:r>
            <w:r w:rsidRPr="00381390">
              <w:rPr>
                <w:rFonts w:ascii="Arial" w:hAnsi="Arial" w:cs="Arial"/>
                <w:sz w:val="22"/>
                <w:szCs w:val="22"/>
                <w:highlight w:val="white"/>
                <w:vertAlign w:val="superscript"/>
                <w:lang w:bidi="bn-IN"/>
              </w:rPr>
              <w:t>-1</w:t>
            </w:r>
          </w:p>
        </w:tc>
        <w:tc>
          <w:tcPr>
            <w:tcW w:w="2251" w:type="dxa"/>
          </w:tcPr>
          <w:p w14:paraId="44E0DFE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196.03</w:t>
            </w:r>
          </w:p>
        </w:tc>
        <w:tc>
          <w:tcPr>
            <w:tcW w:w="2065" w:type="dxa"/>
          </w:tcPr>
          <w:p w14:paraId="01FAABF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1177.35</w:t>
            </w:r>
          </w:p>
        </w:tc>
      </w:tr>
    </w:tbl>
    <w:p w14:paraId="3393EB5D" w14:textId="77777777" w:rsidR="004E30AC" w:rsidRPr="00381390" w:rsidRDefault="00600786"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 xml:space="preserve">                                                                                                </w:t>
      </w:r>
      <w:r w:rsidR="00381390">
        <w:rPr>
          <w:rFonts w:ascii="Arial" w:hAnsi="Arial" w:cs="Arial"/>
          <w:sz w:val="22"/>
          <w:szCs w:val="22"/>
          <w:highlight w:val="white"/>
          <w:lang w:bidi="bn-IN"/>
        </w:rPr>
        <w:t xml:space="preserve"> </w:t>
      </w:r>
      <w:r w:rsidRPr="00381390">
        <w:rPr>
          <w:rFonts w:ascii="Arial" w:hAnsi="Arial" w:cs="Arial"/>
          <w:sz w:val="22"/>
          <w:szCs w:val="22"/>
          <w:highlight w:val="white"/>
          <w:lang w:bidi="bn-IN"/>
        </w:rPr>
        <w:t xml:space="preserve"> </w:t>
      </w:r>
      <w:r w:rsidR="00A6618C" w:rsidRPr="00381390">
        <w:rPr>
          <w:rFonts w:ascii="Arial" w:hAnsi="Arial" w:cs="Arial"/>
          <w:sz w:val="22"/>
          <w:szCs w:val="22"/>
          <w:highlight w:val="white"/>
          <w:lang w:bidi="bn-IN"/>
        </w:rPr>
        <w:t>(Bagyaraj, 1992)</w:t>
      </w:r>
    </w:p>
    <w:p w14:paraId="4CB91D9A" w14:textId="77777777" w:rsidR="004E30AC"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74B16AD5" w14:textId="77777777" w:rsidR="00381390" w:rsidRP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555C534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lastRenderedPageBreak/>
        <w:t>Azospirillum</w:t>
      </w:r>
      <w:proofErr w:type="spellEnd"/>
      <w:r w:rsidRPr="00381390">
        <w:rPr>
          <w:rFonts w:ascii="Arial" w:hAnsi="Arial" w:cs="Arial"/>
          <w:b/>
          <w:bCs/>
          <w:sz w:val="22"/>
          <w:szCs w:val="22"/>
          <w:highlight w:val="white"/>
          <w:lang w:bidi="bn-IN"/>
        </w:rPr>
        <w:t xml:space="preserve"> and </w:t>
      </w:r>
      <w:proofErr w:type="spellStart"/>
      <w:r w:rsidRPr="00381390">
        <w:rPr>
          <w:rFonts w:ascii="Arial" w:hAnsi="Arial" w:cs="Arial"/>
          <w:b/>
          <w:bCs/>
          <w:sz w:val="22"/>
          <w:szCs w:val="22"/>
          <w:highlight w:val="white"/>
          <w:lang w:bidi="bn-IN"/>
        </w:rPr>
        <w:t>Acetobacter</w:t>
      </w:r>
      <w:proofErr w:type="spellEnd"/>
      <w:r w:rsidRPr="00381390">
        <w:rPr>
          <w:rFonts w:ascii="Arial" w:hAnsi="Arial" w:cs="Arial"/>
          <w:b/>
          <w:bCs/>
          <w:sz w:val="22"/>
          <w:szCs w:val="22"/>
          <w:highlight w:val="white"/>
          <w:lang w:bidi="bn-IN"/>
        </w:rPr>
        <w:t xml:space="preserve"> </w:t>
      </w:r>
      <w:proofErr w:type="spellStart"/>
      <w:r w:rsidRPr="00381390">
        <w:rPr>
          <w:rFonts w:ascii="Arial" w:hAnsi="Arial" w:cs="Arial"/>
          <w:b/>
          <w:bCs/>
          <w:sz w:val="22"/>
          <w:szCs w:val="22"/>
          <w:highlight w:val="white"/>
          <w:lang w:bidi="bn-IN"/>
        </w:rPr>
        <w:t>diazotrophicus</w:t>
      </w:r>
      <w:proofErr w:type="spellEnd"/>
      <w:r w:rsidRPr="00381390">
        <w:rPr>
          <w:rFonts w:ascii="Arial" w:hAnsi="Arial" w:cs="Arial"/>
          <w:b/>
          <w:bCs/>
          <w:sz w:val="22"/>
          <w:szCs w:val="22"/>
          <w:highlight w:val="white"/>
          <w:lang w:bidi="bn-IN"/>
        </w:rPr>
        <w:t xml:space="preserve">: </w:t>
      </w:r>
    </w:p>
    <w:p w14:paraId="51F3CC31" w14:textId="77777777" w:rsidR="004E30AC"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Most of the recent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sp. inoculation trials were examined in a number of studies.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inoculation is beneficial for forage grasses, barley, ragi, sorghum, pearl millet, maize, and many other crops. Yield improvements of up to 11% have been reported for several crops (Wani, 1992) (Table 4). Herbaspirillum, a new Brazilian bacterium that is taxonomically related to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was discovered by </w:t>
      </w:r>
      <w:proofErr w:type="spellStart"/>
      <w:r w:rsidRPr="00381390">
        <w:rPr>
          <w:rFonts w:ascii="Arial" w:eastAsia="SimSun" w:hAnsi="Arial" w:cs="Arial"/>
          <w:sz w:val="22"/>
          <w:szCs w:val="22"/>
          <w:lang w:eastAsia="zh-CN" w:bidi="ar"/>
        </w:rPr>
        <w:t>Baldani</w:t>
      </w:r>
      <w:proofErr w:type="spellEnd"/>
      <w:r w:rsidRPr="00381390">
        <w:rPr>
          <w:rFonts w:ascii="Arial" w:eastAsia="SimSun" w:hAnsi="Arial" w:cs="Arial"/>
          <w:sz w:val="22"/>
          <w:szCs w:val="22"/>
          <w:lang w:eastAsia="zh-CN" w:bidi="ar"/>
        </w:rPr>
        <w:t xml:space="preserve"> et al. in 1986. Researchers discovered that it is associated with grasses and has the capacity to repair atmospheric nitrogen. A </w:t>
      </w:r>
      <w:proofErr w:type="spellStart"/>
      <w:r w:rsidRPr="00381390">
        <w:rPr>
          <w:rFonts w:ascii="Arial" w:eastAsia="SimSun" w:hAnsi="Arial" w:cs="Arial"/>
          <w:sz w:val="22"/>
          <w:szCs w:val="22"/>
          <w:lang w:eastAsia="zh-CN" w:bidi="ar"/>
        </w:rPr>
        <w:t>saccharophilic</w:t>
      </w:r>
      <w:proofErr w:type="spellEnd"/>
      <w:r w:rsidRPr="00381390">
        <w:rPr>
          <w:rFonts w:ascii="Arial" w:eastAsia="SimSun" w:hAnsi="Arial" w:cs="Arial"/>
          <w:sz w:val="22"/>
          <w:szCs w:val="22"/>
          <w:lang w:eastAsia="zh-CN" w:bidi="ar"/>
        </w:rPr>
        <w:t xml:space="preserve"> bacterium called </w:t>
      </w:r>
      <w:proofErr w:type="spellStart"/>
      <w:r w:rsidRPr="00381390">
        <w:rPr>
          <w:rFonts w:ascii="Arial" w:eastAsia="SimSun" w:hAnsi="Arial" w:cs="Arial"/>
          <w:sz w:val="22"/>
          <w:szCs w:val="22"/>
          <w:lang w:eastAsia="zh-CN" w:bidi="ar"/>
        </w:rPr>
        <w:t>Acetobacter</w:t>
      </w:r>
      <w:proofErr w:type="spellEnd"/>
      <w:r w:rsidRPr="00381390">
        <w:rPr>
          <w:rFonts w:ascii="Arial" w:eastAsia="SimSun" w:hAnsi="Arial" w:cs="Arial"/>
          <w:sz w:val="22"/>
          <w:szCs w:val="22"/>
          <w:lang w:eastAsia="zh-CN" w:bidi="ar"/>
        </w:rPr>
        <w:t xml:space="preserve"> </w:t>
      </w:r>
      <w:proofErr w:type="spellStart"/>
      <w:r w:rsidRPr="00381390">
        <w:rPr>
          <w:rFonts w:ascii="Arial" w:eastAsia="SimSun" w:hAnsi="Arial" w:cs="Arial"/>
          <w:sz w:val="22"/>
          <w:szCs w:val="22"/>
          <w:lang w:eastAsia="zh-CN" w:bidi="ar"/>
        </w:rPr>
        <w:t>diazotrophicus</w:t>
      </w:r>
      <w:proofErr w:type="spellEnd"/>
      <w:r w:rsidRPr="00381390">
        <w:rPr>
          <w:rFonts w:ascii="Arial" w:eastAsia="SimSun" w:hAnsi="Arial" w:cs="Arial"/>
          <w:sz w:val="22"/>
          <w:szCs w:val="22"/>
          <w:lang w:eastAsia="zh-CN" w:bidi="ar"/>
        </w:rPr>
        <w:t xml:space="preserve"> is frequently associated with plants including sugarcane, sweet potatoes, and sweet sorghum. In order to inoculate sugarcane, the bacteria might be grown in a nitrogen-free malate medium before being mixed with the carrier material.</w:t>
      </w:r>
    </w:p>
    <w:p w14:paraId="10ED683E" w14:textId="77777777" w:rsidR="00381390" w:rsidRPr="00381390" w:rsidRDefault="00381390" w:rsidP="00381390">
      <w:pPr>
        <w:spacing w:line="360" w:lineRule="auto"/>
        <w:jc w:val="both"/>
        <w:rPr>
          <w:rFonts w:ascii="Arial" w:hAnsi="Arial" w:cs="Arial"/>
          <w:sz w:val="22"/>
          <w:szCs w:val="22"/>
        </w:rPr>
      </w:pPr>
    </w:p>
    <w:p w14:paraId="7EC4D05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commentRangeStart w:id="12"/>
      <w:r w:rsidRPr="00381390">
        <w:rPr>
          <w:rFonts w:ascii="Arial" w:hAnsi="Arial" w:cs="Arial"/>
          <w:b/>
          <w:bCs/>
          <w:sz w:val="22"/>
          <w:szCs w:val="22"/>
          <w:highlight w:val="white"/>
          <w:lang w:bidi="bn-IN"/>
        </w:rPr>
        <w:t xml:space="preserve">Table 4: Yield response of cereals to </w:t>
      </w:r>
      <w:proofErr w:type="spellStart"/>
      <w:r w:rsidRPr="00381390">
        <w:rPr>
          <w:rFonts w:ascii="Arial" w:hAnsi="Arial" w:cs="Arial"/>
          <w:b/>
          <w:bCs/>
          <w:sz w:val="22"/>
          <w:szCs w:val="22"/>
          <w:highlight w:val="white"/>
          <w:lang w:bidi="bn-IN"/>
        </w:rPr>
        <w:t>Azospirillum</w:t>
      </w:r>
      <w:proofErr w:type="spellEnd"/>
      <w:r w:rsidRPr="00381390">
        <w:rPr>
          <w:rFonts w:ascii="Arial" w:hAnsi="Arial" w:cs="Arial"/>
          <w:b/>
          <w:bCs/>
          <w:sz w:val="22"/>
          <w:szCs w:val="22"/>
          <w:highlight w:val="white"/>
          <w:lang w:bidi="bn-IN"/>
        </w:rPr>
        <w:t xml:space="preserve"> inoculation at different levels of nitrogen application in the field</w:t>
      </w:r>
      <w:commentRangeEnd w:id="12"/>
      <w:r w:rsidR="00582119">
        <w:rPr>
          <w:rStyle w:val="CommentReference"/>
        </w:rPr>
        <w:commentReference w:id="12"/>
      </w:r>
    </w:p>
    <w:tbl>
      <w:tblPr>
        <w:tblStyle w:val="TableGrid"/>
        <w:tblW w:w="8905" w:type="dxa"/>
        <w:jc w:val="center"/>
        <w:tblLook w:val="04A0" w:firstRow="1" w:lastRow="0" w:firstColumn="1" w:lastColumn="0" w:noHBand="0" w:noVBand="1"/>
      </w:tblPr>
      <w:tblGrid>
        <w:gridCol w:w="548"/>
        <w:gridCol w:w="1517"/>
        <w:gridCol w:w="1890"/>
        <w:gridCol w:w="1620"/>
        <w:gridCol w:w="1440"/>
        <w:gridCol w:w="1890"/>
      </w:tblGrid>
      <w:tr w:rsidR="004E30AC" w:rsidRPr="00381390" w14:paraId="6FA1A2CB" w14:textId="77777777">
        <w:trPr>
          <w:trHeight w:val="530"/>
          <w:jc w:val="center"/>
        </w:trPr>
        <w:tc>
          <w:tcPr>
            <w:tcW w:w="548" w:type="dxa"/>
            <w:vMerge w:val="restart"/>
          </w:tcPr>
          <w:p w14:paraId="5F796DD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1517" w:type="dxa"/>
            <w:vMerge w:val="restart"/>
          </w:tcPr>
          <w:p w14:paraId="507717C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1890" w:type="dxa"/>
            <w:vMerge w:val="restart"/>
          </w:tcPr>
          <w:p w14:paraId="03D8559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applied</w:t>
            </w:r>
          </w:p>
          <w:p w14:paraId="1D580D9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(kg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c>
          <w:tcPr>
            <w:tcW w:w="4950" w:type="dxa"/>
            <w:gridSpan w:val="3"/>
          </w:tcPr>
          <w:p w14:paraId="560F541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Grain yield (t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p w14:paraId="2519F390"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r>
      <w:tr w:rsidR="004E30AC" w:rsidRPr="00381390" w14:paraId="71526DA3" w14:textId="77777777">
        <w:trPr>
          <w:trHeight w:val="503"/>
          <w:jc w:val="center"/>
        </w:trPr>
        <w:tc>
          <w:tcPr>
            <w:tcW w:w="548" w:type="dxa"/>
            <w:vMerge/>
          </w:tcPr>
          <w:p w14:paraId="26EF2A87"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517" w:type="dxa"/>
            <w:vMerge/>
          </w:tcPr>
          <w:p w14:paraId="403F3C5C"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890" w:type="dxa"/>
            <w:vMerge/>
          </w:tcPr>
          <w:p w14:paraId="54FB5B8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620" w:type="dxa"/>
          </w:tcPr>
          <w:p w14:paraId="49F4310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Control</w:t>
            </w:r>
          </w:p>
        </w:tc>
        <w:tc>
          <w:tcPr>
            <w:tcW w:w="1440" w:type="dxa"/>
          </w:tcPr>
          <w:p w14:paraId="3809963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Inoculated</w:t>
            </w:r>
          </w:p>
        </w:tc>
        <w:tc>
          <w:tcPr>
            <w:tcW w:w="1890" w:type="dxa"/>
          </w:tcPr>
          <w:p w14:paraId="62D55A9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Increase</w:t>
            </w:r>
          </w:p>
          <w:p w14:paraId="2E00D75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125E58B5" w14:textId="77777777">
        <w:trPr>
          <w:trHeight w:val="165"/>
          <w:jc w:val="center"/>
        </w:trPr>
        <w:tc>
          <w:tcPr>
            <w:tcW w:w="548" w:type="dxa"/>
            <w:vMerge w:val="restart"/>
          </w:tcPr>
          <w:p w14:paraId="0244ED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1517" w:type="dxa"/>
            <w:vMerge w:val="restart"/>
          </w:tcPr>
          <w:p w14:paraId="294B544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Rice</w:t>
            </w:r>
          </w:p>
        </w:tc>
        <w:tc>
          <w:tcPr>
            <w:tcW w:w="1890" w:type="dxa"/>
          </w:tcPr>
          <w:p w14:paraId="49ECF07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21D24A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2.93</w:t>
            </w:r>
          </w:p>
        </w:tc>
        <w:tc>
          <w:tcPr>
            <w:tcW w:w="1440" w:type="dxa"/>
          </w:tcPr>
          <w:p w14:paraId="1B732E6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3.08</w:t>
            </w:r>
          </w:p>
        </w:tc>
        <w:tc>
          <w:tcPr>
            <w:tcW w:w="1890" w:type="dxa"/>
          </w:tcPr>
          <w:p w14:paraId="2CC811C4"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0.15</w:t>
            </w:r>
          </w:p>
        </w:tc>
      </w:tr>
      <w:tr w:rsidR="004E30AC" w:rsidRPr="00381390" w14:paraId="14C5B500" w14:textId="77777777">
        <w:trPr>
          <w:trHeight w:val="150"/>
          <w:jc w:val="center"/>
        </w:trPr>
        <w:tc>
          <w:tcPr>
            <w:tcW w:w="548" w:type="dxa"/>
            <w:vMerge/>
          </w:tcPr>
          <w:p w14:paraId="487DDCB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1F8829FA"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45BF0DB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30</w:t>
            </w:r>
          </w:p>
        </w:tc>
        <w:tc>
          <w:tcPr>
            <w:tcW w:w="1620" w:type="dxa"/>
          </w:tcPr>
          <w:p w14:paraId="4D7E4AF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3.52</w:t>
            </w:r>
          </w:p>
        </w:tc>
        <w:tc>
          <w:tcPr>
            <w:tcW w:w="1440" w:type="dxa"/>
          </w:tcPr>
          <w:p w14:paraId="010FFBD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3.98</w:t>
            </w:r>
          </w:p>
        </w:tc>
        <w:tc>
          <w:tcPr>
            <w:tcW w:w="1890" w:type="dxa"/>
          </w:tcPr>
          <w:p w14:paraId="5D3D53D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0.46</w:t>
            </w:r>
          </w:p>
        </w:tc>
      </w:tr>
      <w:tr w:rsidR="004E30AC" w:rsidRPr="00381390" w14:paraId="33FB908C" w14:textId="77777777">
        <w:trPr>
          <w:trHeight w:val="150"/>
          <w:jc w:val="center"/>
        </w:trPr>
        <w:tc>
          <w:tcPr>
            <w:tcW w:w="548" w:type="dxa"/>
            <w:vMerge/>
          </w:tcPr>
          <w:p w14:paraId="7FBD7CCA"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23694FA4"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1A20FC9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w:t>
            </w:r>
          </w:p>
        </w:tc>
        <w:tc>
          <w:tcPr>
            <w:tcW w:w="1620" w:type="dxa"/>
          </w:tcPr>
          <w:p w14:paraId="7E87785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3.93</w:t>
            </w:r>
          </w:p>
        </w:tc>
        <w:tc>
          <w:tcPr>
            <w:tcW w:w="1440" w:type="dxa"/>
          </w:tcPr>
          <w:p w14:paraId="2E2148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4.54</w:t>
            </w:r>
          </w:p>
        </w:tc>
        <w:tc>
          <w:tcPr>
            <w:tcW w:w="1890" w:type="dxa"/>
          </w:tcPr>
          <w:p w14:paraId="4DD9B4D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0.61</w:t>
            </w:r>
          </w:p>
        </w:tc>
      </w:tr>
      <w:tr w:rsidR="004E30AC" w:rsidRPr="00381390" w14:paraId="7A460E0D" w14:textId="77777777">
        <w:trPr>
          <w:trHeight w:val="111"/>
          <w:jc w:val="center"/>
        </w:trPr>
        <w:tc>
          <w:tcPr>
            <w:tcW w:w="548" w:type="dxa"/>
            <w:vMerge/>
          </w:tcPr>
          <w:p w14:paraId="54E508AD"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718AA91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6F84D14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60</w:t>
            </w:r>
          </w:p>
        </w:tc>
        <w:tc>
          <w:tcPr>
            <w:tcW w:w="1620" w:type="dxa"/>
          </w:tcPr>
          <w:p w14:paraId="555E9F5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4.45</w:t>
            </w:r>
          </w:p>
        </w:tc>
        <w:tc>
          <w:tcPr>
            <w:tcW w:w="1440" w:type="dxa"/>
          </w:tcPr>
          <w:p w14:paraId="2A1385C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4.85</w:t>
            </w:r>
          </w:p>
        </w:tc>
        <w:tc>
          <w:tcPr>
            <w:tcW w:w="1890" w:type="dxa"/>
          </w:tcPr>
          <w:p w14:paraId="49FFED7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0.40</w:t>
            </w:r>
          </w:p>
        </w:tc>
      </w:tr>
      <w:tr w:rsidR="004E30AC" w:rsidRPr="00381390" w14:paraId="373BC260" w14:textId="77777777">
        <w:trPr>
          <w:trHeight w:val="105"/>
          <w:jc w:val="center"/>
        </w:trPr>
        <w:tc>
          <w:tcPr>
            <w:tcW w:w="548" w:type="dxa"/>
            <w:vMerge w:val="restart"/>
          </w:tcPr>
          <w:p w14:paraId="6C95F36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1517" w:type="dxa"/>
            <w:vMerge w:val="restart"/>
          </w:tcPr>
          <w:p w14:paraId="4FA842E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Wheat</w:t>
            </w:r>
          </w:p>
        </w:tc>
        <w:tc>
          <w:tcPr>
            <w:tcW w:w="1890" w:type="dxa"/>
          </w:tcPr>
          <w:p w14:paraId="051AD16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70E085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3.78</w:t>
            </w:r>
          </w:p>
        </w:tc>
        <w:tc>
          <w:tcPr>
            <w:tcW w:w="1440" w:type="dxa"/>
          </w:tcPr>
          <w:p w14:paraId="707DEA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3.90</w:t>
            </w:r>
          </w:p>
        </w:tc>
        <w:tc>
          <w:tcPr>
            <w:tcW w:w="1890" w:type="dxa"/>
          </w:tcPr>
          <w:p w14:paraId="298D928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1.12</w:t>
            </w:r>
          </w:p>
        </w:tc>
      </w:tr>
      <w:tr w:rsidR="004E30AC" w:rsidRPr="00381390" w14:paraId="0AED5A29" w14:textId="77777777">
        <w:trPr>
          <w:trHeight w:val="165"/>
          <w:jc w:val="center"/>
        </w:trPr>
        <w:tc>
          <w:tcPr>
            <w:tcW w:w="548" w:type="dxa"/>
            <w:vMerge/>
          </w:tcPr>
          <w:p w14:paraId="0A9CBB97"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39D533BF"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432F007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40</w:t>
            </w:r>
          </w:p>
        </w:tc>
        <w:tc>
          <w:tcPr>
            <w:tcW w:w="1620" w:type="dxa"/>
          </w:tcPr>
          <w:p w14:paraId="7D31225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4.54</w:t>
            </w:r>
          </w:p>
        </w:tc>
        <w:tc>
          <w:tcPr>
            <w:tcW w:w="1440" w:type="dxa"/>
          </w:tcPr>
          <w:p w14:paraId="60FFCA1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4.58</w:t>
            </w:r>
          </w:p>
        </w:tc>
        <w:tc>
          <w:tcPr>
            <w:tcW w:w="1890" w:type="dxa"/>
          </w:tcPr>
          <w:p w14:paraId="4FF87D5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0.94</w:t>
            </w:r>
          </w:p>
        </w:tc>
      </w:tr>
      <w:tr w:rsidR="004E30AC" w:rsidRPr="00381390" w14:paraId="1D333DB0" w14:textId="77777777">
        <w:trPr>
          <w:trHeight w:val="135"/>
          <w:jc w:val="center"/>
        </w:trPr>
        <w:tc>
          <w:tcPr>
            <w:tcW w:w="548" w:type="dxa"/>
            <w:vMerge/>
          </w:tcPr>
          <w:p w14:paraId="4EA88B6B"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32F96E6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260C1EE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80</w:t>
            </w:r>
          </w:p>
        </w:tc>
        <w:tc>
          <w:tcPr>
            <w:tcW w:w="1620" w:type="dxa"/>
          </w:tcPr>
          <w:p w14:paraId="3A0B8A4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4.94</w:t>
            </w:r>
          </w:p>
        </w:tc>
        <w:tc>
          <w:tcPr>
            <w:tcW w:w="1440" w:type="dxa"/>
          </w:tcPr>
          <w:p w14:paraId="67C5466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5.75</w:t>
            </w:r>
          </w:p>
        </w:tc>
        <w:tc>
          <w:tcPr>
            <w:tcW w:w="1890" w:type="dxa"/>
          </w:tcPr>
          <w:p w14:paraId="162B7BA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0.81</w:t>
            </w:r>
          </w:p>
        </w:tc>
      </w:tr>
      <w:tr w:rsidR="004E30AC" w:rsidRPr="00381390" w14:paraId="7ADCDB14" w14:textId="77777777">
        <w:trPr>
          <w:trHeight w:val="126"/>
          <w:jc w:val="center"/>
        </w:trPr>
        <w:tc>
          <w:tcPr>
            <w:tcW w:w="548" w:type="dxa"/>
            <w:vMerge/>
          </w:tcPr>
          <w:p w14:paraId="51D24D1F"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0BE58358"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7EEC7BB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120</w:t>
            </w:r>
          </w:p>
        </w:tc>
        <w:tc>
          <w:tcPr>
            <w:tcW w:w="1620" w:type="dxa"/>
          </w:tcPr>
          <w:p w14:paraId="515316E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4.95</w:t>
            </w:r>
          </w:p>
        </w:tc>
        <w:tc>
          <w:tcPr>
            <w:tcW w:w="1440" w:type="dxa"/>
          </w:tcPr>
          <w:p w14:paraId="7BA1E29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6.29</w:t>
            </w:r>
          </w:p>
        </w:tc>
        <w:tc>
          <w:tcPr>
            <w:tcW w:w="1890" w:type="dxa"/>
          </w:tcPr>
          <w:p w14:paraId="0C7EE3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1.34</w:t>
            </w:r>
          </w:p>
        </w:tc>
      </w:tr>
      <w:tr w:rsidR="004E30AC" w:rsidRPr="00381390" w14:paraId="254CA6A7" w14:textId="77777777">
        <w:trPr>
          <w:trHeight w:val="105"/>
          <w:jc w:val="center"/>
        </w:trPr>
        <w:tc>
          <w:tcPr>
            <w:tcW w:w="548" w:type="dxa"/>
            <w:vMerge w:val="restart"/>
          </w:tcPr>
          <w:p w14:paraId="05CD89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1517" w:type="dxa"/>
            <w:vMerge w:val="restart"/>
          </w:tcPr>
          <w:p w14:paraId="39300B4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Maize</w:t>
            </w:r>
          </w:p>
        </w:tc>
        <w:tc>
          <w:tcPr>
            <w:tcW w:w="1890" w:type="dxa"/>
          </w:tcPr>
          <w:p w14:paraId="032E858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2AC47B5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3.43</w:t>
            </w:r>
          </w:p>
        </w:tc>
        <w:tc>
          <w:tcPr>
            <w:tcW w:w="1440" w:type="dxa"/>
          </w:tcPr>
          <w:p w14:paraId="4EBD3591"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3.90</w:t>
            </w:r>
          </w:p>
        </w:tc>
        <w:tc>
          <w:tcPr>
            <w:tcW w:w="1890" w:type="dxa"/>
          </w:tcPr>
          <w:p w14:paraId="4BBCCE8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0.47</w:t>
            </w:r>
          </w:p>
        </w:tc>
      </w:tr>
      <w:tr w:rsidR="004E30AC" w:rsidRPr="00381390" w14:paraId="4118F13E" w14:textId="77777777">
        <w:trPr>
          <w:trHeight w:val="81"/>
          <w:jc w:val="center"/>
        </w:trPr>
        <w:tc>
          <w:tcPr>
            <w:tcW w:w="548" w:type="dxa"/>
            <w:vMerge/>
          </w:tcPr>
          <w:p w14:paraId="08A22DB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50BF645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59787E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33</w:t>
            </w:r>
          </w:p>
        </w:tc>
        <w:tc>
          <w:tcPr>
            <w:tcW w:w="1620" w:type="dxa"/>
          </w:tcPr>
          <w:p w14:paraId="7E8C41E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3.95</w:t>
            </w:r>
          </w:p>
        </w:tc>
        <w:tc>
          <w:tcPr>
            <w:tcW w:w="1440" w:type="dxa"/>
          </w:tcPr>
          <w:p w14:paraId="65C953C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5.81</w:t>
            </w:r>
          </w:p>
        </w:tc>
        <w:tc>
          <w:tcPr>
            <w:tcW w:w="1890" w:type="dxa"/>
          </w:tcPr>
          <w:p w14:paraId="779F9B6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1.86</w:t>
            </w:r>
          </w:p>
        </w:tc>
      </w:tr>
      <w:tr w:rsidR="004E30AC" w:rsidRPr="00381390" w14:paraId="3DF49245" w14:textId="77777777">
        <w:trPr>
          <w:trHeight w:val="165"/>
          <w:jc w:val="center"/>
        </w:trPr>
        <w:tc>
          <w:tcPr>
            <w:tcW w:w="548" w:type="dxa"/>
            <w:vMerge/>
          </w:tcPr>
          <w:p w14:paraId="74EBAE1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10819427"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561D44D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66</w:t>
            </w:r>
          </w:p>
        </w:tc>
        <w:tc>
          <w:tcPr>
            <w:tcW w:w="1620" w:type="dxa"/>
          </w:tcPr>
          <w:p w14:paraId="3BE7513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3.98</w:t>
            </w:r>
          </w:p>
        </w:tc>
        <w:tc>
          <w:tcPr>
            <w:tcW w:w="1440" w:type="dxa"/>
          </w:tcPr>
          <w:p w14:paraId="342456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7.20</w:t>
            </w:r>
          </w:p>
        </w:tc>
        <w:tc>
          <w:tcPr>
            <w:tcW w:w="1890" w:type="dxa"/>
          </w:tcPr>
          <w:p w14:paraId="710A949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3.22</w:t>
            </w:r>
          </w:p>
        </w:tc>
      </w:tr>
      <w:tr w:rsidR="004E30AC" w:rsidRPr="00381390" w14:paraId="26D347AB" w14:textId="77777777">
        <w:trPr>
          <w:trHeight w:val="96"/>
          <w:jc w:val="center"/>
        </w:trPr>
        <w:tc>
          <w:tcPr>
            <w:tcW w:w="548" w:type="dxa"/>
            <w:vMerge/>
          </w:tcPr>
          <w:p w14:paraId="6A9C3A4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0675A8F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6AE0C5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100</w:t>
            </w:r>
          </w:p>
        </w:tc>
        <w:tc>
          <w:tcPr>
            <w:tcW w:w="1620" w:type="dxa"/>
          </w:tcPr>
          <w:p w14:paraId="4C15208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4.15</w:t>
            </w:r>
          </w:p>
        </w:tc>
        <w:tc>
          <w:tcPr>
            <w:tcW w:w="1440" w:type="dxa"/>
          </w:tcPr>
          <w:p w14:paraId="618D03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7.27</w:t>
            </w:r>
          </w:p>
        </w:tc>
        <w:tc>
          <w:tcPr>
            <w:tcW w:w="1890" w:type="dxa"/>
          </w:tcPr>
          <w:p w14:paraId="79BEC68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3.12</w:t>
            </w:r>
          </w:p>
        </w:tc>
      </w:tr>
    </w:tbl>
    <w:p w14:paraId="12713321" w14:textId="77777777" w:rsidR="004E30AC" w:rsidRPr="00381390" w:rsidRDefault="00A6618C" w:rsidP="00381390">
      <w:pPr>
        <w:autoSpaceDE w:val="0"/>
        <w:autoSpaceDN w:val="0"/>
        <w:adjustRightInd w:val="0"/>
        <w:spacing w:line="360" w:lineRule="auto"/>
        <w:jc w:val="right"/>
        <w:rPr>
          <w:rFonts w:ascii="Arial" w:hAnsi="Arial" w:cs="Arial"/>
          <w:sz w:val="22"/>
          <w:szCs w:val="22"/>
          <w:highlight w:val="white"/>
          <w:lang w:bidi="bn-IN"/>
        </w:rPr>
      </w:pPr>
      <w:r w:rsidRPr="00381390">
        <w:rPr>
          <w:rFonts w:ascii="Arial" w:hAnsi="Arial" w:cs="Arial"/>
          <w:sz w:val="22"/>
          <w:szCs w:val="22"/>
          <w:highlight w:val="white"/>
          <w:lang w:bidi="bn-IN"/>
        </w:rPr>
        <w:t>(Wani, 1992)</w:t>
      </w:r>
    </w:p>
    <w:p w14:paraId="1BC341D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2CC0DE0C" w14:textId="77777777" w:rsid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7E133425" w14:textId="77777777" w:rsid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41C45BB7"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Biofertilizer aiding Phosphorous Nutrition Phosphate Solubilizing Microorganism</w:t>
      </w:r>
      <w:r w:rsidRPr="00381390">
        <w:rPr>
          <w:rStyle w:val="CommentReference"/>
          <w:rFonts w:ascii="Arial" w:hAnsi="Arial" w:cs="Arial"/>
          <w:sz w:val="22"/>
          <w:szCs w:val="22"/>
        </w:rPr>
        <w:t xml:space="preserve">  </w:t>
      </w:r>
    </w:p>
    <w:p w14:paraId="24FF4117"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The P solubilizing bacteria can be mass multiplied on </w:t>
      </w:r>
      <w:proofErr w:type="spellStart"/>
      <w:r w:rsidRPr="00381390">
        <w:rPr>
          <w:rFonts w:ascii="Arial" w:hAnsi="Arial" w:cs="Arial"/>
          <w:sz w:val="22"/>
          <w:szCs w:val="22"/>
          <w:lang w:bidi="bn-IN"/>
        </w:rPr>
        <w:t>Pikovaskai</w:t>
      </w:r>
      <w:proofErr w:type="spellEnd"/>
      <w:r w:rsidRPr="00381390">
        <w:rPr>
          <w:rFonts w:ascii="Arial" w:hAnsi="Arial" w:cs="Arial"/>
          <w:sz w:val="22"/>
          <w:szCs w:val="22"/>
          <w:lang w:bidi="bn-IN"/>
        </w:rPr>
        <w:t xml:space="preserve"> broth and mixed with the carrier material used.  Research conducted by scientists from IARI, New Delhi, has demonstrated that inoculating with phosphate solubilizing microorganisms in conjunction with rock phosphate can yield comparable results to those achieved with superphosphate (Tilak, 1991). </w:t>
      </w:r>
    </w:p>
    <w:p w14:paraId="6F70DF60"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lang w:bidi="bn-IN"/>
        </w:rPr>
        <w:t xml:space="preserve">Phosphate-solubilizing rhizobacteria are found everywhere, and their populations differ from one type of soil to another.  Microbes that solubilize phosphate (PSM), including bacteria and fungi, facilitate its mobilization through the production of organic acids and phosphatases.  A variety of genera of bacteria and fungi are identified as phosphate-solubilizing microbes (Yadav et al., 2014).  Phosphate-solubilizing bacteria, part of the plant growth-promoting rhizobacteria (PGPR) group, have significant implications for plant growth and development (Naseem &amp; Bano, 2014).  The solubilization of phosphate can occur due to a reduction in pH or through cation chelation.  The impact of phosphate-solubilizing microbes differs based on soil characteristics.  Most plants linked to rhizobacteria in phosphorus-deficient environments enhance phosphorus absorption from the soil.  Phosphate-solubilizing microbes (PSM) serve as biofertilizers, promoting plant growth and supplying phosphorus to plants sustainably (Meena et al., 2015; Naseem &amp; Bano, 2014).  </w:t>
      </w:r>
      <w:r w:rsidRPr="00381390">
        <w:rPr>
          <w:rFonts w:ascii="Arial" w:eastAsia="SimSun" w:hAnsi="Arial" w:cs="Arial"/>
          <w:sz w:val="22"/>
          <w:szCs w:val="22"/>
          <w:lang w:eastAsia="zh-CN" w:bidi="ar"/>
        </w:rPr>
        <w:t xml:space="preserve">The production of organic acids, particularly acid phosphatase, and the decrease of pH are the primary mechanisms involved in this process. The surrounding pH is lowered by the organic acids released from PSB, which also makes it easier for H+ to release phosphate ions. Among the important acids produced by plants are oxalic acid, succinic acid, malic acid, and others. These organic acids compete for accessible phosphorus, which is necessary for plant uptake, as well as binding sites in the soil. The most efficient acid produced by phosphate-solubilizing microorganisms is 2-keto gluconic acid. Phosphate can be </w:t>
      </w:r>
      <w:proofErr w:type="spellStart"/>
      <w:r w:rsidRPr="00381390">
        <w:rPr>
          <w:rFonts w:ascii="Arial" w:eastAsia="SimSun" w:hAnsi="Arial" w:cs="Arial"/>
          <w:sz w:val="22"/>
          <w:szCs w:val="22"/>
          <w:lang w:eastAsia="zh-CN" w:bidi="ar"/>
        </w:rPr>
        <w:t>solubilised</w:t>
      </w:r>
      <w:proofErr w:type="spellEnd"/>
      <w:r w:rsidRPr="00381390">
        <w:rPr>
          <w:rFonts w:ascii="Arial" w:eastAsia="SimSun" w:hAnsi="Arial" w:cs="Arial"/>
          <w:sz w:val="22"/>
          <w:szCs w:val="22"/>
          <w:lang w:eastAsia="zh-CN" w:bidi="ar"/>
        </w:rPr>
        <w:t xml:space="preserve"> by a range of microorganisms (</w:t>
      </w:r>
      <w:proofErr w:type="spellStart"/>
      <w:r w:rsidRPr="00381390">
        <w:rPr>
          <w:rFonts w:ascii="Arial" w:eastAsia="SimSun" w:hAnsi="Arial" w:cs="Arial"/>
          <w:sz w:val="22"/>
          <w:szCs w:val="22"/>
          <w:lang w:eastAsia="zh-CN" w:bidi="ar"/>
        </w:rPr>
        <w:t>Istina</w:t>
      </w:r>
      <w:proofErr w:type="spellEnd"/>
      <w:r w:rsidRPr="00381390">
        <w:rPr>
          <w:rFonts w:ascii="Arial" w:eastAsia="SimSun" w:hAnsi="Arial" w:cs="Arial"/>
          <w:sz w:val="22"/>
          <w:szCs w:val="22"/>
          <w:lang w:eastAsia="zh-CN" w:bidi="ar"/>
        </w:rPr>
        <w:t xml:space="preserve"> et al., 2015). Thus, incorporating phosphate-solubilizing microorganisms into agricultural systems may be a cost-effective and sustainable approach.</w:t>
      </w:r>
    </w:p>
    <w:p w14:paraId="583665C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Yield increase because of inoculation with P-solubilizing microorganisms has been reported in different crops (Table 5).</w:t>
      </w:r>
    </w:p>
    <w:p w14:paraId="39EB5F88" w14:textId="77777777" w:rsidR="00600786" w:rsidRDefault="00600786" w:rsidP="00381390">
      <w:pPr>
        <w:autoSpaceDE w:val="0"/>
        <w:autoSpaceDN w:val="0"/>
        <w:adjustRightInd w:val="0"/>
        <w:spacing w:line="360" w:lineRule="auto"/>
        <w:jc w:val="both"/>
        <w:rPr>
          <w:rFonts w:ascii="Arial" w:hAnsi="Arial" w:cs="Arial"/>
          <w:sz w:val="22"/>
          <w:szCs w:val="22"/>
          <w:highlight w:val="white"/>
          <w:lang w:bidi="bn-IN"/>
        </w:rPr>
      </w:pPr>
    </w:p>
    <w:p w14:paraId="15BCAEE3" w14:textId="77777777" w:rsid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028E0313" w14:textId="77777777" w:rsid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1D18A3C1" w14:textId="77777777" w:rsidR="00381390" w:rsidRP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554EF14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Table 5: Use of phosphate solubilizing microorganisms on crops</w:t>
      </w:r>
    </w:p>
    <w:tbl>
      <w:tblPr>
        <w:tblStyle w:val="TableGrid"/>
        <w:tblW w:w="0" w:type="auto"/>
        <w:tblLook w:val="04A0" w:firstRow="1" w:lastRow="0" w:firstColumn="1" w:lastColumn="0" w:noHBand="0" w:noVBand="1"/>
      </w:tblPr>
      <w:tblGrid>
        <w:gridCol w:w="715"/>
        <w:gridCol w:w="2611"/>
        <w:gridCol w:w="1877"/>
        <w:gridCol w:w="1606"/>
        <w:gridCol w:w="1677"/>
      </w:tblGrid>
      <w:tr w:rsidR="004E30AC" w:rsidRPr="00381390" w14:paraId="7097EEA9" w14:textId="77777777" w:rsidTr="00381390">
        <w:trPr>
          <w:trHeight w:val="350"/>
        </w:trPr>
        <w:tc>
          <w:tcPr>
            <w:tcW w:w="715" w:type="dxa"/>
            <w:vMerge w:val="restart"/>
          </w:tcPr>
          <w:p w14:paraId="508A997D"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2611" w:type="dxa"/>
            <w:vMerge w:val="restart"/>
          </w:tcPr>
          <w:p w14:paraId="702F3DCE"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5160" w:type="dxa"/>
            <w:gridSpan w:val="3"/>
          </w:tcPr>
          <w:p w14:paraId="5F62E92B"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Yield (kg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16A70ECE" w14:textId="77777777" w:rsidTr="00381390">
        <w:trPr>
          <w:trHeight w:val="210"/>
        </w:trPr>
        <w:tc>
          <w:tcPr>
            <w:tcW w:w="715" w:type="dxa"/>
            <w:vMerge/>
          </w:tcPr>
          <w:p w14:paraId="0FABB3A5" w14:textId="77777777" w:rsidR="004E30AC" w:rsidRPr="00381390" w:rsidRDefault="004E30AC" w:rsidP="00381390">
            <w:pPr>
              <w:autoSpaceDE w:val="0"/>
              <w:autoSpaceDN w:val="0"/>
              <w:adjustRightInd w:val="0"/>
              <w:spacing w:line="360" w:lineRule="auto"/>
              <w:jc w:val="center"/>
              <w:rPr>
                <w:rFonts w:ascii="Arial" w:hAnsi="Arial" w:cs="Arial"/>
                <w:b/>
                <w:bCs/>
                <w:sz w:val="22"/>
                <w:szCs w:val="22"/>
                <w:highlight w:val="white"/>
                <w:lang w:bidi="bn-IN"/>
              </w:rPr>
            </w:pPr>
          </w:p>
        </w:tc>
        <w:tc>
          <w:tcPr>
            <w:tcW w:w="2611" w:type="dxa"/>
            <w:vMerge/>
          </w:tcPr>
          <w:p w14:paraId="49178A4C" w14:textId="77777777" w:rsidR="004E30AC" w:rsidRPr="00381390" w:rsidRDefault="004E30AC" w:rsidP="00381390">
            <w:pPr>
              <w:autoSpaceDE w:val="0"/>
              <w:autoSpaceDN w:val="0"/>
              <w:adjustRightInd w:val="0"/>
              <w:spacing w:line="360" w:lineRule="auto"/>
              <w:jc w:val="center"/>
              <w:rPr>
                <w:rFonts w:ascii="Arial" w:hAnsi="Arial" w:cs="Arial"/>
                <w:b/>
                <w:bCs/>
                <w:sz w:val="22"/>
                <w:szCs w:val="22"/>
                <w:highlight w:val="white"/>
                <w:lang w:bidi="bn-IN"/>
              </w:rPr>
            </w:pPr>
          </w:p>
        </w:tc>
        <w:tc>
          <w:tcPr>
            <w:tcW w:w="1877" w:type="dxa"/>
          </w:tcPr>
          <w:p w14:paraId="272158C8"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Uninoculated</w:t>
            </w:r>
          </w:p>
        </w:tc>
        <w:tc>
          <w:tcPr>
            <w:tcW w:w="1606" w:type="dxa"/>
          </w:tcPr>
          <w:p w14:paraId="4557BBF6"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Inoculated</w:t>
            </w:r>
          </w:p>
        </w:tc>
        <w:tc>
          <w:tcPr>
            <w:tcW w:w="1677" w:type="dxa"/>
          </w:tcPr>
          <w:p w14:paraId="51D294E6"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 increase</w:t>
            </w:r>
          </w:p>
        </w:tc>
      </w:tr>
      <w:tr w:rsidR="004E30AC" w:rsidRPr="00381390" w14:paraId="6F965DA0" w14:textId="77777777" w:rsidTr="00381390">
        <w:trPr>
          <w:trHeight w:val="120"/>
        </w:trPr>
        <w:tc>
          <w:tcPr>
            <w:tcW w:w="715" w:type="dxa"/>
            <w:vMerge w:val="restart"/>
          </w:tcPr>
          <w:p w14:paraId="21EFA0B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2611" w:type="dxa"/>
            <w:vMerge w:val="restart"/>
          </w:tcPr>
          <w:p w14:paraId="00F683C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Rice</w:t>
            </w:r>
          </w:p>
        </w:tc>
        <w:tc>
          <w:tcPr>
            <w:tcW w:w="1877" w:type="dxa"/>
          </w:tcPr>
          <w:p w14:paraId="0C2AFCBC"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1937</w:t>
            </w:r>
          </w:p>
        </w:tc>
        <w:tc>
          <w:tcPr>
            <w:tcW w:w="1606" w:type="dxa"/>
          </w:tcPr>
          <w:p w14:paraId="682E60A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2161</w:t>
            </w:r>
          </w:p>
        </w:tc>
        <w:tc>
          <w:tcPr>
            <w:tcW w:w="1677" w:type="dxa"/>
          </w:tcPr>
          <w:p w14:paraId="563FFB3E"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11.50</w:t>
            </w:r>
          </w:p>
        </w:tc>
      </w:tr>
      <w:tr w:rsidR="004E30AC" w:rsidRPr="00381390" w14:paraId="76DC22F3" w14:textId="77777777" w:rsidTr="00381390">
        <w:trPr>
          <w:trHeight w:val="150"/>
        </w:trPr>
        <w:tc>
          <w:tcPr>
            <w:tcW w:w="715" w:type="dxa"/>
            <w:vMerge/>
          </w:tcPr>
          <w:p w14:paraId="7692B6BD"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2611" w:type="dxa"/>
            <w:vMerge/>
          </w:tcPr>
          <w:p w14:paraId="757954FC"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1877" w:type="dxa"/>
          </w:tcPr>
          <w:p w14:paraId="4ABE502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2050</w:t>
            </w:r>
          </w:p>
        </w:tc>
        <w:tc>
          <w:tcPr>
            <w:tcW w:w="1606" w:type="dxa"/>
          </w:tcPr>
          <w:p w14:paraId="0215540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2300</w:t>
            </w:r>
          </w:p>
        </w:tc>
        <w:tc>
          <w:tcPr>
            <w:tcW w:w="1677" w:type="dxa"/>
          </w:tcPr>
          <w:p w14:paraId="0744D641"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12.20</w:t>
            </w:r>
          </w:p>
        </w:tc>
      </w:tr>
      <w:tr w:rsidR="004E30AC" w:rsidRPr="00381390" w14:paraId="266E0332" w14:textId="77777777" w:rsidTr="00381390">
        <w:trPr>
          <w:trHeight w:val="180"/>
        </w:trPr>
        <w:tc>
          <w:tcPr>
            <w:tcW w:w="715" w:type="dxa"/>
            <w:vMerge w:val="restart"/>
          </w:tcPr>
          <w:p w14:paraId="7635C2F8"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2611" w:type="dxa"/>
            <w:vMerge w:val="restart"/>
          </w:tcPr>
          <w:p w14:paraId="07859B0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Wheat</w:t>
            </w:r>
          </w:p>
        </w:tc>
        <w:tc>
          <w:tcPr>
            <w:tcW w:w="1877" w:type="dxa"/>
          </w:tcPr>
          <w:p w14:paraId="2B98596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4100</w:t>
            </w:r>
          </w:p>
        </w:tc>
        <w:tc>
          <w:tcPr>
            <w:tcW w:w="1606" w:type="dxa"/>
          </w:tcPr>
          <w:p w14:paraId="0EAA3DFA"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4811</w:t>
            </w:r>
          </w:p>
        </w:tc>
        <w:tc>
          <w:tcPr>
            <w:tcW w:w="1677" w:type="dxa"/>
          </w:tcPr>
          <w:p w14:paraId="341861D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17.30</w:t>
            </w:r>
          </w:p>
        </w:tc>
      </w:tr>
      <w:tr w:rsidR="004E30AC" w:rsidRPr="00381390" w14:paraId="558481B9" w14:textId="77777777" w:rsidTr="00381390">
        <w:trPr>
          <w:trHeight w:val="80"/>
        </w:trPr>
        <w:tc>
          <w:tcPr>
            <w:tcW w:w="715" w:type="dxa"/>
            <w:vMerge/>
          </w:tcPr>
          <w:p w14:paraId="657D4E55"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2611" w:type="dxa"/>
            <w:vMerge/>
          </w:tcPr>
          <w:p w14:paraId="1333036D"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1877" w:type="dxa"/>
          </w:tcPr>
          <w:p w14:paraId="2717195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4786</w:t>
            </w:r>
          </w:p>
        </w:tc>
        <w:tc>
          <w:tcPr>
            <w:tcW w:w="1606" w:type="dxa"/>
          </w:tcPr>
          <w:p w14:paraId="3C339637"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5584</w:t>
            </w:r>
          </w:p>
        </w:tc>
        <w:tc>
          <w:tcPr>
            <w:tcW w:w="1677" w:type="dxa"/>
          </w:tcPr>
          <w:p w14:paraId="221688A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16.60</w:t>
            </w:r>
          </w:p>
        </w:tc>
      </w:tr>
      <w:tr w:rsidR="004E30AC" w:rsidRPr="00381390" w14:paraId="0E3F632B" w14:textId="77777777" w:rsidTr="00381390">
        <w:tc>
          <w:tcPr>
            <w:tcW w:w="715" w:type="dxa"/>
          </w:tcPr>
          <w:p w14:paraId="57716C00"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2611" w:type="dxa"/>
          </w:tcPr>
          <w:p w14:paraId="3549150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Chickpea</w:t>
            </w:r>
          </w:p>
        </w:tc>
        <w:tc>
          <w:tcPr>
            <w:tcW w:w="1877" w:type="dxa"/>
          </w:tcPr>
          <w:p w14:paraId="4FB80C3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2370</w:t>
            </w:r>
          </w:p>
        </w:tc>
        <w:tc>
          <w:tcPr>
            <w:tcW w:w="1606" w:type="dxa"/>
          </w:tcPr>
          <w:p w14:paraId="62B8E0E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2920</w:t>
            </w:r>
          </w:p>
        </w:tc>
        <w:tc>
          <w:tcPr>
            <w:tcW w:w="1677" w:type="dxa"/>
          </w:tcPr>
          <w:p w14:paraId="69982E91"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23.20</w:t>
            </w:r>
          </w:p>
        </w:tc>
      </w:tr>
      <w:tr w:rsidR="004E30AC" w:rsidRPr="00381390" w14:paraId="10CB81F5" w14:textId="77777777" w:rsidTr="00381390">
        <w:tc>
          <w:tcPr>
            <w:tcW w:w="715" w:type="dxa"/>
          </w:tcPr>
          <w:p w14:paraId="30CC311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w:t>
            </w:r>
          </w:p>
        </w:tc>
        <w:tc>
          <w:tcPr>
            <w:tcW w:w="2611" w:type="dxa"/>
          </w:tcPr>
          <w:p w14:paraId="2483988B"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Pea</w:t>
            </w:r>
          </w:p>
        </w:tc>
        <w:tc>
          <w:tcPr>
            <w:tcW w:w="1877" w:type="dxa"/>
          </w:tcPr>
          <w:p w14:paraId="677FE2E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2169</w:t>
            </w:r>
          </w:p>
        </w:tc>
        <w:tc>
          <w:tcPr>
            <w:tcW w:w="1606" w:type="dxa"/>
          </w:tcPr>
          <w:p w14:paraId="303008D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2717</w:t>
            </w:r>
          </w:p>
        </w:tc>
        <w:tc>
          <w:tcPr>
            <w:tcW w:w="1677" w:type="dxa"/>
          </w:tcPr>
          <w:p w14:paraId="3DD0DD6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25.20</w:t>
            </w:r>
          </w:p>
        </w:tc>
      </w:tr>
      <w:tr w:rsidR="004E30AC" w:rsidRPr="00381390" w14:paraId="714E88B0" w14:textId="77777777" w:rsidTr="00381390">
        <w:tc>
          <w:tcPr>
            <w:tcW w:w="715" w:type="dxa"/>
          </w:tcPr>
          <w:p w14:paraId="6A4541E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5</w:t>
            </w:r>
          </w:p>
        </w:tc>
        <w:tc>
          <w:tcPr>
            <w:tcW w:w="2611" w:type="dxa"/>
          </w:tcPr>
          <w:p w14:paraId="7DFF54EC"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Soybean</w:t>
            </w:r>
          </w:p>
        </w:tc>
        <w:tc>
          <w:tcPr>
            <w:tcW w:w="1877" w:type="dxa"/>
          </w:tcPr>
          <w:p w14:paraId="4769DF8A"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1050</w:t>
            </w:r>
          </w:p>
        </w:tc>
        <w:tc>
          <w:tcPr>
            <w:tcW w:w="1606" w:type="dxa"/>
          </w:tcPr>
          <w:p w14:paraId="43B18A1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1786</w:t>
            </w:r>
          </w:p>
        </w:tc>
        <w:tc>
          <w:tcPr>
            <w:tcW w:w="1677" w:type="dxa"/>
          </w:tcPr>
          <w:p w14:paraId="0D0AC5A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70.00</w:t>
            </w:r>
          </w:p>
        </w:tc>
      </w:tr>
      <w:tr w:rsidR="004E30AC" w:rsidRPr="00381390" w14:paraId="2477CDA7" w14:textId="77777777" w:rsidTr="00381390">
        <w:tc>
          <w:tcPr>
            <w:tcW w:w="715" w:type="dxa"/>
          </w:tcPr>
          <w:p w14:paraId="6CDEB807"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6</w:t>
            </w:r>
          </w:p>
        </w:tc>
        <w:tc>
          <w:tcPr>
            <w:tcW w:w="2611" w:type="dxa"/>
          </w:tcPr>
          <w:p w14:paraId="3746DA8E"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Potato</w:t>
            </w:r>
          </w:p>
        </w:tc>
        <w:tc>
          <w:tcPr>
            <w:tcW w:w="1877" w:type="dxa"/>
          </w:tcPr>
          <w:p w14:paraId="343B56B9"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23320</w:t>
            </w:r>
          </w:p>
        </w:tc>
        <w:tc>
          <w:tcPr>
            <w:tcW w:w="1606" w:type="dxa"/>
          </w:tcPr>
          <w:p w14:paraId="637AC89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37330</w:t>
            </w:r>
          </w:p>
        </w:tc>
        <w:tc>
          <w:tcPr>
            <w:tcW w:w="1677" w:type="dxa"/>
          </w:tcPr>
          <w:p w14:paraId="786DB9A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60.00</w:t>
            </w:r>
          </w:p>
        </w:tc>
      </w:tr>
    </w:tbl>
    <w:p w14:paraId="231949ED" w14:textId="77777777" w:rsidR="004E30AC" w:rsidRPr="00381390" w:rsidRDefault="00A6618C" w:rsidP="00381390">
      <w:pPr>
        <w:autoSpaceDE w:val="0"/>
        <w:autoSpaceDN w:val="0"/>
        <w:adjustRightInd w:val="0"/>
        <w:spacing w:line="360" w:lineRule="auto"/>
        <w:jc w:val="right"/>
        <w:rPr>
          <w:rFonts w:ascii="Arial" w:hAnsi="Arial" w:cs="Arial"/>
          <w:b/>
          <w:bCs/>
          <w:sz w:val="22"/>
          <w:szCs w:val="22"/>
          <w:highlight w:val="white"/>
          <w:lang w:bidi="bn-IN"/>
        </w:rPr>
      </w:pPr>
      <w:r w:rsidRPr="00381390">
        <w:rPr>
          <w:rFonts w:ascii="Arial" w:hAnsi="Arial" w:cs="Arial"/>
          <w:sz w:val="22"/>
          <w:szCs w:val="22"/>
          <w:highlight w:val="white"/>
          <w:lang w:bidi="bn-IN"/>
        </w:rPr>
        <w:t>(Tilak, 1991)</w:t>
      </w:r>
    </w:p>
    <w:p w14:paraId="1C35BCCD"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5498C4AF"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3BE60F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b/>
          <w:bCs/>
          <w:sz w:val="22"/>
          <w:szCs w:val="22"/>
          <w:highlight w:val="white"/>
          <w:lang w:bidi="bn-IN"/>
        </w:rPr>
        <w:t>Plant-microbe interactions that assist in biocontrol</w:t>
      </w:r>
      <w:r w:rsidRPr="00381390">
        <w:rPr>
          <w:rFonts w:ascii="Arial" w:hAnsi="Arial" w:cs="Arial"/>
          <w:sz w:val="22"/>
          <w:szCs w:val="22"/>
          <w:highlight w:val="white"/>
          <w:lang w:bidi="bn-IN"/>
        </w:rPr>
        <w:t xml:space="preserve"> </w:t>
      </w:r>
    </w:p>
    <w:p w14:paraId="399AB315"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Soil bacteria rely on root exudates and lysates as nutrients, and plant roots provide an ecological home for their growth. Plants and beneficial microorganisms frequently engage in mutualistic interactions that boost plant nutrition and/or strengthen the plant's resistance to biotic and abiotic stress. This offers a competitive edge in every situation, resulting in enhanced plant growth and proliferation (Haney et al., 2015). On the root surface and rhizosphere, a variety of endophytic bacteria and free-living rhizobacteria use the nutrients released by the host and release metabolite compounds into the soil that help prevent plant diseases brought on by bacteria or fungi (Grey et al., 2005 &amp; Kiely et al., 2006).</w:t>
      </w:r>
    </w:p>
    <w:p w14:paraId="7ED4EDD0" w14:textId="77777777" w:rsidR="00600786"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Through air nitrogen fixation or phosphorous </w:t>
      </w:r>
      <w:proofErr w:type="spellStart"/>
      <w:r w:rsidRPr="00381390">
        <w:rPr>
          <w:rFonts w:ascii="Arial" w:eastAsia="SimSun" w:hAnsi="Arial" w:cs="Arial"/>
          <w:sz w:val="22"/>
          <w:szCs w:val="22"/>
          <w:lang w:eastAsia="zh-CN" w:bidi="ar"/>
        </w:rPr>
        <w:t>solubilisation</w:t>
      </w:r>
      <w:proofErr w:type="spellEnd"/>
      <w:r w:rsidRPr="00381390">
        <w:rPr>
          <w:rFonts w:ascii="Arial" w:eastAsia="SimSun" w:hAnsi="Arial" w:cs="Arial"/>
          <w:sz w:val="22"/>
          <w:szCs w:val="22"/>
          <w:lang w:eastAsia="zh-CN" w:bidi="ar"/>
        </w:rPr>
        <w:t>, for instance, this indirect connection between the microorganisms and plants increases the supply of minerals and other nutrients that affect plant growth (Bowen et al., 1999). By inhibiting the growth and activity of diseases, the interaction between plants and a collection of biocontrol microorganisms also indirectly promotes plant growth (Chet et al., 2003; Bais et al., 2006). Additionally, microbes can have a direct role in promoting plant growth by managing soil fitness and stimulating plant growth, for instance by producing auxin (Welbaum et al., 2004).</w:t>
      </w:r>
    </w:p>
    <w:p w14:paraId="49B445D0"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Abiotic stress reduction may also fall within this category. Some of the beneficial microbes use similar processes to promote plant growth and inhibit harmful diseases, </w:t>
      </w:r>
      <w:r w:rsidRPr="00381390">
        <w:rPr>
          <w:rFonts w:ascii="Arial" w:eastAsia="SimSun" w:hAnsi="Arial" w:cs="Arial"/>
          <w:sz w:val="22"/>
          <w:szCs w:val="22"/>
          <w:lang w:eastAsia="zh-CN" w:bidi="ar"/>
        </w:rPr>
        <w:lastRenderedPageBreak/>
        <w:t xml:space="preserve">despite their distinct ecological rhizosphere habitats (Dobbelaere, 2003; Glick et al., 1995; Sturz et al., 2003). The bacteria Bacillus thuringiensis (commonly written as Bt.) is an example of a microbial biocontrol agent that can be used to manage butterfly caterpillars. The fungus Trichoderma is being developed as a biological control to cure plant diseases. The genus </w:t>
      </w:r>
      <w:proofErr w:type="spellStart"/>
      <w:r w:rsidRPr="00381390">
        <w:rPr>
          <w:rFonts w:ascii="Arial" w:eastAsia="SimSun" w:hAnsi="Arial" w:cs="Arial"/>
          <w:sz w:val="22"/>
          <w:szCs w:val="22"/>
          <w:lang w:eastAsia="zh-CN" w:bidi="ar"/>
        </w:rPr>
        <w:t>Nucleopolyhedrovirus</w:t>
      </w:r>
      <w:proofErr w:type="spellEnd"/>
      <w:r w:rsidRPr="00381390">
        <w:rPr>
          <w:rFonts w:ascii="Arial" w:eastAsia="SimSun" w:hAnsi="Arial" w:cs="Arial"/>
          <w:sz w:val="22"/>
          <w:szCs w:val="22"/>
          <w:lang w:eastAsia="zh-CN" w:bidi="ar"/>
        </w:rPr>
        <w:t xml:space="preserve"> contains most </w:t>
      </w:r>
      <w:proofErr w:type="spellStart"/>
      <w:r w:rsidRPr="00381390">
        <w:rPr>
          <w:rFonts w:ascii="Arial" w:eastAsia="SimSun" w:hAnsi="Arial" w:cs="Arial"/>
          <w:sz w:val="22"/>
          <w:szCs w:val="22"/>
          <w:lang w:eastAsia="zh-CN" w:bidi="ar"/>
        </w:rPr>
        <w:t>baculoviruses</w:t>
      </w:r>
      <w:proofErr w:type="spellEnd"/>
      <w:r w:rsidRPr="00381390">
        <w:rPr>
          <w:rFonts w:ascii="Arial" w:eastAsia="SimSun" w:hAnsi="Arial" w:cs="Arial"/>
          <w:sz w:val="22"/>
          <w:szCs w:val="22"/>
          <w:lang w:eastAsia="zh-CN" w:bidi="ar"/>
        </w:rPr>
        <w:t xml:space="preserve"> employed as biological control agents.</w:t>
      </w:r>
    </w:p>
    <w:p w14:paraId="23E72324" w14:textId="77777777" w:rsidR="004E30AC" w:rsidRPr="00381390" w:rsidRDefault="00A6618C" w:rsidP="00381390">
      <w:pPr>
        <w:spacing w:line="360" w:lineRule="auto"/>
        <w:jc w:val="both"/>
        <w:rPr>
          <w:rFonts w:ascii="Arial" w:hAnsi="Arial" w:cs="Arial"/>
          <w:sz w:val="22"/>
          <w:szCs w:val="22"/>
          <w:lang w:bidi="bn-IN"/>
        </w:rPr>
      </w:pPr>
      <w:r w:rsidRPr="00381390">
        <w:rPr>
          <w:rFonts w:ascii="Arial" w:hAnsi="Arial" w:cs="Arial"/>
          <w:sz w:val="22"/>
          <w:szCs w:val="22"/>
          <w:lang w:bidi="bn-IN"/>
        </w:rPr>
        <w:t xml:space="preserve">Root-knot nematodes have already been shown to be effectively controllable via the application of the </w:t>
      </w:r>
      <w:proofErr w:type="spellStart"/>
      <w:r w:rsidRPr="00381390">
        <w:rPr>
          <w:rFonts w:ascii="Arial" w:hAnsi="Arial" w:cs="Arial"/>
          <w:sz w:val="22"/>
          <w:szCs w:val="22"/>
          <w:lang w:bidi="bn-IN"/>
        </w:rPr>
        <w:t>nematophagous</w:t>
      </w:r>
      <w:proofErr w:type="spellEnd"/>
      <w:r w:rsidRPr="00381390">
        <w:rPr>
          <w:rFonts w:ascii="Arial" w:hAnsi="Arial" w:cs="Arial"/>
          <w:sz w:val="22"/>
          <w:szCs w:val="22"/>
          <w:lang w:bidi="bn-IN"/>
        </w:rPr>
        <w:t xml:space="preserve"> fungus, </w:t>
      </w:r>
      <w:proofErr w:type="spellStart"/>
      <w:r w:rsidRPr="00381390">
        <w:rPr>
          <w:rFonts w:ascii="Arial" w:hAnsi="Arial" w:cs="Arial"/>
          <w:sz w:val="22"/>
          <w:szCs w:val="22"/>
          <w:lang w:bidi="bn-IN"/>
        </w:rPr>
        <w:t>Paecilomyces</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lilacinus</w:t>
      </w:r>
      <w:proofErr w:type="spellEnd"/>
      <w:r w:rsidRPr="00381390">
        <w:rPr>
          <w:rFonts w:ascii="Arial" w:hAnsi="Arial" w:cs="Arial"/>
          <w:sz w:val="22"/>
          <w:szCs w:val="22"/>
          <w:lang w:bidi="bn-IN"/>
        </w:rPr>
        <w:t xml:space="preserve"> (</w:t>
      </w:r>
      <w:r w:rsidRPr="00381390">
        <w:rPr>
          <w:rFonts w:ascii="Arial" w:hAnsi="Arial" w:cs="Arial"/>
          <w:color w:val="FF0000"/>
          <w:sz w:val="22"/>
          <w:szCs w:val="22"/>
          <w:lang w:bidi="bn-IN"/>
        </w:rPr>
        <w:t>Mittal N et al., 1995)</w:t>
      </w:r>
      <w:r w:rsidRPr="00381390">
        <w:rPr>
          <w:rFonts w:ascii="Arial" w:hAnsi="Arial" w:cs="Arial"/>
          <w:sz w:val="22"/>
          <w:szCs w:val="22"/>
          <w:lang w:bidi="bn-IN"/>
        </w:rPr>
        <w:t xml:space="preserve"> Combinations of </w:t>
      </w:r>
      <w:proofErr w:type="spellStart"/>
      <w:r w:rsidRPr="00381390">
        <w:rPr>
          <w:rFonts w:ascii="Arial" w:hAnsi="Arial" w:cs="Arial"/>
          <w:sz w:val="22"/>
          <w:szCs w:val="22"/>
          <w:lang w:bidi="bn-IN"/>
        </w:rPr>
        <w:t>nematicidial</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microbialagents</w:t>
      </w:r>
      <w:proofErr w:type="spellEnd"/>
      <w:r w:rsidRPr="00381390">
        <w:rPr>
          <w:rFonts w:ascii="Arial" w:hAnsi="Arial" w:cs="Arial"/>
          <w:sz w:val="22"/>
          <w:szCs w:val="22"/>
          <w:lang w:bidi="bn-IN"/>
        </w:rPr>
        <w:t xml:space="preserve">, including </w:t>
      </w:r>
      <w:proofErr w:type="spellStart"/>
      <w:r w:rsidRPr="00381390">
        <w:rPr>
          <w:rFonts w:ascii="Arial" w:hAnsi="Arial" w:cs="Arial"/>
          <w:i/>
          <w:iCs/>
          <w:sz w:val="22"/>
          <w:szCs w:val="22"/>
          <w:lang w:bidi="bn-IN"/>
        </w:rPr>
        <w:t>Bradyrhizobium</w:t>
      </w:r>
      <w:proofErr w:type="spellEnd"/>
      <w:r w:rsidRPr="00381390">
        <w:rPr>
          <w:rFonts w:ascii="Arial" w:hAnsi="Arial" w:cs="Arial"/>
          <w:i/>
          <w:iCs/>
          <w:sz w:val="22"/>
          <w:szCs w:val="22"/>
          <w:lang w:bidi="bn-IN"/>
        </w:rPr>
        <w:t xml:space="preserve"> </w:t>
      </w:r>
      <w:proofErr w:type="spellStart"/>
      <w:r w:rsidRPr="00381390">
        <w:rPr>
          <w:rFonts w:ascii="Arial" w:hAnsi="Arial" w:cs="Arial"/>
          <w:i/>
          <w:iCs/>
          <w:sz w:val="22"/>
          <w:szCs w:val="22"/>
          <w:lang w:bidi="bn-IN"/>
        </w:rPr>
        <w:t>haponicum</w:t>
      </w:r>
      <w:proofErr w:type="spellEnd"/>
      <w:r w:rsidRPr="00381390">
        <w:rPr>
          <w:rFonts w:ascii="Arial" w:hAnsi="Arial" w:cs="Arial"/>
          <w:sz w:val="22"/>
          <w:szCs w:val="22"/>
          <w:lang w:bidi="bn-IN"/>
        </w:rPr>
        <w:t xml:space="preserve">, </w:t>
      </w:r>
      <w:proofErr w:type="spellStart"/>
      <w:r w:rsidRPr="00381390">
        <w:rPr>
          <w:rFonts w:ascii="Arial" w:hAnsi="Arial" w:cs="Arial"/>
          <w:i/>
          <w:iCs/>
          <w:sz w:val="22"/>
          <w:szCs w:val="22"/>
          <w:lang w:bidi="bn-IN"/>
        </w:rPr>
        <w:t>Trichoderma</w:t>
      </w:r>
      <w:proofErr w:type="spellEnd"/>
      <w:r w:rsidRPr="00381390">
        <w:rPr>
          <w:rFonts w:ascii="Arial" w:hAnsi="Arial" w:cs="Arial"/>
          <w:i/>
          <w:iCs/>
          <w:sz w:val="22"/>
          <w:szCs w:val="22"/>
          <w:lang w:bidi="bn-IN"/>
        </w:rPr>
        <w:t xml:space="preserve"> </w:t>
      </w:r>
      <w:proofErr w:type="spellStart"/>
      <w:r w:rsidRPr="00381390">
        <w:rPr>
          <w:rFonts w:ascii="Arial" w:hAnsi="Arial" w:cs="Arial"/>
          <w:i/>
          <w:iCs/>
          <w:sz w:val="22"/>
          <w:szCs w:val="22"/>
          <w:lang w:bidi="bn-IN"/>
        </w:rPr>
        <w:t>pseudokoningii</w:t>
      </w:r>
      <w:proofErr w:type="spellEnd"/>
      <w:r w:rsidRPr="00381390">
        <w:rPr>
          <w:rFonts w:ascii="Arial" w:hAnsi="Arial" w:cs="Arial"/>
          <w:sz w:val="22"/>
          <w:szCs w:val="22"/>
          <w:lang w:bidi="bn-IN"/>
        </w:rPr>
        <w:t xml:space="preserve">, and </w:t>
      </w:r>
      <w:proofErr w:type="spellStart"/>
      <w:r w:rsidRPr="00381390">
        <w:rPr>
          <w:rFonts w:ascii="Arial" w:hAnsi="Arial" w:cs="Arial"/>
          <w:i/>
          <w:iCs/>
          <w:sz w:val="22"/>
          <w:szCs w:val="22"/>
          <w:lang w:bidi="bn-IN"/>
        </w:rPr>
        <w:t>Glomus</w:t>
      </w:r>
      <w:proofErr w:type="spellEnd"/>
      <w:r w:rsidRPr="00381390">
        <w:rPr>
          <w:rFonts w:ascii="Arial" w:hAnsi="Arial" w:cs="Arial"/>
          <w:i/>
          <w:iCs/>
          <w:sz w:val="22"/>
          <w:szCs w:val="22"/>
          <w:lang w:bidi="bn-IN"/>
        </w:rPr>
        <w:t xml:space="preserve"> </w:t>
      </w:r>
      <w:proofErr w:type="spellStart"/>
      <w:r w:rsidRPr="00381390">
        <w:rPr>
          <w:rFonts w:ascii="Arial" w:hAnsi="Arial" w:cs="Arial"/>
          <w:i/>
          <w:iCs/>
          <w:sz w:val="22"/>
          <w:szCs w:val="22"/>
          <w:lang w:bidi="bn-IN"/>
        </w:rPr>
        <w:t>mossease</w:t>
      </w:r>
      <w:proofErr w:type="spellEnd"/>
      <w:r w:rsidRPr="00381390">
        <w:rPr>
          <w:rFonts w:ascii="Arial" w:hAnsi="Arial" w:cs="Arial"/>
          <w:sz w:val="22"/>
          <w:szCs w:val="22"/>
          <w:lang w:bidi="bn-IN"/>
        </w:rPr>
        <w:t>, have been success-fully introduced in the ﬁeld to control the root-knot nematode (</w:t>
      </w:r>
      <w:proofErr w:type="spellStart"/>
      <w:r w:rsidRPr="00381390">
        <w:rPr>
          <w:rFonts w:ascii="Arial" w:hAnsi="Arial" w:cs="Arial"/>
          <w:sz w:val="22"/>
          <w:szCs w:val="22"/>
          <w:lang w:bidi="bn-IN"/>
        </w:rPr>
        <w:t>Oyekanmi</w:t>
      </w:r>
      <w:proofErr w:type="spellEnd"/>
      <w:r w:rsidRPr="00381390">
        <w:rPr>
          <w:rFonts w:ascii="Arial" w:hAnsi="Arial" w:cs="Arial"/>
          <w:sz w:val="22"/>
          <w:szCs w:val="22"/>
          <w:lang w:bidi="bn-IN"/>
        </w:rPr>
        <w:t xml:space="preserve"> EO et al., 2007). A combination of P. </w:t>
      </w:r>
      <w:proofErr w:type="spellStart"/>
      <w:r w:rsidRPr="00381390">
        <w:rPr>
          <w:rFonts w:ascii="Arial" w:hAnsi="Arial" w:cs="Arial"/>
          <w:sz w:val="22"/>
          <w:szCs w:val="22"/>
          <w:lang w:bidi="bn-IN"/>
        </w:rPr>
        <w:t>lilacinus</w:t>
      </w:r>
      <w:proofErr w:type="spellEnd"/>
      <w:r w:rsidRPr="00381390">
        <w:rPr>
          <w:rFonts w:ascii="Arial" w:hAnsi="Arial" w:cs="Arial"/>
          <w:sz w:val="22"/>
          <w:szCs w:val="22"/>
          <w:lang w:bidi="bn-IN"/>
        </w:rPr>
        <w:t xml:space="preserve"> and </w:t>
      </w:r>
      <w:r w:rsidRPr="00381390">
        <w:rPr>
          <w:rFonts w:ascii="Arial" w:hAnsi="Arial" w:cs="Arial"/>
          <w:i/>
          <w:iCs/>
          <w:sz w:val="22"/>
          <w:szCs w:val="22"/>
          <w:lang w:bidi="bn-IN"/>
        </w:rPr>
        <w:t xml:space="preserve">Bacillus </w:t>
      </w:r>
      <w:proofErr w:type="spellStart"/>
      <w:r w:rsidRPr="00381390">
        <w:rPr>
          <w:rFonts w:ascii="Arial" w:hAnsi="Arial" w:cs="Arial"/>
          <w:i/>
          <w:iCs/>
          <w:sz w:val="22"/>
          <w:szCs w:val="22"/>
          <w:lang w:bidi="bn-IN"/>
        </w:rPr>
        <w:t>frimus</w:t>
      </w:r>
      <w:proofErr w:type="spellEnd"/>
      <w:r w:rsidRPr="00381390">
        <w:rPr>
          <w:rFonts w:ascii="Arial" w:hAnsi="Arial" w:cs="Arial"/>
          <w:sz w:val="22"/>
          <w:szCs w:val="22"/>
          <w:lang w:bidi="bn-IN"/>
        </w:rPr>
        <w:t xml:space="preserve"> has also been successfully employed to destroy the egg mass of the root-knot nematode </w:t>
      </w:r>
    </w:p>
    <w:p w14:paraId="753BE91A" w14:textId="77777777" w:rsidR="004933FF" w:rsidRPr="00381390" w:rsidRDefault="004933FF" w:rsidP="00381390">
      <w:pPr>
        <w:spacing w:line="360" w:lineRule="auto"/>
        <w:jc w:val="both"/>
        <w:rPr>
          <w:rFonts w:ascii="Arial" w:hAnsi="Arial" w:cs="Arial"/>
          <w:sz w:val="22"/>
          <w:szCs w:val="22"/>
          <w:lang w:bidi="bn-IN"/>
        </w:rPr>
      </w:pPr>
    </w:p>
    <w:p w14:paraId="166A802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i/>
          <w:iCs/>
          <w:sz w:val="22"/>
          <w:szCs w:val="22"/>
          <w:highlight w:val="white"/>
          <w:lang w:bidi="bn-IN"/>
        </w:rPr>
        <w:t>Agrobacterium tumefaciens</w:t>
      </w:r>
      <w:r w:rsidRPr="00381390">
        <w:rPr>
          <w:rFonts w:ascii="Arial" w:hAnsi="Arial" w:cs="Arial"/>
          <w:b/>
          <w:bCs/>
          <w:sz w:val="22"/>
          <w:szCs w:val="22"/>
          <w:highlight w:val="white"/>
          <w:lang w:bidi="bn-IN"/>
        </w:rPr>
        <w:t>: a natural tool for plant transformation</w:t>
      </w:r>
    </w:p>
    <w:p w14:paraId="0EC36629"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The most popular technique for introducing foreign genes into plant cells and subsequently regenerating transgenic plants is plant transformation mediated by the soil plant pathogenic bacteria Agrobacterium </w:t>
      </w:r>
      <w:proofErr w:type="spellStart"/>
      <w:r w:rsidRPr="00381390">
        <w:rPr>
          <w:rFonts w:ascii="Arial" w:eastAsia="SimSun" w:hAnsi="Arial" w:cs="Arial"/>
          <w:sz w:val="22"/>
          <w:szCs w:val="22"/>
          <w:lang w:eastAsia="zh-CN" w:bidi="ar"/>
        </w:rPr>
        <w:t>tumefaciens.Crown</w:t>
      </w:r>
      <w:proofErr w:type="spellEnd"/>
      <w:r w:rsidRPr="00381390">
        <w:rPr>
          <w:rFonts w:ascii="Arial" w:eastAsia="SimSun" w:hAnsi="Arial" w:cs="Arial"/>
          <w:sz w:val="22"/>
          <w:szCs w:val="22"/>
          <w:lang w:eastAsia="zh-CN" w:bidi="ar"/>
        </w:rPr>
        <w:t xml:space="preserve"> gall </w:t>
      </w:r>
      <w:proofErr w:type="spellStart"/>
      <w:r w:rsidRPr="00381390">
        <w:rPr>
          <w:rFonts w:ascii="Arial" w:eastAsia="SimSun" w:hAnsi="Arial" w:cs="Arial"/>
          <w:sz w:val="22"/>
          <w:szCs w:val="22"/>
          <w:lang w:eastAsia="zh-CN" w:bidi="ar"/>
        </w:rPr>
        <w:t>tumours</w:t>
      </w:r>
      <w:proofErr w:type="spellEnd"/>
      <w:r w:rsidRPr="00381390">
        <w:rPr>
          <w:rFonts w:ascii="Arial" w:eastAsia="SimSun" w:hAnsi="Arial" w:cs="Arial"/>
          <w:sz w:val="22"/>
          <w:szCs w:val="22"/>
          <w:lang w:eastAsia="zh-CN" w:bidi="ar"/>
        </w:rPr>
        <w:t xml:space="preserve"> are caused by A. tumefaciens, which naturally infects dicotyledonous plants' wound sites.</w:t>
      </w:r>
      <w:r w:rsidRPr="00381390">
        <w:rPr>
          <w:rFonts w:ascii="Arial" w:hAnsi="Arial" w:cs="Arial"/>
          <w:sz w:val="22"/>
          <w:szCs w:val="22"/>
          <w:highlight w:val="white"/>
          <w:lang w:bidi="bn-IN"/>
        </w:rPr>
        <w:t xml:space="preserve"> </w:t>
      </w:r>
      <w:r w:rsidRPr="00381390">
        <w:rPr>
          <w:rFonts w:ascii="Arial" w:eastAsia="SimSun" w:hAnsi="Arial" w:cs="Arial"/>
          <w:sz w:val="22"/>
          <w:szCs w:val="22"/>
          <w:lang w:eastAsia="zh-CN" w:bidi="ar"/>
        </w:rPr>
        <w:t>For almost ninety years, there have been indications that this bacteria is the cause of crown gall (Smith and Townsend, 1907). Since then, numerous studies have examined this neoplastic disease and the organism that cause</w:t>
      </w:r>
      <w:r w:rsidR="00381390">
        <w:rPr>
          <w:rFonts w:ascii="Arial" w:eastAsia="SimSun" w:hAnsi="Arial" w:cs="Arial"/>
          <w:sz w:val="22"/>
          <w:szCs w:val="22"/>
          <w:lang w:eastAsia="zh-CN" w:bidi="ar"/>
        </w:rPr>
        <w:t xml:space="preserve">s it for a variety of reasons. </w:t>
      </w:r>
      <w:r w:rsidRPr="00381390">
        <w:rPr>
          <w:rFonts w:ascii="Arial" w:eastAsia="SimSun" w:hAnsi="Arial" w:cs="Arial"/>
          <w:sz w:val="22"/>
          <w:szCs w:val="22"/>
          <w:lang w:eastAsia="zh-CN" w:bidi="ar"/>
        </w:rPr>
        <w:t>Several crucial processes are involved in the transfer of genes from Agrobacterium tumefaciens to plant cells</w:t>
      </w:r>
      <w:proofErr w:type="gramStart"/>
      <w:r w:rsidRPr="00381390">
        <w:rPr>
          <w:rFonts w:ascii="Arial" w:eastAsia="SimSun" w:hAnsi="Arial" w:cs="Arial"/>
          <w:sz w:val="22"/>
          <w:szCs w:val="22"/>
          <w:lang w:eastAsia="zh-CN" w:bidi="ar"/>
        </w:rPr>
        <w:t>.(</w:t>
      </w:r>
      <w:proofErr w:type="gramEnd"/>
      <w:r w:rsidRPr="00381390">
        <w:rPr>
          <w:rFonts w:ascii="Arial" w:eastAsia="SimSun" w:hAnsi="Arial" w:cs="Arial"/>
          <w:sz w:val="22"/>
          <w:szCs w:val="22"/>
          <w:lang w:eastAsia="zh-CN" w:bidi="ar"/>
        </w:rPr>
        <w:t xml:space="preserve">1) bacterial </w:t>
      </w:r>
      <w:proofErr w:type="spellStart"/>
      <w:r w:rsidRPr="00381390">
        <w:rPr>
          <w:rFonts w:ascii="Arial" w:eastAsia="SimSun" w:hAnsi="Arial" w:cs="Arial"/>
          <w:sz w:val="22"/>
          <w:szCs w:val="22"/>
          <w:lang w:eastAsia="zh-CN" w:bidi="ar"/>
        </w:rPr>
        <w:t>colonisation</w:t>
      </w:r>
      <w:proofErr w:type="spellEnd"/>
      <w:r w:rsidRPr="00381390">
        <w:rPr>
          <w:rFonts w:ascii="Arial" w:eastAsia="SimSun" w:hAnsi="Arial" w:cs="Arial"/>
          <w:sz w:val="22"/>
          <w:szCs w:val="22"/>
          <w:lang w:eastAsia="zh-CN" w:bidi="ar"/>
        </w:rPr>
        <w:t xml:space="preserve">; (2) bacterial virulence system stimulation; (3) T-DNA transfer complex formation; (4) T-DNA transfer; and (5) T-DNA integration into the plant genome. </w:t>
      </w:r>
    </w:p>
    <w:p w14:paraId="7932EE6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31F02E5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 xml:space="preserve">Microbes as Biofertilizers </w:t>
      </w:r>
    </w:p>
    <w:p w14:paraId="662ED2D6" w14:textId="77777777" w:rsidR="00814733"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Microbial inoculants, another name for biofertilizers, are organic products made from plant roots and root zones that contain particular microorganisms. They have been demonstrated to increase plant growth and yield by 10–40% (</w:t>
      </w:r>
      <w:proofErr w:type="spellStart"/>
      <w:r w:rsidRPr="00381390">
        <w:rPr>
          <w:rFonts w:ascii="Arial" w:eastAsia="SimSun" w:hAnsi="Arial" w:cs="Arial"/>
          <w:sz w:val="22"/>
          <w:szCs w:val="22"/>
          <w:lang w:eastAsia="zh-CN" w:bidi="ar"/>
        </w:rPr>
        <w:t>Kawalekar</w:t>
      </w:r>
      <w:proofErr w:type="spellEnd"/>
      <w:r w:rsidRPr="00381390">
        <w:rPr>
          <w:rFonts w:ascii="Arial" w:eastAsia="SimSun" w:hAnsi="Arial" w:cs="Arial"/>
          <w:sz w:val="22"/>
          <w:szCs w:val="22"/>
          <w:lang w:eastAsia="zh-CN" w:bidi="ar"/>
        </w:rPr>
        <w:t xml:space="preserve"> et al, 2013). When applied to the seed, plant surface, or soil, these </w:t>
      </w:r>
      <w:proofErr w:type="spellStart"/>
      <w:r w:rsidRPr="00381390">
        <w:rPr>
          <w:rFonts w:ascii="Arial" w:eastAsia="SimSun" w:hAnsi="Arial" w:cs="Arial"/>
          <w:sz w:val="22"/>
          <w:szCs w:val="22"/>
          <w:lang w:eastAsia="zh-CN" w:bidi="ar"/>
        </w:rPr>
        <w:t>bioinoculants</w:t>
      </w:r>
      <w:proofErr w:type="spellEnd"/>
      <w:r w:rsidRPr="00381390">
        <w:rPr>
          <w:rFonts w:ascii="Arial" w:eastAsia="SimSun" w:hAnsi="Arial" w:cs="Arial"/>
          <w:sz w:val="22"/>
          <w:szCs w:val="22"/>
          <w:lang w:eastAsia="zh-CN" w:bidi="ar"/>
        </w:rPr>
        <w:t xml:space="preserve">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the </w:t>
      </w:r>
      <w:proofErr w:type="spellStart"/>
      <w:r w:rsidRPr="00381390">
        <w:rPr>
          <w:rFonts w:ascii="Arial" w:eastAsia="SimSun" w:hAnsi="Arial" w:cs="Arial"/>
          <w:sz w:val="22"/>
          <w:szCs w:val="22"/>
          <w:lang w:eastAsia="zh-CN" w:bidi="ar"/>
        </w:rPr>
        <w:t>rhizosphere</w:t>
      </w:r>
      <w:proofErr w:type="spellEnd"/>
      <w:r w:rsidRPr="00381390">
        <w:rPr>
          <w:rFonts w:ascii="Arial" w:eastAsia="SimSun" w:hAnsi="Arial" w:cs="Arial"/>
          <w:sz w:val="22"/>
          <w:szCs w:val="22"/>
          <w:lang w:eastAsia="zh-CN" w:bidi="ar"/>
        </w:rPr>
        <w:t xml:space="preserve"> and the inside of the plant, encouraging plant growth (</w:t>
      </w:r>
      <w:proofErr w:type="spellStart"/>
      <w:r w:rsidRPr="00381390">
        <w:rPr>
          <w:rFonts w:ascii="Arial" w:eastAsia="SimSun" w:hAnsi="Arial" w:cs="Arial"/>
          <w:sz w:val="22"/>
          <w:szCs w:val="22"/>
          <w:lang w:eastAsia="zh-CN" w:bidi="ar"/>
        </w:rPr>
        <w:t>Raghuwanshi</w:t>
      </w:r>
      <w:proofErr w:type="spellEnd"/>
      <w:r w:rsidRPr="00381390">
        <w:rPr>
          <w:rFonts w:ascii="Arial" w:eastAsia="SimSun" w:hAnsi="Arial" w:cs="Arial"/>
          <w:sz w:val="22"/>
          <w:szCs w:val="22"/>
          <w:lang w:eastAsia="zh-CN" w:bidi="ar"/>
        </w:rPr>
        <w:t xml:space="preserve"> et al, 2012). By supplying nutrients to the soil, they not only increase crop productivity and soil </w:t>
      </w:r>
      <w:r w:rsidRPr="00381390">
        <w:rPr>
          <w:rFonts w:ascii="Arial" w:eastAsia="SimSun" w:hAnsi="Arial" w:cs="Arial"/>
          <w:sz w:val="22"/>
          <w:szCs w:val="22"/>
          <w:lang w:eastAsia="zh-CN" w:bidi="ar"/>
        </w:rPr>
        <w:lastRenderedPageBreak/>
        <w:t>fertility but also shield the plant from pests and diseases. They have been demonstrated to improve the root system's growth, prolong its life, break down toxic substances, boost seedling survival, and shorten the period until flowering (Youssef et al, 2014).</w:t>
      </w:r>
    </w:p>
    <w:p w14:paraId="2D5B5906" w14:textId="77777777" w:rsidR="004E30AC" w:rsidRPr="00814733" w:rsidRDefault="00A6618C" w:rsidP="00814733">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Another advantage is that parental </w:t>
      </w:r>
      <w:proofErr w:type="spellStart"/>
      <w:r w:rsidRPr="00381390">
        <w:rPr>
          <w:rFonts w:ascii="Arial" w:eastAsia="SimSun" w:hAnsi="Arial" w:cs="Arial"/>
          <w:sz w:val="22"/>
          <w:szCs w:val="22"/>
          <w:lang w:eastAsia="zh-CN" w:bidi="ar"/>
        </w:rPr>
        <w:t>inocula</w:t>
      </w:r>
      <w:proofErr w:type="spellEnd"/>
      <w:r w:rsidRPr="00381390">
        <w:rPr>
          <w:rFonts w:ascii="Arial" w:eastAsia="SimSun" w:hAnsi="Arial" w:cs="Arial"/>
          <w:sz w:val="22"/>
          <w:szCs w:val="22"/>
          <w:lang w:eastAsia="zh-CN" w:bidi="ar"/>
        </w:rPr>
        <w:t xml:space="preserve"> are adequate for growth and multiplication, therefore biofertilizers don't need to be used after three to four years of continuous use (</w:t>
      </w:r>
      <w:proofErr w:type="spellStart"/>
      <w:r w:rsidRPr="00381390">
        <w:rPr>
          <w:rFonts w:ascii="Arial" w:eastAsia="SimSun" w:hAnsi="Arial" w:cs="Arial"/>
          <w:sz w:val="22"/>
          <w:szCs w:val="22"/>
          <w:lang w:eastAsia="zh-CN" w:bidi="ar"/>
        </w:rPr>
        <w:t>Bumandalai</w:t>
      </w:r>
      <w:proofErr w:type="spellEnd"/>
      <w:r w:rsidRPr="00381390">
        <w:rPr>
          <w:rFonts w:ascii="Arial" w:eastAsia="SimSun" w:hAnsi="Arial" w:cs="Arial"/>
          <w:sz w:val="22"/>
          <w:szCs w:val="22"/>
          <w:lang w:eastAsia="zh-CN" w:bidi="ar"/>
        </w:rPr>
        <w:t xml:space="preserve"> et al, 2019).</w:t>
      </w:r>
    </w:p>
    <w:p w14:paraId="247309A2"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For a plant to grow and develop properly, 17 essential elements are needed. Among these, comparatively high amounts of nitrogen (N), phosphorus (P), and potassium (K) are required (Mishra et al, 2014). Numerous microorganisms, such as cyanobacteria, phosphate-solubilizing bacteria, and nitrogen-fixing soil bacteria, are frequently employed as biofertilizers in conjunction with </w:t>
      </w:r>
      <w:proofErr w:type="spellStart"/>
      <w:r w:rsidRPr="00381390">
        <w:rPr>
          <w:rFonts w:ascii="Arial" w:eastAsia="SimSun" w:hAnsi="Arial" w:cs="Arial"/>
          <w:sz w:val="22"/>
          <w:szCs w:val="22"/>
          <w:lang w:eastAsia="zh-CN" w:bidi="ar"/>
        </w:rPr>
        <w:t>moulds</w:t>
      </w:r>
      <w:proofErr w:type="spellEnd"/>
      <w:r w:rsidRPr="00381390">
        <w:rPr>
          <w:rFonts w:ascii="Arial" w:eastAsia="SimSun" w:hAnsi="Arial" w:cs="Arial"/>
          <w:sz w:val="22"/>
          <w:szCs w:val="22"/>
          <w:lang w:eastAsia="zh-CN" w:bidi="ar"/>
        </w:rPr>
        <w:t xml:space="preserve"> and fungus (</w:t>
      </w:r>
      <w:proofErr w:type="spellStart"/>
      <w:r w:rsidRPr="00381390">
        <w:rPr>
          <w:rFonts w:ascii="Arial" w:eastAsia="SimSun" w:hAnsi="Arial" w:cs="Arial"/>
          <w:sz w:val="22"/>
          <w:szCs w:val="22"/>
          <w:lang w:eastAsia="zh-CN" w:bidi="ar"/>
        </w:rPr>
        <w:t>Umesha</w:t>
      </w:r>
      <w:proofErr w:type="spellEnd"/>
      <w:r w:rsidRPr="00381390">
        <w:rPr>
          <w:rFonts w:ascii="Arial" w:eastAsia="SimSun" w:hAnsi="Arial" w:cs="Arial"/>
          <w:sz w:val="22"/>
          <w:szCs w:val="22"/>
          <w:lang w:eastAsia="zh-CN" w:bidi="ar"/>
        </w:rPr>
        <w:t>, 2018). Similarly, the formulation of biofertilizer also makes use of bacteria that produce phytohormones. They give the plant growth-promoting elements such vitamins, amino acids, and indole acetic acid (IAA). They also increase soil fertility and productivity while preserving crop output (Parikh et al, 2012).</w:t>
      </w:r>
    </w:p>
    <w:p w14:paraId="6C454625"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38A0DF6B"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rPr>
        <w:t xml:space="preserve">Monitoring of microbes </w:t>
      </w:r>
    </w:p>
    <w:p w14:paraId="0EA7EDF5" w14:textId="77777777" w:rsidR="004E30AC" w:rsidRPr="00381390" w:rsidRDefault="00A6618C" w:rsidP="00381390">
      <w:pPr>
        <w:shd w:val="clear" w:color="auto" w:fill="FFFFFF"/>
        <w:spacing w:line="360" w:lineRule="auto"/>
        <w:jc w:val="both"/>
        <w:rPr>
          <w:rFonts w:ascii="Arial" w:hAnsi="Arial" w:cs="Arial"/>
          <w:sz w:val="22"/>
          <w:szCs w:val="22"/>
        </w:rPr>
      </w:pPr>
      <w:r w:rsidRPr="00381390">
        <w:rPr>
          <w:rFonts w:ascii="Arial" w:hAnsi="Arial" w:cs="Arial"/>
          <w:sz w:val="22"/>
          <w:szCs w:val="22"/>
        </w:rPr>
        <w:t>Soil microbes can be monitored using a variety of methods, including:</w:t>
      </w:r>
    </w:p>
    <w:p w14:paraId="5B607A90"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Style w:val="Strong"/>
          <w:rFonts w:ascii="Arial" w:hAnsi="Arial" w:cs="Arial"/>
          <w:sz w:val="22"/>
          <w:szCs w:val="22"/>
        </w:rPr>
        <w:t>Soil sampling:</w:t>
      </w:r>
      <w:r w:rsidRPr="00381390">
        <w:rPr>
          <w:rStyle w:val="Strong"/>
          <w:rFonts w:ascii="Arial" w:hAnsi="Arial" w:cs="Arial"/>
          <w:b w:val="0"/>
          <w:bCs w:val="0"/>
          <w:sz w:val="22"/>
          <w:szCs w:val="22"/>
        </w:rPr>
        <w:t xml:space="preserve"> </w:t>
      </w:r>
      <w:r w:rsidRPr="00381390">
        <w:rPr>
          <w:rFonts w:ascii="Arial" w:hAnsi="Arial" w:cs="Arial"/>
          <w:spacing w:val="2"/>
          <w:sz w:val="22"/>
          <w:szCs w:val="22"/>
        </w:rPr>
        <w:t>Soil samples are collected from different areas of a field or garden and sent to a laboratory for analysis. The lab can test for microbial activity, disease risks, pH, nutrient levels, and more.</w:t>
      </w:r>
      <w:r w:rsidRPr="00381390">
        <w:rPr>
          <w:rStyle w:val="uv3um"/>
          <w:rFonts w:ascii="Arial" w:hAnsi="Arial" w:cs="Arial"/>
          <w:spacing w:val="2"/>
          <w:sz w:val="22"/>
          <w:szCs w:val="22"/>
        </w:rPr>
        <w:t> </w:t>
      </w:r>
    </w:p>
    <w:p w14:paraId="1F4AC6BF"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Fonts w:ascii="Arial" w:hAnsi="Arial" w:cs="Arial"/>
          <w:b/>
          <w:bCs/>
          <w:spacing w:val="2"/>
          <w:sz w:val="22"/>
          <w:szCs w:val="22"/>
        </w:rPr>
        <w:t>Microbial indicators:</w:t>
      </w:r>
      <w:r w:rsidRPr="00381390">
        <w:rPr>
          <w:rFonts w:ascii="Arial" w:hAnsi="Arial" w:cs="Arial"/>
          <w:spacing w:val="2"/>
          <w:sz w:val="22"/>
          <w:szCs w:val="22"/>
        </w:rPr>
        <w:t xml:space="preserve"> Microbial properties are considered to be some of the most relevant indicators of soil quality. For example, microbial parameters can be used to monitor soil pollution by heavy metals. </w:t>
      </w:r>
    </w:p>
    <w:p w14:paraId="12B75E76"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Style w:val="Strong"/>
          <w:rFonts w:ascii="Arial" w:hAnsi="Arial" w:cs="Arial"/>
          <w:sz w:val="22"/>
          <w:szCs w:val="22"/>
        </w:rPr>
        <w:t>16S rRNA gene amplification: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sequencing method can identify and classify microorganisms in soil, water, and air samples. It can help assess pollution, contamination, and microbiome profiles.</w:t>
      </w:r>
    </w:p>
    <w:p w14:paraId="1FAF9CE0"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Fonts w:ascii="Arial" w:hAnsi="Arial" w:cs="Arial"/>
          <w:b/>
          <w:bCs/>
          <w:spacing w:val="2"/>
          <w:sz w:val="22"/>
          <w:szCs w:val="22"/>
        </w:rPr>
        <w:t>Soil microbial tests:</w:t>
      </w:r>
      <w:r w:rsidRPr="00381390">
        <w:rPr>
          <w:rFonts w:ascii="Arial" w:hAnsi="Arial" w:cs="Arial"/>
          <w:spacing w:val="2"/>
          <w:sz w:val="22"/>
          <w:szCs w:val="22"/>
        </w:rPr>
        <w:t xml:space="preserve"> These tests use a compound light microscope to identify, measure, and count microbes in soil or compost. The biomass of the microbes can then be calculated. </w:t>
      </w:r>
    </w:p>
    <w:p w14:paraId="2F220635"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Fonts w:ascii="Arial" w:hAnsi="Arial" w:cs="Arial"/>
          <w:b/>
          <w:bCs/>
          <w:spacing w:val="2"/>
          <w:sz w:val="22"/>
          <w:szCs w:val="22"/>
        </w:rPr>
        <w:t>Microbial biomass:</w:t>
      </w:r>
      <w:r w:rsidRPr="00381390">
        <w:rPr>
          <w:rFonts w:ascii="Arial" w:hAnsi="Arial" w:cs="Arial"/>
          <w:spacing w:val="2"/>
          <w:sz w:val="22"/>
          <w:szCs w:val="22"/>
        </w:rPr>
        <w:t xml:space="preserve"> The total microbial biomass is a quantified total of a large number of fatty acids. Fungi and bacteria make up the largest proportion of this. </w:t>
      </w:r>
    </w:p>
    <w:p w14:paraId="4754E802"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b/>
          <w:bCs/>
          <w:sz w:val="22"/>
          <w:szCs w:val="22"/>
          <w:u w:val="single"/>
        </w:rPr>
      </w:pPr>
      <w:r w:rsidRPr="00381390">
        <w:rPr>
          <w:rStyle w:val="Strong"/>
          <w:rFonts w:ascii="Arial" w:hAnsi="Arial" w:cs="Arial"/>
          <w:sz w:val="22"/>
          <w:szCs w:val="22"/>
        </w:rPr>
        <w:lastRenderedPageBreak/>
        <w:t>Soil metabolomics:</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emerging technology measures the metabolites of important metabolic pathways to characterize soils and evaluate the metabolic status of the soil microbial community. Soil metabolites can also be used as biomarkers for soil contamination.</w:t>
      </w:r>
      <w:r w:rsidRPr="00381390">
        <w:rPr>
          <w:rStyle w:val="uv3um"/>
          <w:rFonts w:ascii="Arial" w:hAnsi="Arial" w:cs="Arial"/>
          <w:spacing w:val="2"/>
          <w:sz w:val="22"/>
          <w:szCs w:val="22"/>
        </w:rPr>
        <w:t> </w:t>
      </w:r>
    </w:p>
    <w:p w14:paraId="1F557CE1"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Style w:val="Strong"/>
          <w:rFonts w:ascii="Arial" w:hAnsi="Arial" w:cs="Arial"/>
          <w:sz w:val="22"/>
          <w:szCs w:val="22"/>
        </w:rPr>
        <w:t>Microbial biomass carbon: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is a measure of the carbon contained in the living component of soil organic matter, such as bacteria and fungi.</w:t>
      </w:r>
      <w:r w:rsidRPr="00381390">
        <w:rPr>
          <w:rStyle w:val="uv3um"/>
          <w:rFonts w:ascii="Arial" w:hAnsi="Arial" w:cs="Arial"/>
          <w:spacing w:val="2"/>
          <w:sz w:val="22"/>
          <w:szCs w:val="22"/>
        </w:rPr>
        <w:t> </w:t>
      </w:r>
    </w:p>
    <w:p w14:paraId="2DA489A6"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Style w:val="Strong"/>
          <w:rFonts w:ascii="Arial" w:hAnsi="Arial" w:cs="Arial"/>
          <w:sz w:val="22"/>
          <w:szCs w:val="22"/>
        </w:rPr>
        <w:t>Crop rotation: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Growing different sets of crops across fields, rather than planting the same year after year, can help soils maintain microbes year-round.</w:t>
      </w:r>
    </w:p>
    <w:p w14:paraId="1C416AD7" w14:textId="77777777" w:rsidR="004E30AC" w:rsidRPr="00381390" w:rsidRDefault="004E30AC" w:rsidP="00381390">
      <w:pPr>
        <w:shd w:val="clear" w:color="auto" w:fill="FFFFFF"/>
        <w:spacing w:line="360" w:lineRule="auto"/>
        <w:jc w:val="both"/>
        <w:rPr>
          <w:rFonts w:ascii="Arial" w:hAnsi="Arial" w:cs="Arial"/>
          <w:sz w:val="22"/>
          <w:szCs w:val="22"/>
          <w:highlight w:val="white"/>
          <w:lang w:val="en" w:bidi="bn-IN"/>
        </w:rPr>
      </w:pPr>
    </w:p>
    <w:p w14:paraId="14AC832A"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t>Making more effective use of inoculants</w:t>
      </w:r>
    </w:p>
    <w:p w14:paraId="3930998E"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Inoculant must be addressing a significant limitation in the soil</w:t>
      </w:r>
    </w:p>
    <w:p w14:paraId="187FB860"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Understanding the ecology of inoculants</w:t>
      </w:r>
    </w:p>
    <w:p w14:paraId="76D101E7"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Appropriate delivery and application strategies</w:t>
      </w:r>
    </w:p>
    <w:p w14:paraId="4B43029D"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Choosing the right inoculant for the crop</w:t>
      </w:r>
    </w:p>
    <w:p w14:paraId="64C81913"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Inoculants must establish and compete with resident soil microbial communities</w:t>
      </w:r>
    </w:p>
    <w:p w14:paraId="6B76D826"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Soil factors can promote or restrict biological activity of inoculants</w:t>
      </w:r>
    </w:p>
    <w:p w14:paraId="494F195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Evaluation of inoculants in the field</w:t>
      </w:r>
    </w:p>
    <w:p w14:paraId="7A8D3D2E"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Smarter strain selection</w:t>
      </w:r>
    </w:p>
    <w:p w14:paraId="17710E97" w14:textId="77777777" w:rsidR="004E30AC" w:rsidRPr="00381390" w:rsidRDefault="00A6618C" w:rsidP="00381390">
      <w:pPr>
        <w:numPr>
          <w:ilvl w:val="0"/>
          <w:numId w:val="5"/>
        </w:numPr>
        <w:shd w:val="clear" w:color="auto" w:fill="FFFFFF"/>
        <w:spacing w:line="360" w:lineRule="auto"/>
        <w:jc w:val="both"/>
        <w:rPr>
          <w:rStyle w:val="uv3um"/>
          <w:rFonts w:ascii="Arial" w:hAnsi="Arial" w:cs="Arial"/>
          <w:sz w:val="22"/>
          <w:szCs w:val="22"/>
        </w:rPr>
      </w:pPr>
      <w:r w:rsidRPr="00381390">
        <w:rPr>
          <w:rStyle w:val="Strong"/>
          <w:rFonts w:ascii="Arial" w:hAnsi="Arial" w:cs="Arial"/>
          <w:b w:val="0"/>
          <w:bCs w:val="0"/>
          <w:sz w:val="22"/>
          <w:szCs w:val="22"/>
        </w:rPr>
        <w:t>Apply the right amount</w:t>
      </w:r>
      <w:r w:rsidRPr="00381390">
        <w:rPr>
          <w:rFonts w:ascii="Arial" w:hAnsi="Arial" w:cs="Arial"/>
          <w:sz w:val="22"/>
          <w:szCs w:val="22"/>
        </w:rPr>
        <w:t>: Large amounts of inoculants are needed for effective results</w:t>
      </w:r>
      <w:r w:rsidRPr="00381390">
        <w:rPr>
          <w:rStyle w:val="uv3um"/>
          <w:rFonts w:ascii="Arial" w:hAnsi="Arial" w:cs="Arial"/>
          <w:sz w:val="22"/>
          <w:szCs w:val="22"/>
        </w:rPr>
        <w:t> </w:t>
      </w:r>
    </w:p>
    <w:p w14:paraId="67497A83" w14:textId="77777777" w:rsidR="004E30AC" w:rsidRPr="00381390" w:rsidRDefault="00A6618C" w:rsidP="00381390">
      <w:pPr>
        <w:numPr>
          <w:ilvl w:val="0"/>
          <w:numId w:val="5"/>
        </w:numPr>
        <w:shd w:val="clear" w:color="auto" w:fill="FFFFFF"/>
        <w:spacing w:line="360" w:lineRule="auto"/>
        <w:jc w:val="both"/>
        <w:rPr>
          <w:rStyle w:val="uv3um"/>
          <w:rFonts w:ascii="Arial" w:hAnsi="Arial" w:cs="Arial"/>
          <w:sz w:val="22"/>
          <w:szCs w:val="22"/>
        </w:rPr>
      </w:pPr>
      <w:r w:rsidRPr="00381390">
        <w:rPr>
          <w:rStyle w:val="Strong"/>
          <w:rFonts w:ascii="Arial" w:hAnsi="Arial" w:cs="Arial"/>
          <w:b w:val="0"/>
          <w:bCs w:val="0"/>
          <w:sz w:val="22"/>
          <w:szCs w:val="22"/>
        </w:rPr>
        <w:t>Apply at the right time</w:t>
      </w:r>
      <w:r w:rsidRPr="00381390">
        <w:rPr>
          <w:rFonts w:ascii="Arial" w:hAnsi="Arial" w:cs="Arial"/>
          <w:sz w:val="22"/>
          <w:szCs w:val="22"/>
        </w:rPr>
        <w:t>: For example, granular inoculants can be applied to the seedbed at sowing time</w:t>
      </w:r>
    </w:p>
    <w:p w14:paraId="08EDF49F" w14:textId="77777777" w:rsidR="004E30AC" w:rsidRPr="00381390" w:rsidRDefault="00A6618C" w:rsidP="00381390">
      <w:pPr>
        <w:numPr>
          <w:ilvl w:val="0"/>
          <w:numId w:val="5"/>
        </w:numPr>
        <w:shd w:val="clear" w:color="auto" w:fill="FFFFFF"/>
        <w:spacing w:line="360" w:lineRule="auto"/>
        <w:jc w:val="both"/>
        <w:rPr>
          <w:rFonts w:ascii="Arial" w:hAnsi="Arial" w:cs="Arial"/>
          <w:sz w:val="22"/>
          <w:szCs w:val="22"/>
        </w:rPr>
      </w:pPr>
      <w:r w:rsidRPr="00381390">
        <w:rPr>
          <w:rStyle w:val="Strong"/>
          <w:rFonts w:ascii="Arial" w:hAnsi="Arial" w:cs="Arial"/>
          <w:b w:val="0"/>
          <w:bCs w:val="0"/>
          <w:sz w:val="22"/>
          <w:szCs w:val="22"/>
        </w:rPr>
        <w:t>Protect the inoculants</w:t>
      </w:r>
      <w:r w:rsidRPr="00381390">
        <w:rPr>
          <w:rFonts w:ascii="Arial" w:hAnsi="Arial" w:cs="Arial"/>
          <w:sz w:val="22"/>
          <w:szCs w:val="22"/>
        </w:rPr>
        <w:t>: Inoculants are living organisms that can be killed by heat, sunlight, certain chemicals, and storage conditions</w:t>
      </w:r>
    </w:p>
    <w:p w14:paraId="2BCE22F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Robust field validation of soil microbial inoculants</w:t>
      </w:r>
    </w:p>
    <w:p w14:paraId="1E21630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Microbial consortia by design</w:t>
      </w:r>
    </w:p>
    <w:p w14:paraId="01E208CD"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Novel formulation and delivery systems</w:t>
      </w:r>
    </w:p>
    <w:p w14:paraId="5778457C"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b/>
          <w:bCs/>
          <w:sz w:val="22"/>
          <w:szCs w:val="22"/>
          <w:highlight w:val="white"/>
          <w:lang w:val="en" w:bidi="bn-IN"/>
        </w:rPr>
      </w:pPr>
      <w:r w:rsidRPr="00381390">
        <w:rPr>
          <w:rFonts w:ascii="Arial" w:hAnsi="Arial" w:cs="Arial"/>
          <w:sz w:val="22"/>
          <w:szCs w:val="22"/>
        </w:rPr>
        <w:t>Manipulating the soil microbiome in situ</w:t>
      </w:r>
    </w:p>
    <w:p w14:paraId="3C0E9BE9"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17801FC6"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294FB88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Ways of boosting up and managing microorganism activity</w:t>
      </w:r>
    </w:p>
    <w:p w14:paraId="72663B4D"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Addition of compost as microorganisms need organic matter to thrive, and carbon is their primary energy source </w:t>
      </w:r>
    </w:p>
    <w:p w14:paraId="56FDDE4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Scientific and rational fertilization</w:t>
      </w:r>
    </w:p>
    <w:p w14:paraId="64451372"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current cropping system</w:t>
      </w:r>
    </w:p>
    <w:p w14:paraId="4907EB7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Planting of cover crops can help to encourage beneficial microorganisms</w:t>
      </w:r>
    </w:p>
    <w:p w14:paraId="4FE0C8AF"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ability of microbes to explore nutrients should be taken into consideration while controlling and monitoring the nutrition supply</w:t>
      </w:r>
    </w:p>
    <w:p w14:paraId="7D7FD1F7"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use of the precision approach and ecologically friendly agricultural techniques in the understanding of the temporal and geographical variability of soils</w:t>
      </w:r>
    </w:p>
    <w:p w14:paraId="2BA6DC41"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To improve soil structure, use alternative crops, and boost the amount of organic matter in the soil</w:t>
      </w:r>
    </w:p>
    <w:p w14:paraId="3B5C764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Proper Tillage </w:t>
      </w:r>
    </w:p>
    <w:p w14:paraId="6531E19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Keeping the soil well-watered </w:t>
      </w:r>
    </w:p>
    <w:p w14:paraId="45A79A3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Avoidance of disturbing the soil physically </w:t>
      </w:r>
    </w:p>
    <w:p w14:paraId="49D3492E"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Mulching the beds </w:t>
      </w:r>
    </w:p>
    <w:p w14:paraId="49AB3B7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rPr>
        <w:t>Crop rotation</w:t>
      </w:r>
    </w:p>
    <w:p w14:paraId="4914D7DD"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Controlling the biomass of pathogens</w:t>
      </w:r>
    </w:p>
    <w:p w14:paraId="3FAA0364"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Changing in soil moisture and degree of aeration, pH, availability and diversity of     </w:t>
      </w:r>
    </w:p>
    <w:p w14:paraId="7850DF74"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nutrients</w:t>
      </w:r>
    </w:p>
    <w:p w14:paraId="519953F5"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Timely soil sampling and analysis</w:t>
      </w:r>
    </w:p>
    <w:p w14:paraId="0236D0B9"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Avoidance of using pesticides</w:t>
      </w:r>
    </w:p>
    <w:p w14:paraId="0BF2003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Practicing organic farming practices can help boost nitrogen in the soil</w:t>
      </w:r>
    </w:p>
    <w:p w14:paraId="5DFEB12B"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extension of crop rotation and integrated crop management techniques, as well as the decrease in monoculture agriculture techniques</w:t>
      </w:r>
    </w:p>
    <w:p w14:paraId="0EDFAD2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Usage of plant growth-promoting rhizobacteria can help plants adapt to adverse soil conditions</w:t>
      </w:r>
    </w:p>
    <w:p w14:paraId="3601B8D6"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 balanced diet is important for good composting and microbial activity </w:t>
      </w:r>
    </w:p>
    <w:p w14:paraId="7B1CA827"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 xml:space="preserve">Minimization the harm that pesticides and xenobiotics cause to soil biota </w:t>
      </w:r>
    </w:p>
    <w:p w14:paraId="156BEC23"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 xml:space="preserve">Cutting down on water resource contamination </w:t>
      </w:r>
    </w:p>
    <w:p w14:paraId="684EB9E1"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Wide-range use of the environmental monitoring and advisory system, which should be taken into account the biological properties of the soil</w:t>
      </w:r>
    </w:p>
    <w:p w14:paraId="2F3DCB4D"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Immobilization of microbes in biochar can help improve the production of bio-products like biofuel</w:t>
      </w:r>
    </w:p>
    <w:p w14:paraId="70AD054A"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Enrichment techniques can help promote microbial growth by providing suitable environmental conditions and nutrients</w:t>
      </w:r>
    </w:p>
    <w:p w14:paraId="38B0CA31"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lastRenderedPageBreak/>
        <w:t>Biochar amendment</w:t>
      </w:r>
    </w:p>
    <w:p w14:paraId="71497943" w14:textId="77777777" w:rsidR="004E30AC" w:rsidRPr="00381390" w:rsidRDefault="00A6618C" w:rsidP="00381390">
      <w:pPr>
        <w:numPr>
          <w:ilvl w:val="0"/>
          <w:numId w:val="6"/>
        </w:numPr>
        <w:shd w:val="clear" w:color="auto" w:fill="FFFFFF"/>
        <w:spacing w:before="100" w:beforeAutospacing="1" w:after="45" w:line="360" w:lineRule="auto"/>
        <w:jc w:val="both"/>
        <w:rPr>
          <w:rFonts w:ascii="Arial" w:hAnsi="Arial" w:cs="Arial"/>
          <w:sz w:val="22"/>
          <w:szCs w:val="22"/>
        </w:rPr>
      </w:pPr>
      <w:r w:rsidRPr="00381390">
        <w:rPr>
          <w:rFonts w:ascii="Arial" w:hAnsi="Arial" w:cs="Arial"/>
          <w:sz w:val="22"/>
          <w:szCs w:val="22"/>
        </w:rPr>
        <w:t xml:space="preserve">Applying a Controlled Release Fertilizer (CRF) that is bio-compatible and aimed at </w:t>
      </w:r>
      <w:r w:rsidR="00BB1226">
        <w:rPr>
          <w:rFonts w:ascii="Arial" w:hAnsi="Arial" w:cs="Arial"/>
          <w:sz w:val="22"/>
          <w:szCs w:val="22"/>
        </w:rPr>
        <w:t>encouraging microbial activity</w:t>
      </w:r>
      <w:r w:rsidRPr="00381390">
        <w:rPr>
          <w:rFonts w:ascii="Arial" w:hAnsi="Arial" w:cs="Arial"/>
          <w:sz w:val="22"/>
          <w:szCs w:val="22"/>
        </w:rPr>
        <w:t xml:space="preserve"> that includes bio stimulants, multiple macro-minerals and trace elements. Any fertilizer used should be insoluble and bio-compatible so that it doesn’t volatilize into the atmosphere or leach into the environment, contaminating our precious waterways or damaging our beneficial microorganisms and depleting soil carbon.</w:t>
      </w:r>
    </w:p>
    <w:p w14:paraId="2ABDF9C6" w14:textId="77777777" w:rsidR="004E30AC" w:rsidRPr="00381390" w:rsidRDefault="00A6618C" w:rsidP="00381390">
      <w:pPr>
        <w:numPr>
          <w:ilvl w:val="0"/>
          <w:numId w:val="6"/>
        </w:numPr>
        <w:shd w:val="clear" w:color="auto" w:fill="FFFFFF"/>
        <w:spacing w:before="100" w:beforeAutospacing="1" w:after="45" w:line="360" w:lineRule="auto"/>
        <w:jc w:val="both"/>
        <w:rPr>
          <w:rFonts w:ascii="Arial" w:hAnsi="Arial" w:cs="Arial"/>
          <w:color w:val="515262"/>
          <w:sz w:val="22"/>
          <w:szCs w:val="22"/>
        </w:rPr>
      </w:pPr>
      <w:r w:rsidRPr="00381390">
        <w:rPr>
          <w:rFonts w:ascii="Arial" w:hAnsi="Arial" w:cs="Arial"/>
          <w:sz w:val="22"/>
          <w:szCs w:val="22"/>
        </w:rPr>
        <w:t>Applying judicio</w:t>
      </w:r>
      <w:r w:rsidR="00BB1226">
        <w:rPr>
          <w:rFonts w:ascii="Arial" w:hAnsi="Arial" w:cs="Arial"/>
          <w:sz w:val="22"/>
          <w:szCs w:val="22"/>
        </w:rPr>
        <w:t>us amounts of lime or dolomite</w:t>
      </w:r>
      <w:r w:rsidRPr="00381390">
        <w:rPr>
          <w:rFonts w:ascii="Arial" w:hAnsi="Arial" w:cs="Arial"/>
          <w:sz w:val="22"/>
          <w:szCs w:val="22"/>
        </w:rPr>
        <w:t xml:space="preserve"> to address calcium </w:t>
      </w:r>
      <w:r w:rsidR="00BB1226">
        <w:rPr>
          <w:rFonts w:ascii="Arial" w:hAnsi="Arial" w:cs="Arial"/>
          <w:sz w:val="22"/>
          <w:szCs w:val="22"/>
        </w:rPr>
        <w:t xml:space="preserve">and/or magnesium deficiencies </w:t>
      </w:r>
      <w:r w:rsidRPr="00381390">
        <w:rPr>
          <w:rFonts w:ascii="Arial" w:hAnsi="Arial" w:cs="Arial"/>
          <w:sz w:val="22"/>
          <w:szCs w:val="22"/>
        </w:rPr>
        <w:t>but not to adjust pH of the soil. Our beneficial microbes can help adjust the pH around them and condition the rhizosphere to suit themselves, and this ultimately can be beneficial to the plant root</w:t>
      </w:r>
    </w:p>
    <w:p w14:paraId="5523F34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More rigorous testing of the effectiveness of microbial preparations and biofertilizers by analogy with medical preparations</w:t>
      </w:r>
    </w:p>
    <w:p w14:paraId="5F38B62B"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Integration of agrobiotechnologies with modern concepts of microbial ecology based on molecular-biological methods for studying soil microbial communities</w:t>
      </w:r>
    </w:p>
    <w:p w14:paraId="1DB1857C"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Cover and intermediate crops </w:t>
      </w:r>
    </w:p>
    <w:p w14:paraId="3E5AB52C"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Agrotechnological practices: mechanical tillage, application of organic and mineral </w:t>
      </w:r>
    </w:p>
    <w:p w14:paraId="38E52BA2"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fertilizers, the change of land use systems and diversification of crop rotations</w:t>
      </w:r>
    </w:p>
    <w:p w14:paraId="4AC7A6BD"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Legumes and </w:t>
      </w:r>
      <w:bookmarkStart w:id="13" w:name="_Hlk197255040"/>
      <w:proofErr w:type="spellStart"/>
      <w:r w:rsidRPr="00381390">
        <w:rPr>
          <w:rFonts w:ascii="Arial" w:hAnsi="Arial" w:cs="Arial"/>
          <w:sz w:val="22"/>
          <w:szCs w:val="22"/>
        </w:rPr>
        <w:t>siderates</w:t>
      </w:r>
      <w:proofErr w:type="spellEnd"/>
      <w:r w:rsidRPr="00381390">
        <w:rPr>
          <w:rFonts w:ascii="Arial" w:hAnsi="Arial" w:cs="Arial"/>
          <w:sz w:val="22"/>
          <w:szCs w:val="22"/>
        </w:rPr>
        <w:t xml:space="preserve"> </w:t>
      </w:r>
    </w:p>
    <w:bookmarkEnd w:id="13"/>
    <w:p w14:paraId="6854860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need-based soil physical and chemical properties</w:t>
      </w:r>
    </w:p>
    <w:p w14:paraId="0DA6FE42"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Use of right pesticides </w:t>
      </w:r>
    </w:p>
    <w:p w14:paraId="5A74EE8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Introduction of microorganisms into the soil that can actively carry out or stimulate  </w:t>
      </w:r>
    </w:p>
    <w:p w14:paraId="52EFDF53"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certain processes, for example, plant nutrition and growth, nitrogen fixation, phosphate  </w:t>
      </w:r>
    </w:p>
    <w:p w14:paraId="5757600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Dissolution or decomposition of xenobiotics.</w:t>
      </w:r>
    </w:p>
    <w:p w14:paraId="4E0B9D1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Adsorption and degradation of autotoxins</w:t>
      </w:r>
    </w:p>
    <w:p w14:paraId="2E96968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Current Cropping System</w:t>
      </w:r>
    </w:p>
    <w:p w14:paraId="6219C01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Tillage </w:t>
      </w:r>
    </w:p>
    <w:p w14:paraId="10EA0BC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Soil sampling and analysis</w:t>
      </w:r>
    </w:p>
    <w:p w14:paraId="7DD326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Scientific and Rational Fertilization</w:t>
      </w:r>
    </w:p>
    <w:p w14:paraId="2874944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Crop rotation; </w:t>
      </w:r>
    </w:p>
    <w:p w14:paraId="1B6972C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Controlling the Biomass of Pathogens</w:t>
      </w:r>
    </w:p>
    <w:p w14:paraId="376560B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 xml:space="preserve">Changes in soil moisture and degree of aeration, pH, availability and diversity of     </w:t>
      </w:r>
    </w:p>
    <w:p w14:paraId="473B0758"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nutrients.</w:t>
      </w:r>
    </w:p>
    <w:p w14:paraId="3E9598C8"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More rigorous testing of the effectiveness of microbial preparations and biofertilizers by analogy with medical preparations. </w:t>
      </w:r>
    </w:p>
    <w:p w14:paraId="0C12F405"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Integration of agrobiotechnologies with modern concepts of microbial ecology based on   </w:t>
      </w:r>
    </w:p>
    <w:p w14:paraId="4E28229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molecular-biological methods for studying soil microbial communities</w:t>
      </w:r>
    </w:p>
    <w:p w14:paraId="74C476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Crop cultivars</w:t>
      </w:r>
    </w:p>
    <w:p w14:paraId="2FFEAB4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Cover and intermediate crops </w:t>
      </w:r>
    </w:p>
    <w:p w14:paraId="57FC96AE"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Agrotechnological practices: mechanical tillage, application of organic and mineral </w:t>
      </w:r>
    </w:p>
    <w:p w14:paraId="102D88A6"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fertilizers, the change of land use systems and diversification of crop rotations</w:t>
      </w:r>
    </w:p>
    <w:p w14:paraId="3DE0105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Legumes and </w:t>
      </w:r>
      <w:proofErr w:type="spellStart"/>
      <w:r w:rsidRPr="00381390">
        <w:rPr>
          <w:rFonts w:ascii="Arial" w:hAnsi="Arial" w:cs="Arial"/>
          <w:sz w:val="22"/>
          <w:szCs w:val="22"/>
        </w:rPr>
        <w:t>siderates</w:t>
      </w:r>
      <w:proofErr w:type="spellEnd"/>
      <w:r w:rsidRPr="00381390">
        <w:rPr>
          <w:rFonts w:ascii="Arial" w:hAnsi="Arial" w:cs="Arial"/>
          <w:sz w:val="22"/>
          <w:szCs w:val="22"/>
        </w:rPr>
        <w:t xml:space="preserve"> </w:t>
      </w:r>
    </w:p>
    <w:p w14:paraId="57DE95E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Changes in Soil Physical and Chemical Properties</w:t>
      </w:r>
    </w:p>
    <w:p w14:paraId="11293AF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Pesticides </w:t>
      </w:r>
    </w:p>
    <w:p w14:paraId="75C73E1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Introduction of microorganisms into the soil that can actively carry out or stimulate  </w:t>
      </w:r>
    </w:p>
    <w:p w14:paraId="77A4D815"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certain processes, for example, plant nutrition and growth, nitrogen fixation, phosphate  </w:t>
      </w:r>
    </w:p>
    <w:p w14:paraId="0A02899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Dissolution or decomposition of xenobiotics.</w:t>
      </w:r>
    </w:p>
    <w:p w14:paraId="1E65A90C"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Adsorption and Degradation of Autotoxins</w:t>
      </w:r>
    </w:p>
    <w:p w14:paraId="3D12EB8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Nitrification inhibitors</w:t>
      </w:r>
    </w:p>
    <w:p w14:paraId="19E18BE8"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Atmospheric nitrogen fixation </w:t>
      </w:r>
    </w:p>
    <w:p w14:paraId="7CC1072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Phosphorus mobilization </w:t>
      </w:r>
    </w:p>
    <w:p w14:paraId="143CC5D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Mycorrhizal formation </w:t>
      </w:r>
    </w:p>
    <w:p w14:paraId="7A7E1B52"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Synthesis of siderophores </w:t>
      </w:r>
    </w:p>
    <w:p w14:paraId="52EB19A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Synthesis of phytohormones</w:t>
      </w:r>
    </w:p>
    <w:p w14:paraId="204478C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Mechanical soil treatment</w:t>
      </w:r>
    </w:p>
    <w:p w14:paraId="7DDA6B5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The application of organic fertilizers</w:t>
      </w:r>
    </w:p>
    <w:p w14:paraId="3F53FA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Development of various biofertilizers, or microbial inoculants-preparations consisting of one or more strains of microorganisms, including those obtained by selection, capable of carrying out the desired processes.</w:t>
      </w:r>
    </w:p>
    <w:p w14:paraId="13B97A77"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Regulation of the living conditions of microorganisms in soil </w:t>
      </w:r>
    </w:p>
    <w:p w14:paraId="4D9BDA2E"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Stress control </w:t>
      </w:r>
    </w:p>
    <w:p w14:paraId="6F0E045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 xml:space="preserve">Biocontrol </w:t>
      </w:r>
    </w:p>
    <w:p w14:paraId="07C900C2"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Destruction of xenobiotics</w:t>
      </w:r>
    </w:p>
    <w:p w14:paraId="452EB7D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2C508BA1"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Conclusion</w:t>
      </w:r>
    </w:p>
    <w:p w14:paraId="29095A02" w14:textId="77777777" w:rsidR="007B4A08" w:rsidRPr="00381390" w:rsidRDefault="007B4A08" w:rsidP="00814733">
      <w:pPr>
        <w:spacing w:line="360" w:lineRule="auto"/>
        <w:jc w:val="both"/>
        <w:rPr>
          <w:rFonts w:ascii="Arial" w:hAnsi="Arial" w:cs="Arial"/>
          <w:sz w:val="22"/>
          <w:szCs w:val="22"/>
        </w:rPr>
      </w:pPr>
      <w:r w:rsidRPr="00381390">
        <w:rPr>
          <w:rFonts w:ascii="Arial" w:hAnsi="Arial" w:cs="Arial"/>
          <w:sz w:val="22"/>
          <w:szCs w:val="22"/>
        </w:rPr>
        <w:t>Most soil microorganisms are essential to processes that are essential to soil health, human civilization's survival, and life on earth. Since soil microbes have the potential to greatly advance our understanding of plant-soil systems and provide insights into pressing 21st-century issues like environmental change and agricultural sustainability, we should protect them by using integrative methodologies. The bacteria must be carefully chosen, mixed, and prepared in accordance with the requirements for the effective development of biofertilizers. In addition to being economically and environmentally beneficial, the proper use of fertilization that means a combination of chemical and biological fertilization can significantly boost global food supply.</w:t>
      </w:r>
      <w:bookmarkStart w:id="14" w:name="_GoBack"/>
      <w:bookmarkEnd w:id="14"/>
    </w:p>
    <w:p w14:paraId="66CED33E" w14:textId="77777777" w:rsidR="00295FBF" w:rsidRPr="00381390" w:rsidRDefault="00295FBF" w:rsidP="00814733">
      <w:pPr>
        <w:spacing w:line="360" w:lineRule="auto"/>
        <w:jc w:val="both"/>
        <w:rPr>
          <w:rFonts w:ascii="Arial" w:hAnsi="Arial" w:cs="Arial"/>
          <w:sz w:val="22"/>
          <w:szCs w:val="22"/>
          <w:highlight w:val="white"/>
          <w:lang w:bidi="bn-IN"/>
        </w:rPr>
      </w:pPr>
    </w:p>
    <w:p w14:paraId="17DF5915" w14:textId="77777777" w:rsidR="003D41B0" w:rsidRDefault="003D41B0" w:rsidP="009E00A5">
      <w:pPr>
        <w:spacing w:line="360" w:lineRule="auto"/>
        <w:jc w:val="both"/>
        <w:rPr>
          <w:rFonts w:ascii="Arial" w:hAnsi="Arial" w:cs="Arial"/>
          <w:sz w:val="22"/>
          <w:szCs w:val="22"/>
        </w:rPr>
      </w:pPr>
    </w:p>
    <w:p w14:paraId="6F2B89DA" w14:textId="77777777" w:rsidR="003D41B0" w:rsidRPr="003D41B0" w:rsidRDefault="003D41B0" w:rsidP="003D41B0">
      <w:pPr>
        <w:spacing w:line="360" w:lineRule="auto"/>
        <w:jc w:val="both"/>
        <w:rPr>
          <w:rFonts w:ascii="Arial" w:hAnsi="Arial" w:cs="Arial"/>
          <w:sz w:val="22"/>
          <w:szCs w:val="22"/>
        </w:rPr>
      </w:pPr>
      <w:r w:rsidRPr="003D41B0">
        <w:rPr>
          <w:rFonts w:ascii="Arial" w:hAnsi="Arial" w:cs="Arial"/>
          <w:sz w:val="22"/>
          <w:szCs w:val="22"/>
        </w:rPr>
        <w:t>COMPETING INTERESTS DISCLAIMER:</w:t>
      </w:r>
    </w:p>
    <w:p w14:paraId="57E06807" w14:textId="74545173" w:rsidR="003D41B0" w:rsidRPr="008405AE" w:rsidRDefault="003D41B0" w:rsidP="003D41B0">
      <w:pPr>
        <w:spacing w:line="360" w:lineRule="auto"/>
        <w:jc w:val="both"/>
        <w:rPr>
          <w:rFonts w:ascii="Arial" w:hAnsi="Arial" w:cs="Arial"/>
          <w:sz w:val="22"/>
          <w:szCs w:val="22"/>
        </w:rPr>
      </w:pPr>
      <w:r w:rsidRPr="003D41B0">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614885C8" w14:textId="77777777" w:rsidR="008405AE" w:rsidRDefault="008405AE" w:rsidP="009E00A5">
      <w:pPr>
        <w:spacing w:line="360" w:lineRule="auto"/>
        <w:jc w:val="both"/>
        <w:rPr>
          <w:rFonts w:ascii="Arial" w:eastAsiaTheme="minorHAnsi" w:hAnsi="Arial" w:cs="Arial"/>
          <w:sz w:val="22"/>
          <w:szCs w:val="22"/>
          <w:lang w:bidi="bn-IN"/>
        </w:rPr>
      </w:pPr>
    </w:p>
    <w:p w14:paraId="36412778" w14:textId="77777777" w:rsidR="00BB1226" w:rsidRDefault="00BB1226" w:rsidP="008405AE">
      <w:pPr>
        <w:spacing w:line="360" w:lineRule="auto"/>
        <w:jc w:val="both"/>
        <w:rPr>
          <w:rFonts w:ascii="Arial" w:eastAsiaTheme="minorHAnsi" w:hAnsi="Arial" w:cs="Arial"/>
          <w:sz w:val="22"/>
          <w:szCs w:val="22"/>
          <w:lang w:bidi="bn-IN"/>
        </w:rPr>
      </w:pPr>
    </w:p>
    <w:p w14:paraId="7C93E9F3" w14:textId="77777777" w:rsidR="008405AE" w:rsidRDefault="008405AE" w:rsidP="008405AE">
      <w:pPr>
        <w:spacing w:line="360" w:lineRule="auto"/>
        <w:jc w:val="both"/>
        <w:rPr>
          <w:rFonts w:ascii="Arial" w:eastAsiaTheme="minorHAnsi" w:hAnsi="Arial" w:cs="Arial"/>
          <w:sz w:val="22"/>
          <w:szCs w:val="22"/>
          <w:lang w:bidi="bn-IN"/>
        </w:rPr>
      </w:pPr>
    </w:p>
    <w:p w14:paraId="51831ACB" w14:textId="77777777" w:rsidR="00814733" w:rsidRPr="00814733" w:rsidRDefault="00814733" w:rsidP="008405AE">
      <w:pPr>
        <w:spacing w:line="360" w:lineRule="auto"/>
        <w:jc w:val="both"/>
        <w:rPr>
          <w:rFonts w:ascii="Arial" w:eastAsiaTheme="minorHAnsi" w:hAnsi="Arial" w:cs="Arial"/>
          <w:b/>
          <w:bCs/>
          <w:kern w:val="2"/>
          <w:sz w:val="22"/>
          <w:szCs w:val="22"/>
          <w14:ligatures w14:val="standardContextual"/>
        </w:rPr>
      </w:pPr>
      <w:r w:rsidRPr="00814733">
        <w:rPr>
          <w:rFonts w:ascii="Arial" w:eastAsiaTheme="minorHAnsi" w:hAnsi="Arial" w:cs="Arial"/>
          <w:b/>
          <w:bCs/>
          <w:kern w:val="2"/>
          <w:sz w:val="22"/>
          <w:szCs w:val="22"/>
          <w14:ligatures w14:val="standardContextual"/>
        </w:rPr>
        <w:t>References</w:t>
      </w:r>
    </w:p>
    <w:p w14:paraId="2DA7BFFB" w14:textId="77777777" w:rsidR="00814733" w:rsidRPr="00270505" w:rsidRDefault="00814733" w:rsidP="00814733">
      <w:pPr>
        <w:pStyle w:val="ListParagraph"/>
        <w:ind w:left="360"/>
        <w:jc w:val="both"/>
        <w:rPr>
          <w:rFonts w:asciiTheme="minorBidi" w:hAnsiTheme="minorBidi"/>
        </w:rPr>
      </w:pPr>
    </w:p>
    <w:p w14:paraId="177CB8A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Ahemad, M., &amp; </w:t>
      </w:r>
      <w:proofErr w:type="spellStart"/>
      <w:r w:rsidRPr="00814733">
        <w:rPr>
          <w:rFonts w:ascii="Arial" w:hAnsi="Arial" w:cs="Arial"/>
          <w:sz w:val="22"/>
          <w:szCs w:val="22"/>
          <w:shd w:val="clear" w:color="auto" w:fill="FFFFFF"/>
        </w:rPr>
        <w:t>Kibret</w:t>
      </w:r>
      <w:proofErr w:type="spellEnd"/>
      <w:r w:rsidRPr="00814733">
        <w:rPr>
          <w:rFonts w:ascii="Arial" w:hAnsi="Arial" w:cs="Arial"/>
          <w:sz w:val="22"/>
          <w:szCs w:val="22"/>
          <w:shd w:val="clear" w:color="auto" w:fill="FFFFFF"/>
        </w:rPr>
        <w:t>, M. (2014). Mechanisms and applications of plant growth promoting rhizobacteria: current perspective. </w:t>
      </w:r>
      <w:r w:rsidRPr="00814733">
        <w:rPr>
          <w:rFonts w:ascii="Arial" w:hAnsi="Arial" w:cs="Arial"/>
          <w:i/>
          <w:iCs/>
          <w:sz w:val="22"/>
          <w:szCs w:val="22"/>
          <w:shd w:val="clear" w:color="auto" w:fill="FFFFFF"/>
        </w:rPr>
        <w:t xml:space="preserve">Journal of King </w:t>
      </w:r>
      <w:proofErr w:type="spellStart"/>
      <w:r w:rsidRPr="00814733">
        <w:rPr>
          <w:rFonts w:ascii="Arial" w:hAnsi="Arial" w:cs="Arial"/>
          <w:i/>
          <w:iCs/>
          <w:sz w:val="22"/>
          <w:szCs w:val="22"/>
          <w:shd w:val="clear" w:color="auto" w:fill="FFFFFF"/>
        </w:rPr>
        <w:t>saud</w:t>
      </w:r>
      <w:proofErr w:type="spellEnd"/>
      <w:r w:rsidRPr="00814733">
        <w:rPr>
          <w:rFonts w:ascii="Arial" w:hAnsi="Arial" w:cs="Arial"/>
          <w:i/>
          <w:iCs/>
          <w:sz w:val="22"/>
          <w:szCs w:val="22"/>
          <w:shd w:val="clear" w:color="auto" w:fill="FFFFFF"/>
        </w:rPr>
        <w:t xml:space="preserve"> University-science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26</w:t>
      </w:r>
      <w:r w:rsidRPr="00814733">
        <w:rPr>
          <w:rFonts w:ascii="Arial" w:hAnsi="Arial" w:cs="Arial"/>
          <w:sz w:val="22"/>
          <w:szCs w:val="22"/>
          <w:shd w:val="clear" w:color="auto" w:fill="FFFFFF"/>
        </w:rPr>
        <w:t>(1), 1-20.</w:t>
      </w:r>
    </w:p>
    <w:p w14:paraId="26C5C36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Ahmad, F., Ahmad, I., &amp; Khan, M. S. (2008). Screening of free-living </w:t>
      </w:r>
      <w:proofErr w:type="spellStart"/>
      <w:r w:rsidRPr="00814733">
        <w:rPr>
          <w:rFonts w:ascii="Arial" w:hAnsi="Arial" w:cs="Arial"/>
          <w:sz w:val="22"/>
          <w:szCs w:val="22"/>
          <w:shd w:val="clear" w:color="auto" w:fill="FFFFFF"/>
        </w:rPr>
        <w:t>rhizospheric</w:t>
      </w:r>
      <w:proofErr w:type="spellEnd"/>
      <w:r w:rsidRPr="00814733">
        <w:rPr>
          <w:rFonts w:ascii="Arial" w:hAnsi="Arial" w:cs="Arial"/>
          <w:sz w:val="22"/>
          <w:szCs w:val="22"/>
          <w:shd w:val="clear" w:color="auto" w:fill="FFFFFF"/>
        </w:rPr>
        <w:t xml:space="preserve"> bacteria for their multiple plant growth promoting activities.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163</w:t>
      </w:r>
      <w:r w:rsidRPr="00814733">
        <w:rPr>
          <w:rFonts w:ascii="Arial" w:hAnsi="Arial" w:cs="Arial"/>
          <w:sz w:val="22"/>
          <w:szCs w:val="22"/>
          <w:shd w:val="clear" w:color="auto" w:fill="FFFFFF"/>
        </w:rPr>
        <w:t>(2), 173-181.</w:t>
      </w:r>
    </w:p>
    <w:p w14:paraId="0BE6183E"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t>Alori, E. T., Fawole, O., &amp; Afolayan, A. (2012). Characterization of arbuscular mycorrhizal spores isolated from Southern Guinea Savanna of Nigeria. </w:t>
      </w:r>
      <w:r w:rsidRPr="00814733">
        <w:rPr>
          <w:rFonts w:ascii="Arial" w:eastAsia="SimSun" w:hAnsi="Arial" w:cs="Arial"/>
          <w:i/>
          <w:iCs/>
          <w:sz w:val="22"/>
          <w:szCs w:val="22"/>
          <w:shd w:val="clear" w:color="auto" w:fill="FFFFFF"/>
        </w:rPr>
        <w:t>Journal of Agricultural Science; Vol. 4, No. 7; 2012</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4</w:t>
      </w:r>
      <w:r w:rsidRPr="00814733">
        <w:rPr>
          <w:rFonts w:ascii="Arial" w:eastAsia="SimSun" w:hAnsi="Arial" w:cs="Arial"/>
          <w:sz w:val="22"/>
          <w:szCs w:val="22"/>
          <w:shd w:val="clear" w:color="auto" w:fill="FFFFFF"/>
        </w:rPr>
        <w:t>(7), 13-19.</w:t>
      </w:r>
    </w:p>
    <w:p w14:paraId="153CC37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t>Artursson, V., &amp; Jansson, J. K. (2003). Use of bromodeoxyuridine immunocapture to identify active bacteria associated with arbuscular mycorrhizal hyphae. </w:t>
      </w:r>
      <w:r w:rsidRPr="00814733">
        <w:rPr>
          <w:rFonts w:ascii="Arial" w:eastAsia="SimSun" w:hAnsi="Arial" w:cs="Arial"/>
          <w:i/>
          <w:iCs/>
          <w:sz w:val="22"/>
          <w:szCs w:val="22"/>
          <w:shd w:val="clear" w:color="auto" w:fill="FFFFFF"/>
        </w:rPr>
        <w:t>Applied and Environmental Microbiology</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69</w:t>
      </w:r>
      <w:r w:rsidRPr="00814733">
        <w:rPr>
          <w:rFonts w:ascii="Arial" w:eastAsia="SimSun" w:hAnsi="Arial" w:cs="Arial"/>
          <w:sz w:val="22"/>
          <w:szCs w:val="22"/>
          <w:shd w:val="clear" w:color="auto" w:fill="FFFFFF"/>
        </w:rPr>
        <w:t>(10), 6208-6215.</w:t>
      </w:r>
    </w:p>
    <w:p w14:paraId="5724586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Artursson, V., Finlay, R. D., &amp; Jansson, J. K. (2006). Interactions between arbuscular mycorrhizal fungi and bacteria and their potential for stimulating plant growth. </w:t>
      </w:r>
      <w:r w:rsidRPr="00814733">
        <w:rPr>
          <w:rFonts w:ascii="Arial" w:hAnsi="Arial" w:cs="Arial"/>
          <w:i/>
          <w:iCs/>
          <w:sz w:val="22"/>
          <w:szCs w:val="22"/>
          <w:shd w:val="clear" w:color="auto" w:fill="FFFFFF"/>
        </w:rPr>
        <w:t>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w:t>
      </w:r>
      <w:r w:rsidRPr="00814733">
        <w:rPr>
          <w:rFonts w:ascii="Arial" w:hAnsi="Arial" w:cs="Arial"/>
          <w:sz w:val="22"/>
          <w:szCs w:val="22"/>
          <w:shd w:val="clear" w:color="auto" w:fill="FFFFFF"/>
        </w:rPr>
        <w:t>(1), 1-10.</w:t>
      </w:r>
    </w:p>
    <w:p w14:paraId="285FE73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Azziz, G., </w:t>
      </w:r>
      <w:proofErr w:type="spellStart"/>
      <w:r w:rsidRPr="00814733">
        <w:rPr>
          <w:rFonts w:ascii="Arial" w:hAnsi="Arial" w:cs="Arial"/>
          <w:sz w:val="22"/>
          <w:szCs w:val="22"/>
          <w:shd w:val="clear" w:color="auto" w:fill="FFFFFF"/>
        </w:rPr>
        <w:t>Bajsa</w:t>
      </w:r>
      <w:proofErr w:type="spellEnd"/>
      <w:r w:rsidRPr="00814733">
        <w:rPr>
          <w:rFonts w:ascii="Arial" w:hAnsi="Arial" w:cs="Arial"/>
          <w:sz w:val="22"/>
          <w:szCs w:val="22"/>
          <w:shd w:val="clear" w:color="auto" w:fill="FFFFFF"/>
        </w:rPr>
        <w:t xml:space="preserve">, N., </w:t>
      </w:r>
      <w:proofErr w:type="spellStart"/>
      <w:r w:rsidRPr="00814733">
        <w:rPr>
          <w:rFonts w:ascii="Arial" w:hAnsi="Arial" w:cs="Arial"/>
          <w:sz w:val="22"/>
          <w:szCs w:val="22"/>
          <w:shd w:val="clear" w:color="auto" w:fill="FFFFFF"/>
        </w:rPr>
        <w:t>Haghjou</w:t>
      </w:r>
      <w:proofErr w:type="spellEnd"/>
      <w:r w:rsidRPr="00814733">
        <w:rPr>
          <w:rFonts w:ascii="Arial" w:hAnsi="Arial" w:cs="Arial"/>
          <w:sz w:val="22"/>
          <w:szCs w:val="22"/>
          <w:shd w:val="clear" w:color="auto" w:fill="FFFFFF"/>
        </w:rPr>
        <w:t xml:space="preserve">, T., </w:t>
      </w:r>
      <w:proofErr w:type="spellStart"/>
      <w:r w:rsidRPr="00814733">
        <w:rPr>
          <w:rFonts w:ascii="Arial" w:hAnsi="Arial" w:cs="Arial"/>
          <w:sz w:val="22"/>
          <w:szCs w:val="22"/>
          <w:shd w:val="clear" w:color="auto" w:fill="FFFFFF"/>
        </w:rPr>
        <w:t>Taulé</w:t>
      </w:r>
      <w:proofErr w:type="spellEnd"/>
      <w:r w:rsidRPr="00814733">
        <w:rPr>
          <w:rFonts w:ascii="Arial" w:hAnsi="Arial" w:cs="Arial"/>
          <w:sz w:val="22"/>
          <w:szCs w:val="22"/>
          <w:shd w:val="clear" w:color="auto" w:fill="FFFFFF"/>
        </w:rPr>
        <w:t xml:space="preserve">, C., Valverde, Á., </w:t>
      </w:r>
      <w:proofErr w:type="spellStart"/>
      <w:r w:rsidRPr="00814733">
        <w:rPr>
          <w:rFonts w:ascii="Arial" w:hAnsi="Arial" w:cs="Arial"/>
          <w:sz w:val="22"/>
          <w:szCs w:val="22"/>
          <w:shd w:val="clear" w:color="auto" w:fill="FFFFFF"/>
        </w:rPr>
        <w:t>Igual</w:t>
      </w:r>
      <w:proofErr w:type="spellEnd"/>
      <w:r w:rsidRPr="00814733">
        <w:rPr>
          <w:rFonts w:ascii="Arial" w:hAnsi="Arial" w:cs="Arial"/>
          <w:sz w:val="22"/>
          <w:szCs w:val="22"/>
          <w:shd w:val="clear" w:color="auto" w:fill="FFFFFF"/>
        </w:rPr>
        <w:t>, J. M., &amp; Arias, A. (2012). Abundance, diversity and prospecting of culturable phosphate solubilizing bacteria on soils under crop–pasture rotations in a no-tillage regime in Uruguay. </w:t>
      </w:r>
      <w:r w:rsidRPr="00814733">
        <w:rPr>
          <w:rFonts w:ascii="Arial" w:hAnsi="Arial" w:cs="Arial"/>
          <w:i/>
          <w:iCs/>
          <w:sz w:val="22"/>
          <w:szCs w:val="22"/>
          <w:shd w:val="clear" w:color="auto" w:fill="FFFFFF"/>
        </w:rPr>
        <w:t>Applied Soil Ecology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61</w:t>
      </w:r>
      <w:r w:rsidRPr="00814733">
        <w:rPr>
          <w:rFonts w:ascii="Arial" w:hAnsi="Arial" w:cs="Arial"/>
          <w:sz w:val="22"/>
          <w:szCs w:val="22"/>
          <w:shd w:val="clear" w:color="auto" w:fill="FFFFFF"/>
        </w:rPr>
        <w:t>, 320-326.</w:t>
      </w:r>
    </w:p>
    <w:p w14:paraId="02352E1A"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Babalola, O. O., &amp; Glick, B. R. (2012). Indigenous African agriculture and plant associated microbes: current practice and future transgenic prospects. </w:t>
      </w:r>
      <w:r w:rsidRPr="00814733">
        <w:rPr>
          <w:rFonts w:ascii="Arial" w:hAnsi="Arial" w:cs="Arial"/>
          <w:i/>
          <w:iCs/>
          <w:sz w:val="22"/>
          <w:szCs w:val="22"/>
          <w:shd w:val="clear" w:color="auto" w:fill="FFFFFF"/>
        </w:rPr>
        <w:t>Sci. Res. Essays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w:t>
      </w:r>
      <w:r w:rsidRPr="00814733">
        <w:rPr>
          <w:rFonts w:ascii="Arial" w:hAnsi="Arial" w:cs="Arial"/>
          <w:sz w:val="22"/>
          <w:szCs w:val="22"/>
          <w:shd w:val="clear" w:color="auto" w:fill="FFFFFF"/>
        </w:rPr>
        <w:t>(28), 2431-2439.</w:t>
      </w:r>
    </w:p>
    <w:p w14:paraId="4D36531E"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Bagyaraj, D. J. (1992). 19 Vesicular-arbuscular Mycorrhiza: Application in Agriculture. In </w:t>
      </w:r>
      <w:r w:rsidRPr="00814733">
        <w:rPr>
          <w:rFonts w:ascii="Arial" w:hAnsi="Arial" w:cs="Arial"/>
          <w:i/>
          <w:iCs/>
          <w:sz w:val="22"/>
          <w:szCs w:val="22"/>
          <w:shd w:val="clear" w:color="auto" w:fill="FFFFFF"/>
        </w:rPr>
        <w:t>Methods in microbiology</w:t>
      </w:r>
      <w:r w:rsidRPr="00814733">
        <w:rPr>
          <w:rFonts w:ascii="Arial" w:hAnsi="Arial" w:cs="Arial"/>
          <w:sz w:val="22"/>
          <w:szCs w:val="22"/>
          <w:shd w:val="clear" w:color="auto" w:fill="FFFFFF"/>
        </w:rPr>
        <w:t> (Vol. 24, pp. 359-373). Academic Press.</w:t>
      </w:r>
    </w:p>
    <w:p w14:paraId="381F7E2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Bai, Y., Müller, D. B., Srinivas, G., Garrido-Oter, R., Potthoff, E., Rott, M., ... &amp; Schulze-Lefert, P. (2015). Functional overlap of the Arabidopsis leaf and root microbiota. </w:t>
      </w:r>
      <w:r w:rsidRPr="00814733">
        <w:rPr>
          <w:rFonts w:ascii="Arial" w:hAnsi="Arial" w:cs="Arial"/>
          <w:i/>
          <w:iCs/>
          <w:sz w:val="22"/>
          <w:szCs w:val="22"/>
          <w:shd w:val="clear" w:color="auto" w:fill="FFFFFF"/>
        </w:rPr>
        <w:t>Nature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528</w:t>
      </w:r>
      <w:r w:rsidRPr="00814733">
        <w:rPr>
          <w:rFonts w:ascii="Arial" w:hAnsi="Arial" w:cs="Arial"/>
          <w:sz w:val="22"/>
          <w:szCs w:val="22"/>
          <w:shd w:val="clear" w:color="auto" w:fill="FFFFFF"/>
        </w:rPr>
        <w:t>(7582), 364-369.</w:t>
      </w:r>
    </w:p>
    <w:p w14:paraId="2B38010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Bais, H. P., Weir, T. L., Perry, L. G., Gilroy, S., &amp; Vivanco, J. M. (2006). The role of root exudates in rhizosphere interactions with plants and other organisms. </w:t>
      </w:r>
      <w:r w:rsidRPr="00814733">
        <w:rPr>
          <w:rFonts w:ascii="Arial" w:hAnsi="Arial" w:cs="Arial"/>
          <w:i/>
          <w:iCs/>
          <w:sz w:val="22"/>
          <w:szCs w:val="22"/>
          <w:shd w:val="clear" w:color="auto" w:fill="FFFFFF"/>
        </w:rPr>
        <w:t>Annu. Rev. Plant Biol.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57</w:t>
      </w:r>
      <w:r w:rsidRPr="00814733">
        <w:rPr>
          <w:rFonts w:ascii="Arial" w:hAnsi="Arial" w:cs="Arial"/>
          <w:sz w:val="22"/>
          <w:szCs w:val="22"/>
          <w:shd w:val="clear" w:color="auto" w:fill="FFFFFF"/>
        </w:rPr>
        <w:t>(1), 233-266.</w:t>
      </w:r>
    </w:p>
    <w:p w14:paraId="1E8D29D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eastAsia="SimSun" w:hAnsi="Arial" w:cs="Arial"/>
          <w:sz w:val="22"/>
          <w:szCs w:val="22"/>
          <w:shd w:val="clear" w:color="auto" w:fill="FFFFFF"/>
        </w:rPr>
        <w:t>Baldani</w:t>
      </w:r>
      <w:proofErr w:type="spellEnd"/>
      <w:r w:rsidRPr="00814733">
        <w:rPr>
          <w:rFonts w:ascii="Arial" w:eastAsia="SimSun" w:hAnsi="Arial" w:cs="Arial"/>
          <w:sz w:val="22"/>
          <w:szCs w:val="22"/>
          <w:shd w:val="clear" w:color="auto" w:fill="FFFFFF"/>
        </w:rPr>
        <w:t xml:space="preserve">, J. I., </w:t>
      </w:r>
      <w:proofErr w:type="spellStart"/>
      <w:r w:rsidRPr="00814733">
        <w:rPr>
          <w:rFonts w:ascii="Arial" w:eastAsia="SimSun" w:hAnsi="Arial" w:cs="Arial"/>
          <w:sz w:val="22"/>
          <w:szCs w:val="22"/>
          <w:shd w:val="clear" w:color="auto" w:fill="FFFFFF"/>
        </w:rPr>
        <w:t>Baldani</w:t>
      </w:r>
      <w:proofErr w:type="spellEnd"/>
      <w:r w:rsidRPr="00814733">
        <w:rPr>
          <w:rFonts w:ascii="Arial" w:eastAsia="SimSun" w:hAnsi="Arial" w:cs="Arial"/>
          <w:sz w:val="22"/>
          <w:szCs w:val="22"/>
          <w:shd w:val="clear" w:color="auto" w:fill="FFFFFF"/>
        </w:rPr>
        <w:t xml:space="preserve">, V. L. D., Seldin, L., &amp; </w:t>
      </w:r>
      <w:proofErr w:type="spellStart"/>
      <w:r w:rsidRPr="00814733">
        <w:rPr>
          <w:rFonts w:ascii="Arial" w:eastAsia="SimSun" w:hAnsi="Arial" w:cs="Arial"/>
          <w:sz w:val="22"/>
          <w:szCs w:val="22"/>
          <w:shd w:val="clear" w:color="auto" w:fill="FFFFFF"/>
        </w:rPr>
        <w:t>Döbereiner</w:t>
      </w:r>
      <w:proofErr w:type="spellEnd"/>
      <w:r w:rsidRPr="00814733">
        <w:rPr>
          <w:rFonts w:ascii="Arial" w:eastAsia="SimSun" w:hAnsi="Arial" w:cs="Arial"/>
          <w:sz w:val="22"/>
          <w:szCs w:val="22"/>
          <w:shd w:val="clear" w:color="auto" w:fill="FFFFFF"/>
        </w:rPr>
        <w:t xml:space="preserve">, J. (1986). Characterization of </w:t>
      </w:r>
      <w:proofErr w:type="spellStart"/>
      <w:r w:rsidRPr="00814733">
        <w:rPr>
          <w:rFonts w:ascii="Arial" w:eastAsia="SimSun" w:hAnsi="Arial" w:cs="Arial"/>
          <w:sz w:val="22"/>
          <w:szCs w:val="22"/>
          <w:shd w:val="clear" w:color="auto" w:fill="FFFFFF"/>
        </w:rPr>
        <w:t>Herbaspirillum</w:t>
      </w:r>
      <w:proofErr w:type="spellEnd"/>
      <w:r w:rsidRPr="00814733">
        <w:rPr>
          <w:rFonts w:ascii="Arial" w:eastAsia="SimSun" w:hAnsi="Arial" w:cs="Arial"/>
          <w:sz w:val="22"/>
          <w:szCs w:val="22"/>
          <w:shd w:val="clear" w:color="auto" w:fill="FFFFFF"/>
        </w:rPr>
        <w:t xml:space="preserve"> </w:t>
      </w:r>
      <w:proofErr w:type="spellStart"/>
      <w:r w:rsidRPr="00814733">
        <w:rPr>
          <w:rFonts w:ascii="Arial" w:eastAsia="SimSun" w:hAnsi="Arial" w:cs="Arial"/>
          <w:sz w:val="22"/>
          <w:szCs w:val="22"/>
          <w:shd w:val="clear" w:color="auto" w:fill="FFFFFF"/>
        </w:rPr>
        <w:t>seropedicae</w:t>
      </w:r>
      <w:proofErr w:type="spellEnd"/>
      <w:r w:rsidRPr="00814733">
        <w:rPr>
          <w:rFonts w:ascii="Arial" w:eastAsia="SimSun" w:hAnsi="Arial" w:cs="Arial"/>
          <w:sz w:val="22"/>
          <w:szCs w:val="22"/>
          <w:shd w:val="clear" w:color="auto" w:fill="FFFFFF"/>
        </w:rPr>
        <w:t xml:space="preserve"> gen. </w:t>
      </w:r>
      <w:proofErr w:type="spellStart"/>
      <w:r w:rsidRPr="00814733">
        <w:rPr>
          <w:rFonts w:ascii="Arial" w:eastAsia="SimSun" w:hAnsi="Arial" w:cs="Arial"/>
          <w:sz w:val="22"/>
          <w:szCs w:val="22"/>
          <w:shd w:val="clear" w:color="auto" w:fill="FFFFFF"/>
        </w:rPr>
        <w:t>nov.</w:t>
      </w:r>
      <w:proofErr w:type="spellEnd"/>
      <w:r w:rsidRPr="00814733">
        <w:rPr>
          <w:rFonts w:ascii="Arial" w:eastAsia="SimSun" w:hAnsi="Arial" w:cs="Arial"/>
          <w:sz w:val="22"/>
          <w:szCs w:val="22"/>
          <w:shd w:val="clear" w:color="auto" w:fill="FFFFFF"/>
        </w:rPr>
        <w:t xml:space="preserve">, sp. </w:t>
      </w:r>
      <w:proofErr w:type="spellStart"/>
      <w:r w:rsidRPr="00814733">
        <w:rPr>
          <w:rFonts w:ascii="Arial" w:eastAsia="SimSun" w:hAnsi="Arial" w:cs="Arial"/>
          <w:sz w:val="22"/>
          <w:szCs w:val="22"/>
          <w:shd w:val="clear" w:color="auto" w:fill="FFFFFF"/>
        </w:rPr>
        <w:t>nov.</w:t>
      </w:r>
      <w:proofErr w:type="spellEnd"/>
      <w:r w:rsidRPr="00814733">
        <w:rPr>
          <w:rFonts w:ascii="Arial" w:eastAsia="SimSun" w:hAnsi="Arial" w:cs="Arial"/>
          <w:sz w:val="22"/>
          <w:szCs w:val="22"/>
          <w:shd w:val="clear" w:color="auto" w:fill="FFFFFF"/>
        </w:rPr>
        <w:t>, a root-associated nitrogen-fixing bacterium. </w:t>
      </w:r>
      <w:r w:rsidRPr="00814733">
        <w:rPr>
          <w:rFonts w:ascii="Arial" w:eastAsia="SimSun" w:hAnsi="Arial" w:cs="Arial"/>
          <w:i/>
          <w:iCs/>
          <w:sz w:val="22"/>
          <w:szCs w:val="22"/>
          <w:shd w:val="clear" w:color="auto" w:fill="FFFFFF"/>
        </w:rPr>
        <w:t>International Journal of Systematic and Evolutionary Microbiology</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36</w:t>
      </w:r>
      <w:r w:rsidRPr="00814733">
        <w:rPr>
          <w:rFonts w:ascii="Arial" w:eastAsia="SimSun" w:hAnsi="Arial" w:cs="Arial"/>
          <w:sz w:val="22"/>
          <w:szCs w:val="22"/>
          <w:shd w:val="clear" w:color="auto" w:fill="FFFFFF"/>
        </w:rPr>
        <w:t>(1), 86-93.</w:t>
      </w:r>
    </w:p>
    <w:p w14:paraId="288BCA78"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Basak, B. B., Biswas, D. R., &amp; Rattan, R. K. (2012). Comparative effectiveness of value-added manures on crop productivity, soil mineral nitrogen and soil carbon pools under maize-wheat cropping system in an </w:t>
      </w:r>
      <w:proofErr w:type="spellStart"/>
      <w:r w:rsidRPr="00814733">
        <w:rPr>
          <w:rFonts w:ascii="Arial" w:hAnsi="Arial" w:cs="Arial"/>
          <w:sz w:val="22"/>
          <w:szCs w:val="22"/>
          <w:shd w:val="clear" w:color="auto" w:fill="FFFFFF"/>
        </w:rPr>
        <w:t>Inceptisol</w:t>
      </w:r>
      <w:proofErr w:type="spellEnd"/>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Journal of the Indian Society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60</w:t>
      </w:r>
      <w:r w:rsidRPr="00814733">
        <w:rPr>
          <w:rFonts w:ascii="Arial" w:hAnsi="Arial" w:cs="Arial"/>
          <w:sz w:val="22"/>
          <w:szCs w:val="22"/>
          <w:shd w:val="clear" w:color="auto" w:fill="FFFFFF"/>
        </w:rPr>
        <w:t>(4), 288-298.</w:t>
      </w:r>
    </w:p>
    <w:p w14:paraId="15E3268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Bender, S. F., Wagg, C., &amp; van der Heijden, M. G. (2016). An underground revolution: biodiversity and soil ecological engineering for agricultural sustainability. </w:t>
      </w:r>
      <w:r w:rsidRPr="00814733">
        <w:rPr>
          <w:rFonts w:ascii="Arial" w:hAnsi="Arial" w:cs="Arial"/>
          <w:i/>
          <w:iCs/>
          <w:sz w:val="22"/>
          <w:szCs w:val="22"/>
          <w:shd w:val="clear" w:color="auto" w:fill="FFFFFF"/>
        </w:rPr>
        <w:t>Trends in ecology &amp; evolution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31</w:t>
      </w:r>
      <w:r w:rsidRPr="00814733">
        <w:rPr>
          <w:rFonts w:ascii="Arial" w:hAnsi="Arial" w:cs="Arial"/>
          <w:sz w:val="22"/>
          <w:szCs w:val="22"/>
          <w:shd w:val="clear" w:color="auto" w:fill="FFFFFF"/>
        </w:rPr>
        <w:t>(6), 440-452.</w:t>
      </w:r>
    </w:p>
    <w:p w14:paraId="4648CC3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bookmarkStart w:id="15" w:name="_Hlk183673798"/>
      <w:proofErr w:type="spellStart"/>
      <w:r w:rsidRPr="00814733">
        <w:rPr>
          <w:rFonts w:ascii="Arial" w:hAnsi="Arial" w:cs="Arial"/>
          <w:sz w:val="22"/>
          <w:szCs w:val="22"/>
          <w:shd w:val="clear" w:color="auto" w:fill="FFFFFF"/>
        </w:rPr>
        <w:t>Bhanse</w:t>
      </w:r>
      <w:proofErr w:type="spellEnd"/>
      <w:r w:rsidRPr="00814733">
        <w:rPr>
          <w:rFonts w:ascii="Arial" w:hAnsi="Arial" w:cs="Arial"/>
          <w:sz w:val="22"/>
          <w:szCs w:val="22"/>
          <w:shd w:val="clear" w:color="auto" w:fill="FFFFFF"/>
        </w:rPr>
        <w:t>, P., Kumar, M., Singh, L., Awasthi, M. K., &amp; Qureshi, A. (2022). Role of plant growth-promoting rhizobacteria in boosting the phytoremediation of stressed soils: Opportunities, challenges, and prospects. </w:t>
      </w:r>
      <w:r w:rsidRPr="00814733">
        <w:rPr>
          <w:rFonts w:ascii="Arial" w:hAnsi="Arial" w:cs="Arial"/>
          <w:i/>
          <w:iCs/>
          <w:sz w:val="22"/>
          <w:szCs w:val="22"/>
          <w:shd w:val="clear" w:color="auto" w:fill="FFFFFF"/>
        </w:rPr>
        <w:t>Chemosphere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303</w:t>
      </w:r>
      <w:r w:rsidRPr="00814733">
        <w:rPr>
          <w:rFonts w:ascii="Arial" w:hAnsi="Arial" w:cs="Arial"/>
          <w:sz w:val="22"/>
          <w:szCs w:val="22"/>
          <w:shd w:val="clear" w:color="auto" w:fill="FFFFFF"/>
        </w:rPr>
        <w:t>, 134954.</w:t>
      </w:r>
    </w:p>
    <w:bookmarkEnd w:id="15"/>
    <w:p w14:paraId="71CF8AB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Bhattacharyya, P. N., &amp; Jha, D. K. (2012). Plant growth-promoting rhizobacteria (PGPR): emergence in agriculture. </w:t>
      </w:r>
      <w:r w:rsidRPr="00814733">
        <w:rPr>
          <w:rFonts w:ascii="Arial" w:hAnsi="Arial" w:cs="Arial"/>
          <w:i/>
          <w:iCs/>
          <w:sz w:val="22"/>
          <w:szCs w:val="22"/>
        </w:rPr>
        <w:t>World Journal of Microbiology and Biotechnology</w:t>
      </w:r>
      <w:r w:rsidRPr="00814733">
        <w:rPr>
          <w:rFonts w:ascii="Arial" w:hAnsi="Arial" w:cs="Arial"/>
          <w:sz w:val="22"/>
          <w:szCs w:val="22"/>
        </w:rPr>
        <w:t>, </w:t>
      </w:r>
      <w:r w:rsidRPr="00814733">
        <w:rPr>
          <w:rFonts w:ascii="Arial" w:hAnsi="Arial" w:cs="Arial"/>
          <w:i/>
          <w:iCs/>
          <w:sz w:val="22"/>
          <w:szCs w:val="22"/>
        </w:rPr>
        <w:t>28</w:t>
      </w:r>
      <w:r w:rsidRPr="00814733">
        <w:rPr>
          <w:rFonts w:ascii="Arial" w:hAnsi="Arial" w:cs="Arial"/>
          <w:sz w:val="22"/>
          <w:szCs w:val="22"/>
        </w:rPr>
        <w:t>, 1327-1350.</w:t>
      </w:r>
    </w:p>
    <w:p w14:paraId="420A3AF1"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Biswas, T., &amp; Kole, S. C. (2018). Soil organic matter and microbial role in plant productivity and soil fertility. In </w:t>
      </w:r>
      <w:r w:rsidRPr="00814733">
        <w:rPr>
          <w:rFonts w:ascii="Arial" w:hAnsi="Arial" w:cs="Arial"/>
          <w:i/>
          <w:iCs/>
          <w:sz w:val="22"/>
          <w:szCs w:val="22"/>
          <w:shd w:val="clear" w:color="auto" w:fill="FFFFFF"/>
        </w:rPr>
        <w:t>Advances in Soil Microbiology: Recent Trends and Future Prospects: Volume 2: Soil-Microbe-Plant Interaction</w:t>
      </w:r>
      <w:r w:rsidRPr="00814733">
        <w:rPr>
          <w:rFonts w:ascii="Arial" w:hAnsi="Arial" w:cs="Arial"/>
          <w:sz w:val="22"/>
          <w:szCs w:val="22"/>
          <w:shd w:val="clear" w:color="auto" w:fill="FFFFFF"/>
        </w:rPr>
        <w:t> (pp. 219-238). Singapore: Springer Singapore.</w:t>
      </w:r>
    </w:p>
    <w:p w14:paraId="1D84181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Bowen, G. D., &amp; Rovira, A. D. (1999). The rhizosphere and its management to improve plant growth. </w:t>
      </w:r>
      <w:r w:rsidRPr="00814733">
        <w:rPr>
          <w:rFonts w:ascii="Arial" w:hAnsi="Arial" w:cs="Arial"/>
          <w:i/>
          <w:iCs/>
          <w:sz w:val="22"/>
          <w:szCs w:val="22"/>
          <w:shd w:val="clear" w:color="auto" w:fill="FFFFFF"/>
        </w:rPr>
        <w:t>Advances in agronomy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66</w:t>
      </w:r>
      <w:r w:rsidRPr="00814733">
        <w:rPr>
          <w:rFonts w:ascii="Arial" w:hAnsi="Arial" w:cs="Arial"/>
          <w:sz w:val="22"/>
          <w:szCs w:val="22"/>
          <w:shd w:val="clear" w:color="auto" w:fill="FFFFFF"/>
        </w:rPr>
        <w:t>, 1-102.</w:t>
      </w:r>
    </w:p>
    <w:p w14:paraId="6F9C79A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Bumandalai</w:t>
      </w:r>
      <w:proofErr w:type="spellEnd"/>
      <w:r w:rsidRPr="00814733">
        <w:rPr>
          <w:rFonts w:ascii="Arial" w:hAnsi="Arial" w:cs="Arial"/>
          <w:sz w:val="22"/>
          <w:szCs w:val="22"/>
          <w:shd w:val="clear" w:color="auto" w:fill="FFFFFF"/>
        </w:rPr>
        <w:t>, O., &amp; Tserennadmid, R. (2019). Effect of Chlorella vulgaris as a biofertilizer on germination of tomato and cucumber seeds. </w:t>
      </w:r>
      <w:r w:rsidRPr="00814733">
        <w:rPr>
          <w:rFonts w:ascii="Arial" w:hAnsi="Arial" w:cs="Arial"/>
          <w:i/>
          <w:iCs/>
          <w:sz w:val="22"/>
          <w:szCs w:val="22"/>
          <w:shd w:val="clear" w:color="auto" w:fill="FFFFFF"/>
        </w:rPr>
        <w:t>International Journal of Aquatic 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w:t>
      </w:r>
      <w:r w:rsidRPr="00814733">
        <w:rPr>
          <w:rFonts w:ascii="Arial" w:hAnsi="Arial" w:cs="Arial"/>
          <w:sz w:val="22"/>
          <w:szCs w:val="22"/>
          <w:shd w:val="clear" w:color="auto" w:fill="FFFFFF"/>
        </w:rPr>
        <w:t>(2), 95-99.</w:t>
      </w:r>
    </w:p>
    <w:p w14:paraId="60F3D2F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 xml:space="preserve">Carter, M. R., Gregorich, E. G., Angers, D. A., Beare, M. H., Sparling, G. P., Wardle, D. A., &amp; </w:t>
      </w:r>
      <w:proofErr w:type="spellStart"/>
      <w:r w:rsidRPr="00814733">
        <w:rPr>
          <w:rFonts w:ascii="Arial" w:hAnsi="Arial" w:cs="Arial"/>
          <w:sz w:val="22"/>
          <w:szCs w:val="22"/>
          <w:shd w:val="clear" w:color="auto" w:fill="FFFFFF"/>
        </w:rPr>
        <w:t>Voroney</w:t>
      </w:r>
      <w:proofErr w:type="spellEnd"/>
      <w:r w:rsidRPr="00814733">
        <w:rPr>
          <w:rFonts w:ascii="Arial" w:hAnsi="Arial" w:cs="Arial"/>
          <w:sz w:val="22"/>
          <w:szCs w:val="22"/>
          <w:shd w:val="clear" w:color="auto" w:fill="FFFFFF"/>
        </w:rPr>
        <w:t>, R. P. (1999). Interpretation of microbial biomass measurements for soil quality assessment in humid temperate regions. </w:t>
      </w:r>
      <w:r w:rsidRPr="00814733">
        <w:rPr>
          <w:rFonts w:ascii="Arial" w:hAnsi="Arial" w:cs="Arial"/>
          <w:i/>
          <w:iCs/>
          <w:sz w:val="22"/>
          <w:szCs w:val="22"/>
          <w:shd w:val="clear" w:color="auto" w:fill="FFFFFF"/>
        </w:rPr>
        <w:t>Canadian Journal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79</w:t>
      </w:r>
      <w:r w:rsidRPr="00814733">
        <w:rPr>
          <w:rFonts w:ascii="Arial" w:hAnsi="Arial" w:cs="Arial"/>
          <w:sz w:val="22"/>
          <w:szCs w:val="22"/>
          <w:shd w:val="clear" w:color="auto" w:fill="FFFFFF"/>
        </w:rPr>
        <w:t>(4), 507-520.</w:t>
      </w:r>
    </w:p>
    <w:p w14:paraId="04F0F26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Chandrasekhar Rao, P. (2012). Sustainability, productivity and soil quality through organic matter maintenance. </w:t>
      </w:r>
      <w:r w:rsidRPr="00814733">
        <w:rPr>
          <w:rFonts w:ascii="Arial" w:hAnsi="Arial" w:cs="Arial"/>
          <w:i/>
          <w:iCs/>
          <w:sz w:val="22"/>
          <w:szCs w:val="22"/>
          <w:shd w:val="clear" w:color="auto" w:fill="FFFFFF"/>
        </w:rPr>
        <w:t>J Indian Soc Soil Sci</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60</w:t>
      </w:r>
      <w:r w:rsidRPr="00814733">
        <w:rPr>
          <w:rFonts w:ascii="Arial" w:hAnsi="Arial" w:cs="Arial"/>
          <w:sz w:val="22"/>
          <w:szCs w:val="22"/>
          <w:shd w:val="clear" w:color="auto" w:fill="FFFFFF"/>
        </w:rPr>
        <w:t>(Supplement), S-40.</w:t>
      </w:r>
    </w:p>
    <w:p w14:paraId="2A8EF98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Chet, I., &amp; Chernin, L. (2003). Biocontrol, microbial agents in soil. </w:t>
      </w:r>
      <w:r w:rsidRPr="00814733">
        <w:rPr>
          <w:rFonts w:ascii="Arial" w:hAnsi="Arial" w:cs="Arial"/>
          <w:i/>
          <w:iCs/>
          <w:sz w:val="22"/>
          <w:szCs w:val="22"/>
          <w:shd w:val="clear" w:color="auto" w:fill="FFFFFF"/>
        </w:rPr>
        <w:t>Encyclopedia of environmental microbiology</w:t>
      </w:r>
      <w:r w:rsidRPr="00814733">
        <w:rPr>
          <w:rFonts w:ascii="Arial" w:hAnsi="Arial" w:cs="Arial"/>
          <w:sz w:val="22"/>
          <w:szCs w:val="22"/>
          <w:shd w:val="clear" w:color="auto" w:fill="FFFFFF"/>
        </w:rPr>
        <w:t>.</w:t>
      </w:r>
    </w:p>
    <w:p w14:paraId="4A07BA2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Conrad, R. (2009). The global methane cycle: recent advances in understanding the microbial processes involved. </w:t>
      </w:r>
      <w:r w:rsidRPr="00814733">
        <w:rPr>
          <w:rFonts w:ascii="Arial" w:hAnsi="Arial" w:cs="Arial"/>
          <w:i/>
          <w:iCs/>
          <w:sz w:val="22"/>
          <w:szCs w:val="22"/>
          <w:shd w:val="clear" w:color="auto" w:fill="FFFFFF"/>
        </w:rPr>
        <w:t>Environmental microbiology reports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w:t>
      </w:r>
      <w:r w:rsidRPr="00814733">
        <w:rPr>
          <w:rFonts w:ascii="Arial" w:hAnsi="Arial" w:cs="Arial"/>
          <w:sz w:val="22"/>
          <w:szCs w:val="22"/>
          <w:shd w:val="clear" w:color="auto" w:fill="FFFFFF"/>
        </w:rPr>
        <w:t>(5), 285-292.</w:t>
      </w:r>
    </w:p>
    <w:p w14:paraId="257CA17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Dobbelaere, S., </w:t>
      </w:r>
      <w:proofErr w:type="spellStart"/>
      <w:r w:rsidRPr="00814733">
        <w:rPr>
          <w:rFonts w:ascii="Arial" w:hAnsi="Arial" w:cs="Arial"/>
          <w:sz w:val="22"/>
          <w:szCs w:val="22"/>
          <w:shd w:val="clear" w:color="auto" w:fill="FFFFFF"/>
        </w:rPr>
        <w:t>Vanderleyden</w:t>
      </w:r>
      <w:proofErr w:type="spellEnd"/>
      <w:r w:rsidRPr="00814733">
        <w:rPr>
          <w:rFonts w:ascii="Arial" w:hAnsi="Arial" w:cs="Arial"/>
          <w:sz w:val="22"/>
          <w:szCs w:val="22"/>
          <w:shd w:val="clear" w:color="auto" w:fill="FFFFFF"/>
        </w:rPr>
        <w:t>, J., &amp; Okon, Y. (2003). Plant growth-promoting effects of diazotrophs in the rhizosphere. </w:t>
      </w:r>
      <w:r w:rsidRPr="00814733">
        <w:rPr>
          <w:rFonts w:ascii="Arial" w:hAnsi="Arial" w:cs="Arial"/>
          <w:i/>
          <w:iCs/>
          <w:sz w:val="22"/>
          <w:szCs w:val="22"/>
          <w:shd w:val="clear" w:color="auto" w:fill="FFFFFF"/>
        </w:rPr>
        <w:t>Critical reviews in plant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22</w:t>
      </w:r>
      <w:r w:rsidRPr="00814733">
        <w:rPr>
          <w:rFonts w:ascii="Arial" w:hAnsi="Arial" w:cs="Arial"/>
          <w:sz w:val="22"/>
          <w:szCs w:val="22"/>
          <w:shd w:val="clear" w:color="auto" w:fill="FFFFFF"/>
        </w:rPr>
        <w:t>(2), 107-149.</w:t>
      </w:r>
    </w:p>
    <w:p w14:paraId="394C0AE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 xml:space="preserve">Dominati, E., Patterson, M., &amp; Mackay, A. (2010). </w:t>
      </w:r>
      <w:r w:rsidRPr="00814733">
        <w:rPr>
          <w:rFonts w:ascii="Arial" w:hAnsi="Arial" w:cs="Arial"/>
          <w:sz w:val="22"/>
          <w:szCs w:val="22"/>
        </w:rPr>
        <w:t>A framework for classifying and quantifying the natural capital and ecosystem services of soils. </w:t>
      </w:r>
      <w:r w:rsidRPr="00814733">
        <w:rPr>
          <w:rFonts w:ascii="Arial" w:hAnsi="Arial" w:cs="Arial"/>
          <w:i/>
          <w:iCs/>
          <w:sz w:val="22"/>
          <w:szCs w:val="22"/>
        </w:rPr>
        <w:t>Ecological economics</w:t>
      </w:r>
      <w:r w:rsidRPr="00814733">
        <w:rPr>
          <w:rFonts w:ascii="Arial" w:hAnsi="Arial" w:cs="Arial"/>
          <w:sz w:val="22"/>
          <w:szCs w:val="22"/>
        </w:rPr>
        <w:t>, </w:t>
      </w:r>
      <w:r w:rsidRPr="00814733">
        <w:rPr>
          <w:rFonts w:ascii="Arial" w:hAnsi="Arial" w:cs="Arial"/>
          <w:i/>
          <w:iCs/>
          <w:sz w:val="22"/>
          <w:szCs w:val="22"/>
        </w:rPr>
        <w:t>69</w:t>
      </w:r>
      <w:r w:rsidRPr="00814733">
        <w:rPr>
          <w:rFonts w:ascii="Arial" w:hAnsi="Arial" w:cs="Arial"/>
          <w:sz w:val="22"/>
          <w:szCs w:val="22"/>
        </w:rPr>
        <w:t>(9), 1858-1868.</w:t>
      </w:r>
    </w:p>
    <w:p w14:paraId="354B3F9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Falkowski, P. G., Fenchel, T., &amp; Delong, E. F. (2008). The microbial engines that drive Earth's biogeochemical cycles.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320</w:t>
      </w:r>
      <w:r w:rsidRPr="00814733">
        <w:rPr>
          <w:rFonts w:ascii="Arial" w:hAnsi="Arial" w:cs="Arial"/>
          <w:sz w:val="22"/>
          <w:szCs w:val="22"/>
          <w:shd w:val="clear" w:color="auto" w:fill="FFFFFF"/>
        </w:rPr>
        <w:t>(5879), 1034-1039.</w:t>
      </w:r>
    </w:p>
    <w:p w14:paraId="22D397D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Fliessbach</w:t>
      </w:r>
      <w:proofErr w:type="spellEnd"/>
      <w:r w:rsidRPr="00814733">
        <w:rPr>
          <w:rFonts w:ascii="Arial" w:hAnsi="Arial" w:cs="Arial"/>
          <w:sz w:val="22"/>
          <w:szCs w:val="22"/>
          <w:shd w:val="clear" w:color="auto" w:fill="FFFFFF"/>
        </w:rPr>
        <w:t xml:space="preserve">, A., Hany, R., Rentsch, D., Frei, R., &amp; </w:t>
      </w:r>
      <w:proofErr w:type="spellStart"/>
      <w:r w:rsidRPr="00814733">
        <w:rPr>
          <w:rFonts w:ascii="Arial" w:hAnsi="Arial" w:cs="Arial"/>
          <w:sz w:val="22"/>
          <w:szCs w:val="22"/>
          <w:shd w:val="clear" w:color="auto" w:fill="FFFFFF"/>
        </w:rPr>
        <w:t>Eyhorn</w:t>
      </w:r>
      <w:proofErr w:type="spellEnd"/>
      <w:r w:rsidRPr="00814733">
        <w:rPr>
          <w:rFonts w:ascii="Arial" w:hAnsi="Arial" w:cs="Arial"/>
          <w:sz w:val="22"/>
          <w:szCs w:val="22"/>
          <w:shd w:val="clear" w:color="auto" w:fill="FFFFFF"/>
        </w:rPr>
        <w:t>, F. (2000). DOC trail: soil organic matter quality and soil aggregate stability in organic and conventional soils. In </w:t>
      </w:r>
      <w:r w:rsidRPr="00814733">
        <w:rPr>
          <w:rFonts w:ascii="Arial" w:hAnsi="Arial" w:cs="Arial"/>
          <w:i/>
          <w:iCs/>
          <w:sz w:val="22"/>
          <w:szCs w:val="22"/>
          <w:shd w:val="clear" w:color="auto" w:fill="FFFFFF"/>
        </w:rPr>
        <w:t>Proceedings 13th International IFOAM Scientific Conference</w:t>
      </w:r>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vdf</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Hochschulverlag</w:t>
      </w:r>
      <w:proofErr w:type="spellEnd"/>
      <w:r w:rsidRPr="00814733">
        <w:rPr>
          <w:rFonts w:ascii="Arial" w:hAnsi="Arial" w:cs="Arial"/>
          <w:sz w:val="22"/>
          <w:szCs w:val="22"/>
          <w:shd w:val="clear" w:color="auto" w:fill="FFFFFF"/>
        </w:rPr>
        <w:t>, Zürich, Switzerland.</w:t>
      </w:r>
    </w:p>
    <w:p w14:paraId="2A74E2F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Freeman, C., </w:t>
      </w:r>
      <w:proofErr w:type="spellStart"/>
      <w:r w:rsidRPr="00814733">
        <w:rPr>
          <w:rFonts w:ascii="Arial" w:hAnsi="Arial" w:cs="Arial"/>
          <w:sz w:val="22"/>
          <w:szCs w:val="22"/>
          <w:shd w:val="clear" w:color="auto" w:fill="FFFFFF"/>
        </w:rPr>
        <w:t>Ostle</w:t>
      </w:r>
      <w:proofErr w:type="spellEnd"/>
      <w:r w:rsidRPr="00814733">
        <w:rPr>
          <w:rFonts w:ascii="Arial" w:hAnsi="Arial" w:cs="Arial"/>
          <w:sz w:val="22"/>
          <w:szCs w:val="22"/>
          <w:shd w:val="clear" w:color="auto" w:fill="FFFFFF"/>
        </w:rPr>
        <w:t xml:space="preserve">, N., &amp; Kang, H. (2001). An </w:t>
      </w:r>
      <w:proofErr w:type="spellStart"/>
      <w:r w:rsidRPr="00814733">
        <w:rPr>
          <w:rFonts w:ascii="Arial" w:hAnsi="Arial" w:cs="Arial"/>
          <w:sz w:val="22"/>
          <w:szCs w:val="22"/>
          <w:shd w:val="clear" w:color="auto" w:fill="FFFFFF"/>
        </w:rPr>
        <w:t>enzymic'latch'on</w:t>
      </w:r>
      <w:proofErr w:type="spellEnd"/>
      <w:r w:rsidRPr="00814733">
        <w:rPr>
          <w:rFonts w:ascii="Arial" w:hAnsi="Arial" w:cs="Arial"/>
          <w:sz w:val="22"/>
          <w:szCs w:val="22"/>
          <w:shd w:val="clear" w:color="auto" w:fill="FFFFFF"/>
        </w:rPr>
        <w:t xml:space="preserve"> a global carbon store. </w:t>
      </w:r>
      <w:r w:rsidRPr="00814733">
        <w:rPr>
          <w:rFonts w:ascii="Arial" w:hAnsi="Arial" w:cs="Arial"/>
          <w:i/>
          <w:iCs/>
          <w:sz w:val="22"/>
          <w:szCs w:val="22"/>
          <w:shd w:val="clear" w:color="auto" w:fill="FFFFFF"/>
        </w:rPr>
        <w:t>Nature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409</w:t>
      </w:r>
      <w:r w:rsidRPr="00814733">
        <w:rPr>
          <w:rFonts w:ascii="Arial" w:hAnsi="Arial" w:cs="Arial"/>
          <w:sz w:val="22"/>
          <w:szCs w:val="22"/>
          <w:shd w:val="clear" w:color="auto" w:fill="FFFFFF"/>
        </w:rPr>
        <w:t>(6817), 149-149.</w:t>
      </w:r>
    </w:p>
    <w:p w14:paraId="613482C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Glick, B. R. (1995). The enhancement of plant growth by free-living bacteria. </w:t>
      </w:r>
      <w:r w:rsidRPr="00814733">
        <w:rPr>
          <w:rFonts w:ascii="Arial" w:hAnsi="Arial" w:cs="Arial"/>
          <w:i/>
          <w:iCs/>
          <w:sz w:val="22"/>
          <w:szCs w:val="22"/>
          <w:shd w:val="clear" w:color="auto" w:fill="FFFFFF"/>
        </w:rPr>
        <w:t>Canadian journal of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41</w:t>
      </w:r>
      <w:r w:rsidRPr="00814733">
        <w:rPr>
          <w:rFonts w:ascii="Arial" w:hAnsi="Arial" w:cs="Arial"/>
          <w:sz w:val="22"/>
          <w:szCs w:val="22"/>
          <w:shd w:val="clear" w:color="auto" w:fill="FFFFFF"/>
        </w:rPr>
        <w:t>(2), 109-117.</w:t>
      </w:r>
    </w:p>
    <w:p w14:paraId="368A3D6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Graham, P. H., &amp; Vance, C. P. (2000). Nitrogen fixation in perspective: an overview of research and extension needs. </w:t>
      </w:r>
      <w:r w:rsidRPr="00814733">
        <w:rPr>
          <w:rFonts w:ascii="Arial" w:hAnsi="Arial" w:cs="Arial"/>
          <w:i/>
          <w:iCs/>
          <w:sz w:val="22"/>
          <w:szCs w:val="22"/>
        </w:rPr>
        <w:t>Field crops research</w:t>
      </w:r>
      <w:r w:rsidRPr="00814733">
        <w:rPr>
          <w:rFonts w:ascii="Arial" w:hAnsi="Arial" w:cs="Arial"/>
          <w:sz w:val="22"/>
          <w:szCs w:val="22"/>
        </w:rPr>
        <w:t>, </w:t>
      </w:r>
      <w:r w:rsidRPr="00814733">
        <w:rPr>
          <w:rFonts w:ascii="Arial" w:hAnsi="Arial" w:cs="Arial"/>
          <w:i/>
          <w:iCs/>
          <w:sz w:val="22"/>
          <w:szCs w:val="22"/>
        </w:rPr>
        <w:t>65</w:t>
      </w:r>
      <w:r w:rsidRPr="00814733">
        <w:rPr>
          <w:rFonts w:ascii="Arial" w:hAnsi="Arial" w:cs="Arial"/>
          <w:sz w:val="22"/>
          <w:szCs w:val="22"/>
        </w:rPr>
        <w:t>(2-3), 93-106.</w:t>
      </w:r>
    </w:p>
    <w:p w14:paraId="7063415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Gray, E. J., &amp; Smith, D. L. (2005). Intracellular and extracellular PGPR: commonalities and distinctions in the plant–bacterium signaling processes. </w:t>
      </w:r>
      <w:r w:rsidRPr="00814733">
        <w:rPr>
          <w:rFonts w:ascii="Arial" w:hAnsi="Arial" w:cs="Arial"/>
          <w:i/>
          <w:iCs/>
          <w:sz w:val="22"/>
          <w:szCs w:val="22"/>
          <w:shd w:val="clear" w:color="auto" w:fill="FFFFFF"/>
        </w:rPr>
        <w:t>Soil biology and biochemistry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37</w:t>
      </w:r>
      <w:r w:rsidRPr="00814733">
        <w:rPr>
          <w:rFonts w:ascii="Arial" w:hAnsi="Arial" w:cs="Arial"/>
          <w:sz w:val="22"/>
          <w:szCs w:val="22"/>
          <w:shd w:val="clear" w:color="auto" w:fill="FFFFFF"/>
        </w:rPr>
        <w:t>(3), 395-412.</w:t>
      </w:r>
    </w:p>
    <w:p w14:paraId="2ACF3A3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Gregorich, E. G., Carter, M. R., Angers, D. A., Monreal, C., &amp; Ellert, B. H. (1994). Towards a minimum data set to assess soil organic matter quality in agricultural soils. </w:t>
      </w:r>
      <w:r w:rsidRPr="00814733">
        <w:rPr>
          <w:rFonts w:ascii="Arial" w:hAnsi="Arial" w:cs="Arial"/>
          <w:i/>
          <w:iCs/>
          <w:sz w:val="22"/>
          <w:szCs w:val="22"/>
          <w:shd w:val="clear" w:color="auto" w:fill="FFFFFF"/>
        </w:rPr>
        <w:t>Canadian journal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74</w:t>
      </w:r>
      <w:r w:rsidRPr="00814733">
        <w:rPr>
          <w:rFonts w:ascii="Arial" w:hAnsi="Arial" w:cs="Arial"/>
          <w:sz w:val="22"/>
          <w:szCs w:val="22"/>
          <w:shd w:val="clear" w:color="auto" w:fill="FFFFFF"/>
        </w:rPr>
        <w:t>(4), 367-385.</w:t>
      </w:r>
    </w:p>
    <w:p w14:paraId="6AF846A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Gryndler, M. (2000). Interactions of arbuscular mycorrhizal fungi with other soil organisms. In </w:t>
      </w:r>
      <w:r w:rsidRPr="00814733">
        <w:rPr>
          <w:rFonts w:ascii="Arial" w:hAnsi="Arial" w:cs="Arial"/>
          <w:i/>
          <w:iCs/>
          <w:sz w:val="22"/>
          <w:szCs w:val="22"/>
          <w:shd w:val="clear" w:color="auto" w:fill="FFFFFF"/>
        </w:rPr>
        <w:t>Arbuscular mycorrhizas: physiology and function</w:t>
      </w:r>
      <w:r w:rsidRPr="00814733">
        <w:rPr>
          <w:rFonts w:ascii="Arial" w:hAnsi="Arial" w:cs="Arial"/>
          <w:sz w:val="22"/>
          <w:szCs w:val="22"/>
          <w:shd w:val="clear" w:color="auto" w:fill="FFFFFF"/>
        </w:rPr>
        <w:t> (pp. 239-262). Dordrecht: Springer Netherlands.</w:t>
      </w:r>
    </w:p>
    <w:p w14:paraId="51BAB71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Gyaneshwar, P., Hirsch, A. M., Moulin, L., Chen, W. M., Elliott, G. N., Bontemps, C., ... &amp; James, E. K. (2011). Legume-</w:t>
      </w:r>
      <w:proofErr w:type="spellStart"/>
      <w:r w:rsidRPr="00814733">
        <w:rPr>
          <w:rFonts w:ascii="Arial" w:hAnsi="Arial" w:cs="Arial"/>
          <w:sz w:val="22"/>
          <w:szCs w:val="22"/>
          <w:shd w:val="clear" w:color="auto" w:fill="FFFFFF"/>
        </w:rPr>
        <w:t>nodulating</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betaproteobacteria</w:t>
      </w:r>
      <w:proofErr w:type="spellEnd"/>
      <w:r w:rsidRPr="00814733">
        <w:rPr>
          <w:rFonts w:ascii="Arial" w:hAnsi="Arial" w:cs="Arial"/>
          <w:sz w:val="22"/>
          <w:szCs w:val="22"/>
          <w:shd w:val="clear" w:color="auto" w:fill="FFFFFF"/>
        </w:rPr>
        <w:t>: diversity, host range, and future prospects. </w:t>
      </w:r>
      <w:r w:rsidRPr="00814733">
        <w:rPr>
          <w:rFonts w:ascii="Arial" w:hAnsi="Arial" w:cs="Arial"/>
          <w:i/>
          <w:iCs/>
          <w:sz w:val="22"/>
          <w:szCs w:val="22"/>
          <w:shd w:val="clear" w:color="auto" w:fill="FFFFFF"/>
        </w:rPr>
        <w:t>Molecular plant-microbe interactions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24</w:t>
      </w:r>
      <w:r w:rsidRPr="00814733">
        <w:rPr>
          <w:rFonts w:ascii="Arial" w:hAnsi="Arial" w:cs="Arial"/>
          <w:sz w:val="22"/>
          <w:szCs w:val="22"/>
          <w:shd w:val="clear" w:color="auto" w:fill="FFFFFF"/>
        </w:rPr>
        <w:t>(11), 1276-1288.</w:t>
      </w:r>
    </w:p>
    <w:p w14:paraId="030E486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Haney, C. H., Samuel, B. S., Bush, J., &amp; Ausubel, F. M. (2015). Associations with rhizosphere bacteria can confer an adaptive advantage to plants. </w:t>
      </w:r>
      <w:r w:rsidRPr="00814733">
        <w:rPr>
          <w:rFonts w:ascii="Arial" w:hAnsi="Arial" w:cs="Arial"/>
          <w:i/>
          <w:iCs/>
          <w:sz w:val="22"/>
          <w:szCs w:val="22"/>
          <w:shd w:val="clear" w:color="auto" w:fill="FFFFFF"/>
        </w:rPr>
        <w:t>Nature plants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w:t>
      </w:r>
      <w:r w:rsidRPr="00814733">
        <w:rPr>
          <w:rFonts w:ascii="Arial" w:hAnsi="Arial" w:cs="Arial"/>
          <w:sz w:val="22"/>
          <w:szCs w:val="22"/>
          <w:shd w:val="clear" w:color="auto" w:fill="FFFFFF"/>
        </w:rPr>
        <w:t>(6), 1-9.</w:t>
      </w:r>
    </w:p>
    <w:p w14:paraId="55FCF5A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 xml:space="preserve">Herridge, D. F., Peoples, M. B., &amp; </w:t>
      </w:r>
      <w:proofErr w:type="spellStart"/>
      <w:r w:rsidRPr="00814733">
        <w:rPr>
          <w:rFonts w:ascii="Arial" w:hAnsi="Arial" w:cs="Arial"/>
          <w:sz w:val="22"/>
          <w:szCs w:val="22"/>
          <w:shd w:val="clear" w:color="auto" w:fill="FFFFFF"/>
        </w:rPr>
        <w:t>Boddey</w:t>
      </w:r>
      <w:proofErr w:type="spellEnd"/>
      <w:r w:rsidRPr="00814733">
        <w:rPr>
          <w:rFonts w:ascii="Arial" w:hAnsi="Arial" w:cs="Arial"/>
          <w:sz w:val="22"/>
          <w:szCs w:val="22"/>
          <w:shd w:val="clear" w:color="auto" w:fill="FFFFFF"/>
        </w:rPr>
        <w:t>, R. M. (2008). Global inputs of biological nitrogen fixation in agricultural systems. </w:t>
      </w:r>
      <w:r w:rsidRPr="00814733">
        <w:rPr>
          <w:rFonts w:ascii="Arial" w:hAnsi="Arial" w:cs="Arial"/>
          <w:i/>
          <w:iCs/>
          <w:sz w:val="22"/>
          <w:szCs w:val="22"/>
          <w:shd w:val="clear" w:color="auto" w:fill="FFFFFF"/>
        </w:rPr>
        <w:t>Plant and soil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311</w:t>
      </w:r>
      <w:r w:rsidRPr="00814733">
        <w:rPr>
          <w:rFonts w:ascii="Arial" w:hAnsi="Arial" w:cs="Arial"/>
          <w:sz w:val="22"/>
          <w:szCs w:val="22"/>
          <w:shd w:val="clear" w:color="auto" w:fill="FFFFFF"/>
        </w:rPr>
        <w:t>, 1-18.</w:t>
      </w:r>
    </w:p>
    <w:p w14:paraId="6468FE2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Higa, T., &amp; Parr, J. F. (1994). </w:t>
      </w:r>
      <w:r w:rsidRPr="00814733">
        <w:rPr>
          <w:rFonts w:ascii="Arial" w:hAnsi="Arial" w:cs="Arial"/>
          <w:i/>
          <w:iCs/>
          <w:sz w:val="22"/>
          <w:szCs w:val="22"/>
        </w:rPr>
        <w:t>Beneficial and effective microorganisms for a sustainable agriculture and environment</w:t>
      </w:r>
      <w:r w:rsidRPr="00814733">
        <w:rPr>
          <w:rFonts w:ascii="Arial" w:hAnsi="Arial" w:cs="Arial"/>
          <w:sz w:val="22"/>
          <w:szCs w:val="22"/>
        </w:rPr>
        <w:t> (Vol. 1, pp. 16-16). Atami, Japan: International Nature Farming Research Center.</w:t>
      </w:r>
    </w:p>
    <w:p w14:paraId="2AEA2F8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Hildebrandt, U., Janetta, K., &amp; Bothe, H. (2002). Towards growth of arbuscular mycorrhizal fungi independent of a plant host. </w:t>
      </w:r>
      <w:r w:rsidRPr="00814733">
        <w:rPr>
          <w:rFonts w:ascii="Arial" w:hAnsi="Arial" w:cs="Arial"/>
          <w:i/>
          <w:iCs/>
          <w:sz w:val="22"/>
          <w:szCs w:val="22"/>
          <w:shd w:val="clear" w:color="auto" w:fill="FFFFFF"/>
        </w:rPr>
        <w:t>Applied and 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68</w:t>
      </w:r>
      <w:r w:rsidRPr="00814733">
        <w:rPr>
          <w:rFonts w:ascii="Arial" w:hAnsi="Arial" w:cs="Arial"/>
          <w:sz w:val="22"/>
          <w:szCs w:val="22"/>
          <w:shd w:val="clear" w:color="auto" w:fill="FFFFFF"/>
        </w:rPr>
        <w:t>(4), 1919-1924.</w:t>
      </w:r>
    </w:p>
    <w:p w14:paraId="752D107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Hoorman</w:t>
      </w:r>
      <w:proofErr w:type="spellEnd"/>
      <w:r w:rsidRPr="00814733">
        <w:rPr>
          <w:rFonts w:ascii="Arial" w:hAnsi="Arial" w:cs="Arial"/>
          <w:sz w:val="22"/>
          <w:szCs w:val="22"/>
          <w:shd w:val="clear" w:color="auto" w:fill="FFFFFF"/>
        </w:rPr>
        <w:t>, J. J. (2010). Understanding soil microbes and nutrient recycling. </w:t>
      </w:r>
      <w:r w:rsidRPr="00814733">
        <w:rPr>
          <w:rFonts w:ascii="Arial" w:hAnsi="Arial" w:cs="Arial"/>
          <w:i/>
          <w:iCs/>
          <w:sz w:val="22"/>
          <w:szCs w:val="22"/>
          <w:shd w:val="clear" w:color="auto" w:fill="FFFFFF"/>
        </w:rPr>
        <w:t>Agriculture and natural resources</w:t>
      </w:r>
      <w:r w:rsidRPr="00814733">
        <w:rPr>
          <w:rFonts w:ascii="Arial" w:hAnsi="Arial" w:cs="Arial"/>
          <w:sz w:val="22"/>
          <w:szCs w:val="22"/>
          <w:shd w:val="clear" w:color="auto" w:fill="FFFFFF"/>
        </w:rPr>
        <w:t>, 1-5.</w:t>
      </w:r>
    </w:p>
    <w:p w14:paraId="5CDDDD0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Hopkin, S. (1998). Biological Indicators of Soil Health. Ed. by CE PANKHURST, BM DOUBE and VVSR GUPTA. 23× 15 cm. Pp. xii+ 451 with 70 text-figures. Wallingford, UK: CAB International, 1997. Price h/b</w:t>
      </w:r>
      <w:proofErr w:type="gramStart"/>
      <w:r w:rsidRPr="00814733">
        <w:rPr>
          <w:rFonts w:ascii="Arial" w:hAnsi="Arial" w:cs="Arial"/>
          <w:sz w:val="22"/>
          <w:szCs w:val="22"/>
          <w:shd w:val="clear" w:color="auto" w:fill="FFFFFF"/>
        </w:rPr>
        <w:t>:£</w:t>
      </w:r>
      <w:proofErr w:type="gramEnd"/>
      <w:r w:rsidRPr="00814733">
        <w:rPr>
          <w:rFonts w:ascii="Arial" w:hAnsi="Arial" w:cs="Arial"/>
          <w:sz w:val="22"/>
          <w:szCs w:val="22"/>
          <w:shd w:val="clear" w:color="auto" w:fill="FFFFFF"/>
        </w:rPr>
        <w:t xml:space="preserve"> 60.00, ISBN 0 85199 158 0. </w:t>
      </w:r>
      <w:r w:rsidRPr="00814733">
        <w:rPr>
          <w:rFonts w:ascii="Arial" w:hAnsi="Arial" w:cs="Arial"/>
          <w:i/>
          <w:iCs/>
          <w:sz w:val="22"/>
          <w:szCs w:val="22"/>
          <w:shd w:val="clear" w:color="auto" w:fill="FFFFFF"/>
        </w:rPr>
        <w:t>The New Phytologist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139</w:t>
      </w:r>
      <w:r w:rsidRPr="00814733">
        <w:rPr>
          <w:rFonts w:ascii="Arial" w:hAnsi="Arial" w:cs="Arial"/>
          <w:sz w:val="22"/>
          <w:szCs w:val="22"/>
          <w:shd w:val="clear" w:color="auto" w:fill="FFFFFF"/>
        </w:rPr>
        <w:t>(2), 389-392.</w:t>
      </w:r>
    </w:p>
    <w:p w14:paraId="4675451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Huey, C. J., Gopinath, S. C., Uda, M. N. A., </w:t>
      </w:r>
      <w:proofErr w:type="spellStart"/>
      <w:r w:rsidRPr="00814733">
        <w:rPr>
          <w:rFonts w:ascii="Arial" w:hAnsi="Arial" w:cs="Arial"/>
          <w:sz w:val="22"/>
          <w:szCs w:val="22"/>
        </w:rPr>
        <w:t>Zulhaimi</w:t>
      </w:r>
      <w:proofErr w:type="spellEnd"/>
      <w:r w:rsidRPr="00814733">
        <w:rPr>
          <w:rFonts w:ascii="Arial" w:hAnsi="Arial" w:cs="Arial"/>
          <w:sz w:val="22"/>
          <w:szCs w:val="22"/>
        </w:rPr>
        <w:t>, H. I., Jaafar, M. N., Kasim, F. H., &amp; Yaakub, A. R. W. (2020). Mycorrhiza: a natural resource assists plant growth under varied soil conditions. </w:t>
      </w:r>
      <w:r w:rsidRPr="00814733">
        <w:rPr>
          <w:rFonts w:ascii="Arial" w:hAnsi="Arial" w:cs="Arial"/>
          <w:i/>
          <w:iCs/>
          <w:sz w:val="22"/>
          <w:szCs w:val="22"/>
        </w:rPr>
        <w:t>3 Biotech</w:t>
      </w:r>
      <w:r w:rsidRPr="00814733">
        <w:rPr>
          <w:rFonts w:ascii="Arial" w:hAnsi="Arial" w:cs="Arial"/>
          <w:sz w:val="22"/>
          <w:szCs w:val="22"/>
        </w:rPr>
        <w:t>, </w:t>
      </w:r>
      <w:r w:rsidRPr="00814733">
        <w:rPr>
          <w:rFonts w:ascii="Arial" w:hAnsi="Arial" w:cs="Arial"/>
          <w:i/>
          <w:iCs/>
          <w:sz w:val="22"/>
          <w:szCs w:val="22"/>
        </w:rPr>
        <w:t>10</w:t>
      </w:r>
      <w:r w:rsidRPr="00814733">
        <w:rPr>
          <w:rFonts w:ascii="Arial" w:hAnsi="Arial" w:cs="Arial"/>
          <w:sz w:val="22"/>
          <w:szCs w:val="22"/>
        </w:rPr>
        <w:t>, 1-9.</w:t>
      </w:r>
    </w:p>
    <w:p w14:paraId="1BE92EC5"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rPr>
        <w:t>Islam, W., Noman, A., Naveed, H., Huang, Z., &amp; Chen, H. Y., (2020). Role of environmental factors in shaping the soil microbiome. Environmental Science and Pollution Research, 27, 41225-41247.</w:t>
      </w:r>
    </w:p>
    <w:p w14:paraId="5BB40F1C"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proofErr w:type="spellStart"/>
      <w:r w:rsidRPr="00814733">
        <w:rPr>
          <w:rFonts w:ascii="Arial" w:hAnsi="Arial" w:cs="Arial"/>
          <w:sz w:val="22"/>
          <w:szCs w:val="22"/>
          <w:shd w:val="clear" w:color="auto" w:fill="FFFFFF"/>
        </w:rPr>
        <w:t>Istina</w:t>
      </w:r>
      <w:proofErr w:type="spellEnd"/>
      <w:r w:rsidRPr="00814733">
        <w:rPr>
          <w:rFonts w:ascii="Arial" w:hAnsi="Arial" w:cs="Arial"/>
          <w:sz w:val="22"/>
          <w:szCs w:val="22"/>
          <w:shd w:val="clear" w:color="auto" w:fill="FFFFFF"/>
        </w:rPr>
        <w:t xml:space="preserve">, I. N., </w:t>
      </w:r>
      <w:proofErr w:type="spellStart"/>
      <w:r w:rsidRPr="00814733">
        <w:rPr>
          <w:rFonts w:ascii="Arial" w:hAnsi="Arial" w:cs="Arial"/>
          <w:sz w:val="22"/>
          <w:szCs w:val="22"/>
          <w:shd w:val="clear" w:color="auto" w:fill="FFFFFF"/>
        </w:rPr>
        <w:t>Widiastuti</w:t>
      </w:r>
      <w:proofErr w:type="spellEnd"/>
      <w:r w:rsidRPr="00814733">
        <w:rPr>
          <w:rFonts w:ascii="Arial" w:hAnsi="Arial" w:cs="Arial"/>
          <w:sz w:val="22"/>
          <w:szCs w:val="22"/>
          <w:shd w:val="clear" w:color="auto" w:fill="FFFFFF"/>
        </w:rPr>
        <w:t xml:space="preserve">, H., Joy, B., &amp; </w:t>
      </w:r>
      <w:proofErr w:type="spellStart"/>
      <w:r w:rsidRPr="00814733">
        <w:rPr>
          <w:rFonts w:ascii="Arial" w:hAnsi="Arial" w:cs="Arial"/>
          <w:sz w:val="22"/>
          <w:szCs w:val="22"/>
          <w:shd w:val="clear" w:color="auto" w:fill="FFFFFF"/>
        </w:rPr>
        <w:t>Antralina</w:t>
      </w:r>
      <w:proofErr w:type="spellEnd"/>
      <w:r w:rsidRPr="00814733">
        <w:rPr>
          <w:rFonts w:ascii="Arial" w:hAnsi="Arial" w:cs="Arial"/>
          <w:sz w:val="22"/>
          <w:szCs w:val="22"/>
          <w:shd w:val="clear" w:color="auto" w:fill="FFFFFF"/>
        </w:rPr>
        <w:t xml:space="preserve">, M. (2015). Phosphate-solubilizing microbe from </w:t>
      </w:r>
      <w:proofErr w:type="spellStart"/>
      <w:r w:rsidRPr="00814733">
        <w:rPr>
          <w:rFonts w:ascii="Arial" w:hAnsi="Arial" w:cs="Arial"/>
          <w:sz w:val="22"/>
          <w:szCs w:val="22"/>
          <w:shd w:val="clear" w:color="auto" w:fill="FFFFFF"/>
        </w:rPr>
        <w:t>Saprists</w:t>
      </w:r>
      <w:proofErr w:type="spellEnd"/>
      <w:r w:rsidRPr="00814733">
        <w:rPr>
          <w:rFonts w:ascii="Arial" w:hAnsi="Arial" w:cs="Arial"/>
          <w:sz w:val="22"/>
          <w:szCs w:val="22"/>
          <w:shd w:val="clear" w:color="auto" w:fill="FFFFFF"/>
        </w:rPr>
        <w:t xml:space="preserve"> peat soil and their potency to enhance oil palm growth and P uptake. </w:t>
      </w:r>
      <w:r w:rsidRPr="00814733">
        <w:rPr>
          <w:rFonts w:ascii="Arial" w:hAnsi="Arial" w:cs="Arial"/>
          <w:i/>
          <w:iCs/>
          <w:sz w:val="22"/>
          <w:szCs w:val="22"/>
          <w:shd w:val="clear" w:color="auto" w:fill="FFFFFF"/>
        </w:rPr>
        <w:t>Procedia Food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w:t>
      </w:r>
      <w:r w:rsidRPr="00814733">
        <w:rPr>
          <w:rFonts w:ascii="Arial" w:hAnsi="Arial" w:cs="Arial"/>
          <w:sz w:val="22"/>
          <w:szCs w:val="22"/>
          <w:shd w:val="clear" w:color="auto" w:fill="FFFFFF"/>
        </w:rPr>
        <w:t>, 426-435.</w:t>
      </w:r>
    </w:p>
    <w:p w14:paraId="25B4935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Jiao, N., </w:t>
      </w:r>
      <w:proofErr w:type="spellStart"/>
      <w:r w:rsidRPr="00814733">
        <w:rPr>
          <w:rFonts w:ascii="Arial" w:hAnsi="Arial" w:cs="Arial"/>
          <w:sz w:val="22"/>
          <w:szCs w:val="22"/>
          <w:shd w:val="clear" w:color="auto" w:fill="FFFFFF"/>
        </w:rPr>
        <w:t>Herndl</w:t>
      </w:r>
      <w:proofErr w:type="spellEnd"/>
      <w:r w:rsidRPr="00814733">
        <w:rPr>
          <w:rFonts w:ascii="Arial" w:hAnsi="Arial" w:cs="Arial"/>
          <w:sz w:val="22"/>
          <w:szCs w:val="22"/>
          <w:shd w:val="clear" w:color="auto" w:fill="FFFFFF"/>
        </w:rPr>
        <w:t>, G. J., Hansell, D. A., Benner, R., Kattner, G., Wilhelm, S. W., ... &amp; Azam, F. (2010). Microbial production of recalcitrant dissolved organic matter: long-term carbon storage in the global ocean. </w:t>
      </w:r>
      <w:r w:rsidRPr="00814733">
        <w:rPr>
          <w:rFonts w:ascii="Arial" w:hAnsi="Arial" w:cs="Arial"/>
          <w:i/>
          <w:iCs/>
          <w:sz w:val="22"/>
          <w:szCs w:val="22"/>
          <w:shd w:val="clear" w:color="auto" w:fill="FFFFFF"/>
        </w:rPr>
        <w:t>Nature Reviews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w:t>
      </w:r>
      <w:r w:rsidRPr="00814733">
        <w:rPr>
          <w:rFonts w:ascii="Arial" w:hAnsi="Arial" w:cs="Arial"/>
          <w:sz w:val="22"/>
          <w:szCs w:val="22"/>
          <w:shd w:val="clear" w:color="auto" w:fill="FFFFFF"/>
        </w:rPr>
        <w:t>(8), 593-599.</w:t>
      </w:r>
    </w:p>
    <w:p w14:paraId="1B8464B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de-DE"/>
        </w:rPr>
        <w:t xml:space="preserve">Kang, J., Amoozegar, A., Hesterberg, D., &amp; Osmond, D. L. (2011). </w:t>
      </w:r>
      <w:r w:rsidRPr="00814733">
        <w:rPr>
          <w:rFonts w:ascii="Arial" w:hAnsi="Arial" w:cs="Arial"/>
          <w:sz w:val="22"/>
          <w:szCs w:val="22"/>
        </w:rPr>
        <w:t>Phosphorus leaching in a sandy soil as affected by organic and inorganic fertilizer sources. </w:t>
      </w:r>
      <w:proofErr w:type="spellStart"/>
      <w:r w:rsidRPr="00814733">
        <w:rPr>
          <w:rFonts w:ascii="Arial" w:hAnsi="Arial" w:cs="Arial"/>
          <w:i/>
          <w:iCs/>
          <w:sz w:val="22"/>
          <w:szCs w:val="22"/>
        </w:rPr>
        <w:t>Geoderma</w:t>
      </w:r>
      <w:proofErr w:type="spellEnd"/>
      <w:r w:rsidRPr="00814733">
        <w:rPr>
          <w:rFonts w:ascii="Arial" w:hAnsi="Arial" w:cs="Arial"/>
          <w:sz w:val="22"/>
          <w:szCs w:val="22"/>
        </w:rPr>
        <w:t>, </w:t>
      </w:r>
      <w:r w:rsidRPr="00814733">
        <w:rPr>
          <w:rFonts w:ascii="Arial" w:hAnsi="Arial" w:cs="Arial"/>
          <w:i/>
          <w:iCs/>
          <w:sz w:val="22"/>
          <w:szCs w:val="22"/>
        </w:rPr>
        <w:t>161</w:t>
      </w:r>
      <w:r w:rsidRPr="00814733">
        <w:rPr>
          <w:rFonts w:ascii="Arial" w:hAnsi="Arial" w:cs="Arial"/>
          <w:sz w:val="22"/>
          <w:szCs w:val="22"/>
        </w:rPr>
        <w:t>(3-4), 194-201.</w:t>
      </w:r>
    </w:p>
    <w:p w14:paraId="4118959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Kawalekar</w:t>
      </w:r>
      <w:proofErr w:type="spellEnd"/>
      <w:r w:rsidRPr="00814733">
        <w:rPr>
          <w:rFonts w:ascii="Arial" w:hAnsi="Arial" w:cs="Arial"/>
          <w:sz w:val="22"/>
          <w:szCs w:val="22"/>
          <w:shd w:val="clear" w:color="auto" w:fill="FFFFFF"/>
        </w:rPr>
        <w:t>, J. S. (2013). Role of biofertilizers and biopesticides for sustainable agriculture. </w:t>
      </w:r>
      <w:r w:rsidRPr="00814733">
        <w:rPr>
          <w:rFonts w:ascii="Arial" w:hAnsi="Arial" w:cs="Arial"/>
          <w:i/>
          <w:iCs/>
          <w:sz w:val="22"/>
          <w:szCs w:val="22"/>
          <w:shd w:val="clear" w:color="auto" w:fill="FFFFFF"/>
        </w:rPr>
        <w:t>J Bio Innov</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(3), 73-78.</w:t>
      </w:r>
    </w:p>
    <w:p w14:paraId="672FF59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Kertesz, M. A., &amp; </w:t>
      </w:r>
      <w:proofErr w:type="spellStart"/>
      <w:r w:rsidRPr="00814733">
        <w:rPr>
          <w:rFonts w:ascii="Arial" w:hAnsi="Arial" w:cs="Arial"/>
          <w:sz w:val="22"/>
          <w:szCs w:val="22"/>
          <w:shd w:val="clear" w:color="auto" w:fill="FFFFFF"/>
        </w:rPr>
        <w:t>Mirleau</w:t>
      </w:r>
      <w:proofErr w:type="spellEnd"/>
      <w:r w:rsidRPr="00814733">
        <w:rPr>
          <w:rFonts w:ascii="Arial" w:hAnsi="Arial" w:cs="Arial"/>
          <w:sz w:val="22"/>
          <w:szCs w:val="22"/>
          <w:shd w:val="clear" w:color="auto" w:fill="FFFFFF"/>
        </w:rPr>
        <w:t xml:space="preserve">, P. (2004). The role of soil microbes in plant </w:t>
      </w:r>
      <w:proofErr w:type="spellStart"/>
      <w:r w:rsidRPr="00814733">
        <w:rPr>
          <w:rFonts w:ascii="Arial" w:hAnsi="Arial" w:cs="Arial"/>
          <w:sz w:val="22"/>
          <w:szCs w:val="22"/>
          <w:shd w:val="clear" w:color="auto" w:fill="FFFFFF"/>
        </w:rPr>
        <w:t>sulphur</w:t>
      </w:r>
      <w:proofErr w:type="spellEnd"/>
      <w:r w:rsidRPr="00814733">
        <w:rPr>
          <w:rFonts w:ascii="Arial" w:hAnsi="Arial" w:cs="Arial"/>
          <w:sz w:val="22"/>
          <w:szCs w:val="22"/>
          <w:shd w:val="clear" w:color="auto" w:fill="FFFFFF"/>
        </w:rPr>
        <w:t xml:space="preserve"> nutrition. </w:t>
      </w:r>
      <w:r w:rsidRPr="00814733">
        <w:rPr>
          <w:rFonts w:ascii="Arial" w:hAnsi="Arial" w:cs="Arial"/>
          <w:i/>
          <w:iCs/>
          <w:sz w:val="22"/>
          <w:szCs w:val="22"/>
          <w:shd w:val="clear" w:color="auto" w:fill="FFFFFF"/>
        </w:rPr>
        <w:t>Journal of experimental botany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55</w:t>
      </w:r>
      <w:r w:rsidRPr="00814733">
        <w:rPr>
          <w:rFonts w:ascii="Arial" w:hAnsi="Arial" w:cs="Arial"/>
          <w:sz w:val="22"/>
          <w:szCs w:val="22"/>
          <w:shd w:val="clear" w:color="auto" w:fill="FFFFFF"/>
        </w:rPr>
        <w:t>(404), 1939-1945.</w:t>
      </w:r>
    </w:p>
    <w:p w14:paraId="35EE3225"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proofErr w:type="spellStart"/>
      <w:r w:rsidRPr="00814733">
        <w:rPr>
          <w:rFonts w:ascii="Arial" w:hAnsi="Arial" w:cs="Arial"/>
          <w:sz w:val="22"/>
          <w:szCs w:val="22"/>
        </w:rPr>
        <w:t>Khaziev</w:t>
      </w:r>
      <w:proofErr w:type="spellEnd"/>
      <w:r w:rsidRPr="00814733">
        <w:rPr>
          <w:rFonts w:ascii="Arial" w:hAnsi="Arial" w:cs="Arial"/>
          <w:sz w:val="22"/>
          <w:szCs w:val="22"/>
        </w:rPr>
        <w:t>, F. K. (2011). Soil and biodiversity. Russian Journal of Ecology, 42, 199-204.</w:t>
      </w:r>
    </w:p>
    <w:p w14:paraId="0E06926E"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Kiely, P. D., Haynes, J. M., Higgins, C. H., Franks, A., Mark, G. L., Morrissey, J. P., &amp; O'Gara, F. (2006). Exploiting new systems-based strategies to elucidate plant-bacterial interactions in the rhizosphere. </w:t>
      </w:r>
      <w:r w:rsidRPr="00814733">
        <w:rPr>
          <w:rFonts w:ascii="Arial" w:hAnsi="Arial" w:cs="Arial"/>
          <w:i/>
          <w:iCs/>
          <w:sz w:val="22"/>
          <w:szCs w:val="22"/>
          <w:shd w:val="clear" w:color="auto" w:fill="FFFFFF"/>
        </w:rPr>
        <w:t>Microbial ecology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51</w:t>
      </w:r>
      <w:r w:rsidRPr="00814733">
        <w:rPr>
          <w:rFonts w:ascii="Arial" w:hAnsi="Arial" w:cs="Arial"/>
          <w:sz w:val="22"/>
          <w:szCs w:val="22"/>
          <w:shd w:val="clear" w:color="auto" w:fill="FFFFFF"/>
        </w:rPr>
        <w:t>(3), 257-266.</w:t>
      </w:r>
    </w:p>
    <w:p w14:paraId="2D2C496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Kiers, E. T., Duhamel, M., Beesetty, Y., Mensah, J. A., Franken, O., Verbruggen, E., ... &amp; </w:t>
      </w:r>
      <w:proofErr w:type="spellStart"/>
      <w:r w:rsidRPr="00814733">
        <w:rPr>
          <w:rFonts w:ascii="Arial" w:hAnsi="Arial" w:cs="Arial"/>
          <w:sz w:val="22"/>
          <w:szCs w:val="22"/>
          <w:shd w:val="clear" w:color="auto" w:fill="FFFFFF"/>
        </w:rPr>
        <w:t>Bücking</w:t>
      </w:r>
      <w:proofErr w:type="spellEnd"/>
      <w:r w:rsidRPr="00814733">
        <w:rPr>
          <w:rFonts w:ascii="Arial" w:hAnsi="Arial" w:cs="Arial"/>
          <w:sz w:val="22"/>
          <w:szCs w:val="22"/>
          <w:shd w:val="clear" w:color="auto" w:fill="FFFFFF"/>
        </w:rPr>
        <w:t>, H. (2011). Reciprocal rewards stabilize cooperation in the mycorrhizal symbiosis.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333</w:t>
      </w:r>
      <w:r w:rsidRPr="00814733">
        <w:rPr>
          <w:rFonts w:ascii="Arial" w:hAnsi="Arial" w:cs="Arial"/>
          <w:sz w:val="22"/>
          <w:szCs w:val="22"/>
          <w:shd w:val="clear" w:color="auto" w:fill="FFFFFF"/>
        </w:rPr>
        <w:t>(6044), 880-882.</w:t>
      </w:r>
    </w:p>
    <w:p w14:paraId="170893D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Kleiber, T., Starzyk, J., Górski, R., Sobieralski, K., </w:t>
      </w:r>
      <w:proofErr w:type="spellStart"/>
      <w:r w:rsidRPr="00814733">
        <w:rPr>
          <w:rFonts w:ascii="Arial" w:hAnsi="Arial" w:cs="Arial"/>
          <w:sz w:val="22"/>
          <w:szCs w:val="22"/>
        </w:rPr>
        <w:t>Siwulski</w:t>
      </w:r>
      <w:proofErr w:type="spellEnd"/>
      <w:r w:rsidRPr="00814733">
        <w:rPr>
          <w:rFonts w:ascii="Arial" w:hAnsi="Arial" w:cs="Arial"/>
          <w:sz w:val="22"/>
          <w:szCs w:val="22"/>
        </w:rPr>
        <w:t xml:space="preserve">, M., </w:t>
      </w:r>
      <w:proofErr w:type="spellStart"/>
      <w:r w:rsidRPr="00814733">
        <w:rPr>
          <w:rFonts w:ascii="Arial" w:hAnsi="Arial" w:cs="Arial"/>
          <w:sz w:val="22"/>
          <w:szCs w:val="22"/>
        </w:rPr>
        <w:t>Rempulska</w:t>
      </w:r>
      <w:proofErr w:type="spellEnd"/>
      <w:r w:rsidRPr="00814733">
        <w:rPr>
          <w:rFonts w:ascii="Arial" w:hAnsi="Arial" w:cs="Arial"/>
          <w:sz w:val="22"/>
          <w:szCs w:val="22"/>
        </w:rPr>
        <w:t xml:space="preserve">, A., &amp; </w:t>
      </w:r>
      <w:proofErr w:type="spellStart"/>
      <w:r w:rsidRPr="00814733">
        <w:rPr>
          <w:rFonts w:ascii="Arial" w:hAnsi="Arial" w:cs="Arial"/>
          <w:sz w:val="22"/>
          <w:szCs w:val="22"/>
        </w:rPr>
        <w:t>Sobiak</w:t>
      </w:r>
      <w:proofErr w:type="spellEnd"/>
      <w:r w:rsidRPr="00814733">
        <w:rPr>
          <w:rFonts w:ascii="Arial" w:hAnsi="Arial" w:cs="Arial"/>
          <w:sz w:val="22"/>
          <w:szCs w:val="22"/>
        </w:rPr>
        <w:t xml:space="preserve">, A. (2014). The studies on applying of effective microorganisms (EM) and </w:t>
      </w:r>
      <w:r w:rsidRPr="00814733">
        <w:rPr>
          <w:rFonts w:ascii="Arial" w:hAnsi="Arial" w:cs="Arial"/>
          <w:sz w:val="22"/>
          <w:szCs w:val="22"/>
        </w:rPr>
        <w:lastRenderedPageBreak/>
        <w:t>CRF on nutrient contents in leaves and yielding of tomato. </w:t>
      </w:r>
      <w:proofErr w:type="spellStart"/>
      <w:r w:rsidRPr="00814733">
        <w:rPr>
          <w:rFonts w:ascii="Arial" w:hAnsi="Arial" w:cs="Arial"/>
          <w:i/>
          <w:iCs/>
          <w:sz w:val="22"/>
          <w:szCs w:val="22"/>
        </w:rPr>
        <w:t>Acta</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Scientiarum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Polonorum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Hortorum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Cultus</w:t>
      </w:r>
      <w:proofErr w:type="spellEnd"/>
      <w:r w:rsidRPr="00814733">
        <w:rPr>
          <w:rFonts w:ascii="Arial" w:hAnsi="Arial" w:cs="Arial"/>
          <w:sz w:val="22"/>
          <w:szCs w:val="22"/>
        </w:rPr>
        <w:t>, </w:t>
      </w:r>
      <w:r w:rsidRPr="00814733">
        <w:rPr>
          <w:rFonts w:ascii="Arial" w:hAnsi="Arial" w:cs="Arial"/>
          <w:i/>
          <w:iCs/>
          <w:sz w:val="22"/>
          <w:szCs w:val="22"/>
        </w:rPr>
        <w:t>13</w:t>
      </w:r>
      <w:r w:rsidRPr="00814733">
        <w:rPr>
          <w:rFonts w:ascii="Arial" w:hAnsi="Arial" w:cs="Arial"/>
          <w:sz w:val="22"/>
          <w:szCs w:val="22"/>
        </w:rPr>
        <w:t>(1), 79-90.</w:t>
      </w:r>
    </w:p>
    <w:p w14:paraId="3F1B708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Kuypers, M. M., Marchant, H. K., &amp; Kartal, B. (2018). The microbial nitrogen-cycling network. </w:t>
      </w:r>
      <w:r w:rsidRPr="00814733">
        <w:rPr>
          <w:rFonts w:ascii="Arial" w:hAnsi="Arial" w:cs="Arial"/>
          <w:i/>
          <w:iCs/>
          <w:sz w:val="22"/>
          <w:szCs w:val="22"/>
          <w:shd w:val="clear" w:color="auto" w:fill="FFFFFF"/>
        </w:rPr>
        <w:t>Nature Reviews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w:t>
      </w:r>
      <w:r w:rsidRPr="00814733">
        <w:rPr>
          <w:rFonts w:ascii="Arial" w:hAnsi="Arial" w:cs="Arial"/>
          <w:sz w:val="22"/>
          <w:szCs w:val="22"/>
          <w:shd w:val="clear" w:color="auto" w:fill="FFFFFF"/>
        </w:rPr>
        <w:t>(5), 263-276.</w:t>
      </w:r>
    </w:p>
    <w:p w14:paraId="1AB895F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Lehmann, J., </w:t>
      </w:r>
      <w:proofErr w:type="spellStart"/>
      <w:r w:rsidRPr="00814733">
        <w:rPr>
          <w:rFonts w:ascii="Arial" w:hAnsi="Arial" w:cs="Arial"/>
          <w:sz w:val="22"/>
          <w:szCs w:val="22"/>
          <w:shd w:val="clear" w:color="auto" w:fill="FFFFFF"/>
        </w:rPr>
        <w:t>Rillig</w:t>
      </w:r>
      <w:proofErr w:type="spellEnd"/>
      <w:r w:rsidRPr="00814733">
        <w:rPr>
          <w:rFonts w:ascii="Arial" w:hAnsi="Arial" w:cs="Arial"/>
          <w:sz w:val="22"/>
          <w:szCs w:val="22"/>
          <w:shd w:val="clear" w:color="auto" w:fill="FFFFFF"/>
        </w:rPr>
        <w:t>, M. C., Thies, J., Masiello, C. A., Hockaday, W. C., &amp; Crowley, D. (2011). Biochar effects on soil biota–a review. </w:t>
      </w:r>
      <w:r w:rsidRPr="00814733">
        <w:rPr>
          <w:rFonts w:ascii="Arial" w:hAnsi="Arial" w:cs="Arial"/>
          <w:i/>
          <w:iCs/>
          <w:sz w:val="22"/>
          <w:szCs w:val="22"/>
          <w:shd w:val="clear" w:color="auto" w:fill="FFFFFF"/>
        </w:rPr>
        <w:t>Soil biology and biochemistry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43</w:t>
      </w:r>
      <w:r w:rsidRPr="00814733">
        <w:rPr>
          <w:rFonts w:ascii="Arial" w:hAnsi="Arial" w:cs="Arial"/>
          <w:sz w:val="22"/>
          <w:szCs w:val="22"/>
          <w:shd w:val="clear" w:color="auto" w:fill="FFFFFF"/>
        </w:rPr>
        <w:t>(9), 1812-1836.</w:t>
      </w:r>
    </w:p>
    <w:p w14:paraId="365E74BB"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lang w:val="it-IT"/>
        </w:rPr>
        <w:t xml:space="preserve">Li, Y., Lin, Q., Wang, S., Li, X., Liu, W., Luo, C., &amp; Li, X. (2016). </w:t>
      </w:r>
      <w:r w:rsidRPr="00814733">
        <w:rPr>
          <w:rFonts w:ascii="Arial" w:hAnsi="Arial" w:cs="Arial"/>
          <w:sz w:val="22"/>
          <w:szCs w:val="22"/>
        </w:rPr>
        <w:t>Soil bacterial community responses to warming and grazing in a Tibetan alpine meadow. FEMS Microbiology Ecology, 92(1), fiv152.</w:t>
      </w:r>
    </w:p>
    <w:p w14:paraId="60B10CC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Lindström, K., Murwira, M., Willems, A., &amp; Altier, N. (2010). The biodiversity of beneficial microbe-host mutualism: the case of rhizobia. </w:t>
      </w:r>
      <w:r w:rsidRPr="00814733">
        <w:rPr>
          <w:rFonts w:ascii="Arial" w:hAnsi="Arial" w:cs="Arial"/>
          <w:i/>
          <w:iCs/>
          <w:sz w:val="22"/>
          <w:szCs w:val="22"/>
          <w:shd w:val="clear" w:color="auto" w:fill="FFFFFF"/>
        </w:rPr>
        <w:t>Research in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161</w:t>
      </w:r>
      <w:r w:rsidRPr="00814733">
        <w:rPr>
          <w:rFonts w:ascii="Arial" w:hAnsi="Arial" w:cs="Arial"/>
          <w:sz w:val="22"/>
          <w:szCs w:val="22"/>
          <w:shd w:val="clear" w:color="auto" w:fill="FFFFFF"/>
        </w:rPr>
        <w:t>(6), 453-463.</w:t>
      </w:r>
    </w:p>
    <w:p w14:paraId="0343851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Luginbuehl</w:t>
      </w:r>
      <w:proofErr w:type="spellEnd"/>
      <w:r w:rsidRPr="00814733">
        <w:rPr>
          <w:rFonts w:ascii="Arial" w:hAnsi="Arial" w:cs="Arial"/>
          <w:sz w:val="22"/>
          <w:szCs w:val="22"/>
          <w:shd w:val="clear" w:color="auto" w:fill="FFFFFF"/>
        </w:rPr>
        <w:t>, L. H., Menard, G. N., Kurup, S., Van Erp, H., Radhakrishnan, G. V., Breakspear, A., ... &amp; Eastmond, P. J. (2017). Fatty acids in arbuscular mycorrhizal fungi are synthesized by the host plant.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356</w:t>
      </w:r>
      <w:r w:rsidRPr="00814733">
        <w:rPr>
          <w:rFonts w:ascii="Arial" w:hAnsi="Arial" w:cs="Arial"/>
          <w:sz w:val="22"/>
          <w:szCs w:val="22"/>
          <w:shd w:val="clear" w:color="auto" w:fill="FFFFFF"/>
        </w:rPr>
        <w:t>(6343), 1175-1178.</w:t>
      </w:r>
    </w:p>
    <w:p w14:paraId="5055543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Mäder</w:t>
      </w:r>
      <w:proofErr w:type="spellEnd"/>
      <w:r w:rsidRPr="00814733">
        <w:rPr>
          <w:rFonts w:ascii="Arial" w:hAnsi="Arial" w:cs="Arial"/>
          <w:sz w:val="22"/>
          <w:szCs w:val="22"/>
          <w:shd w:val="clear" w:color="auto" w:fill="FFFFFF"/>
        </w:rPr>
        <w:t xml:space="preserve">, P., </w:t>
      </w:r>
      <w:proofErr w:type="spellStart"/>
      <w:r w:rsidRPr="00814733">
        <w:rPr>
          <w:rFonts w:ascii="Arial" w:hAnsi="Arial" w:cs="Arial"/>
          <w:sz w:val="22"/>
          <w:szCs w:val="22"/>
          <w:shd w:val="clear" w:color="auto" w:fill="FFFFFF"/>
        </w:rPr>
        <w:t>Fließbach</w:t>
      </w:r>
      <w:proofErr w:type="spellEnd"/>
      <w:r w:rsidRPr="00814733">
        <w:rPr>
          <w:rFonts w:ascii="Arial" w:hAnsi="Arial" w:cs="Arial"/>
          <w:sz w:val="22"/>
          <w:szCs w:val="22"/>
          <w:shd w:val="clear" w:color="auto" w:fill="FFFFFF"/>
        </w:rPr>
        <w:t xml:space="preserve">, A., &amp; Oberholzer, H. R. (2001). </w:t>
      </w:r>
      <w:proofErr w:type="spellStart"/>
      <w:r w:rsidRPr="00814733">
        <w:rPr>
          <w:rFonts w:ascii="Arial" w:hAnsi="Arial" w:cs="Arial"/>
          <w:sz w:val="22"/>
          <w:szCs w:val="22"/>
          <w:shd w:val="clear" w:color="auto" w:fill="FFFFFF"/>
        </w:rPr>
        <w:t>Bodenfruchtbarkeit</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bei</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intergrierter</w:t>
      </w:r>
      <w:proofErr w:type="spellEnd"/>
      <w:r w:rsidRPr="00814733">
        <w:rPr>
          <w:rFonts w:ascii="Arial" w:hAnsi="Arial" w:cs="Arial"/>
          <w:sz w:val="22"/>
          <w:szCs w:val="22"/>
          <w:shd w:val="clear" w:color="auto" w:fill="FFFFFF"/>
        </w:rPr>
        <w:t xml:space="preserve"> und </w:t>
      </w:r>
      <w:proofErr w:type="spellStart"/>
      <w:r w:rsidRPr="00814733">
        <w:rPr>
          <w:rFonts w:ascii="Arial" w:hAnsi="Arial" w:cs="Arial"/>
          <w:sz w:val="22"/>
          <w:szCs w:val="22"/>
          <w:shd w:val="clear" w:color="auto" w:fill="FFFFFF"/>
        </w:rPr>
        <w:t>biologischer</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Bewirtschaftung</w:t>
      </w:r>
      <w:proofErr w:type="spellEnd"/>
      <w:r w:rsidRPr="00814733">
        <w:rPr>
          <w:rFonts w:ascii="Arial" w:hAnsi="Arial" w:cs="Arial"/>
          <w:sz w:val="22"/>
          <w:szCs w:val="22"/>
          <w:shd w:val="clear" w:color="auto" w:fill="FFFFFF"/>
        </w:rPr>
        <w:t>. </w:t>
      </w:r>
      <w:proofErr w:type="spellStart"/>
      <w:r w:rsidRPr="00814733">
        <w:rPr>
          <w:rFonts w:ascii="Arial" w:hAnsi="Arial" w:cs="Arial"/>
          <w:i/>
          <w:iCs/>
          <w:sz w:val="22"/>
          <w:szCs w:val="22"/>
          <w:shd w:val="clear" w:color="auto" w:fill="FFFFFF"/>
        </w:rPr>
        <w:t>Eidgenössische</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Forschungsanstalt</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für</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Agrarökologie</w:t>
      </w:r>
      <w:proofErr w:type="spellEnd"/>
      <w:r w:rsidRPr="00814733">
        <w:rPr>
          <w:rFonts w:ascii="Arial" w:hAnsi="Arial" w:cs="Arial"/>
          <w:i/>
          <w:iCs/>
          <w:sz w:val="22"/>
          <w:szCs w:val="22"/>
          <w:shd w:val="clear" w:color="auto" w:fill="FFFFFF"/>
        </w:rPr>
        <w:t xml:space="preserve"> und </w:t>
      </w:r>
      <w:proofErr w:type="spellStart"/>
      <w:r w:rsidRPr="00814733">
        <w:rPr>
          <w:rFonts w:ascii="Arial" w:hAnsi="Arial" w:cs="Arial"/>
          <w:i/>
          <w:iCs/>
          <w:sz w:val="22"/>
          <w:szCs w:val="22"/>
          <w:shd w:val="clear" w:color="auto" w:fill="FFFFFF"/>
        </w:rPr>
        <w:t>Landbau</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Ertragsund</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Umweltleistungen</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integrierter</w:t>
      </w:r>
      <w:proofErr w:type="spellEnd"/>
      <w:r w:rsidRPr="00814733">
        <w:rPr>
          <w:rFonts w:ascii="Arial" w:hAnsi="Arial" w:cs="Arial"/>
          <w:i/>
          <w:iCs/>
          <w:sz w:val="22"/>
          <w:szCs w:val="22"/>
          <w:shd w:val="clear" w:color="auto" w:fill="FFFFFF"/>
        </w:rPr>
        <w:t xml:space="preserve"> und </w:t>
      </w:r>
      <w:proofErr w:type="spellStart"/>
      <w:r w:rsidRPr="00814733">
        <w:rPr>
          <w:rFonts w:ascii="Arial" w:hAnsi="Arial" w:cs="Arial"/>
          <w:i/>
          <w:iCs/>
          <w:sz w:val="22"/>
          <w:szCs w:val="22"/>
          <w:shd w:val="clear" w:color="auto" w:fill="FFFFFF"/>
        </w:rPr>
        <w:t>biologischer</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Anbausysteme</w:t>
      </w:r>
      <w:proofErr w:type="spellEnd"/>
      <w:r w:rsidRPr="00814733">
        <w:rPr>
          <w:rFonts w:ascii="Arial" w:hAnsi="Arial" w:cs="Arial"/>
          <w:i/>
          <w:iCs/>
          <w:sz w:val="22"/>
          <w:szCs w:val="22"/>
          <w:shd w:val="clear" w:color="auto" w:fill="FFFFFF"/>
        </w:rPr>
        <w:t xml:space="preserve"> des </w:t>
      </w:r>
      <w:proofErr w:type="spellStart"/>
      <w:r w:rsidRPr="00814733">
        <w:rPr>
          <w:rFonts w:ascii="Arial" w:hAnsi="Arial" w:cs="Arial"/>
          <w:i/>
          <w:iCs/>
          <w:sz w:val="22"/>
          <w:szCs w:val="22"/>
          <w:shd w:val="clear" w:color="auto" w:fill="FFFFFF"/>
        </w:rPr>
        <w:t>Ackerbaus</w:t>
      </w:r>
      <w:proofErr w:type="spellEnd"/>
      <w:r w:rsidRPr="00814733">
        <w:rPr>
          <w:rFonts w:ascii="Arial" w:hAnsi="Arial" w:cs="Arial"/>
          <w:i/>
          <w:iCs/>
          <w:sz w:val="22"/>
          <w:szCs w:val="22"/>
          <w:shd w:val="clear" w:color="auto" w:fill="FFFFFF"/>
        </w:rPr>
        <w:t>. Zürich-</w:t>
      </w:r>
      <w:proofErr w:type="spellStart"/>
      <w:r w:rsidRPr="00814733">
        <w:rPr>
          <w:rFonts w:ascii="Arial" w:hAnsi="Arial" w:cs="Arial"/>
          <w:i/>
          <w:iCs/>
          <w:sz w:val="22"/>
          <w:szCs w:val="22"/>
          <w:shd w:val="clear" w:color="auto" w:fill="FFFFFF"/>
        </w:rPr>
        <w:t>Reckenholz</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Schriftenreihe</w:t>
      </w:r>
      <w:proofErr w:type="spellEnd"/>
      <w:r w:rsidRPr="00814733">
        <w:rPr>
          <w:rFonts w:ascii="Arial" w:hAnsi="Arial" w:cs="Arial"/>
          <w:i/>
          <w:iCs/>
          <w:sz w:val="22"/>
          <w:szCs w:val="22"/>
          <w:shd w:val="clear" w:color="auto" w:fill="FFFFFF"/>
        </w:rPr>
        <w:t xml:space="preserve"> der FAL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36</w:t>
      </w:r>
      <w:r w:rsidRPr="00814733">
        <w:rPr>
          <w:rFonts w:ascii="Arial" w:hAnsi="Arial" w:cs="Arial"/>
          <w:sz w:val="22"/>
          <w:szCs w:val="22"/>
          <w:shd w:val="clear" w:color="auto" w:fill="FFFFFF"/>
        </w:rPr>
        <w:t>, 21-23.</w:t>
      </w:r>
    </w:p>
    <w:p w14:paraId="748C96CC"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Masciarelli, O., Llanes, A., &amp; Luna, V. (2014). A new PGPR co-inoculated with </w:t>
      </w:r>
      <w:proofErr w:type="spellStart"/>
      <w:r w:rsidRPr="00814733">
        <w:rPr>
          <w:rFonts w:ascii="Arial" w:hAnsi="Arial" w:cs="Arial"/>
          <w:sz w:val="22"/>
          <w:szCs w:val="22"/>
          <w:shd w:val="clear" w:color="auto" w:fill="FFFFFF"/>
        </w:rPr>
        <w:t>Bradyrhizobium</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japonicum</w:t>
      </w:r>
      <w:proofErr w:type="spellEnd"/>
      <w:r w:rsidRPr="00814733">
        <w:rPr>
          <w:rFonts w:ascii="Arial" w:hAnsi="Arial" w:cs="Arial"/>
          <w:sz w:val="22"/>
          <w:szCs w:val="22"/>
          <w:shd w:val="clear" w:color="auto" w:fill="FFFFFF"/>
        </w:rPr>
        <w:t xml:space="preserve"> enhances soybean nodulation.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169</w:t>
      </w:r>
      <w:r w:rsidRPr="00814733">
        <w:rPr>
          <w:rFonts w:ascii="Arial" w:hAnsi="Arial" w:cs="Arial"/>
          <w:sz w:val="22"/>
          <w:szCs w:val="22"/>
          <w:shd w:val="clear" w:color="auto" w:fill="FFFFFF"/>
        </w:rPr>
        <w:t>(7-8), 609-615.</w:t>
      </w:r>
    </w:p>
    <w:p w14:paraId="508218A1"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Meena, R. K., Singh, R. K., Singh, N. P., Meena, S. K., &amp; Meena, V. S. (2015). Isolation of low temperature surviving plant growth–promoting rhizobacteria (PGPR) from pea (Pisum sativum L.) and documentation of their plant growth promoting traits. </w:t>
      </w:r>
      <w:r w:rsidRPr="00814733">
        <w:rPr>
          <w:rFonts w:ascii="Arial" w:hAnsi="Arial" w:cs="Arial"/>
          <w:i/>
          <w:iCs/>
          <w:sz w:val="22"/>
          <w:szCs w:val="22"/>
          <w:shd w:val="clear" w:color="auto" w:fill="FFFFFF"/>
        </w:rPr>
        <w:t>Biocatalysis and agricultural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w:t>
      </w:r>
      <w:r w:rsidRPr="00814733">
        <w:rPr>
          <w:rFonts w:ascii="Arial" w:hAnsi="Arial" w:cs="Arial"/>
          <w:sz w:val="22"/>
          <w:szCs w:val="22"/>
          <w:shd w:val="clear" w:color="auto" w:fill="FFFFFF"/>
        </w:rPr>
        <w:t>(4), 806-811.</w:t>
      </w:r>
    </w:p>
    <w:p w14:paraId="29F7B088"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 xml:space="preserve">Mendes, R., </w:t>
      </w:r>
      <w:proofErr w:type="spellStart"/>
      <w:r w:rsidRPr="00814733">
        <w:rPr>
          <w:rFonts w:ascii="Arial" w:hAnsi="Arial" w:cs="Arial"/>
          <w:sz w:val="22"/>
          <w:szCs w:val="22"/>
          <w:shd w:val="clear" w:color="auto" w:fill="FFFFFF"/>
        </w:rPr>
        <w:t>Garbeva</w:t>
      </w:r>
      <w:proofErr w:type="spellEnd"/>
      <w:r w:rsidRPr="00814733">
        <w:rPr>
          <w:rFonts w:ascii="Arial" w:hAnsi="Arial" w:cs="Arial"/>
          <w:sz w:val="22"/>
          <w:szCs w:val="22"/>
          <w:shd w:val="clear" w:color="auto" w:fill="FFFFFF"/>
        </w:rPr>
        <w:t>, P., &amp; Raaijmakers, J. M. (2013). The rhizosphere microbiome: significance of plant beneficial, plant pathogenic, and human pathogenic microorganisms. </w:t>
      </w:r>
      <w:r w:rsidRPr="00814733">
        <w:rPr>
          <w:rFonts w:ascii="Arial" w:hAnsi="Arial" w:cs="Arial"/>
          <w:i/>
          <w:iCs/>
          <w:sz w:val="22"/>
          <w:szCs w:val="22"/>
          <w:shd w:val="clear" w:color="auto" w:fill="FFFFFF"/>
        </w:rPr>
        <w:t>FEMS microbiology reviews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37</w:t>
      </w:r>
      <w:r w:rsidRPr="00814733">
        <w:rPr>
          <w:rFonts w:ascii="Arial" w:hAnsi="Arial" w:cs="Arial"/>
          <w:sz w:val="22"/>
          <w:szCs w:val="22"/>
          <w:shd w:val="clear" w:color="auto" w:fill="FFFFFF"/>
        </w:rPr>
        <w:t>(5), 634-663.</w:t>
      </w:r>
    </w:p>
    <w:p w14:paraId="1E3C154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Miransari</w:t>
      </w:r>
      <w:proofErr w:type="spellEnd"/>
      <w:r w:rsidRPr="00814733">
        <w:rPr>
          <w:rFonts w:ascii="Arial" w:hAnsi="Arial" w:cs="Arial"/>
          <w:sz w:val="22"/>
          <w:szCs w:val="22"/>
          <w:shd w:val="clear" w:color="auto" w:fill="FFFFFF"/>
        </w:rPr>
        <w:t>, M., &amp; Mackenzie, A. F. (2011). Development of a soil N test for fertilizer requirements for wheat. </w:t>
      </w:r>
      <w:r w:rsidRPr="00814733">
        <w:rPr>
          <w:rFonts w:ascii="Arial" w:hAnsi="Arial" w:cs="Arial"/>
          <w:i/>
          <w:iCs/>
          <w:sz w:val="22"/>
          <w:szCs w:val="22"/>
          <w:shd w:val="clear" w:color="auto" w:fill="FFFFFF"/>
        </w:rPr>
        <w:t>Journal of plant nutrition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34</w:t>
      </w:r>
      <w:r w:rsidRPr="00814733">
        <w:rPr>
          <w:rFonts w:ascii="Arial" w:hAnsi="Arial" w:cs="Arial"/>
          <w:sz w:val="22"/>
          <w:szCs w:val="22"/>
          <w:shd w:val="clear" w:color="auto" w:fill="FFFFFF"/>
        </w:rPr>
        <w:t>(5), 762-777.</w:t>
      </w:r>
    </w:p>
    <w:p w14:paraId="0209A77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Mishra, P., &amp; Dash, D. (2014). Rejuvenation of biofertilizer for sustainable agriculture and economic development. </w:t>
      </w:r>
      <w:r w:rsidRPr="00814733">
        <w:rPr>
          <w:rFonts w:ascii="Arial" w:hAnsi="Arial" w:cs="Arial"/>
          <w:i/>
          <w:iCs/>
          <w:sz w:val="22"/>
          <w:szCs w:val="22"/>
          <w:shd w:val="clear" w:color="auto" w:fill="FFFFFF"/>
        </w:rPr>
        <w:t>Consilience</w:t>
      </w:r>
      <w:r w:rsidRPr="00814733">
        <w:rPr>
          <w:rFonts w:ascii="Arial" w:hAnsi="Arial" w:cs="Arial"/>
          <w:sz w:val="22"/>
          <w:szCs w:val="22"/>
          <w:shd w:val="clear" w:color="auto" w:fill="FFFFFF"/>
        </w:rPr>
        <w:t>, (11), 41-61.</w:t>
      </w:r>
    </w:p>
    <w:p w14:paraId="4769D26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lang w:bidi="bn-IN"/>
        </w:rPr>
      </w:pPr>
      <w:r w:rsidRPr="00814733">
        <w:rPr>
          <w:rFonts w:ascii="Arial" w:hAnsi="Arial" w:cs="Arial"/>
          <w:sz w:val="22"/>
          <w:szCs w:val="22"/>
          <w:shd w:val="clear" w:color="auto" w:fill="FFFFFF"/>
        </w:rPr>
        <w:t xml:space="preserve">Mittal, N., Saxena, G., &amp; Mukerji, K. G. (1995). Integrated control of root-knot disease in three crop plants using chitin and </w:t>
      </w:r>
      <w:proofErr w:type="spellStart"/>
      <w:r w:rsidRPr="00814733">
        <w:rPr>
          <w:rFonts w:ascii="Arial" w:hAnsi="Arial" w:cs="Arial"/>
          <w:sz w:val="22"/>
          <w:szCs w:val="22"/>
          <w:shd w:val="clear" w:color="auto" w:fill="FFFFFF"/>
        </w:rPr>
        <w:t>Paecilomyces</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lilacinus</w:t>
      </w:r>
      <w:proofErr w:type="spellEnd"/>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Crop Protection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14</w:t>
      </w:r>
      <w:r w:rsidRPr="00814733">
        <w:rPr>
          <w:rFonts w:ascii="Arial" w:hAnsi="Arial" w:cs="Arial"/>
          <w:sz w:val="22"/>
          <w:szCs w:val="22"/>
          <w:shd w:val="clear" w:color="auto" w:fill="FFFFFF"/>
        </w:rPr>
        <w:t>(8), 647-651.</w:t>
      </w:r>
    </w:p>
    <w:p w14:paraId="41B8806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Mus, F., Crook, M. B., Garcia, K., Garcia Costas, A., Geddes, B. A., Kouri, E. D., ... &amp; Peters, J. W. (2016). Symbiotic nitrogen fixation and the challenges to its extension to nonlegumes. </w:t>
      </w:r>
      <w:r w:rsidRPr="00814733">
        <w:rPr>
          <w:rFonts w:ascii="Arial" w:hAnsi="Arial" w:cs="Arial"/>
          <w:i/>
          <w:iCs/>
          <w:sz w:val="22"/>
          <w:szCs w:val="22"/>
          <w:shd w:val="clear" w:color="auto" w:fill="FFFFFF"/>
        </w:rPr>
        <w:t>Applied and 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82</w:t>
      </w:r>
      <w:r w:rsidRPr="00814733">
        <w:rPr>
          <w:rFonts w:ascii="Arial" w:hAnsi="Arial" w:cs="Arial"/>
          <w:sz w:val="22"/>
          <w:szCs w:val="22"/>
          <w:shd w:val="clear" w:color="auto" w:fill="FFFFFF"/>
        </w:rPr>
        <w:t>(13), 3698-3710.</w:t>
      </w:r>
    </w:p>
    <w:p w14:paraId="5E238E04"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rPr>
        <w:lastRenderedPageBreak/>
        <w:t>Nahar U.A., Rim A.A., Khan, M.K. (2020). S</w:t>
      </w:r>
      <w:r w:rsidRPr="00814733">
        <w:rPr>
          <w:rFonts w:ascii="Arial" w:hAnsi="Arial" w:cs="Arial"/>
          <w:sz w:val="22"/>
          <w:szCs w:val="22"/>
          <w:highlight w:val="white"/>
          <w:lang w:bidi="bn-IN"/>
        </w:rPr>
        <w:t>oil microbial status of some AEZs in Bangladesh</w:t>
      </w:r>
      <w:r w:rsidRPr="00814733">
        <w:rPr>
          <w:rFonts w:ascii="Arial" w:hAnsi="Arial" w:cs="Arial"/>
          <w:sz w:val="22"/>
          <w:szCs w:val="22"/>
          <w:lang w:bidi="bn-IN"/>
        </w:rPr>
        <w:t>. World Soil Day Souvenir, FAO, Bangladesh, 2020.</w:t>
      </w:r>
    </w:p>
    <w:p w14:paraId="150C270B"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Naseem, H., &amp; Bano, A. (2014). Role of plant growth-promoting rhizobacteria and their exopolysaccharide in drought tolerance of maize. </w:t>
      </w:r>
      <w:r w:rsidRPr="00814733">
        <w:rPr>
          <w:rFonts w:ascii="Arial" w:hAnsi="Arial" w:cs="Arial"/>
          <w:i/>
          <w:iCs/>
          <w:sz w:val="22"/>
          <w:szCs w:val="22"/>
          <w:shd w:val="clear" w:color="auto" w:fill="FFFFFF"/>
        </w:rPr>
        <w:t>Journal of Plant Interactions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9</w:t>
      </w:r>
      <w:r w:rsidRPr="00814733">
        <w:rPr>
          <w:rFonts w:ascii="Arial" w:hAnsi="Arial" w:cs="Arial"/>
          <w:sz w:val="22"/>
          <w:szCs w:val="22"/>
          <w:shd w:val="clear" w:color="auto" w:fill="FFFFFF"/>
        </w:rPr>
        <w:t>(1), 689-701.</w:t>
      </w:r>
    </w:p>
    <w:p w14:paraId="0E42809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Oleńska, E., Małek, W., Wójcik, M., Swiecicka, I., Thijs, S., &amp; </w:t>
      </w:r>
      <w:proofErr w:type="spellStart"/>
      <w:r w:rsidRPr="00814733">
        <w:rPr>
          <w:rFonts w:ascii="Arial" w:hAnsi="Arial" w:cs="Arial"/>
          <w:sz w:val="22"/>
          <w:szCs w:val="22"/>
          <w:shd w:val="clear" w:color="auto" w:fill="FFFFFF"/>
        </w:rPr>
        <w:t>Vangronsveld</w:t>
      </w:r>
      <w:proofErr w:type="spellEnd"/>
      <w:r w:rsidRPr="00814733">
        <w:rPr>
          <w:rFonts w:ascii="Arial" w:hAnsi="Arial" w:cs="Arial"/>
          <w:sz w:val="22"/>
          <w:szCs w:val="22"/>
          <w:shd w:val="clear" w:color="auto" w:fill="FFFFFF"/>
        </w:rPr>
        <w:t>, J. (2020). Beneficial features of plant growth-promoting rhizobacteria for improving plant growth and health in challenging conditions: A methodical review. </w:t>
      </w:r>
      <w:r w:rsidRPr="00814733">
        <w:rPr>
          <w:rFonts w:ascii="Arial" w:hAnsi="Arial" w:cs="Arial"/>
          <w:i/>
          <w:iCs/>
          <w:sz w:val="22"/>
          <w:szCs w:val="22"/>
          <w:shd w:val="clear" w:color="auto" w:fill="FFFFFF"/>
        </w:rPr>
        <w:t>Science of the Total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743</w:t>
      </w:r>
      <w:r w:rsidRPr="00814733">
        <w:rPr>
          <w:rFonts w:ascii="Arial" w:hAnsi="Arial" w:cs="Arial"/>
          <w:sz w:val="22"/>
          <w:szCs w:val="22"/>
          <w:shd w:val="clear" w:color="auto" w:fill="FFFFFF"/>
        </w:rPr>
        <w:t>, 140682.</w:t>
      </w:r>
    </w:p>
    <w:p w14:paraId="284B6E5B"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proofErr w:type="spellStart"/>
      <w:r w:rsidRPr="00814733">
        <w:rPr>
          <w:rFonts w:ascii="Arial" w:hAnsi="Arial" w:cs="Arial"/>
          <w:sz w:val="22"/>
          <w:szCs w:val="22"/>
          <w:shd w:val="clear" w:color="auto" w:fill="FFFFFF"/>
        </w:rPr>
        <w:t>Oyekanmi</w:t>
      </w:r>
      <w:proofErr w:type="spellEnd"/>
      <w:r w:rsidRPr="00814733">
        <w:rPr>
          <w:rFonts w:ascii="Arial" w:hAnsi="Arial" w:cs="Arial"/>
          <w:sz w:val="22"/>
          <w:szCs w:val="22"/>
          <w:shd w:val="clear" w:color="auto" w:fill="FFFFFF"/>
        </w:rPr>
        <w:t xml:space="preserve">, E. O., Coyne, D. L., </w:t>
      </w:r>
      <w:proofErr w:type="spellStart"/>
      <w:r w:rsidRPr="00814733">
        <w:rPr>
          <w:rFonts w:ascii="Arial" w:hAnsi="Arial" w:cs="Arial"/>
          <w:sz w:val="22"/>
          <w:szCs w:val="22"/>
          <w:shd w:val="clear" w:color="auto" w:fill="FFFFFF"/>
        </w:rPr>
        <w:t>Fagade</w:t>
      </w:r>
      <w:proofErr w:type="spellEnd"/>
      <w:r w:rsidRPr="00814733">
        <w:rPr>
          <w:rFonts w:ascii="Arial" w:hAnsi="Arial" w:cs="Arial"/>
          <w:sz w:val="22"/>
          <w:szCs w:val="22"/>
          <w:shd w:val="clear" w:color="auto" w:fill="FFFFFF"/>
        </w:rPr>
        <w:t xml:space="preserve">, O. E., &amp; </w:t>
      </w:r>
      <w:proofErr w:type="spellStart"/>
      <w:r w:rsidRPr="00814733">
        <w:rPr>
          <w:rFonts w:ascii="Arial" w:hAnsi="Arial" w:cs="Arial"/>
          <w:sz w:val="22"/>
          <w:szCs w:val="22"/>
          <w:shd w:val="clear" w:color="auto" w:fill="FFFFFF"/>
        </w:rPr>
        <w:t>Osonubi</w:t>
      </w:r>
      <w:proofErr w:type="spellEnd"/>
      <w:r w:rsidRPr="00814733">
        <w:rPr>
          <w:rFonts w:ascii="Arial" w:hAnsi="Arial" w:cs="Arial"/>
          <w:sz w:val="22"/>
          <w:szCs w:val="22"/>
          <w:shd w:val="clear" w:color="auto" w:fill="FFFFFF"/>
        </w:rPr>
        <w:t xml:space="preserve">, O. (2007). Improving root-knot nematode management on two soybean genotypes through the application of </w:t>
      </w:r>
      <w:proofErr w:type="spellStart"/>
      <w:r w:rsidRPr="00814733">
        <w:rPr>
          <w:rFonts w:ascii="Arial" w:hAnsi="Arial" w:cs="Arial"/>
          <w:sz w:val="22"/>
          <w:szCs w:val="22"/>
          <w:shd w:val="clear" w:color="auto" w:fill="FFFFFF"/>
        </w:rPr>
        <w:t>Bradyrhizobium</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japonicum</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Trichoderma</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pseudokoningii</w:t>
      </w:r>
      <w:proofErr w:type="spellEnd"/>
      <w:r w:rsidRPr="00814733">
        <w:rPr>
          <w:rFonts w:ascii="Arial" w:hAnsi="Arial" w:cs="Arial"/>
          <w:sz w:val="22"/>
          <w:szCs w:val="22"/>
          <w:shd w:val="clear" w:color="auto" w:fill="FFFFFF"/>
        </w:rPr>
        <w:t xml:space="preserve"> and </w:t>
      </w:r>
      <w:proofErr w:type="spellStart"/>
      <w:r w:rsidRPr="00814733">
        <w:rPr>
          <w:rFonts w:ascii="Arial" w:hAnsi="Arial" w:cs="Arial"/>
          <w:sz w:val="22"/>
          <w:szCs w:val="22"/>
          <w:shd w:val="clear" w:color="auto" w:fill="FFFFFF"/>
        </w:rPr>
        <w:t>Glomus</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mosseae</w:t>
      </w:r>
      <w:proofErr w:type="spellEnd"/>
      <w:r w:rsidRPr="00814733">
        <w:rPr>
          <w:rFonts w:ascii="Arial" w:hAnsi="Arial" w:cs="Arial"/>
          <w:sz w:val="22"/>
          <w:szCs w:val="22"/>
          <w:shd w:val="clear" w:color="auto" w:fill="FFFFFF"/>
        </w:rPr>
        <w:t xml:space="preserve"> in full factorial combinations. </w:t>
      </w:r>
      <w:r w:rsidRPr="00814733">
        <w:rPr>
          <w:rFonts w:ascii="Arial" w:hAnsi="Arial" w:cs="Arial"/>
          <w:i/>
          <w:iCs/>
          <w:sz w:val="22"/>
          <w:szCs w:val="22"/>
          <w:shd w:val="clear" w:color="auto" w:fill="FFFFFF"/>
        </w:rPr>
        <w:t>Crop Protection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26</w:t>
      </w:r>
      <w:r w:rsidRPr="00814733">
        <w:rPr>
          <w:rFonts w:ascii="Arial" w:hAnsi="Arial" w:cs="Arial"/>
          <w:sz w:val="22"/>
          <w:szCs w:val="22"/>
          <w:shd w:val="clear" w:color="auto" w:fill="FFFFFF"/>
        </w:rPr>
        <w:t>(7), 1006-1012.</w:t>
      </w:r>
    </w:p>
    <w:p w14:paraId="70D5629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lang w:val="de-DE" w:bidi="bn-IN"/>
        </w:rPr>
      </w:pPr>
      <w:r w:rsidRPr="00814733">
        <w:rPr>
          <w:rFonts w:ascii="Arial" w:hAnsi="Arial" w:cs="Arial"/>
          <w:sz w:val="22"/>
          <w:szCs w:val="22"/>
          <w:shd w:val="clear" w:color="auto" w:fill="FFFFFF"/>
        </w:rPr>
        <w:t>Pandey, J., &amp; Singh, A. (2012). Opportunities and constraints in organic farming: an Indian perspective. </w:t>
      </w:r>
      <w:r w:rsidRPr="00814733">
        <w:rPr>
          <w:rFonts w:ascii="Arial" w:hAnsi="Arial" w:cs="Arial"/>
          <w:i/>
          <w:iCs/>
          <w:sz w:val="22"/>
          <w:szCs w:val="22"/>
          <w:shd w:val="clear" w:color="auto" w:fill="FFFFFF"/>
        </w:rPr>
        <w:t>Journal of Scientific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56</w:t>
      </w:r>
      <w:r w:rsidRPr="00814733">
        <w:rPr>
          <w:rFonts w:ascii="Arial" w:hAnsi="Arial" w:cs="Arial"/>
          <w:sz w:val="22"/>
          <w:szCs w:val="22"/>
          <w:shd w:val="clear" w:color="auto" w:fill="FFFFFF"/>
        </w:rPr>
        <w:t>(1), 47-72.</w:t>
      </w:r>
    </w:p>
    <w:p w14:paraId="45330F6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Parikh, S. J., &amp; James, B. R. (2012). </w:t>
      </w:r>
      <w:r w:rsidRPr="00814733">
        <w:rPr>
          <w:rFonts w:ascii="Arial" w:hAnsi="Arial" w:cs="Arial"/>
          <w:i/>
          <w:iCs/>
          <w:sz w:val="22"/>
          <w:szCs w:val="22"/>
          <w:shd w:val="clear" w:color="auto" w:fill="FFFFFF"/>
        </w:rPr>
        <w:t>Soil: The Foundation of Agriculture. Nature Education Knowledge 3 (10): 2</w:t>
      </w:r>
      <w:r w:rsidRPr="00814733">
        <w:rPr>
          <w:rFonts w:ascii="Arial" w:hAnsi="Arial" w:cs="Arial"/>
          <w:sz w:val="22"/>
          <w:szCs w:val="22"/>
          <w:shd w:val="clear" w:color="auto" w:fill="FFFFFF"/>
        </w:rPr>
        <w:t>.</w:t>
      </w:r>
    </w:p>
    <w:p w14:paraId="52E3654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Pérez-Montaño, F., </w:t>
      </w:r>
      <w:proofErr w:type="spellStart"/>
      <w:r w:rsidRPr="00814733">
        <w:rPr>
          <w:rFonts w:ascii="Arial" w:hAnsi="Arial" w:cs="Arial"/>
          <w:sz w:val="22"/>
          <w:szCs w:val="22"/>
          <w:shd w:val="clear" w:color="auto" w:fill="FFFFFF"/>
        </w:rPr>
        <w:t>Alías</w:t>
      </w:r>
      <w:proofErr w:type="spellEnd"/>
      <w:r w:rsidRPr="00814733">
        <w:rPr>
          <w:rFonts w:ascii="Arial" w:hAnsi="Arial" w:cs="Arial"/>
          <w:sz w:val="22"/>
          <w:szCs w:val="22"/>
          <w:shd w:val="clear" w:color="auto" w:fill="FFFFFF"/>
        </w:rPr>
        <w:t xml:space="preserve">-Villegas, C., </w:t>
      </w:r>
      <w:proofErr w:type="spellStart"/>
      <w:r w:rsidRPr="00814733">
        <w:rPr>
          <w:rFonts w:ascii="Arial" w:hAnsi="Arial" w:cs="Arial"/>
          <w:sz w:val="22"/>
          <w:szCs w:val="22"/>
          <w:shd w:val="clear" w:color="auto" w:fill="FFFFFF"/>
        </w:rPr>
        <w:t>Bellogín</w:t>
      </w:r>
      <w:proofErr w:type="spellEnd"/>
      <w:r w:rsidRPr="00814733">
        <w:rPr>
          <w:rFonts w:ascii="Arial" w:hAnsi="Arial" w:cs="Arial"/>
          <w:sz w:val="22"/>
          <w:szCs w:val="22"/>
          <w:shd w:val="clear" w:color="auto" w:fill="FFFFFF"/>
        </w:rPr>
        <w:t xml:space="preserve">, R. A., Del Cerro, P., Espuny, M. R., Jiménez-Guerrero, I., ... &amp; </w:t>
      </w:r>
      <w:proofErr w:type="spellStart"/>
      <w:r w:rsidRPr="00814733">
        <w:rPr>
          <w:rFonts w:ascii="Arial" w:hAnsi="Arial" w:cs="Arial"/>
          <w:sz w:val="22"/>
          <w:szCs w:val="22"/>
          <w:shd w:val="clear" w:color="auto" w:fill="FFFFFF"/>
        </w:rPr>
        <w:t>Cubo</w:t>
      </w:r>
      <w:proofErr w:type="spellEnd"/>
      <w:r w:rsidRPr="00814733">
        <w:rPr>
          <w:rFonts w:ascii="Arial" w:hAnsi="Arial" w:cs="Arial"/>
          <w:sz w:val="22"/>
          <w:szCs w:val="22"/>
          <w:shd w:val="clear" w:color="auto" w:fill="FFFFFF"/>
        </w:rPr>
        <w:t>, T. (2014). Plant growth promotion in cereal and leguminous agricultural important plants: from microorganism capacities to crop production.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169</w:t>
      </w:r>
      <w:r w:rsidRPr="00814733">
        <w:rPr>
          <w:rFonts w:ascii="Arial" w:hAnsi="Arial" w:cs="Arial"/>
          <w:sz w:val="22"/>
          <w:szCs w:val="22"/>
          <w:shd w:val="clear" w:color="auto" w:fill="FFFFFF"/>
        </w:rPr>
        <w:t>(5-6), 325-336.</w:t>
      </w:r>
    </w:p>
    <w:p w14:paraId="78B1DDE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Plassard</w:t>
      </w:r>
      <w:proofErr w:type="spellEnd"/>
      <w:r w:rsidRPr="00814733">
        <w:rPr>
          <w:rFonts w:ascii="Arial" w:hAnsi="Arial" w:cs="Arial"/>
          <w:sz w:val="22"/>
          <w:szCs w:val="22"/>
          <w:shd w:val="clear" w:color="auto" w:fill="FFFFFF"/>
        </w:rPr>
        <w:t xml:space="preserve">, C., Louche, J., Ali, M. A., Duchemin, M., </w:t>
      </w:r>
      <w:proofErr w:type="spellStart"/>
      <w:r w:rsidRPr="00814733">
        <w:rPr>
          <w:rFonts w:ascii="Arial" w:hAnsi="Arial" w:cs="Arial"/>
          <w:sz w:val="22"/>
          <w:szCs w:val="22"/>
          <w:shd w:val="clear" w:color="auto" w:fill="FFFFFF"/>
        </w:rPr>
        <w:t>Legname</w:t>
      </w:r>
      <w:proofErr w:type="spellEnd"/>
      <w:r w:rsidRPr="00814733">
        <w:rPr>
          <w:rFonts w:ascii="Arial" w:hAnsi="Arial" w:cs="Arial"/>
          <w:sz w:val="22"/>
          <w:szCs w:val="22"/>
          <w:shd w:val="clear" w:color="auto" w:fill="FFFFFF"/>
        </w:rPr>
        <w:t xml:space="preserve">, E., &amp; Cloutier-Hurteau, B. (2011). Diversity in phosphorus </w:t>
      </w:r>
      <w:proofErr w:type="spellStart"/>
      <w:r w:rsidRPr="00814733">
        <w:rPr>
          <w:rFonts w:ascii="Arial" w:hAnsi="Arial" w:cs="Arial"/>
          <w:sz w:val="22"/>
          <w:szCs w:val="22"/>
          <w:shd w:val="clear" w:color="auto" w:fill="FFFFFF"/>
        </w:rPr>
        <w:t>mobilisation</w:t>
      </w:r>
      <w:proofErr w:type="spellEnd"/>
      <w:r w:rsidRPr="00814733">
        <w:rPr>
          <w:rFonts w:ascii="Arial" w:hAnsi="Arial" w:cs="Arial"/>
          <w:sz w:val="22"/>
          <w:szCs w:val="22"/>
          <w:shd w:val="clear" w:color="auto" w:fill="FFFFFF"/>
        </w:rPr>
        <w:t xml:space="preserve"> and uptake in ectomycorrhizal fungi. </w:t>
      </w:r>
      <w:r w:rsidRPr="00814733">
        <w:rPr>
          <w:rFonts w:ascii="Arial" w:hAnsi="Arial" w:cs="Arial"/>
          <w:i/>
          <w:iCs/>
          <w:sz w:val="22"/>
          <w:szCs w:val="22"/>
          <w:shd w:val="clear" w:color="auto" w:fill="FFFFFF"/>
        </w:rPr>
        <w:t>Annals of forest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68</w:t>
      </w:r>
      <w:r w:rsidRPr="00814733">
        <w:rPr>
          <w:rFonts w:ascii="Arial" w:hAnsi="Arial" w:cs="Arial"/>
          <w:sz w:val="22"/>
          <w:szCs w:val="22"/>
          <w:shd w:val="clear" w:color="auto" w:fill="FFFFFF"/>
        </w:rPr>
        <w:t>(1), 33-43.</w:t>
      </w:r>
    </w:p>
    <w:p w14:paraId="5A9A4007" w14:textId="77777777" w:rsidR="00814733" w:rsidRPr="00814733" w:rsidRDefault="00814733" w:rsidP="00814733">
      <w:pPr>
        <w:pStyle w:val="ListParagraph"/>
        <w:numPr>
          <w:ilvl w:val="0"/>
          <w:numId w:val="8"/>
        </w:numPr>
        <w:spacing w:line="259" w:lineRule="auto"/>
        <w:jc w:val="both"/>
        <w:rPr>
          <w:rFonts w:ascii="Arial" w:hAnsi="Arial" w:cs="Arial"/>
          <w:sz w:val="22"/>
          <w:szCs w:val="22"/>
        </w:rPr>
      </w:pPr>
      <w:proofErr w:type="spellStart"/>
      <w:r w:rsidRPr="00814733">
        <w:rPr>
          <w:rFonts w:ascii="Arial" w:hAnsi="Arial" w:cs="Arial"/>
          <w:sz w:val="22"/>
          <w:szCs w:val="22"/>
          <w:shd w:val="clear" w:color="auto" w:fill="FFFFFF"/>
        </w:rPr>
        <w:t>Quilambo</w:t>
      </w:r>
      <w:proofErr w:type="spellEnd"/>
      <w:r w:rsidRPr="00814733">
        <w:rPr>
          <w:rFonts w:ascii="Arial" w:hAnsi="Arial" w:cs="Arial"/>
          <w:sz w:val="22"/>
          <w:szCs w:val="22"/>
          <w:shd w:val="clear" w:color="auto" w:fill="FFFFFF"/>
        </w:rPr>
        <w:t>, O. A. (2003). The vesicular-arbuscular mycorrhizal symbiosis. </w:t>
      </w:r>
      <w:r w:rsidRPr="00814733">
        <w:rPr>
          <w:rFonts w:ascii="Arial" w:hAnsi="Arial" w:cs="Arial"/>
          <w:i/>
          <w:iCs/>
          <w:sz w:val="22"/>
          <w:szCs w:val="22"/>
          <w:shd w:val="clear" w:color="auto" w:fill="FFFFFF"/>
        </w:rPr>
        <w:t>African Journal of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(12), 539-546.</w:t>
      </w:r>
    </w:p>
    <w:p w14:paraId="6A97426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Raghuwanshi</w:t>
      </w:r>
      <w:proofErr w:type="spellEnd"/>
      <w:r w:rsidRPr="00814733">
        <w:rPr>
          <w:rFonts w:ascii="Arial" w:hAnsi="Arial" w:cs="Arial"/>
          <w:sz w:val="22"/>
          <w:szCs w:val="22"/>
          <w:shd w:val="clear" w:color="auto" w:fill="FFFFFF"/>
        </w:rPr>
        <w:t>, R. (2012). Opportunities and challenges to sustainable agriculture in India. </w:t>
      </w:r>
      <w:r w:rsidRPr="00814733">
        <w:rPr>
          <w:rFonts w:ascii="Arial" w:hAnsi="Arial" w:cs="Arial"/>
          <w:i/>
          <w:iCs/>
          <w:sz w:val="22"/>
          <w:szCs w:val="22"/>
          <w:shd w:val="clear" w:color="auto" w:fill="FFFFFF"/>
        </w:rPr>
        <w:t>Nebio</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w:t>
      </w:r>
      <w:r w:rsidRPr="00814733">
        <w:rPr>
          <w:rFonts w:ascii="Arial" w:hAnsi="Arial" w:cs="Arial"/>
          <w:sz w:val="22"/>
          <w:szCs w:val="22"/>
          <w:shd w:val="clear" w:color="auto" w:fill="FFFFFF"/>
        </w:rPr>
        <w:t>(2), 78-86.</w:t>
      </w:r>
    </w:p>
    <w:p w14:paraId="47DB5EE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Rawat, P., </w:t>
      </w:r>
      <w:proofErr w:type="spellStart"/>
      <w:r w:rsidRPr="00814733">
        <w:rPr>
          <w:rFonts w:ascii="Arial" w:hAnsi="Arial" w:cs="Arial"/>
          <w:sz w:val="22"/>
          <w:szCs w:val="22"/>
          <w:shd w:val="clear" w:color="auto" w:fill="FFFFFF"/>
        </w:rPr>
        <w:t>Shankhdhar</w:t>
      </w:r>
      <w:proofErr w:type="spellEnd"/>
      <w:r w:rsidRPr="00814733">
        <w:rPr>
          <w:rFonts w:ascii="Arial" w:hAnsi="Arial" w:cs="Arial"/>
          <w:sz w:val="22"/>
          <w:szCs w:val="22"/>
          <w:shd w:val="clear" w:color="auto" w:fill="FFFFFF"/>
        </w:rPr>
        <w:t xml:space="preserve">, D., &amp; </w:t>
      </w:r>
      <w:proofErr w:type="spellStart"/>
      <w:r w:rsidRPr="00814733">
        <w:rPr>
          <w:rFonts w:ascii="Arial" w:hAnsi="Arial" w:cs="Arial"/>
          <w:sz w:val="22"/>
          <w:szCs w:val="22"/>
          <w:shd w:val="clear" w:color="auto" w:fill="FFFFFF"/>
        </w:rPr>
        <w:t>Shankhdhar</w:t>
      </w:r>
      <w:proofErr w:type="spellEnd"/>
      <w:r w:rsidRPr="00814733">
        <w:rPr>
          <w:rFonts w:ascii="Arial" w:hAnsi="Arial" w:cs="Arial"/>
          <w:sz w:val="22"/>
          <w:szCs w:val="22"/>
          <w:shd w:val="clear" w:color="auto" w:fill="FFFFFF"/>
        </w:rPr>
        <w:t>, S. C. (2020). Plant growth-promoting rhizobacteria: A booster for ameliorating soil health and agriculture production. In </w:t>
      </w:r>
      <w:r w:rsidRPr="00814733">
        <w:rPr>
          <w:rFonts w:ascii="Arial" w:hAnsi="Arial" w:cs="Arial"/>
          <w:i/>
          <w:iCs/>
          <w:sz w:val="22"/>
          <w:szCs w:val="22"/>
          <w:shd w:val="clear" w:color="auto" w:fill="FFFFFF"/>
        </w:rPr>
        <w:t>Soil health</w:t>
      </w:r>
      <w:r w:rsidRPr="00814733">
        <w:rPr>
          <w:rFonts w:ascii="Arial" w:hAnsi="Arial" w:cs="Arial"/>
          <w:sz w:val="22"/>
          <w:szCs w:val="22"/>
          <w:shd w:val="clear" w:color="auto" w:fill="FFFFFF"/>
        </w:rPr>
        <w:t> (pp. 47-68). Cham: Springer International Publishing.</w:t>
      </w:r>
    </w:p>
    <w:p w14:paraId="45D4BCE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Richardson, A. E., &amp; Simpson, R. J. (2011). Soil microorganisms mediating phosphorus availability update on microbial phosphorus. </w:t>
      </w:r>
      <w:r w:rsidRPr="00814733">
        <w:rPr>
          <w:rFonts w:ascii="Arial" w:hAnsi="Arial" w:cs="Arial"/>
          <w:i/>
          <w:iCs/>
          <w:sz w:val="22"/>
          <w:szCs w:val="22"/>
          <w:shd w:val="clear" w:color="auto" w:fill="FFFFFF"/>
        </w:rPr>
        <w:t>Plant physiology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156</w:t>
      </w:r>
      <w:r w:rsidRPr="00814733">
        <w:rPr>
          <w:rFonts w:ascii="Arial" w:hAnsi="Arial" w:cs="Arial"/>
          <w:sz w:val="22"/>
          <w:szCs w:val="22"/>
          <w:shd w:val="clear" w:color="auto" w:fill="FFFFFF"/>
        </w:rPr>
        <w:t>(3), 989-996.</w:t>
      </w:r>
    </w:p>
    <w:p w14:paraId="0D60B75A"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 xml:space="preserve">Sahoo, R. K., Ansari, M. W., Tuteja, R., &amp; Tuteja, N. (2015). </w:t>
      </w:r>
      <w:r w:rsidRPr="00814733">
        <w:rPr>
          <w:rFonts w:ascii="Arial" w:hAnsi="Arial" w:cs="Arial"/>
          <w:sz w:val="22"/>
          <w:szCs w:val="22"/>
        </w:rPr>
        <w:t>Salt tolerant SUV3 overexpressing transgenic rice plants conserve physicochemical properties and microbial communities of rhizosphere. </w:t>
      </w:r>
      <w:r w:rsidRPr="00814733">
        <w:rPr>
          <w:rFonts w:ascii="Arial" w:hAnsi="Arial" w:cs="Arial"/>
          <w:i/>
          <w:iCs/>
          <w:sz w:val="22"/>
          <w:szCs w:val="22"/>
        </w:rPr>
        <w:t>Chemosphere</w:t>
      </w:r>
      <w:r w:rsidRPr="00814733">
        <w:rPr>
          <w:rFonts w:ascii="Arial" w:hAnsi="Arial" w:cs="Arial"/>
          <w:sz w:val="22"/>
          <w:szCs w:val="22"/>
        </w:rPr>
        <w:t>, </w:t>
      </w:r>
      <w:r w:rsidRPr="00814733">
        <w:rPr>
          <w:rFonts w:ascii="Arial" w:hAnsi="Arial" w:cs="Arial"/>
          <w:i/>
          <w:iCs/>
          <w:sz w:val="22"/>
          <w:szCs w:val="22"/>
        </w:rPr>
        <w:t>119</w:t>
      </w:r>
      <w:r w:rsidRPr="00814733">
        <w:rPr>
          <w:rFonts w:ascii="Arial" w:hAnsi="Arial" w:cs="Arial"/>
          <w:sz w:val="22"/>
          <w:szCs w:val="22"/>
        </w:rPr>
        <w:t>, 1040-1047.</w:t>
      </w:r>
    </w:p>
    <w:p w14:paraId="5266B6B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Santi, C., Bogusz, D., &amp; Franche, C. (2013). Biological nitrogen fixation in non-legume plants. </w:t>
      </w:r>
      <w:r w:rsidRPr="00814733">
        <w:rPr>
          <w:rFonts w:ascii="Arial" w:hAnsi="Arial" w:cs="Arial"/>
          <w:i/>
          <w:iCs/>
          <w:sz w:val="22"/>
          <w:szCs w:val="22"/>
          <w:shd w:val="clear" w:color="auto" w:fill="FFFFFF"/>
        </w:rPr>
        <w:t>Annals of botany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111</w:t>
      </w:r>
      <w:r w:rsidRPr="00814733">
        <w:rPr>
          <w:rFonts w:ascii="Arial" w:hAnsi="Arial" w:cs="Arial"/>
          <w:sz w:val="22"/>
          <w:szCs w:val="22"/>
          <w:shd w:val="clear" w:color="auto" w:fill="FFFFFF"/>
        </w:rPr>
        <w:t>(5), 743-767.</w:t>
      </w:r>
    </w:p>
    <w:p w14:paraId="497C34B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Shaharoona</w:t>
      </w:r>
      <w:proofErr w:type="spellEnd"/>
      <w:r w:rsidRPr="00814733">
        <w:rPr>
          <w:rFonts w:ascii="Arial" w:hAnsi="Arial" w:cs="Arial"/>
          <w:sz w:val="22"/>
          <w:szCs w:val="22"/>
          <w:shd w:val="clear" w:color="auto" w:fill="FFFFFF"/>
        </w:rPr>
        <w:t>, B., Naveed, M., Arshad, M., &amp; Zahir, Z. A. (2008). Fertilizer-dependent efficiency of Pseudomonads for improving growth, yield, and nutrient use efficiency of wheat (Triticum aestivum L.). </w:t>
      </w:r>
      <w:r w:rsidRPr="00814733">
        <w:rPr>
          <w:rFonts w:ascii="Arial" w:hAnsi="Arial" w:cs="Arial"/>
          <w:i/>
          <w:iCs/>
          <w:sz w:val="22"/>
          <w:szCs w:val="22"/>
          <w:shd w:val="clear" w:color="auto" w:fill="FFFFFF"/>
        </w:rPr>
        <w:t>Applied microbiology and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79</w:t>
      </w:r>
      <w:r w:rsidRPr="00814733">
        <w:rPr>
          <w:rFonts w:ascii="Arial" w:hAnsi="Arial" w:cs="Arial"/>
          <w:sz w:val="22"/>
          <w:szCs w:val="22"/>
          <w:shd w:val="clear" w:color="auto" w:fill="FFFFFF"/>
        </w:rPr>
        <w:t>(1), 147-155.</w:t>
      </w:r>
    </w:p>
    <w:p w14:paraId="3D00219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lastRenderedPageBreak/>
        <w:t>Sharma, S. B., Sayyed, R. Z., Trivedi, M. H., &amp; Gobi, T. A. (2013). Phosphate solubilizing microbes: sustainable approach for managing phosphorus deficiency in agricultural soils. </w:t>
      </w:r>
      <w:proofErr w:type="spellStart"/>
      <w:r w:rsidRPr="00814733">
        <w:rPr>
          <w:rFonts w:ascii="Arial" w:eastAsia="SimSun" w:hAnsi="Arial" w:cs="Arial"/>
          <w:i/>
          <w:iCs/>
          <w:sz w:val="22"/>
          <w:szCs w:val="22"/>
          <w:shd w:val="clear" w:color="auto" w:fill="FFFFFF"/>
        </w:rPr>
        <w:t>SpringerPlus</w:t>
      </w:r>
      <w:proofErr w:type="spellEnd"/>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2</w:t>
      </w:r>
      <w:r w:rsidRPr="00814733">
        <w:rPr>
          <w:rFonts w:ascii="Arial" w:eastAsia="SimSun" w:hAnsi="Arial" w:cs="Arial"/>
          <w:sz w:val="22"/>
          <w:szCs w:val="22"/>
          <w:shd w:val="clear" w:color="auto" w:fill="FFFFFF"/>
        </w:rPr>
        <w:t>(1), 587.</w:t>
      </w:r>
    </w:p>
    <w:p w14:paraId="491532A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Sidhu, G. S. (1998). Role of microorganisms in soil fertility. </w:t>
      </w:r>
      <w:proofErr w:type="spellStart"/>
      <w:r w:rsidRPr="00814733">
        <w:rPr>
          <w:rFonts w:ascii="Arial" w:hAnsi="Arial" w:cs="Arial"/>
          <w:i/>
          <w:iCs/>
          <w:sz w:val="22"/>
          <w:szCs w:val="22"/>
          <w:shd w:val="clear" w:color="auto" w:fill="FFFFFF"/>
        </w:rPr>
        <w:t>Utra</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Gro</w:t>
      </w:r>
      <w:proofErr w:type="spellEnd"/>
      <w:r w:rsidRPr="00814733">
        <w:rPr>
          <w:rFonts w:ascii="Arial" w:hAnsi="Arial" w:cs="Arial"/>
          <w:i/>
          <w:iCs/>
          <w:sz w:val="22"/>
          <w:szCs w:val="22"/>
          <w:shd w:val="clear" w:color="auto" w:fill="FFFFFF"/>
        </w:rPr>
        <w:t xml:space="preserve"> Plant Food Company</w:t>
      </w:r>
      <w:r w:rsidRPr="00814733">
        <w:rPr>
          <w:rFonts w:ascii="Arial" w:hAnsi="Arial" w:cs="Arial"/>
          <w:sz w:val="22"/>
          <w:szCs w:val="22"/>
          <w:shd w:val="clear" w:color="auto" w:fill="FFFFFF"/>
        </w:rPr>
        <w:t>, 1-10.</w:t>
      </w:r>
    </w:p>
    <w:p w14:paraId="4D465072"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 Singh, J. S., Pandey, V. C., &amp; Singh, D. P. (2011). Efficient soil microorganisms: a new dimension for sustainable agriculture and environmental development. </w:t>
      </w:r>
      <w:r w:rsidRPr="00814733">
        <w:rPr>
          <w:rFonts w:ascii="Arial" w:hAnsi="Arial" w:cs="Arial"/>
          <w:i/>
          <w:iCs/>
          <w:sz w:val="22"/>
          <w:szCs w:val="22"/>
          <w:shd w:val="clear" w:color="auto" w:fill="FFFFFF"/>
        </w:rPr>
        <w:t>Agriculture, ecosystems &amp;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140</w:t>
      </w:r>
      <w:r w:rsidRPr="00814733">
        <w:rPr>
          <w:rFonts w:ascii="Arial" w:hAnsi="Arial" w:cs="Arial"/>
          <w:sz w:val="22"/>
          <w:szCs w:val="22"/>
          <w:shd w:val="clear" w:color="auto" w:fill="FFFFFF"/>
        </w:rPr>
        <w:t>(3-4), 339-353.</w:t>
      </w:r>
    </w:p>
    <w:p w14:paraId="1D88FC5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Smith, E. F., &amp; Townsend, C. O. (1907). A plant-tumor of bacterial origin.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25</w:t>
      </w:r>
      <w:r w:rsidRPr="00814733">
        <w:rPr>
          <w:rFonts w:ascii="Arial" w:hAnsi="Arial" w:cs="Arial"/>
          <w:sz w:val="22"/>
          <w:szCs w:val="22"/>
          <w:shd w:val="clear" w:color="auto" w:fill="FFFFFF"/>
        </w:rPr>
        <w:t>(643), 671-673.</w:t>
      </w:r>
    </w:p>
    <w:p w14:paraId="2B45175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Smith, S. E., &amp; Read, D. J. (2008). Mycorrhizal symbiosis, 3rd </w:t>
      </w:r>
      <w:proofErr w:type="spellStart"/>
      <w:r w:rsidRPr="00814733">
        <w:rPr>
          <w:rFonts w:ascii="Arial" w:hAnsi="Arial" w:cs="Arial"/>
          <w:sz w:val="22"/>
          <w:szCs w:val="22"/>
        </w:rPr>
        <w:t>edn</w:t>
      </w:r>
      <w:proofErr w:type="spellEnd"/>
      <w:r w:rsidRPr="00814733">
        <w:rPr>
          <w:rFonts w:ascii="Arial" w:hAnsi="Arial" w:cs="Arial"/>
          <w:sz w:val="22"/>
          <w:szCs w:val="22"/>
        </w:rPr>
        <w:t xml:space="preserve"> New York. </w:t>
      </w:r>
      <w:r w:rsidRPr="00814733">
        <w:rPr>
          <w:rFonts w:ascii="Arial" w:hAnsi="Arial" w:cs="Arial"/>
          <w:i/>
          <w:iCs/>
          <w:sz w:val="22"/>
          <w:szCs w:val="22"/>
        </w:rPr>
        <w:t>NY: Academic Press.</w:t>
      </w:r>
    </w:p>
    <w:p w14:paraId="149CD22D" w14:textId="77777777" w:rsidR="00814733" w:rsidRPr="00814733" w:rsidRDefault="00814733" w:rsidP="00814733">
      <w:pPr>
        <w:numPr>
          <w:ilvl w:val="0"/>
          <w:numId w:val="8"/>
        </w:numPr>
        <w:autoSpaceDE w:val="0"/>
        <w:autoSpaceDN w:val="0"/>
        <w:adjustRightInd w:val="0"/>
        <w:jc w:val="both"/>
        <w:rPr>
          <w:rFonts w:ascii="Arial" w:hAnsi="Arial" w:cs="Arial"/>
          <w:sz w:val="22"/>
          <w:szCs w:val="22"/>
          <w:highlight w:val="white"/>
          <w:lang w:bidi="bn-IN"/>
        </w:rPr>
      </w:pPr>
      <w:r w:rsidRPr="00814733">
        <w:rPr>
          <w:rFonts w:ascii="Arial" w:hAnsi="Arial" w:cs="Arial"/>
          <w:sz w:val="22"/>
          <w:szCs w:val="22"/>
          <w:shd w:val="clear" w:color="auto" w:fill="FFFFFF"/>
        </w:rPr>
        <w:t xml:space="preserve">Sørensen, J., &amp; </w:t>
      </w:r>
      <w:proofErr w:type="spellStart"/>
      <w:r w:rsidRPr="00814733">
        <w:rPr>
          <w:rFonts w:ascii="Arial" w:hAnsi="Arial" w:cs="Arial"/>
          <w:sz w:val="22"/>
          <w:szCs w:val="22"/>
          <w:shd w:val="clear" w:color="auto" w:fill="FFFFFF"/>
        </w:rPr>
        <w:t>Sessitsch</w:t>
      </w:r>
      <w:proofErr w:type="spellEnd"/>
      <w:r w:rsidRPr="00814733">
        <w:rPr>
          <w:rFonts w:ascii="Arial" w:hAnsi="Arial" w:cs="Arial"/>
          <w:sz w:val="22"/>
          <w:szCs w:val="22"/>
          <w:shd w:val="clear" w:color="auto" w:fill="FFFFFF"/>
        </w:rPr>
        <w:t>, A. (2007). Plant-associated bacteria lifestyle and molecular interactions. </w:t>
      </w:r>
      <w:r w:rsidRPr="00814733">
        <w:rPr>
          <w:rFonts w:ascii="Arial" w:hAnsi="Arial" w:cs="Arial"/>
          <w:i/>
          <w:iCs/>
          <w:sz w:val="22"/>
          <w:szCs w:val="22"/>
          <w:shd w:val="clear" w:color="auto" w:fill="FFFFFF"/>
        </w:rPr>
        <w:t>Modern soil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 211-236.</w:t>
      </w:r>
    </w:p>
    <w:p w14:paraId="5F37C7F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Sturz, A. V., &amp; Christie, B. R. (2003). Beneficial microbial </w:t>
      </w:r>
      <w:proofErr w:type="spellStart"/>
      <w:r w:rsidRPr="00814733">
        <w:rPr>
          <w:rFonts w:ascii="Arial" w:hAnsi="Arial" w:cs="Arial"/>
          <w:sz w:val="22"/>
          <w:szCs w:val="22"/>
          <w:shd w:val="clear" w:color="auto" w:fill="FFFFFF"/>
        </w:rPr>
        <w:t>allelopathies</w:t>
      </w:r>
      <w:proofErr w:type="spellEnd"/>
      <w:r w:rsidRPr="00814733">
        <w:rPr>
          <w:rFonts w:ascii="Arial" w:hAnsi="Arial" w:cs="Arial"/>
          <w:sz w:val="22"/>
          <w:szCs w:val="22"/>
          <w:shd w:val="clear" w:color="auto" w:fill="FFFFFF"/>
        </w:rPr>
        <w:t xml:space="preserve"> in the root zone: the management of soil quality and plant disease with rhizobacteria. </w:t>
      </w:r>
      <w:r w:rsidRPr="00814733">
        <w:rPr>
          <w:rFonts w:ascii="Arial" w:hAnsi="Arial" w:cs="Arial"/>
          <w:i/>
          <w:iCs/>
          <w:sz w:val="22"/>
          <w:szCs w:val="22"/>
          <w:shd w:val="clear" w:color="auto" w:fill="FFFFFF"/>
        </w:rPr>
        <w:t>Soil and Tillage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72</w:t>
      </w:r>
      <w:r w:rsidRPr="00814733">
        <w:rPr>
          <w:rFonts w:ascii="Arial" w:hAnsi="Arial" w:cs="Arial"/>
          <w:sz w:val="22"/>
          <w:szCs w:val="22"/>
          <w:shd w:val="clear" w:color="auto" w:fill="FFFFFF"/>
        </w:rPr>
        <w:t>(2), 107-123.</w:t>
      </w:r>
    </w:p>
    <w:p w14:paraId="79FF0A5F"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eastAsia="SimSun" w:hAnsi="Arial" w:cs="Arial"/>
          <w:sz w:val="22"/>
          <w:szCs w:val="22"/>
          <w:shd w:val="clear" w:color="auto" w:fill="FFFFFF"/>
        </w:rPr>
        <w:t>Subbarao NS. Venkataraman GS and Kannaiyan S (1993) Biological Nitrogen Fixation, Indian Council of Agricultural Research, New Delhi, pp. 111</w:t>
      </w:r>
    </w:p>
    <w:p w14:paraId="483DCED4"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rPr>
        <w:t>Swarup A (1998) Emerging soil fertility management issues for sustainable crop productivity in irrigated systems. In: Swarup A, Reddy DD, Prakash RN (eds) Long-term soil fertility management through integrated plant nutrient supply. Indian Institute of Soil Science, Bhopal, pp 54–68</w:t>
      </w:r>
    </w:p>
    <w:p w14:paraId="06347FA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Szymanski, N., &amp; Patterson, R. A. (2003). Effective microorganisms (EM) and wastewater systems. </w:t>
      </w:r>
      <w:r w:rsidRPr="00814733">
        <w:rPr>
          <w:rFonts w:ascii="Arial" w:hAnsi="Arial" w:cs="Arial"/>
          <w:i/>
          <w:iCs/>
          <w:sz w:val="22"/>
          <w:szCs w:val="22"/>
          <w:shd w:val="clear" w:color="auto" w:fill="FFFFFF"/>
        </w:rPr>
        <w:t>Future directions for On-site Systems: Best management practice</w:t>
      </w:r>
      <w:r w:rsidRPr="00814733">
        <w:rPr>
          <w:rFonts w:ascii="Arial" w:hAnsi="Arial" w:cs="Arial"/>
          <w:sz w:val="22"/>
          <w:szCs w:val="22"/>
          <w:shd w:val="clear" w:color="auto" w:fill="FFFFFF"/>
        </w:rPr>
        <w:t>, 347-355.</w:t>
      </w:r>
    </w:p>
    <w:p w14:paraId="2711B49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Tak, H. I., Ahmad, F., Babalola, O. O., &amp; Inam, A. (2012). Growth, photosynthesis and yield of chickpea as influenced by urban wastewater and different levels of phosphorus. </w:t>
      </w:r>
      <w:r w:rsidRPr="00814733">
        <w:rPr>
          <w:rFonts w:ascii="Arial" w:hAnsi="Arial" w:cs="Arial"/>
          <w:i/>
          <w:iCs/>
          <w:sz w:val="22"/>
          <w:szCs w:val="22"/>
        </w:rPr>
        <w:t>International Journal of Plant Research</w:t>
      </w:r>
      <w:r w:rsidRPr="00814733">
        <w:rPr>
          <w:rFonts w:ascii="Arial" w:hAnsi="Arial" w:cs="Arial"/>
          <w:sz w:val="22"/>
          <w:szCs w:val="22"/>
        </w:rPr>
        <w:t>, </w:t>
      </w:r>
      <w:r w:rsidRPr="00814733">
        <w:rPr>
          <w:rFonts w:ascii="Arial" w:hAnsi="Arial" w:cs="Arial"/>
          <w:i/>
          <w:iCs/>
          <w:sz w:val="22"/>
          <w:szCs w:val="22"/>
        </w:rPr>
        <w:t>2</w:t>
      </w:r>
      <w:r w:rsidRPr="00814733">
        <w:rPr>
          <w:rFonts w:ascii="Arial" w:hAnsi="Arial" w:cs="Arial"/>
          <w:sz w:val="22"/>
          <w:szCs w:val="22"/>
        </w:rPr>
        <w:t>(2), 6-13.</w:t>
      </w:r>
    </w:p>
    <w:p w14:paraId="6D4A8C1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Thirkell, T. J., Cameron, D. D., &amp; Hodge, A. (2016). Resolving the ‘nitrogen </w:t>
      </w:r>
      <w:proofErr w:type="spellStart"/>
      <w:r w:rsidRPr="00814733">
        <w:rPr>
          <w:rFonts w:ascii="Arial" w:hAnsi="Arial" w:cs="Arial"/>
          <w:sz w:val="22"/>
          <w:szCs w:val="22"/>
          <w:shd w:val="clear" w:color="auto" w:fill="FFFFFF"/>
        </w:rPr>
        <w:t>paradox’of</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arbuscular</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mycorrhizas</w:t>
      </w:r>
      <w:proofErr w:type="spellEnd"/>
      <w:r w:rsidRPr="00814733">
        <w:rPr>
          <w:rFonts w:ascii="Arial" w:hAnsi="Arial" w:cs="Arial"/>
          <w:sz w:val="22"/>
          <w:szCs w:val="22"/>
          <w:shd w:val="clear" w:color="auto" w:fill="FFFFFF"/>
        </w:rPr>
        <w:t>: fertilization with organic matter brings considerable benefits for plant nutrition and growth. </w:t>
      </w:r>
      <w:r w:rsidRPr="00814733">
        <w:rPr>
          <w:rFonts w:ascii="Arial" w:hAnsi="Arial" w:cs="Arial"/>
          <w:i/>
          <w:iCs/>
          <w:sz w:val="22"/>
          <w:szCs w:val="22"/>
          <w:shd w:val="clear" w:color="auto" w:fill="FFFFFF"/>
        </w:rPr>
        <w:t>Plant, Cell &amp;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39</w:t>
      </w:r>
      <w:r w:rsidRPr="00814733">
        <w:rPr>
          <w:rFonts w:ascii="Arial" w:hAnsi="Arial" w:cs="Arial"/>
          <w:sz w:val="22"/>
          <w:szCs w:val="22"/>
          <w:shd w:val="clear" w:color="auto" w:fill="FFFFFF"/>
        </w:rPr>
        <w:t>(8), 1683-1690.</w:t>
      </w:r>
    </w:p>
    <w:p w14:paraId="5FECB91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Tilak, K. V. B. R. (1991). Bacterial fertilizers.</w:t>
      </w:r>
    </w:p>
    <w:p w14:paraId="1784F7A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Tiwari, I., Shah, K. K., Tripathi, S., Modi, B., Subedi, S., &amp; Shrestha, J. (2021). Late blight of potato and its management through the application of different fungicides and organic amendments: a review. </w:t>
      </w:r>
      <w:r w:rsidRPr="00814733">
        <w:rPr>
          <w:rFonts w:ascii="Arial" w:hAnsi="Arial" w:cs="Arial"/>
          <w:i/>
          <w:iCs/>
          <w:sz w:val="22"/>
          <w:szCs w:val="22"/>
          <w:shd w:val="clear" w:color="auto" w:fill="FFFFFF"/>
        </w:rPr>
        <w:t>Journal of Agriculture and Natural Resources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w:t>
      </w:r>
      <w:r w:rsidRPr="00814733">
        <w:rPr>
          <w:rFonts w:ascii="Arial" w:hAnsi="Arial" w:cs="Arial"/>
          <w:sz w:val="22"/>
          <w:szCs w:val="22"/>
          <w:shd w:val="clear" w:color="auto" w:fill="FFFFFF"/>
        </w:rPr>
        <w:t>(1), 301-320.</w:t>
      </w:r>
    </w:p>
    <w:p w14:paraId="631C9A4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eastAsia="SimSun" w:hAnsi="Arial" w:cs="Arial"/>
          <w:sz w:val="22"/>
          <w:szCs w:val="22"/>
          <w:shd w:val="clear" w:color="auto" w:fill="FFFFFF"/>
        </w:rPr>
        <w:t>Toljander</w:t>
      </w:r>
      <w:proofErr w:type="spellEnd"/>
      <w:r w:rsidRPr="00814733">
        <w:rPr>
          <w:rFonts w:ascii="Arial" w:eastAsia="SimSun" w:hAnsi="Arial" w:cs="Arial"/>
          <w:sz w:val="22"/>
          <w:szCs w:val="22"/>
          <w:shd w:val="clear" w:color="auto" w:fill="FFFFFF"/>
        </w:rPr>
        <w:t>, J. F., Artursson, V., Paul, L. R., Jansson, J. K., &amp; Finlay, R. D. (2006). Attachment of different soil bacteria to arbuscular mycorrhizal fungal extraradical hyphae is determined by hyphal vitality and fungal species. </w:t>
      </w:r>
      <w:r w:rsidRPr="00814733">
        <w:rPr>
          <w:rFonts w:ascii="Arial" w:eastAsia="SimSun" w:hAnsi="Arial" w:cs="Arial"/>
          <w:i/>
          <w:iCs/>
          <w:sz w:val="22"/>
          <w:szCs w:val="22"/>
          <w:shd w:val="clear" w:color="auto" w:fill="FFFFFF"/>
        </w:rPr>
        <w:t>FEMS Microbiology Letters</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254</w:t>
      </w:r>
      <w:r w:rsidRPr="00814733">
        <w:rPr>
          <w:rFonts w:ascii="Arial" w:eastAsia="SimSun" w:hAnsi="Arial" w:cs="Arial"/>
          <w:sz w:val="22"/>
          <w:szCs w:val="22"/>
          <w:shd w:val="clear" w:color="auto" w:fill="FFFFFF"/>
        </w:rPr>
        <w:t>(1), 34-40.</w:t>
      </w:r>
    </w:p>
    <w:p w14:paraId="5B5777D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 xml:space="preserve">Turco, R. F., Kennedy, A. C., &amp; </w:t>
      </w:r>
      <w:proofErr w:type="spellStart"/>
      <w:r w:rsidRPr="00814733">
        <w:rPr>
          <w:rFonts w:ascii="Arial" w:hAnsi="Arial" w:cs="Arial"/>
          <w:sz w:val="22"/>
          <w:szCs w:val="22"/>
          <w:shd w:val="clear" w:color="auto" w:fill="FFFFFF"/>
        </w:rPr>
        <w:t>Jawson</w:t>
      </w:r>
      <w:proofErr w:type="spellEnd"/>
      <w:r w:rsidRPr="00814733">
        <w:rPr>
          <w:rFonts w:ascii="Arial" w:hAnsi="Arial" w:cs="Arial"/>
          <w:sz w:val="22"/>
          <w:szCs w:val="22"/>
          <w:shd w:val="clear" w:color="auto" w:fill="FFFFFF"/>
        </w:rPr>
        <w:t>, M. D. (1994). Microbial indicators of soil quality. </w:t>
      </w:r>
      <w:r w:rsidRPr="00814733">
        <w:rPr>
          <w:rFonts w:ascii="Arial" w:hAnsi="Arial" w:cs="Arial"/>
          <w:i/>
          <w:iCs/>
          <w:sz w:val="22"/>
          <w:szCs w:val="22"/>
          <w:shd w:val="clear" w:color="auto" w:fill="FFFFFF"/>
        </w:rPr>
        <w:t>Defining soil quality for a sustainable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35</w:t>
      </w:r>
      <w:r w:rsidRPr="00814733">
        <w:rPr>
          <w:rFonts w:ascii="Arial" w:hAnsi="Arial" w:cs="Arial"/>
          <w:sz w:val="22"/>
          <w:szCs w:val="22"/>
          <w:shd w:val="clear" w:color="auto" w:fill="FFFFFF"/>
        </w:rPr>
        <w:t>, 73-90.</w:t>
      </w:r>
    </w:p>
    <w:p w14:paraId="459E9D4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Turetsky, M. R., Abbott, B. W., Jones, M. C., Anthony, K. W., Olefeldt, D., Schuur, E. A., ... &amp; McGuire, A. D. (2020). Carbon release through abrupt permafrost thaw. </w:t>
      </w:r>
      <w:r w:rsidRPr="00814733">
        <w:rPr>
          <w:rFonts w:ascii="Arial" w:hAnsi="Arial" w:cs="Arial"/>
          <w:i/>
          <w:iCs/>
          <w:sz w:val="22"/>
          <w:szCs w:val="22"/>
          <w:shd w:val="clear" w:color="auto" w:fill="FFFFFF"/>
        </w:rPr>
        <w:t>Nature Geoscience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13</w:t>
      </w:r>
      <w:r w:rsidRPr="00814733">
        <w:rPr>
          <w:rFonts w:ascii="Arial" w:hAnsi="Arial" w:cs="Arial"/>
          <w:sz w:val="22"/>
          <w:szCs w:val="22"/>
          <w:shd w:val="clear" w:color="auto" w:fill="FFFFFF"/>
        </w:rPr>
        <w:t>(2), 138-143.</w:t>
      </w:r>
    </w:p>
    <w:p w14:paraId="71054D0A" w14:textId="77777777" w:rsidR="00814733" w:rsidRPr="00814733" w:rsidRDefault="00814733" w:rsidP="00814733">
      <w:pPr>
        <w:pStyle w:val="ListParagraph"/>
        <w:numPr>
          <w:ilvl w:val="0"/>
          <w:numId w:val="8"/>
        </w:numPr>
        <w:tabs>
          <w:tab w:val="left" w:pos="540"/>
        </w:tabs>
        <w:autoSpaceDE w:val="0"/>
        <w:autoSpaceDN w:val="0"/>
        <w:adjustRightInd w:val="0"/>
        <w:spacing w:line="360" w:lineRule="auto"/>
        <w:ind w:hanging="540"/>
        <w:jc w:val="both"/>
        <w:rPr>
          <w:rFonts w:ascii="Arial" w:hAnsi="Arial" w:cs="Arial"/>
          <w:sz w:val="22"/>
          <w:szCs w:val="22"/>
        </w:rPr>
      </w:pPr>
      <w:r w:rsidRPr="00814733">
        <w:rPr>
          <w:rFonts w:ascii="Arial" w:eastAsia="SimSun" w:hAnsi="Arial" w:cs="Arial"/>
          <w:sz w:val="22"/>
          <w:szCs w:val="22"/>
          <w:shd w:val="clear" w:color="auto" w:fill="FFFFFF"/>
        </w:rPr>
        <w:t>Ullah, S., Muhammad, B., Amin, R., Abbas, H., &amp; Muneer, M. A. (2019). Sensitivity of arbuscular mycorrhizal fungi in old-growth forests: direct effect on growth and soil carbon storage. </w:t>
      </w:r>
      <w:r w:rsidRPr="00814733">
        <w:rPr>
          <w:rFonts w:ascii="Arial" w:eastAsia="SimSun" w:hAnsi="Arial" w:cs="Arial"/>
          <w:i/>
          <w:iCs/>
          <w:sz w:val="22"/>
          <w:szCs w:val="22"/>
          <w:shd w:val="clear" w:color="auto" w:fill="FFFFFF"/>
        </w:rPr>
        <w:t>Applied Ecology &amp; Environmental Research</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17</w:t>
      </w:r>
      <w:r w:rsidRPr="00814733">
        <w:rPr>
          <w:rFonts w:ascii="Arial" w:eastAsia="SimSun" w:hAnsi="Arial" w:cs="Arial"/>
          <w:sz w:val="22"/>
          <w:szCs w:val="22"/>
          <w:shd w:val="clear" w:color="auto" w:fill="FFFFFF"/>
        </w:rPr>
        <w:t>(6).</w:t>
      </w:r>
    </w:p>
    <w:p w14:paraId="7369701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Umesha, S., Singh, P. K., &amp; Singh, R. P. (2018). Microbial biotechnology and sustainable agriculture. In </w:t>
      </w:r>
      <w:r w:rsidRPr="00814733">
        <w:rPr>
          <w:rFonts w:ascii="Arial" w:hAnsi="Arial" w:cs="Arial"/>
          <w:i/>
          <w:iCs/>
          <w:sz w:val="22"/>
          <w:szCs w:val="22"/>
          <w:shd w:val="clear" w:color="auto" w:fill="FFFFFF"/>
        </w:rPr>
        <w:t>Biotechnology for sustainable agriculture</w:t>
      </w:r>
      <w:r w:rsidRPr="00814733">
        <w:rPr>
          <w:rFonts w:ascii="Arial" w:hAnsi="Arial" w:cs="Arial"/>
          <w:sz w:val="22"/>
          <w:szCs w:val="22"/>
          <w:shd w:val="clear" w:color="auto" w:fill="FFFFFF"/>
        </w:rPr>
        <w:t> (pp. 185-205). Woodhead Publishing.</w:t>
      </w:r>
    </w:p>
    <w:p w14:paraId="2EFD2AB2"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shd w:val="clear" w:color="auto" w:fill="FFFFFF"/>
        </w:rPr>
        <w:t xml:space="preserve">Van Der Heijden, M. G., Bardgett, R. D., &amp; Van </w:t>
      </w:r>
      <w:proofErr w:type="spellStart"/>
      <w:r w:rsidRPr="00814733">
        <w:rPr>
          <w:rFonts w:ascii="Arial" w:hAnsi="Arial" w:cs="Arial"/>
          <w:sz w:val="22"/>
          <w:szCs w:val="22"/>
          <w:shd w:val="clear" w:color="auto" w:fill="FFFFFF"/>
        </w:rPr>
        <w:t>Straalen</w:t>
      </w:r>
      <w:proofErr w:type="spellEnd"/>
      <w:r w:rsidRPr="00814733">
        <w:rPr>
          <w:rFonts w:ascii="Arial" w:hAnsi="Arial" w:cs="Arial"/>
          <w:sz w:val="22"/>
          <w:szCs w:val="22"/>
          <w:shd w:val="clear" w:color="auto" w:fill="FFFFFF"/>
        </w:rPr>
        <w:t>, N. M. (2008). The unseen majority: soil microbes as drivers of plant diversity and productivity in terrestrial ecosystems. </w:t>
      </w:r>
      <w:r w:rsidRPr="00814733">
        <w:rPr>
          <w:rFonts w:ascii="Arial" w:hAnsi="Arial" w:cs="Arial"/>
          <w:i/>
          <w:iCs/>
          <w:sz w:val="22"/>
          <w:szCs w:val="22"/>
          <w:shd w:val="clear" w:color="auto" w:fill="FFFFFF"/>
        </w:rPr>
        <w:t>Ecology letters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11</w:t>
      </w:r>
      <w:r w:rsidRPr="00814733">
        <w:rPr>
          <w:rFonts w:ascii="Arial" w:hAnsi="Arial" w:cs="Arial"/>
          <w:sz w:val="22"/>
          <w:szCs w:val="22"/>
          <w:shd w:val="clear" w:color="auto" w:fill="FFFFFF"/>
        </w:rPr>
        <w:t>(3), 296-310.</w:t>
      </w:r>
    </w:p>
    <w:p w14:paraId="415BC582"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shd w:val="clear" w:color="auto" w:fill="FFFFFF"/>
        </w:rPr>
        <w:t>Verbon, E. H., &amp; Liberman, L. M. (2016). Beneficial microbes affect endogenous mechanisms controlling root development. </w:t>
      </w:r>
      <w:r w:rsidRPr="00814733">
        <w:rPr>
          <w:rFonts w:ascii="Arial" w:hAnsi="Arial" w:cs="Arial"/>
          <w:i/>
          <w:iCs/>
          <w:sz w:val="22"/>
          <w:szCs w:val="22"/>
          <w:shd w:val="clear" w:color="auto" w:fill="FFFFFF"/>
        </w:rPr>
        <w:t>Trends in plant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21</w:t>
      </w:r>
      <w:r w:rsidRPr="00814733">
        <w:rPr>
          <w:rFonts w:ascii="Arial" w:hAnsi="Arial" w:cs="Arial"/>
          <w:sz w:val="22"/>
          <w:szCs w:val="22"/>
          <w:shd w:val="clear" w:color="auto" w:fill="FFFFFF"/>
        </w:rPr>
        <w:t>(3), 218-229.</w:t>
      </w:r>
    </w:p>
    <w:p w14:paraId="78B4D3B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Vocciante</w:t>
      </w:r>
      <w:proofErr w:type="spellEnd"/>
      <w:r w:rsidRPr="00814733">
        <w:rPr>
          <w:rFonts w:ascii="Arial" w:hAnsi="Arial" w:cs="Arial"/>
          <w:sz w:val="22"/>
          <w:szCs w:val="22"/>
          <w:shd w:val="clear" w:color="auto" w:fill="FFFFFF"/>
        </w:rPr>
        <w:t>, M., Grifoni, M., Fusini, D., Petruzzelli, G., &amp; Franchi, E. (2022). The role of plant growth-promoting rhizobacteria (PGPR) in mitigating plant’s environmental stresses. </w:t>
      </w:r>
      <w:r w:rsidRPr="00814733">
        <w:rPr>
          <w:rFonts w:ascii="Arial" w:hAnsi="Arial" w:cs="Arial"/>
          <w:i/>
          <w:iCs/>
          <w:sz w:val="22"/>
          <w:szCs w:val="22"/>
          <w:shd w:val="clear" w:color="auto" w:fill="FFFFFF"/>
        </w:rPr>
        <w:t>Applied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12</w:t>
      </w:r>
      <w:r w:rsidRPr="00814733">
        <w:rPr>
          <w:rFonts w:ascii="Arial" w:hAnsi="Arial" w:cs="Arial"/>
          <w:sz w:val="22"/>
          <w:szCs w:val="22"/>
          <w:shd w:val="clear" w:color="auto" w:fill="FFFFFF"/>
        </w:rPr>
        <w:t>(3), 1231.</w:t>
      </w:r>
    </w:p>
    <w:p w14:paraId="4C2AAB8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de-DE"/>
        </w:rPr>
        <w:t xml:space="preserve">Wagg, C., Bender, S. F., Widmer, F., &amp; Van Der Heijden, M. G. (2014). </w:t>
      </w:r>
      <w:r w:rsidRPr="00814733">
        <w:rPr>
          <w:rFonts w:ascii="Arial" w:hAnsi="Arial" w:cs="Arial"/>
          <w:sz w:val="22"/>
          <w:szCs w:val="22"/>
        </w:rPr>
        <w:t>Soil biodiversity and soil community composition determine ecosystem multifunctionality. </w:t>
      </w:r>
      <w:r w:rsidRPr="00814733">
        <w:rPr>
          <w:rFonts w:ascii="Arial" w:hAnsi="Arial" w:cs="Arial"/>
          <w:i/>
          <w:iCs/>
          <w:sz w:val="22"/>
          <w:szCs w:val="22"/>
        </w:rPr>
        <w:t>Proceedings of the National Academy of Sciences</w:t>
      </w:r>
      <w:r w:rsidRPr="00814733">
        <w:rPr>
          <w:rFonts w:ascii="Arial" w:hAnsi="Arial" w:cs="Arial"/>
          <w:sz w:val="22"/>
          <w:szCs w:val="22"/>
        </w:rPr>
        <w:t>, </w:t>
      </w:r>
      <w:r w:rsidRPr="00814733">
        <w:rPr>
          <w:rFonts w:ascii="Arial" w:hAnsi="Arial" w:cs="Arial"/>
          <w:i/>
          <w:iCs/>
          <w:sz w:val="22"/>
          <w:szCs w:val="22"/>
        </w:rPr>
        <w:t>111</w:t>
      </w:r>
      <w:r w:rsidRPr="00814733">
        <w:rPr>
          <w:rFonts w:ascii="Arial" w:hAnsi="Arial" w:cs="Arial"/>
          <w:sz w:val="22"/>
          <w:szCs w:val="22"/>
        </w:rPr>
        <w:t>(14), 5266-5270.</w:t>
      </w:r>
    </w:p>
    <w:p w14:paraId="1C03661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Wani, S. P. (1992). Role of N2 fixing bacterial inoculants in upland cereals production. In </w:t>
      </w:r>
      <w:r w:rsidRPr="00814733">
        <w:rPr>
          <w:rFonts w:ascii="Arial" w:hAnsi="Arial" w:cs="Arial"/>
          <w:i/>
          <w:iCs/>
          <w:sz w:val="22"/>
          <w:szCs w:val="22"/>
          <w:shd w:val="clear" w:color="auto" w:fill="FFFFFF"/>
        </w:rPr>
        <w:t>National Seminar on Organic farming. LN Ravi Printing Press, Jabalpur</w:t>
      </w:r>
      <w:r w:rsidRPr="00814733">
        <w:rPr>
          <w:rFonts w:ascii="Arial" w:hAnsi="Arial" w:cs="Arial"/>
          <w:sz w:val="22"/>
          <w:szCs w:val="22"/>
          <w:shd w:val="clear" w:color="auto" w:fill="FFFFFF"/>
        </w:rPr>
        <w:t> (pp. 186-199).</w:t>
      </w:r>
    </w:p>
    <w:p w14:paraId="4970202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Welbaum, G. E., Sturz, A. V., Dong, Z., &amp; Nowak, J. (2004). Managing soil microorganisms to improve productivity of agro-ecosystems. </w:t>
      </w:r>
      <w:r w:rsidRPr="00814733">
        <w:rPr>
          <w:rFonts w:ascii="Arial" w:hAnsi="Arial" w:cs="Arial"/>
          <w:i/>
          <w:iCs/>
          <w:sz w:val="22"/>
          <w:szCs w:val="22"/>
          <w:shd w:val="clear" w:color="auto" w:fill="FFFFFF"/>
        </w:rPr>
        <w:t>Critical Reviews in Plant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23</w:t>
      </w:r>
      <w:r w:rsidRPr="00814733">
        <w:rPr>
          <w:rFonts w:ascii="Arial" w:hAnsi="Arial" w:cs="Arial"/>
          <w:sz w:val="22"/>
          <w:szCs w:val="22"/>
          <w:shd w:val="clear" w:color="auto" w:fill="FFFFFF"/>
        </w:rPr>
        <w:t>(2), 175-193.</w:t>
      </w:r>
    </w:p>
    <w:p w14:paraId="6D8D4610"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Xia, Y., DeBolt, S., Dreyer, J., Scott, D., &amp; Williams, M. A. (2015). Characterization of culturable bacterial endophytes and their capacity to promote plant growth from plants grown using organic or conventional practices. </w:t>
      </w:r>
      <w:r w:rsidRPr="00814733">
        <w:rPr>
          <w:rFonts w:ascii="Arial" w:hAnsi="Arial" w:cs="Arial"/>
          <w:i/>
          <w:iCs/>
          <w:sz w:val="22"/>
          <w:szCs w:val="22"/>
          <w:shd w:val="clear" w:color="auto" w:fill="FFFFFF"/>
        </w:rPr>
        <w:t>Frontiers in plant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w:t>
      </w:r>
      <w:r w:rsidRPr="00814733">
        <w:rPr>
          <w:rFonts w:ascii="Arial" w:hAnsi="Arial" w:cs="Arial"/>
          <w:sz w:val="22"/>
          <w:szCs w:val="22"/>
          <w:shd w:val="clear" w:color="auto" w:fill="FFFFFF"/>
        </w:rPr>
        <w:t>, 490.</w:t>
      </w:r>
    </w:p>
    <w:p w14:paraId="5FC5B6DE"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rPr>
        <w:t xml:space="preserve"> </w:t>
      </w:r>
      <w:r w:rsidRPr="00814733">
        <w:rPr>
          <w:rFonts w:ascii="Arial" w:hAnsi="Arial" w:cs="Arial"/>
          <w:sz w:val="22"/>
          <w:szCs w:val="22"/>
          <w:shd w:val="clear" w:color="auto" w:fill="FFFFFF"/>
        </w:rPr>
        <w:t>Yadav, J., Verma, J. P., Jaiswal, D. K., &amp; Kumar, A. (2014). Evaluation of PGPR and different concentration of phosphorus level on plant growth, yield and nutrient content of rice (Oryza sativa). </w:t>
      </w:r>
      <w:r w:rsidRPr="00814733">
        <w:rPr>
          <w:rFonts w:ascii="Arial" w:hAnsi="Arial" w:cs="Arial"/>
          <w:i/>
          <w:iCs/>
          <w:sz w:val="22"/>
          <w:szCs w:val="22"/>
          <w:shd w:val="clear" w:color="auto" w:fill="FFFFFF"/>
        </w:rPr>
        <w:t>Ecological engineering</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62</w:t>
      </w:r>
      <w:r w:rsidRPr="00814733">
        <w:rPr>
          <w:rFonts w:ascii="Arial" w:hAnsi="Arial" w:cs="Arial"/>
          <w:sz w:val="22"/>
          <w:szCs w:val="22"/>
          <w:shd w:val="clear" w:color="auto" w:fill="FFFFFF"/>
        </w:rPr>
        <w:t>, 123-128.</w:t>
      </w:r>
    </w:p>
    <w:p w14:paraId="3F054195"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Youssef, M. M. A., &amp; Eissa, M. F. M. (2014). Biofertilizers and their role in management of plant parasitic nematodes. A review. </w:t>
      </w:r>
      <w:r w:rsidRPr="00814733">
        <w:rPr>
          <w:rFonts w:ascii="Arial" w:hAnsi="Arial" w:cs="Arial"/>
          <w:i/>
          <w:iCs/>
          <w:sz w:val="22"/>
          <w:szCs w:val="22"/>
          <w:shd w:val="clear" w:color="auto" w:fill="FFFFFF"/>
        </w:rPr>
        <w:t>Journal of Biotechnology and Pharmaceutical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w:t>
      </w:r>
      <w:r w:rsidRPr="00814733">
        <w:rPr>
          <w:rFonts w:ascii="Arial" w:hAnsi="Arial" w:cs="Arial"/>
          <w:sz w:val="22"/>
          <w:szCs w:val="22"/>
          <w:shd w:val="clear" w:color="auto" w:fill="FFFFFF"/>
        </w:rPr>
        <w:t>(1), 1-6.</w:t>
      </w:r>
    </w:p>
    <w:p w14:paraId="47B1D04A"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lang w:val="de-DE"/>
        </w:rPr>
        <w:t xml:space="preserve">Zhao, P., Huang, Y., Liu, B., Chen, J., Lei, Z., Zhang, Y., &amp; Peng, S. (2024). </w:t>
      </w:r>
      <w:r w:rsidRPr="00814733">
        <w:rPr>
          <w:rFonts w:ascii="Arial" w:hAnsi="Arial" w:cs="Arial"/>
          <w:sz w:val="22"/>
          <w:szCs w:val="22"/>
        </w:rPr>
        <w:t xml:space="preserve">Effects of daytime and nighttime warming on soil microbial diversity. </w:t>
      </w:r>
      <w:proofErr w:type="spellStart"/>
      <w:r w:rsidRPr="00814733">
        <w:rPr>
          <w:rFonts w:ascii="Arial" w:hAnsi="Arial" w:cs="Arial"/>
          <w:sz w:val="22"/>
          <w:szCs w:val="22"/>
        </w:rPr>
        <w:t>Geoderma</w:t>
      </w:r>
      <w:proofErr w:type="spellEnd"/>
      <w:r w:rsidRPr="00814733">
        <w:rPr>
          <w:rFonts w:ascii="Arial" w:hAnsi="Arial" w:cs="Arial"/>
          <w:sz w:val="22"/>
          <w:szCs w:val="22"/>
        </w:rPr>
        <w:t>, 447, 116909.</w:t>
      </w:r>
    </w:p>
    <w:p w14:paraId="0B90749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lastRenderedPageBreak/>
        <w:t xml:space="preserve">Zhu, F., Qu, L., Hong, X., &amp; Sun, X. (2011). </w:t>
      </w:r>
      <w:r w:rsidRPr="00814733">
        <w:rPr>
          <w:rFonts w:ascii="Arial" w:hAnsi="Arial" w:cs="Arial"/>
          <w:sz w:val="22"/>
          <w:szCs w:val="22"/>
        </w:rPr>
        <w:t>Isolation and characterization of a phosphate</w:t>
      </w:r>
      <w:r w:rsidRPr="00814733">
        <w:rPr>
          <w:rFonts w:ascii="Cambria Math" w:hAnsi="Cambria Math" w:cs="Cambria Math"/>
          <w:sz w:val="22"/>
          <w:szCs w:val="22"/>
        </w:rPr>
        <w:t>‐</w:t>
      </w:r>
      <w:r w:rsidRPr="00814733">
        <w:rPr>
          <w:rFonts w:ascii="Arial" w:hAnsi="Arial" w:cs="Arial"/>
          <w:sz w:val="22"/>
          <w:szCs w:val="22"/>
        </w:rPr>
        <w:t xml:space="preserve">solubilizing </w:t>
      </w:r>
      <w:proofErr w:type="spellStart"/>
      <w:r w:rsidRPr="00814733">
        <w:rPr>
          <w:rFonts w:ascii="Arial" w:hAnsi="Arial" w:cs="Arial"/>
          <w:sz w:val="22"/>
          <w:szCs w:val="22"/>
        </w:rPr>
        <w:t>halophilic</w:t>
      </w:r>
      <w:proofErr w:type="spellEnd"/>
      <w:r w:rsidRPr="00814733">
        <w:rPr>
          <w:rFonts w:ascii="Arial" w:hAnsi="Arial" w:cs="Arial"/>
          <w:sz w:val="22"/>
          <w:szCs w:val="22"/>
        </w:rPr>
        <w:t xml:space="preserve"> bacterium </w:t>
      </w:r>
      <w:proofErr w:type="spellStart"/>
      <w:r w:rsidRPr="00814733">
        <w:rPr>
          <w:rFonts w:ascii="Arial" w:hAnsi="Arial" w:cs="Arial"/>
          <w:sz w:val="22"/>
          <w:szCs w:val="22"/>
        </w:rPr>
        <w:t>Kushneria</w:t>
      </w:r>
      <w:proofErr w:type="spellEnd"/>
      <w:r w:rsidRPr="00814733">
        <w:rPr>
          <w:rFonts w:ascii="Arial" w:hAnsi="Arial" w:cs="Arial"/>
          <w:sz w:val="22"/>
          <w:szCs w:val="22"/>
        </w:rPr>
        <w:t xml:space="preserve"> sp. YCWA18 from </w:t>
      </w:r>
      <w:proofErr w:type="spellStart"/>
      <w:r w:rsidRPr="00814733">
        <w:rPr>
          <w:rFonts w:ascii="Arial" w:hAnsi="Arial" w:cs="Arial"/>
          <w:sz w:val="22"/>
          <w:szCs w:val="22"/>
        </w:rPr>
        <w:t>Daqiao</w:t>
      </w:r>
      <w:proofErr w:type="spellEnd"/>
      <w:r w:rsidRPr="00814733">
        <w:rPr>
          <w:rFonts w:ascii="Arial" w:hAnsi="Arial" w:cs="Arial"/>
          <w:sz w:val="22"/>
          <w:szCs w:val="22"/>
        </w:rPr>
        <w:t xml:space="preserve"> </w:t>
      </w:r>
      <w:proofErr w:type="spellStart"/>
      <w:r w:rsidRPr="00814733">
        <w:rPr>
          <w:rFonts w:ascii="Arial" w:hAnsi="Arial" w:cs="Arial"/>
          <w:sz w:val="22"/>
          <w:szCs w:val="22"/>
        </w:rPr>
        <w:t>Saltern</w:t>
      </w:r>
      <w:proofErr w:type="spellEnd"/>
      <w:r w:rsidRPr="00814733">
        <w:rPr>
          <w:rFonts w:ascii="Arial" w:hAnsi="Arial" w:cs="Arial"/>
          <w:sz w:val="22"/>
          <w:szCs w:val="22"/>
        </w:rPr>
        <w:t xml:space="preserve"> on the coast of Yellow Sea of China. </w:t>
      </w:r>
      <w:r w:rsidRPr="00814733">
        <w:rPr>
          <w:rFonts w:ascii="Arial" w:hAnsi="Arial" w:cs="Arial"/>
          <w:i/>
          <w:iCs/>
          <w:sz w:val="22"/>
          <w:szCs w:val="22"/>
        </w:rPr>
        <w:t>Evidence</w:t>
      </w:r>
      <w:r w:rsidRPr="00814733">
        <w:rPr>
          <w:rFonts w:ascii="Cambria Math" w:hAnsi="Cambria Math" w:cs="Cambria Math"/>
          <w:i/>
          <w:iCs/>
          <w:sz w:val="22"/>
          <w:szCs w:val="22"/>
        </w:rPr>
        <w:t>‐</w:t>
      </w:r>
      <w:r w:rsidRPr="00814733">
        <w:rPr>
          <w:rFonts w:ascii="Arial" w:hAnsi="Arial" w:cs="Arial"/>
          <w:i/>
          <w:iCs/>
          <w:sz w:val="22"/>
          <w:szCs w:val="22"/>
        </w:rPr>
        <w:t>based Complementary and Alternative Medicine</w:t>
      </w:r>
      <w:r w:rsidRPr="00814733">
        <w:rPr>
          <w:rFonts w:ascii="Arial" w:hAnsi="Arial" w:cs="Arial"/>
          <w:sz w:val="22"/>
          <w:szCs w:val="22"/>
        </w:rPr>
        <w:t>, </w:t>
      </w:r>
      <w:r w:rsidRPr="00814733">
        <w:rPr>
          <w:rFonts w:ascii="Arial" w:hAnsi="Arial" w:cs="Arial"/>
          <w:i/>
          <w:iCs/>
          <w:sz w:val="22"/>
          <w:szCs w:val="22"/>
        </w:rPr>
        <w:t>2011</w:t>
      </w:r>
      <w:r w:rsidRPr="00814733">
        <w:rPr>
          <w:rFonts w:ascii="Arial" w:hAnsi="Arial" w:cs="Arial"/>
          <w:sz w:val="22"/>
          <w:szCs w:val="22"/>
        </w:rPr>
        <w:t>(1), 615032.</w:t>
      </w:r>
    </w:p>
    <w:p w14:paraId="3FD55FD4"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77CA30D6"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22C0865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4EEF8B1B"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sectPr w:rsidR="004E30AC" w:rsidRPr="00381390">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94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RSONAL" w:date="2026-01-12T19:01:00Z" w:initials="P">
    <w:p w14:paraId="1E5B2DA7" w14:textId="3455A6C7" w:rsidR="00582119" w:rsidRDefault="00582119">
      <w:pPr>
        <w:pStyle w:val="CommentText"/>
      </w:pPr>
      <w:r>
        <w:rPr>
          <w:rStyle w:val="CommentReference"/>
        </w:rPr>
        <w:annotationRef/>
      </w:r>
      <w:r>
        <w:t>Replace with major</w:t>
      </w:r>
    </w:p>
  </w:comment>
  <w:comment w:id="1" w:author="PERSONAL" w:date="2026-01-12T19:01:00Z" w:initials="P">
    <w:p w14:paraId="54EC02AC" w14:textId="186FB3B5" w:rsidR="00582119" w:rsidRDefault="00582119">
      <w:pPr>
        <w:pStyle w:val="CommentText"/>
      </w:pPr>
      <w:r>
        <w:rPr>
          <w:rStyle w:val="CommentReference"/>
        </w:rPr>
        <w:annotationRef/>
      </w:r>
      <w:r>
        <w:t>Replace with system</w:t>
      </w:r>
    </w:p>
  </w:comment>
  <w:comment w:id="2" w:author="PERSONAL" w:date="2026-01-12T19:02:00Z" w:initials="P">
    <w:p w14:paraId="104DF761" w14:textId="55FD0C7B" w:rsidR="00582119" w:rsidRDefault="00582119">
      <w:pPr>
        <w:pStyle w:val="CommentText"/>
      </w:pPr>
      <w:r>
        <w:rPr>
          <w:rStyle w:val="CommentReference"/>
        </w:rPr>
        <w:annotationRef/>
      </w:r>
      <w:r>
        <w:t>Reference for this statement?</w:t>
      </w:r>
    </w:p>
  </w:comment>
  <w:comment w:id="3" w:author="PERSONAL" w:date="2026-01-12T19:00:00Z" w:initials="P">
    <w:p w14:paraId="7542FB32" w14:textId="71DBF537" w:rsidR="00582119" w:rsidRDefault="00582119">
      <w:pPr>
        <w:pStyle w:val="CommentText"/>
      </w:pPr>
      <w:r>
        <w:rPr>
          <w:rStyle w:val="CommentReference"/>
        </w:rPr>
        <w:annotationRef/>
      </w:r>
      <w:r>
        <w:t xml:space="preserve">Please add name of each microorganism </w:t>
      </w:r>
    </w:p>
  </w:comment>
  <w:comment w:id="4" w:author="PERSONAL" w:date="2026-01-12T19:02:00Z" w:initials="P">
    <w:p w14:paraId="67D4BAB3" w14:textId="26E0270E" w:rsidR="00582119" w:rsidRDefault="00582119">
      <w:pPr>
        <w:pStyle w:val="CommentText"/>
      </w:pPr>
      <w:r>
        <w:rPr>
          <w:rStyle w:val="CommentReference"/>
        </w:rPr>
        <w:annotationRef/>
      </w:r>
      <w:r>
        <w:t>Give enter and put below the second point</w:t>
      </w:r>
    </w:p>
  </w:comment>
  <w:comment w:id="5" w:author="PERSONAL" w:date="2026-01-12T19:03:00Z" w:initials="P">
    <w:p w14:paraId="00470324" w14:textId="65F964F7" w:rsidR="00582119" w:rsidRDefault="00582119">
      <w:pPr>
        <w:pStyle w:val="CommentText"/>
      </w:pPr>
      <w:r>
        <w:rPr>
          <w:rStyle w:val="CommentReference"/>
        </w:rPr>
        <w:annotationRef/>
      </w:r>
      <w:r>
        <w:t>At the end, include any recent study on N fixation and illustrate the fixation process for better understanding</w:t>
      </w:r>
    </w:p>
  </w:comment>
  <w:comment w:id="6" w:author="PERSONAL" w:date="2026-01-12T19:03:00Z" w:initials="P">
    <w:p w14:paraId="2BA3365E" w14:textId="398A8789" w:rsidR="00582119" w:rsidRDefault="00582119">
      <w:pPr>
        <w:pStyle w:val="CommentText"/>
      </w:pPr>
      <w:r>
        <w:rPr>
          <w:rStyle w:val="CommentReference"/>
        </w:rPr>
        <w:annotationRef/>
      </w:r>
      <w:r>
        <w:t xml:space="preserve">Old reference </w:t>
      </w:r>
    </w:p>
  </w:comment>
  <w:comment w:id="8" w:author="PERSONAL" w:date="2026-01-12T19:04:00Z" w:initials="P">
    <w:p w14:paraId="127E742E" w14:textId="528976FA" w:rsidR="00582119" w:rsidRDefault="00582119">
      <w:pPr>
        <w:pStyle w:val="CommentText"/>
      </w:pPr>
      <w:r>
        <w:rPr>
          <w:rStyle w:val="CommentReference"/>
        </w:rPr>
        <w:annotationRef/>
      </w:r>
      <w:r>
        <w:t>Full form</w:t>
      </w:r>
    </w:p>
  </w:comment>
  <w:comment w:id="9" w:author="PERSONAL" w:date="2026-01-12T19:05:00Z" w:initials="P">
    <w:p w14:paraId="7EA63314" w14:textId="7E135C30" w:rsidR="00582119" w:rsidRDefault="00582119">
      <w:pPr>
        <w:pStyle w:val="CommentText"/>
      </w:pPr>
      <w:r>
        <w:rPr>
          <w:rStyle w:val="CommentReference"/>
        </w:rPr>
        <w:annotationRef/>
      </w:r>
      <w:r>
        <w:t>In every aspect from providing above, put recent case study and cite recent reference.</w:t>
      </w:r>
    </w:p>
  </w:comment>
  <w:comment w:id="10" w:author="PERSONAL" w:date="2026-01-12T19:05:00Z" w:initials="P">
    <w:p w14:paraId="47C488BC" w14:textId="142E4ACF" w:rsidR="00582119" w:rsidRDefault="00582119">
      <w:pPr>
        <w:pStyle w:val="CommentText"/>
      </w:pPr>
      <w:r>
        <w:rPr>
          <w:rStyle w:val="CommentReference"/>
        </w:rPr>
        <w:annotationRef/>
      </w:r>
      <w:r>
        <w:t>Where is reference</w:t>
      </w:r>
    </w:p>
  </w:comment>
  <w:comment w:id="11" w:author="PERSONAL" w:date="2026-01-12T19:05:00Z" w:initials="P">
    <w:p w14:paraId="4EF8AC0F" w14:textId="46830D03" w:rsidR="00582119" w:rsidRDefault="00582119">
      <w:pPr>
        <w:pStyle w:val="CommentText"/>
      </w:pPr>
      <w:r>
        <w:rPr>
          <w:rStyle w:val="CommentReference"/>
        </w:rPr>
        <w:annotationRef/>
      </w:r>
      <w:r>
        <w:t>Very old reference</w:t>
      </w:r>
    </w:p>
  </w:comment>
  <w:comment w:id="12" w:author="PERSONAL" w:date="2026-01-12T19:07:00Z" w:initials="P">
    <w:p w14:paraId="2C9713F1" w14:textId="77CA444B" w:rsidR="00582119" w:rsidRDefault="00582119">
      <w:pPr>
        <w:pStyle w:val="CommentText"/>
      </w:pPr>
      <w:r>
        <w:rPr>
          <w:rStyle w:val="CommentReference"/>
        </w:rPr>
        <w:annotationRef/>
      </w:r>
      <w:r>
        <w:t>Is it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5B2DA7" w15:done="0"/>
  <w15:commentEx w15:paraId="54EC02AC" w15:done="0"/>
  <w15:commentEx w15:paraId="104DF761" w15:done="0"/>
  <w15:commentEx w15:paraId="7542FB32" w15:done="0"/>
  <w15:commentEx w15:paraId="67D4BAB3" w15:done="0"/>
  <w15:commentEx w15:paraId="00470324" w15:done="0"/>
  <w15:commentEx w15:paraId="2BA3365E" w15:done="0"/>
  <w15:commentEx w15:paraId="127E742E" w15:done="0"/>
  <w15:commentEx w15:paraId="7EA63314" w15:done="0"/>
  <w15:commentEx w15:paraId="47C488BC" w15:done="0"/>
  <w15:commentEx w15:paraId="4EF8AC0F" w15:done="0"/>
  <w15:commentEx w15:paraId="2C9713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372FB" w14:textId="77777777" w:rsidR="00E71A40" w:rsidRDefault="00E71A40">
      <w:r>
        <w:separator/>
      </w:r>
    </w:p>
  </w:endnote>
  <w:endnote w:type="continuationSeparator" w:id="0">
    <w:p w14:paraId="5353262F" w14:textId="77777777" w:rsidR="00E71A40" w:rsidRDefault="00E7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rinda">
    <w:altName w:val="ESRI NIMA VMAP1&amp;2 PT"/>
    <w:panose1 w:val="000004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73FE4" w14:textId="77777777" w:rsidR="00EF360D" w:rsidRDefault="00EF3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4B1BE" w14:textId="77777777" w:rsidR="00EF360D" w:rsidRDefault="00EF3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9AB79" w14:textId="77777777" w:rsidR="00EF360D" w:rsidRDefault="00EF3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029B2" w14:textId="77777777" w:rsidR="00E71A40" w:rsidRDefault="00E71A40">
      <w:r>
        <w:separator/>
      </w:r>
    </w:p>
  </w:footnote>
  <w:footnote w:type="continuationSeparator" w:id="0">
    <w:p w14:paraId="4AC54C00" w14:textId="77777777" w:rsidR="00E71A40" w:rsidRDefault="00E7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369A" w14:textId="26F39D1F" w:rsidR="00EF360D" w:rsidRDefault="00E71A40">
    <w:pPr>
      <w:pStyle w:val="Header"/>
    </w:pPr>
    <w:r>
      <w:rPr>
        <w:noProof/>
      </w:rPr>
      <w:pict w14:anchorId="36CB0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19" o:spid="_x0000_s2050" type="#_x0000_t136" style="position:absolute;margin-left:0;margin-top:0;width:538.15pt;height:60.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6EA8" w14:textId="369F14A6" w:rsidR="00EF360D" w:rsidRDefault="00E71A40">
    <w:pPr>
      <w:pStyle w:val="Header"/>
    </w:pPr>
    <w:r>
      <w:rPr>
        <w:noProof/>
      </w:rPr>
      <w:pict w14:anchorId="01FBD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20" o:spid="_x0000_s2051" type="#_x0000_t136" style="position:absolute;margin-left:0;margin-top:0;width:538.15pt;height:60.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9918" w14:textId="5962096E" w:rsidR="00EF360D" w:rsidRDefault="00E71A40">
    <w:pPr>
      <w:pStyle w:val="Header"/>
    </w:pPr>
    <w:r>
      <w:rPr>
        <w:noProof/>
      </w:rPr>
      <w:pict w14:anchorId="0274E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18" o:spid="_x0000_s2049" type="#_x0000_t136" style="position:absolute;margin-left:0;margin-top:0;width:538.15pt;height:60.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64D"/>
    <w:multiLevelType w:val="multilevel"/>
    <w:tmpl w:val="062A3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5DA72D2"/>
    <w:multiLevelType w:val="multilevel"/>
    <w:tmpl w:val="15DA7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E071811"/>
    <w:multiLevelType w:val="multilevel"/>
    <w:tmpl w:val="1E071811"/>
    <w:lvl w:ilvl="0">
      <w:start w:val="1"/>
      <w:numFmt w:val="decimal"/>
      <w:lvlText w:val="%1."/>
      <w:lvlJc w:val="left"/>
      <w:pPr>
        <w:ind w:left="36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166DF5"/>
    <w:multiLevelType w:val="multilevel"/>
    <w:tmpl w:val="25166DF5"/>
    <w:lvl w:ilvl="0">
      <w:start w:val="1"/>
      <w:numFmt w:val="bullet"/>
      <w:lvlText w:val=""/>
      <w:lvlJc w:val="left"/>
      <w:pPr>
        <w:ind w:left="720" w:hanging="360"/>
      </w:pPr>
      <w:rPr>
        <w:rFonts w:ascii="Symbol" w:hAnsi="Symbol"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893A5D"/>
    <w:multiLevelType w:val="multilevel"/>
    <w:tmpl w:val="28893A5D"/>
    <w:lvl w:ilvl="0">
      <w:start w:val="1"/>
      <w:numFmt w:val="decimal"/>
      <w:lvlText w:val="%1."/>
      <w:lvlJc w:val="left"/>
      <w:pPr>
        <w:ind w:left="5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62708F"/>
    <w:multiLevelType w:val="multilevel"/>
    <w:tmpl w:val="3762708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FF4CD6"/>
    <w:multiLevelType w:val="multilevel"/>
    <w:tmpl w:val="6FFF4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B21F5F"/>
    <w:multiLevelType w:val="multilevel"/>
    <w:tmpl w:val="74B21F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3"/>
  </w:num>
  <w:num w:numId="6">
    <w:abstractNumId w:val="0"/>
  </w:num>
  <w:num w:numId="7">
    <w:abstractNumId w:val="1"/>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22"/>
    <w:rsid w:val="00000F1F"/>
    <w:rsid w:val="00002653"/>
    <w:rsid w:val="000069C4"/>
    <w:rsid w:val="00011B2E"/>
    <w:rsid w:val="00012146"/>
    <w:rsid w:val="00014D64"/>
    <w:rsid w:val="000209D3"/>
    <w:rsid w:val="00023566"/>
    <w:rsid w:val="00027423"/>
    <w:rsid w:val="00031FD5"/>
    <w:rsid w:val="00035292"/>
    <w:rsid w:val="00035B1D"/>
    <w:rsid w:val="000407FD"/>
    <w:rsid w:val="000476D8"/>
    <w:rsid w:val="00050912"/>
    <w:rsid w:val="00055869"/>
    <w:rsid w:val="00060238"/>
    <w:rsid w:val="00061B1E"/>
    <w:rsid w:val="000635EC"/>
    <w:rsid w:val="00072022"/>
    <w:rsid w:val="0007283C"/>
    <w:rsid w:val="00095CFC"/>
    <w:rsid w:val="0009633B"/>
    <w:rsid w:val="00096D7B"/>
    <w:rsid w:val="000A29D2"/>
    <w:rsid w:val="000A4E4D"/>
    <w:rsid w:val="000B0911"/>
    <w:rsid w:val="000B72E7"/>
    <w:rsid w:val="000D0933"/>
    <w:rsid w:val="000D1F4F"/>
    <w:rsid w:val="000D4F63"/>
    <w:rsid w:val="000D75FA"/>
    <w:rsid w:val="000F2D70"/>
    <w:rsid w:val="000F5405"/>
    <w:rsid w:val="00100D91"/>
    <w:rsid w:val="001015B6"/>
    <w:rsid w:val="0010323F"/>
    <w:rsid w:val="001067FE"/>
    <w:rsid w:val="00111E70"/>
    <w:rsid w:val="00125B92"/>
    <w:rsid w:val="00134F87"/>
    <w:rsid w:val="00135134"/>
    <w:rsid w:val="001455F1"/>
    <w:rsid w:val="0015157E"/>
    <w:rsid w:val="0015501A"/>
    <w:rsid w:val="00156332"/>
    <w:rsid w:val="00161F3A"/>
    <w:rsid w:val="001776E1"/>
    <w:rsid w:val="0018232F"/>
    <w:rsid w:val="001962FA"/>
    <w:rsid w:val="001A043F"/>
    <w:rsid w:val="001A4080"/>
    <w:rsid w:val="001A7246"/>
    <w:rsid w:val="001B095D"/>
    <w:rsid w:val="001B30D4"/>
    <w:rsid w:val="001C41ED"/>
    <w:rsid w:val="001C7D61"/>
    <w:rsid w:val="001E1DD6"/>
    <w:rsid w:val="001E4DBB"/>
    <w:rsid w:val="001F0ADF"/>
    <w:rsid w:val="001F1F47"/>
    <w:rsid w:val="001F203C"/>
    <w:rsid w:val="001F5060"/>
    <w:rsid w:val="001F7422"/>
    <w:rsid w:val="00205318"/>
    <w:rsid w:val="00214566"/>
    <w:rsid w:val="00215A47"/>
    <w:rsid w:val="002200D8"/>
    <w:rsid w:val="00220310"/>
    <w:rsid w:val="002245DC"/>
    <w:rsid w:val="00224D49"/>
    <w:rsid w:val="00226002"/>
    <w:rsid w:val="00227FC4"/>
    <w:rsid w:val="00231110"/>
    <w:rsid w:val="00240E13"/>
    <w:rsid w:val="00245D6B"/>
    <w:rsid w:val="00246DF0"/>
    <w:rsid w:val="00251047"/>
    <w:rsid w:val="00256ECB"/>
    <w:rsid w:val="00261F06"/>
    <w:rsid w:val="002702D9"/>
    <w:rsid w:val="00272724"/>
    <w:rsid w:val="00275292"/>
    <w:rsid w:val="002758B9"/>
    <w:rsid w:val="0027639C"/>
    <w:rsid w:val="002769D5"/>
    <w:rsid w:val="00277EB2"/>
    <w:rsid w:val="002915BD"/>
    <w:rsid w:val="002921FA"/>
    <w:rsid w:val="00295FBF"/>
    <w:rsid w:val="00297EA4"/>
    <w:rsid w:val="002A690C"/>
    <w:rsid w:val="002A7F7A"/>
    <w:rsid w:val="002B1769"/>
    <w:rsid w:val="002C6FA0"/>
    <w:rsid w:val="002D60F7"/>
    <w:rsid w:val="002E19BD"/>
    <w:rsid w:val="002F2226"/>
    <w:rsid w:val="002F2765"/>
    <w:rsid w:val="002F4593"/>
    <w:rsid w:val="00301BF3"/>
    <w:rsid w:val="003044FF"/>
    <w:rsid w:val="00310F3A"/>
    <w:rsid w:val="00312894"/>
    <w:rsid w:val="0031354C"/>
    <w:rsid w:val="0031708E"/>
    <w:rsid w:val="00321D71"/>
    <w:rsid w:val="00324744"/>
    <w:rsid w:val="00326B52"/>
    <w:rsid w:val="00330051"/>
    <w:rsid w:val="003372E9"/>
    <w:rsid w:val="00346ACD"/>
    <w:rsid w:val="00353224"/>
    <w:rsid w:val="00357593"/>
    <w:rsid w:val="003641E3"/>
    <w:rsid w:val="00373208"/>
    <w:rsid w:val="00375270"/>
    <w:rsid w:val="00381390"/>
    <w:rsid w:val="00382793"/>
    <w:rsid w:val="00382B72"/>
    <w:rsid w:val="003900E7"/>
    <w:rsid w:val="003911AF"/>
    <w:rsid w:val="00392F1E"/>
    <w:rsid w:val="00393EA2"/>
    <w:rsid w:val="0039692B"/>
    <w:rsid w:val="003A1595"/>
    <w:rsid w:val="003A1C3C"/>
    <w:rsid w:val="003A2FDC"/>
    <w:rsid w:val="003A41D0"/>
    <w:rsid w:val="003C3E81"/>
    <w:rsid w:val="003C7D27"/>
    <w:rsid w:val="003D41B0"/>
    <w:rsid w:val="003D57AB"/>
    <w:rsid w:val="003D65B2"/>
    <w:rsid w:val="003D66A7"/>
    <w:rsid w:val="003E627F"/>
    <w:rsid w:val="003E68BF"/>
    <w:rsid w:val="003F4F43"/>
    <w:rsid w:val="003F5BAA"/>
    <w:rsid w:val="004001BD"/>
    <w:rsid w:val="00401D23"/>
    <w:rsid w:val="00414E21"/>
    <w:rsid w:val="00437A83"/>
    <w:rsid w:val="00442198"/>
    <w:rsid w:val="00447E68"/>
    <w:rsid w:val="00455512"/>
    <w:rsid w:val="0046109A"/>
    <w:rsid w:val="004627A0"/>
    <w:rsid w:val="004667B2"/>
    <w:rsid w:val="00470A1D"/>
    <w:rsid w:val="00472CC5"/>
    <w:rsid w:val="0047466B"/>
    <w:rsid w:val="004933FF"/>
    <w:rsid w:val="004960D4"/>
    <w:rsid w:val="00496723"/>
    <w:rsid w:val="004B1493"/>
    <w:rsid w:val="004C3B9B"/>
    <w:rsid w:val="004D48B8"/>
    <w:rsid w:val="004E30AC"/>
    <w:rsid w:val="004E43CC"/>
    <w:rsid w:val="004F171C"/>
    <w:rsid w:val="004F3045"/>
    <w:rsid w:val="004F31CD"/>
    <w:rsid w:val="00503490"/>
    <w:rsid w:val="005040FC"/>
    <w:rsid w:val="00505014"/>
    <w:rsid w:val="00512556"/>
    <w:rsid w:val="005131B2"/>
    <w:rsid w:val="0051742D"/>
    <w:rsid w:val="00522EC4"/>
    <w:rsid w:val="00523C73"/>
    <w:rsid w:val="0052547A"/>
    <w:rsid w:val="00525C35"/>
    <w:rsid w:val="00534EA2"/>
    <w:rsid w:val="00536926"/>
    <w:rsid w:val="0054230D"/>
    <w:rsid w:val="00543180"/>
    <w:rsid w:val="0054674C"/>
    <w:rsid w:val="00550BF7"/>
    <w:rsid w:val="00550C31"/>
    <w:rsid w:val="00551038"/>
    <w:rsid w:val="00554777"/>
    <w:rsid w:val="0056298A"/>
    <w:rsid w:val="0056567B"/>
    <w:rsid w:val="00566F85"/>
    <w:rsid w:val="00567345"/>
    <w:rsid w:val="005722AE"/>
    <w:rsid w:val="005732FC"/>
    <w:rsid w:val="00574CEF"/>
    <w:rsid w:val="00577208"/>
    <w:rsid w:val="00582119"/>
    <w:rsid w:val="00583533"/>
    <w:rsid w:val="005841A3"/>
    <w:rsid w:val="005A0318"/>
    <w:rsid w:val="005A0E9A"/>
    <w:rsid w:val="005A55EF"/>
    <w:rsid w:val="005B00B6"/>
    <w:rsid w:val="005B32F6"/>
    <w:rsid w:val="005B4846"/>
    <w:rsid w:val="005B5CF9"/>
    <w:rsid w:val="005D0302"/>
    <w:rsid w:val="005D11F8"/>
    <w:rsid w:val="005D44EB"/>
    <w:rsid w:val="005D657E"/>
    <w:rsid w:val="005D6AA4"/>
    <w:rsid w:val="005D78BD"/>
    <w:rsid w:val="005E096D"/>
    <w:rsid w:val="00600786"/>
    <w:rsid w:val="00602C13"/>
    <w:rsid w:val="00604661"/>
    <w:rsid w:val="0060485F"/>
    <w:rsid w:val="006124DB"/>
    <w:rsid w:val="00614E44"/>
    <w:rsid w:val="00616B5A"/>
    <w:rsid w:val="00625B2D"/>
    <w:rsid w:val="00630843"/>
    <w:rsid w:val="00633FDA"/>
    <w:rsid w:val="00635838"/>
    <w:rsid w:val="00636132"/>
    <w:rsid w:val="00650E9B"/>
    <w:rsid w:val="00654E07"/>
    <w:rsid w:val="006555F7"/>
    <w:rsid w:val="00655695"/>
    <w:rsid w:val="0066714F"/>
    <w:rsid w:val="00681DBF"/>
    <w:rsid w:val="00683FBE"/>
    <w:rsid w:val="00685D70"/>
    <w:rsid w:val="006863E2"/>
    <w:rsid w:val="006A43D1"/>
    <w:rsid w:val="006A4F42"/>
    <w:rsid w:val="006A707A"/>
    <w:rsid w:val="006B1946"/>
    <w:rsid w:val="006B502B"/>
    <w:rsid w:val="006C00D2"/>
    <w:rsid w:val="006C5C6E"/>
    <w:rsid w:val="006C7982"/>
    <w:rsid w:val="006D19C6"/>
    <w:rsid w:val="006D6498"/>
    <w:rsid w:val="006F4474"/>
    <w:rsid w:val="006F7DA6"/>
    <w:rsid w:val="00702395"/>
    <w:rsid w:val="007032C3"/>
    <w:rsid w:val="00706BDD"/>
    <w:rsid w:val="00707A57"/>
    <w:rsid w:val="0071053F"/>
    <w:rsid w:val="00713CA1"/>
    <w:rsid w:val="00713E54"/>
    <w:rsid w:val="00722863"/>
    <w:rsid w:val="0073006D"/>
    <w:rsid w:val="0073134F"/>
    <w:rsid w:val="00731680"/>
    <w:rsid w:val="00737791"/>
    <w:rsid w:val="0074009E"/>
    <w:rsid w:val="0074225F"/>
    <w:rsid w:val="007458B9"/>
    <w:rsid w:val="0076225A"/>
    <w:rsid w:val="0076347B"/>
    <w:rsid w:val="00766B9A"/>
    <w:rsid w:val="0077102D"/>
    <w:rsid w:val="00776634"/>
    <w:rsid w:val="00784C69"/>
    <w:rsid w:val="00785F21"/>
    <w:rsid w:val="00797F02"/>
    <w:rsid w:val="007A66A7"/>
    <w:rsid w:val="007B352E"/>
    <w:rsid w:val="007B35E3"/>
    <w:rsid w:val="007B4A08"/>
    <w:rsid w:val="007C00EA"/>
    <w:rsid w:val="007C4A6C"/>
    <w:rsid w:val="007D21C1"/>
    <w:rsid w:val="007D2E21"/>
    <w:rsid w:val="007E35FC"/>
    <w:rsid w:val="007E7C11"/>
    <w:rsid w:val="007F0A1E"/>
    <w:rsid w:val="007F479F"/>
    <w:rsid w:val="0080334C"/>
    <w:rsid w:val="00803A62"/>
    <w:rsid w:val="00804EF3"/>
    <w:rsid w:val="00814733"/>
    <w:rsid w:val="00814B44"/>
    <w:rsid w:val="00820434"/>
    <w:rsid w:val="00821C3D"/>
    <w:rsid w:val="00832DBB"/>
    <w:rsid w:val="00837C7C"/>
    <w:rsid w:val="008405AE"/>
    <w:rsid w:val="0084168A"/>
    <w:rsid w:val="00846B6A"/>
    <w:rsid w:val="008572CB"/>
    <w:rsid w:val="008614A9"/>
    <w:rsid w:val="00864415"/>
    <w:rsid w:val="008746A1"/>
    <w:rsid w:val="008777CB"/>
    <w:rsid w:val="008903C5"/>
    <w:rsid w:val="0089111D"/>
    <w:rsid w:val="00892A69"/>
    <w:rsid w:val="0089706D"/>
    <w:rsid w:val="008A6FBA"/>
    <w:rsid w:val="008C15DD"/>
    <w:rsid w:val="008C202D"/>
    <w:rsid w:val="008C6581"/>
    <w:rsid w:val="008D649C"/>
    <w:rsid w:val="008D773C"/>
    <w:rsid w:val="008E4889"/>
    <w:rsid w:val="008E4C75"/>
    <w:rsid w:val="008E62FA"/>
    <w:rsid w:val="008E6AEF"/>
    <w:rsid w:val="008F105C"/>
    <w:rsid w:val="008F3146"/>
    <w:rsid w:val="008F68BC"/>
    <w:rsid w:val="009207EB"/>
    <w:rsid w:val="00932888"/>
    <w:rsid w:val="00933926"/>
    <w:rsid w:val="00934ABC"/>
    <w:rsid w:val="009408FC"/>
    <w:rsid w:val="00944C1E"/>
    <w:rsid w:val="009477F6"/>
    <w:rsid w:val="00956BEA"/>
    <w:rsid w:val="00957470"/>
    <w:rsid w:val="00963710"/>
    <w:rsid w:val="00965910"/>
    <w:rsid w:val="00974ACB"/>
    <w:rsid w:val="0097587A"/>
    <w:rsid w:val="009758B6"/>
    <w:rsid w:val="00976F42"/>
    <w:rsid w:val="00992142"/>
    <w:rsid w:val="009A1CD5"/>
    <w:rsid w:val="009A2203"/>
    <w:rsid w:val="009A31A8"/>
    <w:rsid w:val="009A56D1"/>
    <w:rsid w:val="009A6C8D"/>
    <w:rsid w:val="009A71F7"/>
    <w:rsid w:val="009C0C4C"/>
    <w:rsid w:val="009C7A9F"/>
    <w:rsid w:val="009D2CA4"/>
    <w:rsid w:val="009D519B"/>
    <w:rsid w:val="009E00A5"/>
    <w:rsid w:val="009E5AB0"/>
    <w:rsid w:val="009F04DC"/>
    <w:rsid w:val="009F37FE"/>
    <w:rsid w:val="009F3EFC"/>
    <w:rsid w:val="00A03606"/>
    <w:rsid w:val="00A122AD"/>
    <w:rsid w:val="00A12450"/>
    <w:rsid w:val="00A155FB"/>
    <w:rsid w:val="00A16791"/>
    <w:rsid w:val="00A17036"/>
    <w:rsid w:val="00A20175"/>
    <w:rsid w:val="00A2447B"/>
    <w:rsid w:val="00A37A16"/>
    <w:rsid w:val="00A414B4"/>
    <w:rsid w:val="00A44792"/>
    <w:rsid w:val="00A46DC1"/>
    <w:rsid w:val="00A6045E"/>
    <w:rsid w:val="00A60927"/>
    <w:rsid w:val="00A64A24"/>
    <w:rsid w:val="00A6618C"/>
    <w:rsid w:val="00A73AC2"/>
    <w:rsid w:val="00A82A2F"/>
    <w:rsid w:val="00A86DDA"/>
    <w:rsid w:val="00A87B2B"/>
    <w:rsid w:val="00A900B6"/>
    <w:rsid w:val="00A93DEB"/>
    <w:rsid w:val="00A9411E"/>
    <w:rsid w:val="00A96531"/>
    <w:rsid w:val="00A97879"/>
    <w:rsid w:val="00AA020D"/>
    <w:rsid w:val="00AA2683"/>
    <w:rsid w:val="00AA3119"/>
    <w:rsid w:val="00AA50C1"/>
    <w:rsid w:val="00AA7482"/>
    <w:rsid w:val="00AA7B5C"/>
    <w:rsid w:val="00AB0244"/>
    <w:rsid w:val="00AB7913"/>
    <w:rsid w:val="00AC6CD5"/>
    <w:rsid w:val="00AF1C9C"/>
    <w:rsid w:val="00AF3016"/>
    <w:rsid w:val="00AF3A4B"/>
    <w:rsid w:val="00AF401A"/>
    <w:rsid w:val="00AF6453"/>
    <w:rsid w:val="00AF71B3"/>
    <w:rsid w:val="00B022A2"/>
    <w:rsid w:val="00B0284B"/>
    <w:rsid w:val="00B0437A"/>
    <w:rsid w:val="00B16503"/>
    <w:rsid w:val="00B170BC"/>
    <w:rsid w:val="00B35B9D"/>
    <w:rsid w:val="00B4220B"/>
    <w:rsid w:val="00B466FF"/>
    <w:rsid w:val="00B51909"/>
    <w:rsid w:val="00B65ABE"/>
    <w:rsid w:val="00B77C73"/>
    <w:rsid w:val="00B93030"/>
    <w:rsid w:val="00B974D3"/>
    <w:rsid w:val="00BA5972"/>
    <w:rsid w:val="00BA5D24"/>
    <w:rsid w:val="00BB093C"/>
    <w:rsid w:val="00BB1226"/>
    <w:rsid w:val="00BB50B0"/>
    <w:rsid w:val="00BC418F"/>
    <w:rsid w:val="00BC6D92"/>
    <w:rsid w:val="00BD1E36"/>
    <w:rsid w:val="00BD2990"/>
    <w:rsid w:val="00BD7BBD"/>
    <w:rsid w:val="00BF0A39"/>
    <w:rsid w:val="00BF75A9"/>
    <w:rsid w:val="00C00BB3"/>
    <w:rsid w:val="00C1411B"/>
    <w:rsid w:val="00C31DBE"/>
    <w:rsid w:val="00C42090"/>
    <w:rsid w:val="00C51916"/>
    <w:rsid w:val="00C52220"/>
    <w:rsid w:val="00C617D6"/>
    <w:rsid w:val="00C67B3F"/>
    <w:rsid w:val="00C7618C"/>
    <w:rsid w:val="00C82207"/>
    <w:rsid w:val="00C86684"/>
    <w:rsid w:val="00C87A8C"/>
    <w:rsid w:val="00C90E9F"/>
    <w:rsid w:val="00C94177"/>
    <w:rsid w:val="00C9476B"/>
    <w:rsid w:val="00CA6F2F"/>
    <w:rsid w:val="00CB4586"/>
    <w:rsid w:val="00CB7AC7"/>
    <w:rsid w:val="00CC2138"/>
    <w:rsid w:val="00CD7229"/>
    <w:rsid w:val="00CE27A7"/>
    <w:rsid w:val="00CF11EB"/>
    <w:rsid w:val="00D07EF5"/>
    <w:rsid w:val="00D12485"/>
    <w:rsid w:val="00D15CCA"/>
    <w:rsid w:val="00D27A23"/>
    <w:rsid w:val="00D52E5A"/>
    <w:rsid w:val="00D57964"/>
    <w:rsid w:val="00D67AB5"/>
    <w:rsid w:val="00D721D3"/>
    <w:rsid w:val="00D77052"/>
    <w:rsid w:val="00D7798D"/>
    <w:rsid w:val="00D91E2A"/>
    <w:rsid w:val="00D9261A"/>
    <w:rsid w:val="00DA2614"/>
    <w:rsid w:val="00DA32A9"/>
    <w:rsid w:val="00DA35D7"/>
    <w:rsid w:val="00DA3A29"/>
    <w:rsid w:val="00DA5486"/>
    <w:rsid w:val="00DA5BDF"/>
    <w:rsid w:val="00DA716E"/>
    <w:rsid w:val="00DB3625"/>
    <w:rsid w:val="00DB4BC6"/>
    <w:rsid w:val="00DC0F9B"/>
    <w:rsid w:val="00DC40F3"/>
    <w:rsid w:val="00DC66F9"/>
    <w:rsid w:val="00DD0C2E"/>
    <w:rsid w:val="00DD78FC"/>
    <w:rsid w:val="00DE26CF"/>
    <w:rsid w:val="00DE48C1"/>
    <w:rsid w:val="00DF1BB1"/>
    <w:rsid w:val="00DF2BDA"/>
    <w:rsid w:val="00DF662A"/>
    <w:rsid w:val="00DF6DF1"/>
    <w:rsid w:val="00E04865"/>
    <w:rsid w:val="00E16F74"/>
    <w:rsid w:val="00E36E86"/>
    <w:rsid w:val="00E44BB7"/>
    <w:rsid w:val="00E45450"/>
    <w:rsid w:val="00E50653"/>
    <w:rsid w:val="00E544F3"/>
    <w:rsid w:val="00E64422"/>
    <w:rsid w:val="00E71A40"/>
    <w:rsid w:val="00E84DF8"/>
    <w:rsid w:val="00E94CCB"/>
    <w:rsid w:val="00E95312"/>
    <w:rsid w:val="00E97FA3"/>
    <w:rsid w:val="00EA002E"/>
    <w:rsid w:val="00EB19BD"/>
    <w:rsid w:val="00EB4186"/>
    <w:rsid w:val="00EC4AFA"/>
    <w:rsid w:val="00ED4DCC"/>
    <w:rsid w:val="00ED58A6"/>
    <w:rsid w:val="00ED6782"/>
    <w:rsid w:val="00EF1802"/>
    <w:rsid w:val="00EF360D"/>
    <w:rsid w:val="00EF5EE2"/>
    <w:rsid w:val="00EF621E"/>
    <w:rsid w:val="00F05A7B"/>
    <w:rsid w:val="00F0666A"/>
    <w:rsid w:val="00F1378A"/>
    <w:rsid w:val="00F177AF"/>
    <w:rsid w:val="00F20B7F"/>
    <w:rsid w:val="00F229C2"/>
    <w:rsid w:val="00F23C89"/>
    <w:rsid w:val="00F26F8C"/>
    <w:rsid w:val="00F30489"/>
    <w:rsid w:val="00F3162D"/>
    <w:rsid w:val="00F32163"/>
    <w:rsid w:val="00F33985"/>
    <w:rsid w:val="00F35DEA"/>
    <w:rsid w:val="00F373D8"/>
    <w:rsid w:val="00F413E5"/>
    <w:rsid w:val="00F439EA"/>
    <w:rsid w:val="00F447CE"/>
    <w:rsid w:val="00F479B8"/>
    <w:rsid w:val="00F47FEA"/>
    <w:rsid w:val="00F50485"/>
    <w:rsid w:val="00F54B8F"/>
    <w:rsid w:val="00F61578"/>
    <w:rsid w:val="00F62216"/>
    <w:rsid w:val="00F6653B"/>
    <w:rsid w:val="00F6717F"/>
    <w:rsid w:val="00F71865"/>
    <w:rsid w:val="00F731B0"/>
    <w:rsid w:val="00F740A9"/>
    <w:rsid w:val="00F77CBB"/>
    <w:rsid w:val="00F8095D"/>
    <w:rsid w:val="00F87F0F"/>
    <w:rsid w:val="00FA21E9"/>
    <w:rsid w:val="00FA68BB"/>
    <w:rsid w:val="00FB2D9F"/>
    <w:rsid w:val="00FB5BE3"/>
    <w:rsid w:val="00FB6CD4"/>
    <w:rsid w:val="00FC1CA7"/>
    <w:rsid w:val="00FC22F2"/>
    <w:rsid w:val="00FC2764"/>
    <w:rsid w:val="00FC63CE"/>
    <w:rsid w:val="00FD2F2A"/>
    <w:rsid w:val="00FE3CBE"/>
    <w:rsid w:val="00FE4017"/>
    <w:rsid w:val="00FE5E5C"/>
    <w:rsid w:val="00FF0E79"/>
    <w:rsid w:val="01910A08"/>
    <w:rsid w:val="083D545E"/>
    <w:rsid w:val="098D27B7"/>
    <w:rsid w:val="0C3E33A6"/>
    <w:rsid w:val="0D130883"/>
    <w:rsid w:val="0FEE6FAE"/>
    <w:rsid w:val="1BC4709A"/>
    <w:rsid w:val="22C91E20"/>
    <w:rsid w:val="23AF3FB2"/>
    <w:rsid w:val="259453BA"/>
    <w:rsid w:val="27E47D56"/>
    <w:rsid w:val="2D011CD0"/>
    <w:rsid w:val="339C103A"/>
    <w:rsid w:val="3A13455A"/>
    <w:rsid w:val="41936A0C"/>
    <w:rsid w:val="429C6F45"/>
    <w:rsid w:val="4CBF7AF9"/>
    <w:rsid w:val="53731336"/>
    <w:rsid w:val="6368051D"/>
    <w:rsid w:val="673B426B"/>
    <w:rsid w:val="69090FE4"/>
    <w:rsid w:val="6EBA5637"/>
    <w:rsid w:val="7649701C"/>
    <w:rsid w:val="77032E97"/>
    <w:rsid w:val="77123A7A"/>
    <w:rsid w:val="79CF5664"/>
    <w:rsid w:val="7EA0044B"/>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CA5B1"/>
  <w15:docId w15:val="{79EF0C34-2E30-49E7-9D08-46960C50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link w:val="Heading1Char"/>
    <w:uiPriority w:val="9"/>
    <w:qFormat/>
    <w:rsid w:val="00F740A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qFormat/>
    <w:rPr>
      <w:color w:val="0563C1"/>
      <w:u w:val="single"/>
    </w:rPr>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3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character" w:customStyle="1" w:styleId="ff6">
    <w:name w:val="ff6"/>
    <w:basedOn w:val="DefaultParagraphFont"/>
    <w:qFormat/>
  </w:style>
  <w:style w:type="character" w:customStyle="1" w:styleId="ff4">
    <w:name w:val="ff4"/>
    <w:basedOn w:val="DefaultParagraphFont"/>
    <w:qFormat/>
  </w:style>
  <w:style w:type="character" w:customStyle="1" w:styleId="a">
    <w:name w:val="_"/>
    <w:basedOn w:val="DefaultParagraphFont"/>
    <w:qFormat/>
  </w:style>
  <w:style w:type="character" w:customStyle="1" w:styleId="ws1e0">
    <w:name w:val="ws1e0"/>
    <w:basedOn w:val="DefaultParagraphFont"/>
    <w:qFormat/>
  </w:style>
  <w:style w:type="character" w:customStyle="1" w:styleId="ws1e5">
    <w:name w:val="ws1e5"/>
    <w:basedOn w:val="DefaultParagraphFont"/>
    <w:qFormat/>
  </w:style>
  <w:style w:type="character" w:customStyle="1" w:styleId="yrbpuc">
    <w:name w:val="yrbpuc"/>
    <w:basedOn w:val="DefaultParagraphFont"/>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Heading1Char">
    <w:name w:val="Heading 1 Char"/>
    <w:basedOn w:val="DefaultParagraphFont"/>
    <w:link w:val="Heading1"/>
    <w:uiPriority w:val="9"/>
    <w:rsid w:val="00F740A9"/>
    <w:rPr>
      <w:rFonts w:eastAsia="Times New Roman"/>
      <w:b/>
      <w:bCs/>
      <w:kern w:val="36"/>
      <w:sz w:val="48"/>
      <w:szCs w:val="48"/>
    </w:rPr>
  </w:style>
  <w:style w:type="character" w:customStyle="1" w:styleId="UnresolvedMention">
    <w:name w:val="Unresolved Mention"/>
    <w:basedOn w:val="DefaultParagraphFont"/>
    <w:uiPriority w:val="99"/>
    <w:semiHidden/>
    <w:unhideWhenUsed/>
    <w:rsid w:val="00551038"/>
    <w:rPr>
      <w:color w:val="605E5C"/>
      <w:shd w:val="clear" w:color="auto" w:fill="E1DFDD"/>
    </w:rPr>
  </w:style>
  <w:style w:type="paragraph" w:styleId="Header">
    <w:name w:val="header"/>
    <w:basedOn w:val="Normal"/>
    <w:link w:val="HeaderChar"/>
    <w:uiPriority w:val="99"/>
    <w:unhideWhenUsed/>
    <w:rsid w:val="00EF360D"/>
    <w:pPr>
      <w:tabs>
        <w:tab w:val="center" w:pos="4680"/>
        <w:tab w:val="right" w:pos="9360"/>
      </w:tabs>
    </w:pPr>
  </w:style>
  <w:style w:type="character" w:customStyle="1" w:styleId="HeaderChar">
    <w:name w:val="Header Char"/>
    <w:basedOn w:val="DefaultParagraphFont"/>
    <w:link w:val="Header"/>
    <w:uiPriority w:val="99"/>
    <w:rsid w:val="00EF360D"/>
    <w:rPr>
      <w:rFonts w:eastAsia="Times New Roman"/>
      <w:sz w:val="24"/>
      <w:szCs w:val="24"/>
    </w:rPr>
  </w:style>
  <w:style w:type="paragraph" w:styleId="Footer">
    <w:name w:val="footer"/>
    <w:basedOn w:val="Normal"/>
    <w:link w:val="FooterChar"/>
    <w:uiPriority w:val="99"/>
    <w:unhideWhenUsed/>
    <w:rsid w:val="00EF360D"/>
    <w:pPr>
      <w:tabs>
        <w:tab w:val="center" w:pos="4680"/>
        <w:tab w:val="right" w:pos="9360"/>
      </w:tabs>
    </w:pPr>
  </w:style>
  <w:style w:type="character" w:customStyle="1" w:styleId="FooterChar">
    <w:name w:val="Footer Char"/>
    <w:basedOn w:val="DefaultParagraphFont"/>
    <w:link w:val="Footer"/>
    <w:uiPriority w:val="99"/>
    <w:rsid w:val="00EF360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81225">
      <w:bodyDiv w:val="1"/>
      <w:marLeft w:val="0"/>
      <w:marRight w:val="0"/>
      <w:marTop w:val="0"/>
      <w:marBottom w:val="0"/>
      <w:divBdr>
        <w:top w:val="none" w:sz="0" w:space="0" w:color="auto"/>
        <w:left w:val="none" w:sz="0" w:space="0" w:color="auto"/>
        <w:bottom w:val="none" w:sz="0" w:space="0" w:color="auto"/>
        <w:right w:val="none" w:sz="0" w:space="0" w:color="auto"/>
      </w:divBdr>
    </w:div>
    <w:div w:id="150298417">
      <w:bodyDiv w:val="1"/>
      <w:marLeft w:val="0"/>
      <w:marRight w:val="0"/>
      <w:marTop w:val="0"/>
      <w:marBottom w:val="0"/>
      <w:divBdr>
        <w:top w:val="none" w:sz="0" w:space="0" w:color="auto"/>
        <w:left w:val="none" w:sz="0" w:space="0" w:color="auto"/>
        <w:bottom w:val="none" w:sz="0" w:space="0" w:color="auto"/>
        <w:right w:val="none" w:sz="0" w:space="0" w:color="auto"/>
      </w:divBdr>
    </w:div>
    <w:div w:id="194780414">
      <w:bodyDiv w:val="1"/>
      <w:marLeft w:val="0"/>
      <w:marRight w:val="0"/>
      <w:marTop w:val="0"/>
      <w:marBottom w:val="0"/>
      <w:divBdr>
        <w:top w:val="none" w:sz="0" w:space="0" w:color="auto"/>
        <w:left w:val="none" w:sz="0" w:space="0" w:color="auto"/>
        <w:bottom w:val="none" w:sz="0" w:space="0" w:color="auto"/>
        <w:right w:val="none" w:sz="0" w:space="0" w:color="auto"/>
      </w:divBdr>
    </w:div>
    <w:div w:id="195847563">
      <w:bodyDiv w:val="1"/>
      <w:marLeft w:val="0"/>
      <w:marRight w:val="0"/>
      <w:marTop w:val="0"/>
      <w:marBottom w:val="0"/>
      <w:divBdr>
        <w:top w:val="none" w:sz="0" w:space="0" w:color="auto"/>
        <w:left w:val="none" w:sz="0" w:space="0" w:color="auto"/>
        <w:bottom w:val="none" w:sz="0" w:space="0" w:color="auto"/>
        <w:right w:val="none" w:sz="0" w:space="0" w:color="auto"/>
      </w:divBdr>
    </w:div>
    <w:div w:id="201216448">
      <w:bodyDiv w:val="1"/>
      <w:marLeft w:val="0"/>
      <w:marRight w:val="0"/>
      <w:marTop w:val="0"/>
      <w:marBottom w:val="0"/>
      <w:divBdr>
        <w:top w:val="none" w:sz="0" w:space="0" w:color="auto"/>
        <w:left w:val="none" w:sz="0" w:space="0" w:color="auto"/>
        <w:bottom w:val="none" w:sz="0" w:space="0" w:color="auto"/>
        <w:right w:val="none" w:sz="0" w:space="0" w:color="auto"/>
      </w:divBdr>
    </w:div>
    <w:div w:id="202986143">
      <w:bodyDiv w:val="1"/>
      <w:marLeft w:val="0"/>
      <w:marRight w:val="0"/>
      <w:marTop w:val="0"/>
      <w:marBottom w:val="0"/>
      <w:divBdr>
        <w:top w:val="none" w:sz="0" w:space="0" w:color="auto"/>
        <w:left w:val="none" w:sz="0" w:space="0" w:color="auto"/>
        <w:bottom w:val="none" w:sz="0" w:space="0" w:color="auto"/>
        <w:right w:val="none" w:sz="0" w:space="0" w:color="auto"/>
      </w:divBdr>
    </w:div>
    <w:div w:id="272443584">
      <w:bodyDiv w:val="1"/>
      <w:marLeft w:val="0"/>
      <w:marRight w:val="0"/>
      <w:marTop w:val="0"/>
      <w:marBottom w:val="0"/>
      <w:divBdr>
        <w:top w:val="none" w:sz="0" w:space="0" w:color="auto"/>
        <w:left w:val="none" w:sz="0" w:space="0" w:color="auto"/>
        <w:bottom w:val="none" w:sz="0" w:space="0" w:color="auto"/>
        <w:right w:val="none" w:sz="0" w:space="0" w:color="auto"/>
      </w:divBdr>
    </w:div>
    <w:div w:id="400836414">
      <w:bodyDiv w:val="1"/>
      <w:marLeft w:val="0"/>
      <w:marRight w:val="0"/>
      <w:marTop w:val="0"/>
      <w:marBottom w:val="0"/>
      <w:divBdr>
        <w:top w:val="none" w:sz="0" w:space="0" w:color="auto"/>
        <w:left w:val="none" w:sz="0" w:space="0" w:color="auto"/>
        <w:bottom w:val="none" w:sz="0" w:space="0" w:color="auto"/>
        <w:right w:val="none" w:sz="0" w:space="0" w:color="auto"/>
      </w:divBdr>
    </w:div>
    <w:div w:id="455485967">
      <w:bodyDiv w:val="1"/>
      <w:marLeft w:val="0"/>
      <w:marRight w:val="0"/>
      <w:marTop w:val="0"/>
      <w:marBottom w:val="0"/>
      <w:divBdr>
        <w:top w:val="none" w:sz="0" w:space="0" w:color="auto"/>
        <w:left w:val="none" w:sz="0" w:space="0" w:color="auto"/>
        <w:bottom w:val="none" w:sz="0" w:space="0" w:color="auto"/>
        <w:right w:val="none" w:sz="0" w:space="0" w:color="auto"/>
      </w:divBdr>
    </w:div>
    <w:div w:id="581718188">
      <w:bodyDiv w:val="1"/>
      <w:marLeft w:val="0"/>
      <w:marRight w:val="0"/>
      <w:marTop w:val="0"/>
      <w:marBottom w:val="0"/>
      <w:divBdr>
        <w:top w:val="none" w:sz="0" w:space="0" w:color="auto"/>
        <w:left w:val="none" w:sz="0" w:space="0" w:color="auto"/>
        <w:bottom w:val="none" w:sz="0" w:space="0" w:color="auto"/>
        <w:right w:val="none" w:sz="0" w:space="0" w:color="auto"/>
      </w:divBdr>
    </w:div>
    <w:div w:id="603804505">
      <w:bodyDiv w:val="1"/>
      <w:marLeft w:val="0"/>
      <w:marRight w:val="0"/>
      <w:marTop w:val="0"/>
      <w:marBottom w:val="0"/>
      <w:divBdr>
        <w:top w:val="none" w:sz="0" w:space="0" w:color="auto"/>
        <w:left w:val="none" w:sz="0" w:space="0" w:color="auto"/>
        <w:bottom w:val="none" w:sz="0" w:space="0" w:color="auto"/>
        <w:right w:val="none" w:sz="0" w:space="0" w:color="auto"/>
      </w:divBdr>
      <w:divsChild>
        <w:div w:id="439420636">
          <w:marLeft w:val="0"/>
          <w:marRight w:val="0"/>
          <w:marTop w:val="0"/>
          <w:marBottom w:val="0"/>
          <w:divBdr>
            <w:top w:val="none" w:sz="0" w:space="0" w:color="auto"/>
            <w:left w:val="none" w:sz="0" w:space="0" w:color="auto"/>
            <w:bottom w:val="none" w:sz="0" w:space="0" w:color="auto"/>
            <w:right w:val="none" w:sz="0" w:space="0" w:color="auto"/>
          </w:divBdr>
        </w:div>
        <w:div w:id="1593509579">
          <w:marLeft w:val="0"/>
          <w:marRight w:val="0"/>
          <w:marTop w:val="0"/>
          <w:marBottom w:val="0"/>
          <w:divBdr>
            <w:top w:val="none" w:sz="0" w:space="0" w:color="auto"/>
            <w:left w:val="none" w:sz="0" w:space="0" w:color="auto"/>
            <w:bottom w:val="none" w:sz="0" w:space="0" w:color="auto"/>
            <w:right w:val="none" w:sz="0" w:space="0" w:color="auto"/>
          </w:divBdr>
          <w:divsChild>
            <w:div w:id="9398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488">
      <w:bodyDiv w:val="1"/>
      <w:marLeft w:val="0"/>
      <w:marRight w:val="0"/>
      <w:marTop w:val="0"/>
      <w:marBottom w:val="0"/>
      <w:divBdr>
        <w:top w:val="none" w:sz="0" w:space="0" w:color="auto"/>
        <w:left w:val="none" w:sz="0" w:space="0" w:color="auto"/>
        <w:bottom w:val="none" w:sz="0" w:space="0" w:color="auto"/>
        <w:right w:val="none" w:sz="0" w:space="0" w:color="auto"/>
      </w:divBdr>
    </w:div>
    <w:div w:id="645627316">
      <w:bodyDiv w:val="1"/>
      <w:marLeft w:val="0"/>
      <w:marRight w:val="0"/>
      <w:marTop w:val="0"/>
      <w:marBottom w:val="0"/>
      <w:divBdr>
        <w:top w:val="none" w:sz="0" w:space="0" w:color="auto"/>
        <w:left w:val="none" w:sz="0" w:space="0" w:color="auto"/>
        <w:bottom w:val="none" w:sz="0" w:space="0" w:color="auto"/>
        <w:right w:val="none" w:sz="0" w:space="0" w:color="auto"/>
      </w:divBdr>
    </w:div>
    <w:div w:id="669796877">
      <w:bodyDiv w:val="1"/>
      <w:marLeft w:val="0"/>
      <w:marRight w:val="0"/>
      <w:marTop w:val="0"/>
      <w:marBottom w:val="0"/>
      <w:divBdr>
        <w:top w:val="none" w:sz="0" w:space="0" w:color="auto"/>
        <w:left w:val="none" w:sz="0" w:space="0" w:color="auto"/>
        <w:bottom w:val="none" w:sz="0" w:space="0" w:color="auto"/>
        <w:right w:val="none" w:sz="0" w:space="0" w:color="auto"/>
      </w:divBdr>
    </w:div>
    <w:div w:id="673920526">
      <w:bodyDiv w:val="1"/>
      <w:marLeft w:val="0"/>
      <w:marRight w:val="0"/>
      <w:marTop w:val="0"/>
      <w:marBottom w:val="0"/>
      <w:divBdr>
        <w:top w:val="none" w:sz="0" w:space="0" w:color="auto"/>
        <w:left w:val="none" w:sz="0" w:space="0" w:color="auto"/>
        <w:bottom w:val="none" w:sz="0" w:space="0" w:color="auto"/>
        <w:right w:val="none" w:sz="0" w:space="0" w:color="auto"/>
      </w:divBdr>
    </w:div>
    <w:div w:id="679165706">
      <w:bodyDiv w:val="1"/>
      <w:marLeft w:val="0"/>
      <w:marRight w:val="0"/>
      <w:marTop w:val="0"/>
      <w:marBottom w:val="0"/>
      <w:divBdr>
        <w:top w:val="none" w:sz="0" w:space="0" w:color="auto"/>
        <w:left w:val="none" w:sz="0" w:space="0" w:color="auto"/>
        <w:bottom w:val="none" w:sz="0" w:space="0" w:color="auto"/>
        <w:right w:val="none" w:sz="0" w:space="0" w:color="auto"/>
      </w:divBdr>
    </w:div>
    <w:div w:id="698169682">
      <w:bodyDiv w:val="1"/>
      <w:marLeft w:val="0"/>
      <w:marRight w:val="0"/>
      <w:marTop w:val="0"/>
      <w:marBottom w:val="0"/>
      <w:divBdr>
        <w:top w:val="none" w:sz="0" w:space="0" w:color="auto"/>
        <w:left w:val="none" w:sz="0" w:space="0" w:color="auto"/>
        <w:bottom w:val="none" w:sz="0" w:space="0" w:color="auto"/>
        <w:right w:val="none" w:sz="0" w:space="0" w:color="auto"/>
      </w:divBdr>
    </w:div>
    <w:div w:id="699815064">
      <w:bodyDiv w:val="1"/>
      <w:marLeft w:val="0"/>
      <w:marRight w:val="0"/>
      <w:marTop w:val="0"/>
      <w:marBottom w:val="0"/>
      <w:divBdr>
        <w:top w:val="none" w:sz="0" w:space="0" w:color="auto"/>
        <w:left w:val="none" w:sz="0" w:space="0" w:color="auto"/>
        <w:bottom w:val="none" w:sz="0" w:space="0" w:color="auto"/>
        <w:right w:val="none" w:sz="0" w:space="0" w:color="auto"/>
      </w:divBdr>
    </w:div>
    <w:div w:id="700666422">
      <w:bodyDiv w:val="1"/>
      <w:marLeft w:val="0"/>
      <w:marRight w:val="0"/>
      <w:marTop w:val="0"/>
      <w:marBottom w:val="0"/>
      <w:divBdr>
        <w:top w:val="none" w:sz="0" w:space="0" w:color="auto"/>
        <w:left w:val="none" w:sz="0" w:space="0" w:color="auto"/>
        <w:bottom w:val="none" w:sz="0" w:space="0" w:color="auto"/>
        <w:right w:val="none" w:sz="0" w:space="0" w:color="auto"/>
      </w:divBdr>
    </w:div>
    <w:div w:id="710307122">
      <w:bodyDiv w:val="1"/>
      <w:marLeft w:val="0"/>
      <w:marRight w:val="0"/>
      <w:marTop w:val="0"/>
      <w:marBottom w:val="0"/>
      <w:divBdr>
        <w:top w:val="none" w:sz="0" w:space="0" w:color="auto"/>
        <w:left w:val="none" w:sz="0" w:space="0" w:color="auto"/>
        <w:bottom w:val="none" w:sz="0" w:space="0" w:color="auto"/>
        <w:right w:val="none" w:sz="0" w:space="0" w:color="auto"/>
      </w:divBdr>
    </w:div>
    <w:div w:id="724108463">
      <w:bodyDiv w:val="1"/>
      <w:marLeft w:val="0"/>
      <w:marRight w:val="0"/>
      <w:marTop w:val="0"/>
      <w:marBottom w:val="0"/>
      <w:divBdr>
        <w:top w:val="none" w:sz="0" w:space="0" w:color="auto"/>
        <w:left w:val="none" w:sz="0" w:space="0" w:color="auto"/>
        <w:bottom w:val="none" w:sz="0" w:space="0" w:color="auto"/>
        <w:right w:val="none" w:sz="0" w:space="0" w:color="auto"/>
      </w:divBdr>
    </w:div>
    <w:div w:id="724598697">
      <w:bodyDiv w:val="1"/>
      <w:marLeft w:val="0"/>
      <w:marRight w:val="0"/>
      <w:marTop w:val="0"/>
      <w:marBottom w:val="0"/>
      <w:divBdr>
        <w:top w:val="none" w:sz="0" w:space="0" w:color="auto"/>
        <w:left w:val="none" w:sz="0" w:space="0" w:color="auto"/>
        <w:bottom w:val="none" w:sz="0" w:space="0" w:color="auto"/>
        <w:right w:val="none" w:sz="0" w:space="0" w:color="auto"/>
      </w:divBdr>
    </w:div>
    <w:div w:id="749501291">
      <w:bodyDiv w:val="1"/>
      <w:marLeft w:val="0"/>
      <w:marRight w:val="0"/>
      <w:marTop w:val="0"/>
      <w:marBottom w:val="0"/>
      <w:divBdr>
        <w:top w:val="none" w:sz="0" w:space="0" w:color="auto"/>
        <w:left w:val="none" w:sz="0" w:space="0" w:color="auto"/>
        <w:bottom w:val="none" w:sz="0" w:space="0" w:color="auto"/>
        <w:right w:val="none" w:sz="0" w:space="0" w:color="auto"/>
      </w:divBdr>
    </w:div>
    <w:div w:id="778529128">
      <w:bodyDiv w:val="1"/>
      <w:marLeft w:val="0"/>
      <w:marRight w:val="0"/>
      <w:marTop w:val="0"/>
      <w:marBottom w:val="0"/>
      <w:divBdr>
        <w:top w:val="none" w:sz="0" w:space="0" w:color="auto"/>
        <w:left w:val="none" w:sz="0" w:space="0" w:color="auto"/>
        <w:bottom w:val="none" w:sz="0" w:space="0" w:color="auto"/>
        <w:right w:val="none" w:sz="0" w:space="0" w:color="auto"/>
      </w:divBdr>
    </w:div>
    <w:div w:id="792285670">
      <w:bodyDiv w:val="1"/>
      <w:marLeft w:val="0"/>
      <w:marRight w:val="0"/>
      <w:marTop w:val="0"/>
      <w:marBottom w:val="0"/>
      <w:divBdr>
        <w:top w:val="none" w:sz="0" w:space="0" w:color="auto"/>
        <w:left w:val="none" w:sz="0" w:space="0" w:color="auto"/>
        <w:bottom w:val="none" w:sz="0" w:space="0" w:color="auto"/>
        <w:right w:val="none" w:sz="0" w:space="0" w:color="auto"/>
      </w:divBdr>
    </w:div>
    <w:div w:id="942347029">
      <w:bodyDiv w:val="1"/>
      <w:marLeft w:val="0"/>
      <w:marRight w:val="0"/>
      <w:marTop w:val="0"/>
      <w:marBottom w:val="0"/>
      <w:divBdr>
        <w:top w:val="none" w:sz="0" w:space="0" w:color="auto"/>
        <w:left w:val="none" w:sz="0" w:space="0" w:color="auto"/>
        <w:bottom w:val="none" w:sz="0" w:space="0" w:color="auto"/>
        <w:right w:val="none" w:sz="0" w:space="0" w:color="auto"/>
      </w:divBdr>
    </w:div>
    <w:div w:id="1005016572">
      <w:bodyDiv w:val="1"/>
      <w:marLeft w:val="0"/>
      <w:marRight w:val="0"/>
      <w:marTop w:val="0"/>
      <w:marBottom w:val="0"/>
      <w:divBdr>
        <w:top w:val="none" w:sz="0" w:space="0" w:color="auto"/>
        <w:left w:val="none" w:sz="0" w:space="0" w:color="auto"/>
        <w:bottom w:val="none" w:sz="0" w:space="0" w:color="auto"/>
        <w:right w:val="none" w:sz="0" w:space="0" w:color="auto"/>
      </w:divBdr>
    </w:div>
    <w:div w:id="1019770291">
      <w:bodyDiv w:val="1"/>
      <w:marLeft w:val="0"/>
      <w:marRight w:val="0"/>
      <w:marTop w:val="0"/>
      <w:marBottom w:val="0"/>
      <w:divBdr>
        <w:top w:val="none" w:sz="0" w:space="0" w:color="auto"/>
        <w:left w:val="none" w:sz="0" w:space="0" w:color="auto"/>
        <w:bottom w:val="none" w:sz="0" w:space="0" w:color="auto"/>
        <w:right w:val="none" w:sz="0" w:space="0" w:color="auto"/>
      </w:divBdr>
    </w:div>
    <w:div w:id="1022516284">
      <w:bodyDiv w:val="1"/>
      <w:marLeft w:val="0"/>
      <w:marRight w:val="0"/>
      <w:marTop w:val="0"/>
      <w:marBottom w:val="0"/>
      <w:divBdr>
        <w:top w:val="none" w:sz="0" w:space="0" w:color="auto"/>
        <w:left w:val="none" w:sz="0" w:space="0" w:color="auto"/>
        <w:bottom w:val="none" w:sz="0" w:space="0" w:color="auto"/>
        <w:right w:val="none" w:sz="0" w:space="0" w:color="auto"/>
      </w:divBdr>
    </w:div>
    <w:div w:id="1081488331">
      <w:bodyDiv w:val="1"/>
      <w:marLeft w:val="0"/>
      <w:marRight w:val="0"/>
      <w:marTop w:val="0"/>
      <w:marBottom w:val="0"/>
      <w:divBdr>
        <w:top w:val="none" w:sz="0" w:space="0" w:color="auto"/>
        <w:left w:val="none" w:sz="0" w:space="0" w:color="auto"/>
        <w:bottom w:val="none" w:sz="0" w:space="0" w:color="auto"/>
        <w:right w:val="none" w:sz="0" w:space="0" w:color="auto"/>
      </w:divBdr>
    </w:div>
    <w:div w:id="1162162428">
      <w:bodyDiv w:val="1"/>
      <w:marLeft w:val="0"/>
      <w:marRight w:val="0"/>
      <w:marTop w:val="0"/>
      <w:marBottom w:val="0"/>
      <w:divBdr>
        <w:top w:val="none" w:sz="0" w:space="0" w:color="auto"/>
        <w:left w:val="none" w:sz="0" w:space="0" w:color="auto"/>
        <w:bottom w:val="none" w:sz="0" w:space="0" w:color="auto"/>
        <w:right w:val="none" w:sz="0" w:space="0" w:color="auto"/>
      </w:divBdr>
    </w:div>
    <w:div w:id="1167209664">
      <w:bodyDiv w:val="1"/>
      <w:marLeft w:val="0"/>
      <w:marRight w:val="0"/>
      <w:marTop w:val="0"/>
      <w:marBottom w:val="0"/>
      <w:divBdr>
        <w:top w:val="none" w:sz="0" w:space="0" w:color="auto"/>
        <w:left w:val="none" w:sz="0" w:space="0" w:color="auto"/>
        <w:bottom w:val="none" w:sz="0" w:space="0" w:color="auto"/>
        <w:right w:val="none" w:sz="0" w:space="0" w:color="auto"/>
      </w:divBdr>
    </w:div>
    <w:div w:id="1209488421">
      <w:bodyDiv w:val="1"/>
      <w:marLeft w:val="0"/>
      <w:marRight w:val="0"/>
      <w:marTop w:val="0"/>
      <w:marBottom w:val="0"/>
      <w:divBdr>
        <w:top w:val="none" w:sz="0" w:space="0" w:color="auto"/>
        <w:left w:val="none" w:sz="0" w:space="0" w:color="auto"/>
        <w:bottom w:val="none" w:sz="0" w:space="0" w:color="auto"/>
        <w:right w:val="none" w:sz="0" w:space="0" w:color="auto"/>
      </w:divBdr>
    </w:div>
    <w:div w:id="1383361202">
      <w:bodyDiv w:val="1"/>
      <w:marLeft w:val="0"/>
      <w:marRight w:val="0"/>
      <w:marTop w:val="0"/>
      <w:marBottom w:val="0"/>
      <w:divBdr>
        <w:top w:val="none" w:sz="0" w:space="0" w:color="auto"/>
        <w:left w:val="none" w:sz="0" w:space="0" w:color="auto"/>
        <w:bottom w:val="none" w:sz="0" w:space="0" w:color="auto"/>
        <w:right w:val="none" w:sz="0" w:space="0" w:color="auto"/>
      </w:divBdr>
    </w:div>
    <w:div w:id="1447961604">
      <w:bodyDiv w:val="1"/>
      <w:marLeft w:val="0"/>
      <w:marRight w:val="0"/>
      <w:marTop w:val="0"/>
      <w:marBottom w:val="0"/>
      <w:divBdr>
        <w:top w:val="none" w:sz="0" w:space="0" w:color="auto"/>
        <w:left w:val="none" w:sz="0" w:space="0" w:color="auto"/>
        <w:bottom w:val="none" w:sz="0" w:space="0" w:color="auto"/>
        <w:right w:val="none" w:sz="0" w:space="0" w:color="auto"/>
      </w:divBdr>
    </w:div>
    <w:div w:id="1559634504">
      <w:bodyDiv w:val="1"/>
      <w:marLeft w:val="0"/>
      <w:marRight w:val="0"/>
      <w:marTop w:val="0"/>
      <w:marBottom w:val="0"/>
      <w:divBdr>
        <w:top w:val="none" w:sz="0" w:space="0" w:color="auto"/>
        <w:left w:val="none" w:sz="0" w:space="0" w:color="auto"/>
        <w:bottom w:val="none" w:sz="0" w:space="0" w:color="auto"/>
        <w:right w:val="none" w:sz="0" w:space="0" w:color="auto"/>
      </w:divBdr>
    </w:div>
    <w:div w:id="1567106397">
      <w:bodyDiv w:val="1"/>
      <w:marLeft w:val="0"/>
      <w:marRight w:val="0"/>
      <w:marTop w:val="0"/>
      <w:marBottom w:val="0"/>
      <w:divBdr>
        <w:top w:val="none" w:sz="0" w:space="0" w:color="auto"/>
        <w:left w:val="none" w:sz="0" w:space="0" w:color="auto"/>
        <w:bottom w:val="none" w:sz="0" w:space="0" w:color="auto"/>
        <w:right w:val="none" w:sz="0" w:space="0" w:color="auto"/>
      </w:divBdr>
    </w:div>
    <w:div w:id="1582254363">
      <w:bodyDiv w:val="1"/>
      <w:marLeft w:val="0"/>
      <w:marRight w:val="0"/>
      <w:marTop w:val="0"/>
      <w:marBottom w:val="0"/>
      <w:divBdr>
        <w:top w:val="none" w:sz="0" w:space="0" w:color="auto"/>
        <w:left w:val="none" w:sz="0" w:space="0" w:color="auto"/>
        <w:bottom w:val="none" w:sz="0" w:space="0" w:color="auto"/>
        <w:right w:val="none" w:sz="0" w:space="0" w:color="auto"/>
      </w:divBdr>
    </w:div>
    <w:div w:id="1594359815">
      <w:bodyDiv w:val="1"/>
      <w:marLeft w:val="0"/>
      <w:marRight w:val="0"/>
      <w:marTop w:val="0"/>
      <w:marBottom w:val="0"/>
      <w:divBdr>
        <w:top w:val="none" w:sz="0" w:space="0" w:color="auto"/>
        <w:left w:val="none" w:sz="0" w:space="0" w:color="auto"/>
        <w:bottom w:val="none" w:sz="0" w:space="0" w:color="auto"/>
        <w:right w:val="none" w:sz="0" w:space="0" w:color="auto"/>
      </w:divBdr>
    </w:div>
    <w:div w:id="1645349836">
      <w:bodyDiv w:val="1"/>
      <w:marLeft w:val="0"/>
      <w:marRight w:val="0"/>
      <w:marTop w:val="0"/>
      <w:marBottom w:val="0"/>
      <w:divBdr>
        <w:top w:val="none" w:sz="0" w:space="0" w:color="auto"/>
        <w:left w:val="none" w:sz="0" w:space="0" w:color="auto"/>
        <w:bottom w:val="none" w:sz="0" w:space="0" w:color="auto"/>
        <w:right w:val="none" w:sz="0" w:space="0" w:color="auto"/>
      </w:divBdr>
    </w:div>
    <w:div w:id="1684744126">
      <w:bodyDiv w:val="1"/>
      <w:marLeft w:val="0"/>
      <w:marRight w:val="0"/>
      <w:marTop w:val="0"/>
      <w:marBottom w:val="0"/>
      <w:divBdr>
        <w:top w:val="none" w:sz="0" w:space="0" w:color="auto"/>
        <w:left w:val="none" w:sz="0" w:space="0" w:color="auto"/>
        <w:bottom w:val="none" w:sz="0" w:space="0" w:color="auto"/>
        <w:right w:val="none" w:sz="0" w:space="0" w:color="auto"/>
      </w:divBdr>
    </w:div>
    <w:div w:id="1710106470">
      <w:bodyDiv w:val="1"/>
      <w:marLeft w:val="0"/>
      <w:marRight w:val="0"/>
      <w:marTop w:val="0"/>
      <w:marBottom w:val="0"/>
      <w:divBdr>
        <w:top w:val="none" w:sz="0" w:space="0" w:color="auto"/>
        <w:left w:val="none" w:sz="0" w:space="0" w:color="auto"/>
        <w:bottom w:val="none" w:sz="0" w:space="0" w:color="auto"/>
        <w:right w:val="none" w:sz="0" w:space="0" w:color="auto"/>
      </w:divBdr>
    </w:div>
    <w:div w:id="1735393389">
      <w:bodyDiv w:val="1"/>
      <w:marLeft w:val="0"/>
      <w:marRight w:val="0"/>
      <w:marTop w:val="0"/>
      <w:marBottom w:val="0"/>
      <w:divBdr>
        <w:top w:val="none" w:sz="0" w:space="0" w:color="auto"/>
        <w:left w:val="none" w:sz="0" w:space="0" w:color="auto"/>
        <w:bottom w:val="none" w:sz="0" w:space="0" w:color="auto"/>
        <w:right w:val="none" w:sz="0" w:space="0" w:color="auto"/>
      </w:divBdr>
    </w:div>
    <w:div w:id="1737321199">
      <w:bodyDiv w:val="1"/>
      <w:marLeft w:val="0"/>
      <w:marRight w:val="0"/>
      <w:marTop w:val="0"/>
      <w:marBottom w:val="0"/>
      <w:divBdr>
        <w:top w:val="none" w:sz="0" w:space="0" w:color="auto"/>
        <w:left w:val="none" w:sz="0" w:space="0" w:color="auto"/>
        <w:bottom w:val="none" w:sz="0" w:space="0" w:color="auto"/>
        <w:right w:val="none" w:sz="0" w:space="0" w:color="auto"/>
      </w:divBdr>
    </w:div>
    <w:div w:id="1786922527">
      <w:bodyDiv w:val="1"/>
      <w:marLeft w:val="0"/>
      <w:marRight w:val="0"/>
      <w:marTop w:val="0"/>
      <w:marBottom w:val="0"/>
      <w:divBdr>
        <w:top w:val="none" w:sz="0" w:space="0" w:color="auto"/>
        <w:left w:val="none" w:sz="0" w:space="0" w:color="auto"/>
        <w:bottom w:val="none" w:sz="0" w:space="0" w:color="auto"/>
        <w:right w:val="none" w:sz="0" w:space="0" w:color="auto"/>
      </w:divBdr>
    </w:div>
    <w:div w:id="1831092855">
      <w:bodyDiv w:val="1"/>
      <w:marLeft w:val="0"/>
      <w:marRight w:val="0"/>
      <w:marTop w:val="0"/>
      <w:marBottom w:val="0"/>
      <w:divBdr>
        <w:top w:val="none" w:sz="0" w:space="0" w:color="auto"/>
        <w:left w:val="none" w:sz="0" w:space="0" w:color="auto"/>
        <w:bottom w:val="none" w:sz="0" w:space="0" w:color="auto"/>
        <w:right w:val="none" w:sz="0" w:space="0" w:color="auto"/>
      </w:divBdr>
    </w:div>
    <w:div w:id="1887064557">
      <w:bodyDiv w:val="1"/>
      <w:marLeft w:val="0"/>
      <w:marRight w:val="0"/>
      <w:marTop w:val="0"/>
      <w:marBottom w:val="0"/>
      <w:divBdr>
        <w:top w:val="none" w:sz="0" w:space="0" w:color="auto"/>
        <w:left w:val="none" w:sz="0" w:space="0" w:color="auto"/>
        <w:bottom w:val="none" w:sz="0" w:space="0" w:color="auto"/>
        <w:right w:val="none" w:sz="0" w:space="0" w:color="auto"/>
      </w:divBdr>
    </w:div>
    <w:div w:id="1898131173">
      <w:bodyDiv w:val="1"/>
      <w:marLeft w:val="0"/>
      <w:marRight w:val="0"/>
      <w:marTop w:val="0"/>
      <w:marBottom w:val="0"/>
      <w:divBdr>
        <w:top w:val="none" w:sz="0" w:space="0" w:color="auto"/>
        <w:left w:val="none" w:sz="0" w:space="0" w:color="auto"/>
        <w:bottom w:val="none" w:sz="0" w:space="0" w:color="auto"/>
        <w:right w:val="none" w:sz="0" w:space="0" w:color="auto"/>
      </w:divBdr>
    </w:div>
    <w:div w:id="1922643655">
      <w:bodyDiv w:val="1"/>
      <w:marLeft w:val="0"/>
      <w:marRight w:val="0"/>
      <w:marTop w:val="0"/>
      <w:marBottom w:val="0"/>
      <w:divBdr>
        <w:top w:val="none" w:sz="0" w:space="0" w:color="auto"/>
        <w:left w:val="none" w:sz="0" w:space="0" w:color="auto"/>
        <w:bottom w:val="none" w:sz="0" w:space="0" w:color="auto"/>
        <w:right w:val="none" w:sz="0" w:space="0" w:color="auto"/>
      </w:divBdr>
    </w:div>
    <w:div w:id="2000577877">
      <w:bodyDiv w:val="1"/>
      <w:marLeft w:val="0"/>
      <w:marRight w:val="0"/>
      <w:marTop w:val="0"/>
      <w:marBottom w:val="0"/>
      <w:divBdr>
        <w:top w:val="none" w:sz="0" w:space="0" w:color="auto"/>
        <w:left w:val="none" w:sz="0" w:space="0" w:color="auto"/>
        <w:bottom w:val="none" w:sz="0" w:space="0" w:color="auto"/>
        <w:right w:val="none" w:sz="0" w:space="0" w:color="auto"/>
      </w:divBdr>
    </w:div>
    <w:div w:id="2008903984">
      <w:bodyDiv w:val="1"/>
      <w:marLeft w:val="0"/>
      <w:marRight w:val="0"/>
      <w:marTop w:val="0"/>
      <w:marBottom w:val="0"/>
      <w:divBdr>
        <w:top w:val="none" w:sz="0" w:space="0" w:color="auto"/>
        <w:left w:val="none" w:sz="0" w:space="0" w:color="auto"/>
        <w:bottom w:val="none" w:sz="0" w:space="0" w:color="auto"/>
        <w:right w:val="none" w:sz="0" w:space="0" w:color="auto"/>
      </w:divBdr>
    </w:div>
    <w:div w:id="2013332386">
      <w:bodyDiv w:val="1"/>
      <w:marLeft w:val="0"/>
      <w:marRight w:val="0"/>
      <w:marTop w:val="0"/>
      <w:marBottom w:val="0"/>
      <w:divBdr>
        <w:top w:val="none" w:sz="0" w:space="0" w:color="auto"/>
        <w:left w:val="none" w:sz="0" w:space="0" w:color="auto"/>
        <w:bottom w:val="none" w:sz="0" w:space="0" w:color="auto"/>
        <w:right w:val="none" w:sz="0" w:space="0" w:color="auto"/>
      </w:divBdr>
    </w:div>
    <w:div w:id="2028479326">
      <w:bodyDiv w:val="1"/>
      <w:marLeft w:val="0"/>
      <w:marRight w:val="0"/>
      <w:marTop w:val="0"/>
      <w:marBottom w:val="0"/>
      <w:divBdr>
        <w:top w:val="none" w:sz="0" w:space="0" w:color="auto"/>
        <w:left w:val="none" w:sz="0" w:space="0" w:color="auto"/>
        <w:bottom w:val="none" w:sz="0" w:space="0" w:color="auto"/>
        <w:right w:val="none" w:sz="0" w:space="0" w:color="auto"/>
      </w:divBdr>
    </w:div>
    <w:div w:id="2053069216">
      <w:bodyDiv w:val="1"/>
      <w:marLeft w:val="0"/>
      <w:marRight w:val="0"/>
      <w:marTop w:val="0"/>
      <w:marBottom w:val="0"/>
      <w:divBdr>
        <w:top w:val="none" w:sz="0" w:space="0" w:color="auto"/>
        <w:left w:val="none" w:sz="0" w:space="0" w:color="auto"/>
        <w:bottom w:val="none" w:sz="0" w:space="0" w:color="auto"/>
        <w:right w:val="none" w:sz="0" w:space="0" w:color="auto"/>
      </w:divBdr>
    </w:div>
    <w:div w:id="2060549302">
      <w:bodyDiv w:val="1"/>
      <w:marLeft w:val="0"/>
      <w:marRight w:val="0"/>
      <w:marTop w:val="0"/>
      <w:marBottom w:val="0"/>
      <w:divBdr>
        <w:top w:val="none" w:sz="0" w:space="0" w:color="auto"/>
        <w:left w:val="none" w:sz="0" w:space="0" w:color="auto"/>
        <w:bottom w:val="none" w:sz="0" w:space="0" w:color="auto"/>
        <w:right w:val="none" w:sz="0" w:space="0" w:color="auto"/>
      </w:divBdr>
    </w:div>
    <w:div w:id="2132477159">
      <w:bodyDiv w:val="1"/>
      <w:marLeft w:val="0"/>
      <w:marRight w:val="0"/>
      <w:marTop w:val="0"/>
      <w:marBottom w:val="0"/>
      <w:divBdr>
        <w:top w:val="none" w:sz="0" w:space="0" w:color="auto"/>
        <w:left w:val="none" w:sz="0" w:space="0" w:color="auto"/>
        <w:bottom w:val="none" w:sz="0" w:space="0" w:color="auto"/>
        <w:right w:val="none" w:sz="0" w:space="0" w:color="auto"/>
      </w:divBdr>
    </w:div>
    <w:div w:id="2136752419">
      <w:bodyDiv w:val="1"/>
      <w:marLeft w:val="0"/>
      <w:marRight w:val="0"/>
      <w:marTop w:val="0"/>
      <w:marBottom w:val="0"/>
      <w:divBdr>
        <w:top w:val="none" w:sz="0" w:space="0" w:color="auto"/>
        <w:left w:val="none" w:sz="0" w:space="0" w:color="auto"/>
        <w:bottom w:val="none" w:sz="0" w:space="0" w:color="auto"/>
        <w:right w:val="none" w:sz="0" w:space="0" w:color="auto"/>
      </w:divBdr>
      <w:divsChild>
        <w:div w:id="1160735451">
          <w:marLeft w:val="0"/>
          <w:marRight w:val="0"/>
          <w:marTop w:val="0"/>
          <w:marBottom w:val="0"/>
          <w:divBdr>
            <w:top w:val="none" w:sz="0" w:space="0" w:color="auto"/>
            <w:left w:val="none" w:sz="0" w:space="0" w:color="auto"/>
            <w:bottom w:val="none" w:sz="0" w:space="0" w:color="auto"/>
            <w:right w:val="none" w:sz="0" w:space="0" w:color="auto"/>
          </w:divBdr>
        </w:div>
      </w:divsChild>
    </w:div>
    <w:div w:id="2137680389">
      <w:bodyDiv w:val="1"/>
      <w:marLeft w:val="0"/>
      <w:marRight w:val="0"/>
      <w:marTop w:val="0"/>
      <w:marBottom w:val="0"/>
      <w:divBdr>
        <w:top w:val="none" w:sz="0" w:space="0" w:color="auto"/>
        <w:left w:val="none" w:sz="0" w:space="0" w:color="auto"/>
        <w:bottom w:val="none" w:sz="0" w:space="0" w:color="auto"/>
        <w:right w:val="none" w:sz="0" w:space="0" w:color="auto"/>
      </w:divBdr>
    </w:div>
    <w:div w:id="214468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2E66-ED31-40EA-8CA1-A4E8DECA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35</Pages>
  <Words>11316</Words>
  <Characters>64506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PERSONAL</cp:lastModifiedBy>
  <cp:revision>348</cp:revision>
  <dcterms:created xsi:type="dcterms:W3CDTF">2024-11-26T00:35:00Z</dcterms:created>
  <dcterms:modified xsi:type="dcterms:W3CDTF">2026-01-12T13:38:00Z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D3B722F431E342CC89039DCBDCDF09B9_12</vt:lpwstr>
  </property>
</Properties>
</file>