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1B41" w14:textId="77777777" w:rsidR="00754C9A" w:rsidRDefault="00754C9A" w:rsidP="00441B6F">
      <w:pPr>
        <w:pStyle w:val="Title"/>
        <w:spacing w:after="0"/>
        <w:jc w:val="both"/>
        <w:rPr>
          <w:rFonts w:ascii="Arial" w:hAnsi="Arial" w:cs="Arial"/>
        </w:rPr>
      </w:pPr>
    </w:p>
    <w:p w14:paraId="5C0F3B2F" w14:textId="77777777" w:rsidR="00EB3CCE" w:rsidRDefault="00EB3CCE" w:rsidP="00F87424">
      <w:pPr>
        <w:pStyle w:val="Author"/>
        <w:spacing w:line="240" w:lineRule="auto"/>
        <w:rPr>
          <w:rFonts w:ascii="Arial" w:hAnsi="Arial" w:cs="Arial"/>
          <w:bCs/>
          <w:iCs/>
          <w:kern w:val="28"/>
          <w:sz w:val="36"/>
        </w:rPr>
      </w:pPr>
      <w:r w:rsidRPr="00EB3CCE">
        <w:rPr>
          <w:rFonts w:ascii="Arial" w:hAnsi="Arial" w:cs="Arial"/>
          <w:bCs/>
          <w:iCs/>
          <w:kern w:val="28"/>
          <w:sz w:val="36"/>
        </w:rPr>
        <w:t xml:space="preserve">Case report </w:t>
      </w:r>
    </w:p>
    <w:p w14:paraId="05B27824" w14:textId="1BD52C3F" w:rsidR="00A258C3" w:rsidRDefault="00177CE8" w:rsidP="00F87424">
      <w:pPr>
        <w:pStyle w:val="Author"/>
        <w:spacing w:line="240" w:lineRule="auto"/>
        <w:rPr>
          <w:rFonts w:ascii="Arial" w:hAnsi="Arial" w:cs="Arial"/>
          <w:bCs/>
          <w:iCs/>
          <w:kern w:val="28"/>
          <w:sz w:val="36"/>
        </w:rPr>
      </w:pPr>
      <w:r>
        <w:rPr>
          <w:rFonts w:ascii="Arial" w:hAnsi="Arial" w:cs="Arial"/>
          <w:bCs/>
          <w:iCs/>
          <w:kern w:val="28"/>
          <w:sz w:val="36"/>
        </w:rPr>
        <w:t>MOGAD Pre</w:t>
      </w:r>
      <w:r w:rsidR="00F87424" w:rsidRPr="00F87424">
        <w:rPr>
          <w:rFonts w:ascii="Arial" w:hAnsi="Arial" w:cs="Arial"/>
          <w:bCs/>
          <w:iCs/>
          <w:kern w:val="28"/>
          <w:sz w:val="36"/>
        </w:rPr>
        <w:t xml:space="preserve">senting </w:t>
      </w:r>
      <w:proofErr w:type="gramStart"/>
      <w:r w:rsidR="00F87424" w:rsidRPr="00F87424">
        <w:rPr>
          <w:rFonts w:ascii="Arial" w:hAnsi="Arial" w:cs="Arial"/>
          <w:bCs/>
          <w:iCs/>
          <w:kern w:val="28"/>
          <w:sz w:val="36"/>
        </w:rPr>
        <w:t>With</w:t>
      </w:r>
      <w:proofErr w:type="gramEnd"/>
      <w:r w:rsidR="00F87424" w:rsidRPr="00F87424">
        <w:rPr>
          <w:rFonts w:ascii="Arial" w:hAnsi="Arial" w:cs="Arial"/>
          <w:bCs/>
          <w:iCs/>
          <w:kern w:val="28"/>
          <w:sz w:val="36"/>
        </w:rPr>
        <w:t xml:space="preserve"> Acute Paraparesis </w:t>
      </w:r>
      <w:proofErr w:type="gramStart"/>
      <w:r w:rsidR="00F87424" w:rsidRPr="00F87424">
        <w:rPr>
          <w:rFonts w:ascii="Arial" w:hAnsi="Arial" w:cs="Arial"/>
          <w:bCs/>
          <w:iCs/>
          <w:kern w:val="28"/>
          <w:sz w:val="36"/>
        </w:rPr>
        <w:t>And</w:t>
      </w:r>
      <w:proofErr w:type="gramEnd"/>
      <w:r w:rsidR="00F87424" w:rsidRPr="00F87424">
        <w:rPr>
          <w:rFonts w:ascii="Arial" w:hAnsi="Arial" w:cs="Arial"/>
          <w:bCs/>
          <w:iCs/>
          <w:kern w:val="28"/>
          <w:sz w:val="36"/>
        </w:rPr>
        <w:t xml:space="preserve"> Neurogenic Bladder </w:t>
      </w:r>
      <w:proofErr w:type="gramStart"/>
      <w:r w:rsidR="00F87424" w:rsidRPr="00F87424">
        <w:rPr>
          <w:rFonts w:ascii="Arial" w:hAnsi="Arial" w:cs="Arial"/>
          <w:bCs/>
          <w:iCs/>
          <w:kern w:val="28"/>
          <w:sz w:val="36"/>
        </w:rPr>
        <w:t>A</w:t>
      </w:r>
      <w:proofErr w:type="gramEnd"/>
      <w:r w:rsidR="00F87424" w:rsidRPr="00F87424">
        <w:rPr>
          <w:rFonts w:ascii="Arial" w:hAnsi="Arial" w:cs="Arial"/>
          <w:bCs/>
          <w:iCs/>
          <w:kern w:val="28"/>
          <w:sz w:val="36"/>
        </w:rPr>
        <w:t xml:space="preserve"> Diagnostic Challenge </w:t>
      </w:r>
      <w:proofErr w:type="gramStart"/>
      <w:r w:rsidR="00F87424" w:rsidRPr="00F87424">
        <w:rPr>
          <w:rFonts w:ascii="Arial" w:hAnsi="Arial" w:cs="Arial"/>
          <w:bCs/>
          <w:iCs/>
          <w:kern w:val="28"/>
          <w:sz w:val="36"/>
        </w:rPr>
        <w:t>In</w:t>
      </w:r>
      <w:proofErr w:type="gramEnd"/>
      <w:r w:rsidR="00F87424" w:rsidRPr="00F87424">
        <w:rPr>
          <w:rFonts w:ascii="Arial" w:hAnsi="Arial" w:cs="Arial"/>
          <w:bCs/>
          <w:iCs/>
          <w:kern w:val="28"/>
          <w:sz w:val="36"/>
        </w:rPr>
        <w:t xml:space="preserve"> Young Adult</w:t>
      </w:r>
    </w:p>
    <w:p w14:paraId="35096284" w14:textId="77777777" w:rsidR="00B10211" w:rsidRPr="00790ADA" w:rsidRDefault="00B10211" w:rsidP="00F87424">
      <w:pPr>
        <w:pStyle w:val="Author"/>
        <w:spacing w:line="240" w:lineRule="auto"/>
        <w:rPr>
          <w:rFonts w:ascii="Arial" w:hAnsi="Arial" w:cs="Arial"/>
          <w:sz w:val="36"/>
        </w:rPr>
      </w:pPr>
    </w:p>
    <w:p w14:paraId="2CF0359C" w14:textId="77777777" w:rsidR="002C57D2" w:rsidRPr="00FB3A86" w:rsidRDefault="002C57D2" w:rsidP="00441B6F">
      <w:pPr>
        <w:pStyle w:val="Affiliation"/>
        <w:spacing w:after="0" w:line="240" w:lineRule="auto"/>
        <w:jc w:val="both"/>
        <w:rPr>
          <w:rFonts w:ascii="Arial" w:hAnsi="Arial" w:cs="Arial"/>
        </w:rPr>
      </w:pPr>
    </w:p>
    <w:p w14:paraId="16457AB1" w14:textId="77777777" w:rsidR="00B01FCD" w:rsidRPr="00FB3A86" w:rsidRDefault="005002B4" w:rsidP="00441B6F">
      <w:pPr>
        <w:pStyle w:val="Copyright"/>
        <w:spacing w:after="0" w:line="240" w:lineRule="auto"/>
        <w:jc w:val="both"/>
        <w:rPr>
          <w:rFonts w:ascii="Arial" w:hAnsi="Arial" w:cs="Arial"/>
        </w:rPr>
        <w:sectPr w:rsidR="00B01FCD" w:rsidRPr="00FB3A86" w:rsidSect="00E339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6A5F57E" wp14:editId="47C79846">
                <wp:extent cx="5303520" cy="0"/>
                <wp:effectExtent l="11430" t="13970" r="9525" b="1460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38EC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028083B0"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48B0EF" w14:textId="77777777" w:rsidR="001B5530" w:rsidRPr="00FB3A86" w:rsidRDefault="001B553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11"/>
      </w:tblGrid>
      <w:tr w:rsidR="00296529" w:rsidRPr="001E44FE" w14:paraId="509242EC" w14:textId="77777777" w:rsidTr="00135B4D">
        <w:trPr>
          <w:trHeight w:val="2591"/>
        </w:trPr>
        <w:tc>
          <w:tcPr>
            <w:tcW w:w="9911" w:type="dxa"/>
            <w:shd w:val="clear" w:color="auto" w:fill="F2F2F2"/>
          </w:tcPr>
          <w:p w14:paraId="5AB88AEE" w14:textId="77777777" w:rsidR="00E10959" w:rsidRDefault="00E10959" w:rsidP="00E10959">
            <w:pPr>
              <w:pStyle w:val="Body"/>
              <w:spacing w:after="0"/>
              <w:rPr>
                <w:rFonts w:ascii="Arial" w:eastAsia="Calibri" w:hAnsi="Arial" w:cs="Arial"/>
                <w:szCs w:val="22"/>
              </w:rPr>
            </w:pPr>
            <w:r w:rsidRPr="00E10959">
              <w:rPr>
                <w:rFonts w:ascii="Arial" w:eastAsia="Calibri" w:hAnsi="Arial" w:cs="Arial"/>
                <w:b/>
                <w:szCs w:val="22"/>
              </w:rPr>
              <w:t>Introduction:</w:t>
            </w:r>
            <w:r w:rsidRPr="00E10959">
              <w:rPr>
                <w:rFonts w:ascii="Arial" w:eastAsia="Calibri" w:hAnsi="Arial" w:cs="Arial"/>
                <w:szCs w:val="22"/>
              </w:rPr>
              <w:t xml:space="preserve"> Myelin oligodendrocyte glycoprotein antibody–associated disease (MOGAD) presents with varied neurological features and may mimic other causes of acute myelopathy, making early diagnosis challenging.</w:t>
            </w:r>
          </w:p>
          <w:p w14:paraId="74B6AF97" w14:textId="77777777" w:rsidR="00E10959" w:rsidRPr="00E10959" w:rsidRDefault="00E10959" w:rsidP="00E10959">
            <w:pPr>
              <w:pStyle w:val="Body"/>
              <w:spacing w:after="0"/>
              <w:rPr>
                <w:rFonts w:ascii="Arial" w:eastAsia="Calibri" w:hAnsi="Arial" w:cs="Arial"/>
                <w:szCs w:val="22"/>
              </w:rPr>
            </w:pPr>
            <w:r w:rsidRPr="00E10959">
              <w:rPr>
                <w:rFonts w:ascii="Arial" w:eastAsia="Calibri" w:hAnsi="Arial" w:cs="Arial"/>
                <w:b/>
                <w:szCs w:val="22"/>
              </w:rPr>
              <w:t>Case Presentation:</w:t>
            </w:r>
            <w:r w:rsidRPr="00E10959">
              <w:rPr>
                <w:rFonts w:ascii="Arial" w:eastAsia="Calibri" w:hAnsi="Arial" w:cs="Arial"/>
                <w:szCs w:val="22"/>
              </w:rPr>
              <w:t xml:space="preserve"> A 19-year-old male presented with rapidly progressive bilateral lower-limb weakness and acute urinary retention. MRI revealed longitudinally extensive transverse myelitis from the cervical to thoracic cord, with additional thalamic and optic chiasm involvement. CSF studies supported an inflammatory etiology, and markedly positive serum MOG-IgG confirmed MOGAD. High-dose corticosteroids led to significant neurological recovery, and rituximab was initiated for relapse prevention.</w:t>
            </w:r>
          </w:p>
          <w:p w14:paraId="1F7B199C" w14:textId="77777777" w:rsidR="00505F06" w:rsidRPr="00BA1B01" w:rsidRDefault="00E10959" w:rsidP="00E10959">
            <w:pPr>
              <w:pStyle w:val="Body"/>
              <w:spacing w:after="0"/>
              <w:rPr>
                <w:rFonts w:ascii="Arial" w:eastAsia="Calibri" w:hAnsi="Arial" w:cs="Arial"/>
                <w:szCs w:val="22"/>
              </w:rPr>
            </w:pPr>
            <w:r w:rsidRPr="00E10959">
              <w:rPr>
                <w:rFonts w:ascii="Arial" w:eastAsia="Calibri" w:hAnsi="Arial" w:cs="Arial"/>
                <w:b/>
                <w:szCs w:val="22"/>
              </w:rPr>
              <w:t>Conclusion:</w:t>
            </w:r>
            <w:r w:rsidRPr="00E10959">
              <w:rPr>
                <w:rFonts w:ascii="Arial" w:eastAsia="Calibri" w:hAnsi="Arial" w:cs="Arial"/>
                <w:szCs w:val="22"/>
              </w:rPr>
              <w:t xml:space="preserve"> This case highlights the diagnostic challenges of atypical MOGAD presentations and emphasizes the need for early serological testing, comprehensive neuroimaging, and prompt immunotherapy to prevent long-term disability.</w:t>
            </w:r>
          </w:p>
        </w:tc>
      </w:tr>
    </w:tbl>
    <w:p w14:paraId="161E3BFE" w14:textId="77777777" w:rsidR="00636EB2" w:rsidRDefault="00636EB2" w:rsidP="00441B6F">
      <w:pPr>
        <w:pStyle w:val="Body"/>
        <w:spacing w:after="0"/>
        <w:rPr>
          <w:rFonts w:ascii="Arial" w:hAnsi="Arial" w:cs="Arial"/>
          <w:i/>
        </w:rPr>
      </w:pPr>
    </w:p>
    <w:p w14:paraId="20F0341A" w14:textId="77777777" w:rsidR="00A24E7E" w:rsidRDefault="00A24E7E" w:rsidP="00441B6F">
      <w:pPr>
        <w:pStyle w:val="Body"/>
        <w:spacing w:after="0"/>
        <w:rPr>
          <w:rFonts w:ascii="Arial" w:hAnsi="Arial" w:cs="Arial"/>
          <w:i/>
        </w:rPr>
      </w:pPr>
      <w:r>
        <w:rPr>
          <w:rFonts w:ascii="Arial" w:hAnsi="Arial" w:cs="Arial"/>
          <w:i/>
        </w:rPr>
        <w:t xml:space="preserve">Keywords: </w:t>
      </w:r>
      <w:r w:rsidR="00E10959" w:rsidRPr="00E10959">
        <w:rPr>
          <w:rFonts w:ascii="Arial" w:hAnsi="Arial" w:cs="Arial"/>
          <w:i/>
        </w:rPr>
        <w:t>MOGAD; MOG-IgG; Longitudinally extensive transverse myelitis; Neurogenic bladder; Acute paraparesis; Demyelinating disorders.</w:t>
      </w:r>
    </w:p>
    <w:p w14:paraId="3A0B7F18" w14:textId="77777777" w:rsidR="0024282C" w:rsidRDefault="0024282C" w:rsidP="00441B6F">
      <w:pPr>
        <w:pStyle w:val="Body"/>
        <w:spacing w:after="0"/>
        <w:rPr>
          <w:rFonts w:ascii="Arial" w:hAnsi="Arial" w:cs="Arial"/>
          <w:i/>
          <w:sz w:val="18"/>
        </w:rPr>
      </w:pPr>
    </w:p>
    <w:p w14:paraId="661797A7" w14:textId="77777777" w:rsidR="00505F06" w:rsidRPr="00A24E7E" w:rsidRDefault="00505F06" w:rsidP="00441B6F">
      <w:pPr>
        <w:pStyle w:val="Body"/>
        <w:spacing w:after="0"/>
        <w:rPr>
          <w:rFonts w:ascii="Arial" w:hAnsi="Arial" w:cs="Arial"/>
          <w:i/>
        </w:rPr>
      </w:pPr>
    </w:p>
    <w:p w14:paraId="3221DD00" w14:textId="77777777" w:rsidR="00790ADA" w:rsidRDefault="00902823" w:rsidP="00135B4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82217" w14:textId="77777777" w:rsidR="001B5530" w:rsidRPr="00FB3A86" w:rsidRDefault="001B5530" w:rsidP="00135B4D">
      <w:pPr>
        <w:pStyle w:val="AbstHead"/>
        <w:spacing w:after="0"/>
        <w:jc w:val="both"/>
        <w:rPr>
          <w:rFonts w:ascii="Arial" w:hAnsi="Arial" w:cs="Arial"/>
        </w:rPr>
      </w:pPr>
    </w:p>
    <w:p w14:paraId="16B0A513" w14:textId="77777777" w:rsidR="00790ADA" w:rsidRDefault="00E10959" w:rsidP="00135B4D">
      <w:pPr>
        <w:pStyle w:val="Body"/>
        <w:spacing w:after="0"/>
        <w:rPr>
          <w:rFonts w:ascii="Arial" w:hAnsi="Arial" w:cs="Arial"/>
        </w:rPr>
      </w:pPr>
      <w:r w:rsidRPr="00E10959">
        <w:rPr>
          <w:rFonts w:ascii="Arial" w:hAnsi="Arial" w:cs="Arial"/>
        </w:rPr>
        <w:t xml:space="preserve">Myelin oligodendrocyte glycoprotein antibody–associated disease (MOGAD) is an emerging inflammatory demyelinating disorder of the central nervous system, often presenting with heterogeneous and overlapping clinical features. Although commonly seen in children, its manifestation in young adults can be diagnostically challenging due to its resemblance to multiple sclerosis, neuromyelitis </w:t>
      </w:r>
      <w:r w:rsidR="00177CE8" w:rsidRPr="00E10959">
        <w:rPr>
          <w:rFonts w:ascii="Arial" w:hAnsi="Arial" w:cs="Arial"/>
        </w:rPr>
        <w:t>optical</w:t>
      </w:r>
      <w:r w:rsidRPr="00E10959">
        <w:rPr>
          <w:rFonts w:ascii="Arial" w:hAnsi="Arial" w:cs="Arial"/>
        </w:rPr>
        <w:t xml:space="preserve"> spectrum disorders, and other spinal cord pathologies. Acute paraparesis with accompanying neurogenic bladder is an uncommon initial presentation that may delay timely diagnosis and treatment. Early recognition of MOGAD is crucial to prevent permanent neurological deficits. This case highlights the diagnostic complexities and underscores the need for heightened clinical suspicion in atypical presentations.</w:t>
      </w:r>
    </w:p>
    <w:p w14:paraId="11B97FC7" w14:textId="77777777" w:rsidR="00E10959" w:rsidRPr="00FB3A86" w:rsidRDefault="00E10959" w:rsidP="00135B4D">
      <w:pPr>
        <w:pStyle w:val="Body"/>
        <w:spacing w:after="0"/>
        <w:rPr>
          <w:rFonts w:ascii="Arial" w:hAnsi="Arial" w:cs="Arial"/>
        </w:rPr>
      </w:pPr>
    </w:p>
    <w:p w14:paraId="1467BFC6" w14:textId="77777777" w:rsidR="007F7B32" w:rsidRDefault="00902823" w:rsidP="00135B4D">
      <w:pPr>
        <w:pStyle w:val="AbstHead"/>
        <w:spacing w:after="0"/>
        <w:jc w:val="both"/>
        <w:rPr>
          <w:rFonts w:ascii="Arial" w:hAnsi="Arial" w:cs="Arial"/>
        </w:rPr>
      </w:pPr>
      <w:r>
        <w:rPr>
          <w:rFonts w:ascii="Arial" w:hAnsi="Arial" w:cs="Arial"/>
        </w:rPr>
        <w:t xml:space="preserve">2. </w:t>
      </w:r>
      <w:r w:rsidR="00E10959">
        <w:rPr>
          <w:rFonts w:ascii="Arial" w:hAnsi="Arial" w:cs="Arial"/>
        </w:rPr>
        <w:t>CASE PRESENTATION</w:t>
      </w:r>
      <w:r w:rsidR="007F7B32">
        <w:rPr>
          <w:rFonts w:ascii="Arial" w:hAnsi="Arial" w:cs="Arial"/>
        </w:rPr>
        <w:t xml:space="preserve"> </w:t>
      </w:r>
    </w:p>
    <w:p w14:paraId="6B34D788" w14:textId="77777777" w:rsidR="00790ADA" w:rsidRPr="00FB3A86" w:rsidRDefault="00790ADA" w:rsidP="00135B4D">
      <w:pPr>
        <w:pStyle w:val="AbstHead"/>
        <w:spacing w:after="0"/>
        <w:jc w:val="both"/>
        <w:rPr>
          <w:rFonts w:ascii="Arial" w:hAnsi="Arial" w:cs="Arial"/>
        </w:rPr>
      </w:pPr>
    </w:p>
    <w:p w14:paraId="653D7CFB" w14:textId="77777777" w:rsidR="00A03B96" w:rsidRDefault="00E10959" w:rsidP="00135B4D">
      <w:pPr>
        <w:pStyle w:val="Body"/>
        <w:spacing w:after="0"/>
        <w:rPr>
          <w:rFonts w:ascii="Arial" w:hAnsi="Arial" w:cs="Arial"/>
        </w:rPr>
      </w:pPr>
      <w:r w:rsidRPr="00E10959">
        <w:rPr>
          <w:rFonts w:ascii="Arial" w:hAnsi="Arial" w:cs="Arial"/>
        </w:rPr>
        <w:t xml:space="preserve">A 19-year-old male presented with a three-day history of progressive bilateral lower-limb weakness and a one-day history of urinary retention, culminating in complete inability to ambulate. On examination, he was conscious, oriented, and vitally stable. Neurological assessment revealed bilateral lower-limb power of 3/5, normal limb tone, preserved flexor reflexes, and bilaterally equal reactive pupils measuring 3 mm. No cranial nerve deficits were noted. Because of worsening retention, Foley catheterization drained approximately 2000 mL of urine. He was subsequently shifted to the intensive care unit for further evaluation. </w:t>
      </w:r>
      <w:commentRangeStart w:id="0"/>
      <w:r w:rsidRPr="00E10959">
        <w:rPr>
          <w:rFonts w:ascii="Arial" w:hAnsi="Arial" w:cs="Arial"/>
        </w:rPr>
        <w:t xml:space="preserve">MRI of the brain and spine demonstrated long-segment T2 </w:t>
      </w:r>
      <w:r w:rsidR="00177CE8" w:rsidRPr="00E10959">
        <w:rPr>
          <w:rFonts w:ascii="Arial" w:hAnsi="Arial" w:cs="Arial"/>
        </w:rPr>
        <w:t>hyper intensities</w:t>
      </w:r>
      <w:r w:rsidRPr="00E10959">
        <w:rPr>
          <w:rFonts w:ascii="Arial" w:hAnsi="Arial" w:cs="Arial"/>
        </w:rPr>
        <w:t xml:space="preserve"> involving the cervicodorsal cord, accompanied by lesions in the bilateral thalami and optic chiasm—</w:t>
      </w:r>
      <w:commentRangeEnd w:id="0"/>
      <w:r w:rsidR="006334B7">
        <w:rPr>
          <w:rStyle w:val="CommentReference"/>
          <w:rFonts w:ascii="Times New Roman" w:hAnsi="Times New Roman"/>
          <w:lang w:val="nb-NO" w:eastAsia="nb-NO"/>
        </w:rPr>
        <w:commentReference w:id="0"/>
      </w:r>
      <w:r w:rsidRPr="00E10959">
        <w:rPr>
          <w:rFonts w:ascii="Arial" w:hAnsi="Arial" w:cs="Arial"/>
        </w:rPr>
        <w:t xml:space="preserve">findings suggestive of demyelinating pathology consistent with transverse myelitis. Cerebrospinal fluid (CSF) analysis revealed a lymphocytic profile with a total cell count of 500 cells/mm³ (predominantly lymphocytes), elevated protein of 104 mg/dL, normal glucose of 54 mg/dL, and negative ADA levels. CSF MTB PCR was negative, and cultures showed no growth. These </w:t>
      </w:r>
      <w:r w:rsidRPr="00E10959">
        <w:rPr>
          <w:rFonts w:ascii="Arial" w:hAnsi="Arial" w:cs="Arial"/>
        </w:rPr>
        <w:lastRenderedPageBreak/>
        <w:t xml:space="preserve">findings supported an inflammatory, noninfectious etiology. Serum investigations demonstrated markedly positive myelin oligodendrocyte glycoprotein (MOG) antibodies, while aquaporin-4 (AQP4) antibodies tested negative. Viral serology for HIV, HBsAg, and HCV was negative, and creatine phosphokinase (CPK) was mildly elevated at 52.4 IU/L. The patient was started on intravenous methylprednisolone (1 g/day for three days), followed by oral prednisolone taper. He showed gradual improvement in lower-limb strength and urinary function. A single dose of intravenous rituximab (1 g) was administered prior to discharge. </w:t>
      </w:r>
      <w:commentRangeStart w:id="1"/>
      <w:r w:rsidRPr="00E10959">
        <w:rPr>
          <w:rFonts w:ascii="Arial" w:hAnsi="Arial" w:cs="Arial"/>
        </w:rPr>
        <w:t xml:space="preserve">He was discharged in stable condition </w:t>
      </w:r>
      <w:commentRangeEnd w:id="1"/>
      <w:r w:rsidR="00C82DA6">
        <w:rPr>
          <w:rStyle w:val="CommentReference"/>
          <w:rFonts w:ascii="Times New Roman" w:hAnsi="Times New Roman"/>
          <w:lang w:val="nb-NO" w:eastAsia="nb-NO"/>
        </w:rPr>
        <w:commentReference w:id="1"/>
      </w:r>
      <w:r w:rsidRPr="00E10959">
        <w:rPr>
          <w:rFonts w:ascii="Arial" w:hAnsi="Arial" w:cs="Arial"/>
        </w:rPr>
        <w:t>with recommendations for steroid tapering, calcium and gastric protection, antibiotics as needed, analgesics, and scheduled follow-up for long-term management of MOG-antibody–associated disease.</w:t>
      </w:r>
    </w:p>
    <w:p w14:paraId="02F09DB3" w14:textId="77777777" w:rsidR="00790ADA" w:rsidRPr="00FB3A86" w:rsidRDefault="00790ADA" w:rsidP="00135B4D">
      <w:pPr>
        <w:pStyle w:val="Body"/>
        <w:spacing w:after="0"/>
        <w:rPr>
          <w:rFonts w:ascii="Arial" w:hAnsi="Arial" w:cs="Arial"/>
        </w:rPr>
      </w:pPr>
    </w:p>
    <w:p w14:paraId="63DEA0CF" w14:textId="77777777" w:rsidR="00902823" w:rsidRDefault="00000F8F" w:rsidP="00135B4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ECC1BA9" w14:textId="77777777" w:rsidR="00790ADA" w:rsidRPr="00FB3A86" w:rsidRDefault="00790ADA" w:rsidP="00135B4D">
      <w:pPr>
        <w:pStyle w:val="Head1"/>
        <w:spacing w:after="0"/>
        <w:jc w:val="both"/>
        <w:rPr>
          <w:rFonts w:ascii="Arial" w:hAnsi="Arial" w:cs="Arial"/>
        </w:rPr>
      </w:pPr>
    </w:p>
    <w:p w14:paraId="274E19E8" w14:textId="77777777" w:rsidR="00E10959" w:rsidRPr="00E10959" w:rsidRDefault="00E10959" w:rsidP="00135B4D">
      <w:pPr>
        <w:pStyle w:val="Body"/>
        <w:rPr>
          <w:rFonts w:ascii="Arial" w:hAnsi="Arial" w:cs="Arial"/>
        </w:rPr>
      </w:pPr>
      <w:r w:rsidRPr="00E10959">
        <w:rPr>
          <w:rFonts w:ascii="Arial" w:hAnsi="Arial" w:cs="Arial"/>
        </w:rPr>
        <w:t>This report presents a diagnostically challenging case of myelin oligodendrocyte glycoprotein antibody–associated disease (MOGAD) in a 19-year-old male, manifesting as rapid-onset bilateral lower-limb weakness (paraparesis) and severe urinary retention. Although MOGAD is increasingly recognized, its protean manifestations — especially neurogenic bladder and long-segment myelitis — can delay diagnosis or lead to misdiagnosis.</w:t>
      </w:r>
    </w:p>
    <w:p w14:paraId="7A44A854" w14:textId="77777777" w:rsidR="00E10959" w:rsidRPr="00DC07AF" w:rsidRDefault="00E10959" w:rsidP="00135B4D">
      <w:pPr>
        <w:pStyle w:val="Body"/>
        <w:rPr>
          <w:rFonts w:ascii="Arial" w:hAnsi="Arial" w:cs="Arial"/>
          <w:b/>
        </w:rPr>
      </w:pPr>
      <w:r w:rsidRPr="00DC07AF">
        <w:rPr>
          <w:rFonts w:ascii="Arial" w:hAnsi="Arial" w:cs="Arial"/>
          <w:b/>
        </w:rPr>
        <w:t>3.1 Clinical and Epidemiological Considerations</w:t>
      </w:r>
    </w:p>
    <w:p w14:paraId="36FA908F" w14:textId="77777777" w:rsidR="00E10959" w:rsidRPr="00E10959" w:rsidRDefault="00E10959" w:rsidP="00135B4D">
      <w:pPr>
        <w:pStyle w:val="Body"/>
        <w:rPr>
          <w:rFonts w:ascii="Arial" w:hAnsi="Arial" w:cs="Arial"/>
        </w:rPr>
      </w:pPr>
      <w:r w:rsidRPr="00E10959">
        <w:rPr>
          <w:rFonts w:ascii="Arial" w:hAnsi="Arial" w:cs="Arial"/>
        </w:rPr>
        <w:t>MOGAD is a relatively rare inflammatory demyelinating disorder of the central nervous system (CNS), defined by the presence of serum MOG-IgG. Epidemiological studies estimate a prevalence of ~1.3–2.5 per 100,000 and an incidence of approximately 3.4–4.8 per million per year.  Unlike some other CNS demyelinating diseases, there is no strong female preponderance. Onset can occur across a broad age range; in this case, the late adolescent presentation aligns with known demographics.(7)</w:t>
      </w:r>
    </w:p>
    <w:p w14:paraId="4588831C" w14:textId="77777777" w:rsidR="00E10959" w:rsidRPr="00E10959" w:rsidRDefault="00E10959" w:rsidP="00135B4D">
      <w:pPr>
        <w:pStyle w:val="Body"/>
        <w:rPr>
          <w:rFonts w:ascii="Arial" w:hAnsi="Arial" w:cs="Arial"/>
        </w:rPr>
      </w:pPr>
      <w:r w:rsidRPr="00E10959">
        <w:rPr>
          <w:rFonts w:ascii="Arial" w:hAnsi="Arial" w:cs="Arial"/>
        </w:rPr>
        <w:t xml:space="preserve">In MOGAD, the phenotypic spectrum is wide. While optic neuritis and acute disseminated encephalomyelitis (ADEM) are common, transverse myelitis (TM) is another frequent manifestation. Importantly, </w:t>
      </w:r>
      <w:commentRangeStart w:id="2"/>
      <w:r w:rsidRPr="00E10959">
        <w:rPr>
          <w:rFonts w:ascii="Arial" w:hAnsi="Arial" w:cs="Arial"/>
        </w:rPr>
        <w:t>studies in pediatric populations report that bladder or bowel dysfunction is common in MOG-IgG myelitis: in a cohort of children, about 63 % had neurogenic bladder symptoms</w:t>
      </w:r>
      <w:commentRangeEnd w:id="2"/>
      <w:r w:rsidR="00527BF4">
        <w:rPr>
          <w:rStyle w:val="CommentReference"/>
          <w:rFonts w:ascii="Times New Roman" w:hAnsi="Times New Roman"/>
          <w:lang w:val="nb-NO" w:eastAsia="nb-NO"/>
        </w:rPr>
        <w:commentReference w:id="2"/>
      </w:r>
      <w:r w:rsidRPr="00E10959">
        <w:rPr>
          <w:rFonts w:ascii="Arial" w:hAnsi="Arial" w:cs="Arial"/>
        </w:rPr>
        <w:t>. This supports the relevance of neuro-urological presentations, such as urinary retention, as part of the MOGAD clinical spectrum.(4)</w:t>
      </w:r>
    </w:p>
    <w:p w14:paraId="211A95C0" w14:textId="77777777" w:rsidR="00E10959" w:rsidRPr="00DC07AF" w:rsidRDefault="00E10959" w:rsidP="00135B4D">
      <w:pPr>
        <w:pStyle w:val="Body"/>
        <w:rPr>
          <w:rFonts w:ascii="Arial" w:hAnsi="Arial" w:cs="Arial"/>
          <w:b/>
        </w:rPr>
      </w:pPr>
      <w:r w:rsidRPr="00DC07AF">
        <w:rPr>
          <w:rFonts w:ascii="Arial" w:hAnsi="Arial" w:cs="Arial"/>
          <w:b/>
        </w:rPr>
        <w:t>3.2 Radiological Features and Diagnostic Challenges</w:t>
      </w:r>
    </w:p>
    <w:p w14:paraId="13EFB2A8" w14:textId="77777777" w:rsidR="00E10959" w:rsidRPr="00E10959" w:rsidRDefault="00E10959" w:rsidP="00135B4D">
      <w:pPr>
        <w:pStyle w:val="Body"/>
        <w:rPr>
          <w:rFonts w:ascii="Arial" w:hAnsi="Arial" w:cs="Arial"/>
        </w:rPr>
      </w:pPr>
      <w:r w:rsidRPr="00E10959">
        <w:rPr>
          <w:rFonts w:ascii="Arial" w:hAnsi="Arial" w:cs="Arial"/>
        </w:rPr>
        <w:t>In our patient, MRI showed long-segment T2-hyperintense lesions in the cervicodorsal spinal cord, together with bilateral thalamic and optic chiasm involvement — findings that strongly suggest demyelination. Longitudinally extensive transverse myelitis (LETM) is a well-described MRI pattern in MOGAD, often spanning many vertebral segments. Pediatric series report ~63% of MOG-IgG myelitis cases as longitudinally extensive, frequently with “H-sign” (gray matter) involvement. (4) In addition, deep grey matter lesions (such as in the thalami) are not infrequent in MOGAD. (8)</w:t>
      </w:r>
    </w:p>
    <w:p w14:paraId="6DA58A94" w14:textId="77777777" w:rsidR="00E10959" w:rsidRPr="00E10959" w:rsidRDefault="00E10959" w:rsidP="00135B4D">
      <w:pPr>
        <w:pStyle w:val="Body"/>
        <w:rPr>
          <w:rFonts w:ascii="Arial" w:hAnsi="Arial" w:cs="Arial"/>
        </w:rPr>
      </w:pPr>
      <w:r w:rsidRPr="00E10959">
        <w:rPr>
          <w:rFonts w:ascii="Arial" w:hAnsi="Arial" w:cs="Arial"/>
        </w:rPr>
        <w:t>However, MRI findings can overlap with other demyelinating diseases. For example, some MOGAD cases mimic multiple sclerosis (MS), with short-segment myelitis or brain lesions that could be misinterpreted as MS. In contrast, the absence of classic MS features (such as silent lesions on MRI) in our case helped point away from MS, especially once serology revealed a strongly positive MOG-IgG. (5)</w:t>
      </w:r>
    </w:p>
    <w:p w14:paraId="02C24EC6" w14:textId="77777777" w:rsidR="00E10959" w:rsidRPr="00E10959" w:rsidRDefault="00E10959" w:rsidP="00135B4D">
      <w:pPr>
        <w:pStyle w:val="Body"/>
        <w:rPr>
          <w:rFonts w:ascii="Arial" w:hAnsi="Arial" w:cs="Arial"/>
        </w:rPr>
      </w:pPr>
      <w:r w:rsidRPr="00E10959">
        <w:rPr>
          <w:rFonts w:ascii="Arial" w:hAnsi="Arial" w:cs="Arial"/>
        </w:rPr>
        <w:t>A further diagnostic pitfall is that MOGAD can even present with normal MRI. There are reports of relapsing myelitis with MRI-negative spinal cord imaging, yet positive MOG-IgG. This fact underscores the importance of combining imaging, clinical features, and serologic testing; a negative MRI does not exclude MOGAD. (6)</w:t>
      </w:r>
    </w:p>
    <w:p w14:paraId="7354B0E8" w14:textId="77777777" w:rsidR="00E10959" w:rsidRPr="00DC07AF" w:rsidRDefault="00E10959" w:rsidP="00135B4D">
      <w:pPr>
        <w:pStyle w:val="Body"/>
        <w:rPr>
          <w:rFonts w:ascii="Arial" w:hAnsi="Arial" w:cs="Arial"/>
          <w:b/>
        </w:rPr>
      </w:pPr>
      <w:r w:rsidRPr="00DC07AF">
        <w:rPr>
          <w:rFonts w:ascii="Arial" w:hAnsi="Arial" w:cs="Arial"/>
          <w:b/>
        </w:rPr>
        <w:t>3.3 Immunology, CSF, and Differential Diagnosis</w:t>
      </w:r>
    </w:p>
    <w:p w14:paraId="1313B038" w14:textId="77777777" w:rsidR="00E10959" w:rsidRPr="00E10959" w:rsidRDefault="00E10959" w:rsidP="00135B4D">
      <w:pPr>
        <w:pStyle w:val="Body"/>
        <w:rPr>
          <w:rFonts w:ascii="Arial" w:hAnsi="Arial" w:cs="Arial"/>
        </w:rPr>
      </w:pPr>
      <w:r w:rsidRPr="00E10959">
        <w:rPr>
          <w:rFonts w:ascii="Arial" w:hAnsi="Arial" w:cs="Arial"/>
        </w:rPr>
        <w:t>Our patient’s CSF showed lymphocytic pleocytosis, elevated protein, but no evidence of infection — findings compatible with inflammatory demyelination. Negative Mycobacterium tuberculosis PCR and culture further supported a noninfectious etiology. In MOGAD, CSF often reveals inflammatory changes but usually lacks the oligoclonal band patterns typical of MS. (5)</w:t>
      </w:r>
    </w:p>
    <w:p w14:paraId="755C092A" w14:textId="77777777" w:rsidR="00E10959" w:rsidRPr="00E10959" w:rsidRDefault="00E10959" w:rsidP="00135B4D">
      <w:pPr>
        <w:pStyle w:val="Body"/>
        <w:rPr>
          <w:rFonts w:ascii="Arial" w:hAnsi="Arial" w:cs="Arial"/>
        </w:rPr>
      </w:pPr>
      <w:r w:rsidRPr="00E10959">
        <w:rPr>
          <w:rFonts w:ascii="Arial" w:hAnsi="Arial" w:cs="Arial"/>
        </w:rPr>
        <w:t xml:space="preserve">Antibody testing established the diagnosis: MOG-IgG was markedly positive, and AQP4 (aquaporin-4) antibodies were negative, ruling out AQP4-positive neuromyelitis </w:t>
      </w:r>
      <w:proofErr w:type="spellStart"/>
      <w:r w:rsidRPr="00E10959">
        <w:rPr>
          <w:rFonts w:ascii="Arial" w:hAnsi="Arial" w:cs="Arial"/>
        </w:rPr>
        <w:t>optica</w:t>
      </w:r>
      <w:proofErr w:type="spellEnd"/>
      <w:r w:rsidRPr="00E10959">
        <w:rPr>
          <w:rFonts w:ascii="Arial" w:hAnsi="Arial" w:cs="Arial"/>
        </w:rPr>
        <w:t xml:space="preserve"> spectrum disorder (NMOSD). This is critical, as treatment strategies and prognosis differ significantly between MOGAD and AQP4-NMOSD. Indeed, the differential diagnosis of acute/subacute myelopathy includes MS, NMOSD, MOGAD, as well as infectious and paraneoplastic causes. (11) In </w:t>
      </w:r>
      <w:r w:rsidRPr="00E10959">
        <w:rPr>
          <w:rFonts w:ascii="Arial" w:hAnsi="Arial" w:cs="Arial"/>
        </w:rPr>
        <w:lastRenderedPageBreak/>
        <w:t>some cases, patients with autoimmune diseases such as Sjögren’s syndrome may also present with MOG-IgG–positive LETM, highlighting the need for comprehensive evaluation. (10)</w:t>
      </w:r>
    </w:p>
    <w:p w14:paraId="66D892A2" w14:textId="77777777" w:rsidR="00E10959" w:rsidRPr="00DC07AF" w:rsidRDefault="00E10959" w:rsidP="00135B4D">
      <w:pPr>
        <w:pStyle w:val="Body"/>
        <w:rPr>
          <w:rFonts w:ascii="Arial" w:hAnsi="Arial" w:cs="Arial"/>
          <w:b/>
        </w:rPr>
      </w:pPr>
      <w:r w:rsidRPr="00DC07AF">
        <w:rPr>
          <w:rFonts w:ascii="Arial" w:hAnsi="Arial" w:cs="Arial"/>
          <w:b/>
        </w:rPr>
        <w:t>3.4 Treatment and Management</w:t>
      </w:r>
    </w:p>
    <w:p w14:paraId="1D7E2CCA" w14:textId="77777777" w:rsidR="00E10959" w:rsidRPr="00E10959" w:rsidRDefault="00E10959" w:rsidP="00135B4D">
      <w:pPr>
        <w:pStyle w:val="Body"/>
        <w:rPr>
          <w:rFonts w:ascii="Arial" w:hAnsi="Arial" w:cs="Arial"/>
        </w:rPr>
      </w:pPr>
      <w:r w:rsidRPr="00E10959">
        <w:rPr>
          <w:rFonts w:ascii="Arial" w:hAnsi="Arial" w:cs="Arial"/>
        </w:rPr>
        <w:t xml:space="preserve">Treatment in this case adhered to standard immunotherapy protocols for MOGAD. We initiated high-dose intravenous methylprednisolone (1 g/day for three days), followed by a tapering course of oral prednisolone. This approach mirrors common practice because </w:t>
      </w:r>
      <w:proofErr w:type="gramStart"/>
      <w:r w:rsidRPr="00E10959">
        <w:rPr>
          <w:rFonts w:ascii="Arial" w:hAnsi="Arial" w:cs="Arial"/>
        </w:rPr>
        <w:t>In</w:t>
      </w:r>
      <w:proofErr w:type="gramEnd"/>
      <w:r w:rsidRPr="00E10959">
        <w:rPr>
          <w:rFonts w:ascii="Arial" w:hAnsi="Arial" w:cs="Arial"/>
        </w:rPr>
        <w:t xml:space="preserve"> this case, high-dose intravenous corticosteroids were associated with gradual improvement in motor and bladder function, supporting reports of steroid responsiveness in MOGAD. Moreover, long-term immunosuppression may be required; in our patient, a single 1 g dose of rituximab was given prior to discharge to reduce relapse risk. (13)</w:t>
      </w:r>
    </w:p>
    <w:p w14:paraId="0C89165B" w14:textId="77777777" w:rsidR="00E10959" w:rsidRPr="00E10959" w:rsidRDefault="00E10959" w:rsidP="00135B4D">
      <w:pPr>
        <w:pStyle w:val="Body"/>
        <w:rPr>
          <w:rFonts w:ascii="Arial" w:hAnsi="Arial" w:cs="Arial"/>
        </w:rPr>
      </w:pPr>
      <w:r w:rsidRPr="00E10959">
        <w:rPr>
          <w:rFonts w:ascii="Arial" w:hAnsi="Arial" w:cs="Arial"/>
        </w:rPr>
        <w:t xml:space="preserve">Rituximab, a B-cell depleting therapy, has been used in MOGAD, especially in more severe presentations or to prevent relapses. Nevertheless, </w:t>
      </w:r>
      <w:commentRangeStart w:id="3"/>
      <w:r w:rsidRPr="00E10959">
        <w:rPr>
          <w:rFonts w:ascii="Arial" w:hAnsi="Arial" w:cs="Arial"/>
        </w:rPr>
        <w:t>response to rituximab can vary</w:t>
      </w:r>
      <w:commentRangeEnd w:id="3"/>
      <w:r w:rsidR="00E9018A">
        <w:rPr>
          <w:rStyle w:val="CommentReference"/>
          <w:rFonts w:ascii="Times New Roman" w:hAnsi="Times New Roman"/>
          <w:lang w:val="nb-NO" w:eastAsia="nb-NO"/>
        </w:rPr>
        <w:commentReference w:id="3"/>
      </w:r>
      <w:r w:rsidRPr="00E10959">
        <w:rPr>
          <w:rFonts w:ascii="Arial" w:hAnsi="Arial" w:cs="Arial"/>
        </w:rPr>
        <w:t>: in one case, relapse occurred despite therapy. Importantly, initiation of maintenance immunotherapy must be balanced against the risk of adverse effects, and the decision requires individualized assessment. (3)</w:t>
      </w:r>
    </w:p>
    <w:p w14:paraId="022B53CA" w14:textId="77777777" w:rsidR="00E10959" w:rsidRPr="00DC07AF" w:rsidRDefault="00E10959" w:rsidP="00135B4D">
      <w:pPr>
        <w:pStyle w:val="Body"/>
        <w:rPr>
          <w:rFonts w:ascii="Arial" w:hAnsi="Arial" w:cs="Arial"/>
          <w:b/>
        </w:rPr>
      </w:pPr>
      <w:r w:rsidRPr="00DC07AF">
        <w:rPr>
          <w:rFonts w:ascii="Arial" w:hAnsi="Arial" w:cs="Arial"/>
          <w:b/>
        </w:rPr>
        <w:t>3.5 Outcome and Prognosis</w:t>
      </w:r>
    </w:p>
    <w:p w14:paraId="533A1EBC" w14:textId="77777777" w:rsidR="00E10959" w:rsidRPr="00E10959" w:rsidRDefault="00E10959" w:rsidP="00135B4D">
      <w:pPr>
        <w:pStyle w:val="Body"/>
        <w:rPr>
          <w:rFonts w:ascii="Arial" w:hAnsi="Arial" w:cs="Arial"/>
        </w:rPr>
      </w:pPr>
      <w:r w:rsidRPr="00E10959">
        <w:rPr>
          <w:rFonts w:ascii="Arial" w:hAnsi="Arial" w:cs="Arial"/>
        </w:rPr>
        <w:t>Our patient made gradual improvements in both motor strength and urinary function, supporting observations in the literature that prognosis in MOGAD is often favorable, particularly when treatment is prompt. Pediatric series report that most children with MOG-IgG myelitis recover substantially, with many walking again (or regaining bladder control), and few having persistent disability at long-term follow-up. (4)</w:t>
      </w:r>
    </w:p>
    <w:p w14:paraId="77B9EE88" w14:textId="77777777" w:rsidR="00E10959" w:rsidRPr="00E10959" w:rsidRDefault="00E10959" w:rsidP="00135B4D">
      <w:pPr>
        <w:pStyle w:val="Body"/>
        <w:rPr>
          <w:rFonts w:ascii="Arial" w:hAnsi="Arial" w:cs="Arial"/>
        </w:rPr>
      </w:pPr>
      <w:r w:rsidRPr="00E10959">
        <w:rPr>
          <w:rFonts w:ascii="Arial" w:hAnsi="Arial" w:cs="Arial"/>
        </w:rPr>
        <w:t>However, relapse remains a real concern. Some patients experience recurrent myelitis or other MOGAD phenotypes. (4) Given this risk, ongoing surveillance and long-term immunosuppression strategies are justified. Moreover, consensus diagnostic and management guidelines have recently been proposed, recommending serial antibody testing, MRI follow-up, and tailored immunotherapy plans. (12)</w:t>
      </w:r>
    </w:p>
    <w:p w14:paraId="3300DF41" w14:textId="77777777" w:rsidR="00E10959" w:rsidRPr="00DC07AF" w:rsidRDefault="00E10959" w:rsidP="00135B4D">
      <w:pPr>
        <w:pStyle w:val="Body"/>
        <w:rPr>
          <w:rFonts w:ascii="Arial" w:hAnsi="Arial" w:cs="Arial"/>
          <w:b/>
        </w:rPr>
      </w:pPr>
      <w:r w:rsidRPr="00DC07AF">
        <w:rPr>
          <w:rFonts w:ascii="Arial" w:hAnsi="Arial" w:cs="Arial"/>
          <w:b/>
        </w:rPr>
        <w:t>3</w:t>
      </w:r>
      <w:r w:rsidR="00DC07AF">
        <w:rPr>
          <w:rFonts w:ascii="Arial" w:hAnsi="Arial" w:cs="Arial"/>
          <w:b/>
        </w:rPr>
        <w:t xml:space="preserve">.6 Implications and Learning </w:t>
      </w:r>
      <w:r w:rsidRPr="00DC07AF">
        <w:rPr>
          <w:rFonts w:ascii="Arial" w:hAnsi="Arial" w:cs="Arial"/>
          <w:b/>
        </w:rPr>
        <w:t>Points</w:t>
      </w:r>
    </w:p>
    <w:p w14:paraId="4381803A" w14:textId="77777777" w:rsidR="00E10959" w:rsidRPr="00E10959" w:rsidRDefault="00E10959" w:rsidP="00135B4D">
      <w:pPr>
        <w:pStyle w:val="Body"/>
        <w:rPr>
          <w:rFonts w:ascii="Arial" w:hAnsi="Arial" w:cs="Arial"/>
        </w:rPr>
      </w:pPr>
      <w:r w:rsidRPr="00E10959">
        <w:rPr>
          <w:rFonts w:ascii="Arial" w:hAnsi="Arial" w:cs="Arial"/>
        </w:rPr>
        <w:t>This case provides several important lessons:</w:t>
      </w:r>
    </w:p>
    <w:p w14:paraId="5A211313" w14:textId="77777777" w:rsidR="00E10959" w:rsidRPr="00E10959" w:rsidRDefault="00E10959" w:rsidP="00135B4D">
      <w:pPr>
        <w:pStyle w:val="Body"/>
        <w:rPr>
          <w:rFonts w:ascii="Arial" w:hAnsi="Arial" w:cs="Arial"/>
        </w:rPr>
      </w:pPr>
      <w:r w:rsidRPr="00E10959">
        <w:rPr>
          <w:rFonts w:ascii="Arial" w:hAnsi="Arial" w:cs="Arial"/>
        </w:rPr>
        <w:t>High index of suspicion: In young adults presenting with acute paraparesis and urinary retention, MOGAD should be part of the differential—especially in the absence of infection and with typical imaging.</w:t>
      </w:r>
    </w:p>
    <w:p w14:paraId="41E5B038" w14:textId="77777777" w:rsidR="00E10959" w:rsidRPr="00E10959" w:rsidRDefault="00E10959" w:rsidP="00135B4D">
      <w:pPr>
        <w:pStyle w:val="Body"/>
        <w:rPr>
          <w:rFonts w:ascii="Arial" w:hAnsi="Arial" w:cs="Arial"/>
        </w:rPr>
      </w:pPr>
      <w:r w:rsidRPr="00E10959">
        <w:rPr>
          <w:rFonts w:ascii="Arial" w:hAnsi="Arial" w:cs="Arial"/>
        </w:rPr>
        <w:t>Comprehensive diagnostic evaluation is key: MRI, CSF studies, and especially MOG-IgG serology are critical. Even when MRI is negative, serologic testing must not be omitted.</w:t>
      </w:r>
    </w:p>
    <w:p w14:paraId="23A638E6" w14:textId="77777777" w:rsidR="00E10959" w:rsidRPr="00E10959" w:rsidRDefault="00E10959" w:rsidP="00135B4D">
      <w:pPr>
        <w:pStyle w:val="Body"/>
        <w:rPr>
          <w:rFonts w:ascii="Arial" w:hAnsi="Arial" w:cs="Arial"/>
        </w:rPr>
      </w:pPr>
      <w:r w:rsidRPr="00E10959">
        <w:rPr>
          <w:rFonts w:ascii="Arial" w:hAnsi="Arial" w:cs="Arial"/>
        </w:rPr>
        <w:t>Treatment must be aggressive yet nuanced: High-dose steroids in the acute phase, followed by a considered taper and possible maintenance therapy (e.g., rituximab) may yield good recovery, but relapse risk should guide long-term planning.</w:t>
      </w:r>
    </w:p>
    <w:p w14:paraId="3AE1A041" w14:textId="77777777" w:rsidR="00E10959" w:rsidRPr="00E10959" w:rsidRDefault="00E10959" w:rsidP="00135B4D">
      <w:pPr>
        <w:pStyle w:val="Body"/>
        <w:rPr>
          <w:rFonts w:ascii="Arial" w:hAnsi="Arial" w:cs="Arial"/>
        </w:rPr>
      </w:pPr>
      <w:r w:rsidRPr="00E10959">
        <w:rPr>
          <w:rFonts w:ascii="Arial" w:hAnsi="Arial" w:cs="Arial"/>
        </w:rPr>
        <w:t>Long-term follow-up: Given relapse risk and the evolving understanding of MOGAD, patients require ongoing neurologic assessment, MRI surveillance, and possibly repeat antibody testing.</w:t>
      </w:r>
    </w:p>
    <w:p w14:paraId="7CCDA923" w14:textId="77777777" w:rsidR="00E10959" w:rsidRPr="00DC07AF" w:rsidRDefault="00E10959" w:rsidP="00135B4D">
      <w:pPr>
        <w:pStyle w:val="Body"/>
        <w:rPr>
          <w:rFonts w:ascii="Arial" w:hAnsi="Arial" w:cs="Arial"/>
          <w:b/>
        </w:rPr>
      </w:pPr>
      <w:r w:rsidRPr="00DC07AF">
        <w:rPr>
          <w:rFonts w:ascii="Arial" w:hAnsi="Arial" w:cs="Arial"/>
          <w:b/>
        </w:rPr>
        <w:t>3.7 Limitations</w:t>
      </w:r>
    </w:p>
    <w:p w14:paraId="78DEA783" w14:textId="77777777" w:rsidR="00376BBE" w:rsidRDefault="00E10959" w:rsidP="00135B4D">
      <w:pPr>
        <w:pStyle w:val="Body"/>
        <w:spacing w:after="0"/>
        <w:rPr>
          <w:rFonts w:ascii="Arial" w:hAnsi="Arial" w:cs="Arial"/>
        </w:rPr>
      </w:pPr>
      <w:r w:rsidRPr="00E10959">
        <w:rPr>
          <w:rFonts w:ascii="Arial" w:hAnsi="Arial" w:cs="Arial"/>
        </w:rPr>
        <w:t>As a single case report, causal inferences are limited. Long-term outcomes beyond discharge (e.g., over years) are not yet available, and the optimal maintenance immunotherapy regimen for MOGAD (dose, interval, duration) remains to be fully defined in large cohort.</w:t>
      </w:r>
    </w:p>
    <w:p w14:paraId="10CD39EA" w14:textId="77777777" w:rsidR="00135B4D" w:rsidRDefault="00135B4D" w:rsidP="00135B4D">
      <w:pPr>
        <w:pStyle w:val="ConcHead"/>
        <w:spacing w:after="0"/>
        <w:jc w:val="both"/>
        <w:rPr>
          <w:rFonts w:ascii="Arial" w:hAnsi="Arial" w:cs="Arial"/>
          <w:caps w:val="0"/>
          <w:sz w:val="20"/>
        </w:rPr>
      </w:pPr>
    </w:p>
    <w:p w14:paraId="2C337A16" w14:textId="77777777" w:rsidR="00135B4D" w:rsidRDefault="00135B4D" w:rsidP="00135B4D">
      <w:pPr>
        <w:pStyle w:val="ConcHead"/>
        <w:spacing w:after="0"/>
        <w:jc w:val="both"/>
        <w:rPr>
          <w:rFonts w:ascii="Arial" w:hAnsi="Arial" w:cs="Arial"/>
          <w:caps w:val="0"/>
          <w:sz w:val="20"/>
        </w:rPr>
      </w:pPr>
    </w:p>
    <w:p w14:paraId="4DDF5AAF" w14:textId="77777777" w:rsidR="00B01FCD" w:rsidRDefault="00000F8F" w:rsidP="00135B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A6CA5D" w14:textId="77777777" w:rsidR="00790ADA" w:rsidRPr="00FB3A86" w:rsidRDefault="00790ADA" w:rsidP="00135B4D">
      <w:pPr>
        <w:pStyle w:val="ConcHead"/>
        <w:spacing w:after="0"/>
        <w:jc w:val="both"/>
        <w:rPr>
          <w:rFonts w:ascii="Arial" w:hAnsi="Arial" w:cs="Arial"/>
        </w:rPr>
      </w:pPr>
    </w:p>
    <w:p w14:paraId="75ADFCA4" w14:textId="77777777" w:rsidR="00315186" w:rsidRPr="00DC07AF" w:rsidRDefault="00DC07AF" w:rsidP="00135B4D">
      <w:pPr>
        <w:pStyle w:val="Body"/>
        <w:spacing w:after="0"/>
        <w:rPr>
          <w:rFonts w:ascii="Arial" w:hAnsi="Arial" w:cs="Arial"/>
        </w:rPr>
      </w:pPr>
      <w:r w:rsidRPr="00DC07AF">
        <w:rPr>
          <w:rFonts w:ascii="Arial" w:hAnsi="Arial" w:cs="Arial"/>
        </w:rPr>
        <w:t xml:space="preserve">This case highlights the importance of considering MOGAD in young adults presenting with acute transverse myelitis and autonomic dysfunction, especially when MRI demonstrates longitudinally extensive spinal cord lesions. Early recognition and accurate serological confirmation are critical for differentiating MOGAD from other demyelinating or infectious etiologies. Prompt initiation of high-dose corticosteroids resulted in significant neurological improvement, and early maintenance therapy was essential to reduce relapse risk. This report reinforces the need for multidisciplinary evaluation </w:t>
      </w:r>
      <w:r w:rsidRPr="00DC07AF">
        <w:rPr>
          <w:rFonts w:ascii="Arial" w:hAnsi="Arial" w:cs="Arial"/>
        </w:rPr>
        <w:lastRenderedPageBreak/>
        <w:t>and heightened clinical awareness to avoid diagnostic delays and improve long-term outcomes in patients with suspected MOGAD.</w:t>
      </w:r>
    </w:p>
    <w:p w14:paraId="02ACB1D7" w14:textId="616A3448" w:rsidR="00860000" w:rsidRDefault="00860000" w:rsidP="00135B4D">
      <w:pPr>
        <w:pStyle w:val="ReferHead"/>
        <w:spacing w:after="0"/>
        <w:jc w:val="both"/>
        <w:rPr>
          <w:rFonts w:ascii="Arial" w:hAnsi="Arial" w:cs="Arial"/>
          <w:bCs/>
        </w:rPr>
      </w:pPr>
    </w:p>
    <w:p w14:paraId="42648898" w14:textId="77777777" w:rsidR="009F7DBC" w:rsidRDefault="009F7DBC" w:rsidP="00135B4D">
      <w:pPr>
        <w:pStyle w:val="ReferHead"/>
        <w:spacing w:after="0"/>
        <w:jc w:val="both"/>
        <w:rPr>
          <w:rFonts w:ascii="Arial" w:hAnsi="Arial" w:cs="Arial"/>
        </w:rPr>
      </w:pPr>
    </w:p>
    <w:p w14:paraId="362F3A3B" w14:textId="77777777" w:rsidR="00B01FCD" w:rsidRDefault="00B01FCD" w:rsidP="00135B4D">
      <w:pPr>
        <w:pStyle w:val="ReferHead"/>
        <w:spacing w:after="0"/>
        <w:jc w:val="both"/>
        <w:rPr>
          <w:rFonts w:ascii="Arial" w:hAnsi="Arial" w:cs="Arial"/>
        </w:rPr>
      </w:pPr>
      <w:r w:rsidRPr="00FB3A86">
        <w:rPr>
          <w:rFonts w:ascii="Arial" w:hAnsi="Arial" w:cs="Arial"/>
        </w:rPr>
        <w:t>References</w:t>
      </w:r>
    </w:p>
    <w:p w14:paraId="4CD9BAF5" w14:textId="77777777" w:rsidR="00790ADA" w:rsidRPr="00FB3A86" w:rsidRDefault="00790ADA" w:rsidP="00135B4D">
      <w:pPr>
        <w:pStyle w:val="ReferHead"/>
        <w:spacing w:after="0"/>
        <w:jc w:val="both"/>
        <w:rPr>
          <w:rFonts w:ascii="Arial" w:hAnsi="Arial" w:cs="Arial"/>
        </w:rPr>
      </w:pPr>
    </w:p>
    <w:p w14:paraId="57E62B75" w14:textId="77777777" w:rsidR="001F0611" w:rsidRDefault="001F0611" w:rsidP="00135B4D">
      <w:pPr>
        <w:pStyle w:val="Body"/>
      </w:pPr>
      <w:r>
        <w:t xml:space="preserve">1. </w:t>
      </w:r>
      <w:proofErr w:type="spellStart"/>
      <w:r>
        <w:t>Chwalisz</w:t>
      </w:r>
      <w:proofErr w:type="spellEnd"/>
      <w:r>
        <w:t xml:space="preserve"> BK, Levy M. Acute urinary retention as first sign of myelin oligodendrocyte glycoprotein antibody disease (MOGAD) – case report and literature review. J Neuro-</w:t>
      </w:r>
      <w:proofErr w:type="spellStart"/>
      <w:r>
        <w:t>Ophthalmol</w:t>
      </w:r>
      <w:proofErr w:type="spellEnd"/>
      <w:r>
        <w:t xml:space="preserve">. 2022;42(3):292–296. </w:t>
      </w:r>
    </w:p>
    <w:p w14:paraId="341E1B45" w14:textId="77777777" w:rsidR="001F0611" w:rsidRDefault="001F0611" w:rsidP="00135B4D">
      <w:pPr>
        <w:pStyle w:val="Body"/>
      </w:pPr>
      <w:r>
        <w:t xml:space="preserve">2. Nerlekar A, </w:t>
      </w:r>
      <w:proofErr w:type="spellStart"/>
      <w:r>
        <w:t>Malvadkar</w:t>
      </w:r>
      <w:proofErr w:type="spellEnd"/>
      <w:r>
        <w:t xml:space="preserve"> S, Patil D, Bhoir B, Shaikh N, Sambare J, et al. A rare presentation of myelin oligodendrocyte glycoprotein antibody–associated disease (MOGAD) as acute hemorrhagic longitudinally extensive transverse myelitis. Egypt J </w:t>
      </w:r>
      <w:proofErr w:type="spellStart"/>
      <w:r>
        <w:t>Radiol</w:t>
      </w:r>
      <w:proofErr w:type="spellEnd"/>
      <w:r>
        <w:t xml:space="preserve"> Nucl Med. 2023;54:189. </w:t>
      </w:r>
    </w:p>
    <w:p w14:paraId="0208F1E6" w14:textId="77777777" w:rsidR="001F0611" w:rsidRDefault="001F0611" w:rsidP="00135B4D">
      <w:pPr>
        <w:pStyle w:val="Body"/>
      </w:pPr>
      <w:r>
        <w:t>3. Isolated recurrent myelitis in a persistent MOG positive patient. J Neurol Sci. 2019; (abstract) 30780123. (</w:t>
      </w:r>
    </w:p>
    <w:p w14:paraId="2C34B123" w14:textId="77777777" w:rsidR="001F0611" w:rsidRDefault="001F0611" w:rsidP="00135B4D">
      <w:pPr>
        <w:pStyle w:val="Body"/>
      </w:pPr>
      <w:r>
        <w:t xml:space="preserve">4. Clinical and radiologic features among children with MOG-IgG myelitis. JAMA Neurol. 2023; (study) 37060644. </w:t>
      </w:r>
    </w:p>
    <w:p w14:paraId="7C7C687A" w14:textId="77777777" w:rsidR="001F0611" w:rsidRDefault="001F0611" w:rsidP="00135B4D">
      <w:pPr>
        <w:pStyle w:val="Body"/>
      </w:pPr>
      <w:r>
        <w:t xml:space="preserve">5. Zheng Y, Cai M-T, Li E-C, Fang W, Shen C-H, Zhang Y-X. Case Report: Myelin Oligodendrocyte Glycoprotein Antibody–Associated Disorder masquerading as multiple sclerosis. Front Immunol. 2021;12:671425. </w:t>
      </w:r>
    </w:p>
    <w:p w14:paraId="4BC0FC37" w14:textId="77777777" w:rsidR="001F0611" w:rsidRDefault="001F0611" w:rsidP="00135B4D">
      <w:pPr>
        <w:pStyle w:val="Body"/>
      </w:pPr>
      <w:r>
        <w:t xml:space="preserve">6. Relapsing MRI-negative myelitis associated with myelin-oligodendrocyte glycoprotein autoantibodies: a case report. BMC Neurol. 2022; (case) 36002821. </w:t>
      </w:r>
    </w:p>
    <w:p w14:paraId="4598B966" w14:textId="77777777" w:rsidR="001F0611" w:rsidRDefault="001F0611" w:rsidP="00135B4D">
      <w:pPr>
        <w:pStyle w:val="Body"/>
      </w:pPr>
      <w:r>
        <w:t>7. Epidemiology of myelin oligodendrocyte glycoprotein antibody-associated disease: a review. Neurology. 2023; (review) 37789888.</w:t>
      </w:r>
    </w:p>
    <w:p w14:paraId="0F0D5BB8" w14:textId="77777777" w:rsidR="001F0611" w:rsidRDefault="001F0611" w:rsidP="00135B4D">
      <w:pPr>
        <w:pStyle w:val="Body"/>
      </w:pPr>
      <w:r>
        <w:t xml:space="preserve">8. </w:t>
      </w:r>
      <w:proofErr w:type="spellStart"/>
      <w:r>
        <w:t>Saddiqa</w:t>
      </w:r>
      <w:proofErr w:type="spellEnd"/>
      <w:r>
        <w:t xml:space="preserve"> A, Rajput HM, Khalil M, Farooq MA, Waqar Z, et al. Case of MOG seropositive longitudinally extensive transverse myelitis. J Brain Neurosci Res. 2023;7:025.</w:t>
      </w:r>
    </w:p>
    <w:p w14:paraId="0E845745" w14:textId="77777777" w:rsidR="001F0611" w:rsidRDefault="001F0611" w:rsidP="00135B4D">
      <w:pPr>
        <w:pStyle w:val="Body"/>
      </w:pPr>
      <w:r>
        <w:t xml:space="preserve">9. Two rare cases of myelin oligodendrocyte glycoprotein antibody-associated disorder in children with leukodystrophy-like imaging findings. BMC Neurol. 2023; (article) 9. </w:t>
      </w:r>
    </w:p>
    <w:p w14:paraId="0614B91A" w14:textId="77777777" w:rsidR="001F0611" w:rsidRDefault="001F0611" w:rsidP="00135B4D">
      <w:pPr>
        <w:pStyle w:val="Body"/>
      </w:pPr>
      <w:r>
        <w:t xml:space="preserve">10. Myelin oligodendrocyte glycoprotein antibody-associated longitudinally extensive transverse myelitis and primary Sjögren syndrome: a rare association. BMJ Case Reports. 2022; (case) PMID 36593613. </w:t>
      </w:r>
    </w:p>
    <w:p w14:paraId="640DD569" w14:textId="77777777" w:rsidR="001F0611" w:rsidRDefault="001F0611" w:rsidP="00135B4D">
      <w:pPr>
        <w:pStyle w:val="Body"/>
      </w:pPr>
      <w:r>
        <w:t xml:space="preserve">11. Practical Neurology. Differential diagnosis of subacute myelopathy includes MOGAD. </w:t>
      </w:r>
      <w:proofErr w:type="spellStart"/>
      <w:r>
        <w:t>Pract</w:t>
      </w:r>
      <w:proofErr w:type="spellEnd"/>
      <w:r>
        <w:t xml:space="preserve"> Neurol. (case series). </w:t>
      </w:r>
    </w:p>
    <w:p w14:paraId="01C11B7A" w14:textId="77777777" w:rsidR="001F0611" w:rsidRDefault="001F0611" w:rsidP="00135B4D">
      <w:pPr>
        <w:pStyle w:val="Body"/>
      </w:pPr>
      <w:r>
        <w:t xml:space="preserve">12. Cai et al. Diagnostic workflow for MOGAD. BMC Med. 2025;23:40. </w:t>
      </w:r>
    </w:p>
    <w:p w14:paraId="6847D43C" w14:textId="77777777" w:rsidR="00B01FCD" w:rsidRPr="001F0611" w:rsidRDefault="001F0611" w:rsidP="00135B4D">
      <w:pPr>
        <w:pStyle w:val="Body"/>
        <w:spacing w:after="0"/>
      </w:pPr>
      <w:r>
        <w:t xml:space="preserve">13. </w:t>
      </w:r>
      <w:proofErr w:type="spellStart"/>
      <w:r>
        <w:t>Capinha</w:t>
      </w:r>
      <w:proofErr w:type="spellEnd"/>
      <w:r>
        <w:t xml:space="preserve"> MD, Cardoso A, Tinoco C, Araújo AS, Pinto L, Coutinho A, Dias E, Mendes M. Acute urinary retention as first sign of myelin oligodendrocyte glycoprotein antibody disease (MOGAD): case report and literature review. </w:t>
      </w:r>
      <w:proofErr w:type="spellStart"/>
      <w:r>
        <w:t>Urol</w:t>
      </w:r>
      <w:proofErr w:type="spellEnd"/>
      <w:r>
        <w:t xml:space="preserve"> Case Rep. 2025 Jun 16;61:103103.doi:10.1016/j.eucr.2025.103103. PMID: 40612244; PMCID: PMC12226104.</w:t>
      </w:r>
    </w:p>
    <w:sectPr w:rsidR="00B01FCD" w:rsidRPr="001F0611" w:rsidSect="00E339B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n V. Sumedha Maturu" w:date="2026-02-26T18:45:00Z" w:initials="MM">
    <w:p w14:paraId="0B157927" w14:textId="77777777" w:rsidR="006334B7" w:rsidRDefault="006334B7" w:rsidP="006334B7">
      <w:pPr>
        <w:pStyle w:val="CommentText"/>
      </w:pPr>
      <w:r>
        <w:rPr>
          <w:rStyle w:val="CommentReference"/>
        </w:rPr>
        <w:annotationRef/>
      </w:r>
      <w:r>
        <w:t xml:space="preserve">Kindly upload the reference images of MRI </w:t>
      </w:r>
    </w:p>
  </w:comment>
  <w:comment w:id="1" w:author="Mohan V. Sumedha Maturu" w:date="2026-02-26T18:31:00Z" w:initials="MM">
    <w:p w14:paraId="7152DF48" w14:textId="5DA83B11" w:rsidR="00C82DA6" w:rsidRDefault="00C82DA6">
      <w:pPr>
        <w:pStyle w:val="CommentText"/>
      </w:pPr>
      <w:r>
        <w:rPr>
          <w:rStyle w:val="CommentReference"/>
        </w:rPr>
        <w:annotationRef/>
      </w:r>
      <w:r w:rsidR="009B4D8B">
        <w:t xml:space="preserve">Kindly </w:t>
      </w:r>
      <w:r w:rsidR="009B4D8B">
        <w:t xml:space="preserve">mention the detailed </w:t>
      </w:r>
      <w:r w:rsidR="00335BAF">
        <w:t>neurological power at the time of d</w:t>
      </w:r>
      <w:r w:rsidR="00DB4E50">
        <w:t>i</w:t>
      </w:r>
      <w:r w:rsidR="00335BAF">
        <w:t>scharge.</w:t>
      </w:r>
      <w:r w:rsidR="00DB4E50">
        <w:t xml:space="preserve"> It would add weightage to the </w:t>
      </w:r>
      <w:r w:rsidR="008D3E58">
        <w:t xml:space="preserve">case report if you can mention about the subsequent neurological recovery after the dischage. </w:t>
      </w:r>
      <w:r w:rsidR="00A23658">
        <w:t>Ha</w:t>
      </w:r>
      <w:r w:rsidR="008D3E58">
        <w:t xml:space="preserve">s the second dose of </w:t>
      </w:r>
      <w:r w:rsidR="00A23658">
        <w:t xml:space="preserve">1gm </w:t>
      </w:r>
      <w:r w:rsidR="008D3E58">
        <w:t>Rituximab admin</w:t>
      </w:r>
      <w:r w:rsidR="00A23658">
        <w:t>istered to the child ?</w:t>
      </w:r>
    </w:p>
  </w:comment>
  <w:comment w:id="2" w:author="Mohan V. Sumedha Maturu" w:date="2026-02-26T18:35:00Z" w:initials="MM">
    <w:p w14:paraId="01C0CFC5" w14:textId="783DF13F" w:rsidR="00527BF4" w:rsidRDefault="00527BF4">
      <w:pPr>
        <w:pStyle w:val="CommentText"/>
      </w:pPr>
      <w:r>
        <w:rPr>
          <w:rStyle w:val="CommentReference"/>
        </w:rPr>
        <w:annotationRef/>
      </w:r>
      <w:r w:rsidR="009A2FC4">
        <w:t>In the introduction</w:t>
      </w:r>
      <w:r w:rsidR="000E27DD">
        <w:t xml:space="preserve"> subsection</w:t>
      </w:r>
      <w:r w:rsidR="009A2FC4">
        <w:t>, you have mentioned that presentation with neurogenic bladder is uncommo</w:t>
      </w:r>
      <w:r w:rsidR="000E27DD">
        <w:t>n</w:t>
      </w:r>
      <w:r w:rsidR="009A2FC4">
        <w:t>.</w:t>
      </w:r>
      <w:r w:rsidR="000E27DD">
        <w:t xml:space="preserve"> Infact,</w:t>
      </w:r>
      <w:r w:rsidR="00EB56F0">
        <w:t xml:space="preserve"> involvement of cord is a well documented MOGAD manifestation. Your review of literature also suggest the same. I would suggest you to kindly change the terminology in the introduction section</w:t>
      </w:r>
      <w:r w:rsidR="009A2FC4">
        <w:t xml:space="preserve"> </w:t>
      </w:r>
    </w:p>
  </w:comment>
  <w:comment w:id="3" w:author="Mohan V. Sumedha Maturu" w:date="2026-02-26T18:40:00Z" w:initials="MM">
    <w:p w14:paraId="3057B889" w14:textId="7EEAA6FF" w:rsidR="00E9018A" w:rsidRDefault="00E9018A">
      <w:pPr>
        <w:pStyle w:val="CommentText"/>
      </w:pPr>
      <w:r>
        <w:rPr>
          <w:rStyle w:val="CommentReference"/>
        </w:rPr>
        <w:annotationRef/>
      </w:r>
      <w:r w:rsidR="007D45A2">
        <w:t>If you can review the literature</w:t>
      </w:r>
      <w:r w:rsidR="0029524F">
        <w:t xml:space="preserve"> and give a comprehensive idea about the duration of</w:t>
      </w:r>
      <w:r w:rsidR="00973B1A">
        <w:t xml:space="preserve"> immunosupression (how many years to maintain Rituximab therapy? ) in the discussion, it will add weightage to the paper. Till now, there is no proper consensus about th</w:t>
      </w:r>
      <w:r w:rsidR="001E1EE6">
        <w:t xml:space="preserve">e duration.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157927" w15:done="0"/>
  <w15:commentEx w15:paraId="7152DF48" w15:done="0"/>
  <w15:commentEx w15:paraId="01C0CFC5" w15:done="0"/>
  <w15:commentEx w15:paraId="3057B8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F1D46B" w16cex:dateUtc="2026-02-26T13:15:00Z"/>
  <w16cex:commentExtensible w16cex:durableId="64AE2FFC" w16cex:dateUtc="2026-02-26T13:01:00Z"/>
  <w16cex:commentExtensible w16cex:durableId="1B6971D9" w16cex:dateUtc="2026-02-26T13:05:00Z"/>
  <w16cex:commentExtensible w16cex:durableId="2500101C" w16cex:dateUtc="2026-02-2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57927" w16cid:durableId="79F1D46B"/>
  <w16cid:commentId w16cid:paraId="7152DF48" w16cid:durableId="64AE2FFC"/>
  <w16cid:commentId w16cid:paraId="01C0CFC5" w16cid:durableId="1B6971D9"/>
  <w16cid:commentId w16cid:paraId="3057B889" w16cid:durableId="25001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B6AF" w14:textId="77777777" w:rsidR="00F41A2C" w:rsidRDefault="00F41A2C" w:rsidP="00C37E61">
      <w:r>
        <w:separator/>
      </w:r>
    </w:p>
  </w:endnote>
  <w:endnote w:type="continuationSeparator" w:id="0">
    <w:p w14:paraId="173DC99B" w14:textId="77777777" w:rsidR="00F41A2C" w:rsidRDefault="00F41A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6969" w14:textId="77777777" w:rsidR="00D24530" w:rsidRDefault="00D2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9203" w14:textId="77777777" w:rsidR="00D24530" w:rsidRDefault="00D24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49B3" w14:textId="77777777" w:rsidR="009E048A" w:rsidRDefault="009E048A">
    <w:pPr>
      <w:pStyle w:val="Footer"/>
      <w:rPr>
        <w:rFonts w:ascii="Arial" w:hAnsi="Arial" w:cs="Arial"/>
        <w:sz w:val="16"/>
      </w:rPr>
    </w:pPr>
  </w:p>
  <w:p w14:paraId="05F957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8F830C" w14:textId="77777777" w:rsidR="009E048A" w:rsidRDefault="009E048A">
    <w:pPr>
      <w:pStyle w:val="Footer"/>
      <w:rPr>
        <w:rFonts w:ascii="Arial" w:hAnsi="Arial" w:cs="Arial"/>
        <w:sz w:val="16"/>
      </w:rPr>
    </w:pPr>
  </w:p>
  <w:p w14:paraId="21A32DD7" w14:textId="54985D3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75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B1F4" w14:textId="77777777" w:rsidR="00F41A2C" w:rsidRDefault="00F41A2C" w:rsidP="00C37E61">
      <w:r>
        <w:separator/>
      </w:r>
    </w:p>
  </w:footnote>
  <w:footnote w:type="continuationSeparator" w:id="0">
    <w:p w14:paraId="0F84AFDD" w14:textId="77777777" w:rsidR="00F41A2C" w:rsidRDefault="00F41A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45AD" w14:textId="6D2B5A31" w:rsidR="00D24530" w:rsidRDefault="00000000">
    <w:pPr>
      <w:pStyle w:val="Header"/>
    </w:pPr>
    <w:r>
      <w:rPr>
        <w:noProof/>
      </w:rPr>
      <w:pict w14:anchorId="6702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50B0" w14:textId="6FF9E27C" w:rsidR="00D24530" w:rsidRDefault="00000000">
    <w:pPr>
      <w:pStyle w:val="Header"/>
    </w:pPr>
    <w:r>
      <w:rPr>
        <w:noProof/>
      </w:rPr>
      <w:pict w14:anchorId="671A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FF69" w14:textId="75D23AC1" w:rsidR="00296529" w:rsidRPr="00296529" w:rsidRDefault="00000000" w:rsidP="00296529">
    <w:pPr>
      <w:ind w:left="2160"/>
      <w:jc w:val="center"/>
      <w:rPr>
        <w:rFonts w:ascii="Times New Roman" w:eastAsia="Calibri" w:hAnsi="Times New Roman"/>
        <w:i/>
        <w:sz w:val="18"/>
        <w:szCs w:val="22"/>
      </w:rPr>
    </w:pPr>
    <w:r>
      <w:rPr>
        <w:noProof/>
      </w:rPr>
      <w:pict w14:anchorId="05D27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4915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0CA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3508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A2C7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D7ED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BC1B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4C92" w14:textId="76E0DBE5" w:rsidR="00D24530" w:rsidRDefault="00000000">
    <w:pPr>
      <w:pStyle w:val="Header"/>
    </w:pPr>
    <w:r>
      <w:rPr>
        <w:noProof/>
      </w:rPr>
      <w:pict w14:anchorId="7396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ECC1" w14:textId="11B19A6B" w:rsidR="00D24530" w:rsidRDefault="00000000">
    <w:pPr>
      <w:pStyle w:val="Header"/>
    </w:pPr>
    <w:r>
      <w:rPr>
        <w:noProof/>
      </w:rPr>
      <w:pict w14:anchorId="18410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8D30" w14:textId="05A5304B" w:rsidR="00D24530" w:rsidRDefault="00000000">
    <w:pPr>
      <w:pStyle w:val="Header"/>
    </w:pPr>
    <w:r>
      <w:rPr>
        <w:noProof/>
      </w:rPr>
      <w:pict w14:anchorId="76110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394083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5243558">
    <w:abstractNumId w:val="15"/>
  </w:num>
  <w:num w:numId="3" w16cid:durableId="1206334171">
    <w:abstractNumId w:val="23"/>
  </w:num>
  <w:num w:numId="4" w16cid:durableId="16257719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4239566">
    <w:abstractNumId w:val="7"/>
  </w:num>
  <w:num w:numId="6" w16cid:durableId="1094281102">
    <w:abstractNumId w:val="6"/>
  </w:num>
  <w:num w:numId="7" w16cid:durableId="983853570">
    <w:abstractNumId w:val="1"/>
  </w:num>
  <w:num w:numId="8" w16cid:durableId="122312423">
    <w:abstractNumId w:val="12"/>
  </w:num>
  <w:num w:numId="9" w16cid:durableId="1694841091">
    <w:abstractNumId w:val="25"/>
  </w:num>
  <w:num w:numId="10" w16cid:durableId="1807889389">
    <w:abstractNumId w:val="2"/>
  </w:num>
  <w:num w:numId="11" w16cid:durableId="1473018378">
    <w:abstractNumId w:val="18"/>
  </w:num>
  <w:num w:numId="12" w16cid:durableId="983043324">
    <w:abstractNumId w:val="3"/>
  </w:num>
  <w:num w:numId="13" w16cid:durableId="2060939233">
    <w:abstractNumId w:val="17"/>
  </w:num>
  <w:num w:numId="14" w16cid:durableId="1577739143">
    <w:abstractNumId w:val="8"/>
  </w:num>
  <w:num w:numId="15" w16cid:durableId="2130079145">
    <w:abstractNumId w:val="21"/>
  </w:num>
  <w:num w:numId="16" w16cid:durableId="1231384651">
    <w:abstractNumId w:val="5"/>
  </w:num>
  <w:num w:numId="17" w16cid:durableId="1269964172">
    <w:abstractNumId w:val="22"/>
  </w:num>
  <w:num w:numId="18" w16cid:durableId="1855611252">
    <w:abstractNumId w:val="14"/>
  </w:num>
  <w:num w:numId="19" w16cid:durableId="317466619">
    <w:abstractNumId w:val="28"/>
  </w:num>
  <w:num w:numId="20" w16cid:durableId="764692713">
    <w:abstractNumId w:val="11"/>
  </w:num>
  <w:num w:numId="21" w16cid:durableId="1371999643">
    <w:abstractNumId w:val="9"/>
  </w:num>
  <w:num w:numId="22" w16cid:durableId="1537305809">
    <w:abstractNumId w:val="13"/>
  </w:num>
  <w:num w:numId="23" w16cid:durableId="1496917577">
    <w:abstractNumId w:val="19"/>
  </w:num>
  <w:num w:numId="24" w16cid:durableId="827984679">
    <w:abstractNumId w:val="26"/>
  </w:num>
  <w:num w:numId="25" w16cid:durableId="1496602935">
    <w:abstractNumId w:val="4"/>
  </w:num>
  <w:num w:numId="26" w16cid:durableId="1093863871">
    <w:abstractNumId w:val="16"/>
  </w:num>
  <w:num w:numId="27" w16cid:durableId="298539270">
    <w:abstractNumId w:val="20"/>
  </w:num>
  <w:num w:numId="28" w16cid:durableId="221867930">
    <w:abstractNumId w:val="27"/>
  </w:num>
  <w:num w:numId="29" w16cid:durableId="749039528">
    <w:abstractNumId w:val="24"/>
  </w:num>
  <w:num w:numId="30" w16cid:durableId="5398227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n V. Sumedha Maturu">
    <w15:presenceInfo w15:providerId="Windows Live" w15:userId="2115f664ababa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A6DC0"/>
    <w:rsid w:val="000B1E33"/>
    <w:rsid w:val="000B386C"/>
    <w:rsid w:val="000D689F"/>
    <w:rsid w:val="000E27DD"/>
    <w:rsid w:val="000E7B7B"/>
    <w:rsid w:val="000E7D62"/>
    <w:rsid w:val="00103357"/>
    <w:rsid w:val="00123C9F"/>
    <w:rsid w:val="00126190"/>
    <w:rsid w:val="00130F17"/>
    <w:rsid w:val="001320BF"/>
    <w:rsid w:val="00135B4D"/>
    <w:rsid w:val="00157DCE"/>
    <w:rsid w:val="00163BC4"/>
    <w:rsid w:val="00163D87"/>
    <w:rsid w:val="00177CE8"/>
    <w:rsid w:val="00191062"/>
    <w:rsid w:val="00192B72"/>
    <w:rsid w:val="001A29D8"/>
    <w:rsid w:val="001A5CAA"/>
    <w:rsid w:val="001B0427"/>
    <w:rsid w:val="001B5530"/>
    <w:rsid w:val="001D3A51"/>
    <w:rsid w:val="001E10D2"/>
    <w:rsid w:val="001E1EE6"/>
    <w:rsid w:val="001E25B4"/>
    <w:rsid w:val="001E44FE"/>
    <w:rsid w:val="001F0611"/>
    <w:rsid w:val="00200595"/>
    <w:rsid w:val="00204835"/>
    <w:rsid w:val="00231920"/>
    <w:rsid w:val="0023195C"/>
    <w:rsid w:val="0024282C"/>
    <w:rsid w:val="002460DC"/>
    <w:rsid w:val="00250985"/>
    <w:rsid w:val="002556F6"/>
    <w:rsid w:val="00283105"/>
    <w:rsid w:val="00284C4C"/>
    <w:rsid w:val="00287E68"/>
    <w:rsid w:val="0029524F"/>
    <w:rsid w:val="00296529"/>
    <w:rsid w:val="002B27FB"/>
    <w:rsid w:val="002B685A"/>
    <w:rsid w:val="002C57D2"/>
    <w:rsid w:val="002E0D56"/>
    <w:rsid w:val="002E19C3"/>
    <w:rsid w:val="00315186"/>
    <w:rsid w:val="0033343E"/>
    <w:rsid w:val="00335BA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795"/>
    <w:rsid w:val="004D305E"/>
    <w:rsid w:val="004D4277"/>
    <w:rsid w:val="005002B4"/>
    <w:rsid w:val="00502516"/>
    <w:rsid w:val="00505F06"/>
    <w:rsid w:val="00506828"/>
    <w:rsid w:val="00527BF4"/>
    <w:rsid w:val="0053056E"/>
    <w:rsid w:val="00554A9E"/>
    <w:rsid w:val="00554FDA"/>
    <w:rsid w:val="005C784C"/>
    <w:rsid w:val="005D17F6"/>
    <w:rsid w:val="005D63CC"/>
    <w:rsid w:val="005E5539"/>
    <w:rsid w:val="00602BF5"/>
    <w:rsid w:val="00617FDD"/>
    <w:rsid w:val="006334B7"/>
    <w:rsid w:val="00633614"/>
    <w:rsid w:val="00633F68"/>
    <w:rsid w:val="00636EB2"/>
    <w:rsid w:val="006375B8"/>
    <w:rsid w:val="0066510A"/>
    <w:rsid w:val="00673F9F"/>
    <w:rsid w:val="00686953"/>
    <w:rsid w:val="00687DEA"/>
    <w:rsid w:val="00687E67"/>
    <w:rsid w:val="006967F7"/>
    <w:rsid w:val="006A250C"/>
    <w:rsid w:val="006B21D3"/>
    <w:rsid w:val="006B57D0"/>
    <w:rsid w:val="006C284B"/>
    <w:rsid w:val="006D30FF"/>
    <w:rsid w:val="006D6940"/>
    <w:rsid w:val="006F11EC"/>
    <w:rsid w:val="0070082C"/>
    <w:rsid w:val="007369E6"/>
    <w:rsid w:val="00746E59"/>
    <w:rsid w:val="00754C9A"/>
    <w:rsid w:val="0075599A"/>
    <w:rsid w:val="00761D52"/>
    <w:rsid w:val="0077749E"/>
    <w:rsid w:val="00790ADA"/>
    <w:rsid w:val="007D2288"/>
    <w:rsid w:val="007D45A2"/>
    <w:rsid w:val="007E088F"/>
    <w:rsid w:val="007F7B32"/>
    <w:rsid w:val="00804BC2"/>
    <w:rsid w:val="008053EA"/>
    <w:rsid w:val="0081431A"/>
    <w:rsid w:val="00817EAE"/>
    <w:rsid w:val="0083216F"/>
    <w:rsid w:val="00850F2D"/>
    <w:rsid w:val="00860000"/>
    <w:rsid w:val="00863BD3"/>
    <w:rsid w:val="008641ED"/>
    <w:rsid w:val="00866D66"/>
    <w:rsid w:val="008671C6"/>
    <w:rsid w:val="00875803"/>
    <w:rsid w:val="008B459E"/>
    <w:rsid w:val="008D3E58"/>
    <w:rsid w:val="008E13AE"/>
    <w:rsid w:val="008E1506"/>
    <w:rsid w:val="008E710C"/>
    <w:rsid w:val="008F69D6"/>
    <w:rsid w:val="008F7AD9"/>
    <w:rsid w:val="00902823"/>
    <w:rsid w:val="00915CA6"/>
    <w:rsid w:val="00927834"/>
    <w:rsid w:val="009500A6"/>
    <w:rsid w:val="00953BF1"/>
    <w:rsid w:val="00957C18"/>
    <w:rsid w:val="009659BA"/>
    <w:rsid w:val="00973B1A"/>
    <w:rsid w:val="00973FD5"/>
    <w:rsid w:val="00983040"/>
    <w:rsid w:val="009A2FC4"/>
    <w:rsid w:val="009B3FB9"/>
    <w:rsid w:val="009B4D8B"/>
    <w:rsid w:val="009C2465"/>
    <w:rsid w:val="009D35A0"/>
    <w:rsid w:val="009D7EB7"/>
    <w:rsid w:val="009E048A"/>
    <w:rsid w:val="009E08E9"/>
    <w:rsid w:val="009E3DB9"/>
    <w:rsid w:val="009E6E35"/>
    <w:rsid w:val="009F0EDA"/>
    <w:rsid w:val="009F7DBC"/>
    <w:rsid w:val="00A01977"/>
    <w:rsid w:val="00A03B96"/>
    <w:rsid w:val="00A05B19"/>
    <w:rsid w:val="00A1134E"/>
    <w:rsid w:val="00A23658"/>
    <w:rsid w:val="00A24E7E"/>
    <w:rsid w:val="00A258C3"/>
    <w:rsid w:val="00A347C0"/>
    <w:rsid w:val="00A51431"/>
    <w:rsid w:val="00A539AD"/>
    <w:rsid w:val="00A94063"/>
    <w:rsid w:val="00AA6219"/>
    <w:rsid w:val="00AA74E0"/>
    <w:rsid w:val="00AB703F"/>
    <w:rsid w:val="00AC6BB8"/>
    <w:rsid w:val="00AC757C"/>
    <w:rsid w:val="00AE008F"/>
    <w:rsid w:val="00AF712D"/>
    <w:rsid w:val="00AF7135"/>
    <w:rsid w:val="00B01FCD"/>
    <w:rsid w:val="00B10211"/>
    <w:rsid w:val="00B1776C"/>
    <w:rsid w:val="00B52583"/>
    <w:rsid w:val="00B52896"/>
    <w:rsid w:val="00B95236"/>
    <w:rsid w:val="00B96BD9"/>
    <w:rsid w:val="00BA1B01"/>
    <w:rsid w:val="00BA2641"/>
    <w:rsid w:val="00BA715D"/>
    <w:rsid w:val="00BB37AA"/>
    <w:rsid w:val="00BC53A0"/>
    <w:rsid w:val="00BE62AD"/>
    <w:rsid w:val="00BF121F"/>
    <w:rsid w:val="00BF1F80"/>
    <w:rsid w:val="00C166EF"/>
    <w:rsid w:val="00C17EB0"/>
    <w:rsid w:val="00C27F5F"/>
    <w:rsid w:val="00C30A0F"/>
    <w:rsid w:val="00C37E61"/>
    <w:rsid w:val="00C70F1B"/>
    <w:rsid w:val="00C71A47"/>
    <w:rsid w:val="00C7464C"/>
    <w:rsid w:val="00C82DA6"/>
    <w:rsid w:val="00C85588"/>
    <w:rsid w:val="00CD6755"/>
    <w:rsid w:val="00CD6856"/>
    <w:rsid w:val="00CE0089"/>
    <w:rsid w:val="00CE793C"/>
    <w:rsid w:val="00CF193C"/>
    <w:rsid w:val="00D173F1"/>
    <w:rsid w:val="00D24530"/>
    <w:rsid w:val="00D74CB0"/>
    <w:rsid w:val="00D8295D"/>
    <w:rsid w:val="00DB4E50"/>
    <w:rsid w:val="00DC07AF"/>
    <w:rsid w:val="00DC2A65"/>
    <w:rsid w:val="00DE15F0"/>
    <w:rsid w:val="00DE5663"/>
    <w:rsid w:val="00DE78AA"/>
    <w:rsid w:val="00E051C6"/>
    <w:rsid w:val="00E053D0"/>
    <w:rsid w:val="00E10959"/>
    <w:rsid w:val="00E15994"/>
    <w:rsid w:val="00E3114E"/>
    <w:rsid w:val="00E31A70"/>
    <w:rsid w:val="00E339B6"/>
    <w:rsid w:val="00E35B02"/>
    <w:rsid w:val="00E66496"/>
    <w:rsid w:val="00E66B35"/>
    <w:rsid w:val="00E66E10"/>
    <w:rsid w:val="00E719FE"/>
    <w:rsid w:val="00E769F6"/>
    <w:rsid w:val="00E8407C"/>
    <w:rsid w:val="00E84F3C"/>
    <w:rsid w:val="00E9018A"/>
    <w:rsid w:val="00EA012C"/>
    <w:rsid w:val="00EB3CCE"/>
    <w:rsid w:val="00EB56F0"/>
    <w:rsid w:val="00EC6A55"/>
    <w:rsid w:val="00ED0288"/>
    <w:rsid w:val="00EE52CB"/>
    <w:rsid w:val="00EF581D"/>
    <w:rsid w:val="00EF7FD8"/>
    <w:rsid w:val="00F06F59"/>
    <w:rsid w:val="00F17988"/>
    <w:rsid w:val="00F41A2C"/>
    <w:rsid w:val="00F469F0"/>
    <w:rsid w:val="00F53273"/>
    <w:rsid w:val="00F546C8"/>
    <w:rsid w:val="00F755E4"/>
    <w:rsid w:val="00F77D02"/>
    <w:rsid w:val="00F87424"/>
    <w:rsid w:val="00FB3A86"/>
    <w:rsid w:val="00FD36C8"/>
    <w:rsid w:val="00FE39FA"/>
    <w:rsid w:val="00FF114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E92A2"/>
  <w15:docId w15:val="{0F5A377E-06E1-4773-98EF-D8CB2D9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10211"/>
    <w:rPr>
      <w:color w:val="605E5C"/>
      <w:shd w:val="clear" w:color="auto" w:fill="E1DFDD"/>
    </w:rPr>
  </w:style>
  <w:style w:type="paragraph" w:styleId="CommentSubject">
    <w:name w:val="annotation subject"/>
    <w:basedOn w:val="CommentText"/>
    <w:next w:val="CommentText"/>
    <w:link w:val="CommentSubjectChar"/>
    <w:semiHidden/>
    <w:unhideWhenUsed/>
    <w:rsid w:val="00C82DA6"/>
    <w:rPr>
      <w:rFonts w:ascii="Helvetica" w:hAnsi="Helvetica"/>
      <w:b/>
      <w:bCs/>
      <w:lang w:val="en-US" w:eastAsia="en-US"/>
    </w:rPr>
  </w:style>
  <w:style w:type="character" w:customStyle="1" w:styleId="CommentSubjectChar">
    <w:name w:val="Comment Subject Char"/>
    <w:basedOn w:val="CommentTextChar"/>
    <w:link w:val="CommentSubject"/>
    <w:semiHidden/>
    <w:rsid w:val="00C82DA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235D-54D0-4993-B40C-3A446392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4</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Mohan V. Sumedha Maturu</cp:lastModifiedBy>
  <cp:revision>50</cp:revision>
  <cp:lastPrinted>1999-07-06T11:00:00Z</cp:lastPrinted>
  <dcterms:created xsi:type="dcterms:W3CDTF">2026-02-21T10:14:00Z</dcterms:created>
  <dcterms:modified xsi:type="dcterms:W3CDTF">2026-02-26T13:16:00Z</dcterms:modified>
</cp:coreProperties>
</file>