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1A" w:rsidRDefault="00E2791A" w:rsidP="00F63D10">
      <w:pPr>
        <w:tabs>
          <w:tab w:val="left" w:pos="2555"/>
        </w:tabs>
        <w:spacing w:after="0" w:line="360" w:lineRule="auto"/>
        <w:jc w:val="right"/>
        <w:rPr>
          <w:rFonts w:ascii="Arial" w:hAnsi="Arial" w:cs="Arial"/>
          <w:b/>
          <w:bCs/>
          <w:sz w:val="36"/>
          <w:szCs w:val="36"/>
        </w:rPr>
      </w:pPr>
      <w:r w:rsidRPr="00E2791A">
        <w:rPr>
          <w:rFonts w:ascii="Arial" w:hAnsi="Arial" w:cs="Arial"/>
          <w:b/>
          <w:bCs/>
          <w:sz w:val="36"/>
          <w:szCs w:val="36"/>
        </w:rPr>
        <w:t xml:space="preserve">Original Research Article </w:t>
      </w:r>
    </w:p>
    <w:p w:rsidR="00E2791A" w:rsidRDefault="00E2791A" w:rsidP="00F63D10">
      <w:pPr>
        <w:tabs>
          <w:tab w:val="left" w:pos="2555"/>
        </w:tabs>
        <w:spacing w:after="0" w:line="360" w:lineRule="auto"/>
        <w:jc w:val="right"/>
        <w:rPr>
          <w:rFonts w:ascii="Arial" w:hAnsi="Arial" w:cs="Arial"/>
          <w:b/>
          <w:bCs/>
          <w:sz w:val="36"/>
          <w:szCs w:val="36"/>
        </w:rPr>
      </w:pPr>
    </w:p>
    <w:p w:rsidR="00D05456" w:rsidRDefault="00D05456" w:rsidP="00F63D10">
      <w:pPr>
        <w:tabs>
          <w:tab w:val="left" w:pos="2555"/>
        </w:tabs>
        <w:spacing w:after="0" w:line="360" w:lineRule="auto"/>
        <w:jc w:val="right"/>
        <w:rPr>
          <w:rFonts w:ascii="Arial" w:hAnsi="Arial" w:cs="Arial"/>
          <w:b/>
          <w:bCs/>
          <w:sz w:val="36"/>
          <w:szCs w:val="36"/>
        </w:rPr>
      </w:pPr>
      <w:r w:rsidRPr="00F63D10">
        <w:rPr>
          <w:rFonts w:ascii="Arial" w:hAnsi="Arial" w:cs="Arial"/>
          <w:b/>
          <w:bCs/>
          <w:sz w:val="36"/>
          <w:szCs w:val="36"/>
        </w:rPr>
        <w:t xml:space="preserve">Effect of </w:t>
      </w:r>
      <w:r w:rsidR="002A17EF" w:rsidRPr="00F63D10">
        <w:rPr>
          <w:rFonts w:ascii="Arial" w:hAnsi="Arial" w:cs="Arial"/>
          <w:b/>
          <w:bCs/>
          <w:sz w:val="36"/>
          <w:szCs w:val="36"/>
        </w:rPr>
        <w:t>V</w:t>
      </w:r>
      <w:r w:rsidRPr="00F63D10">
        <w:rPr>
          <w:rFonts w:ascii="Arial" w:hAnsi="Arial" w:cs="Arial"/>
          <w:b/>
          <w:bCs/>
          <w:sz w:val="36"/>
          <w:szCs w:val="36"/>
        </w:rPr>
        <w:t xml:space="preserve">arious </w:t>
      </w:r>
      <w:r w:rsidR="002A17EF" w:rsidRPr="00F63D10">
        <w:rPr>
          <w:rFonts w:ascii="Arial" w:hAnsi="Arial" w:cs="Arial"/>
          <w:b/>
          <w:bCs/>
          <w:sz w:val="36"/>
          <w:szCs w:val="36"/>
        </w:rPr>
        <w:t>Establishment Techniques</w:t>
      </w:r>
      <w:r w:rsidRPr="00F63D10">
        <w:rPr>
          <w:rFonts w:ascii="Arial" w:hAnsi="Arial" w:cs="Arial"/>
          <w:b/>
          <w:bCs/>
          <w:sz w:val="36"/>
          <w:szCs w:val="36"/>
        </w:rPr>
        <w:t xml:space="preserve"> and Spacing on Growth and Yield of Brown</w:t>
      </w:r>
      <w:r w:rsidR="002A17EF" w:rsidRPr="00F63D10">
        <w:rPr>
          <w:rFonts w:ascii="Arial" w:hAnsi="Arial" w:cs="Arial"/>
          <w:b/>
          <w:bCs/>
          <w:sz w:val="36"/>
          <w:szCs w:val="36"/>
        </w:rPr>
        <w:t>t</w:t>
      </w:r>
      <w:r w:rsidRPr="00F63D10">
        <w:rPr>
          <w:rFonts w:ascii="Arial" w:hAnsi="Arial" w:cs="Arial"/>
          <w:b/>
          <w:bCs/>
          <w:sz w:val="36"/>
          <w:szCs w:val="36"/>
        </w:rPr>
        <w:t>op</w:t>
      </w:r>
      <w:r w:rsidR="002A17EF" w:rsidRPr="00F63D10">
        <w:rPr>
          <w:rFonts w:ascii="Arial" w:hAnsi="Arial" w:cs="Arial"/>
          <w:b/>
          <w:bCs/>
          <w:sz w:val="36"/>
          <w:szCs w:val="36"/>
        </w:rPr>
        <w:t>M</w:t>
      </w:r>
      <w:r w:rsidRPr="00F63D10">
        <w:rPr>
          <w:rFonts w:ascii="Arial" w:hAnsi="Arial" w:cs="Arial"/>
          <w:b/>
          <w:bCs/>
          <w:sz w:val="36"/>
          <w:szCs w:val="36"/>
        </w:rPr>
        <w:t>illet</w:t>
      </w:r>
    </w:p>
    <w:p w:rsidR="00E2791A" w:rsidRPr="00F63D10" w:rsidRDefault="00E2791A" w:rsidP="00F63D10">
      <w:pPr>
        <w:tabs>
          <w:tab w:val="left" w:pos="2555"/>
        </w:tabs>
        <w:spacing w:after="0" w:line="360" w:lineRule="auto"/>
        <w:jc w:val="right"/>
        <w:rPr>
          <w:rFonts w:ascii="Arial" w:hAnsi="Arial" w:cs="Arial"/>
          <w:b/>
          <w:bCs/>
          <w:sz w:val="36"/>
          <w:szCs w:val="36"/>
        </w:rPr>
      </w:pPr>
    </w:p>
    <w:p w:rsidR="00E2791A" w:rsidRDefault="00E2791A" w:rsidP="0022271B">
      <w:pPr>
        <w:tabs>
          <w:tab w:val="left" w:pos="2555"/>
        </w:tabs>
        <w:spacing w:after="0" w:line="360" w:lineRule="auto"/>
        <w:jc w:val="right"/>
        <w:rPr>
          <w:rFonts w:ascii="Arial" w:hAnsi="Arial" w:cs="Arial"/>
          <w:sz w:val="16"/>
          <w:szCs w:val="16"/>
        </w:rPr>
      </w:pPr>
    </w:p>
    <w:p w:rsidR="00851C57" w:rsidRPr="0060319D" w:rsidRDefault="00851C57" w:rsidP="0022271B">
      <w:pPr>
        <w:tabs>
          <w:tab w:val="left" w:pos="2555"/>
        </w:tabs>
        <w:spacing w:after="0" w:line="360" w:lineRule="auto"/>
        <w:jc w:val="right"/>
        <w:rPr>
          <w:rFonts w:ascii="Arial" w:hAnsi="Arial" w:cs="Arial"/>
          <w:sz w:val="16"/>
          <w:szCs w:val="16"/>
        </w:rPr>
      </w:pPr>
    </w:p>
    <w:p w:rsidR="003A37D5" w:rsidRPr="003509EB" w:rsidRDefault="003A37D5" w:rsidP="003A37D5">
      <w:pPr>
        <w:tabs>
          <w:tab w:val="left" w:pos="2555"/>
        </w:tabs>
        <w:spacing w:after="0" w:line="360" w:lineRule="auto"/>
        <w:jc w:val="both"/>
        <w:rPr>
          <w:rFonts w:ascii="Arial" w:hAnsi="Arial" w:cs="Arial"/>
          <w:b/>
          <w:bCs/>
          <w:color w:val="FF0000"/>
        </w:rPr>
      </w:pPr>
      <w:r w:rsidRPr="00055BD2">
        <w:rPr>
          <w:rFonts w:ascii="Arial" w:hAnsi="Arial" w:cs="Arial"/>
          <w:b/>
          <w:bCs/>
        </w:rPr>
        <w:t>ABSTRACT</w:t>
      </w:r>
      <w:r w:rsidR="003509EB">
        <w:rPr>
          <w:rFonts w:ascii="Arial" w:hAnsi="Arial" w:cs="Arial"/>
          <w:b/>
          <w:bCs/>
        </w:rPr>
        <w:t xml:space="preserve"> </w:t>
      </w:r>
      <w:r w:rsidR="003509EB" w:rsidRPr="003509EB">
        <w:rPr>
          <w:rFonts w:ascii="Arial" w:hAnsi="Arial" w:cs="Arial"/>
          <w:b/>
          <w:bCs/>
          <w:color w:val="FF0000"/>
        </w:rPr>
        <w:t>(The abstract should be written in a single paragraph without subheadings.)</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Background:</w:t>
      </w:r>
      <w:r w:rsidRPr="008E03BC">
        <w:rPr>
          <w:rFonts w:ascii="Arial" w:hAnsi="Arial" w:cs="Arial"/>
          <w:sz w:val="20"/>
          <w:szCs w:val="20"/>
        </w:rPr>
        <w:t>Browntop millet (</w:t>
      </w:r>
      <w:r w:rsidRPr="008E03BC">
        <w:rPr>
          <w:rFonts w:ascii="Arial" w:hAnsi="Arial" w:cs="Arial"/>
          <w:i/>
          <w:iCs/>
          <w:sz w:val="20"/>
          <w:szCs w:val="20"/>
        </w:rPr>
        <w:t>Urochloaramosa</w:t>
      </w:r>
      <w:r w:rsidRPr="008E03BC">
        <w:rPr>
          <w:rFonts w:ascii="Arial" w:hAnsi="Arial" w:cs="Arial"/>
          <w:sz w:val="20"/>
          <w:szCs w:val="20"/>
        </w:rPr>
        <w:t xml:space="preserve"> L.) is a drought-tolerant minor millet suitable for cultivation under marginal soils and rainfed conditions. However, information on suitable establishment methods and optimum spacing for improving productivity is limited.</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Methods:</w:t>
      </w:r>
      <w:r w:rsidRPr="008E03BC">
        <w:rPr>
          <w:rFonts w:ascii="Arial" w:hAnsi="Arial" w:cs="Arial"/>
          <w:sz w:val="20"/>
          <w:szCs w:val="20"/>
        </w:rPr>
        <w:t xml:space="preserve"> A field experiment was conducted during </w:t>
      </w:r>
      <w:r w:rsidRPr="008E03BC">
        <w:rPr>
          <w:rFonts w:ascii="Arial" w:hAnsi="Arial" w:cs="Arial"/>
          <w:i/>
          <w:iCs/>
          <w:sz w:val="20"/>
          <w:szCs w:val="20"/>
        </w:rPr>
        <w:t>Kharif</w:t>
      </w:r>
      <w:r w:rsidRPr="008E03BC">
        <w:rPr>
          <w:rFonts w:ascii="Arial" w:hAnsi="Arial" w:cs="Arial"/>
          <w:sz w:val="20"/>
          <w:szCs w:val="20"/>
        </w:rPr>
        <w:t xml:space="preserve"> 2025 at the Instructional Farm of Karunya Institute of Technology and Sciences, Coimbatore. The experiment was laid out in a split-plot design with two establishment methods (direct sowing and transplanting) as main plots and six spacing treatments (20 × 10, 30 × 10, 45 × 10, 20 × 20, 30 × 20 and 45 × 20 cm) as subplots, replicated thrice.</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Result:</w:t>
      </w:r>
      <w:r w:rsidRPr="008E03BC">
        <w:rPr>
          <w:rFonts w:ascii="Arial" w:hAnsi="Arial" w:cs="Arial"/>
          <w:sz w:val="20"/>
          <w:szCs w:val="20"/>
        </w:rPr>
        <w:t xml:space="preserve"> Direct sowing recorded higher plant height (104.3 cm), dry matter production (4373.6 kg/ha), grain yield (1178.4 kg/ha) and straw yield (2823.9 kg/ha) compared to transplanting. Among spacing treatments, 45 × 10 cm produced the highest grain yield (1368.3 kg/ha), while 20 × 10 cm recorded higher straw yield. Direct sowing with 45 × 10 cm spacing was found suitable for improving browntop millet productivity.</w:t>
      </w:r>
    </w:p>
    <w:p w:rsidR="003A37D5" w:rsidRPr="008E03BC" w:rsidRDefault="00D26DDE" w:rsidP="00055BD2">
      <w:pPr>
        <w:tabs>
          <w:tab w:val="left" w:pos="2555"/>
        </w:tabs>
        <w:spacing w:after="0" w:line="240" w:lineRule="auto"/>
        <w:jc w:val="both"/>
        <w:rPr>
          <w:rFonts w:ascii="Arial" w:hAnsi="Arial" w:cs="Arial"/>
          <w:sz w:val="20"/>
          <w:szCs w:val="20"/>
        </w:rPr>
      </w:pPr>
      <w:r w:rsidRPr="008E03BC">
        <w:rPr>
          <w:rFonts w:ascii="Arial" w:hAnsi="Arial" w:cs="Arial"/>
          <w:b/>
          <w:bCs/>
          <w:sz w:val="20"/>
          <w:szCs w:val="20"/>
        </w:rPr>
        <w:t>Keywords</w:t>
      </w:r>
      <w:r w:rsidR="003A37D5" w:rsidRPr="008E03BC">
        <w:rPr>
          <w:rFonts w:ascii="Arial" w:hAnsi="Arial" w:cs="Arial"/>
          <w:b/>
          <w:bCs/>
          <w:sz w:val="20"/>
          <w:szCs w:val="20"/>
        </w:rPr>
        <w:t>:</w:t>
      </w:r>
      <w:r w:rsidR="003A37D5" w:rsidRPr="008E03BC">
        <w:rPr>
          <w:rFonts w:ascii="Arial" w:hAnsi="Arial" w:cs="Arial"/>
          <w:sz w:val="20"/>
          <w:szCs w:val="20"/>
        </w:rPr>
        <w:t xml:space="preserve">Browntop millet, Crop establishment, Spacing, </w:t>
      </w:r>
      <w:r w:rsidRPr="008E03BC">
        <w:rPr>
          <w:rFonts w:ascii="Arial" w:hAnsi="Arial" w:cs="Arial"/>
          <w:sz w:val="20"/>
          <w:szCs w:val="20"/>
        </w:rPr>
        <w:t>Y</w:t>
      </w:r>
      <w:r w:rsidR="003A37D5" w:rsidRPr="008E03BC">
        <w:rPr>
          <w:rFonts w:ascii="Arial" w:hAnsi="Arial" w:cs="Arial"/>
          <w:sz w:val="20"/>
          <w:szCs w:val="20"/>
        </w:rPr>
        <w:t>ield</w:t>
      </w:r>
      <w:r w:rsidRPr="008E03BC">
        <w:rPr>
          <w:rFonts w:ascii="Arial" w:hAnsi="Arial" w:cs="Arial"/>
          <w:sz w:val="20"/>
          <w:szCs w:val="20"/>
        </w:rPr>
        <w:t xml:space="preserve"> and Economics</w:t>
      </w:r>
      <w:r w:rsidR="003A37D5" w:rsidRPr="008E03BC">
        <w:rPr>
          <w:rFonts w:ascii="Arial" w:hAnsi="Arial" w:cs="Arial"/>
          <w:sz w:val="20"/>
          <w:szCs w:val="20"/>
        </w:rPr>
        <w:t>.</w:t>
      </w:r>
    </w:p>
    <w:p w:rsidR="003A37D5" w:rsidRPr="00A34A07" w:rsidRDefault="003A37D5" w:rsidP="00055BD2">
      <w:pPr>
        <w:tabs>
          <w:tab w:val="left" w:pos="2555"/>
        </w:tabs>
        <w:spacing w:after="0" w:line="240" w:lineRule="auto"/>
        <w:jc w:val="both"/>
        <w:rPr>
          <w:rFonts w:ascii="Arial" w:hAnsi="Arial" w:cs="Arial"/>
          <w:b/>
          <w:bCs/>
        </w:rPr>
      </w:pPr>
      <w:r w:rsidRPr="00A34A07">
        <w:rPr>
          <w:rFonts w:ascii="Arial" w:hAnsi="Arial" w:cs="Arial"/>
          <w:b/>
          <w:bCs/>
        </w:rPr>
        <w:t>INTRODUCTION</w:t>
      </w:r>
    </w:p>
    <w:p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sz w:val="20"/>
          <w:szCs w:val="20"/>
        </w:rPr>
        <w:t xml:space="preserve">            Global agriculture is facing unprecedented challenges due to climate instability, depletion of natural resources, rapid population growth and rising food demand. These conditions make it imperative to emphasise and adopt climate-resilient, sustainable crop systems that can maintain their productivity even under fluctuating environmental conditions. Among the climate-resilient crops, millets have regained importance as strategic cereals for sustainable agriculture because of their ability to thrive in adverse environments and with minimal inputs. Unlike other major cereals, millets are tolerant to drought, high temperatures, irregular rainfall and poor soil quality, making them ideal for semi-arid and arid environments. Despite their nutritional and ecological advantages, the cultivation of millets has declined in recent decades due to the expansion of high-yielding cereal crops such as rice and wheat</w:t>
      </w:r>
      <w:r w:rsidR="001C21F9">
        <w:rPr>
          <w:rFonts w:ascii="Arial" w:hAnsi="Arial" w:cs="Arial"/>
          <w:sz w:val="20"/>
          <w:szCs w:val="20"/>
        </w:rPr>
        <w:t xml:space="preserve"> [5]</w:t>
      </w:r>
      <w:r w:rsidRPr="008E03BC">
        <w:rPr>
          <w:rFonts w:ascii="Arial" w:hAnsi="Arial" w:cs="Arial"/>
          <w:sz w:val="20"/>
          <w:szCs w:val="20"/>
        </w:rPr>
        <w:t>.</w:t>
      </w:r>
    </w:p>
    <w:p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Brown top millet (</w:t>
      </w:r>
      <w:r w:rsidRPr="008E03BC">
        <w:rPr>
          <w:rFonts w:ascii="Arial" w:hAnsi="Arial" w:cs="Arial"/>
          <w:i/>
          <w:iCs/>
          <w:sz w:val="20"/>
          <w:szCs w:val="20"/>
        </w:rPr>
        <w:t>Urochloaramosa L</w:t>
      </w:r>
      <w:r w:rsidRPr="008E03BC">
        <w:rPr>
          <w:rFonts w:ascii="Arial" w:hAnsi="Arial" w:cs="Arial"/>
          <w:sz w:val="20"/>
          <w:szCs w:val="20"/>
        </w:rPr>
        <w:t>.) is a lesser-known small millet, a drought-tolerant crop adapted to marginal soils and low rainfall conditions. It is a short-duration annual crop that requires minimal external inputs and fits well within rainfed production systems. Nutritionally, it is rich in energy, protein, dietary fibre and essential minerals such as iron, calcium and magnesium</w:t>
      </w:r>
      <w:r w:rsidR="001C21F9">
        <w:rPr>
          <w:rFonts w:ascii="Arial" w:hAnsi="Arial" w:cs="Arial"/>
          <w:sz w:val="20"/>
          <w:szCs w:val="20"/>
        </w:rPr>
        <w:t xml:space="preserve"> [6,7]</w:t>
      </w:r>
      <w:r w:rsidRPr="008E03BC">
        <w:rPr>
          <w:rFonts w:ascii="Arial" w:hAnsi="Arial" w:cs="Arial"/>
          <w:sz w:val="20"/>
          <w:szCs w:val="20"/>
        </w:rPr>
        <w:t xml:space="preserve">. </w:t>
      </w:r>
    </w:p>
    <w:p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Despite its potential, scientific information on optimised agronomic practices for brown top millet remains limited. Crop establishment method and planting geometry are critical determinants of growth, resource utilisation and yield</w:t>
      </w:r>
      <w:r w:rsidR="001C21F9">
        <w:rPr>
          <w:rFonts w:ascii="Arial" w:hAnsi="Arial" w:cs="Arial"/>
          <w:sz w:val="20"/>
          <w:szCs w:val="20"/>
        </w:rPr>
        <w:t xml:space="preserve"> [8-10]</w:t>
      </w:r>
      <w:r w:rsidRPr="008E03BC">
        <w:rPr>
          <w:rFonts w:ascii="Arial" w:hAnsi="Arial" w:cs="Arial"/>
          <w:sz w:val="20"/>
          <w:szCs w:val="20"/>
        </w:rPr>
        <w:t>. Direct sowing promotes uninterrupted root development and reduces labour costs, whereas transplanting ensures uniform plant population and early vigour. Similarly, plant spacing influences inter-plant competition, light interception, nutrient uptake and overall productivity. However, systematic evaluation of establishment techniques in combination with optimal spacing for brown top millet is scarce.</w:t>
      </w:r>
    </w:p>
    <w:p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Therefore, the present study was conducted to evaluate the influence of crop establishment techniques and spacing on the growth and yield of browntop millet under field conditions.</w:t>
      </w:r>
    </w:p>
    <w:p w:rsidR="003A37D5" w:rsidRPr="00A34A07" w:rsidRDefault="003A37D5" w:rsidP="00055BD2">
      <w:pPr>
        <w:spacing w:after="0" w:line="240" w:lineRule="auto"/>
        <w:jc w:val="both"/>
        <w:rPr>
          <w:rFonts w:ascii="Arial" w:hAnsi="Arial" w:cs="Arial"/>
          <w:b/>
          <w:bCs/>
        </w:rPr>
      </w:pPr>
      <w:r w:rsidRPr="00A34A07">
        <w:rPr>
          <w:rFonts w:ascii="Arial" w:hAnsi="Arial" w:cs="Arial"/>
          <w:b/>
          <w:bCs/>
        </w:rPr>
        <w:t>Materials and Methods</w:t>
      </w:r>
    </w:p>
    <w:p w:rsidR="003A37D5" w:rsidRPr="008E03BC" w:rsidRDefault="003A37D5" w:rsidP="00055BD2">
      <w:pPr>
        <w:spacing w:after="0" w:line="240" w:lineRule="auto"/>
        <w:rPr>
          <w:rFonts w:ascii="Arial" w:hAnsi="Arial" w:cs="Arial"/>
          <w:sz w:val="20"/>
          <w:szCs w:val="20"/>
        </w:rPr>
      </w:pPr>
      <w:r w:rsidRPr="008E03BC">
        <w:rPr>
          <w:rFonts w:ascii="Arial" w:hAnsi="Arial" w:cs="Arial"/>
          <w:sz w:val="20"/>
          <w:szCs w:val="20"/>
        </w:rPr>
        <w:tab/>
        <w:t xml:space="preserve">A field trial was carried out at the instructional farm of Karunya Institute of Technology and Sciences, Coimbatore, during the </w:t>
      </w:r>
      <w:r w:rsidRPr="008E03BC">
        <w:rPr>
          <w:rFonts w:ascii="Arial" w:hAnsi="Arial" w:cs="Arial"/>
          <w:i/>
          <w:iCs/>
          <w:sz w:val="20"/>
          <w:szCs w:val="20"/>
        </w:rPr>
        <w:t>Kharif</w:t>
      </w:r>
      <w:r w:rsidRPr="008E03BC">
        <w:rPr>
          <w:rFonts w:ascii="Arial" w:hAnsi="Arial" w:cs="Arial"/>
          <w:sz w:val="20"/>
          <w:szCs w:val="20"/>
        </w:rPr>
        <w:t xml:space="preserve"> season of 2025. The farm is located at an elevation of 474 </w:t>
      </w:r>
      <w:r w:rsidRPr="008E03BC">
        <w:rPr>
          <w:rFonts w:ascii="Arial" w:hAnsi="Arial" w:cs="Arial"/>
          <w:sz w:val="20"/>
          <w:szCs w:val="20"/>
        </w:rPr>
        <w:lastRenderedPageBreak/>
        <w:t xml:space="preserve">meters above mean sea level, positioned at latitude 10º93ˈN and longitude 76º75ˈE, in the Western Zone of Tamil Nadu. The study was conducted in </w:t>
      </w:r>
      <w:r w:rsidR="00FB799A" w:rsidRPr="008E03BC">
        <w:rPr>
          <w:rFonts w:ascii="Arial" w:hAnsi="Arial" w:cs="Arial"/>
          <w:sz w:val="20"/>
          <w:szCs w:val="20"/>
        </w:rPr>
        <w:t>a split-plot</w:t>
      </w:r>
      <w:r w:rsidRPr="008E03BC">
        <w:rPr>
          <w:rFonts w:ascii="Arial" w:hAnsi="Arial" w:cs="Arial"/>
          <w:sz w:val="20"/>
          <w:szCs w:val="20"/>
        </w:rPr>
        <w:t xml:space="preserve"> design with 2 main plots and 6 subplots. The main plots were </w:t>
      </w:r>
      <w:r w:rsidR="002A17EF" w:rsidRPr="008E03BC">
        <w:rPr>
          <w:rFonts w:ascii="Arial" w:hAnsi="Arial" w:cs="Arial"/>
          <w:sz w:val="20"/>
          <w:szCs w:val="20"/>
        </w:rPr>
        <w:t xml:space="preserve">various </w:t>
      </w:r>
      <w:r w:rsidRPr="008E03BC">
        <w:rPr>
          <w:rFonts w:ascii="Arial" w:hAnsi="Arial" w:cs="Arial"/>
          <w:sz w:val="20"/>
          <w:szCs w:val="20"/>
        </w:rPr>
        <w:t xml:space="preserve">establishment techniques </w:t>
      </w:r>
      <w:r w:rsidR="002A17EF" w:rsidRPr="008E03BC">
        <w:rPr>
          <w:rFonts w:ascii="Arial" w:hAnsi="Arial" w:cs="Arial"/>
          <w:i/>
          <w:iCs/>
          <w:sz w:val="20"/>
          <w:szCs w:val="20"/>
        </w:rPr>
        <w:t>viz</w:t>
      </w:r>
      <w:r w:rsidR="002A17EF" w:rsidRPr="008E03BC">
        <w:rPr>
          <w:rFonts w:ascii="Arial" w:hAnsi="Arial" w:cs="Arial"/>
          <w:sz w:val="20"/>
          <w:szCs w:val="20"/>
        </w:rPr>
        <w:t xml:space="preserve">. </w:t>
      </w:r>
      <w:r w:rsidRPr="008E03BC">
        <w:rPr>
          <w:rFonts w:ascii="Arial" w:hAnsi="Arial" w:cs="Arial"/>
          <w:sz w:val="20"/>
          <w:szCs w:val="20"/>
        </w:rPr>
        <w:t>M</w:t>
      </w:r>
      <w:r w:rsidRPr="008E03BC">
        <w:rPr>
          <w:rFonts w:ascii="Arial" w:hAnsi="Arial" w:cs="Arial"/>
          <w:sz w:val="20"/>
          <w:szCs w:val="20"/>
          <w:vertAlign w:val="subscript"/>
        </w:rPr>
        <w:t>1</w:t>
      </w:r>
      <w:r w:rsidRPr="008E03BC">
        <w:rPr>
          <w:rFonts w:ascii="Arial" w:hAnsi="Arial" w:cs="Arial"/>
          <w:sz w:val="20"/>
          <w:szCs w:val="20"/>
        </w:rPr>
        <w:t xml:space="preserve"> - Direct sowing and M</w:t>
      </w:r>
      <w:r w:rsidRPr="008E03BC">
        <w:rPr>
          <w:rFonts w:ascii="Arial" w:hAnsi="Arial" w:cs="Arial"/>
          <w:sz w:val="20"/>
          <w:szCs w:val="20"/>
          <w:vertAlign w:val="subscript"/>
        </w:rPr>
        <w:t>2</w:t>
      </w:r>
      <w:r w:rsidRPr="008E03BC">
        <w:rPr>
          <w:rFonts w:ascii="Arial" w:hAnsi="Arial" w:cs="Arial"/>
          <w:sz w:val="20"/>
          <w:szCs w:val="20"/>
        </w:rPr>
        <w:t xml:space="preserve"> - Transplanting. Sub plots were various spacing </w:t>
      </w:r>
      <w:r w:rsidR="002A17EF" w:rsidRPr="008E03BC">
        <w:rPr>
          <w:rFonts w:ascii="Arial" w:hAnsi="Arial" w:cs="Arial"/>
          <w:i/>
          <w:iCs/>
          <w:sz w:val="20"/>
          <w:szCs w:val="20"/>
        </w:rPr>
        <w:t>viz.</w:t>
      </w:r>
      <w:r w:rsidRPr="008E03BC">
        <w:rPr>
          <w:rFonts w:ascii="Arial" w:hAnsi="Arial" w:cs="Arial"/>
          <w:sz w:val="20"/>
          <w:szCs w:val="20"/>
        </w:rPr>
        <w:t>S</w:t>
      </w:r>
      <w:r w:rsidRPr="008E03BC">
        <w:rPr>
          <w:rFonts w:ascii="Arial" w:hAnsi="Arial" w:cs="Arial"/>
          <w:sz w:val="20"/>
          <w:szCs w:val="20"/>
          <w:vertAlign w:val="subscript"/>
        </w:rPr>
        <w:t>1</w:t>
      </w:r>
      <w:r w:rsidRPr="008E03BC">
        <w:rPr>
          <w:rFonts w:ascii="Arial" w:hAnsi="Arial" w:cs="Arial"/>
          <w:sz w:val="20"/>
          <w:szCs w:val="20"/>
        </w:rPr>
        <w:t>- 20×10 cm, S</w:t>
      </w:r>
      <w:r w:rsidRPr="008E03BC">
        <w:rPr>
          <w:rFonts w:ascii="Arial" w:hAnsi="Arial" w:cs="Arial"/>
          <w:sz w:val="20"/>
          <w:szCs w:val="20"/>
          <w:vertAlign w:val="subscript"/>
        </w:rPr>
        <w:t>2</w:t>
      </w:r>
      <w:r w:rsidRPr="008E03BC">
        <w:rPr>
          <w:rFonts w:ascii="Arial" w:hAnsi="Arial" w:cs="Arial"/>
          <w:sz w:val="20"/>
          <w:szCs w:val="20"/>
        </w:rPr>
        <w:t xml:space="preserve"> - 30×10cm, S</w:t>
      </w:r>
      <w:r w:rsidRPr="008E03BC">
        <w:rPr>
          <w:rFonts w:ascii="Arial" w:hAnsi="Arial" w:cs="Arial"/>
          <w:sz w:val="20"/>
          <w:szCs w:val="20"/>
          <w:vertAlign w:val="subscript"/>
        </w:rPr>
        <w:t>3</w:t>
      </w:r>
      <w:r w:rsidRPr="008E03BC">
        <w:rPr>
          <w:rFonts w:ascii="Arial" w:hAnsi="Arial" w:cs="Arial"/>
          <w:sz w:val="20"/>
          <w:szCs w:val="20"/>
        </w:rPr>
        <w:t xml:space="preserve"> - 45×10cm, S</w:t>
      </w:r>
      <w:r w:rsidRPr="008E03BC">
        <w:rPr>
          <w:rFonts w:ascii="Arial" w:hAnsi="Arial" w:cs="Arial"/>
          <w:sz w:val="20"/>
          <w:szCs w:val="20"/>
          <w:vertAlign w:val="subscript"/>
        </w:rPr>
        <w:t>4</w:t>
      </w:r>
      <w:r w:rsidRPr="008E03BC">
        <w:rPr>
          <w:rFonts w:ascii="Arial" w:hAnsi="Arial" w:cs="Arial"/>
          <w:sz w:val="20"/>
          <w:szCs w:val="20"/>
        </w:rPr>
        <w:t xml:space="preserve"> - 20×20cm, S</w:t>
      </w:r>
      <w:r w:rsidRPr="008E03BC">
        <w:rPr>
          <w:rFonts w:ascii="Arial" w:hAnsi="Arial" w:cs="Arial"/>
          <w:sz w:val="20"/>
          <w:szCs w:val="20"/>
          <w:vertAlign w:val="subscript"/>
        </w:rPr>
        <w:t xml:space="preserve">5 </w:t>
      </w:r>
      <w:r w:rsidRPr="008E03BC">
        <w:rPr>
          <w:rFonts w:ascii="Arial" w:hAnsi="Arial" w:cs="Arial"/>
          <w:sz w:val="20"/>
          <w:szCs w:val="20"/>
        </w:rPr>
        <w:t>- 30×20cm, S</w:t>
      </w:r>
      <w:r w:rsidRPr="008E03BC">
        <w:rPr>
          <w:rFonts w:ascii="Arial" w:hAnsi="Arial" w:cs="Arial"/>
          <w:sz w:val="20"/>
          <w:szCs w:val="20"/>
          <w:vertAlign w:val="subscript"/>
        </w:rPr>
        <w:t xml:space="preserve">6 </w:t>
      </w:r>
      <w:r w:rsidRPr="008E03BC">
        <w:rPr>
          <w:rFonts w:ascii="Arial" w:hAnsi="Arial" w:cs="Arial"/>
          <w:sz w:val="20"/>
          <w:szCs w:val="20"/>
        </w:rPr>
        <w:t>- 45×20cm and These 12 treatment combinations were replicated thrice.</w:t>
      </w:r>
    </w:p>
    <w:p w:rsidR="003A37D5" w:rsidRPr="008E03BC" w:rsidRDefault="00FB799A" w:rsidP="00055BD2">
      <w:pPr>
        <w:spacing w:after="0" w:line="240" w:lineRule="auto"/>
        <w:ind w:firstLine="720"/>
        <w:rPr>
          <w:rFonts w:ascii="Arial" w:hAnsi="Arial" w:cs="Arial"/>
          <w:sz w:val="20"/>
          <w:szCs w:val="20"/>
        </w:rPr>
      </w:pPr>
      <w:r w:rsidRPr="008E03BC">
        <w:rPr>
          <w:rFonts w:ascii="Arial" w:hAnsi="Arial" w:cs="Arial"/>
          <w:sz w:val="20"/>
          <w:szCs w:val="20"/>
        </w:rPr>
        <w:t>The browntop millet variety IIMR AK2 was sown and transplanted during September 2025 under different spacing treatments. A seed rate of 10 kg/ha was used for direct sowing and 5 kg/ha for transplanting in plots of 5.4 m × 4 m. A basal dose of 40:20 kg N: P</w:t>
      </w:r>
      <w:r w:rsidRPr="008E03BC">
        <w:rPr>
          <w:rFonts w:ascii="Cambria Math" w:hAnsi="Cambria Math" w:cs="Cambria Math"/>
          <w:sz w:val="20"/>
          <w:szCs w:val="20"/>
        </w:rPr>
        <w:t>₂</w:t>
      </w:r>
      <w:r w:rsidRPr="008E03BC">
        <w:rPr>
          <w:rFonts w:ascii="Arial" w:hAnsi="Arial" w:cs="Arial"/>
          <w:sz w:val="20"/>
          <w:szCs w:val="20"/>
        </w:rPr>
        <w:t>O</w:t>
      </w:r>
      <w:r w:rsidRPr="008E03BC">
        <w:rPr>
          <w:rFonts w:ascii="Cambria Math" w:hAnsi="Cambria Math" w:cs="Cambria Math"/>
          <w:sz w:val="20"/>
          <w:szCs w:val="20"/>
        </w:rPr>
        <w:t>₅</w:t>
      </w:r>
      <w:r w:rsidRPr="008E03BC">
        <w:rPr>
          <w:rFonts w:ascii="Arial" w:hAnsi="Arial" w:cs="Arial"/>
          <w:sz w:val="20"/>
          <w:szCs w:val="20"/>
        </w:rPr>
        <w:t xml:space="preserve"> per ha was applied. Seeds were treated with </w:t>
      </w:r>
      <w:r w:rsidRPr="008E03BC">
        <w:rPr>
          <w:rFonts w:ascii="Arial" w:hAnsi="Arial" w:cs="Arial"/>
          <w:i/>
          <w:iCs/>
          <w:sz w:val="20"/>
          <w:szCs w:val="20"/>
        </w:rPr>
        <w:t>Azospirillum</w:t>
      </w:r>
      <w:r w:rsidRPr="008E03BC">
        <w:rPr>
          <w:rFonts w:ascii="Arial" w:hAnsi="Arial" w:cs="Arial"/>
          <w:sz w:val="20"/>
          <w:szCs w:val="20"/>
        </w:rPr>
        <w:t xml:space="preserve"> and phosphobacteria before sowing</w:t>
      </w:r>
      <w:r w:rsidR="003A37D5" w:rsidRPr="008E03BC">
        <w:rPr>
          <w:rFonts w:ascii="Arial" w:hAnsi="Arial" w:cs="Arial"/>
          <w:sz w:val="20"/>
          <w:szCs w:val="20"/>
        </w:rPr>
        <w:t>. The initial irrigation was applied immediately after sowing, followed by a second irrigation at 3 DAS/DAT. Subsequent irrigations were carried out during critical growth stages, including bud tillering, booting, flowering and grain filling, to ensure optimal crop growth and yield. The growth and yield characteristics of the plant were measured at the time of harvest with standardised procedures. The collected data were subsequently analysed using the analysis of variance (ANOVA) method (Gomez and Gomez, 1984).</w:t>
      </w:r>
    </w:p>
    <w:p w:rsidR="003A37D5" w:rsidRPr="00A34A07" w:rsidRDefault="003A37D5" w:rsidP="00055BD2">
      <w:pPr>
        <w:spacing w:after="0" w:line="240" w:lineRule="auto"/>
        <w:rPr>
          <w:rFonts w:ascii="Arial" w:hAnsi="Arial" w:cs="Arial"/>
          <w:b/>
          <w:bCs/>
        </w:rPr>
      </w:pPr>
      <w:r w:rsidRPr="00A34A07">
        <w:rPr>
          <w:rFonts w:ascii="Arial" w:hAnsi="Arial" w:cs="Arial"/>
          <w:b/>
          <w:bCs/>
        </w:rPr>
        <w:t>Results and Discussion</w:t>
      </w:r>
    </w:p>
    <w:p w:rsidR="003A37D5" w:rsidRPr="00A34A07" w:rsidRDefault="003A37D5" w:rsidP="00055BD2">
      <w:pPr>
        <w:spacing w:line="240" w:lineRule="auto"/>
        <w:rPr>
          <w:rFonts w:ascii="Arial" w:hAnsi="Arial" w:cs="Arial"/>
        </w:rPr>
      </w:pPr>
      <w:r w:rsidRPr="00A34A07">
        <w:rPr>
          <w:rFonts w:ascii="Arial" w:hAnsi="Arial" w:cs="Arial"/>
          <w:b/>
          <w:bCs/>
        </w:rPr>
        <w:t>Growth attributes</w:t>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Plant height and dry matter production (DMP) of browntop millet were significantly influenced by crop establishment techniques and crop geometry (Table 1).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significantly higher plant height (104.3 cm) and dry matter production (4373.6 kg/ha) compared to transplanting (M</w:t>
      </w:r>
      <w:r w:rsidRPr="008E03BC">
        <w:rPr>
          <w:rFonts w:ascii="Cambria Math" w:hAnsi="Cambria Math" w:cs="Cambria Math"/>
          <w:sz w:val="20"/>
          <w:szCs w:val="20"/>
        </w:rPr>
        <w:t>₂</w:t>
      </w:r>
      <w:r w:rsidRPr="008E03BC">
        <w:rPr>
          <w:rFonts w:ascii="Arial" w:hAnsi="Arial" w:cs="Arial"/>
          <w:sz w:val="20"/>
          <w:szCs w:val="20"/>
        </w:rPr>
        <w:t xml:space="preserve">) (99.4 cm and 3724.3 kg/ha, respectively). The superior growth under direct sowing could be attributed to early crop establishment and uninterrupted root development, which enhanced nutrient and water uptake and resulted in improved vegetative growth and biomass accumulation. In contrast, transplanted plants experienced initial transplanting shock that might have restricted early growth. Similar observations were reported by Abhighna </w:t>
      </w:r>
      <w:r w:rsidRPr="008E03BC">
        <w:rPr>
          <w:rFonts w:ascii="Arial" w:hAnsi="Arial" w:cs="Arial"/>
          <w:i/>
          <w:iCs/>
          <w:sz w:val="20"/>
          <w:szCs w:val="20"/>
        </w:rPr>
        <w:t>et al.</w:t>
      </w:r>
      <w:r w:rsidRPr="008E03BC">
        <w:rPr>
          <w:rFonts w:ascii="Arial" w:hAnsi="Arial" w:cs="Arial"/>
          <w:sz w:val="20"/>
          <w:szCs w:val="20"/>
        </w:rPr>
        <w:t xml:space="preserve"> (2024).</w:t>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Crop geometry also exerted a significant influence on plant height and dry matter production. Among the spacing treatments, closer spacing of 20 × 10 cm (S</w:t>
      </w:r>
      <w:r w:rsidRPr="008E03BC">
        <w:rPr>
          <w:rFonts w:ascii="Cambria Math" w:hAnsi="Cambria Math" w:cs="Cambria Math"/>
          <w:sz w:val="20"/>
          <w:szCs w:val="20"/>
        </w:rPr>
        <w:t>₁</w:t>
      </w:r>
      <w:r w:rsidRPr="008E03BC">
        <w:rPr>
          <w:rFonts w:ascii="Arial" w:hAnsi="Arial" w:cs="Arial"/>
          <w:sz w:val="20"/>
          <w:szCs w:val="20"/>
        </w:rPr>
        <w:t>) recorded the highest plant height (115.0 cm) and dry matter production (5032.3 kg/ha), whereas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resulted in the lowest values (80.8 cm and 2598.9 kg/ha, respectively). The increased plant height and biomass under closer spacing could be attributed to higher plant population and greater inter-plant competition for light, which promoted vertical growth and enhanced biomass accumulation per unit area. Similar findings were reported by Abhighna </w:t>
      </w:r>
      <w:r w:rsidRPr="008E03BC">
        <w:rPr>
          <w:rFonts w:ascii="Arial" w:hAnsi="Arial" w:cs="Arial"/>
          <w:i/>
          <w:iCs/>
          <w:sz w:val="20"/>
          <w:szCs w:val="20"/>
        </w:rPr>
        <w:t>et al.</w:t>
      </w:r>
      <w:r w:rsidRPr="008E03BC">
        <w:rPr>
          <w:rFonts w:ascii="Arial" w:hAnsi="Arial" w:cs="Arial"/>
          <w:sz w:val="20"/>
          <w:szCs w:val="20"/>
        </w:rPr>
        <w:t xml:space="preserve"> (2024), </w:t>
      </w:r>
      <w:r w:rsidR="00FB799A" w:rsidRPr="008E03BC">
        <w:rPr>
          <w:rFonts w:ascii="Arial" w:hAnsi="Arial" w:cs="Arial"/>
          <w:sz w:val="20"/>
          <w:szCs w:val="20"/>
        </w:rPr>
        <w:t>Hulakund</w:t>
      </w:r>
      <w:r w:rsidR="00FB799A" w:rsidRPr="008E03BC">
        <w:rPr>
          <w:rFonts w:ascii="Arial" w:hAnsi="Arial" w:cs="Arial"/>
          <w:i/>
          <w:iCs/>
          <w:sz w:val="20"/>
          <w:szCs w:val="20"/>
        </w:rPr>
        <w:t>et al.</w:t>
      </w:r>
      <w:r w:rsidR="00FB799A" w:rsidRPr="008E03BC">
        <w:rPr>
          <w:rFonts w:ascii="Arial" w:hAnsi="Arial" w:cs="Arial"/>
          <w:sz w:val="20"/>
          <w:szCs w:val="20"/>
        </w:rPr>
        <w:t xml:space="preserve"> (2024) and </w:t>
      </w:r>
      <w:r w:rsidRPr="008E03BC">
        <w:rPr>
          <w:rFonts w:ascii="Arial" w:hAnsi="Arial" w:cs="Arial"/>
          <w:sz w:val="20"/>
          <w:szCs w:val="20"/>
        </w:rPr>
        <w:t>AduruHithaishy</w:t>
      </w:r>
      <w:r w:rsidRPr="008E03BC">
        <w:rPr>
          <w:rFonts w:ascii="Arial" w:hAnsi="Arial" w:cs="Arial"/>
          <w:i/>
          <w:iCs/>
          <w:sz w:val="20"/>
          <w:szCs w:val="20"/>
        </w:rPr>
        <w:t>et al.</w:t>
      </w:r>
      <w:r w:rsidRPr="008E03BC">
        <w:rPr>
          <w:rFonts w:ascii="Arial" w:hAnsi="Arial" w:cs="Arial"/>
          <w:sz w:val="20"/>
          <w:szCs w:val="20"/>
        </w:rPr>
        <w:t xml:space="preserve"> (2025). The interaction effect between crop establishment techniques and crop geometry was found to be non-significant for both plant height and dry matter production.</w:t>
      </w:r>
    </w:p>
    <w:p w:rsidR="003A37D5" w:rsidRPr="00A34A07" w:rsidRDefault="003A37D5" w:rsidP="00055BD2">
      <w:pPr>
        <w:spacing w:line="240" w:lineRule="auto"/>
        <w:rPr>
          <w:rFonts w:ascii="Arial" w:hAnsi="Arial" w:cs="Arial"/>
        </w:rPr>
      </w:pPr>
      <w:r w:rsidRPr="00A34A07">
        <w:rPr>
          <w:rFonts w:ascii="Arial" w:hAnsi="Arial" w:cs="Arial"/>
          <w:b/>
          <w:bCs/>
        </w:rPr>
        <w:t>Yield and yield attributes</w:t>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Grain yield, straw yield and harvest index of browntop millet were significantly influenced by crop establishment techniques and crop geometry (Table</w:t>
      </w:r>
      <w:r w:rsidR="00C76D98" w:rsidRPr="008E03BC">
        <w:rPr>
          <w:rFonts w:ascii="Arial" w:hAnsi="Arial" w:cs="Arial"/>
          <w:sz w:val="20"/>
          <w:szCs w:val="20"/>
        </w:rPr>
        <w:t xml:space="preserve"> 1</w:t>
      </w:r>
      <w:r w:rsidRPr="008E03BC">
        <w:rPr>
          <w:rFonts w:ascii="Arial" w:hAnsi="Arial" w:cs="Arial"/>
          <w:sz w:val="20"/>
          <w:szCs w:val="20"/>
        </w:rPr>
        <w:t>).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higher grain yield (1178.4 kg/ha)</w:t>
      </w:r>
      <w:r w:rsidR="003E25DF" w:rsidRPr="008E03BC">
        <w:rPr>
          <w:rFonts w:ascii="Arial" w:hAnsi="Arial" w:cs="Arial"/>
          <w:sz w:val="20"/>
          <w:szCs w:val="20"/>
        </w:rPr>
        <w:t xml:space="preserve"> and</w:t>
      </w:r>
      <w:r w:rsidRPr="008E03BC">
        <w:rPr>
          <w:rFonts w:ascii="Arial" w:hAnsi="Arial" w:cs="Arial"/>
          <w:sz w:val="20"/>
          <w:szCs w:val="20"/>
        </w:rPr>
        <w:t xml:space="preserve"> straw yield (2823.9 kg/ha) compared to transplanting (M</w:t>
      </w:r>
      <w:r w:rsidRPr="008E03BC">
        <w:rPr>
          <w:rFonts w:ascii="Cambria Math" w:hAnsi="Cambria Math" w:cs="Cambria Math"/>
          <w:sz w:val="20"/>
          <w:szCs w:val="20"/>
        </w:rPr>
        <w:t>₂</w:t>
      </w:r>
      <w:r w:rsidRPr="008E03BC">
        <w:rPr>
          <w:rFonts w:ascii="Arial" w:hAnsi="Arial" w:cs="Arial"/>
          <w:sz w:val="20"/>
          <w:szCs w:val="20"/>
        </w:rPr>
        <w:t>), which recorded 1043.7 kg/ha grain yield</w:t>
      </w:r>
      <w:r w:rsidR="003E25DF" w:rsidRPr="008E03BC">
        <w:rPr>
          <w:rFonts w:ascii="Arial" w:hAnsi="Arial" w:cs="Arial"/>
          <w:sz w:val="20"/>
          <w:szCs w:val="20"/>
        </w:rPr>
        <w:t xml:space="preserve"> and</w:t>
      </w:r>
      <w:r w:rsidRPr="008E03BC">
        <w:rPr>
          <w:rFonts w:ascii="Arial" w:hAnsi="Arial" w:cs="Arial"/>
          <w:sz w:val="20"/>
          <w:szCs w:val="20"/>
        </w:rPr>
        <w:t xml:space="preserve"> 2437.1 kg/ha straw yield. The higher productivity under direct sowing could be attributed to better crop establishment, uninterrupted root growth and improved nutrient and water uptake, which enhanced biomass production and efficient conversion of assimilates into grain yield. Similar findings were reported by Abhighna </w:t>
      </w:r>
      <w:r w:rsidRPr="008E03BC">
        <w:rPr>
          <w:rFonts w:ascii="Arial" w:hAnsi="Arial" w:cs="Arial"/>
          <w:i/>
          <w:iCs/>
          <w:sz w:val="20"/>
          <w:szCs w:val="20"/>
        </w:rPr>
        <w:t>et al.</w:t>
      </w:r>
      <w:r w:rsidRPr="008E03BC">
        <w:rPr>
          <w:rFonts w:ascii="Arial" w:hAnsi="Arial" w:cs="Arial"/>
          <w:sz w:val="20"/>
          <w:szCs w:val="20"/>
        </w:rPr>
        <w:t xml:space="preserve"> (2024).</w:t>
      </w:r>
    </w:p>
    <w:p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Crop geometry also significantly affected the yield parameters. Among the spacing treatments, 45 × 10 cm (S</w:t>
      </w:r>
      <w:r w:rsidRPr="008E03BC">
        <w:rPr>
          <w:rFonts w:ascii="Cambria Math" w:hAnsi="Cambria Math" w:cs="Cambria Math"/>
          <w:sz w:val="20"/>
          <w:szCs w:val="20"/>
        </w:rPr>
        <w:t>₃</w:t>
      </w:r>
      <w:r w:rsidRPr="008E03BC">
        <w:rPr>
          <w:rFonts w:ascii="Arial" w:hAnsi="Arial" w:cs="Arial"/>
          <w:sz w:val="20"/>
          <w:szCs w:val="20"/>
        </w:rPr>
        <w:t>) recorded the highest grain yield (1368.3 kg/ha), which might be due to adequate plant spacing that facilitated better light interception, reduced inter-plant competition and improved nutrient utilisation, thereby enhancing grain production. In contrast, the highest straw yield (3566.8 kg/ha) was recorded under closer spacing of 20 × 10 cm (S</w:t>
      </w:r>
      <w:r w:rsidRPr="008E03BC">
        <w:rPr>
          <w:rFonts w:ascii="Cambria Math" w:hAnsi="Cambria Math" w:cs="Cambria Math"/>
          <w:sz w:val="20"/>
          <w:szCs w:val="20"/>
        </w:rPr>
        <w:t>₁</w:t>
      </w:r>
      <w:r w:rsidRPr="008E03BC">
        <w:rPr>
          <w:rFonts w:ascii="Arial" w:hAnsi="Arial" w:cs="Arial"/>
          <w:sz w:val="20"/>
          <w:szCs w:val="20"/>
        </w:rPr>
        <w:t>), which could be attributed to higher plant population and greater vegetative biomass production per unit area. The harvest index was highest under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(37.20%), indicating better partitioning of assimilates towards grain formation under reduced plant competition. Similar observations were reported by Abhighna </w:t>
      </w:r>
      <w:r w:rsidRPr="008E03BC">
        <w:rPr>
          <w:rFonts w:ascii="Arial" w:hAnsi="Arial" w:cs="Arial"/>
          <w:i/>
          <w:iCs/>
          <w:sz w:val="20"/>
          <w:szCs w:val="20"/>
        </w:rPr>
        <w:t>et al.</w:t>
      </w:r>
      <w:r w:rsidRPr="008E03BC">
        <w:rPr>
          <w:rFonts w:ascii="Arial" w:hAnsi="Arial" w:cs="Arial"/>
          <w:sz w:val="20"/>
          <w:szCs w:val="20"/>
        </w:rPr>
        <w:t xml:space="preserve"> (2024), Hulakund</w:t>
      </w:r>
      <w:r w:rsidRPr="008E03BC">
        <w:rPr>
          <w:rFonts w:ascii="Arial" w:hAnsi="Arial" w:cs="Arial"/>
          <w:i/>
          <w:iCs/>
          <w:sz w:val="20"/>
          <w:szCs w:val="20"/>
        </w:rPr>
        <w:t>et al.</w:t>
      </w:r>
      <w:r w:rsidRPr="008E03BC">
        <w:rPr>
          <w:rFonts w:ascii="Arial" w:hAnsi="Arial" w:cs="Arial"/>
          <w:sz w:val="20"/>
          <w:szCs w:val="20"/>
        </w:rPr>
        <w:t xml:space="preserve"> (2024), Kaur </w:t>
      </w:r>
      <w:r w:rsidRPr="008E03BC">
        <w:rPr>
          <w:rFonts w:ascii="Arial" w:hAnsi="Arial" w:cs="Arial"/>
          <w:i/>
          <w:iCs/>
          <w:sz w:val="20"/>
          <w:szCs w:val="20"/>
        </w:rPr>
        <w:t>et al.</w:t>
      </w:r>
      <w:r w:rsidRPr="008E03BC">
        <w:rPr>
          <w:rFonts w:ascii="Arial" w:hAnsi="Arial" w:cs="Arial"/>
          <w:sz w:val="20"/>
          <w:szCs w:val="20"/>
        </w:rPr>
        <w:t xml:space="preserve"> (2024) and AduruHithaishy</w:t>
      </w:r>
      <w:r w:rsidRPr="008E03BC">
        <w:rPr>
          <w:rFonts w:ascii="Arial" w:hAnsi="Arial" w:cs="Arial"/>
          <w:i/>
          <w:iCs/>
          <w:sz w:val="20"/>
          <w:szCs w:val="20"/>
        </w:rPr>
        <w:t>et al.</w:t>
      </w:r>
      <w:r w:rsidRPr="008E03BC">
        <w:rPr>
          <w:rFonts w:ascii="Arial" w:hAnsi="Arial" w:cs="Arial"/>
          <w:sz w:val="20"/>
          <w:szCs w:val="20"/>
        </w:rPr>
        <w:t xml:space="preserve"> (2025). The interaction effect between crop establishment techniques and crop geometry was found to be non-significant for grain </w:t>
      </w:r>
      <w:r w:rsidR="00810450" w:rsidRPr="008E03BC">
        <w:rPr>
          <w:rFonts w:ascii="Arial" w:hAnsi="Arial" w:cs="Arial"/>
          <w:sz w:val="20"/>
          <w:szCs w:val="20"/>
        </w:rPr>
        <w:t xml:space="preserve">and </w:t>
      </w:r>
      <w:r w:rsidRPr="008E03BC">
        <w:rPr>
          <w:rFonts w:ascii="Arial" w:hAnsi="Arial" w:cs="Arial"/>
          <w:sz w:val="20"/>
          <w:szCs w:val="20"/>
        </w:rPr>
        <w:t>straw yield.</w:t>
      </w:r>
    </w:p>
    <w:p w:rsidR="00FE2DC2" w:rsidRPr="00A34A07" w:rsidRDefault="00810450" w:rsidP="00055BD2">
      <w:pPr>
        <w:spacing w:after="0" w:line="240" w:lineRule="auto"/>
        <w:rPr>
          <w:rFonts w:ascii="Arial" w:hAnsi="Arial" w:cs="Arial"/>
          <w:b/>
          <w:bCs/>
        </w:rPr>
      </w:pPr>
      <w:r w:rsidRPr="00A34A07">
        <w:rPr>
          <w:rFonts w:ascii="Arial" w:hAnsi="Arial" w:cs="Arial"/>
          <w:b/>
          <w:bCs/>
        </w:rPr>
        <w:t>Economics</w:t>
      </w:r>
    </w:p>
    <w:p w:rsidR="00FE2DC2" w:rsidRPr="008E03BC" w:rsidRDefault="00FE2DC2" w:rsidP="00055BD2">
      <w:pPr>
        <w:spacing w:line="240" w:lineRule="auto"/>
        <w:ind w:firstLine="720"/>
        <w:rPr>
          <w:rFonts w:ascii="Arial" w:hAnsi="Arial" w:cs="Arial"/>
          <w:sz w:val="20"/>
          <w:szCs w:val="20"/>
        </w:rPr>
      </w:pPr>
      <w:r w:rsidRPr="008E03BC">
        <w:rPr>
          <w:rFonts w:ascii="Arial" w:hAnsi="Arial" w:cs="Arial"/>
          <w:sz w:val="20"/>
          <w:szCs w:val="20"/>
        </w:rPr>
        <w:t>Economic analysis revealed that crop establishment methods and spacing significantly influenced the net return and benefit-cost ratio of browntop millet</w:t>
      </w:r>
      <w:r w:rsidR="00E47119" w:rsidRPr="008E03BC">
        <w:rPr>
          <w:rFonts w:ascii="Arial" w:hAnsi="Arial" w:cs="Arial"/>
          <w:sz w:val="20"/>
          <w:szCs w:val="20"/>
        </w:rPr>
        <w:t xml:space="preserve"> (Table </w:t>
      </w:r>
      <w:r w:rsidR="002A17EF" w:rsidRPr="008E03BC">
        <w:rPr>
          <w:rFonts w:ascii="Arial" w:hAnsi="Arial" w:cs="Arial"/>
          <w:sz w:val="20"/>
          <w:szCs w:val="20"/>
        </w:rPr>
        <w:t>2</w:t>
      </w:r>
      <w:r w:rsidR="00E47119" w:rsidRPr="008E03BC">
        <w:rPr>
          <w:rFonts w:ascii="Arial" w:hAnsi="Arial" w:cs="Arial"/>
          <w:sz w:val="20"/>
          <w:szCs w:val="20"/>
        </w:rPr>
        <w:t>)</w:t>
      </w:r>
      <w:r w:rsidRPr="008E03BC">
        <w:rPr>
          <w:rFonts w:ascii="Arial" w:hAnsi="Arial" w:cs="Arial"/>
          <w:sz w:val="20"/>
          <w:szCs w:val="20"/>
        </w:rPr>
        <w:t>. Among the treatment combinations,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₃</w:t>
      </w:r>
      <w:r w:rsidRPr="008E03BC">
        <w:rPr>
          <w:rFonts w:ascii="Arial" w:hAnsi="Arial" w:cs="Arial"/>
          <w:sz w:val="20"/>
          <w:szCs w:val="20"/>
        </w:rPr>
        <w:t xml:space="preserve"> (direct sowing with 45 × 10 cm spacing) recorded the highest net return (₹43,917</w:t>
      </w:r>
      <w:r w:rsidR="002A17EF" w:rsidRPr="008E03BC">
        <w:rPr>
          <w:rFonts w:ascii="Arial" w:hAnsi="Arial" w:cs="Arial"/>
          <w:sz w:val="20"/>
          <w:szCs w:val="20"/>
        </w:rPr>
        <w:t>/</w:t>
      </w:r>
      <w:r w:rsidRPr="008E03BC">
        <w:rPr>
          <w:rFonts w:ascii="Arial" w:hAnsi="Arial" w:cs="Arial"/>
          <w:sz w:val="20"/>
          <w:szCs w:val="20"/>
        </w:rPr>
        <w:t>ha) and B: C ratio (2.2), followed by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₄</w:t>
      </w:r>
      <w:r w:rsidRPr="008E03BC">
        <w:rPr>
          <w:rFonts w:ascii="Arial" w:hAnsi="Arial" w:cs="Arial"/>
          <w:sz w:val="20"/>
          <w:szCs w:val="20"/>
        </w:rPr>
        <w:t xml:space="preserve"> (direct sowing with 20 × 20 cm spacing) with a net return of ₹40,829</w:t>
      </w:r>
      <w:r w:rsidR="002A17EF" w:rsidRPr="008E03BC">
        <w:rPr>
          <w:rFonts w:ascii="Arial" w:hAnsi="Arial" w:cs="Arial"/>
          <w:sz w:val="20"/>
          <w:szCs w:val="20"/>
        </w:rPr>
        <w:t>/</w:t>
      </w:r>
      <w:r w:rsidRPr="008E03BC">
        <w:rPr>
          <w:rFonts w:ascii="Arial" w:hAnsi="Arial" w:cs="Arial"/>
          <w:sz w:val="20"/>
          <w:szCs w:val="20"/>
        </w:rPr>
        <w:t>ha and a B: C ratio of 2.1. The higher returns under these treatments were mainly due to increased grain yield under optimum plant spacing. In contrast, the lowest net return and B:C ratio were recorded under M</w:t>
      </w:r>
      <w:r w:rsidRPr="008E03BC">
        <w:rPr>
          <w:rFonts w:ascii="Cambria Math" w:hAnsi="Cambria Math" w:cs="Cambria Math"/>
          <w:sz w:val="20"/>
          <w:szCs w:val="20"/>
        </w:rPr>
        <w:t>₂</w:t>
      </w:r>
      <w:r w:rsidRPr="008E03BC">
        <w:rPr>
          <w:rFonts w:ascii="Arial" w:hAnsi="Arial" w:cs="Arial"/>
          <w:sz w:val="20"/>
          <w:szCs w:val="20"/>
        </w:rPr>
        <w:t>S</w:t>
      </w:r>
      <w:r w:rsidRPr="008E03BC">
        <w:rPr>
          <w:rFonts w:ascii="Cambria Math" w:hAnsi="Cambria Math" w:cs="Cambria Math"/>
          <w:sz w:val="20"/>
          <w:szCs w:val="20"/>
        </w:rPr>
        <w:t>₆</w:t>
      </w:r>
      <w:r w:rsidRPr="008E03BC">
        <w:rPr>
          <w:rFonts w:ascii="Arial" w:hAnsi="Arial" w:cs="Arial"/>
          <w:sz w:val="20"/>
          <w:szCs w:val="20"/>
        </w:rPr>
        <w:t xml:space="preserve"> (transplanting with 45 × 20 cm spacing), which may be attributed to lower yield and higher cultivation cost. Overall, direct sowing treatments resulted in higher economic returns compared to transplanting.</w:t>
      </w:r>
    </w:p>
    <w:p w:rsidR="003A37D5" w:rsidRPr="00445EED" w:rsidRDefault="003A37D5" w:rsidP="00055BD2">
      <w:pPr>
        <w:spacing w:after="0" w:line="240" w:lineRule="auto"/>
        <w:rPr>
          <w:rFonts w:ascii="Arial" w:hAnsi="Arial" w:cs="Arial"/>
          <w:b/>
          <w:bCs/>
          <w:color w:val="FF0000"/>
          <w:sz w:val="20"/>
          <w:szCs w:val="20"/>
        </w:rPr>
      </w:pPr>
      <w:r w:rsidRPr="008E03BC">
        <w:rPr>
          <w:rFonts w:ascii="Arial" w:hAnsi="Arial" w:cs="Arial"/>
          <w:b/>
          <w:bCs/>
          <w:sz w:val="20"/>
          <w:szCs w:val="20"/>
        </w:rPr>
        <w:t>Conclusion</w:t>
      </w:r>
      <w:r w:rsidR="00445EED">
        <w:rPr>
          <w:rFonts w:ascii="Arial" w:hAnsi="Arial" w:cs="Arial"/>
          <w:b/>
          <w:bCs/>
          <w:sz w:val="20"/>
          <w:szCs w:val="20"/>
        </w:rPr>
        <w:t xml:space="preserve"> </w:t>
      </w:r>
      <w:r w:rsidR="00445EED" w:rsidRPr="00445EED">
        <w:rPr>
          <w:rFonts w:ascii="Arial" w:hAnsi="Arial" w:cs="Arial"/>
          <w:b/>
          <w:bCs/>
          <w:color w:val="FF0000"/>
          <w:sz w:val="20"/>
          <w:szCs w:val="20"/>
        </w:rPr>
        <w:t>(Write only findings and suggestion)</w:t>
      </w:r>
    </w:p>
    <w:p w:rsidR="00F24B39"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 xml:space="preserve">The </w:t>
      </w:r>
      <w:r w:rsidR="00810450" w:rsidRPr="008E03BC">
        <w:rPr>
          <w:rFonts w:ascii="Arial" w:hAnsi="Arial" w:cs="Arial"/>
          <w:sz w:val="20"/>
          <w:szCs w:val="20"/>
        </w:rPr>
        <w:t>present investigation found that both crop establishment method and crop geometry significantly influenced</w:t>
      </w:r>
      <w:r w:rsidRPr="008E03BC">
        <w:rPr>
          <w:rFonts w:ascii="Arial" w:hAnsi="Arial" w:cs="Arial"/>
          <w:sz w:val="20"/>
          <w:szCs w:val="20"/>
        </w:rPr>
        <w:t xml:space="preserve"> the growth and yield of browntop millet. Direct sowing exhibited superior performance over transplanting in terms of plant height, dry matter accumulation, grain yield and straw yield, which might be ascribed to better crop establishment and uninterrupted root development that enhanced nutrient and water uptake. Among the different spacing treatments, 45 × 10 cm spacing produced higher grain yield, while closer spacing contributed to greater biomass production due to increased plant population</w:t>
      </w:r>
      <w:r w:rsidR="003514D8" w:rsidRPr="008E03BC">
        <w:rPr>
          <w:rFonts w:ascii="Arial" w:hAnsi="Arial" w:cs="Arial"/>
          <w:sz w:val="20"/>
          <w:szCs w:val="20"/>
        </w:rPr>
        <w:t>. Economic analysis also indicated that direct sowing with 45 × 10 cm spacing recorded the highest net return and benefit–cost ratio. Therefore</w:t>
      </w:r>
      <w:r w:rsidRPr="008E03BC">
        <w:rPr>
          <w:rFonts w:ascii="Arial" w:hAnsi="Arial" w:cs="Arial"/>
          <w:sz w:val="20"/>
          <w:szCs w:val="20"/>
        </w:rPr>
        <w:t xml:space="preserve">, the results suggest that adopting direct sowing with an optimum spacing of 45 × 10 cm can improve productivity and overall performance of browntop millet under </w:t>
      </w:r>
      <w:r w:rsidRPr="008E03BC">
        <w:rPr>
          <w:rFonts w:ascii="Arial" w:hAnsi="Arial" w:cs="Arial"/>
          <w:i/>
          <w:iCs/>
          <w:sz w:val="20"/>
          <w:szCs w:val="20"/>
        </w:rPr>
        <w:t>similar agro-ecological</w:t>
      </w:r>
      <w:r w:rsidRPr="008E03BC">
        <w:rPr>
          <w:rFonts w:ascii="Arial" w:hAnsi="Arial" w:cs="Arial"/>
          <w:sz w:val="20"/>
          <w:szCs w:val="20"/>
        </w:rPr>
        <w:t xml:space="preserve"> condition</w:t>
      </w:r>
      <w:r w:rsidR="00F24B39" w:rsidRPr="008E03BC">
        <w:rPr>
          <w:rFonts w:ascii="Arial" w:hAnsi="Arial" w:cs="Arial"/>
          <w:sz w:val="20"/>
          <w:szCs w:val="20"/>
        </w:rPr>
        <w:t>s.</w:t>
      </w:r>
    </w:p>
    <w:p w:rsidR="00851C57" w:rsidRDefault="00851C57" w:rsidP="00055BD2">
      <w:pPr>
        <w:spacing w:after="0" w:line="240" w:lineRule="auto"/>
        <w:rPr>
          <w:rFonts w:ascii="Arial" w:hAnsi="Arial" w:cs="Arial"/>
          <w:b/>
          <w:bCs/>
        </w:rPr>
      </w:pPr>
    </w:p>
    <w:p w:rsidR="00810450" w:rsidRPr="00A34A07" w:rsidRDefault="00810450" w:rsidP="00055BD2">
      <w:pPr>
        <w:spacing w:after="0" w:line="240" w:lineRule="auto"/>
        <w:rPr>
          <w:rFonts w:ascii="Arial" w:hAnsi="Arial" w:cs="Arial"/>
          <w:b/>
          <w:bCs/>
        </w:rPr>
      </w:pPr>
      <w:bookmarkStart w:id="0" w:name="_GoBack"/>
      <w:bookmarkEnd w:id="0"/>
      <w:r w:rsidRPr="00A34A07">
        <w:rPr>
          <w:rFonts w:ascii="Arial" w:hAnsi="Arial" w:cs="Arial"/>
          <w:b/>
          <w:bCs/>
        </w:rPr>
        <w:t>Conflict of interest</w:t>
      </w:r>
    </w:p>
    <w:p w:rsidR="00810450" w:rsidRPr="008E03BC" w:rsidRDefault="00810450" w:rsidP="00055BD2">
      <w:pPr>
        <w:spacing w:line="240" w:lineRule="auto"/>
        <w:ind w:firstLine="720"/>
        <w:rPr>
          <w:rFonts w:ascii="Arial" w:hAnsi="Arial" w:cs="Arial"/>
          <w:sz w:val="20"/>
          <w:szCs w:val="20"/>
        </w:rPr>
      </w:pPr>
      <w:r w:rsidRPr="008E03BC">
        <w:rPr>
          <w:rFonts w:ascii="Arial" w:hAnsi="Arial" w:cs="Arial"/>
          <w:sz w:val="20"/>
          <w:szCs w:val="20"/>
        </w:rPr>
        <w:t>The authors declare that there are no conflicts of interest associated with this manuscript. All authors have reviewed and approved the final version of the manuscript and agree with its contents. The authors further confirm that the work presented in this manuscript is original and has not been submitted for consideration in any other journal or publication.</w:t>
      </w:r>
    </w:p>
    <w:p w:rsidR="00810450" w:rsidRPr="00A34A07" w:rsidRDefault="00810450" w:rsidP="00055BD2">
      <w:pPr>
        <w:spacing w:line="240" w:lineRule="auto"/>
        <w:jc w:val="both"/>
        <w:rPr>
          <w:rFonts w:ascii="Arial" w:hAnsi="Arial" w:cs="Arial"/>
          <w:b/>
          <w:bCs/>
        </w:rPr>
      </w:pPr>
      <w:r w:rsidRPr="00A34A07">
        <w:rPr>
          <w:rFonts w:ascii="Arial" w:hAnsi="Arial" w:cs="Arial"/>
          <w:b/>
          <w:bCs/>
        </w:rPr>
        <w:t>Reference</w:t>
      </w:r>
      <w:r w:rsidR="00F24B39" w:rsidRPr="00A34A07">
        <w:rPr>
          <w:rFonts w:ascii="Arial" w:hAnsi="Arial" w:cs="Arial"/>
          <w:b/>
          <w:bCs/>
        </w:rPr>
        <w:t>s</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Abhigna, D., Kalpana, R., Geetha, P., Janaki, P., Radhamani, S., &amp; Ravichandran, V. (2024). Effect of sowing methods, spacings, and fertilizer levels on quantitative and qualitative traits and economics of brown top millet (Brachiariaramosa L.) under different cropping seasons. PLANT SCIENCE, 11.</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Gomez, K.A. and Gomez, A. A. (1984). Statistical Procedures for Agricultural Research. John Wiley and sons</w:t>
      </w:r>
      <w:r w:rsidR="00EC7F7A" w:rsidRPr="008E03BC">
        <w:rPr>
          <w:rFonts w:ascii="Arial" w:hAnsi="Arial" w:cs="Arial"/>
          <w:sz w:val="20"/>
          <w:szCs w:val="20"/>
        </w:rPr>
        <w:t>.</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Hithaishy, A., Devi, M. S., Naik, B. S. K., Hemalatha, T. M., &amp; Sekar, M. R. (2025). Correlation and Path Coefficient Studies for Grain Yield and Yield Component Traits in Browntop Millet. Journal of Advances in Biology &amp; Biotechnology, 28(11), 694-704.</w:t>
      </w:r>
    </w:p>
    <w:p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Hulakund, R. S., Ashoka, P., &amp;Nagangoudar, M. B. (2024). Effect of varied planting geometry, genotypes and seed rate on yield, nutrient uptake and post-harvest soil available nutrients status in browntop millet under Alfisols of Northern Karnataka. International Journal of Advanced Biochemistry Research, 8(8), 1131-1138.</w:t>
      </w:r>
    </w:p>
    <w:p w:rsidR="00810450" w:rsidRDefault="00810450" w:rsidP="003E25DF">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sidRPr="001C21F9">
        <w:rPr>
          <w:rFonts w:ascii="Arial" w:hAnsi="Arial" w:cs="Arial"/>
          <w:color w:val="222222"/>
          <w:sz w:val="20"/>
          <w:szCs w:val="20"/>
          <w:shd w:val="clear" w:color="auto" w:fill="FFFFFF"/>
        </w:rPr>
        <w:t>Siddiqui, D. A., Sharma, G. K., Chandrakar, T., Thakur, A. K., &amp; Pradhan, A. (2020). Differential levels of fertilizer and row spacing affects growth and yield of brown top millet [Brachiariaramosa (L.)] in Entisols of Bastar Plateau Zone of Chhattisgarh. </w:t>
      </w:r>
      <w:r w:rsidRPr="001C21F9">
        <w:rPr>
          <w:rFonts w:ascii="Arial" w:hAnsi="Arial" w:cs="Arial"/>
          <w:i/>
          <w:iCs/>
          <w:color w:val="222222"/>
          <w:sz w:val="20"/>
          <w:szCs w:val="20"/>
          <w:shd w:val="clear" w:color="auto" w:fill="FFFFFF"/>
        </w:rPr>
        <w:t>Int J CurrMicrobiol App Sci</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9</w:t>
      </w:r>
      <w:r w:rsidRPr="001C21F9">
        <w:rPr>
          <w:rFonts w:ascii="Arial" w:hAnsi="Arial" w:cs="Arial"/>
          <w:color w:val="222222"/>
          <w:sz w:val="20"/>
          <w:szCs w:val="20"/>
          <w:shd w:val="clear" w:color="auto" w:fill="FFFFFF"/>
        </w:rPr>
        <w:t>, 3459-3472.</w:t>
      </w:r>
    </w:p>
    <w:p w:rsidR="001C21F9" w:rsidRPr="001C21F9" w:rsidRDefault="001C21F9" w:rsidP="001C21F9">
      <w:pPr>
        <w:pStyle w:val="ListParagraph"/>
        <w:rPr>
          <w:rFonts w:ascii="Arial" w:hAnsi="Arial" w:cs="Arial"/>
          <w:color w:val="222222"/>
          <w:sz w:val="20"/>
          <w:szCs w:val="20"/>
          <w:shd w:val="clear" w:color="auto" w:fill="FFFFFF"/>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sidRPr="001C21F9">
        <w:rPr>
          <w:rFonts w:ascii="Arial" w:hAnsi="Arial" w:cs="Arial"/>
          <w:color w:val="222222"/>
          <w:sz w:val="20"/>
          <w:szCs w:val="20"/>
          <w:shd w:val="clear" w:color="auto" w:fill="FFFFFF"/>
        </w:rPr>
        <w:t>Hulakund, R. S., Ashoka, P., &amp;Nagangoudar, M. B. (2024). Effect of varied planting geometry, genotypes and seed rate on yield, nutrient uptake and post-harvest soil available nutrients status in browntop millet under Alfisols of Northern Karnataka. </w:t>
      </w:r>
      <w:r w:rsidRPr="001C21F9">
        <w:rPr>
          <w:rFonts w:ascii="Arial" w:hAnsi="Arial" w:cs="Arial"/>
          <w:i/>
          <w:iCs/>
          <w:color w:val="222222"/>
          <w:sz w:val="20"/>
          <w:szCs w:val="20"/>
          <w:shd w:val="clear" w:color="auto" w:fill="FFFFFF"/>
        </w:rPr>
        <w:t>International Journal of Advanced Biochemistry Research</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8</w:t>
      </w:r>
      <w:r w:rsidRPr="001C21F9">
        <w:rPr>
          <w:rFonts w:ascii="Arial" w:hAnsi="Arial" w:cs="Arial"/>
          <w:color w:val="222222"/>
          <w:sz w:val="20"/>
          <w:szCs w:val="20"/>
          <w:shd w:val="clear" w:color="auto" w:fill="FFFFFF"/>
        </w:rPr>
        <w:t>(8), 1131-1138.</w:t>
      </w:r>
    </w:p>
    <w:p w:rsidR="001C21F9" w:rsidRDefault="001C21F9" w:rsidP="001C21F9">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color w:val="222222"/>
          <w:sz w:val="20"/>
          <w:szCs w:val="20"/>
          <w:shd w:val="clear" w:color="auto" w:fill="FFFFFF"/>
        </w:rPr>
      </w:pPr>
      <w:r w:rsidRPr="001C21F9">
        <w:rPr>
          <w:rFonts w:ascii="Arial" w:hAnsi="Arial" w:cs="Arial"/>
          <w:color w:val="222222"/>
          <w:sz w:val="20"/>
          <w:szCs w:val="20"/>
          <w:shd w:val="clear" w:color="auto" w:fill="FFFFFF"/>
        </w:rPr>
        <w:t>Vishwanatha, S., Shwetha, B. N., Kavyashree, C., Kumar, M. V., Shankar, G. R., Kurdekar, A. K., &amp;Koppalkar, B. G. (2024). Influence of date of sowing, row spacing and fertilizer levels on yield and economics on brown top millet (Brachiariaramosa L.). </w:t>
      </w:r>
      <w:r w:rsidRPr="001C21F9">
        <w:rPr>
          <w:rFonts w:ascii="Arial" w:hAnsi="Arial" w:cs="Arial"/>
          <w:i/>
          <w:iCs/>
          <w:color w:val="222222"/>
          <w:sz w:val="20"/>
          <w:szCs w:val="20"/>
          <w:shd w:val="clear" w:color="auto" w:fill="FFFFFF"/>
        </w:rPr>
        <w:t>Plant Arch</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24</w:t>
      </w:r>
      <w:r w:rsidRPr="001C21F9">
        <w:rPr>
          <w:rFonts w:ascii="Arial" w:hAnsi="Arial" w:cs="Arial"/>
          <w:color w:val="222222"/>
          <w:sz w:val="20"/>
          <w:szCs w:val="20"/>
          <w:shd w:val="clear" w:color="auto" w:fill="FFFFFF"/>
        </w:rPr>
        <w:t>, 1038-1042.</w:t>
      </w:r>
    </w:p>
    <w:p w:rsidR="001C21F9" w:rsidRDefault="001C21F9" w:rsidP="001C21F9">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sidRPr="001C21F9">
        <w:rPr>
          <w:rFonts w:ascii="Arial" w:hAnsi="Arial" w:cs="Arial"/>
          <w:color w:val="222222"/>
          <w:sz w:val="20"/>
          <w:szCs w:val="20"/>
          <w:shd w:val="clear" w:color="auto" w:fill="FFFFFF"/>
        </w:rPr>
        <w:t>Saikishore, A., Bhanu Rekha, K., Hussain, S. A., &amp; Madhavi, A. (2020). Growth and yield of browntop millet as influenced by dates of sowing and nitrogen levels. </w:t>
      </w:r>
      <w:r w:rsidRPr="001C21F9">
        <w:rPr>
          <w:rFonts w:ascii="Arial" w:hAnsi="Arial" w:cs="Arial"/>
          <w:i/>
          <w:iCs/>
          <w:color w:val="222222"/>
          <w:sz w:val="20"/>
          <w:szCs w:val="20"/>
          <w:shd w:val="clear" w:color="auto" w:fill="FFFFFF"/>
        </w:rPr>
        <w:t>Int J Chem Stud</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8</w:t>
      </w:r>
      <w:r w:rsidRPr="001C21F9">
        <w:rPr>
          <w:rFonts w:ascii="Arial" w:hAnsi="Arial" w:cs="Arial"/>
          <w:color w:val="222222"/>
          <w:sz w:val="20"/>
          <w:szCs w:val="20"/>
          <w:shd w:val="clear" w:color="auto" w:fill="FFFFFF"/>
        </w:rPr>
        <w:t>(5), 1812-1815.</w:t>
      </w:r>
    </w:p>
    <w:p w:rsidR="001C21F9" w:rsidRPr="001C21F9" w:rsidRDefault="001C21F9" w:rsidP="001C21F9">
      <w:pPr>
        <w:pStyle w:val="ListParagrap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Pr>
          <w:rFonts w:ascii="Arial" w:hAnsi="Arial" w:cs="Arial"/>
          <w:color w:val="222222"/>
          <w:sz w:val="20"/>
          <w:szCs w:val="20"/>
          <w:shd w:val="clear" w:color="auto" w:fill="FFFFFF"/>
        </w:rPr>
        <w:t>Bhat, S., Nandini, C., Chaithra, C., Nagaraja, T. E., &amp; Sukanya, T. S. (2022). Performance of Brown top millet (Brachiariaramosa L.) under varied spacing and fertility levels. </w:t>
      </w:r>
      <w:r>
        <w:rPr>
          <w:rFonts w:ascii="Arial" w:hAnsi="Arial" w:cs="Arial"/>
          <w:i/>
          <w:iCs/>
          <w:color w:val="222222"/>
          <w:sz w:val="20"/>
          <w:szCs w:val="20"/>
          <w:shd w:val="clear" w:color="auto" w:fill="FFFFFF"/>
        </w:rPr>
        <w:t>Int J Environ Clim Change</w:t>
      </w:r>
      <w:r>
        <w:rPr>
          <w:rFonts w:ascii="Arial" w:hAnsi="Arial" w:cs="Arial"/>
          <w:color w:val="222222"/>
          <w:sz w:val="20"/>
          <w:szCs w:val="20"/>
          <w:shd w:val="clear" w:color="auto" w:fill="FFFFFF"/>
        </w:rPr>
        <w:t>, 39-45.</w:t>
      </w:r>
    </w:p>
    <w:p w:rsidR="001C21F9" w:rsidRPr="001C21F9" w:rsidRDefault="001C21F9" w:rsidP="001C21F9">
      <w:pPr>
        <w:pStyle w:val="ListParagrap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Pr>
          <w:rFonts w:ascii="Arial" w:hAnsi="Arial" w:cs="Arial"/>
          <w:color w:val="222222"/>
          <w:sz w:val="20"/>
          <w:szCs w:val="20"/>
          <w:shd w:val="clear" w:color="auto" w:fill="FFFFFF"/>
        </w:rPr>
        <w:t>Nandini, C., Joshi, D. C., Maharajan, T., Nandini, B., Gazala Parveen, S., Dushyanth Kumar, B. M., ... &amp; Cesar, S. A. (2026). Reviving the Abandoned Browntop Millet (Urochloaramosa (L.)) for Sustainable Future Food Systems: Current Knowledge and Emerging Paradigms. </w:t>
      </w:r>
      <w:r>
        <w:rPr>
          <w:rFonts w:ascii="Arial" w:hAnsi="Arial" w:cs="Arial"/>
          <w:i/>
          <w:iCs/>
          <w:color w:val="222222"/>
          <w:sz w:val="20"/>
          <w:szCs w:val="20"/>
          <w:shd w:val="clear" w:color="auto" w:fill="FFFFFF"/>
        </w:rPr>
        <w:t>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145</w:t>
      </w:r>
      <w:r>
        <w:rPr>
          <w:rFonts w:ascii="Arial" w:hAnsi="Arial" w:cs="Arial"/>
          <w:color w:val="222222"/>
          <w:sz w:val="20"/>
          <w:szCs w:val="20"/>
          <w:shd w:val="clear" w:color="auto" w:fill="FFFFFF"/>
        </w:rPr>
        <w:t>(1), 1-23.</w:t>
      </w:r>
    </w:p>
    <w:p w:rsidR="001C21F9" w:rsidRDefault="001C21F9" w:rsidP="001C21F9">
      <w:pPr>
        <w:spacing w:after="0" w:line="360" w:lineRule="auto"/>
        <w:jc w:val="both"/>
        <w:rPr>
          <w:rFonts w:ascii="Arial" w:hAnsi="Arial" w:cs="Arial"/>
          <w:b/>
          <w:bCs/>
          <w:sz w:val="20"/>
          <w:szCs w:val="20"/>
        </w:rPr>
      </w:pPr>
    </w:p>
    <w:p w:rsidR="001C21F9" w:rsidRPr="001C21F9" w:rsidRDefault="001C21F9" w:rsidP="001C21F9">
      <w:pPr>
        <w:pStyle w:val="ListParagraph"/>
        <w:numPr>
          <w:ilvl w:val="0"/>
          <w:numId w:val="1"/>
        </w:numPr>
        <w:spacing w:after="0" w:line="360" w:lineRule="auto"/>
        <w:jc w:val="both"/>
        <w:rPr>
          <w:rFonts w:ascii="Arial" w:hAnsi="Arial" w:cs="Arial"/>
          <w:b/>
          <w:bCs/>
          <w:sz w:val="20"/>
          <w:szCs w:val="20"/>
        </w:rPr>
        <w:sectPr w:rsidR="001C21F9" w:rsidRPr="001C21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810450" w:rsidRPr="008E03BC" w:rsidRDefault="00C76D98" w:rsidP="003A37D5">
      <w:pPr>
        <w:spacing w:line="360" w:lineRule="auto"/>
        <w:jc w:val="both"/>
        <w:rPr>
          <w:rFonts w:ascii="Arial" w:hAnsi="Arial" w:cs="Arial"/>
          <w:b/>
          <w:bCs/>
          <w:sz w:val="20"/>
          <w:szCs w:val="20"/>
        </w:rPr>
      </w:pPr>
      <w:r w:rsidRPr="008E03BC">
        <w:rPr>
          <w:rFonts w:ascii="Arial" w:hAnsi="Arial" w:cs="Arial"/>
          <w:b/>
          <w:bCs/>
          <w:sz w:val="20"/>
          <w:szCs w:val="20"/>
        </w:rPr>
        <w:t>Table 1: Effects of various establishment techniques and spacing on the growth and yield of brown top millet.</w:t>
      </w:r>
    </w:p>
    <w:tbl>
      <w:tblPr>
        <w:tblW w:w="8440" w:type="dxa"/>
        <w:tblLook w:val="04A0"/>
      </w:tblPr>
      <w:tblGrid>
        <w:gridCol w:w="2180"/>
        <w:gridCol w:w="1840"/>
        <w:gridCol w:w="1600"/>
        <w:gridCol w:w="1540"/>
        <w:gridCol w:w="1280"/>
      </w:tblGrid>
      <w:tr w:rsidR="00C76D98" w:rsidRPr="008E03BC" w:rsidTr="00C76D98">
        <w:trPr>
          <w:trHeight w:val="324"/>
        </w:trPr>
        <w:tc>
          <w:tcPr>
            <w:tcW w:w="2180" w:type="dxa"/>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Treatments</w:t>
            </w:r>
          </w:p>
        </w:tc>
        <w:tc>
          <w:tcPr>
            <w:tcW w:w="184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Plant height</w:t>
            </w:r>
          </w:p>
        </w:tc>
        <w:tc>
          <w:tcPr>
            <w:tcW w:w="160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DMP</w:t>
            </w:r>
          </w:p>
        </w:tc>
        <w:tc>
          <w:tcPr>
            <w:tcW w:w="154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Grain yield</w:t>
            </w:r>
          </w:p>
        </w:tc>
        <w:tc>
          <w:tcPr>
            <w:tcW w:w="1280" w:type="dxa"/>
            <w:tcBorders>
              <w:top w:val="single" w:sz="4" w:space="0" w:color="auto"/>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Straw yield</w:t>
            </w:r>
          </w:p>
        </w:tc>
      </w:tr>
      <w:tr w:rsidR="00C76D98" w:rsidRPr="008E03BC" w:rsidTr="00C76D98">
        <w:trPr>
          <w:trHeight w:val="324"/>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Establishment technique</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M</w:t>
            </w:r>
            <w:r w:rsidRPr="008E03BC">
              <w:rPr>
                <w:rFonts w:ascii="Arial" w:eastAsia="Times New Roman" w:hAnsi="Arial" w:cs="Arial"/>
                <w:color w:val="000000"/>
                <w:kern w:val="0"/>
                <w:sz w:val="20"/>
                <w:szCs w:val="20"/>
                <w:vertAlign w:val="subscript"/>
                <w:lang w:eastAsia="en-IN"/>
              </w:rPr>
              <w:t>1</w:t>
            </w:r>
            <w:r w:rsidRPr="008E03BC">
              <w:rPr>
                <w:rFonts w:ascii="Arial" w:eastAsia="Times New Roman" w:hAnsi="Arial" w:cs="Arial"/>
                <w:color w:val="000000"/>
                <w:kern w:val="0"/>
                <w:sz w:val="20"/>
                <w:szCs w:val="20"/>
                <w:lang w:eastAsia="en-IN"/>
              </w:rPr>
              <w:t xml:space="preserve"> - Direct sowing</w:t>
            </w:r>
          </w:p>
        </w:tc>
        <w:tc>
          <w:tcPr>
            <w:tcW w:w="184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104.3</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4373.57</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1178.4</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2823.95</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M</w:t>
            </w:r>
            <w:r w:rsidRPr="008E03BC">
              <w:rPr>
                <w:rFonts w:ascii="Arial" w:eastAsia="Times New Roman" w:hAnsi="Arial" w:cs="Arial"/>
                <w:color w:val="000000"/>
                <w:kern w:val="0"/>
                <w:sz w:val="20"/>
                <w:szCs w:val="20"/>
                <w:vertAlign w:val="subscript"/>
                <w:lang w:eastAsia="en-IN"/>
              </w:rPr>
              <w:t>2</w:t>
            </w:r>
            <w:r w:rsidRPr="008E03BC">
              <w:rPr>
                <w:rFonts w:ascii="Arial" w:eastAsia="Times New Roman" w:hAnsi="Arial" w:cs="Arial"/>
                <w:color w:val="000000"/>
                <w:kern w:val="0"/>
                <w:sz w:val="20"/>
                <w:szCs w:val="20"/>
                <w:lang w:eastAsia="en-IN"/>
              </w:rPr>
              <w:t xml:space="preserve"> - Transplanting</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99.4</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3724.35</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1043.73</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2437.08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2.68</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99.77</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31.12</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84.55</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11.55</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422.29</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133.92</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363.8</w:t>
            </w:r>
          </w:p>
        </w:tc>
      </w:tr>
      <w:tr w:rsidR="00C76D98" w:rsidRPr="008E03BC" w:rsidTr="00C76D98">
        <w:trPr>
          <w:trHeight w:val="324"/>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Spacing (R × P)</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1</w:t>
            </w:r>
            <w:r w:rsidRPr="008E03BC">
              <w:rPr>
                <w:rFonts w:ascii="Arial" w:eastAsia="Times New Roman" w:hAnsi="Arial" w:cs="Arial"/>
                <w:color w:val="000000"/>
                <w:kern w:val="0"/>
                <w:sz w:val="20"/>
                <w:szCs w:val="20"/>
                <w:lang w:eastAsia="en-IN"/>
              </w:rPr>
              <w:t xml:space="preserve"> - (20 × 10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115.0</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5032.3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1050</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3566.8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2</w:t>
            </w:r>
            <w:r w:rsidRPr="008E03BC">
              <w:rPr>
                <w:rFonts w:ascii="Arial" w:eastAsia="Times New Roman" w:hAnsi="Arial" w:cs="Arial"/>
                <w:color w:val="000000"/>
                <w:kern w:val="0"/>
                <w:sz w:val="20"/>
                <w:szCs w:val="20"/>
                <w:lang w:eastAsia="en-IN"/>
              </w:rPr>
              <w:t xml:space="preserve"> - (30 × 10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108.3</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4751.3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1150.8</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3248.5</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3</w:t>
            </w:r>
            <w:r w:rsidRPr="008E03BC">
              <w:rPr>
                <w:rFonts w:ascii="Arial" w:eastAsia="Times New Roman" w:hAnsi="Arial" w:cs="Arial"/>
                <w:color w:val="000000"/>
                <w:kern w:val="0"/>
                <w:sz w:val="20"/>
                <w:szCs w:val="20"/>
                <w:lang w:eastAsia="en-IN"/>
              </w:rPr>
              <w:t xml:space="preserve"> - (45 × 10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98.6</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4343.3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1368.3</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2945.1</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4</w:t>
            </w:r>
            <w:r w:rsidRPr="008E03BC">
              <w:rPr>
                <w:rFonts w:ascii="Arial" w:eastAsia="Times New Roman" w:hAnsi="Arial" w:cs="Arial"/>
                <w:color w:val="000000"/>
                <w:kern w:val="0"/>
                <w:sz w:val="20"/>
                <w:szCs w:val="20"/>
                <w:lang w:eastAsia="en-IN"/>
              </w:rPr>
              <w:t xml:space="preserve"> - (20 × 20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98.5</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4474.9</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1285.2</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2834</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5</w:t>
            </w:r>
            <w:r w:rsidRPr="008E03BC">
              <w:rPr>
                <w:rFonts w:ascii="Arial" w:eastAsia="Times New Roman" w:hAnsi="Arial" w:cs="Arial"/>
                <w:color w:val="000000"/>
                <w:kern w:val="0"/>
                <w:sz w:val="20"/>
                <w:szCs w:val="20"/>
                <w:lang w:eastAsia="en-IN"/>
              </w:rPr>
              <w:t xml:space="preserve"> - (30 × 20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88.8</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3093.3</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957.7</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1743.8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w:t>
            </w:r>
            <w:r w:rsidRPr="008E03BC">
              <w:rPr>
                <w:rFonts w:ascii="Arial" w:eastAsia="Times New Roman" w:hAnsi="Arial" w:cs="Arial"/>
                <w:color w:val="000000"/>
                <w:kern w:val="0"/>
                <w:sz w:val="20"/>
                <w:szCs w:val="20"/>
                <w:vertAlign w:val="subscript"/>
                <w:lang w:eastAsia="en-IN"/>
              </w:rPr>
              <w:t>6</w:t>
            </w:r>
            <w:r w:rsidRPr="008E03BC">
              <w:rPr>
                <w:rFonts w:ascii="Arial" w:eastAsia="Times New Roman" w:hAnsi="Arial" w:cs="Arial"/>
                <w:color w:val="000000"/>
                <w:kern w:val="0"/>
                <w:sz w:val="20"/>
                <w:szCs w:val="20"/>
                <w:lang w:eastAsia="en-IN"/>
              </w:rPr>
              <w:t xml:space="preserve"> - (45 × 20 cm)</w:t>
            </w:r>
          </w:p>
        </w:tc>
        <w:tc>
          <w:tcPr>
            <w:tcW w:w="18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80.8</w:t>
            </w:r>
          </w:p>
        </w:tc>
        <w:tc>
          <w:tcPr>
            <w:tcW w:w="160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2598.9</w:t>
            </w:r>
          </w:p>
        </w:tc>
        <w:tc>
          <w:tcPr>
            <w:tcW w:w="154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854.4</w:t>
            </w:r>
          </w:p>
        </w:tc>
        <w:tc>
          <w:tcPr>
            <w:tcW w:w="1280" w:type="dxa"/>
            <w:tcBorders>
              <w:top w:val="nil"/>
              <w:left w:val="nil"/>
              <w:bottom w:val="single" w:sz="4" w:space="0" w:color="auto"/>
              <w:right w:val="single" w:sz="4" w:space="0" w:color="auto"/>
            </w:tcBorders>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1444.8</w:t>
            </w:r>
          </w:p>
        </w:tc>
      </w:tr>
      <w:tr w:rsidR="00C76D98" w:rsidRPr="008E03BC"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5.78</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293.07</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66.37</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183.24</w:t>
            </w:r>
          </w:p>
        </w:tc>
      </w:tr>
      <w:tr w:rsidR="00C76D98" w:rsidRPr="008E03BC"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12.05</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611.34</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138.44</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382.24</w:t>
            </w:r>
          </w:p>
        </w:tc>
      </w:tr>
      <w:tr w:rsidR="00C76D98" w:rsidRPr="008E03BC" w:rsidTr="00C76D98">
        <w:trPr>
          <w:trHeight w:val="300"/>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Interaction M at S</w:t>
            </w:r>
          </w:p>
        </w:tc>
      </w:tr>
      <w:tr w:rsidR="00C76D98" w:rsidRPr="008E03BC" w:rsidTr="00C76D98">
        <w:trPr>
          <w:trHeight w:val="288"/>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7.93</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391.28</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91.16</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251.22</w:t>
            </w:r>
          </w:p>
        </w:tc>
      </w:tr>
      <w:tr w:rsidR="00C76D98" w:rsidRPr="008E03BC"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60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r>
      <w:tr w:rsidR="00C76D98" w:rsidRPr="008E03BC" w:rsidTr="00C76D98">
        <w:trPr>
          <w:trHeight w:val="300"/>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Interaction S at M</w:t>
            </w:r>
          </w:p>
        </w:tc>
      </w:tr>
      <w:tr w:rsidR="00C76D98" w:rsidRPr="008E03BC" w:rsidTr="00C76D98">
        <w:trPr>
          <w:trHeight w:val="288"/>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SE(d)</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8.17</w:t>
            </w:r>
          </w:p>
        </w:tc>
        <w:tc>
          <w:tcPr>
            <w:tcW w:w="1600" w:type="dxa"/>
            <w:tcBorders>
              <w:top w:val="nil"/>
              <w:left w:val="nil"/>
              <w:bottom w:val="single" w:sz="4" w:space="0" w:color="auto"/>
              <w:right w:val="single" w:sz="4" w:space="0" w:color="auto"/>
            </w:tcBorders>
            <w:noWrap/>
            <w:vAlign w:val="bottom"/>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414.46</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93.86</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333333"/>
                <w:kern w:val="0"/>
                <w:sz w:val="20"/>
                <w:szCs w:val="20"/>
                <w:lang w:eastAsia="en-IN"/>
              </w:rPr>
            </w:pPr>
            <w:r w:rsidRPr="008E03BC">
              <w:rPr>
                <w:rFonts w:ascii="Arial" w:eastAsia="Times New Roman" w:hAnsi="Arial" w:cs="Arial"/>
                <w:color w:val="333333"/>
                <w:kern w:val="0"/>
                <w:sz w:val="20"/>
                <w:szCs w:val="20"/>
                <w:lang w:eastAsia="en-IN"/>
              </w:rPr>
              <w:t>259.14</w:t>
            </w:r>
          </w:p>
        </w:tc>
      </w:tr>
      <w:tr w:rsidR="00C76D98" w:rsidRPr="008E03BC"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rsidR="00C76D98" w:rsidRPr="008E03BC" w:rsidRDefault="00C76D98" w:rsidP="00C76D98">
            <w:pPr>
              <w:spacing w:after="0" w:line="240" w:lineRule="auto"/>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CD (P = 0.05)</w:t>
            </w:r>
          </w:p>
        </w:tc>
        <w:tc>
          <w:tcPr>
            <w:tcW w:w="18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60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54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c>
          <w:tcPr>
            <w:tcW w:w="1280" w:type="dxa"/>
            <w:tcBorders>
              <w:top w:val="nil"/>
              <w:left w:val="nil"/>
              <w:bottom w:val="single" w:sz="4" w:space="0" w:color="auto"/>
              <w:right w:val="single" w:sz="4" w:space="0" w:color="auto"/>
            </w:tcBorders>
            <w:noWrap/>
            <w:vAlign w:val="center"/>
            <w:hideMark/>
          </w:tcPr>
          <w:p w:rsidR="00C76D98" w:rsidRPr="008E03BC" w:rsidRDefault="00C76D98" w:rsidP="002A17EF">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NS</w:t>
            </w:r>
          </w:p>
        </w:tc>
      </w:tr>
    </w:tbl>
    <w:p w:rsidR="002A17EF" w:rsidRPr="008E03BC" w:rsidRDefault="002A17EF" w:rsidP="00FE2DC2">
      <w:pPr>
        <w:spacing w:line="360" w:lineRule="auto"/>
        <w:jc w:val="both"/>
        <w:rPr>
          <w:rFonts w:ascii="Arial" w:hAnsi="Arial" w:cs="Arial"/>
          <w:b/>
          <w:bCs/>
          <w:sz w:val="20"/>
          <w:szCs w:val="20"/>
        </w:rPr>
      </w:pPr>
    </w:p>
    <w:p w:rsidR="00FE2DC2" w:rsidRPr="008E03BC" w:rsidRDefault="00FE2DC2" w:rsidP="00FE2DC2">
      <w:pPr>
        <w:spacing w:line="360" w:lineRule="auto"/>
        <w:jc w:val="both"/>
        <w:rPr>
          <w:rFonts w:ascii="Arial" w:hAnsi="Arial" w:cs="Arial"/>
          <w:b/>
          <w:bCs/>
          <w:sz w:val="20"/>
          <w:szCs w:val="20"/>
        </w:rPr>
      </w:pPr>
      <w:r w:rsidRPr="008E03BC">
        <w:rPr>
          <w:rFonts w:ascii="Arial" w:hAnsi="Arial" w:cs="Arial"/>
          <w:b/>
          <w:bCs/>
          <w:sz w:val="20"/>
          <w:szCs w:val="20"/>
        </w:rPr>
        <w:t xml:space="preserve">Table </w:t>
      </w:r>
      <w:r w:rsidR="006A4D24" w:rsidRPr="008E03BC">
        <w:rPr>
          <w:rFonts w:ascii="Arial" w:hAnsi="Arial" w:cs="Arial"/>
          <w:b/>
          <w:bCs/>
          <w:sz w:val="20"/>
          <w:szCs w:val="20"/>
        </w:rPr>
        <w:t>2</w:t>
      </w:r>
      <w:r w:rsidRPr="008E03BC">
        <w:rPr>
          <w:rFonts w:ascii="Arial" w:hAnsi="Arial" w:cs="Arial"/>
          <w:b/>
          <w:bCs/>
          <w:sz w:val="20"/>
          <w:szCs w:val="20"/>
        </w:rPr>
        <w:t>: Effects of various establishment techniques and spacing on the economics of brown top millet.</w:t>
      </w:r>
    </w:p>
    <w:tbl>
      <w:tblPr>
        <w:tblW w:w="5620" w:type="dxa"/>
        <w:jc w:val="center"/>
        <w:tblLook w:val="04A0"/>
      </w:tblPr>
      <w:tblGrid>
        <w:gridCol w:w="1900"/>
        <w:gridCol w:w="2060"/>
        <w:gridCol w:w="1660"/>
      </w:tblGrid>
      <w:tr w:rsidR="00FE2DC2" w:rsidRPr="008E03BC" w:rsidTr="002A17EF">
        <w:trPr>
          <w:trHeight w:val="324"/>
          <w:jc w:val="center"/>
        </w:trPr>
        <w:tc>
          <w:tcPr>
            <w:tcW w:w="1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E2DC2" w:rsidRPr="008E03BC" w:rsidRDefault="00FE2DC2" w:rsidP="00FE2DC2">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T</w:t>
            </w:r>
            <w:r w:rsidR="006A4D24" w:rsidRPr="008E03BC">
              <w:rPr>
                <w:rFonts w:ascii="Arial" w:eastAsia="Times New Roman" w:hAnsi="Arial" w:cs="Arial"/>
                <w:b/>
                <w:bCs/>
                <w:color w:val="000000"/>
                <w:kern w:val="0"/>
                <w:sz w:val="20"/>
                <w:szCs w:val="20"/>
                <w:lang w:eastAsia="en-IN"/>
              </w:rPr>
              <w:t>reatments</w:t>
            </w:r>
          </w:p>
        </w:tc>
        <w:tc>
          <w:tcPr>
            <w:tcW w:w="2060" w:type="dxa"/>
            <w:tcBorders>
              <w:top w:val="single" w:sz="8" w:space="0" w:color="auto"/>
              <w:left w:val="nil"/>
              <w:bottom w:val="single" w:sz="8" w:space="0" w:color="auto"/>
              <w:right w:val="single" w:sz="8" w:space="0" w:color="auto"/>
            </w:tcBorders>
            <w:shd w:val="clear" w:color="000000" w:fill="FFFFFF"/>
            <w:noWrap/>
            <w:vAlign w:val="center"/>
            <w:hideMark/>
          </w:tcPr>
          <w:p w:rsidR="00FE2DC2" w:rsidRPr="008E03BC" w:rsidRDefault="006A4D24" w:rsidP="00FE2DC2">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Net return</w:t>
            </w:r>
          </w:p>
        </w:tc>
        <w:tc>
          <w:tcPr>
            <w:tcW w:w="1660" w:type="dxa"/>
            <w:tcBorders>
              <w:top w:val="single" w:sz="8" w:space="0" w:color="auto"/>
              <w:left w:val="nil"/>
              <w:bottom w:val="single" w:sz="8" w:space="0" w:color="auto"/>
              <w:right w:val="single" w:sz="8" w:space="0" w:color="auto"/>
            </w:tcBorders>
            <w:shd w:val="clear" w:color="000000" w:fill="FFFFFF"/>
            <w:noWrap/>
            <w:vAlign w:val="center"/>
            <w:hideMark/>
          </w:tcPr>
          <w:p w:rsidR="00FE2DC2" w:rsidRPr="008E03BC" w:rsidRDefault="00FE2DC2" w:rsidP="00FE2DC2">
            <w:pPr>
              <w:spacing w:after="0" w:line="240" w:lineRule="auto"/>
              <w:jc w:val="center"/>
              <w:rPr>
                <w:rFonts w:ascii="Arial" w:eastAsia="Times New Roman" w:hAnsi="Arial" w:cs="Arial"/>
                <w:b/>
                <w:bCs/>
                <w:color w:val="000000"/>
                <w:kern w:val="0"/>
                <w:sz w:val="20"/>
                <w:szCs w:val="20"/>
                <w:lang w:eastAsia="en-IN"/>
              </w:rPr>
            </w:pPr>
            <w:r w:rsidRPr="008E03BC">
              <w:rPr>
                <w:rFonts w:ascii="Arial" w:eastAsia="Times New Roman" w:hAnsi="Arial" w:cs="Arial"/>
                <w:b/>
                <w:bCs/>
                <w:color w:val="000000"/>
                <w:kern w:val="0"/>
                <w:sz w:val="20"/>
                <w:szCs w:val="20"/>
                <w:lang w:eastAsia="en-IN"/>
              </w:rPr>
              <w:t xml:space="preserve">B: C </w:t>
            </w:r>
            <w:r w:rsidR="006A4D24" w:rsidRPr="008E03BC">
              <w:rPr>
                <w:rFonts w:ascii="Arial" w:eastAsia="Times New Roman" w:hAnsi="Arial" w:cs="Arial"/>
                <w:b/>
                <w:bCs/>
                <w:color w:val="000000"/>
                <w:kern w:val="0"/>
                <w:sz w:val="20"/>
                <w:szCs w:val="20"/>
                <w:lang w:eastAsia="en-IN"/>
              </w:rPr>
              <w:t>ratio</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25,214</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1.7</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30,233</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1.8</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43,917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2.2</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40,829</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2.1</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20,247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1.6</w:t>
            </w:r>
          </w:p>
        </w:tc>
      </w:tr>
      <w:tr w:rsidR="00D26DDE" w:rsidRPr="008E03BC"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15,138</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1.4</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10,387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1.2</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16,149</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1.4</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25,092</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1.6</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21,117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1.5</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5,287</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1.1</w:t>
            </w:r>
          </w:p>
        </w:tc>
      </w:tr>
      <w:tr w:rsidR="00D26DDE" w:rsidRPr="008E03BC"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449</w:t>
            </w:r>
          </w:p>
        </w:tc>
        <w:tc>
          <w:tcPr>
            <w:tcW w:w="1660" w:type="dxa"/>
            <w:tcBorders>
              <w:top w:val="nil"/>
              <w:left w:val="nil"/>
              <w:bottom w:val="single" w:sz="8" w:space="0" w:color="auto"/>
              <w:right w:val="single" w:sz="8" w:space="0" w:color="auto"/>
            </w:tcBorders>
            <w:shd w:val="clear" w:color="000000" w:fill="FFFFFF"/>
            <w:noWrap/>
            <w:vAlign w:val="center"/>
            <w:hideMark/>
          </w:tcPr>
          <w:p w:rsidR="00D26DDE" w:rsidRPr="008E03BC" w:rsidRDefault="00D26DDE" w:rsidP="00D26DDE">
            <w:pPr>
              <w:spacing w:after="0" w:line="240" w:lineRule="auto"/>
              <w:jc w:val="center"/>
              <w:rPr>
                <w:rFonts w:ascii="Arial" w:eastAsia="Times New Roman" w:hAnsi="Arial" w:cs="Arial"/>
                <w:color w:val="000000"/>
                <w:kern w:val="0"/>
                <w:sz w:val="20"/>
                <w:szCs w:val="20"/>
                <w:lang w:eastAsia="en-IN"/>
              </w:rPr>
            </w:pPr>
            <w:r w:rsidRPr="008E03BC">
              <w:rPr>
                <w:rFonts w:ascii="Arial" w:eastAsia="Times New Roman" w:hAnsi="Arial" w:cs="Arial"/>
                <w:color w:val="000000"/>
                <w:kern w:val="0"/>
                <w:sz w:val="20"/>
                <w:szCs w:val="20"/>
                <w:lang w:eastAsia="en-IN"/>
              </w:rPr>
              <w:t>1.0</w:t>
            </w:r>
          </w:p>
        </w:tc>
      </w:tr>
    </w:tbl>
    <w:p w:rsidR="00FE2DC2" w:rsidRPr="008E03BC" w:rsidRDefault="00FE2DC2" w:rsidP="002A17EF">
      <w:pPr>
        <w:rPr>
          <w:rFonts w:ascii="Arial" w:hAnsi="Arial" w:cs="Arial"/>
          <w:sz w:val="20"/>
          <w:szCs w:val="20"/>
        </w:rPr>
      </w:pPr>
    </w:p>
    <w:sectPr w:rsidR="00FE2DC2" w:rsidRPr="008E03BC" w:rsidSect="002A17EF">
      <w:pgSz w:w="11906" w:h="16838"/>
      <w:pgMar w:top="1440" w:right="1440" w:bottom="99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A8F" w:rsidRDefault="00114A8F" w:rsidP="00C76D98">
      <w:pPr>
        <w:spacing w:after="0" w:line="240" w:lineRule="auto"/>
      </w:pPr>
      <w:r>
        <w:separator/>
      </w:r>
    </w:p>
  </w:endnote>
  <w:endnote w:type="continuationSeparator" w:id="1">
    <w:p w:rsidR="00114A8F" w:rsidRDefault="00114A8F" w:rsidP="00C76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851C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851C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851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A8F" w:rsidRDefault="00114A8F" w:rsidP="00C76D98">
      <w:pPr>
        <w:spacing w:after="0" w:line="240" w:lineRule="auto"/>
      </w:pPr>
      <w:r>
        <w:separator/>
      </w:r>
    </w:p>
  </w:footnote>
  <w:footnote w:type="continuationSeparator" w:id="1">
    <w:p w:rsidR="00114A8F" w:rsidRDefault="00114A8F" w:rsidP="00C76D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7A4B5D">
    <w:pPr>
      <w:pStyle w:val="Header"/>
    </w:pPr>
    <w:r w:rsidRPr="007A4B5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7A4B5D">
    <w:pPr>
      <w:pStyle w:val="Header"/>
    </w:pPr>
    <w:r w:rsidRPr="007A4B5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C57" w:rsidRDefault="007A4B5D">
    <w:pPr>
      <w:pStyle w:val="Header"/>
    </w:pPr>
    <w:r w:rsidRPr="007A4B5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6EE0"/>
    <w:multiLevelType w:val="hybridMultilevel"/>
    <w:tmpl w:val="D7D488E6"/>
    <w:lvl w:ilvl="0" w:tplc="C3925CA0">
      <w:start w:val="1"/>
      <w:numFmt w:val="bullet"/>
      <w:lvlText w:val=""/>
      <w:lvlJc w:val="left"/>
      <w:pPr>
        <w:ind w:left="1704" w:hanging="360"/>
      </w:pPr>
      <w:rPr>
        <w:rFonts w:ascii="Symbol" w:eastAsiaTheme="minorHAnsi" w:hAnsi="Symbol" w:cs="Times New Roman" w:hint="default"/>
      </w:rPr>
    </w:lvl>
    <w:lvl w:ilvl="1" w:tplc="40090003" w:tentative="1">
      <w:start w:val="1"/>
      <w:numFmt w:val="bullet"/>
      <w:lvlText w:val="o"/>
      <w:lvlJc w:val="left"/>
      <w:pPr>
        <w:ind w:left="2424" w:hanging="360"/>
      </w:pPr>
      <w:rPr>
        <w:rFonts w:ascii="Courier New" w:hAnsi="Courier New" w:cs="Courier New" w:hint="default"/>
      </w:rPr>
    </w:lvl>
    <w:lvl w:ilvl="2" w:tplc="40090005" w:tentative="1">
      <w:start w:val="1"/>
      <w:numFmt w:val="bullet"/>
      <w:lvlText w:val=""/>
      <w:lvlJc w:val="left"/>
      <w:pPr>
        <w:ind w:left="3144" w:hanging="360"/>
      </w:pPr>
      <w:rPr>
        <w:rFonts w:ascii="Wingdings" w:hAnsi="Wingdings" w:hint="default"/>
      </w:rPr>
    </w:lvl>
    <w:lvl w:ilvl="3" w:tplc="40090001" w:tentative="1">
      <w:start w:val="1"/>
      <w:numFmt w:val="bullet"/>
      <w:lvlText w:val=""/>
      <w:lvlJc w:val="left"/>
      <w:pPr>
        <w:ind w:left="3864" w:hanging="360"/>
      </w:pPr>
      <w:rPr>
        <w:rFonts w:ascii="Symbol" w:hAnsi="Symbol" w:hint="default"/>
      </w:rPr>
    </w:lvl>
    <w:lvl w:ilvl="4" w:tplc="40090003" w:tentative="1">
      <w:start w:val="1"/>
      <w:numFmt w:val="bullet"/>
      <w:lvlText w:val="o"/>
      <w:lvlJc w:val="left"/>
      <w:pPr>
        <w:ind w:left="4584" w:hanging="360"/>
      </w:pPr>
      <w:rPr>
        <w:rFonts w:ascii="Courier New" w:hAnsi="Courier New" w:cs="Courier New" w:hint="default"/>
      </w:rPr>
    </w:lvl>
    <w:lvl w:ilvl="5" w:tplc="40090005" w:tentative="1">
      <w:start w:val="1"/>
      <w:numFmt w:val="bullet"/>
      <w:lvlText w:val=""/>
      <w:lvlJc w:val="left"/>
      <w:pPr>
        <w:ind w:left="5304" w:hanging="360"/>
      </w:pPr>
      <w:rPr>
        <w:rFonts w:ascii="Wingdings" w:hAnsi="Wingdings" w:hint="default"/>
      </w:rPr>
    </w:lvl>
    <w:lvl w:ilvl="6" w:tplc="40090001" w:tentative="1">
      <w:start w:val="1"/>
      <w:numFmt w:val="bullet"/>
      <w:lvlText w:val=""/>
      <w:lvlJc w:val="left"/>
      <w:pPr>
        <w:ind w:left="6024" w:hanging="360"/>
      </w:pPr>
      <w:rPr>
        <w:rFonts w:ascii="Symbol" w:hAnsi="Symbol" w:hint="default"/>
      </w:rPr>
    </w:lvl>
    <w:lvl w:ilvl="7" w:tplc="40090003" w:tentative="1">
      <w:start w:val="1"/>
      <w:numFmt w:val="bullet"/>
      <w:lvlText w:val="o"/>
      <w:lvlJc w:val="left"/>
      <w:pPr>
        <w:ind w:left="6744" w:hanging="360"/>
      </w:pPr>
      <w:rPr>
        <w:rFonts w:ascii="Courier New" w:hAnsi="Courier New" w:cs="Courier New" w:hint="default"/>
      </w:rPr>
    </w:lvl>
    <w:lvl w:ilvl="8" w:tplc="40090005" w:tentative="1">
      <w:start w:val="1"/>
      <w:numFmt w:val="bullet"/>
      <w:lvlText w:val=""/>
      <w:lvlJc w:val="left"/>
      <w:pPr>
        <w:ind w:left="7464" w:hanging="360"/>
      </w:pPr>
      <w:rPr>
        <w:rFonts w:ascii="Wingdings" w:hAnsi="Wingdings" w:hint="default"/>
      </w:rPr>
    </w:lvl>
  </w:abstractNum>
  <w:abstractNum w:abstractNumId="1">
    <w:nsid w:val="51737DC0"/>
    <w:multiLevelType w:val="hybridMultilevel"/>
    <w:tmpl w:val="197AD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NLcwNzM1NDc0s7A0MjJU0lEKTi0uzszPAykwrAUASWFVtCwAAAA="/>
  </w:docVars>
  <w:rsids>
    <w:rsidRoot w:val="00FE6998"/>
    <w:rsid w:val="00055BD2"/>
    <w:rsid w:val="00114A8F"/>
    <w:rsid w:val="00117EEA"/>
    <w:rsid w:val="001268EF"/>
    <w:rsid w:val="00167446"/>
    <w:rsid w:val="00171858"/>
    <w:rsid w:val="001C21F9"/>
    <w:rsid w:val="0022271B"/>
    <w:rsid w:val="00267A30"/>
    <w:rsid w:val="00286EC4"/>
    <w:rsid w:val="002A17EF"/>
    <w:rsid w:val="002D5F42"/>
    <w:rsid w:val="002E61C6"/>
    <w:rsid w:val="003509EB"/>
    <w:rsid w:val="003514D8"/>
    <w:rsid w:val="00361293"/>
    <w:rsid w:val="003A37D5"/>
    <w:rsid w:val="003E25DF"/>
    <w:rsid w:val="004108F5"/>
    <w:rsid w:val="00445EED"/>
    <w:rsid w:val="0047139C"/>
    <w:rsid w:val="005774C7"/>
    <w:rsid w:val="0060319D"/>
    <w:rsid w:val="006345DA"/>
    <w:rsid w:val="006559D0"/>
    <w:rsid w:val="00681973"/>
    <w:rsid w:val="006A4D24"/>
    <w:rsid w:val="006C3B14"/>
    <w:rsid w:val="00757589"/>
    <w:rsid w:val="007A4B5D"/>
    <w:rsid w:val="007B2E86"/>
    <w:rsid w:val="00810450"/>
    <w:rsid w:val="008262E8"/>
    <w:rsid w:val="00851C57"/>
    <w:rsid w:val="00885089"/>
    <w:rsid w:val="008E03BC"/>
    <w:rsid w:val="00910340"/>
    <w:rsid w:val="0096413E"/>
    <w:rsid w:val="00A34A07"/>
    <w:rsid w:val="00AE6010"/>
    <w:rsid w:val="00B310A1"/>
    <w:rsid w:val="00B53044"/>
    <w:rsid w:val="00C76D98"/>
    <w:rsid w:val="00D05456"/>
    <w:rsid w:val="00D26DDE"/>
    <w:rsid w:val="00D80022"/>
    <w:rsid w:val="00E2791A"/>
    <w:rsid w:val="00E47119"/>
    <w:rsid w:val="00E93F0E"/>
    <w:rsid w:val="00EA194D"/>
    <w:rsid w:val="00EC7F7A"/>
    <w:rsid w:val="00EE500D"/>
    <w:rsid w:val="00F24B39"/>
    <w:rsid w:val="00F63D10"/>
    <w:rsid w:val="00FB799A"/>
    <w:rsid w:val="00FD6043"/>
    <w:rsid w:val="00FE2DC2"/>
    <w:rsid w:val="00FE6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D5"/>
  </w:style>
  <w:style w:type="paragraph" w:styleId="Heading1">
    <w:name w:val="heading 1"/>
    <w:basedOn w:val="Normal"/>
    <w:next w:val="Normal"/>
    <w:link w:val="Heading1Char"/>
    <w:uiPriority w:val="9"/>
    <w:qFormat/>
    <w:rsid w:val="00FE6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98"/>
    <w:rPr>
      <w:rFonts w:eastAsiaTheme="majorEastAsia" w:cstheme="majorBidi"/>
      <w:color w:val="272727" w:themeColor="text1" w:themeTint="D8"/>
    </w:rPr>
  </w:style>
  <w:style w:type="paragraph" w:styleId="Title">
    <w:name w:val="Title"/>
    <w:basedOn w:val="Normal"/>
    <w:next w:val="Normal"/>
    <w:link w:val="TitleChar"/>
    <w:uiPriority w:val="10"/>
    <w:qFormat/>
    <w:rsid w:val="00FE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98"/>
    <w:pPr>
      <w:spacing w:before="160"/>
      <w:jc w:val="center"/>
    </w:pPr>
    <w:rPr>
      <w:i/>
      <w:iCs/>
      <w:color w:val="404040" w:themeColor="text1" w:themeTint="BF"/>
    </w:rPr>
  </w:style>
  <w:style w:type="character" w:customStyle="1" w:styleId="QuoteChar">
    <w:name w:val="Quote Char"/>
    <w:basedOn w:val="DefaultParagraphFont"/>
    <w:link w:val="Quote"/>
    <w:uiPriority w:val="29"/>
    <w:rsid w:val="00FE6998"/>
    <w:rPr>
      <w:i/>
      <w:iCs/>
      <w:color w:val="404040" w:themeColor="text1" w:themeTint="BF"/>
    </w:rPr>
  </w:style>
  <w:style w:type="paragraph" w:styleId="ListParagraph">
    <w:name w:val="List Paragraph"/>
    <w:basedOn w:val="Normal"/>
    <w:uiPriority w:val="34"/>
    <w:qFormat/>
    <w:rsid w:val="00FE6998"/>
    <w:pPr>
      <w:ind w:left="720"/>
      <w:contextualSpacing/>
    </w:pPr>
  </w:style>
  <w:style w:type="character" w:styleId="IntenseEmphasis">
    <w:name w:val="Intense Emphasis"/>
    <w:basedOn w:val="DefaultParagraphFont"/>
    <w:uiPriority w:val="21"/>
    <w:qFormat/>
    <w:rsid w:val="00FE6998"/>
    <w:rPr>
      <w:i/>
      <w:iCs/>
      <w:color w:val="2F5496" w:themeColor="accent1" w:themeShade="BF"/>
    </w:rPr>
  </w:style>
  <w:style w:type="paragraph" w:styleId="IntenseQuote">
    <w:name w:val="Intense Quote"/>
    <w:basedOn w:val="Normal"/>
    <w:next w:val="Normal"/>
    <w:link w:val="IntenseQuoteChar"/>
    <w:uiPriority w:val="30"/>
    <w:qFormat/>
    <w:rsid w:val="00FE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998"/>
    <w:rPr>
      <w:i/>
      <w:iCs/>
      <w:color w:val="2F5496" w:themeColor="accent1" w:themeShade="BF"/>
    </w:rPr>
  </w:style>
  <w:style w:type="character" w:styleId="IntenseReference">
    <w:name w:val="Intense Reference"/>
    <w:basedOn w:val="DefaultParagraphFont"/>
    <w:uiPriority w:val="32"/>
    <w:qFormat/>
    <w:rsid w:val="00FE6998"/>
    <w:rPr>
      <w:b/>
      <w:bCs/>
      <w:smallCaps/>
      <w:color w:val="2F5496" w:themeColor="accent1" w:themeShade="BF"/>
      <w:spacing w:val="5"/>
    </w:rPr>
  </w:style>
  <w:style w:type="paragraph" w:styleId="Header">
    <w:name w:val="header"/>
    <w:basedOn w:val="Normal"/>
    <w:link w:val="HeaderChar"/>
    <w:uiPriority w:val="99"/>
    <w:unhideWhenUsed/>
    <w:rsid w:val="00C76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D98"/>
  </w:style>
  <w:style w:type="paragraph" w:styleId="Footer">
    <w:name w:val="footer"/>
    <w:basedOn w:val="Normal"/>
    <w:link w:val="FooterChar"/>
    <w:uiPriority w:val="99"/>
    <w:unhideWhenUsed/>
    <w:rsid w:val="00C7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D98"/>
  </w:style>
  <w:style w:type="character" w:styleId="Hyperlink">
    <w:name w:val="Hyperlink"/>
    <w:basedOn w:val="DefaultParagraphFont"/>
    <w:uiPriority w:val="99"/>
    <w:unhideWhenUsed/>
    <w:rsid w:val="00E2791A"/>
    <w:rPr>
      <w:color w:val="0563C1" w:themeColor="hyperlink"/>
      <w:u w:val="single"/>
    </w:rPr>
  </w:style>
  <w:style w:type="character" w:customStyle="1" w:styleId="UnresolvedMention">
    <w:name w:val="Unresolved Mention"/>
    <w:basedOn w:val="DefaultParagraphFont"/>
    <w:uiPriority w:val="99"/>
    <w:semiHidden/>
    <w:unhideWhenUsed/>
    <w:rsid w:val="00E2791A"/>
    <w:rPr>
      <w:color w:val="605E5C"/>
      <w:shd w:val="clear" w:color="auto" w:fill="E1DFDD"/>
    </w:rPr>
  </w:style>
  <w:style w:type="table" w:customStyle="1" w:styleId="TableGrid1">
    <w:name w:val="Table Grid1"/>
    <w:basedOn w:val="TableNormal"/>
    <w:next w:val="TableGrid"/>
    <w:uiPriority w:val="39"/>
    <w:rsid w:val="00E2791A"/>
    <w:pPr>
      <w:spacing w:after="0" w:line="240" w:lineRule="auto"/>
    </w:pPr>
    <w:rPr>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27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V</dc:creator>
  <cp:keywords/>
  <dc:description/>
  <cp:lastModifiedBy>VICTOR</cp:lastModifiedBy>
  <cp:revision>7</cp:revision>
  <dcterms:created xsi:type="dcterms:W3CDTF">2026-03-13T04:59:00Z</dcterms:created>
  <dcterms:modified xsi:type="dcterms:W3CDTF">2026-03-14T18:20:00Z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ee9bd57a-bf8d-4694-94dd-3acfadbac441</vt:lpwstr>
  </property>
</Properties>
</file>