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92F8" w14:textId="77777777" w:rsidR="00944836" w:rsidRPr="00944836" w:rsidRDefault="00944836" w:rsidP="00944836">
      <w:pPr>
        <w:pStyle w:val="Title"/>
        <w:spacing w:line="360" w:lineRule="auto"/>
        <w:jc w:val="right"/>
        <w:rPr>
          <w:rFonts w:ascii="Arial" w:eastAsia="Times New Roman" w:hAnsi="Arial" w:cs="Arial"/>
          <w:b/>
          <w:bCs/>
          <w:i/>
          <w:sz w:val="28"/>
          <w:szCs w:val="22"/>
          <w:u w:val="single"/>
        </w:rPr>
      </w:pPr>
      <w:r w:rsidRPr="00944836">
        <w:rPr>
          <w:rFonts w:ascii="Arial" w:eastAsia="Times New Roman" w:hAnsi="Arial" w:cs="Arial"/>
          <w:b/>
          <w:bCs/>
          <w:i/>
          <w:sz w:val="28"/>
          <w:szCs w:val="22"/>
          <w:u w:val="single"/>
        </w:rPr>
        <w:t xml:space="preserve">Original Research Article </w:t>
      </w:r>
    </w:p>
    <w:p w14:paraId="70314449" w14:textId="77777777" w:rsidR="00B73B45" w:rsidRDefault="00B73B45" w:rsidP="00257C35">
      <w:pPr>
        <w:pStyle w:val="Title"/>
        <w:spacing w:line="360" w:lineRule="auto"/>
        <w:rPr>
          <w:rFonts w:ascii="Arial" w:eastAsia="Times New Roman" w:hAnsi="Arial" w:cs="Arial"/>
          <w:b/>
          <w:bCs/>
          <w:sz w:val="22"/>
          <w:szCs w:val="22"/>
        </w:rPr>
      </w:pPr>
    </w:p>
    <w:p w14:paraId="3049CEEB" w14:textId="3445AE02" w:rsidR="73659FCD" w:rsidRPr="00121154" w:rsidRDefault="044268BD" w:rsidP="00257C35">
      <w:pPr>
        <w:pStyle w:val="Title"/>
        <w:spacing w:line="360" w:lineRule="auto"/>
        <w:rPr>
          <w:rFonts w:ascii="Arial" w:eastAsia="Times New Roman" w:hAnsi="Arial" w:cs="Arial"/>
          <w:b/>
          <w:bCs/>
          <w:sz w:val="22"/>
          <w:szCs w:val="22"/>
        </w:rPr>
      </w:pPr>
      <w:r w:rsidRPr="00121154">
        <w:rPr>
          <w:rFonts w:ascii="Arial" w:eastAsia="Times New Roman" w:hAnsi="Arial" w:cs="Arial"/>
          <w:b/>
          <w:bCs/>
          <w:sz w:val="22"/>
          <w:szCs w:val="22"/>
        </w:rPr>
        <w:t>Outcomes</w:t>
      </w:r>
      <w:r w:rsidR="003F7CB3" w:rsidRPr="00121154">
        <w:rPr>
          <w:rFonts w:ascii="Arial" w:eastAsia="Times New Roman" w:hAnsi="Arial" w:cs="Arial"/>
          <w:b/>
          <w:bCs/>
          <w:sz w:val="22"/>
          <w:szCs w:val="22"/>
        </w:rPr>
        <w:t xml:space="preserve"> of Carbon Markets on Pastoralist Livelihoods and Household Resilience in </w:t>
      </w:r>
      <w:proofErr w:type="spellStart"/>
      <w:r w:rsidR="003F7CB3" w:rsidRPr="00121154">
        <w:rPr>
          <w:rFonts w:ascii="Arial" w:eastAsia="Times New Roman" w:hAnsi="Arial" w:cs="Arial"/>
          <w:b/>
          <w:bCs/>
          <w:sz w:val="22"/>
          <w:szCs w:val="22"/>
        </w:rPr>
        <w:t>Ngaremara</w:t>
      </w:r>
      <w:proofErr w:type="spellEnd"/>
      <w:r w:rsidR="003F7CB3" w:rsidRPr="00121154">
        <w:rPr>
          <w:rFonts w:ascii="Arial" w:eastAsia="Times New Roman" w:hAnsi="Arial" w:cs="Arial"/>
          <w:b/>
          <w:bCs/>
          <w:sz w:val="22"/>
          <w:szCs w:val="22"/>
        </w:rPr>
        <w:t xml:space="preserve">, </w:t>
      </w:r>
      <w:proofErr w:type="spellStart"/>
      <w:r w:rsidR="003F7CB3" w:rsidRPr="00121154">
        <w:rPr>
          <w:rFonts w:ascii="Arial" w:eastAsia="Times New Roman" w:hAnsi="Arial" w:cs="Arial"/>
          <w:b/>
          <w:bCs/>
          <w:sz w:val="22"/>
          <w:szCs w:val="22"/>
        </w:rPr>
        <w:t>Isiolo</w:t>
      </w:r>
      <w:proofErr w:type="spellEnd"/>
      <w:r w:rsidR="003F7CB3" w:rsidRPr="00121154">
        <w:rPr>
          <w:rFonts w:ascii="Arial" w:eastAsia="Times New Roman" w:hAnsi="Arial" w:cs="Arial"/>
          <w:b/>
          <w:bCs/>
          <w:sz w:val="22"/>
          <w:szCs w:val="22"/>
        </w:rPr>
        <w:t xml:space="preserve"> County, Kenya</w:t>
      </w:r>
    </w:p>
    <w:p w14:paraId="73E7D412" w14:textId="77777777" w:rsidR="00B73B45" w:rsidRDefault="00B73B45" w:rsidP="73693557">
      <w:pPr>
        <w:pStyle w:val="Heading1"/>
        <w:rPr>
          <w:rFonts w:ascii="Arial" w:eastAsia="Times New Roman" w:hAnsi="Arial" w:cs="Arial"/>
          <w:b/>
          <w:bCs/>
          <w:color w:val="auto"/>
          <w:sz w:val="22"/>
          <w:szCs w:val="22"/>
        </w:rPr>
      </w:pPr>
    </w:p>
    <w:p w14:paraId="151DD373" w14:textId="77777777" w:rsidR="00B73B45" w:rsidRDefault="00B73B45" w:rsidP="73693557">
      <w:pPr>
        <w:pStyle w:val="Heading1"/>
        <w:rPr>
          <w:rFonts w:ascii="Arial" w:eastAsia="Times New Roman" w:hAnsi="Arial" w:cs="Arial"/>
          <w:b/>
          <w:bCs/>
          <w:color w:val="auto"/>
          <w:sz w:val="22"/>
          <w:szCs w:val="22"/>
        </w:rPr>
      </w:pPr>
    </w:p>
    <w:p w14:paraId="3099575F" w14:textId="1FBF9E04" w:rsidR="00350D3D" w:rsidRPr="00121154" w:rsidRDefault="00350D3D" w:rsidP="73693557">
      <w:pPr>
        <w:pStyle w:val="Heading1"/>
        <w:rPr>
          <w:rFonts w:ascii="Arial" w:eastAsia="Times New Roman" w:hAnsi="Arial" w:cs="Arial"/>
          <w:b/>
          <w:bCs/>
          <w:color w:val="auto"/>
          <w:sz w:val="22"/>
          <w:szCs w:val="22"/>
        </w:rPr>
      </w:pPr>
      <w:r w:rsidRPr="00121154">
        <w:rPr>
          <w:rFonts w:ascii="Arial" w:eastAsia="Times New Roman" w:hAnsi="Arial" w:cs="Arial"/>
          <w:b/>
          <w:bCs/>
          <w:color w:val="auto"/>
          <w:sz w:val="22"/>
          <w:szCs w:val="22"/>
        </w:rPr>
        <w:t>Abstract</w:t>
      </w:r>
    </w:p>
    <w:p w14:paraId="00E68329" w14:textId="5DB258BC" w:rsidR="1DC6C867" w:rsidRPr="00121154" w:rsidRDefault="1DC6C867" w:rsidP="0096429F">
      <w:pPr>
        <w:spacing w:line="360" w:lineRule="auto"/>
        <w:rPr>
          <w:rFonts w:ascii="Arial" w:eastAsia="Times New Roman" w:hAnsi="Arial" w:cs="Arial"/>
        </w:rPr>
      </w:pPr>
      <w:r w:rsidRPr="00121154">
        <w:rPr>
          <w:rFonts w:ascii="Arial" w:eastAsia="Times New Roman" w:hAnsi="Arial" w:cs="Arial"/>
        </w:rPr>
        <w:t xml:space="preserve">Carbon market initiatives are increasingly recognized as mechanisms for enhancing climate adaptation while simultaneously improving livelihoods in vulnerable regions. This study examines the outcomes of carbon market initiatives on pastoralist livelihoods and household resilience in </w:t>
      </w:r>
      <w:proofErr w:type="spellStart"/>
      <w:r w:rsidRPr="00121154">
        <w:rPr>
          <w:rFonts w:ascii="Arial" w:eastAsia="Times New Roman" w:hAnsi="Arial" w:cs="Arial"/>
        </w:rPr>
        <w:t>Ngaremara</w:t>
      </w:r>
      <w:proofErr w:type="spellEnd"/>
      <w:r w:rsidRPr="00121154">
        <w:rPr>
          <w:rFonts w:ascii="Arial" w:eastAsia="Times New Roman" w:hAnsi="Arial" w:cs="Arial"/>
        </w:rPr>
        <w:t xml:space="preserve">, </w:t>
      </w:r>
      <w:proofErr w:type="spellStart"/>
      <w:r w:rsidRPr="00121154">
        <w:rPr>
          <w:rFonts w:ascii="Arial" w:eastAsia="Times New Roman" w:hAnsi="Arial" w:cs="Arial"/>
        </w:rPr>
        <w:t>Isiolo</w:t>
      </w:r>
      <w:proofErr w:type="spellEnd"/>
      <w:r w:rsidRPr="00121154">
        <w:rPr>
          <w:rFonts w:ascii="Arial" w:eastAsia="Times New Roman" w:hAnsi="Arial" w:cs="Arial"/>
        </w:rPr>
        <w:t xml:space="preserve"> County, Kenya. </w:t>
      </w:r>
      <w:r w:rsidRPr="00BE732D">
        <w:rPr>
          <w:rFonts w:ascii="Arial" w:eastAsia="Times New Roman" w:hAnsi="Arial" w:cs="Arial"/>
          <w:color w:val="EE0000"/>
        </w:rPr>
        <w:t>Using a survey-based approach, the research assesses how participation in carbon markets has influenced economic opportunities, income stability, and household adaptation to climate variability</w:t>
      </w:r>
      <w:r w:rsidR="00BE732D" w:rsidRPr="00BE732D">
        <w:rPr>
          <w:rFonts w:ascii="Arial" w:eastAsia="Times New Roman" w:hAnsi="Arial" w:cs="Arial"/>
          <w:color w:val="EE0000"/>
        </w:rPr>
        <w:t xml:space="preserve"> (</w:t>
      </w:r>
      <w:r w:rsidR="00BE732D" w:rsidRPr="00BE732D">
        <w:rPr>
          <w:rFonts w:ascii="Arial" w:eastAsia="Times New Roman" w:hAnsi="Arial" w:cs="Arial"/>
          <w:color w:val="EE0000"/>
        </w:rPr>
        <w:t xml:space="preserve">Using a cross-sectional survey of </w:t>
      </w:r>
      <w:r w:rsidR="00BE732D" w:rsidRPr="00BE732D">
        <w:rPr>
          <w:rFonts w:ascii="Arial" w:eastAsia="Times New Roman" w:hAnsi="Arial" w:cs="Arial"/>
          <w:b/>
          <w:bCs/>
          <w:color w:val="EE0000"/>
        </w:rPr>
        <w:t>367 households</w:t>
      </w:r>
      <w:r w:rsidR="00BE732D" w:rsidRPr="00BE732D">
        <w:rPr>
          <w:rFonts w:ascii="Arial" w:eastAsia="Times New Roman" w:hAnsi="Arial" w:cs="Arial"/>
          <w:color w:val="EE0000"/>
        </w:rPr>
        <w:t>, the study evaluates how participation in carbon market initiatives influences economic opportunities, income stability, and household adaptation to climate variability</w:t>
      </w:r>
      <w:r w:rsidR="00BE732D" w:rsidRPr="00BE732D">
        <w:rPr>
          <w:rFonts w:ascii="Arial" w:eastAsia="Times New Roman" w:hAnsi="Arial" w:cs="Arial"/>
          <w:color w:val="EE0000"/>
        </w:rPr>
        <w:t>)</w:t>
      </w:r>
      <w:r w:rsidRPr="00BE732D">
        <w:rPr>
          <w:rFonts w:ascii="Arial" w:eastAsia="Times New Roman" w:hAnsi="Arial" w:cs="Arial"/>
          <w:color w:val="EE0000"/>
        </w:rPr>
        <w:t xml:space="preserve">. </w:t>
      </w:r>
      <w:r w:rsidRPr="00121154">
        <w:rPr>
          <w:rFonts w:ascii="Arial" w:eastAsia="Times New Roman" w:hAnsi="Arial" w:cs="Arial"/>
        </w:rPr>
        <w:t xml:space="preserve">The findings reveal that while carbon markets have generated some economic benefits such as increased income and employment opportunities, challenges remain in ensuring equitable benefit distribution and effective household adaptation. </w:t>
      </w:r>
      <w:r w:rsidRPr="00EE6882">
        <w:rPr>
          <w:rFonts w:ascii="Arial" w:eastAsia="Times New Roman" w:hAnsi="Arial" w:cs="Arial"/>
          <w:color w:val="EE0000"/>
        </w:rPr>
        <w:t>Although 51.2% of respondents reported improved incomes, 48.2% experienced no financial change, highlighting disparities in economic gains</w:t>
      </w:r>
      <w:r w:rsidR="00EE6882" w:rsidRPr="00EE6882">
        <w:rPr>
          <w:rFonts w:ascii="Arial" w:eastAsia="Times New Roman" w:hAnsi="Arial" w:cs="Arial"/>
          <w:color w:val="EE0000"/>
        </w:rPr>
        <w:t xml:space="preserve"> (</w:t>
      </w:r>
      <w:r w:rsidR="00EE6882" w:rsidRPr="00EE6882">
        <w:rPr>
          <w:rFonts w:ascii="Arial" w:eastAsia="Times New Roman" w:hAnsi="Arial" w:cs="Arial"/>
          <w:color w:val="EE0000"/>
        </w:rPr>
        <w:t xml:space="preserve">Approximately </w:t>
      </w:r>
      <w:r w:rsidR="00EE6882" w:rsidRPr="00EE6882">
        <w:rPr>
          <w:rFonts w:ascii="Arial" w:eastAsia="Times New Roman" w:hAnsi="Arial" w:cs="Arial"/>
          <w:b/>
          <w:bCs/>
          <w:color w:val="EE0000"/>
        </w:rPr>
        <w:t>51.2% of respondents reported increased income</w:t>
      </w:r>
      <w:r w:rsidR="00EE6882" w:rsidRPr="00EE6882">
        <w:rPr>
          <w:rFonts w:ascii="Arial" w:eastAsia="Times New Roman" w:hAnsi="Arial" w:cs="Arial"/>
          <w:color w:val="EE0000"/>
        </w:rPr>
        <w:t xml:space="preserve">, while </w:t>
      </w:r>
      <w:r w:rsidR="00EE6882" w:rsidRPr="00EE6882">
        <w:rPr>
          <w:rFonts w:ascii="Arial" w:eastAsia="Times New Roman" w:hAnsi="Arial" w:cs="Arial"/>
          <w:b/>
          <w:bCs/>
          <w:color w:val="EE0000"/>
        </w:rPr>
        <w:t>48.2% reported no significant financial change</w:t>
      </w:r>
      <w:r w:rsidR="00EE6882" w:rsidRPr="00EE6882">
        <w:rPr>
          <w:rFonts w:ascii="Arial" w:eastAsia="Times New Roman" w:hAnsi="Arial" w:cs="Arial"/>
          <w:color w:val="EE0000"/>
        </w:rPr>
        <w:t>, indicating uneven distribution of benefits</w:t>
      </w:r>
      <w:r w:rsidR="00EE6882" w:rsidRPr="00EE6882">
        <w:rPr>
          <w:rFonts w:ascii="Arial" w:eastAsia="Times New Roman" w:hAnsi="Arial" w:cs="Arial"/>
          <w:color w:val="EE0000"/>
        </w:rPr>
        <w:t>)</w:t>
      </w:r>
      <w:r w:rsidRPr="00EE6882">
        <w:rPr>
          <w:rFonts w:ascii="Arial" w:eastAsia="Times New Roman" w:hAnsi="Arial" w:cs="Arial"/>
          <w:color w:val="EE0000"/>
        </w:rPr>
        <w:t xml:space="preserve">. </w:t>
      </w:r>
      <w:r w:rsidRPr="00121154">
        <w:rPr>
          <w:rFonts w:ascii="Arial" w:eastAsia="Times New Roman" w:hAnsi="Arial" w:cs="Arial"/>
        </w:rPr>
        <w:t>Additionally, household resilience to climate variability showed moderate improvement, with 55% of respondents reporting enhanced adaptive capacity. Governance challenges, limited financial access, and socio-cultural barriers constrained the full realization of benefits. The study concludes that while carbon markets offer livelihood and resilience potential, targeted policy interventions are necessary to enhance financial inclusion, training, and governance frameworks for sustainable and equitable impact in pastoralist communities. These findings contribute to the broader discourse on climate finance and sustainable development in dryland regions.</w:t>
      </w:r>
    </w:p>
    <w:p w14:paraId="7791BE67" w14:textId="1D591F95" w:rsidR="01F27A73" w:rsidRDefault="01F27A73" w:rsidP="0096429F">
      <w:pPr>
        <w:spacing w:line="360" w:lineRule="auto"/>
        <w:rPr>
          <w:rFonts w:ascii="Arial" w:eastAsia="Times New Roman" w:hAnsi="Arial" w:cs="Arial"/>
        </w:rPr>
      </w:pPr>
      <w:r w:rsidRPr="00121154">
        <w:rPr>
          <w:rFonts w:ascii="Arial" w:eastAsia="Times New Roman" w:hAnsi="Arial" w:cs="Arial"/>
          <w:b/>
          <w:bCs/>
        </w:rPr>
        <w:t>Keywords:</w:t>
      </w:r>
      <w:r w:rsidRPr="00121154">
        <w:rPr>
          <w:rFonts w:ascii="Arial" w:eastAsia="Times New Roman" w:hAnsi="Arial" w:cs="Arial"/>
        </w:rPr>
        <w:t xml:space="preserve"> </w:t>
      </w:r>
      <w:r w:rsidR="159428DF" w:rsidRPr="00121154">
        <w:rPr>
          <w:rFonts w:ascii="Arial" w:eastAsia="Times New Roman" w:hAnsi="Arial" w:cs="Arial"/>
        </w:rPr>
        <w:t>climate finance; dryland communities; adaptive capacity; sustainable land management; socio-economic impacts; pastoral economies</w:t>
      </w:r>
    </w:p>
    <w:p w14:paraId="321E115C" w14:textId="4FED4683" w:rsidR="00BE732D" w:rsidRPr="00BE732D" w:rsidRDefault="00BE732D" w:rsidP="00BE732D">
      <w:pPr>
        <w:pStyle w:val="ListParagraph"/>
        <w:numPr>
          <w:ilvl w:val="0"/>
          <w:numId w:val="17"/>
        </w:numPr>
        <w:spacing w:line="360" w:lineRule="auto"/>
        <w:rPr>
          <w:rFonts w:ascii="Arial" w:eastAsia="Times New Roman" w:hAnsi="Arial" w:cs="Arial"/>
          <w:color w:val="EE0000"/>
        </w:rPr>
      </w:pPr>
      <w:r w:rsidRPr="00BE732D">
        <w:rPr>
          <w:rFonts w:ascii="Arial" w:eastAsia="Times New Roman" w:hAnsi="Arial" w:cs="Arial"/>
          <w:color w:val="EE0000"/>
        </w:rPr>
        <w:t>Statistical results could be presented more clearly.</w:t>
      </w:r>
    </w:p>
    <w:p w14:paraId="468CC612" w14:textId="624F8441" w:rsidR="00BE732D" w:rsidRPr="00BE732D" w:rsidRDefault="00BE732D" w:rsidP="00BE732D">
      <w:pPr>
        <w:pStyle w:val="ListParagraph"/>
        <w:numPr>
          <w:ilvl w:val="0"/>
          <w:numId w:val="17"/>
        </w:numPr>
        <w:spacing w:line="360" w:lineRule="auto"/>
        <w:rPr>
          <w:rFonts w:ascii="Arial" w:eastAsia="Times New Roman" w:hAnsi="Arial" w:cs="Arial"/>
          <w:color w:val="EE0000"/>
        </w:rPr>
      </w:pPr>
      <w:r w:rsidRPr="00BE732D">
        <w:rPr>
          <w:rFonts w:ascii="Arial" w:eastAsia="Times New Roman" w:hAnsi="Arial" w:cs="Arial"/>
          <w:color w:val="EE0000"/>
        </w:rPr>
        <w:t xml:space="preserve">Mention </w:t>
      </w:r>
      <w:r w:rsidRPr="00BE732D">
        <w:rPr>
          <w:rFonts w:ascii="Arial" w:eastAsia="Times New Roman" w:hAnsi="Arial" w:cs="Arial"/>
          <w:b/>
          <w:bCs/>
          <w:color w:val="EE0000"/>
        </w:rPr>
        <w:t>sample size (n=367)</w:t>
      </w:r>
      <w:r w:rsidRPr="00BE732D">
        <w:rPr>
          <w:rFonts w:ascii="Arial" w:eastAsia="Times New Roman" w:hAnsi="Arial" w:cs="Arial"/>
          <w:color w:val="EE0000"/>
        </w:rPr>
        <w:t>.</w:t>
      </w:r>
    </w:p>
    <w:p w14:paraId="74F049F8" w14:textId="77777777" w:rsidR="00BE732D" w:rsidRPr="00121154" w:rsidRDefault="00BE732D" w:rsidP="0096429F">
      <w:pPr>
        <w:spacing w:line="360" w:lineRule="auto"/>
        <w:rPr>
          <w:rFonts w:ascii="Arial" w:eastAsia="Times New Roman" w:hAnsi="Arial" w:cs="Arial"/>
        </w:rPr>
      </w:pPr>
    </w:p>
    <w:p w14:paraId="5E866E37" w14:textId="5B23B516" w:rsidR="00A46A79" w:rsidRPr="00121154" w:rsidRDefault="00A46A79"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Introduction</w:t>
      </w:r>
    </w:p>
    <w:p w14:paraId="05876ACB" w14:textId="77777777" w:rsidR="00EA2486" w:rsidRPr="00121154" w:rsidRDefault="00EA2486" w:rsidP="00A57257">
      <w:pPr>
        <w:spacing w:after="240" w:line="480" w:lineRule="auto"/>
        <w:rPr>
          <w:rFonts w:ascii="Arial" w:eastAsia="Times New Roman" w:hAnsi="Arial" w:cs="Arial"/>
        </w:rPr>
      </w:pPr>
      <w:r w:rsidRPr="00121154">
        <w:rPr>
          <w:rFonts w:ascii="Arial" w:eastAsia="Times New Roman" w:hAnsi="Arial" w:cs="Arial"/>
        </w:rPr>
        <w:t>Climate change poses significant threats to dryland ecosystems and the communities that depend on them, with pastoralist groups being among the most vulnerable due to their reliance on natural resources for sustenance and economic stability (IPCC, 2021; Bryan et al., 2018). In these regions, increasing temperature extremes, erratic rainfall patterns, and prolonged droughts undermine traditional livelihood systems, exacerbating poverty and food insecurity.</w:t>
      </w:r>
    </w:p>
    <w:p w14:paraId="37188F17" w14:textId="729BFCB6" w:rsidR="00EA2486" w:rsidRPr="00121154" w:rsidRDefault="00EA2486" w:rsidP="00A57257">
      <w:pPr>
        <w:spacing w:before="240" w:after="240" w:line="480" w:lineRule="auto"/>
        <w:rPr>
          <w:rFonts w:ascii="Arial" w:eastAsia="Times New Roman" w:hAnsi="Arial" w:cs="Arial"/>
        </w:rPr>
      </w:pPr>
      <w:r w:rsidRPr="00121154">
        <w:rPr>
          <w:rFonts w:ascii="Arial" w:eastAsia="Times New Roman" w:hAnsi="Arial" w:cs="Arial"/>
        </w:rPr>
        <w:t>Carbon markets have emerged as innovative mechanisms that align climate mitigation with sustainable development objectives. By offering financial incentives for carbon sequestration activities</w:t>
      </w:r>
      <w:r w:rsidR="004A0AC3" w:rsidRPr="00121154">
        <w:rPr>
          <w:rFonts w:ascii="Arial" w:eastAsia="Times New Roman" w:hAnsi="Arial" w:cs="Arial"/>
        </w:rPr>
        <w:t xml:space="preserve"> </w:t>
      </w:r>
      <w:r w:rsidRPr="00121154">
        <w:rPr>
          <w:rFonts w:ascii="Arial" w:eastAsia="Times New Roman" w:hAnsi="Arial" w:cs="Arial"/>
        </w:rPr>
        <w:t>—</w:t>
      </w:r>
      <w:r w:rsidR="004A0AC3" w:rsidRPr="00121154">
        <w:rPr>
          <w:rFonts w:ascii="Arial" w:eastAsia="Times New Roman" w:hAnsi="Arial" w:cs="Arial"/>
        </w:rPr>
        <w:t xml:space="preserve"> </w:t>
      </w:r>
      <w:r w:rsidRPr="00121154">
        <w:rPr>
          <w:rFonts w:ascii="Arial" w:eastAsia="Times New Roman" w:hAnsi="Arial" w:cs="Arial"/>
        </w:rPr>
        <w:t>such as afforestation, reforestation, and improved rangeland management</w:t>
      </w:r>
      <w:r w:rsidR="004A0AC3" w:rsidRPr="00121154">
        <w:rPr>
          <w:rFonts w:ascii="Arial" w:eastAsia="Times New Roman" w:hAnsi="Arial" w:cs="Arial"/>
        </w:rPr>
        <w:t xml:space="preserve"> </w:t>
      </w:r>
      <w:r w:rsidRPr="00121154">
        <w:rPr>
          <w:rFonts w:ascii="Arial" w:eastAsia="Times New Roman" w:hAnsi="Arial" w:cs="Arial"/>
        </w:rPr>
        <w:t>—</w:t>
      </w:r>
      <w:r w:rsidR="004A0AC3" w:rsidRPr="00121154">
        <w:rPr>
          <w:rFonts w:ascii="Arial" w:eastAsia="Times New Roman" w:hAnsi="Arial" w:cs="Arial"/>
        </w:rPr>
        <w:t xml:space="preserve"> </w:t>
      </w:r>
      <w:r w:rsidRPr="00121154">
        <w:rPr>
          <w:rFonts w:ascii="Arial" w:eastAsia="Times New Roman" w:hAnsi="Arial" w:cs="Arial"/>
        </w:rPr>
        <w:t>they aim to link environmental conservation with socio-economic benefits (Asquith et al., 2002; Atela et al., 2015). In developing countries, these initiatives have been associated with improved livelihoods, stronger resource governance, and enhanced environmental stewardship (Bond et al., 2020; Bryan et al., 2018). However, their effectiveness in ensuring long-term and equitable livelihood improvements remains debated, particularly among marginalized communities (Mathur et al., 2014; Bernard &amp; Adkins, 2014).</w:t>
      </w:r>
    </w:p>
    <w:p w14:paraId="443638AD" w14:textId="57ABC771" w:rsidR="00EA2486" w:rsidRPr="00121154" w:rsidRDefault="00EA2486" w:rsidP="00A57257">
      <w:pPr>
        <w:spacing w:before="240" w:after="240" w:line="480" w:lineRule="auto"/>
        <w:rPr>
          <w:rFonts w:ascii="Arial" w:eastAsia="Times New Roman" w:hAnsi="Arial" w:cs="Arial"/>
        </w:rPr>
      </w:pPr>
      <w:r w:rsidRPr="00121154">
        <w:rPr>
          <w:rFonts w:ascii="Arial" w:eastAsia="Times New Roman" w:hAnsi="Arial" w:cs="Arial"/>
        </w:rPr>
        <w:t xml:space="preserve">Pastoralist communities in northern Kenya face distinctive barriers to participating in carbon markets. Limited land tenure security, inequitable benefit distribution, and governance challenges often restrict access to these initiatives (Herr et al., 2019; Little, </w:t>
      </w:r>
      <w:r w:rsidR="00EF06DD" w:rsidRPr="00121154">
        <w:rPr>
          <w:rFonts w:ascii="Arial" w:eastAsia="Times New Roman" w:hAnsi="Arial" w:cs="Arial"/>
        </w:rPr>
        <w:t>2011</w:t>
      </w:r>
      <w:r w:rsidRPr="00121154">
        <w:rPr>
          <w:rFonts w:ascii="Arial" w:eastAsia="Times New Roman" w:hAnsi="Arial" w:cs="Arial"/>
        </w:rPr>
        <w:t>). While some research highlights increased income, employment opportunities, and adaptive capacity among participants, others reveal persistent constraints such as low financial inclusion, limited awareness, and socio-cultural barriers (McCarthy &amp; Di Gregorio, 2007; Munene, 2019). Elite capture and weak governance mechanisms can further undermine community trust and participation.</w:t>
      </w:r>
    </w:p>
    <w:p w14:paraId="6F291E16" w14:textId="77777777" w:rsidR="00EA2486" w:rsidRPr="00121154" w:rsidRDefault="00EA2486" w:rsidP="00A57257">
      <w:pPr>
        <w:spacing w:before="240" w:after="240" w:line="480" w:lineRule="auto"/>
        <w:rPr>
          <w:rFonts w:ascii="Arial" w:eastAsia="Times New Roman" w:hAnsi="Arial" w:cs="Arial"/>
        </w:rPr>
      </w:pPr>
      <w:r w:rsidRPr="00121154">
        <w:rPr>
          <w:rFonts w:ascii="Arial" w:eastAsia="Times New Roman" w:hAnsi="Arial" w:cs="Arial"/>
        </w:rPr>
        <w:lastRenderedPageBreak/>
        <w:t>Resilience in pastoralist systems hinges on adaptive strategies such as diversifying income sources, improving water management, and adopting sustainable grazing practices (IPCC, 2021; Mburu, 2015). Carbon market projects have the potential to fund and incentivize these strategies, yet their real impact on household stability is contested (Mukami, 2016; Wako, 2022). Achieving meaningful resilience outcomes often requires participatory governance structures, accessible financing, and integration with indigenous knowledge systems (Bryan et al., 2018).</w:t>
      </w:r>
    </w:p>
    <w:p w14:paraId="177418A6" w14:textId="720F272F" w:rsidR="00EA2486" w:rsidRPr="00121154" w:rsidRDefault="00EA2486" w:rsidP="00A57257">
      <w:pPr>
        <w:spacing w:before="240" w:after="240" w:line="480" w:lineRule="auto"/>
        <w:rPr>
          <w:rFonts w:ascii="Arial" w:eastAsia="Times New Roman" w:hAnsi="Arial" w:cs="Arial"/>
        </w:rPr>
      </w:pPr>
      <w:r w:rsidRPr="00121154">
        <w:rPr>
          <w:rFonts w:ascii="Arial" w:eastAsia="Times New Roman" w:hAnsi="Arial" w:cs="Arial"/>
        </w:rPr>
        <w:t>Ngaremara in Isiolo County, Kenya, offers a relevant case study for exploring these dynamics. This semi-arid area is characterized by recurrent droughts, resource-based conflicts, and shrinking grazing lands (Mburu, 2015). Carbon market initiatives in the region</w:t>
      </w:r>
      <w:r w:rsidR="006B58E0" w:rsidRPr="00121154">
        <w:rPr>
          <w:rFonts w:ascii="Arial" w:eastAsia="Times New Roman" w:hAnsi="Arial" w:cs="Arial"/>
        </w:rPr>
        <w:t xml:space="preserve"> </w:t>
      </w:r>
      <w:r w:rsidRPr="00121154">
        <w:rPr>
          <w:rFonts w:ascii="Arial" w:eastAsia="Times New Roman" w:hAnsi="Arial" w:cs="Arial"/>
        </w:rPr>
        <w:t>—</w:t>
      </w:r>
      <w:r w:rsidR="006B58E0" w:rsidRPr="00121154">
        <w:rPr>
          <w:rFonts w:ascii="Arial" w:eastAsia="Times New Roman" w:hAnsi="Arial" w:cs="Arial"/>
        </w:rPr>
        <w:t xml:space="preserve"> </w:t>
      </w:r>
      <w:r w:rsidRPr="00121154">
        <w:rPr>
          <w:rFonts w:ascii="Arial" w:eastAsia="Times New Roman" w:hAnsi="Arial" w:cs="Arial"/>
        </w:rPr>
        <w:t>focusing on planned grazing, tree planting, and improved water management</w:t>
      </w:r>
      <w:r w:rsidR="006B58E0" w:rsidRPr="00121154">
        <w:rPr>
          <w:rFonts w:ascii="Arial" w:eastAsia="Times New Roman" w:hAnsi="Arial" w:cs="Arial"/>
        </w:rPr>
        <w:t xml:space="preserve"> </w:t>
      </w:r>
      <w:r w:rsidRPr="00121154">
        <w:rPr>
          <w:rFonts w:ascii="Arial" w:eastAsia="Times New Roman" w:hAnsi="Arial" w:cs="Arial"/>
        </w:rPr>
        <w:t>—</w:t>
      </w:r>
      <w:r w:rsidR="006B58E0" w:rsidRPr="00121154">
        <w:rPr>
          <w:rFonts w:ascii="Arial" w:eastAsia="Times New Roman" w:hAnsi="Arial" w:cs="Arial"/>
        </w:rPr>
        <w:t xml:space="preserve"> </w:t>
      </w:r>
      <w:r w:rsidRPr="00121154">
        <w:rPr>
          <w:rFonts w:ascii="Arial" w:eastAsia="Times New Roman" w:hAnsi="Arial" w:cs="Arial"/>
        </w:rPr>
        <w:t>seek to diversify livelihoods and strengthen climate adaptation. However, few empirical studies have examined their household-level impacts in Kenyan pastoralist contexts, and even fewer assess the dual outcomes for both livelihoods and resilience.</w:t>
      </w:r>
    </w:p>
    <w:p w14:paraId="7A73E2E5" w14:textId="6AE374F0" w:rsidR="1F12BD1B" w:rsidRDefault="1F12BD1B" w:rsidP="00A57257">
      <w:pPr>
        <w:spacing w:before="240" w:after="240" w:line="480" w:lineRule="auto"/>
        <w:rPr>
          <w:rFonts w:ascii="Arial" w:eastAsia="Times New Roman" w:hAnsi="Arial" w:cs="Arial"/>
        </w:rPr>
      </w:pPr>
      <w:r w:rsidRPr="00121154">
        <w:rPr>
          <w:rFonts w:ascii="Arial" w:eastAsia="Times New Roman" w:hAnsi="Arial" w:cs="Arial"/>
        </w:rPr>
        <w:t>This study addresses th</w:t>
      </w:r>
      <w:r w:rsidR="006F06EE" w:rsidRPr="00121154">
        <w:rPr>
          <w:rFonts w:ascii="Arial" w:eastAsia="Times New Roman" w:hAnsi="Arial" w:cs="Arial"/>
        </w:rPr>
        <w:t>is</w:t>
      </w:r>
      <w:r w:rsidRPr="00121154">
        <w:rPr>
          <w:rFonts w:ascii="Arial" w:eastAsia="Times New Roman" w:hAnsi="Arial" w:cs="Arial"/>
        </w:rPr>
        <w:t xml:space="preserve"> gap by assessing the outcomes of carbon market participation on livelihoods and household resilience in </w:t>
      </w:r>
      <w:proofErr w:type="spellStart"/>
      <w:r w:rsidRPr="00121154">
        <w:rPr>
          <w:rFonts w:ascii="Arial" w:eastAsia="Times New Roman" w:hAnsi="Arial" w:cs="Arial"/>
        </w:rPr>
        <w:t>Ngaremara</w:t>
      </w:r>
      <w:proofErr w:type="spellEnd"/>
      <w:r w:rsidRPr="00121154">
        <w:rPr>
          <w:rFonts w:ascii="Arial" w:eastAsia="Times New Roman" w:hAnsi="Arial" w:cs="Arial"/>
        </w:rPr>
        <w:t>. Specifically, it evaluates the extent to which participation has influenced income stability, employment generation, and climate adaptation capacity. By grounding the analysis in localized evidence and drawing from broader literature on carbon markets in pastoralist contexts, the study contributes to designing more inclusive, equitable, and sustainable carbon finance models for dryland communities.</w:t>
      </w:r>
    </w:p>
    <w:p w14:paraId="6FD61492" w14:textId="73352554" w:rsidR="00BE732D" w:rsidRPr="00BE732D" w:rsidRDefault="00BE732D" w:rsidP="00BE732D">
      <w:pPr>
        <w:pStyle w:val="ListParagraph"/>
        <w:numPr>
          <w:ilvl w:val="0"/>
          <w:numId w:val="16"/>
        </w:numPr>
        <w:spacing w:before="240" w:after="240" w:line="480" w:lineRule="auto"/>
        <w:rPr>
          <w:rFonts w:ascii="Arial" w:eastAsia="Times New Roman" w:hAnsi="Arial" w:cs="Arial"/>
          <w:color w:val="EE0000"/>
        </w:rPr>
      </w:pPr>
      <w:r w:rsidRPr="00BE732D">
        <w:rPr>
          <w:rFonts w:ascii="Arial" w:eastAsia="Times New Roman" w:hAnsi="Arial" w:cs="Arial"/>
          <w:color w:val="EE0000"/>
        </w:rPr>
        <w:t>Add Global Context</w:t>
      </w:r>
    </w:p>
    <w:p w14:paraId="612C152C" w14:textId="1E7F4433" w:rsidR="00BE732D" w:rsidRPr="00BE732D" w:rsidRDefault="00BE732D" w:rsidP="00BE732D">
      <w:pPr>
        <w:pStyle w:val="ListParagraph"/>
        <w:numPr>
          <w:ilvl w:val="0"/>
          <w:numId w:val="16"/>
        </w:numPr>
        <w:spacing w:before="240" w:after="240" w:line="480" w:lineRule="auto"/>
        <w:rPr>
          <w:rFonts w:ascii="Arial" w:eastAsia="Times New Roman" w:hAnsi="Arial" w:cs="Arial"/>
          <w:color w:val="EE0000"/>
        </w:rPr>
      </w:pPr>
      <w:r w:rsidRPr="00BE732D">
        <w:rPr>
          <w:rFonts w:ascii="Arial" w:eastAsia="Times New Roman" w:hAnsi="Arial" w:cs="Arial"/>
          <w:color w:val="EE0000"/>
        </w:rPr>
        <w:t>Improve research gap clarity</w:t>
      </w:r>
    </w:p>
    <w:p w14:paraId="6F6B267F" w14:textId="1368264E" w:rsidR="00BE732D" w:rsidRPr="00BE732D" w:rsidRDefault="00BE732D" w:rsidP="00BE732D">
      <w:pPr>
        <w:pStyle w:val="ListParagraph"/>
        <w:numPr>
          <w:ilvl w:val="0"/>
          <w:numId w:val="16"/>
        </w:numPr>
        <w:spacing w:before="240" w:after="240" w:line="480" w:lineRule="auto"/>
        <w:rPr>
          <w:rFonts w:ascii="Arial" w:eastAsia="Times New Roman" w:hAnsi="Arial" w:cs="Arial"/>
          <w:color w:val="EE0000"/>
        </w:rPr>
      </w:pPr>
      <w:r w:rsidRPr="00BE732D">
        <w:rPr>
          <w:rFonts w:ascii="Arial" w:eastAsia="Times New Roman" w:hAnsi="Arial" w:cs="Arial"/>
          <w:color w:val="EE0000"/>
        </w:rPr>
        <w:t>Add Research Objectives clearly</w:t>
      </w:r>
    </w:p>
    <w:p w14:paraId="22DD46B8" w14:textId="46171F26" w:rsidR="00F4744F" w:rsidRPr="00121154" w:rsidRDefault="00F4744F"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lastRenderedPageBreak/>
        <w:t>Methodology</w:t>
      </w:r>
    </w:p>
    <w:p w14:paraId="17AE82F6" w14:textId="440E7910" w:rsidR="00C976AD" w:rsidRPr="00121154" w:rsidRDefault="00C976AD" w:rsidP="00A57257">
      <w:pPr>
        <w:pStyle w:val="Heading2"/>
        <w:spacing w:before="0"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Study Area</w:t>
      </w:r>
    </w:p>
    <w:p w14:paraId="1CE2D58F" w14:textId="56F94398" w:rsidR="00C976AD" w:rsidRPr="00121154" w:rsidRDefault="00C976AD" w:rsidP="00A57257">
      <w:pPr>
        <w:spacing w:line="480" w:lineRule="auto"/>
        <w:rPr>
          <w:rFonts w:ascii="Arial" w:eastAsia="Times New Roman" w:hAnsi="Arial" w:cs="Arial"/>
        </w:rPr>
      </w:pPr>
      <w:r w:rsidRPr="00121154">
        <w:rPr>
          <w:rFonts w:ascii="Arial" w:eastAsia="Times New Roman" w:hAnsi="Arial" w:cs="Arial"/>
        </w:rPr>
        <w:t xml:space="preserve">This study was conducted in </w:t>
      </w:r>
      <w:proofErr w:type="spellStart"/>
      <w:r w:rsidRPr="00121154">
        <w:rPr>
          <w:rFonts w:ascii="Arial" w:eastAsia="Times New Roman" w:hAnsi="Arial" w:cs="Arial"/>
        </w:rPr>
        <w:t>Ngaremara</w:t>
      </w:r>
      <w:proofErr w:type="spellEnd"/>
      <w:r w:rsidRPr="00121154">
        <w:rPr>
          <w:rFonts w:ascii="Arial" w:eastAsia="Times New Roman" w:hAnsi="Arial" w:cs="Arial"/>
        </w:rPr>
        <w:t xml:space="preserve">, a semi-arid region in </w:t>
      </w:r>
      <w:proofErr w:type="spellStart"/>
      <w:r w:rsidRPr="00121154">
        <w:rPr>
          <w:rFonts w:ascii="Arial" w:eastAsia="Times New Roman" w:hAnsi="Arial" w:cs="Arial"/>
        </w:rPr>
        <w:t>Isiolo</w:t>
      </w:r>
      <w:proofErr w:type="spellEnd"/>
      <w:r w:rsidRPr="00121154">
        <w:rPr>
          <w:rFonts w:ascii="Arial" w:eastAsia="Times New Roman" w:hAnsi="Arial" w:cs="Arial"/>
        </w:rPr>
        <w:t xml:space="preserve"> County, Kenya, where pastoralist communities predominantly rely on livestock for their livelihoods. The region is characterized by recurrent droughts, resource conflicts, and increasing climate variability, making it a suitable case for assessing the </w:t>
      </w:r>
      <w:r w:rsidR="0CC3B942" w:rsidRPr="00121154">
        <w:rPr>
          <w:rFonts w:ascii="Arial" w:eastAsia="Times New Roman" w:hAnsi="Arial" w:cs="Arial"/>
        </w:rPr>
        <w:t>outcomes</w:t>
      </w:r>
      <w:r w:rsidRPr="00121154">
        <w:rPr>
          <w:rFonts w:ascii="Arial" w:eastAsia="Times New Roman" w:hAnsi="Arial" w:cs="Arial"/>
        </w:rPr>
        <w:t xml:space="preserve"> of carbon market initiatives on livelihoods and household resilience (Mburu, 2015). Carbon market initiatives in the area focus on sustainable land use, planned grazing, and reforestation as mechanisms to promote carbon sequestration and community adaptation.</w:t>
      </w:r>
      <w:r w:rsidR="002C20D2" w:rsidRPr="00121154">
        <w:rPr>
          <w:rFonts w:ascii="Arial" w:eastAsia="Times New Roman" w:hAnsi="Arial" w:cs="Arial"/>
        </w:rPr>
        <w:t xml:space="preserve"> The figure below shows the map of the study area:</w:t>
      </w:r>
    </w:p>
    <w:p w14:paraId="245E9027" w14:textId="77777777" w:rsidR="002C20D2" w:rsidRPr="00121154" w:rsidRDefault="3CBBF69F" w:rsidP="00A57257">
      <w:pPr>
        <w:spacing w:before="240" w:after="240" w:line="480" w:lineRule="auto"/>
        <w:jc w:val="center"/>
        <w:rPr>
          <w:rFonts w:ascii="Arial" w:eastAsia="Times New Roman" w:hAnsi="Arial" w:cs="Arial"/>
          <w:b/>
          <w:bCs/>
          <w:color w:val="000000" w:themeColor="text1"/>
        </w:rPr>
      </w:pPr>
      <w:r w:rsidRPr="00121154">
        <w:rPr>
          <w:rFonts w:ascii="Arial" w:hAnsi="Arial" w:cs="Arial"/>
          <w:noProof/>
        </w:rPr>
        <w:drawing>
          <wp:inline distT="0" distB="0" distL="0" distR="0" wp14:anchorId="2E5CA30D" wp14:editId="5E189577">
            <wp:extent cx="4038600" cy="2808877"/>
            <wp:effectExtent l="0" t="0" r="0" b="0"/>
            <wp:docPr id="1894921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2118" name=""/>
                    <pic:cNvPicPr/>
                  </pic:nvPicPr>
                  <pic:blipFill>
                    <a:blip r:embed="rId8">
                      <a:extLst>
                        <a:ext uri="{28A0092B-C50C-407E-A947-70E740481C1C}">
                          <a14:useLocalDpi xmlns:a14="http://schemas.microsoft.com/office/drawing/2010/main"/>
                        </a:ext>
                      </a:extLst>
                    </a:blip>
                    <a:stretch>
                      <a:fillRect/>
                    </a:stretch>
                  </pic:blipFill>
                  <pic:spPr>
                    <a:xfrm>
                      <a:off x="0" y="0"/>
                      <a:ext cx="4038600" cy="2808877"/>
                    </a:xfrm>
                    <a:prstGeom prst="rect">
                      <a:avLst/>
                    </a:prstGeom>
                  </pic:spPr>
                </pic:pic>
              </a:graphicData>
            </a:graphic>
          </wp:inline>
        </w:drawing>
      </w:r>
    </w:p>
    <w:p w14:paraId="14BCFA32" w14:textId="7921E517" w:rsidR="3CBBF69F" w:rsidRPr="00121154" w:rsidRDefault="3CBBF69F" w:rsidP="00A57257">
      <w:pPr>
        <w:spacing w:before="240" w:after="240" w:line="480" w:lineRule="auto"/>
        <w:jc w:val="center"/>
        <w:rPr>
          <w:rFonts w:ascii="Arial" w:eastAsia="Times New Roman" w:hAnsi="Arial" w:cs="Arial"/>
        </w:rPr>
      </w:pPr>
      <w:r w:rsidRPr="00121154">
        <w:rPr>
          <w:rFonts w:ascii="Arial" w:eastAsia="Times New Roman" w:hAnsi="Arial" w:cs="Arial"/>
          <w:b/>
          <w:bCs/>
          <w:color w:val="000000" w:themeColor="text1"/>
        </w:rPr>
        <w:t xml:space="preserve">Figure 1: GIS map of </w:t>
      </w:r>
      <w:proofErr w:type="spellStart"/>
      <w:r w:rsidRPr="00121154">
        <w:rPr>
          <w:rFonts w:ascii="Arial" w:eastAsia="Times New Roman" w:hAnsi="Arial" w:cs="Arial"/>
          <w:b/>
          <w:bCs/>
          <w:color w:val="000000" w:themeColor="text1"/>
        </w:rPr>
        <w:t>Isiolo</w:t>
      </w:r>
      <w:proofErr w:type="spellEnd"/>
      <w:r w:rsidRPr="00121154">
        <w:rPr>
          <w:rFonts w:ascii="Arial" w:eastAsia="Times New Roman" w:hAnsi="Arial" w:cs="Arial"/>
          <w:b/>
          <w:bCs/>
          <w:color w:val="000000" w:themeColor="text1"/>
        </w:rPr>
        <w:t xml:space="preserve"> North Constituency, Kenya</w:t>
      </w:r>
    </w:p>
    <w:p w14:paraId="45279FA6" w14:textId="3805B4ED"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Research Design</w:t>
      </w:r>
    </w:p>
    <w:p w14:paraId="47603CDA" w14:textId="005DB08B" w:rsidR="3FB643F3" w:rsidRPr="00121154" w:rsidRDefault="3FB643F3" w:rsidP="00A57257">
      <w:pPr>
        <w:spacing w:line="480" w:lineRule="auto"/>
        <w:rPr>
          <w:rFonts w:ascii="Arial" w:eastAsia="Times New Roman" w:hAnsi="Arial" w:cs="Arial"/>
        </w:rPr>
      </w:pPr>
      <w:r w:rsidRPr="00121154">
        <w:rPr>
          <w:rFonts w:ascii="Arial" w:eastAsia="Times New Roman" w:hAnsi="Arial" w:cs="Arial"/>
        </w:rPr>
        <w:t>A cross-sectional survey design was employed to capture both quantitative and qualitative data on the livelihood and resilience outcomes of carbon market initiatives. This design was selected for its suitability in analyzing relationships between carbon market participation and household-level socio-economic indicators at a single point in time, while also incorporating contextual narratives from participants.</w:t>
      </w:r>
    </w:p>
    <w:p w14:paraId="3CBCBED1" w14:textId="489CA412"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lastRenderedPageBreak/>
        <w:t>Sampling and Data Collection</w:t>
      </w:r>
    </w:p>
    <w:p w14:paraId="4DFC48C3" w14:textId="0DC13AEC" w:rsidR="78916FEB" w:rsidRPr="00121154" w:rsidRDefault="78916FEB" w:rsidP="00A57257">
      <w:pPr>
        <w:spacing w:line="480" w:lineRule="auto"/>
        <w:rPr>
          <w:rFonts w:ascii="Arial" w:eastAsia="Times New Roman" w:hAnsi="Arial" w:cs="Arial"/>
        </w:rPr>
      </w:pPr>
      <w:r w:rsidRPr="00121154">
        <w:rPr>
          <w:rFonts w:ascii="Arial" w:eastAsia="Times New Roman" w:hAnsi="Arial" w:cs="Arial"/>
        </w:rPr>
        <w:t xml:space="preserve">A stratified random sampling technique was used to ensure adequate representation of households with varying levels of participation in carbon markets. The sample size of 367 households was determined using statistical sample size calculation formulas to achieve a 95% confidence level and acceptable margin of error, considering the total population of </w:t>
      </w:r>
      <w:proofErr w:type="spellStart"/>
      <w:r w:rsidRPr="00121154">
        <w:rPr>
          <w:rFonts w:ascii="Arial" w:eastAsia="Times New Roman" w:hAnsi="Arial" w:cs="Arial"/>
        </w:rPr>
        <w:t>Ngaremara</w:t>
      </w:r>
      <w:proofErr w:type="spellEnd"/>
      <w:r w:rsidRPr="00121154">
        <w:rPr>
          <w:rFonts w:ascii="Arial" w:eastAsia="Times New Roman" w:hAnsi="Arial" w:cs="Arial"/>
        </w:rPr>
        <w:t>.</w:t>
      </w:r>
    </w:p>
    <w:p w14:paraId="2A0D2188" w14:textId="4D95B8F6" w:rsidR="14201ABA" w:rsidRPr="00121154" w:rsidRDefault="14201ABA" w:rsidP="00A57257">
      <w:pPr>
        <w:spacing w:line="480" w:lineRule="auto"/>
        <w:rPr>
          <w:rFonts w:ascii="Arial" w:eastAsia="Times New Roman" w:hAnsi="Arial" w:cs="Arial"/>
        </w:rPr>
      </w:pPr>
      <w:r w:rsidRPr="00121154">
        <w:rPr>
          <w:rFonts w:ascii="Arial" w:eastAsia="Times New Roman" w:hAnsi="Arial" w:cs="Arial"/>
          <w:b/>
          <w:bCs/>
        </w:rPr>
        <w:t>Data Collection Methods</w:t>
      </w:r>
      <w:r w:rsidRPr="00121154">
        <w:rPr>
          <w:rFonts w:ascii="Arial" w:hAnsi="Arial" w:cs="Arial"/>
        </w:rPr>
        <w:br/>
      </w:r>
      <w:r w:rsidRPr="00121154">
        <w:rPr>
          <w:rFonts w:ascii="Arial" w:eastAsia="Times New Roman" w:hAnsi="Arial" w:cs="Arial"/>
        </w:rPr>
        <w:t>Primary data were collected using structured household questionnaires that captured demographic details, income changes, livelihood diversification, employment opportunities, and indicators of household resilience. In-depth interviews were conducted using a semi-structured guide to explore personal experiences and perceptions of the benefits and challenges of carbon market initiatives. Direct observation was employed to document social and cultural practices relevant to carbon market participation and livelihood adaptation. In addition, secondary data were reviewed from academic literature, government reports, and project documents to provide contextual background for the study. Data entry and management during fieldwork were facilitated using ODK (Open Data Kit) software.</w:t>
      </w:r>
    </w:p>
    <w:p w14:paraId="5037BE98" w14:textId="553D996A"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Data Analysis</w:t>
      </w:r>
    </w:p>
    <w:p w14:paraId="03CF41D5" w14:textId="35FDE321" w:rsidR="0831E6A9" w:rsidRPr="00121154" w:rsidRDefault="0831E6A9" w:rsidP="00A57257">
      <w:pPr>
        <w:spacing w:line="480" w:lineRule="auto"/>
        <w:rPr>
          <w:rFonts w:ascii="Arial" w:eastAsia="Times New Roman" w:hAnsi="Arial" w:cs="Arial"/>
        </w:rPr>
      </w:pPr>
      <w:r w:rsidRPr="00121154">
        <w:rPr>
          <w:rFonts w:ascii="Arial" w:eastAsia="Times New Roman" w:hAnsi="Arial" w:cs="Arial"/>
        </w:rPr>
        <w:t>Quantitative data were analyzed using descriptive statistics, correlation, and regression analysis to examine relationships between carbon market participation and outcomes such as income, livelihood diversification, and resilience. Qualitative responses were thematically analyzed to identify recurring patterns related to benefits, challenges, and community perceptions.</w:t>
      </w:r>
    </w:p>
    <w:p w14:paraId="26E51121" w14:textId="3AB6923F"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Ethical Considerations</w:t>
      </w:r>
    </w:p>
    <w:p w14:paraId="0D53108F" w14:textId="38D8B00B" w:rsidR="1C24670D" w:rsidRPr="00121154" w:rsidRDefault="1C24670D" w:rsidP="00A57257">
      <w:pPr>
        <w:spacing w:line="480" w:lineRule="auto"/>
        <w:rPr>
          <w:rFonts w:ascii="Arial" w:eastAsia="Times New Roman" w:hAnsi="Arial" w:cs="Arial"/>
        </w:rPr>
      </w:pPr>
      <w:r w:rsidRPr="00121154">
        <w:rPr>
          <w:rFonts w:ascii="Arial" w:eastAsia="Times New Roman" w:hAnsi="Arial" w:cs="Arial"/>
        </w:rPr>
        <w:t xml:space="preserve">The study received approval from Kenyatta University’s Graduate School and a research permit from the National Commission for Science, Technology, and Innovation (NACOSTI). Informed consent was obtained from all participants, with assurances of confidentiality and </w:t>
      </w:r>
      <w:r w:rsidRPr="00121154">
        <w:rPr>
          <w:rFonts w:ascii="Arial" w:eastAsia="Times New Roman" w:hAnsi="Arial" w:cs="Arial"/>
        </w:rPr>
        <w:lastRenderedPageBreak/>
        <w:t>voluntary participation. Cultural sensitivity was observed throughout the research process to ensure respectful engagement with community members.</w:t>
      </w:r>
    </w:p>
    <w:p w14:paraId="2EC0F970" w14:textId="33A56A0A" w:rsidR="00A46A79" w:rsidRPr="00121154" w:rsidRDefault="00A46A79"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Results</w:t>
      </w:r>
    </w:p>
    <w:p w14:paraId="612E3A79" w14:textId="1423A8B6" w:rsidR="00560A5F" w:rsidRPr="00121154" w:rsidRDefault="00560A5F" w:rsidP="00A57257">
      <w:pPr>
        <w:pStyle w:val="Heading2"/>
        <w:spacing w:before="0"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Participation in Carbon Market Initiatives</w:t>
      </w:r>
    </w:p>
    <w:p w14:paraId="0318FE88" w14:textId="4632D374" w:rsidR="64DD37DE" w:rsidRPr="00121154" w:rsidRDefault="64DD37DE" w:rsidP="00A57257">
      <w:pPr>
        <w:spacing w:line="480" w:lineRule="auto"/>
        <w:rPr>
          <w:rFonts w:ascii="Arial" w:eastAsia="Times New Roman" w:hAnsi="Arial" w:cs="Arial"/>
        </w:rPr>
      </w:pPr>
      <w:r w:rsidRPr="00121154">
        <w:rPr>
          <w:rFonts w:ascii="Arial" w:eastAsia="Times New Roman" w:hAnsi="Arial" w:cs="Arial"/>
        </w:rPr>
        <w:t xml:space="preserve">Out of the 367 </w:t>
      </w:r>
      <w:r w:rsidR="00F1229A" w:rsidRPr="00121154">
        <w:rPr>
          <w:rFonts w:ascii="Arial" w:eastAsia="Times New Roman" w:hAnsi="Arial" w:cs="Arial"/>
        </w:rPr>
        <w:t>households surveyed</w:t>
      </w:r>
      <w:r w:rsidRPr="00121154">
        <w:rPr>
          <w:rFonts w:ascii="Arial" w:eastAsia="Times New Roman" w:hAnsi="Arial" w:cs="Arial"/>
        </w:rPr>
        <w:t>, 70.8% reported participation in carbon market projects, while 29.2% indicated no involvement. The main activities undertaken by participants included planned grazing (34.9%), tree planting (32.6%), and improved water management (29.2%).</w:t>
      </w:r>
      <w:r w:rsidR="00EB6B38" w:rsidRPr="00121154">
        <w:rPr>
          <w:rFonts w:ascii="Arial" w:eastAsia="Times New Roman" w:hAnsi="Arial" w:cs="Arial"/>
        </w:rPr>
        <w:t xml:space="preserve"> The figure below shows the various types of </w:t>
      </w:r>
      <w:r w:rsidR="00BC28C6" w:rsidRPr="00121154">
        <w:rPr>
          <w:rFonts w:ascii="Arial" w:eastAsia="Times New Roman" w:hAnsi="Arial" w:cs="Arial"/>
        </w:rPr>
        <w:t>participation in carbon market initiatives</w:t>
      </w:r>
      <w:r w:rsidR="00AC0FBB" w:rsidRPr="00121154">
        <w:rPr>
          <w:rFonts w:ascii="Arial" w:eastAsia="Times New Roman" w:hAnsi="Arial" w:cs="Arial"/>
        </w:rPr>
        <w:t>:</w:t>
      </w:r>
    </w:p>
    <w:p w14:paraId="4A895A78" w14:textId="788E3384" w:rsidR="4384EE60" w:rsidRPr="00121154" w:rsidRDefault="4384EE60" w:rsidP="00A57257">
      <w:pPr>
        <w:spacing w:after="0" w:line="480" w:lineRule="auto"/>
        <w:jc w:val="center"/>
        <w:rPr>
          <w:rFonts w:ascii="Arial" w:eastAsia="Times New Roman" w:hAnsi="Arial" w:cs="Arial"/>
        </w:rPr>
      </w:pPr>
      <w:r w:rsidRPr="00121154">
        <w:rPr>
          <w:rFonts w:ascii="Arial" w:hAnsi="Arial" w:cs="Arial"/>
          <w:noProof/>
        </w:rPr>
        <w:drawing>
          <wp:inline distT="0" distB="0" distL="0" distR="0" wp14:anchorId="01DD122A" wp14:editId="0616451D">
            <wp:extent cx="3677563" cy="2208985"/>
            <wp:effectExtent l="0" t="0" r="0" b="0"/>
            <wp:docPr id="3872198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19816" name=""/>
                    <pic:cNvPicPr/>
                  </pic:nvPicPr>
                  <pic:blipFill>
                    <a:blip r:embed="rId9">
                      <a:extLst>
                        <a:ext uri="{28A0092B-C50C-407E-A947-70E740481C1C}">
                          <a14:useLocalDpi xmlns:a14="http://schemas.microsoft.com/office/drawing/2010/main"/>
                        </a:ext>
                      </a:extLst>
                    </a:blip>
                    <a:stretch>
                      <a:fillRect/>
                    </a:stretch>
                  </pic:blipFill>
                  <pic:spPr>
                    <a:xfrm>
                      <a:off x="0" y="0"/>
                      <a:ext cx="3677563" cy="2208985"/>
                    </a:xfrm>
                    <a:prstGeom prst="rect">
                      <a:avLst/>
                    </a:prstGeom>
                  </pic:spPr>
                </pic:pic>
              </a:graphicData>
            </a:graphic>
          </wp:inline>
        </w:drawing>
      </w:r>
    </w:p>
    <w:p w14:paraId="14402B53" w14:textId="11875AA3" w:rsidR="4384EE60" w:rsidRPr="00121154" w:rsidRDefault="4384EE60" w:rsidP="00A57257">
      <w:pPr>
        <w:spacing w:after="0" w:line="480" w:lineRule="auto"/>
        <w:jc w:val="center"/>
        <w:rPr>
          <w:rFonts w:ascii="Arial" w:eastAsia="Times New Roman" w:hAnsi="Arial" w:cs="Arial"/>
        </w:rPr>
      </w:pPr>
      <w:r w:rsidRPr="00121154">
        <w:rPr>
          <w:rFonts w:ascii="Arial" w:eastAsia="Times New Roman" w:hAnsi="Arial" w:cs="Arial"/>
        </w:rPr>
        <w:t xml:space="preserve">Figure 2: </w:t>
      </w:r>
      <w:r w:rsidR="1746B533" w:rsidRPr="00121154">
        <w:rPr>
          <w:rFonts w:ascii="Arial" w:eastAsia="Times New Roman" w:hAnsi="Arial" w:cs="Arial"/>
        </w:rPr>
        <w:t>Types of Participation in CMI</w:t>
      </w:r>
    </w:p>
    <w:p w14:paraId="47B44444" w14:textId="3F7CC396" w:rsidR="00560A5F" w:rsidRPr="00121154" w:rsidRDefault="00560A5F"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Economic Outcomes of Carbon Market Participation</w:t>
      </w:r>
    </w:p>
    <w:p w14:paraId="18A84C45" w14:textId="2543DEB0" w:rsidR="6377C5C9" w:rsidRPr="00121154" w:rsidRDefault="21830AA6" w:rsidP="00A57257">
      <w:pPr>
        <w:spacing w:line="480" w:lineRule="auto"/>
        <w:rPr>
          <w:rFonts w:ascii="Arial" w:eastAsia="Times New Roman" w:hAnsi="Arial" w:cs="Arial"/>
        </w:rPr>
      </w:pPr>
      <w:r w:rsidRPr="00121154">
        <w:rPr>
          <w:rFonts w:ascii="Arial" w:eastAsia="Times New Roman" w:hAnsi="Arial" w:cs="Arial"/>
        </w:rPr>
        <w:t>Among participants, 51.2% reported increased income, 48.2% indicated no financial change, and 0.5% experienced decreased income. Employment opportunities through carbon market initiatives were reported by 24.6% of respondents. Only 18.8% of households engaged in new income-generating activities beyond their primary livelihood.</w:t>
      </w:r>
      <w:r w:rsidR="00BC28C6" w:rsidRPr="00121154">
        <w:rPr>
          <w:rFonts w:ascii="Arial" w:eastAsia="Times New Roman" w:hAnsi="Arial" w:cs="Arial"/>
        </w:rPr>
        <w:t xml:space="preserve"> The </w:t>
      </w:r>
      <w:r w:rsidR="00AC0FBB" w:rsidRPr="00121154">
        <w:rPr>
          <w:rFonts w:ascii="Arial" w:eastAsia="Times New Roman" w:hAnsi="Arial" w:cs="Arial"/>
        </w:rPr>
        <w:t>reported economic outcomes are shown in the figure below:</w:t>
      </w:r>
    </w:p>
    <w:p w14:paraId="6D78A863" w14:textId="5F5D169E" w:rsidR="6377C5C9" w:rsidRPr="00121154" w:rsidRDefault="6377C5C9" w:rsidP="00A57257">
      <w:pPr>
        <w:spacing w:line="480" w:lineRule="auto"/>
        <w:jc w:val="center"/>
        <w:rPr>
          <w:rFonts w:ascii="Arial" w:eastAsia="Times New Roman" w:hAnsi="Arial" w:cs="Arial"/>
        </w:rPr>
      </w:pPr>
      <w:r w:rsidRPr="00121154">
        <w:rPr>
          <w:rFonts w:ascii="Arial" w:hAnsi="Arial" w:cs="Arial"/>
          <w:noProof/>
        </w:rPr>
        <w:lastRenderedPageBreak/>
        <w:drawing>
          <wp:inline distT="0" distB="0" distL="0" distR="0" wp14:anchorId="27B264ED" wp14:editId="1B8669E2">
            <wp:extent cx="3600762" cy="2160457"/>
            <wp:effectExtent l="0" t="0" r="0" b="0"/>
            <wp:docPr id="21211142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14292" name=""/>
                    <pic:cNvPicPr/>
                  </pic:nvPicPr>
                  <pic:blipFill>
                    <a:blip r:embed="rId10">
                      <a:extLst>
                        <a:ext uri="{28A0092B-C50C-407E-A947-70E740481C1C}">
                          <a14:useLocalDpi xmlns:a14="http://schemas.microsoft.com/office/drawing/2010/main"/>
                        </a:ext>
                      </a:extLst>
                    </a:blip>
                    <a:stretch>
                      <a:fillRect/>
                    </a:stretch>
                  </pic:blipFill>
                  <pic:spPr>
                    <a:xfrm>
                      <a:off x="0" y="0"/>
                      <a:ext cx="3600762" cy="2160457"/>
                    </a:xfrm>
                    <a:prstGeom prst="rect">
                      <a:avLst/>
                    </a:prstGeom>
                  </pic:spPr>
                </pic:pic>
              </a:graphicData>
            </a:graphic>
          </wp:inline>
        </w:drawing>
      </w:r>
    </w:p>
    <w:p w14:paraId="06626C94" w14:textId="7C1474D3" w:rsidR="6377C5C9" w:rsidRPr="00121154" w:rsidRDefault="6377C5C9" w:rsidP="00A57257">
      <w:pPr>
        <w:spacing w:line="480" w:lineRule="auto"/>
        <w:jc w:val="center"/>
        <w:rPr>
          <w:rFonts w:ascii="Arial" w:eastAsia="Times New Roman" w:hAnsi="Arial" w:cs="Arial"/>
        </w:rPr>
      </w:pPr>
      <w:r w:rsidRPr="00121154">
        <w:rPr>
          <w:rFonts w:ascii="Arial" w:eastAsia="Times New Roman" w:hAnsi="Arial" w:cs="Arial"/>
        </w:rPr>
        <w:t xml:space="preserve">Figure </w:t>
      </w:r>
      <w:r w:rsidR="1112F153" w:rsidRPr="00121154">
        <w:rPr>
          <w:rFonts w:ascii="Arial" w:eastAsia="Times New Roman" w:hAnsi="Arial" w:cs="Arial"/>
        </w:rPr>
        <w:t>3</w:t>
      </w:r>
      <w:r w:rsidRPr="00121154">
        <w:rPr>
          <w:rFonts w:ascii="Arial" w:eastAsia="Times New Roman" w:hAnsi="Arial" w:cs="Arial"/>
        </w:rPr>
        <w:t>: Economic Outcomes of CMI Participation</w:t>
      </w:r>
    </w:p>
    <w:p w14:paraId="62624A7E" w14:textId="604093CC" w:rsidR="00560A5F" w:rsidRPr="00121154" w:rsidRDefault="00560A5F"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Household Resilience and Climate Adaptation</w:t>
      </w:r>
    </w:p>
    <w:p w14:paraId="368824AB" w14:textId="5B1E9FE1" w:rsidR="00560A5F" w:rsidRPr="00121154" w:rsidRDefault="0027AE75" w:rsidP="00A57257">
      <w:pPr>
        <w:spacing w:line="480" w:lineRule="auto"/>
        <w:rPr>
          <w:rFonts w:ascii="Arial" w:eastAsia="Times New Roman" w:hAnsi="Arial" w:cs="Arial"/>
        </w:rPr>
      </w:pPr>
      <w:r w:rsidRPr="00121154">
        <w:rPr>
          <w:rFonts w:ascii="Arial" w:eastAsia="Times New Roman" w:hAnsi="Arial" w:cs="Arial"/>
        </w:rPr>
        <w:t>A total of 55% of respondents reported improved adaptive capacity to climate variability. No change in resilience was reported by 26.4% of respondents, and 0.6% reported a decline in resilience. Common adaptation measures included improved water management, small-scale farming, and participation in savings initiatives.</w:t>
      </w:r>
      <w:r w:rsidR="00C20ED9" w:rsidRPr="00121154">
        <w:rPr>
          <w:rFonts w:ascii="Arial" w:eastAsia="Times New Roman" w:hAnsi="Arial" w:cs="Arial"/>
        </w:rPr>
        <w:t xml:space="preserve"> The figure below shows </w:t>
      </w:r>
      <w:r w:rsidR="000A2C21" w:rsidRPr="00121154">
        <w:rPr>
          <w:rFonts w:ascii="Arial" w:eastAsia="Times New Roman" w:hAnsi="Arial" w:cs="Arial"/>
        </w:rPr>
        <w:t xml:space="preserve">the reported </w:t>
      </w:r>
      <w:r w:rsidR="00C5032F" w:rsidRPr="00121154">
        <w:rPr>
          <w:rFonts w:ascii="Arial" w:eastAsia="Times New Roman" w:hAnsi="Arial" w:cs="Arial"/>
        </w:rPr>
        <w:t>resilience outcomes:</w:t>
      </w:r>
    </w:p>
    <w:p w14:paraId="101301E2" w14:textId="671DDD07" w:rsidR="5BF55809" w:rsidRPr="00121154" w:rsidRDefault="5BF55809" w:rsidP="00A57257">
      <w:pPr>
        <w:spacing w:line="480" w:lineRule="auto"/>
        <w:jc w:val="center"/>
        <w:rPr>
          <w:rFonts w:ascii="Arial" w:eastAsia="Times New Roman" w:hAnsi="Arial" w:cs="Arial"/>
        </w:rPr>
      </w:pPr>
      <w:r w:rsidRPr="00121154">
        <w:rPr>
          <w:rFonts w:ascii="Arial" w:hAnsi="Arial" w:cs="Arial"/>
          <w:noProof/>
        </w:rPr>
        <w:drawing>
          <wp:inline distT="0" distB="0" distL="0" distR="0" wp14:anchorId="3EFFA37B" wp14:editId="5B45714D">
            <wp:extent cx="3429298" cy="2057578"/>
            <wp:effectExtent l="0" t="0" r="0" b="0"/>
            <wp:docPr id="8702928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92888" name=""/>
                    <pic:cNvPicPr/>
                  </pic:nvPicPr>
                  <pic:blipFill>
                    <a:blip r:embed="rId11">
                      <a:extLst>
                        <a:ext uri="{28A0092B-C50C-407E-A947-70E740481C1C}">
                          <a14:useLocalDpi xmlns:a14="http://schemas.microsoft.com/office/drawing/2010/main"/>
                        </a:ext>
                      </a:extLst>
                    </a:blip>
                    <a:stretch>
                      <a:fillRect/>
                    </a:stretch>
                  </pic:blipFill>
                  <pic:spPr>
                    <a:xfrm>
                      <a:off x="0" y="0"/>
                      <a:ext cx="3429298" cy="2057578"/>
                    </a:xfrm>
                    <a:prstGeom prst="rect">
                      <a:avLst/>
                    </a:prstGeom>
                  </pic:spPr>
                </pic:pic>
              </a:graphicData>
            </a:graphic>
          </wp:inline>
        </w:drawing>
      </w:r>
    </w:p>
    <w:p w14:paraId="15F34ADB" w14:textId="3FFE5D0B" w:rsidR="5BF55809" w:rsidRPr="00121154" w:rsidRDefault="5BF55809" w:rsidP="00A57257">
      <w:pPr>
        <w:spacing w:line="480" w:lineRule="auto"/>
        <w:jc w:val="center"/>
        <w:rPr>
          <w:rFonts w:ascii="Arial" w:eastAsia="Times New Roman" w:hAnsi="Arial" w:cs="Arial"/>
        </w:rPr>
      </w:pPr>
      <w:r w:rsidRPr="00121154">
        <w:rPr>
          <w:rFonts w:ascii="Arial" w:eastAsia="Times New Roman" w:hAnsi="Arial" w:cs="Arial"/>
        </w:rPr>
        <w:t xml:space="preserve">Figure </w:t>
      </w:r>
      <w:r w:rsidR="39F6F48F" w:rsidRPr="00121154">
        <w:rPr>
          <w:rFonts w:ascii="Arial" w:eastAsia="Times New Roman" w:hAnsi="Arial" w:cs="Arial"/>
        </w:rPr>
        <w:t>4</w:t>
      </w:r>
      <w:r w:rsidRPr="00121154">
        <w:rPr>
          <w:rFonts w:ascii="Arial" w:eastAsia="Times New Roman" w:hAnsi="Arial" w:cs="Arial"/>
        </w:rPr>
        <w:t>: Resilience Outcomes of CMI Participation</w:t>
      </w:r>
    </w:p>
    <w:p w14:paraId="1FF372B0" w14:textId="6C4BAE62" w:rsidR="00560A5F" w:rsidRPr="00121154" w:rsidRDefault="43110CF4"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Statistical Analysis – Livelihood Outcomes</w:t>
      </w:r>
    </w:p>
    <w:p w14:paraId="5F155083" w14:textId="5EA57256" w:rsidR="00560A5F" w:rsidRPr="00121154" w:rsidRDefault="44A018F9" w:rsidP="00A57257">
      <w:pPr>
        <w:spacing w:after="240" w:line="480" w:lineRule="auto"/>
        <w:rPr>
          <w:rFonts w:ascii="Arial" w:eastAsia="Times New Roman" w:hAnsi="Arial" w:cs="Arial"/>
        </w:rPr>
      </w:pPr>
      <w:r w:rsidRPr="00121154">
        <w:rPr>
          <w:rFonts w:ascii="Arial" w:eastAsia="Times New Roman" w:hAnsi="Arial" w:cs="Arial"/>
        </w:rPr>
        <w:t xml:space="preserve">Regression analysis indicated a significant positive association between carbon market participation and several livelihood indicators. Participation was positively associated with livelihood score (β = 1.045, p &lt; 0.001, R² = 0.445), income change (β = 1.319, p &lt; 0.001, R² </w:t>
      </w:r>
      <w:r w:rsidRPr="00121154">
        <w:rPr>
          <w:rFonts w:ascii="Arial" w:eastAsia="Times New Roman" w:hAnsi="Arial" w:cs="Arial"/>
        </w:rPr>
        <w:lastRenderedPageBreak/>
        <w:t>= 0.386), and quality of life (β = 0.826, p &lt; 0.001, R² = 0.405).</w:t>
      </w:r>
      <w:r w:rsidR="00EB4314" w:rsidRPr="00121154">
        <w:rPr>
          <w:rFonts w:ascii="Arial" w:eastAsia="Times New Roman" w:hAnsi="Arial" w:cs="Arial"/>
        </w:rPr>
        <w:t xml:space="preserve"> These results are summarized in Table </w:t>
      </w:r>
      <w:r w:rsidR="006C7D0F" w:rsidRPr="00121154">
        <w:rPr>
          <w:rFonts w:ascii="Arial" w:eastAsia="Times New Roman" w:hAnsi="Arial" w:cs="Arial"/>
        </w:rPr>
        <w:t>1 below:</w:t>
      </w:r>
    </w:p>
    <w:tbl>
      <w:tblPr>
        <w:tblW w:w="0" w:type="auto"/>
        <w:jc w:val="center"/>
        <w:tblLayout w:type="fixed"/>
        <w:tblLook w:val="0420" w:firstRow="1" w:lastRow="0" w:firstColumn="0" w:lastColumn="0" w:noHBand="0" w:noVBand="1"/>
      </w:tblPr>
      <w:tblGrid>
        <w:gridCol w:w="2123"/>
        <w:gridCol w:w="897"/>
        <w:gridCol w:w="897"/>
        <w:gridCol w:w="1017"/>
        <w:gridCol w:w="1077"/>
        <w:gridCol w:w="737"/>
        <w:gridCol w:w="897"/>
      </w:tblGrid>
      <w:tr w:rsidR="56024442" w:rsidRPr="00121154" w14:paraId="5EB2E457" w14:textId="77777777" w:rsidTr="73693557">
        <w:trPr>
          <w:trHeight w:val="300"/>
          <w:jc w:val="center"/>
        </w:trPr>
        <w:tc>
          <w:tcPr>
            <w:tcW w:w="7645" w:type="dxa"/>
            <w:gridSpan w:val="7"/>
            <w:tcBorders>
              <w:top w:val="single" w:sz="12" w:space="0" w:color="666666"/>
              <w:left w:val="nil"/>
              <w:bottom w:val="single" w:sz="12" w:space="0" w:color="666666"/>
              <w:right w:val="nil"/>
            </w:tcBorders>
            <w:shd w:val="clear" w:color="auto" w:fill="FFFFFF" w:themeFill="background1"/>
            <w:vAlign w:val="center"/>
          </w:tcPr>
          <w:p w14:paraId="4D8C70F9" w14:textId="64F2AC7F" w:rsidR="56024442" w:rsidRPr="00121154" w:rsidRDefault="7AB1E51C" w:rsidP="000B69E1">
            <w:pPr>
              <w:spacing w:after="0" w:line="240" w:lineRule="auto"/>
              <w:ind w:left="80" w:right="80"/>
              <w:jc w:val="center"/>
              <w:rPr>
                <w:rFonts w:ascii="Arial" w:eastAsia="Times New Roman" w:hAnsi="Arial" w:cs="Arial"/>
                <w:b/>
                <w:bCs/>
                <w:color w:val="000000" w:themeColor="text1"/>
              </w:rPr>
            </w:pPr>
            <w:r w:rsidRPr="00121154">
              <w:rPr>
                <w:rFonts w:ascii="Arial" w:eastAsia="Times New Roman" w:hAnsi="Arial" w:cs="Arial"/>
                <w:b/>
                <w:bCs/>
                <w:color w:val="000000" w:themeColor="text1"/>
              </w:rPr>
              <w:t xml:space="preserve">Table </w:t>
            </w:r>
            <w:r w:rsidR="3D43CA24" w:rsidRPr="00121154">
              <w:rPr>
                <w:rFonts w:ascii="Arial" w:eastAsia="Times New Roman" w:hAnsi="Arial" w:cs="Arial"/>
                <w:b/>
                <w:bCs/>
                <w:color w:val="000000" w:themeColor="text1"/>
              </w:rPr>
              <w:t>1</w:t>
            </w:r>
            <w:r w:rsidRPr="00121154">
              <w:rPr>
                <w:rFonts w:ascii="Arial" w:eastAsia="Times New Roman" w:hAnsi="Arial" w:cs="Arial"/>
                <w:b/>
                <w:bCs/>
                <w:color w:val="000000" w:themeColor="text1"/>
              </w:rPr>
              <w:t>: Regression Results - CMI Impact on Livelihood Outcomes</w:t>
            </w:r>
          </w:p>
        </w:tc>
      </w:tr>
      <w:tr w:rsidR="56024442" w:rsidRPr="00121154" w14:paraId="4FE47D88" w14:textId="77777777" w:rsidTr="73693557">
        <w:trPr>
          <w:trHeight w:val="300"/>
          <w:jc w:val="center"/>
        </w:trPr>
        <w:tc>
          <w:tcPr>
            <w:tcW w:w="2123" w:type="dxa"/>
            <w:tcBorders>
              <w:top w:val="single" w:sz="12" w:space="0" w:color="666666"/>
              <w:left w:val="nil"/>
              <w:bottom w:val="single" w:sz="12" w:space="0" w:color="666666"/>
              <w:right w:val="nil"/>
            </w:tcBorders>
            <w:shd w:val="clear" w:color="auto" w:fill="FFFFFF" w:themeFill="background1"/>
            <w:vAlign w:val="center"/>
          </w:tcPr>
          <w:p w14:paraId="6AEF5A1A" w14:textId="133D87DE"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Outcome Variable</w:t>
            </w:r>
          </w:p>
        </w:tc>
        <w:tc>
          <w:tcPr>
            <w:tcW w:w="897" w:type="dxa"/>
            <w:tcBorders>
              <w:top w:val="nil"/>
              <w:left w:val="nil"/>
              <w:bottom w:val="single" w:sz="12" w:space="0" w:color="666666"/>
              <w:right w:val="nil"/>
            </w:tcBorders>
            <w:shd w:val="clear" w:color="auto" w:fill="FFFFFF" w:themeFill="background1"/>
            <w:vAlign w:val="center"/>
          </w:tcPr>
          <w:p w14:paraId="6C0E20D7" w14:textId="50BE3316"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β</w:t>
            </w:r>
          </w:p>
        </w:tc>
        <w:tc>
          <w:tcPr>
            <w:tcW w:w="897" w:type="dxa"/>
            <w:tcBorders>
              <w:top w:val="nil"/>
              <w:left w:val="nil"/>
              <w:bottom w:val="single" w:sz="12" w:space="0" w:color="666666"/>
              <w:right w:val="nil"/>
            </w:tcBorders>
            <w:shd w:val="clear" w:color="auto" w:fill="FFFFFF" w:themeFill="background1"/>
            <w:vAlign w:val="center"/>
          </w:tcPr>
          <w:p w14:paraId="0E4AF9E5" w14:textId="2AA9FD50"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SE</w:t>
            </w:r>
          </w:p>
        </w:tc>
        <w:tc>
          <w:tcPr>
            <w:tcW w:w="1017" w:type="dxa"/>
            <w:tcBorders>
              <w:top w:val="nil"/>
              <w:left w:val="nil"/>
              <w:bottom w:val="single" w:sz="12" w:space="0" w:color="666666"/>
              <w:right w:val="nil"/>
            </w:tcBorders>
            <w:shd w:val="clear" w:color="auto" w:fill="FFFFFF" w:themeFill="background1"/>
            <w:vAlign w:val="center"/>
          </w:tcPr>
          <w:p w14:paraId="6CD85075" w14:textId="6621DB4A"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t</w:t>
            </w:r>
          </w:p>
        </w:tc>
        <w:tc>
          <w:tcPr>
            <w:tcW w:w="1077" w:type="dxa"/>
            <w:tcBorders>
              <w:top w:val="nil"/>
              <w:left w:val="nil"/>
              <w:bottom w:val="single" w:sz="12" w:space="0" w:color="666666"/>
              <w:right w:val="nil"/>
            </w:tcBorders>
            <w:shd w:val="clear" w:color="auto" w:fill="FFFFFF" w:themeFill="background1"/>
            <w:vAlign w:val="center"/>
          </w:tcPr>
          <w:p w14:paraId="32FD514E" w14:textId="7E12AEC6"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p-value</w:t>
            </w:r>
          </w:p>
        </w:tc>
        <w:tc>
          <w:tcPr>
            <w:tcW w:w="737" w:type="dxa"/>
            <w:tcBorders>
              <w:top w:val="nil"/>
              <w:left w:val="nil"/>
              <w:bottom w:val="single" w:sz="12" w:space="0" w:color="666666"/>
              <w:right w:val="nil"/>
            </w:tcBorders>
            <w:shd w:val="clear" w:color="auto" w:fill="FFFFFF" w:themeFill="background1"/>
            <w:vAlign w:val="center"/>
          </w:tcPr>
          <w:p w14:paraId="2B3D8706" w14:textId="47622C60"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Sig.</w:t>
            </w:r>
          </w:p>
        </w:tc>
        <w:tc>
          <w:tcPr>
            <w:tcW w:w="897" w:type="dxa"/>
            <w:tcBorders>
              <w:top w:val="nil"/>
              <w:left w:val="nil"/>
              <w:bottom w:val="single" w:sz="12" w:space="0" w:color="666666"/>
              <w:right w:val="nil"/>
            </w:tcBorders>
            <w:shd w:val="clear" w:color="auto" w:fill="FFFFFF" w:themeFill="background1"/>
            <w:vAlign w:val="center"/>
          </w:tcPr>
          <w:p w14:paraId="323851E8" w14:textId="669CD1D5"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R²</w:t>
            </w:r>
          </w:p>
        </w:tc>
      </w:tr>
      <w:tr w:rsidR="56024442" w:rsidRPr="00121154" w14:paraId="7D4CC3D8" w14:textId="77777777" w:rsidTr="73693557">
        <w:trPr>
          <w:trHeight w:val="300"/>
          <w:jc w:val="center"/>
        </w:trPr>
        <w:tc>
          <w:tcPr>
            <w:tcW w:w="2123" w:type="dxa"/>
            <w:tcBorders>
              <w:top w:val="single" w:sz="12" w:space="0" w:color="666666"/>
              <w:left w:val="nil"/>
              <w:bottom w:val="single" w:sz="8" w:space="0" w:color="666666"/>
              <w:right w:val="nil"/>
            </w:tcBorders>
            <w:shd w:val="clear" w:color="auto" w:fill="FFFFFF" w:themeFill="background1"/>
            <w:vAlign w:val="center"/>
          </w:tcPr>
          <w:p w14:paraId="46DBECD1" w14:textId="7839035A"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Livelihood Score</w:t>
            </w:r>
          </w:p>
        </w:tc>
        <w:tc>
          <w:tcPr>
            <w:tcW w:w="897" w:type="dxa"/>
            <w:tcBorders>
              <w:top w:val="single" w:sz="12" w:space="0" w:color="666666"/>
              <w:left w:val="nil"/>
              <w:bottom w:val="single" w:sz="8" w:space="0" w:color="666666"/>
              <w:right w:val="nil"/>
            </w:tcBorders>
            <w:shd w:val="clear" w:color="auto" w:fill="FFFFFF" w:themeFill="background1"/>
            <w:vAlign w:val="center"/>
          </w:tcPr>
          <w:p w14:paraId="23BC86E3" w14:textId="117502FA"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1.045</w:t>
            </w:r>
          </w:p>
        </w:tc>
        <w:tc>
          <w:tcPr>
            <w:tcW w:w="897" w:type="dxa"/>
            <w:tcBorders>
              <w:top w:val="single" w:sz="12" w:space="0" w:color="666666"/>
              <w:left w:val="nil"/>
              <w:bottom w:val="single" w:sz="8" w:space="0" w:color="666666"/>
              <w:right w:val="nil"/>
            </w:tcBorders>
            <w:shd w:val="clear" w:color="auto" w:fill="FFFFFF" w:themeFill="background1"/>
            <w:vAlign w:val="center"/>
          </w:tcPr>
          <w:p w14:paraId="69DB1436" w14:textId="6A85226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0.068</w:t>
            </w:r>
          </w:p>
        </w:tc>
        <w:tc>
          <w:tcPr>
            <w:tcW w:w="1017" w:type="dxa"/>
            <w:tcBorders>
              <w:top w:val="single" w:sz="12" w:space="0" w:color="666666"/>
              <w:left w:val="nil"/>
              <w:bottom w:val="single" w:sz="8" w:space="0" w:color="666666"/>
              <w:right w:val="nil"/>
            </w:tcBorders>
            <w:shd w:val="clear" w:color="auto" w:fill="FFFFFF" w:themeFill="background1"/>
            <w:vAlign w:val="center"/>
          </w:tcPr>
          <w:p w14:paraId="6F20FDCC" w14:textId="50D5C5BE"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15.339</w:t>
            </w:r>
          </w:p>
        </w:tc>
        <w:tc>
          <w:tcPr>
            <w:tcW w:w="1077" w:type="dxa"/>
            <w:tcBorders>
              <w:top w:val="single" w:sz="12" w:space="0" w:color="666666"/>
              <w:left w:val="nil"/>
              <w:bottom w:val="single" w:sz="8" w:space="0" w:color="666666"/>
              <w:right w:val="nil"/>
            </w:tcBorders>
            <w:shd w:val="clear" w:color="auto" w:fill="FFFFFF" w:themeFill="background1"/>
            <w:vAlign w:val="center"/>
          </w:tcPr>
          <w:p w14:paraId="469CAF8C" w14:textId="7E839131"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w:t>
            </w:r>
          </w:p>
        </w:tc>
        <w:tc>
          <w:tcPr>
            <w:tcW w:w="737" w:type="dxa"/>
            <w:tcBorders>
              <w:top w:val="single" w:sz="12" w:space="0" w:color="666666"/>
              <w:left w:val="nil"/>
              <w:bottom w:val="single" w:sz="8" w:space="0" w:color="666666"/>
              <w:right w:val="nil"/>
            </w:tcBorders>
            <w:shd w:val="clear" w:color="auto" w:fill="FFFFFF" w:themeFill="background1"/>
            <w:vAlign w:val="center"/>
          </w:tcPr>
          <w:p w14:paraId="43E38F72" w14:textId="54537E9F"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12" w:space="0" w:color="666666"/>
              <w:left w:val="nil"/>
              <w:bottom w:val="single" w:sz="8" w:space="0" w:color="666666"/>
              <w:right w:val="nil"/>
            </w:tcBorders>
            <w:shd w:val="clear" w:color="auto" w:fill="FFFFFF" w:themeFill="background1"/>
            <w:vAlign w:val="center"/>
          </w:tcPr>
          <w:p w14:paraId="26DDF0AD" w14:textId="036904B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0.445</w:t>
            </w:r>
          </w:p>
        </w:tc>
      </w:tr>
      <w:tr w:rsidR="56024442" w:rsidRPr="00121154" w14:paraId="2D6DA340" w14:textId="77777777" w:rsidTr="73693557">
        <w:trPr>
          <w:trHeight w:val="300"/>
          <w:jc w:val="center"/>
        </w:trPr>
        <w:tc>
          <w:tcPr>
            <w:tcW w:w="2123" w:type="dxa"/>
            <w:tcBorders>
              <w:top w:val="single" w:sz="8" w:space="0" w:color="666666"/>
              <w:left w:val="nil"/>
              <w:bottom w:val="single" w:sz="8" w:space="0" w:color="666666"/>
              <w:right w:val="nil"/>
            </w:tcBorders>
            <w:shd w:val="clear" w:color="auto" w:fill="FFFFFF" w:themeFill="background1"/>
            <w:vAlign w:val="center"/>
          </w:tcPr>
          <w:p w14:paraId="3315201A" w14:textId="31A5754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Income Change</w:t>
            </w:r>
          </w:p>
        </w:tc>
        <w:tc>
          <w:tcPr>
            <w:tcW w:w="897" w:type="dxa"/>
            <w:tcBorders>
              <w:top w:val="single" w:sz="8" w:space="0" w:color="666666"/>
              <w:left w:val="nil"/>
              <w:bottom w:val="single" w:sz="8" w:space="0" w:color="666666"/>
              <w:right w:val="nil"/>
            </w:tcBorders>
            <w:shd w:val="clear" w:color="auto" w:fill="FFFFFF" w:themeFill="background1"/>
            <w:vAlign w:val="center"/>
          </w:tcPr>
          <w:p w14:paraId="1C257540" w14:textId="1E45418D"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1.319</w:t>
            </w:r>
          </w:p>
        </w:tc>
        <w:tc>
          <w:tcPr>
            <w:tcW w:w="897" w:type="dxa"/>
            <w:tcBorders>
              <w:top w:val="single" w:sz="8" w:space="0" w:color="666666"/>
              <w:left w:val="nil"/>
              <w:bottom w:val="single" w:sz="8" w:space="0" w:color="666666"/>
              <w:right w:val="nil"/>
            </w:tcBorders>
            <w:shd w:val="clear" w:color="auto" w:fill="FFFFFF" w:themeFill="background1"/>
            <w:vAlign w:val="center"/>
          </w:tcPr>
          <w:p w14:paraId="6E4B500C" w14:textId="4E9CCA2E"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0.095</w:t>
            </w:r>
          </w:p>
        </w:tc>
        <w:tc>
          <w:tcPr>
            <w:tcW w:w="1017" w:type="dxa"/>
            <w:tcBorders>
              <w:top w:val="single" w:sz="8" w:space="0" w:color="666666"/>
              <w:left w:val="nil"/>
              <w:bottom w:val="single" w:sz="8" w:space="0" w:color="666666"/>
              <w:right w:val="nil"/>
            </w:tcBorders>
            <w:shd w:val="clear" w:color="auto" w:fill="FFFFFF" w:themeFill="background1"/>
            <w:vAlign w:val="center"/>
          </w:tcPr>
          <w:p w14:paraId="12E88B42" w14:textId="4361E0BD"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13.866</w:t>
            </w:r>
          </w:p>
        </w:tc>
        <w:tc>
          <w:tcPr>
            <w:tcW w:w="1077" w:type="dxa"/>
            <w:tcBorders>
              <w:top w:val="single" w:sz="8" w:space="0" w:color="666666"/>
              <w:left w:val="nil"/>
              <w:bottom w:val="single" w:sz="8" w:space="0" w:color="666666"/>
              <w:right w:val="nil"/>
            </w:tcBorders>
            <w:shd w:val="clear" w:color="auto" w:fill="FFFFFF" w:themeFill="background1"/>
            <w:vAlign w:val="center"/>
          </w:tcPr>
          <w:p w14:paraId="3DA86739" w14:textId="1CEB4617"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w:t>
            </w:r>
          </w:p>
        </w:tc>
        <w:tc>
          <w:tcPr>
            <w:tcW w:w="737" w:type="dxa"/>
            <w:tcBorders>
              <w:top w:val="single" w:sz="8" w:space="0" w:color="666666"/>
              <w:left w:val="nil"/>
              <w:bottom w:val="single" w:sz="8" w:space="0" w:color="666666"/>
              <w:right w:val="nil"/>
            </w:tcBorders>
            <w:shd w:val="clear" w:color="auto" w:fill="FFFFFF" w:themeFill="background1"/>
            <w:vAlign w:val="center"/>
          </w:tcPr>
          <w:p w14:paraId="67DA4BD4" w14:textId="2B60A0DC"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8" w:space="0" w:color="666666"/>
              <w:left w:val="nil"/>
              <w:bottom w:val="single" w:sz="8" w:space="0" w:color="666666"/>
              <w:right w:val="nil"/>
            </w:tcBorders>
            <w:shd w:val="clear" w:color="auto" w:fill="FFFFFF" w:themeFill="background1"/>
            <w:vAlign w:val="center"/>
          </w:tcPr>
          <w:p w14:paraId="7642E31C" w14:textId="1FC887A2"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0.386</w:t>
            </w:r>
          </w:p>
        </w:tc>
      </w:tr>
      <w:tr w:rsidR="56024442" w:rsidRPr="00121154" w14:paraId="58693510" w14:textId="77777777" w:rsidTr="73693557">
        <w:trPr>
          <w:trHeight w:val="300"/>
          <w:jc w:val="center"/>
        </w:trPr>
        <w:tc>
          <w:tcPr>
            <w:tcW w:w="2123" w:type="dxa"/>
            <w:tcBorders>
              <w:top w:val="single" w:sz="8" w:space="0" w:color="666666"/>
              <w:left w:val="nil"/>
              <w:bottom w:val="single" w:sz="8" w:space="0" w:color="666666"/>
              <w:right w:val="nil"/>
            </w:tcBorders>
            <w:shd w:val="clear" w:color="auto" w:fill="FFFFFF" w:themeFill="background1"/>
            <w:vAlign w:val="center"/>
          </w:tcPr>
          <w:p w14:paraId="215C0E17" w14:textId="180785D7"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Income Stability</w:t>
            </w:r>
          </w:p>
        </w:tc>
        <w:tc>
          <w:tcPr>
            <w:tcW w:w="897" w:type="dxa"/>
            <w:tcBorders>
              <w:top w:val="single" w:sz="8" w:space="0" w:color="666666"/>
              <w:left w:val="nil"/>
              <w:bottom w:val="single" w:sz="8" w:space="0" w:color="666666"/>
              <w:right w:val="nil"/>
            </w:tcBorders>
            <w:shd w:val="clear" w:color="auto" w:fill="FFFFFF" w:themeFill="background1"/>
            <w:vAlign w:val="center"/>
          </w:tcPr>
          <w:p w14:paraId="57C909AD" w14:textId="2C54B78F"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0.455</w:t>
            </w:r>
          </w:p>
        </w:tc>
        <w:tc>
          <w:tcPr>
            <w:tcW w:w="897" w:type="dxa"/>
            <w:tcBorders>
              <w:top w:val="single" w:sz="8" w:space="0" w:color="666666"/>
              <w:left w:val="nil"/>
              <w:bottom w:val="single" w:sz="8" w:space="0" w:color="666666"/>
              <w:right w:val="nil"/>
            </w:tcBorders>
            <w:shd w:val="clear" w:color="auto" w:fill="FFFFFF" w:themeFill="background1"/>
            <w:vAlign w:val="center"/>
          </w:tcPr>
          <w:p w14:paraId="770CEB09" w14:textId="335221AE"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0.291</w:t>
            </w:r>
          </w:p>
        </w:tc>
        <w:tc>
          <w:tcPr>
            <w:tcW w:w="1017" w:type="dxa"/>
            <w:tcBorders>
              <w:top w:val="single" w:sz="8" w:space="0" w:color="666666"/>
              <w:left w:val="nil"/>
              <w:bottom w:val="single" w:sz="8" w:space="0" w:color="666666"/>
              <w:right w:val="nil"/>
            </w:tcBorders>
            <w:shd w:val="clear" w:color="auto" w:fill="FFFFFF" w:themeFill="background1"/>
            <w:vAlign w:val="center"/>
          </w:tcPr>
          <w:p w14:paraId="771C6490" w14:textId="093D4BD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1.564</w:t>
            </w:r>
          </w:p>
        </w:tc>
        <w:tc>
          <w:tcPr>
            <w:tcW w:w="1077" w:type="dxa"/>
            <w:tcBorders>
              <w:top w:val="single" w:sz="8" w:space="0" w:color="666666"/>
              <w:left w:val="nil"/>
              <w:bottom w:val="single" w:sz="8" w:space="0" w:color="666666"/>
              <w:right w:val="nil"/>
            </w:tcBorders>
            <w:shd w:val="clear" w:color="auto" w:fill="FFFFFF" w:themeFill="background1"/>
            <w:vAlign w:val="center"/>
          </w:tcPr>
          <w:p w14:paraId="4982D434" w14:textId="54240005"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0.12</w:t>
            </w:r>
          </w:p>
        </w:tc>
        <w:tc>
          <w:tcPr>
            <w:tcW w:w="737" w:type="dxa"/>
            <w:tcBorders>
              <w:top w:val="single" w:sz="8" w:space="0" w:color="666666"/>
              <w:left w:val="nil"/>
              <w:bottom w:val="single" w:sz="8" w:space="0" w:color="666666"/>
              <w:right w:val="nil"/>
            </w:tcBorders>
            <w:shd w:val="clear" w:color="auto" w:fill="FFFFFF" w:themeFill="background1"/>
            <w:vAlign w:val="center"/>
          </w:tcPr>
          <w:p w14:paraId="6574BB8E" w14:textId="570D8D1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 xml:space="preserve"> </w:t>
            </w:r>
          </w:p>
        </w:tc>
        <w:tc>
          <w:tcPr>
            <w:tcW w:w="897" w:type="dxa"/>
            <w:tcBorders>
              <w:top w:val="single" w:sz="8" w:space="0" w:color="666666"/>
              <w:left w:val="nil"/>
              <w:bottom w:val="single" w:sz="8" w:space="0" w:color="666666"/>
              <w:right w:val="nil"/>
            </w:tcBorders>
            <w:shd w:val="clear" w:color="auto" w:fill="FFFFFF" w:themeFill="background1"/>
            <w:vAlign w:val="center"/>
          </w:tcPr>
          <w:p w14:paraId="206AC87D" w14:textId="6F51C697"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0.023</w:t>
            </w:r>
          </w:p>
        </w:tc>
      </w:tr>
      <w:tr w:rsidR="56024442" w:rsidRPr="00121154" w14:paraId="77743D04" w14:textId="77777777" w:rsidTr="73693557">
        <w:trPr>
          <w:trHeight w:val="300"/>
          <w:jc w:val="center"/>
        </w:trPr>
        <w:tc>
          <w:tcPr>
            <w:tcW w:w="2123" w:type="dxa"/>
            <w:tcBorders>
              <w:top w:val="single" w:sz="8" w:space="0" w:color="666666"/>
              <w:left w:val="nil"/>
              <w:bottom w:val="single" w:sz="12" w:space="0" w:color="666666"/>
              <w:right w:val="nil"/>
            </w:tcBorders>
            <w:shd w:val="clear" w:color="auto" w:fill="FFFFFF" w:themeFill="background1"/>
            <w:vAlign w:val="center"/>
          </w:tcPr>
          <w:p w14:paraId="01E83336" w14:textId="5F99932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Quality of Life</w:t>
            </w:r>
          </w:p>
        </w:tc>
        <w:tc>
          <w:tcPr>
            <w:tcW w:w="897" w:type="dxa"/>
            <w:tcBorders>
              <w:top w:val="single" w:sz="8" w:space="0" w:color="666666"/>
              <w:left w:val="nil"/>
              <w:bottom w:val="single" w:sz="12" w:space="0" w:color="666666"/>
              <w:right w:val="nil"/>
            </w:tcBorders>
            <w:shd w:val="clear" w:color="auto" w:fill="FFFFFF" w:themeFill="background1"/>
            <w:vAlign w:val="center"/>
          </w:tcPr>
          <w:p w14:paraId="2DCC8D32" w14:textId="4504ED3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0.826</w:t>
            </w:r>
          </w:p>
        </w:tc>
        <w:tc>
          <w:tcPr>
            <w:tcW w:w="897" w:type="dxa"/>
            <w:tcBorders>
              <w:top w:val="single" w:sz="8" w:space="0" w:color="666666"/>
              <w:left w:val="nil"/>
              <w:bottom w:val="single" w:sz="12" w:space="0" w:color="666666"/>
              <w:right w:val="nil"/>
            </w:tcBorders>
            <w:shd w:val="clear" w:color="auto" w:fill="FFFFFF" w:themeFill="background1"/>
            <w:vAlign w:val="center"/>
          </w:tcPr>
          <w:p w14:paraId="3BFC61C5" w14:textId="705D6473"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0.064</w:t>
            </w:r>
          </w:p>
        </w:tc>
        <w:tc>
          <w:tcPr>
            <w:tcW w:w="1017" w:type="dxa"/>
            <w:tcBorders>
              <w:top w:val="single" w:sz="8" w:space="0" w:color="666666"/>
              <w:left w:val="nil"/>
              <w:bottom w:val="single" w:sz="12" w:space="0" w:color="666666"/>
              <w:right w:val="nil"/>
            </w:tcBorders>
            <w:shd w:val="clear" w:color="auto" w:fill="FFFFFF" w:themeFill="background1"/>
            <w:vAlign w:val="center"/>
          </w:tcPr>
          <w:p w14:paraId="28203D01" w14:textId="238C84F2"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12.998</w:t>
            </w:r>
          </w:p>
        </w:tc>
        <w:tc>
          <w:tcPr>
            <w:tcW w:w="1077" w:type="dxa"/>
            <w:tcBorders>
              <w:top w:val="single" w:sz="8" w:space="0" w:color="666666"/>
              <w:left w:val="nil"/>
              <w:bottom w:val="single" w:sz="12" w:space="0" w:color="666666"/>
              <w:right w:val="nil"/>
            </w:tcBorders>
            <w:shd w:val="clear" w:color="auto" w:fill="FFFFFF" w:themeFill="background1"/>
            <w:vAlign w:val="center"/>
          </w:tcPr>
          <w:p w14:paraId="4D45F3FB" w14:textId="165AFEA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w:t>
            </w:r>
          </w:p>
        </w:tc>
        <w:tc>
          <w:tcPr>
            <w:tcW w:w="737" w:type="dxa"/>
            <w:tcBorders>
              <w:top w:val="single" w:sz="8" w:space="0" w:color="666666"/>
              <w:left w:val="nil"/>
              <w:bottom w:val="single" w:sz="12" w:space="0" w:color="666666"/>
              <w:right w:val="nil"/>
            </w:tcBorders>
            <w:shd w:val="clear" w:color="auto" w:fill="FFFFFF" w:themeFill="background1"/>
            <w:vAlign w:val="center"/>
          </w:tcPr>
          <w:p w14:paraId="756357D3" w14:textId="6C51C02F"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8" w:space="0" w:color="666666"/>
              <w:left w:val="nil"/>
              <w:bottom w:val="single" w:sz="12" w:space="0" w:color="666666"/>
              <w:right w:val="nil"/>
            </w:tcBorders>
            <w:shd w:val="clear" w:color="auto" w:fill="FFFFFF" w:themeFill="background1"/>
            <w:vAlign w:val="center"/>
          </w:tcPr>
          <w:p w14:paraId="2D0CC2D2" w14:textId="68A3EC21"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0.405</w:t>
            </w:r>
          </w:p>
        </w:tc>
      </w:tr>
      <w:tr w:rsidR="56024442" w:rsidRPr="00121154" w14:paraId="711355BC" w14:textId="77777777" w:rsidTr="73693557">
        <w:trPr>
          <w:trHeight w:val="300"/>
          <w:jc w:val="center"/>
        </w:trPr>
        <w:tc>
          <w:tcPr>
            <w:tcW w:w="7645" w:type="dxa"/>
            <w:gridSpan w:val="7"/>
            <w:tcBorders>
              <w:top w:val="single" w:sz="12" w:space="0" w:color="666666"/>
              <w:left w:val="nil"/>
              <w:bottom w:val="nil"/>
              <w:right w:val="nil"/>
            </w:tcBorders>
            <w:shd w:val="clear" w:color="auto" w:fill="FFFFFF" w:themeFill="background1"/>
            <w:vAlign w:val="center"/>
          </w:tcPr>
          <w:p w14:paraId="6B35400F" w14:textId="358D0ED4"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Note: *p &lt; 0.05, **p &lt; 0.01, ***p &lt; 0.001. Controlled for family size and education level.</w:t>
            </w:r>
          </w:p>
        </w:tc>
      </w:tr>
    </w:tbl>
    <w:p w14:paraId="515D7360" w14:textId="27E645E5" w:rsidR="004F2F29" w:rsidRPr="00121154" w:rsidRDefault="6A8AC548" w:rsidP="00A57257">
      <w:pPr>
        <w:spacing w:before="240" w:after="0" w:line="480" w:lineRule="auto"/>
        <w:rPr>
          <w:rFonts w:ascii="Arial" w:eastAsia="Times New Roman" w:hAnsi="Arial" w:cs="Arial"/>
        </w:rPr>
      </w:pPr>
      <w:r w:rsidRPr="00121154">
        <w:rPr>
          <w:rFonts w:ascii="Arial" w:eastAsia="Times New Roman" w:hAnsi="Arial" w:cs="Arial"/>
          <w:b/>
          <w:bCs/>
        </w:rPr>
        <w:t>Statistical Analysis – Resilience Outcomes</w:t>
      </w:r>
      <w:r w:rsidR="00560A5F" w:rsidRPr="00121154">
        <w:rPr>
          <w:rFonts w:ascii="Arial" w:hAnsi="Arial" w:cs="Arial"/>
        </w:rPr>
        <w:br/>
      </w:r>
      <w:r w:rsidRPr="00121154">
        <w:rPr>
          <w:rFonts w:ascii="Arial" w:eastAsia="Times New Roman" w:hAnsi="Arial" w:cs="Arial"/>
        </w:rPr>
        <w:t>Participation in carbon market initiatives was significantly associated with higher resilience scores (β = 0.349, p &lt; 0.001, R² = 0.118) and adaptation ability (β = 0.729, p &lt; 0.001, R² = 0.339). Climate confidence was not significantly influenced (β = -0.030, p = 0.748).</w:t>
      </w:r>
      <w:r w:rsidR="00C82F61" w:rsidRPr="00121154">
        <w:rPr>
          <w:rFonts w:ascii="Arial" w:eastAsia="Times New Roman" w:hAnsi="Arial" w:cs="Arial"/>
        </w:rPr>
        <w:t xml:space="preserve"> </w:t>
      </w:r>
      <w:r w:rsidR="006C7D0F" w:rsidRPr="00121154">
        <w:rPr>
          <w:rFonts w:ascii="Arial" w:eastAsia="Times New Roman" w:hAnsi="Arial" w:cs="Arial"/>
        </w:rPr>
        <w:t>These results are summarized in Table 2 below:</w:t>
      </w:r>
    </w:p>
    <w:tbl>
      <w:tblPr>
        <w:tblW w:w="0" w:type="auto"/>
        <w:jc w:val="center"/>
        <w:tblLayout w:type="fixed"/>
        <w:tblLook w:val="0420" w:firstRow="1" w:lastRow="0" w:firstColumn="0" w:lastColumn="0" w:noHBand="0" w:noVBand="1"/>
      </w:tblPr>
      <w:tblGrid>
        <w:gridCol w:w="2283"/>
        <w:gridCol w:w="977"/>
        <w:gridCol w:w="897"/>
        <w:gridCol w:w="1017"/>
        <w:gridCol w:w="1077"/>
        <w:gridCol w:w="737"/>
        <w:gridCol w:w="897"/>
      </w:tblGrid>
      <w:tr w:rsidR="56024442" w:rsidRPr="00121154" w14:paraId="18D2DCBF" w14:textId="77777777" w:rsidTr="73693557">
        <w:trPr>
          <w:trHeight w:val="300"/>
          <w:jc w:val="center"/>
        </w:trPr>
        <w:tc>
          <w:tcPr>
            <w:tcW w:w="7885" w:type="dxa"/>
            <w:gridSpan w:val="7"/>
            <w:tcBorders>
              <w:top w:val="single" w:sz="12" w:space="0" w:color="666666"/>
              <w:left w:val="nil"/>
              <w:bottom w:val="single" w:sz="12" w:space="0" w:color="666666"/>
              <w:right w:val="nil"/>
            </w:tcBorders>
            <w:shd w:val="clear" w:color="auto" w:fill="FFFFFF" w:themeFill="background1"/>
            <w:vAlign w:val="center"/>
          </w:tcPr>
          <w:p w14:paraId="5BD1A094" w14:textId="2D15576D" w:rsidR="56024442" w:rsidRPr="00121154" w:rsidRDefault="7AB1E51C" w:rsidP="00A82F64">
            <w:pPr>
              <w:spacing w:after="0" w:line="240" w:lineRule="auto"/>
              <w:ind w:left="80" w:right="80"/>
              <w:jc w:val="center"/>
              <w:rPr>
                <w:rFonts w:ascii="Arial" w:eastAsia="Times New Roman" w:hAnsi="Arial" w:cs="Arial"/>
                <w:b/>
                <w:bCs/>
                <w:color w:val="000000" w:themeColor="text1"/>
              </w:rPr>
            </w:pPr>
            <w:r w:rsidRPr="00121154">
              <w:rPr>
                <w:rFonts w:ascii="Arial" w:eastAsia="Times New Roman" w:hAnsi="Arial" w:cs="Arial"/>
                <w:b/>
                <w:bCs/>
                <w:color w:val="000000" w:themeColor="text1"/>
              </w:rPr>
              <w:t xml:space="preserve">Table </w:t>
            </w:r>
            <w:r w:rsidR="0A11F02F" w:rsidRPr="00121154">
              <w:rPr>
                <w:rFonts w:ascii="Arial" w:eastAsia="Times New Roman" w:hAnsi="Arial" w:cs="Arial"/>
                <w:b/>
                <w:bCs/>
                <w:color w:val="000000" w:themeColor="text1"/>
              </w:rPr>
              <w:t>2</w:t>
            </w:r>
            <w:r w:rsidRPr="00121154">
              <w:rPr>
                <w:rFonts w:ascii="Arial" w:eastAsia="Times New Roman" w:hAnsi="Arial" w:cs="Arial"/>
                <w:b/>
                <w:bCs/>
                <w:color w:val="000000" w:themeColor="text1"/>
              </w:rPr>
              <w:t>: Linear Regression Results - CMI Impact on Resilience Outcomes</w:t>
            </w:r>
          </w:p>
        </w:tc>
      </w:tr>
      <w:tr w:rsidR="56024442" w:rsidRPr="00121154" w14:paraId="0FF4E70C" w14:textId="77777777" w:rsidTr="73693557">
        <w:trPr>
          <w:trHeight w:val="300"/>
          <w:jc w:val="center"/>
        </w:trPr>
        <w:tc>
          <w:tcPr>
            <w:tcW w:w="2283" w:type="dxa"/>
            <w:tcBorders>
              <w:top w:val="single" w:sz="12" w:space="0" w:color="666666"/>
              <w:left w:val="nil"/>
              <w:bottom w:val="single" w:sz="12" w:space="0" w:color="666666"/>
              <w:right w:val="nil"/>
            </w:tcBorders>
            <w:shd w:val="clear" w:color="auto" w:fill="FFFFFF" w:themeFill="background1"/>
            <w:vAlign w:val="center"/>
          </w:tcPr>
          <w:p w14:paraId="7E021AC3" w14:textId="2468AFDD"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Outcome Variable</w:t>
            </w:r>
          </w:p>
        </w:tc>
        <w:tc>
          <w:tcPr>
            <w:tcW w:w="977" w:type="dxa"/>
            <w:tcBorders>
              <w:top w:val="nil"/>
              <w:left w:val="nil"/>
              <w:bottom w:val="single" w:sz="12" w:space="0" w:color="666666"/>
              <w:right w:val="nil"/>
            </w:tcBorders>
            <w:shd w:val="clear" w:color="auto" w:fill="FFFFFF" w:themeFill="background1"/>
            <w:vAlign w:val="center"/>
          </w:tcPr>
          <w:p w14:paraId="1FF53E0C" w14:textId="0CFA8422"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β</w:t>
            </w:r>
          </w:p>
        </w:tc>
        <w:tc>
          <w:tcPr>
            <w:tcW w:w="897" w:type="dxa"/>
            <w:tcBorders>
              <w:top w:val="nil"/>
              <w:left w:val="nil"/>
              <w:bottom w:val="single" w:sz="12" w:space="0" w:color="666666"/>
              <w:right w:val="nil"/>
            </w:tcBorders>
            <w:shd w:val="clear" w:color="auto" w:fill="FFFFFF" w:themeFill="background1"/>
            <w:vAlign w:val="center"/>
          </w:tcPr>
          <w:p w14:paraId="2D142F63" w14:textId="4912866A"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SE</w:t>
            </w:r>
          </w:p>
        </w:tc>
        <w:tc>
          <w:tcPr>
            <w:tcW w:w="1017" w:type="dxa"/>
            <w:tcBorders>
              <w:top w:val="nil"/>
              <w:left w:val="nil"/>
              <w:bottom w:val="single" w:sz="12" w:space="0" w:color="666666"/>
              <w:right w:val="nil"/>
            </w:tcBorders>
            <w:shd w:val="clear" w:color="auto" w:fill="FFFFFF" w:themeFill="background1"/>
            <w:vAlign w:val="center"/>
          </w:tcPr>
          <w:p w14:paraId="3DE27EF9" w14:textId="65008018"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t</w:t>
            </w:r>
          </w:p>
        </w:tc>
        <w:tc>
          <w:tcPr>
            <w:tcW w:w="1077" w:type="dxa"/>
            <w:tcBorders>
              <w:top w:val="nil"/>
              <w:left w:val="nil"/>
              <w:bottom w:val="single" w:sz="12" w:space="0" w:color="666666"/>
              <w:right w:val="nil"/>
            </w:tcBorders>
            <w:shd w:val="clear" w:color="auto" w:fill="FFFFFF" w:themeFill="background1"/>
            <w:vAlign w:val="center"/>
          </w:tcPr>
          <w:p w14:paraId="0FAFD229" w14:textId="5E125DBB"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p-value</w:t>
            </w:r>
          </w:p>
        </w:tc>
        <w:tc>
          <w:tcPr>
            <w:tcW w:w="737" w:type="dxa"/>
            <w:tcBorders>
              <w:top w:val="nil"/>
              <w:left w:val="nil"/>
              <w:bottom w:val="single" w:sz="12" w:space="0" w:color="666666"/>
              <w:right w:val="nil"/>
            </w:tcBorders>
            <w:shd w:val="clear" w:color="auto" w:fill="FFFFFF" w:themeFill="background1"/>
            <w:vAlign w:val="center"/>
          </w:tcPr>
          <w:p w14:paraId="5466E64E" w14:textId="4FF69A92"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Sig.</w:t>
            </w:r>
          </w:p>
        </w:tc>
        <w:tc>
          <w:tcPr>
            <w:tcW w:w="897" w:type="dxa"/>
            <w:tcBorders>
              <w:top w:val="nil"/>
              <w:left w:val="nil"/>
              <w:bottom w:val="single" w:sz="12" w:space="0" w:color="666666"/>
              <w:right w:val="nil"/>
            </w:tcBorders>
            <w:shd w:val="clear" w:color="auto" w:fill="FFFFFF" w:themeFill="background1"/>
            <w:vAlign w:val="center"/>
          </w:tcPr>
          <w:p w14:paraId="5BC40310" w14:textId="08AA6776"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R²</w:t>
            </w:r>
          </w:p>
        </w:tc>
      </w:tr>
      <w:tr w:rsidR="56024442" w:rsidRPr="00121154" w14:paraId="17AB9601" w14:textId="77777777" w:rsidTr="73693557">
        <w:trPr>
          <w:trHeight w:val="300"/>
          <w:jc w:val="center"/>
        </w:trPr>
        <w:tc>
          <w:tcPr>
            <w:tcW w:w="2283" w:type="dxa"/>
            <w:tcBorders>
              <w:top w:val="single" w:sz="12" w:space="0" w:color="666666"/>
              <w:left w:val="nil"/>
              <w:bottom w:val="single" w:sz="8" w:space="0" w:color="666666"/>
              <w:right w:val="nil"/>
            </w:tcBorders>
            <w:shd w:val="clear" w:color="auto" w:fill="FFFFFF" w:themeFill="background1"/>
            <w:vAlign w:val="center"/>
          </w:tcPr>
          <w:p w14:paraId="3DEB6C1B" w14:textId="17BDEF24"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Resilience Score</w:t>
            </w:r>
          </w:p>
        </w:tc>
        <w:tc>
          <w:tcPr>
            <w:tcW w:w="977" w:type="dxa"/>
            <w:tcBorders>
              <w:top w:val="single" w:sz="12" w:space="0" w:color="666666"/>
              <w:left w:val="nil"/>
              <w:bottom w:val="single" w:sz="8" w:space="0" w:color="666666"/>
              <w:right w:val="nil"/>
            </w:tcBorders>
            <w:shd w:val="clear" w:color="auto" w:fill="FFFFFF" w:themeFill="background1"/>
            <w:vAlign w:val="center"/>
          </w:tcPr>
          <w:p w14:paraId="7F6894D5" w14:textId="2BB263D6"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0.349</w:t>
            </w:r>
          </w:p>
        </w:tc>
        <w:tc>
          <w:tcPr>
            <w:tcW w:w="897" w:type="dxa"/>
            <w:tcBorders>
              <w:top w:val="single" w:sz="12" w:space="0" w:color="666666"/>
              <w:left w:val="nil"/>
              <w:bottom w:val="single" w:sz="8" w:space="0" w:color="666666"/>
              <w:right w:val="nil"/>
            </w:tcBorders>
            <w:shd w:val="clear" w:color="auto" w:fill="FFFFFF" w:themeFill="background1"/>
            <w:vAlign w:val="center"/>
          </w:tcPr>
          <w:p w14:paraId="7030DCC8" w14:textId="7E3864FC"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0.068</w:t>
            </w:r>
          </w:p>
        </w:tc>
        <w:tc>
          <w:tcPr>
            <w:tcW w:w="1017" w:type="dxa"/>
            <w:tcBorders>
              <w:top w:val="single" w:sz="12" w:space="0" w:color="666666"/>
              <w:left w:val="nil"/>
              <w:bottom w:val="single" w:sz="8" w:space="0" w:color="666666"/>
              <w:right w:val="nil"/>
            </w:tcBorders>
            <w:shd w:val="clear" w:color="auto" w:fill="FFFFFF" w:themeFill="background1"/>
            <w:vAlign w:val="center"/>
          </w:tcPr>
          <w:p w14:paraId="36A6D60E" w14:textId="319C3087"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5.165</w:t>
            </w:r>
          </w:p>
        </w:tc>
        <w:tc>
          <w:tcPr>
            <w:tcW w:w="1077" w:type="dxa"/>
            <w:tcBorders>
              <w:top w:val="single" w:sz="12" w:space="0" w:color="666666"/>
              <w:left w:val="nil"/>
              <w:bottom w:val="single" w:sz="8" w:space="0" w:color="666666"/>
              <w:right w:val="nil"/>
            </w:tcBorders>
            <w:shd w:val="clear" w:color="auto" w:fill="FFFFFF" w:themeFill="background1"/>
            <w:vAlign w:val="center"/>
          </w:tcPr>
          <w:p w14:paraId="52739D20" w14:textId="5996E81D"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0.000</w:t>
            </w:r>
          </w:p>
        </w:tc>
        <w:tc>
          <w:tcPr>
            <w:tcW w:w="737" w:type="dxa"/>
            <w:tcBorders>
              <w:top w:val="single" w:sz="12" w:space="0" w:color="666666"/>
              <w:left w:val="nil"/>
              <w:bottom w:val="single" w:sz="8" w:space="0" w:color="666666"/>
              <w:right w:val="nil"/>
            </w:tcBorders>
            <w:shd w:val="clear" w:color="auto" w:fill="FFFFFF" w:themeFill="background1"/>
            <w:vAlign w:val="center"/>
          </w:tcPr>
          <w:p w14:paraId="41290508" w14:textId="49D96E9C"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12" w:space="0" w:color="666666"/>
              <w:left w:val="nil"/>
              <w:bottom w:val="single" w:sz="8" w:space="0" w:color="666666"/>
              <w:right w:val="nil"/>
            </w:tcBorders>
            <w:shd w:val="clear" w:color="auto" w:fill="FFFFFF" w:themeFill="background1"/>
            <w:vAlign w:val="center"/>
          </w:tcPr>
          <w:p w14:paraId="15E0FE8B" w14:textId="6DF76F06"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0.118</w:t>
            </w:r>
          </w:p>
        </w:tc>
      </w:tr>
      <w:tr w:rsidR="56024442" w:rsidRPr="00121154" w14:paraId="6446BCF8" w14:textId="77777777" w:rsidTr="73693557">
        <w:trPr>
          <w:trHeight w:val="300"/>
          <w:jc w:val="center"/>
        </w:trPr>
        <w:tc>
          <w:tcPr>
            <w:tcW w:w="2283" w:type="dxa"/>
            <w:tcBorders>
              <w:top w:val="single" w:sz="8" w:space="0" w:color="666666"/>
              <w:left w:val="nil"/>
              <w:bottom w:val="single" w:sz="8" w:space="0" w:color="666666"/>
              <w:right w:val="nil"/>
            </w:tcBorders>
            <w:shd w:val="clear" w:color="auto" w:fill="FFFFFF" w:themeFill="background1"/>
            <w:vAlign w:val="center"/>
          </w:tcPr>
          <w:p w14:paraId="1962E4B7" w14:textId="24130398"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Climate Confidence</w:t>
            </w:r>
          </w:p>
        </w:tc>
        <w:tc>
          <w:tcPr>
            <w:tcW w:w="977" w:type="dxa"/>
            <w:tcBorders>
              <w:top w:val="single" w:sz="8" w:space="0" w:color="666666"/>
              <w:left w:val="nil"/>
              <w:bottom w:val="single" w:sz="8" w:space="0" w:color="666666"/>
              <w:right w:val="nil"/>
            </w:tcBorders>
            <w:shd w:val="clear" w:color="auto" w:fill="FFFFFF" w:themeFill="background1"/>
            <w:vAlign w:val="center"/>
          </w:tcPr>
          <w:p w14:paraId="0E925F00" w14:textId="7DA69311"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-0.030</w:t>
            </w:r>
          </w:p>
        </w:tc>
        <w:tc>
          <w:tcPr>
            <w:tcW w:w="897" w:type="dxa"/>
            <w:tcBorders>
              <w:top w:val="single" w:sz="8" w:space="0" w:color="666666"/>
              <w:left w:val="nil"/>
              <w:bottom w:val="single" w:sz="8" w:space="0" w:color="666666"/>
              <w:right w:val="nil"/>
            </w:tcBorders>
            <w:shd w:val="clear" w:color="auto" w:fill="FFFFFF" w:themeFill="background1"/>
            <w:vAlign w:val="center"/>
          </w:tcPr>
          <w:p w14:paraId="3C767E37" w14:textId="7FBDFCB9"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0.095</w:t>
            </w:r>
          </w:p>
        </w:tc>
        <w:tc>
          <w:tcPr>
            <w:tcW w:w="1017" w:type="dxa"/>
            <w:tcBorders>
              <w:top w:val="single" w:sz="8" w:space="0" w:color="666666"/>
              <w:left w:val="nil"/>
              <w:bottom w:val="single" w:sz="8" w:space="0" w:color="666666"/>
              <w:right w:val="nil"/>
            </w:tcBorders>
            <w:shd w:val="clear" w:color="auto" w:fill="FFFFFF" w:themeFill="background1"/>
            <w:vAlign w:val="center"/>
          </w:tcPr>
          <w:p w14:paraId="7DA401C5" w14:textId="54B77FCD"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-0.322</w:t>
            </w:r>
          </w:p>
        </w:tc>
        <w:tc>
          <w:tcPr>
            <w:tcW w:w="1077" w:type="dxa"/>
            <w:tcBorders>
              <w:top w:val="single" w:sz="8" w:space="0" w:color="666666"/>
              <w:left w:val="nil"/>
              <w:bottom w:val="single" w:sz="8" w:space="0" w:color="666666"/>
              <w:right w:val="nil"/>
            </w:tcBorders>
            <w:shd w:val="clear" w:color="auto" w:fill="FFFFFF" w:themeFill="background1"/>
            <w:vAlign w:val="center"/>
          </w:tcPr>
          <w:p w14:paraId="242C78F9" w14:textId="0EA45C54"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0.748</w:t>
            </w:r>
          </w:p>
        </w:tc>
        <w:tc>
          <w:tcPr>
            <w:tcW w:w="737" w:type="dxa"/>
            <w:tcBorders>
              <w:top w:val="single" w:sz="8" w:space="0" w:color="666666"/>
              <w:left w:val="nil"/>
              <w:bottom w:val="single" w:sz="8" w:space="0" w:color="666666"/>
              <w:right w:val="nil"/>
            </w:tcBorders>
            <w:shd w:val="clear" w:color="auto" w:fill="FFFFFF" w:themeFill="background1"/>
            <w:vAlign w:val="center"/>
          </w:tcPr>
          <w:p w14:paraId="74C748CA" w14:textId="4F373999"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 xml:space="preserve"> </w:t>
            </w:r>
          </w:p>
        </w:tc>
        <w:tc>
          <w:tcPr>
            <w:tcW w:w="897" w:type="dxa"/>
            <w:tcBorders>
              <w:top w:val="single" w:sz="8" w:space="0" w:color="666666"/>
              <w:left w:val="nil"/>
              <w:bottom w:val="single" w:sz="8" w:space="0" w:color="666666"/>
              <w:right w:val="nil"/>
            </w:tcBorders>
            <w:shd w:val="clear" w:color="auto" w:fill="FFFFFF" w:themeFill="background1"/>
            <w:vAlign w:val="center"/>
          </w:tcPr>
          <w:p w14:paraId="220E9EC2" w14:textId="58156748"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0.014</w:t>
            </w:r>
          </w:p>
        </w:tc>
      </w:tr>
      <w:tr w:rsidR="56024442" w:rsidRPr="00121154" w14:paraId="1FE746D8" w14:textId="77777777" w:rsidTr="73693557">
        <w:trPr>
          <w:trHeight w:val="525"/>
          <w:jc w:val="center"/>
        </w:trPr>
        <w:tc>
          <w:tcPr>
            <w:tcW w:w="2283" w:type="dxa"/>
            <w:tcBorders>
              <w:top w:val="single" w:sz="8" w:space="0" w:color="666666"/>
              <w:left w:val="nil"/>
              <w:bottom w:val="single" w:sz="12" w:space="0" w:color="666666"/>
              <w:right w:val="nil"/>
            </w:tcBorders>
            <w:shd w:val="clear" w:color="auto" w:fill="FFFFFF" w:themeFill="background1"/>
            <w:vAlign w:val="center"/>
          </w:tcPr>
          <w:p w14:paraId="6BC4CAE5" w14:textId="024AFA80"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Adaptation Ability</w:t>
            </w:r>
          </w:p>
        </w:tc>
        <w:tc>
          <w:tcPr>
            <w:tcW w:w="977" w:type="dxa"/>
            <w:tcBorders>
              <w:top w:val="single" w:sz="8" w:space="0" w:color="666666"/>
              <w:left w:val="nil"/>
              <w:bottom w:val="single" w:sz="12" w:space="0" w:color="666666"/>
              <w:right w:val="nil"/>
            </w:tcBorders>
            <w:shd w:val="clear" w:color="auto" w:fill="FFFFFF" w:themeFill="background1"/>
            <w:vAlign w:val="center"/>
          </w:tcPr>
          <w:p w14:paraId="27040175" w14:textId="54FC0B21"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0.729</w:t>
            </w:r>
          </w:p>
        </w:tc>
        <w:tc>
          <w:tcPr>
            <w:tcW w:w="897" w:type="dxa"/>
            <w:tcBorders>
              <w:top w:val="single" w:sz="8" w:space="0" w:color="666666"/>
              <w:left w:val="nil"/>
              <w:bottom w:val="single" w:sz="12" w:space="0" w:color="666666"/>
              <w:right w:val="nil"/>
            </w:tcBorders>
            <w:shd w:val="clear" w:color="auto" w:fill="FFFFFF" w:themeFill="background1"/>
            <w:vAlign w:val="center"/>
          </w:tcPr>
          <w:p w14:paraId="4CC11E24" w14:textId="288213ED"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0.066</w:t>
            </w:r>
          </w:p>
        </w:tc>
        <w:tc>
          <w:tcPr>
            <w:tcW w:w="1017" w:type="dxa"/>
            <w:tcBorders>
              <w:top w:val="single" w:sz="8" w:space="0" w:color="666666"/>
              <w:left w:val="nil"/>
              <w:bottom w:val="single" w:sz="12" w:space="0" w:color="666666"/>
              <w:right w:val="nil"/>
            </w:tcBorders>
            <w:shd w:val="clear" w:color="auto" w:fill="FFFFFF" w:themeFill="background1"/>
            <w:vAlign w:val="center"/>
          </w:tcPr>
          <w:p w14:paraId="66A00C5E" w14:textId="6323C865"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11.017</w:t>
            </w:r>
          </w:p>
        </w:tc>
        <w:tc>
          <w:tcPr>
            <w:tcW w:w="1077" w:type="dxa"/>
            <w:tcBorders>
              <w:top w:val="single" w:sz="8" w:space="0" w:color="666666"/>
              <w:left w:val="nil"/>
              <w:bottom w:val="single" w:sz="12" w:space="0" w:color="666666"/>
              <w:right w:val="nil"/>
            </w:tcBorders>
            <w:shd w:val="clear" w:color="auto" w:fill="FFFFFF" w:themeFill="background1"/>
            <w:vAlign w:val="center"/>
          </w:tcPr>
          <w:p w14:paraId="273794EA" w14:textId="260011B1"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0.000</w:t>
            </w:r>
          </w:p>
        </w:tc>
        <w:tc>
          <w:tcPr>
            <w:tcW w:w="737" w:type="dxa"/>
            <w:tcBorders>
              <w:top w:val="single" w:sz="8" w:space="0" w:color="666666"/>
              <w:left w:val="nil"/>
              <w:bottom w:val="single" w:sz="12" w:space="0" w:color="666666"/>
              <w:right w:val="nil"/>
            </w:tcBorders>
            <w:shd w:val="clear" w:color="auto" w:fill="FFFFFF" w:themeFill="background1"/>
            <w:vAlign w:val="center"/>
          </w:tcPr>
          <w:p w14:paraId="18F1224F" w14:textId="20564DCA"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8" w:space="0" w:color="666666"/>
              <w:left w:val="nil"/>
              <w:bottom w:val="single" w:sz="12" w:space="0" w:color="666666"/>
              <w:right w:val="nil"/>
            </w:tcBorders>
            <w:shd w:val="clear" w:color="auto" w:fill="FFFFFF" w:themeFill="background1"/>
            <w:vAlign w:val="center"/>
          </w:tcPr>
          <w:p w14:paraId="4EEDE934" w14:textId="6292DBE4"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0.339</w:t>
            </w:r>
          </w:p>
        </w:tc>
      </w:tr>
    </w:tbl>
    <w:p w14:paraId="1617279A" w14:textId="4F779A49" w:rsidR="00560A5F" w:rsidRPr="00121154" w:rsidRDefault="00560A5F" w:rsidP="00A57257">
      <w:pPr>
        <w:spacing w:line="480" w:lineRule="auto"/>
        <w:rPr>
          <w:rFonts w:ascii="Arial" w:eastAsia="Times New Roman" w:hAnsi="Arial" w:cs="Arial"/>
          <w:b/>
          <w:bCs/>
        </w:rPr>
      </w:pPr>
      <w:r w:rsidRPr="00121154">
        <w:rPr>
          <w:rFonts w:ascii="Arial" w:hAnsi="Arial" w:cs="Arial"/>
        </w:rPr>
        <w:br/>
      </w:r>
      <w:r w:rsidRPr="00121154">
        <w:rPr>
          <w:rFonts w:ascii="Arial" w:eastAsia="Times New Roman" w:hAnsi="Arial" w:cs="Arial"/>
          <w:b/>
          <w:bCs/>
        </w:rPr>
        <w:t>Social and Environmental Co-Benefits</w:t>
      </w:r>
    </w:p>
    <w:p w14:paraId="5AD8FA7E" w14:textId="18E54418" w:rsidR="71A2B763" w:rsidRPr="00121154" w:rsidRDefault="71A2B763" w:rsidP="00A57257">
      <w:pPr>
        <w:spacing w:line="480" w:lineRule="auto"/>
        <w:rPr>
          <w:rFonts w:ascii="Arial" w:eastAsia="Times New Roman" w:hAnsi="Arial" w:cs="Arial"/>
        </w:rPr>
      </w:pPr>
      <w:r w:rsidRPr="00121154">
        <w:rPr>
          <w:rFonts w:ascii="Arial" w:eastAsia="Times New Roman" w:hAnsi="Arial" w:cs="Arial"/>
        </w:rPr>
        <w:t>Additional reported benefits included strengthened community cohesion (28.1%), enhanced environmental conservation (22.1%), and empowerment of women and youth (18.8%). Furthermore, 85.8% of respondents reported improved access to essential services such as education, water, and healthcare.</w:t>
      </w:r>
      <w:r w:rsidR="00C5032F" w:rsidRPr="00121154">
        <w:rPr>
          <w:rFonts w:ascii="Arial" w:eastAsia="Times New Roman" w:hAnsi="Arial" w:cs="Arial"/>
        </w:rPr>
        <w:t xml:space="preserve"> Some of the </w:t>
      </w:r>
      <w:r w:rsidR="00F312FF" w:rsidRPr="00121154">
        <w:rPr>
          <w:rFonts w:ascii="Arial" w:eastAsia="Times New Roman" w:hAnsi="Arial" w:cs="Arial"/>
        </w:rPr>
        <w:t xml:space="preserve">social and environmental benefits of carbon market </w:t>
      </w:r>
      <w:r w:rsidR="00941D72" w:rsidRPr="00121154">
        <w:rPr>
          <w:rFonts w:ascii="Arial" w:eastAsia="Times New Roman" w:hAnsi="Arial" w:cs="Arial"/>
        </w:rPr>
        <w:t>initiatives are indicated in the figure below:</w:t>
      </w:r>
    </w:p>
    <w:p w14:paraId="5734C14E" w14:textId="70725413" w:rsidR="410BFEE9" w:rsidRPr="00121154" w:rsidRDefault="410BFEE9" w:rsidP="00A57257">
      <w:pPr>
        <w:spacing w:line="480" w:lineRule="auto"/>
        <w:jc w:val="center"/>
        <w:rPr>
          <w:rFonts w:ascii="Arial" w:eastAsia="Times New Roman" w:hAnsi="Arial" w:cs="Arial"/>
        </w:rPr>
      </w:pPr>
      <w:r w:rsidRPr="00121154">
        <w:rPr>
          <w:rFonts w:ascii="Arial" w:hAnsi="Arial" w:cs="Arial"/>
          <w:noProof/>
        </w:rPr>
        <w:lastRenderedPageBreak/>
        <w:drawing>
          <wp:inline distT="0" distB="0" distL="0" distR="0" wp14:anchorId="31DADE7D" wp14:editId="71F9E3D1">
            <wp:extent cx="3409950" cy="2044391"/>
            <wp:effectExtent l="0" t="0" r="0" b="0"/>
            <wp:docPr id="2537989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98986" name=""/>
                    <pic:cNvPicPr/>
                  </pic:nvPicPr>
                  <pic:blipFill>
                    <a:blip r:embed="rId12">
                      <a:extLst>
                        <a:ext uri="{28A0092B-C50C-407E-A947-70E740481C1C}">
                          <a14:useLocalDpi xmlns:a14="http://schemas.microsoft.com/office/drawing/2010/main"/>
                        </a:ext>
                      </a:extLst>
                    </a:blip>
                    <a:stretch>
                      <a:fillRect/>
                    </a:stretch>
                  </pic:blipFill>
                  <pic:spPr>
                    <a:xfrm>
                      <a:off x="0" y="0"/>
                      <a:ext cx="3409950" cy="2044391"/>
                    </a:xfrm>
                    <a:prstGeom prst="rect">
                      <a:avLst/>
                    </a:prstGeom>
                  </pic:spPr>
                </pic:pic>
              </a:graphicData>
            </a:graphic>
          </wp:inline>
        </w:drawing>
      </w:r>
    </w:p>
    <w:p w14:paraId="250BC4F8" w14:textId="485A9198" w:rsidR="410BFEE9" w:rsidRPr="00121154" w:rsidRDefault="410BFEE9" w:rsidP="00A57257">
      <w:pPr>
        <w:spacing w:line="480" w:lineRule="auto"/>
        <w:jc w:val="center"/>
        <w:rPr>
          <w:rFonts w:ascii="Arial" w:eastAsia="Times New Roman" w:hAnsi="Arial" w:cs="Arial"/>
        </w:rPr>
      </w:pPr>
      <w:r w:rsidRPr="00121154">
        <w:rPr>
          <w:rFonts w:ascii="Arial" w:eastAsia="Times New Roman" w:hAnsi="Arial" w:cs="Arial"/>
        </w:rPr>
        <w:t xml:space="preserve">Figure </w:t>
      </w:r>
      <w:r w:rsidR="0647C699" w:rsidRPr="00121154">
        <w:rPr>
          <w:rFonts w:ascii="Arial" w:eastAsia="Times New Roman" w:hAnsi="Arial" w:cs="Arial"/>
        </w:rPr>
        <w:t>5</w:t>
      </w:r>
      <w:r w:rsidRPr="00121154">
        <w:rPr>
          <w:rFonts w:ascii="Arial" w:eastAsia="Times New Roman" w:hAnsi="Arial" w:cs="Arial"/>
        </w:rPr>
        <w:t>: Social and Environmental Co-Benefits of CMI Participation</w:t>
      </w:r>
    </w:p>
    <w:p w14:paraId="4000915B" w14:textId="77777777" w:rsidR="00775B3F" w:rsidRDefault="00775B3F" w:rsidP="00A57257">
      <w:pPr>
        <w:pStyle w:val="Heading1"/>
        <w:spacing w:after="0" w:line="480" w:lineRule="auto"/>
        <w:rPr>
          <w:rFonts w:ascii="Arial" w:eastAsia="Times New Roman" w:hAnsi="Arial" w:cs="Arial"/>
          <w:b/>
          <w:bCs/>
          <w:color w:val="auto"/>
          <w:sz w:val="22"/>
          <w:szCs w:val="22"/>
        </w:rPr>
      </w:pPr>
    </w:p>
    <w:p w14:paraId="7BA916A4" w14:textId="45B4B13F" w:rsidR="009D1C3B" w:rsidRPr="00121154" w:rsidRDefault="7FCF95B2"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Discussion</w:t>
      </w:r>
    </w:p>
    <w:p w14:paraId="60772221" w14:textId="4692E9E2" w:rsidR="009D1C3B" w:rsidRPr="00121154" w:rsidRDefault="03240E2D" w:rsidP="00A57257">
      <w:pPr>
        <w:spacing w:after="240" w:line="480" w:lineRule="auto"/>
        <w:rPr>
          <w:rFonts w:ascii="Arial" w:eastAsia="Times New Roman" w:hAnsi="Arial" w:cs="Arial"/>
        </w:rPr>
      </w:pPr>
      <w:r w:rsidRPr="00121154">
        <w:rPr>
          <w:rFonts w:ascii="Arial" w:eastAsia="Times New Roman" w:hAnsi="Arial" w:cs="Arial"/>
          <w:b/>
          <w:bCs/>
        </w:rPr>
        <w:t>Participation in Carbon Market Initiatives</w:t>
      </w:r>
      <w:r w:rsidR="009D1C3B" w:rsidRPr="00121154">
        <w:rPr>
          <w:rFonts w:ascii="Arial" w:hAnsi="Arial" w:cs="Arial"/>
        </w:rPr>
        <w:br/>
      </w:r>
      <w:r w:rsidRPr="00121154">
        <w:rPr>
          <w:rFonts w:ascii="Arial" w:eastAsia="Times New Roman" w:hAnsi="Arial" w:cs="Arial"/>
        </w:rPr>
        <w:t>A participation rate of 70.8% reflects substantial community engagement, yet the 29.2% non-participation underscores barriers such as limited awareness, access constraints, or socio-cultural reservations. Similar patterns have been documented in other dryland regions, where awareness campaigns and localized engagement strategies have been shown to increase participation rates (Atela et al., 2015; Mathur et al., 2014).</w:t>
      </w:r>
    </w:p>
    <w:p w14:paraId="1791932F" w14:textId="7B496570" w:rsidR="009D1C3B" w:rsidRPr="00121154"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t>Economic Outcomes</w:t>
      </w:r>
      <w:r w:rsidR="009D1C3B" w:rsidRPr="00121154">
        <w:rPr>
          <w:rFonts w:ascii="Arial" w:hAnsi="Arial" w:cs="Arial"/>
        </w:rPr>
        <w:br/>
      </w:r>
      <w:r w:rsidRPr="00121154">
        <w:rPr>
          <w:rFonts w:ascii="Arial" w:eastAsia="Times New Roman" w:hAnsi="Arial" w:cs="Arial"/>
        </w:rPr>
        <w:t>The finding that slightly over half of respondents (51.2%) experienced income increases aligns with literature indicating that CMIs can generate alternative income streams and employment opportunities (Bryan et al., 2018; Bond et al., 2020). However, the high proportion of households reporting no change in income (48.2%) and the low rate of new income-generating activities (18.8%) suggest that the economic benefits remain limited in scale. This could be due to irregular or small carbon payments, unequal benefit-sharing, or inadequate linkages to broader market opportunities — challenges noted in previous research on carbon finance in pastoralist settings (McCarthy &amp; Di Gregorio, 2007).</w:t>
      </w:r>
    </w:p>
    <w:p w14:paraId="7E0036E3" w14:textId="566613B5" w:rsidR="009D1C3B" w:rsidRPr="00121154"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lastRenderedPageBreak/>
        <w:t>Household Resilience</w:t>
      </w:r>
      <w:r w:rsidR="009D1C3B" w:rsidRPr="00121154">
        <w:rPr>
          <w:rFonts w:ascii="Arial" w:hAnsi="Arial" w:cs="Arial"/>
        </w:rPr>
        <w:br/>
      </w:r>
      <w:r w:rsidRPr="00121154">
        <w:rPr>
          <w:rFonts w:ascii="Arial" w:eastAsia="Times New Roman" w:hAnsi="Arial" w:cs="Arial"/>
        </w:rPr>
        <w:t>An improvement in adaptive capacity among 55% of households indicates a positive influence of CMIs on resilience, particularly through water management, small-scale farming, and savings groups. This mirrors evidence from other semi-arid regions where targeted adaptation measures have strengthened household coping strategies (IPCC, 2021; Mukami, 2016). Nonetheless, the persistence of households reporting no change (26.4%) or worsened resilience (0.6%) points to gaps in technical training, access to climate adaptation resources, and the integration of traditional pastoralist knowledge into project design.</w:t>
      </w:r>
    </w:p>
    <w:p w14:paraId="6B0B4E33" w14:textId="1DBC2BA0" w:rsidR="009D1C3B" w:rsidRPr="00121154"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t>Statistical Insights</w:t>
      </w:r>
      <w:r w:rsidR="009D1C3B" w:rsidRPr="00121154">
        <w:rPr>
          <w:rFonts w:ascii="Arial" w:hAnsi="Arial" w:cs="Arial"/>
        </w:rPr>
        <w:br/>
      </w:r>
      <w:r w:rsidRPr="00121154">
        <w:rPr>
          <w:rFonts w:ascii="Arial" w:eastAsia="Times New Roman" w:hAnsi="Arial" w:cs="Arial"/>
        </w:rPr>
        <w:t>Regression results confirm that CMI participation is significantly associated with improvements in livelihood scores, income change, quality of life, resilience, and adaptation ability. However, the lack of statistical significance for climate confidence suggests that economic gains are not yet consistent over time, and that perceptions of preparedness for climate shocks may be shaped by broader socio-economic factors beyond CMI participation.</w:t>
      </w:r>
    </w:p>
    <w:p w14:paraId="7F6FAFCB" w14:textId="5ADD4BF3" w:rsidR="009D1C3B" w:rsidRPr="00121154"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t>Social and Environmental Co-Benefits</w:t>
      </w:r>
      <w:r w:rsidR="009D1C3B" w:rsidRPr="00121154">
        <w:rPr>
          <w:rFonts w:ascii="Arial" w:hAnsi="Arial" w:cs="Arial"/>
        </w:rPr>
        <w:br/>
      </w:r>
      <w:r w:rsidRPr="00121154">
        <w:rPr>
          <w:rFonts w:ascii="Arial" w:eastAsia="Times New Roman" w:hAnsi="Arial" w:cs="Arial"/>
        </w:rPr>
        <w:t>The reported increases in community cohesion, environmental conservation, and women and youth empowerment underscore the multi-dimensional benefits of CMIs. These findings support the argument that climate finance interventions can contribute to both ecological restoration and social development when effectively designed (Herr et al., 2019).</w:t>
      </w:r>
    </w:p>
    <w:p w14:paraId="52AE1393" w14:textId="1EAB876D" w:rsidR="009D1C3B" w:rsidRPr="00121154"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t>Limitations and Implications</w:t>
      </w:r>
      <w:r w:rsidR="009D1C3B" w:rsidRPr="00121154">
        <w:rPr>
          <w:rFonts w:ascii="Arial" w:hAnsi="Arial" w:cs="Arial"/>
        </w:rPr>
        <w:br/>
      </w:r>
      <w:r w:rsidRPr="00121154">
        <w:rPr>
          <w:rFonts w:ascii="Arial" w:eastAsia="Times New Roman" w:hAnsi="Arial" w:cs="Arial"/>
        </w:rPr>
        <w:t>Despite these gains, the uneven distribution of benefits highlights governance and equity challenges. Similar to experiences elsewhere in sub-Saharan Africa, elite capture, limited financial inclusion, and exclusion of marginalized groups can undermine project impact (Mathur et al., 2014). Addressing these issues will require stronger community-led governance structures, transparent benefit-sharing frameworks, and targeted capacity-building programs.</w:t>
      </w:r>
    </w:p>
    <w:p w14:paraId="27116D4A" w14:textId="02AECDA2" w:rsidR="009D1C3B" w:rsidRPr="00121154" w:rsidRDefault="2C6DA1A5" w:rsidP="00A57257">
      <w:pPr>
        <w:spacing w:before="240" w:after="0" w:line="480" w:lineRule="auto"/>
        <w:rPr>
          <w:rFonts w:ascii="Arial" w:eastAsia="Times New Roman" w:hAnsi="Arial" w:cs="Arial"/>
          <w:b/>
          <w:bCs/>
        </w:rPr>
      </w:pPr>
      <w:r w:rsidRPr="00121154">
        <w:rPr>
          <w:rFonts w:ascii="Arial" w:eastAsia="Times New Roman" w:hAnsi="Arial" w:cs="Arial"/>
          <w:b/>
          <w:bCs/>
        </w:rPr>
        <w:lastRenderedPageBreak/>
        <w:t>Conclusion</w:t>
      </w:r>
      <w:r w:rsidR="067B7F27" w:rsidRPr="00121154">
        <w:rPr>
          <w:rFonts w:ascii="Arial" w:eastAsia="Times New Roman" w:hAnsi="Arial" w:cs="Arial"/>
          <w:b/>
          <w:bCs/>
        </w:rPr>
        <w:t xml:space="preserve"> and Recommendations</w:t>
      </w:r>
    </w:p>
    <w:p w14:paraId="733FFE53" w14:textId="53D301CF" w:rsidR="009D1C3B" w:rsidRPr="00121154" w:rsidRDefault="067B7F27" w:rsidP="00A57257">
      <w:pPr>
        <w:spacing w:after="0" w:line="480" w:lineRule="auto"/>
        <w:rPr>
          <w:rFonts w:ascii="Arial" w:eastAsia="Times New Roman" w:hAnsi="Arial" w:cs="Arial"/>
          <w:b/>
          <w:bCs/>
        </w:rPr>
      </w:pPr>
      <w:r w:rsidRPr="00121154">
        <w:rPr>
          <w:rFonts w:ascii="Arial" w:eastAsia="Times New Roman" w:hAnsi="Arial" w:cs="Arial"/>
          <w:b/>
          <w:bCs/>
        </w:rPr>
        <w:t>Conclusion</w:t>
      </w:r>
    </w:p>
    <w:p w14:paraId="787B877B" w14:textId="60E32870" w:rsidR="009D1C3B" w:rsidRPr="00121154" w:rsidRDefault="2C6DA1A5" w:rsidP="00A57257">
      <w:pPr>
        <w:spacing w:after="240" w:line="480" w:lineRule="auto"/>
        <w:rPr>
          <w:rFonts w:ascii="Arial" w:eastAsia="Times New Roman" w:hAnsi="Arial" w:cs="Arial"/>
        </w:rPr>
      </w:pPr>
      <w:r w:rsidRPr="00121154">
        <w:rPr>
          <w:rFonts w:ascii="Arial" w:eastAsia="Times New Roman" w:hAnsi="Arial" w:cs="Arial"/>
        </w:rPr>
        <w:t xml:space="preserve">This study assessed the outcomes of carbon market initiatives (CMIs) on pastoralist livelihoods and household resilience in </w:t>
      </w:r>
      <w:proofErr w:type="spellStart"/>
      <w:r w:rsidRPr="00121154">
        <w:rPr>
          <w:rFonts w:ascii="Arial" w:eastAsia="Times New Roman" w:hAnsi="Arial" w:cs="Arial"/>
        </w:rPr>
        <w:t>Ngaremara</w:t>
      </w:r>
      <w:proofErr w:type="spellEnd"/>
      <w:r w:rsidRPr="00121154">
        <w:rPr>
          <w:rFonts w:ascii="Arial" w:eastAsia="Times New Roman" w:hAnsi="Arial" w:cs="Arial"/>
        </w:rPr>
        <w:t xml:space="preserve"> Ward, </w:t>
      </w:r>
      <w:proofErr w:type="spellStart"/>
      <w:r w:rsidRPr="00121154">
        <w:rPr>
          <w:rFonts w:ascii="Arial" w:eastAsia="Times New Roman" w:hAnsi="Arial" w:cs="Arial"/>
        </w:rPr>
        <w:t>Isiolo</w:t>
      </w:r>
      <w:proofErr w:type="spellEnd"/>
      <w:r w:rsidRPr="00121154">
        <w:rPr>
          <w:rFonts w:ascii="Arial" w:eastAsia="Times New Roman" w:hAnsi="Arial" w:cs="Arial"/>
        </w:rPr>
        <w:t xml:space="preserve"> County, Kenya. The findings demonstrate that CMIs have contributed to moderate improvements in income, adaptive capacity, and access to essential services, while also delivering social and environmental co-benefits such as community cohesion and environmental conservation. However, benefits remain unevenly distributed, with significant portions of the population experiencing no economic gains or resilience improvements. Statistical analysis confirmed positive associations between participation in CMIs and key livelihood and resilience indicators, although climate confidence showed no significant change.</w:t>
      </w:r>
    </w:p>
    <w:p w14:paraId="7305610E" w14:textId="34BDCA33" w:rsidR="009D1C3B" w:rsidRPr="00121154" w:rsidRDefault="2C6DA1A5" w:rsidP="00A57257">
      <w:pPr>
        <w:spacing w:before="240" w:after="240" w:line="480" w:lineRule="auto"/>
        <w:rPr>
          <w:rFonts w:ascii="Arial" w:eastAsia="Times New Roman" w:hAnsi="Arial" w:cs="Arial"/>
        </w:rPr>
      </w:pPr>
      <w:r w:rsidRPr="00121154">
        <w:rPr>
          <w:rFonts w:ascii="Arial" w:eastAsia="Times New Roman" w:hAnsi="Arial" w:cs="Arial"/>
        </w:rPr>
        <w:t>Overall, while carbon markets show promise as a mechanism for linking climate adaptation with livelihood enhancement in dryland pastoralist settings, persistent challenges related to</w:t>
      </w:r>
      <w:r w:rsidR="065D7E01" w:rsidRPr="00121154">
        <w:rPr>
          <w:rFonts w:ascii="Arial" w:eastAsia="Times New Roman" w:hAnsi="Arial" w:cs="Arial"/>
        </w:rPr>
        <w:t xml:space="preserve"> </w:t>
      </w:r>
      <w:r w:rsidRPr="00121154">
        <w:rPr>
          <w:rFonts w:ascii="Arial" w:eastAsia="Times New Roman" w:hAnsi="Arial" w:cs="Arial"/>
        </w:rPr>
        <w:t>benefit-sharing, governance, and technical capacity must be addressed for these initiatives to achieve their full potential and long-term sustainability.</w:t>
      </w:r>
    </w:p>
    <w:p w14:paraId="30694E59" w14:textId="732035A8" w:rsidR="009D1C3B" w:rsidRPr="00121154" w:rsidRDefault="009D1C3B"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Recommendations</w:t>
      </w:r>
    </w:p>
    <w:p w14:paraId="52EF7456" w14:textId="2BB788BE" w:rsidR="009D1C3B" w:rsidRPr="00121154" w:rsidRDefault="009D1C3B" w:rsidP="00A57257">
      <w:pPr>
        <w:pStyle w:val="ListParagraph"/>
        <w:numPr>
          <w:ilvl w:val="0"/>
          <w:numId w:val="1"/>
        </w:numPr>
        <w:spacing w:line="480" w:lineRule="auto"/>
        <w:rPr>
          <w:rFonts w:ascii="Arial" w:eastAsia="Times New Roman" w:hAnsi="Arial" w:cs="Arial"/>
        </w:rPr>
      </w:pPr>
      <w:r w:rsidRPr="00121154">
        <w:rPr>
          <w:rFonts w:ascii="Arial" w:eastAsia="Times New Roman" w:hAnsi="Arial" w:cs="Arial"/>
        </w:rPr>
        <w:t xml:space="preserve">Expand </w:t>
      </w:r>
      <w:r w:rsidR="02158427" w:rsidRPr="00121154">
        <w:rPr>
          <w:rFonts w:ascii="Arial" w:eastAsia="Times New Roman" w:hAnsi="Arial" w:cs="Arial"/>
        </w:rPr>
        <w:t>f</w:t>
      </w:r>
      <w:r w:rsidRPr="00121154">
        <w:rPr>
          <w:rFonts w:ascii="Arial" w:eastAsia="Times New Roman" w:hAnsi="Arial" w:cs="Arial"/>
        </w:rPr>
        <w:t xml:space="preserve">inancial </w:t>
      </w:r>
      <w:r w:rsidR="7AC1991E" w:rsidRPr="00121154">
        <w:rPr>
          <w:rFonts w:ascii="Arial" w:eastAsia="Times New Roman" w:hAnsi="Arial" w:cs="Arial"/>
        </w:rPr>
        <w:t>i</w:t>
      </w:r>
      <w:r w:rsidRPr="00121154">
        <w:rPr>
          <w:rFonts w:ascii="Arial" w:eastAsia="Times New Roman" w:hAnsi="Arial" w:cs="Arial"/>
        </w:rPr>
        <w:t xml:space="preserve">nclusion and </w:t>
      </w:r>
      <w:r w:rsidR="1AE625F5" w:rsidRPr="00121154">
        <w:rPr>
          <w:rFonts w:ascii="Arial" w:eastAsia="Times New Roman" w:hAnsi="Arial" w:cs="Arial"/>
        </w:rPr>
        <w:t>i</w:t>
      </w:r>
      <w:r w:rsidRPr="00121154">
        <w:rPr>
          <w:rFonts w:ascii="Arial" w:eastAsia="Times New Roman" w:hAnsi="Arial" w:cs="Arial"/>
        </w:rPr>
        <w:t>ncome-</w:t>
      </w:r>
      <w:r w:rsidR="586F4895" w:rsidRPr="00121154">
        <w:rPr>
          <w:rFonts w:ascii="Arial" w:eastAsia="Times New Roman" w:hAnsi="Arial" w:cs="Arial"/>
        </w:rPr>
        <w:t>g</w:t>
      </w:r>
      <w:r w:rsidRPr="00121154">
        <w:rPr>
          <w:rFonts w:ascii="Arial" w:eastAsia="Times New Roman" w:hAnsi="Arial" w:cs="Arial"/>
        </w:rPr>
        <w:t xml:space="preserve">enerating </w:t>
      </w:r>
      <w:r w:rsidR="55C6FA91" w:rsidRPr="00121154">
        <w:rPr>
          <w:rFonts w:ascii="Arial" w:eastAsia="Times New Roman" w:hAnsi="Arial" w:cs="Arial"/>
        </w:rPr>
        <w:t>o</w:t>
      </w:r>
      <w:r w:rsidRPr="00121154">
        <w:rPr>
          <w:rFonts w:ascii="Arial" w:eastAsia="Times New Roman" w:hAnsi="Arial" w:cs="Arial"/>
        </w:rPr>
        <w:t>pportunities: Strengthening microfinance access, reinvesting carbon payments into community businesses, and developing alternative livelihoods can help more households experience long-term economic benefits.</w:t>
      </w:r>
    </w:p>
    <w:p w14:paraId="474EF670" w14:textId="26FD0264" w:rsidR="009D1C3B" w:rsidRPr="00121154" w:rsidRDefault="009D1C3B" w:rsidP="00A57257">
      <w:pPr>
        <w:pStyle w:val="ListParagraph"/>
        <w:numPr>
          <w:ilvl w:val="0"/>
          <w:numId w:val="1"/>
        </w:numPr>
        <w:spacing w:line="480" w:lineRule="auto"/>
        <w:rPr>
          <w:rFonts w:ascii="Arial" w:eastAsia="Times New Roman" w:hAnsi="Arial" w:cs="Arial"/>
        </w:rPr>
      </w:pPr>
      <w:r w:rsidRPr="00121154">
        <w:rPr>
          <w:rFonts w:ascii="Arial" w:eastAsia="Times New Roman" w:hAnsi="Arial" w:cs="Arial"/>
        </w:rPr>
        <w:t xml:space="preserve">Enhance </w:t>
      </w:r>
      <w:r w:rsidR="3C3C2B25" w:rsidRPr="00121154">
        <w:rPr>
          <w:rFonts w:ascii="Arial" w:eastAsia="Times New Roman" w:hAnsi="Arial" w:cs="Arial"/>
        </w:rPr>
        <w:t>c</w:t>
      </w:r>
      <w:r w:rsidRPr="00121154">
        <w:rPr>
          <w:rFonts w:ascii="Arial" w:eastAsia="Times New Roman" w:hAnsi="Arial" w:cs="Arial"/>
        </w:rPr>
        <w:t xml:space="preserve">limate </w:t>
      </w:r>
      <w:r w:rsidR="4DA9321F" w:rsidRPr="00121154">
        <w:rPr>
          <w:rFonts w:ascii="Arial" w:eastAsia="Times New Roman" w:hAnsi="Arial" w:cs="Arial"/>
        </w:rPr>
        <w:t>a</w:t>
      </w:r>
      <w:r w:rsidRPr="00121154">
        <w:rPr>
          <w:rFonts w:ascii="Arial" w:eastAsia="Times New Roman" w:hAnsi="Arial" w:cs="Arial"/>
        </w:rPr>
        <w:t xml:space="preserve">daptation </w:t>
      </w:r>
      <w:r w:rsidR="26B2C593" w:rsidRPr="00121154">
        <w:rPr>
          <w:rFonts w:ascii="Arial" w:eastAsia="Times New Roman" w:hAnsi="Arial" w:cs="Arial"/>
        </w:rPr>
        <w:t>t</w:t>
      </w:r>
      <w:r w:rsidRPr="00121154">
        <w:rPr>
          <w:rFonts w:ascii="Arial" w:eastAsia="Times New Roman" w:hAnsi="Arial" w:cs="Arial"/>
        </w:rPr>
        <w:t xml:space="preserve">raining and </w:t>
      </w:r>
      <w:r w:rsidR="4D922B20" w:rsidRPr="00121154">
        <w:rPr>
          <w:rFonts w:ascii="Arial" w:eastAsia="Times New Roman" w:hAnsi="Arial" w:cs="Arial"/>
        </w:rPr>
        <w:t>r</w:t>
      </w:r>
      <w:r w:rsidRPr="00121154">
        <w:rPr>
          <w:rFonts w:ascii="Arial" w:eastAsia="Times New Roman" w:hAnsi="Arial" w:cs="Arial"/>
        </w:rPr>
        <w:t>esilience-</w:t>
      </w:r>
      <w:r w:rsidR="02FFFE75" w:rsidRPr="00121154">
        <w:rPr>
          <w:rFonts w:ascii="Arial" w:eastAsia="Times New Roman" w:hAnsi="Arial" w:cs="Arial"/>
        </w:rPr>
        <w:t>b</w:t>
      </w:r>
      <w:r w:rsidRPr="00121154">
        <w:rPr>
          <w:rFonts w:ascii="Arial" w:eastAsia="Times New Roman" w:hAnsi="Arial" w:cs="Arial"/>
        </w:rPr>
        <w:t>uilding: Providing structured training on financial management, climate-smart agriculture, and sustainable resource management can empower households to maximize the benefits of carbon markets and reduce dependency on pastoralism alone.</w:t>
      </w:r>
    </w:p>
    <w:p w14:paraId="3B50EF72" w14:textId="49F5E000" w:rsidR="009D1C3B" w:rsidRPr="00121154" w:rsidRDefault="009D1C3B" w:rsidP="00A57257">
      <w:pPr>
        <w:pStyle w:val="ListParagraph"/>
        <w:numPr>
          <w:ilvl w:val="0"/>
          <w:numId w:val="1"/>
        </w:numPr>
        <w:spacing w:line="480" w:lineRule="auto"/>
        <w:rPr>
          <w:rFonts w:ascii="Arial" w:eastAsia="Times New Roman" w:hAnsi="Arial" w:cs="Arial"/>
        </w:rPr>
      </w:pPr>
      <w:r w:rsidRPr="00121154">
        <w:rPr>
          <w:rFonts w:ascii="Arial" w:eastAsia="Times New Roman" w:hAnsi="Arial" w:cs="Arial"/>
        </w:rPr>
        <w:lastRenderedPageBreak/>
        <w:t xml:space="preserve">Improve </w:t>
      </w:r>
      <w:r w:rsidR="36A02124" w:rsidRPr="00121154">
        <w:rPr>
          <w:rFonts w:ascii="Arial" w:eastAsia="Times New Roman" w:hAnsi="Arial" w:cs="Arial"/>
        </w:rPr>
        <w:t>c</w:t>
      </w:r>
      <w:r w:rsidRPr="00121154">
        <w:rPr>
          <w:rFonts w:ascii="Arial" w:eastAsia="Times New Roman" w:hAnsi="Arial" w:cs="Arial"/>
        </w:rPr>
        <w:t xml:space="preserve">ommunity </w:t>
      </w:r>
      <w:r w:rsidR="7E86D15C" w:rsidRPr="00121154">
        <w:rPr>
          <w:rFonts w:ascii="Arial" w:eastAsia="Times New Roman" w:hAnsi="Arial" w:cs="Arial"/>
        </w:rPr>
        <w:t>p</w:t>
      </w:r>
      <w:r w:rsidRPr="00121154">
        <w:rPr>
          <w:rFonts w:ascii="Arial" w:eastAsia="Times New Roman" w:hAnsi="Arial" w:cs="Arial"/>
        </w:rPr>
        <w:t xml:space="preserve">articipation and </w:t>
      </w:r>
      <w:r w:rsidR="7228483E" w:rsidRPr="00121154">
        <w:rPr>
          <w:rFonts w:ascii="Arial" w:eastAsia="Times New Roman" w:hAnsi="Arial" w:cs="Arial"/>
        </w:rPr>
        <w:t>g</w:t>
      </w:r>
      <w:r w:rsidRPr="00121154">
        <w:rPr>
          <w:rFonts w:ascii="Arial" w:eastAsia="Times New Roman" w:hAnsi="Arial" w:cs="Arial"/>
        </w:rPr>
        <w:t>overnance: Establishing more transparent decision-making frameworks and ensuring inclusive benefit-sharing mechanisms will enhance trust and encourage wider participation in carbon initiatives.</w:t>
      </w:r>
    </w:p>
    <w:p w14:paraId="2AFEAA34" w14:textId="76F0B852" w:rsidR="009D1C3B" w:rsidRPr="00121154" w:rsidRDefault="009D1C3B" w:rsidP="00A57257">
      <w:pPr>
        <w:pStyle w:val="ListParagraph"/>
        <w:numPr>
          <w:ilvl w:val="0"/>
          <w:numId w:val="1"/>
        </w:numPr>
        <w:spacing w:line="480" w:lineRule="auto"/>
        <w:rPr>
          <w:rFonts w:ascii="Arial" w:eastAsia="Times New Roman" w:hAnsi="Arial" w:cs="Arial"/>
        </w:rPr>
      </w:pPr>
      <w:r w:rsidRPr="00121154">
        <w:rPr>
          <w:rFonts w:ascii="Arial" w:eastAsia="Times New Roman" w:hAnsi="Arial" w:cs="Arial"/>
        </w:rPr>
        <w:t xml:space="preserve">Strengthen </w:t>
      </w:r>
      <w:r w:rsidR="12F0FE32" w:rsidRPr="00121154">
        <w:rPr>
          <w:rFonts w:ascii="Arial" w:eastAsia="Times New Roman" w:hAnsi="Arial" w:cs="Arial"/>
        </w:rPr>
        <w:t>p</w:t>
      </w:r>
      <w:r w:rsidRPr="00121154">
        <w:rPr>
          <w:rFonts w:ascii="Arial" w:eastAsia="Times New Roman" w:hAnsi="Arial" w:cs="Arial"/>
        </w:rPr>
        <w:t xml:space="preserve">olicy </w:t>
      </w:r>
      <w:r w:rsidR="5A21DE21" w:rsidRPr="00121154">
        <w:rPr>
          <w:rFonts w:ascii="Arial" w:eastAsia="Times New Roman" w:hAnsi="Arial" w:cs="Arial"/>
        </w:rPr>
        <w:t>i</w:t>
      </w:r>
      <w:r w:rsidRPr="00121154">
        <w:rPr>
          <w:rFonts w:ascii="Arial" w:eastAsia="Times New Roman" w:hAnsi="Arial" w:cs="Arial"/>
        </w:rPr>
        <w:t xml:space="preserve">ntegration and </w:t>
      </w:r>
      <w:r w:rsidR="763EC570" w:rsidRPr="00121154">
        <w:rPr>
          <w:rFonts w:ascii="Arial" w:eastAsia="Times New Roman" w:hAnsi="Arial" w:cs="Arial"/>
        </w:rPr>
        <w:t>p</w:t>
      </w:r>
      <w:r w:rsidRPr="00121154">
        <w:rPr>
          <w:rFonts w:ascii="Arial" w:eastAsia="Times New Roman" w:hAnsi="Arial" w:cs="Arial"/>
        </w:rPr>
        <w:t xml:space="preserve">roject </w:t>
      </w:r>
      <w:r w:rsidR="5A28DD73" w:rsidRPr="00121154">
        <w:rPr>
          <w:rFonts w:ascii="Arial" w:eastAsia="Times New Roman" w:hAnsi="Arial" w:cs="Arial"/>
        </w:rPr>
        <w:t>s</w:t>
      </w:r>
      <w:r w:rsidRPr="00121154">
        <w:rPr>
          <w:rFonts w:ascii="Arial" w:eastAsia="Times New Roman" w:hAnsi="Arial" w:cs="Arial"/>
        </w:rPr>
        <w:t>ustainability: Carbon market projects should be better integrated into national and local climate policies, with increased investment in infrastructure and technical support to ensure that adaptation benefits are long-lasting.</w:t>
      </w:r>
    </w:p>
    <w:p w14:paraId="185A6ED2" w14:textId="4C90F50D" w:rsidR="00A46A79" w:rsidRPr="00121154" w:rsidRDefault="00A46A79" w:rsidP="73693557">
      <w:pPr>
        <w:pStyle w:val="Heading1"/>
        <w:rPr>
          <w:rFonts w:ascii="Arial" w:eastAsia="Times New Roman" w:hAnsi="Arial" w:cs="Arial"/>
          <w:b/>
          <w:bCs/>
          <w:color w:val="auto"/>
          <w:sz w:val="22"/>
          <w:szCs w:val="22"/>
        </w:rPr>
      </w:pPr>
      <w:r w:rsidRPr="00121154">
        <w:rPr>
          <w:rFonts w:ascii="Arial" w:eastAsia="Times New Roman" w:hAnsi="Arial" w:cs="Arial"/>
          <w:b/>
          <w:bCs/>
          <w:color w:val="auto"/>
          <w:sz w:val="22"/>
          <w:szCs w:val="22"/>
        </w:rPr>
        <w:t>References</w:t>
      </w:r>
    </w:p>
    <w:p w14:paraId="23C96F9D"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Asquith, N. M., Vargas Ríos, M. T., &amp; Smith, J. (2002). Can forest-protection carbon projects improve rural livelihoods? Analysis of the Noel Kempff Mercado climate action project, Bolivia. </w:t>
      </w:r>
      <w:r w:rsidRPr="00121154">
        <w:rPr>
          <w:rFonts w:ascii="Arial" w:eastAsia="Times New Roman" w:hAnsi="Arial" w:cs="Arial"/>
          <w:i/>
          <w:iCs/>
        </w:rPr>
        <w:t>Mitigation and Adaptation Strategies for Global Change, 7</w:t>
      </w:r>
      <w:r w:rsidRPr="00121154">
        <w:rPr>
          <w:rFonts w:ascii="Arial" w:eastAsia="Times New Roman" w:hAnsi="Arial" w:cs="Arial"/>
        </w:rPr>
        <w:t>(4), 323–337. Retrieved from https://www.cifor-icraf.org/knowledge/publication/1273/</w:t>
      </w:r>
    </w:p>
    <w:p w14:paraId="01CB90A9"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Atela, J. O., Minang, P. A., Quinn, C. H., &amp; Duguma, L. A. (2015). Implementing REDD+ at the local level: Assessing the key enablers for credible mitigation and sustainable livelihood outcomes. </w:t>
      </w:r>
      <w:r w:rsidRPr="00121154">
        <w:rPr>
          <w:rFonts w:ascii="Arial" w:eastAsia="Times New Roman" w:hAnsi="Arial" w:cs="Arial"/>
          <w:i/>
          <w:iCs/>
        </w:rPr>
        <w:t>Journal of Environmental Management, 157</w:t>
      </w:r>
      <w:r w:rsidRPr="00121154">
        <w:rPr>
          <w:rFonts w:ascii="Arial" w:eastAsia="Times New Roman" w:hAnsi="Arial" w:cs="Arial"/>
        </w:rPr>
        <w:t>, 238–249. https://doi.org/10.1016/j.jenvman.2015.04.015</w:t>
      </w:r>
    </w:p>
    <w:p w14:paraId="797966D4"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Bernard, F., &amp; Adkins, B. (2014). Community-based conservation and carbon markets: A critical analysis. </w:t>
      </w:r>
      <w:r w:rsidRPr="00121154">
        <w:rPr>
          <w:rFonts w:ascii="Arial" w:eastAsia="Times New Roman" w:hAnsi="Arial" w:cs="Arial"/>
          <w:i/>
          <w:iCs/>
        </w:rPr>
        <w:t>Global Environmental Change, 24</w:t>
      </w:r>
      <w:r w:rsidRPr="00121154">
        <w:rPr>
          <w:rFonts w:ascii="Arial" w:eastAsia="Times New Roman" w:hAnsi="Arial" w:cs="Arial"/>
        </w:rPr>
        <w:t>, 53-64. https://doi.org/10.1016/j.gloenvcha.2013.11.007</w:t>
      </w:r>
    </w:p>
    <w:p w14:paraId="416ABF24"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Bond, I., Millar, I., &amp; Ramos, C. (2020). Governance challenges in carbon market implementation: Lessons from sub-Saharan Africa. </w:t>
      </w:r>
      <w:r w:rsidRPr="00121154">
        <w:rPr>
          <w:rFonts w:ascii="Arial" w:eastAsia="Times New Roman" w:hAnsi="Arial" w:cs="Arial"/>
          <w:i/>
          <w:iCs/>
        </w:rPr>
        <w:t>Environmental Policy and Governance, 30</w:t>
      </w:r>
      <w:r w:rsidRPr="00121154">
        <w:rPr>
          <w:rFonts w:ascii="Arial" w:eastAsia="Times New Roman" w:hAnsi="Arial" w:cs="Arial"/>
        </w:rPr>
        <w:t>(2), 129-144. https://doi.org/10.1002/eet.1885</w:t>
      </w:r>
    </w:p>
    <w:p w14:paraId="373396AE"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Bryan, E., Ringler, C., </w:t>
      </w:r>
      <w:proofErr w:type="spellStart"/>
      <w:r w:rsidRPr="00121154">
        <w:rPr>
          <w:rFonts w:ascii="Arial" w:eastAsia="Times New Roman" w:hAnsi="Arial" w:cs="Arial"/>
        </w:rPr>
        <w:t>Okoba</w:t>
      </w:r>
      <w:proofErr w:type="spellEnd"/>
      <w:r w:rsidRPr="00121154">
        <w:rPr>
          <w:rFonts w:ascii="Arial" w:eastAsia="Times New Roman" w:hAnsi="Arial" w:cs="Arial"/>
        </w:rPr>
        <w:t xml:space="preserve">, B., </w:t>
      </w:r>
      <w:proofErr w:type="spellStart"/>
      <w:r w:rsidRPr="00121154">
        <w:rPr>
          <w:rFonts w:ascii="Arial" w:eastAsia="Times New Roman" w:hAnsi="Arial" w:cs="Arial"/>
        </w:rPr>
        <w:t>Roncoli</w:t>
      </w:r>
      <w:proofErr w:type="spellEnd"/>
      <w:r w:rsidRPr="00121154">
        <w:rPr>
          <w:rFonts w:ascii="Arial" w:eastAsia="Times New Roman" w:hAnsi="Arial" w:cs="Arial"/>
        </w:rPr>
        <w:t xml:space="preserve">, C., Silvestri, S., &amp; Herrero, M. (2018). Adaptive capacity and climate resilience of Kenyan smallholder farmers. </w:t>
      </w:r>
      <w:r w:rsidRPr="00121154">
        <w:rPr>
          <w:rFonts w:ascii="Arial" w:eastAsia="Times New Roman" w:hAnsi="Arial" w:cs="Arial"/>
          <w:i/>
          <w:iCs/>
        </w:rPr>
        <w:t>Climate Risk Management, 4</w:t>
      </w:r>
      <w:r w:rsidRPr="00121154">
        <w:rPr>
          <w:rFonts w:ascii="Arial" w:eastAsia="Times New Roman" w:hAnsi="Arial" w:cs="Arial"/>
        </w:rPr>
        <w:t>, 43–54. https://doi.org/10.1016/j.crm.2014.10.004</w:t>
      </w:r>
    </w:p>
    <w:p w14:paraId="51285971"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Herr, D., Blum, M., Himes-Cornell, A., &amp; Sutton-Grier, A. (2019). The role of blue carbon in climate adaptation and sustainable development. </w:t>
      </w:r>
      <w:r w:rsidRPr="00121154">
        <w:rPr>
          <w:rFonts w:ascii="Arial" w:eastAsia="Times New Roman" w:hAnsi="Arial" w:cs="Arial"/>
          <w:i/>
          <w:iCs/>
        </w:rPr>
        <w:t>Frontiers in Marine Science, 6</w:t>
      </w:r>
      <w:r w:rsidRPr="00121154">
        <w:rPr>
          <w:rFonts w:ascii="Arial" w:eastAsia="Times New Roman" w:hAnsi="Arial" w:cs="Arial"/>
        </w:rPr>
        <w:t>, 237. https://doi.org/10.3389/fmars.2019.00237</w:t>
      </w:r>
    </w:p>
    <w:p w14:paraId="13FC21CA"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IPCC. (2021). </w:t>
      </w:r>
      <w:r w:rsidRPr="00121154">
        <w:rPr>
          <w:rFonts w:ascii="Arial" w:eastAsia="Times New Roman" w:hAnsi="Arial" w:cs="Arial"/>
          <w:i/>
          <w:iCs/>
        </w:rPr>
        <w:t>Climate Change 2021: The Physical Science Basis.</w:t>
      </w:r>
      <w:r w:rsidRPr="00121154">
        <w:rPr>
          <w:rFonts w:ascii="Arial" w:eastAsia="Times New Roman" w:hAnsi="Arial" w:cs="Arial"/>
        </w:rPr>
        <w:t xml:space="preserve"> Contribution of Working Group I to the Sixth Assessment Report of the Intergovernmental Panel on Climate Change. Cambridge University Press. Retrieved from https://www.ipcc.ch/report/ar6/wg1/</w:t>
      </w:r>
    </w:p>
    <w:p w14:paraId="4AA8FEC6" w14:textId="48078F45" w:rsidR="00821335" w:rsidRPr="00121154" w:rsidRDefault="00821335" w:rsidP="73693557">
      <w:pPr>
        <w:rPr>
          <w:rFonts w:ascii="Arial" w:eastAsia="Times New Roman" w:hAnsi="Arial" w:cs="Arial"/>
        </w:rPr>
      </w:pPr>
      <w:r w:rsidRPr="00121154">
        <w:rPr>
          <w:rFonts w:ascii="Arial" w:eastAsia="Times New Roman" w:hAnsi="Arial" w:cs="Arial"/>
        </w:rPr>
        <w:t>Little, P. D. (</w:t>
      </w:r>
      <w:r w:rsidR="00EF06DD" w:rsidRPr="00121154">
        <w:rPr>
          <w:rFonts w:ascii="Arial" w:eastAsia="Times New Roman" w:hAnsi="Arial" w:cs="Arial"/>
        </w:rPr>
        <w:t>2011</w:t>
      </w:r>
      <w:r w:rsidRPr="00121154">
        <w:rPr>
          <w:rFonts w:ascii="Arial" w:eastAsia="Times New Roman" w:hAnsi="Arial" w:cs="Arial"/>
        </w:rPr>
        <w:t xml:space="preserve">). Pastoralism, biodiversity, and the shaping of savanna landscapes in East Africa. </w:t>
      </w:r>
      <w:r w:rsidRPr="00121154">
        <w:rPr>
          <w:rFonts w:ascii="Arial" w:eastAsia="Times New Roman" w:hAnsi="Arial" w:cs="Arial"/>
          <w:i/>
          <w:iCs/>
        </w:rPr>
        <w:t>Africa, 66</w:t>
      </w:r>
      <w:r w:rsidRPr="00121154">
        <w:rPr>
          <w:rFonts w:ascii="Arial" w:eastAsia="Times New Roman" w:hAnsi="Arial" w:cs="Arial"/>
        </w:rPr>
        <w:t>(1), 37–51. https://doi.org/10.2307/1161510</w:t>
      </w:r>
    </w:p>
    <w:p w14:paraId="5042DB34"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Mathur, V. N., </w:t>
      </w:r>
      <w:proofErr w:type="spellStart"/>
      <w:r w:rsidRPr="00121154">
        <w:rPr>
          <w:rFonts w:ascii="Arial" w:eastAsia="Times New Roman" w:hAnsi="Arial" w:cs="Arial"/>
        </w:rPr>
        <w:t>Afionis</w:t>
      </w:r>
      <w:proofErr w:type="spellEnd"/>
      <w:r w:rsidRPr="00121154">
        <w:rPr>
          <w:rFonts w:ascii="Arial" w:eastAsia="Times New Roman" w:hAnsi="Arial" w:cs="Arial"/>
        </w:rPr>
        <w:t xml:space="preserve">, S., Paavola, J., Dougill, A. J., &amp; Stringer, L. C. (2014). Experiences of host communities with carbon market projects: Towards multi-level climate justice. </w:t>
      </w:r>
      <w:r w:rsidRPr="00121154">
        <w:rPr>
          <w:rFonts w:ascii="Arial" w:eastAsia="Times New Roman" w:hAnsi="Arial" w:cs="Arial"/>
          <w:i/>
          <w:iCs/>
        </w:rPr>
        <w:t>Climate Policy, 14</w:t>
      </w:r>
      <w:r w:rsidRPr="00121154">
        <w:rPr>
          <w:rFonts w:ascii="Arial" w:eastAsia="Times New Roman" w:hAnsi="Arial" w:cs="Arial"/>
        </w:rPr>
        <w:t>(1), 42–62. https://doi.org/10.1080/14693062.2013.861728</w:t>
      </w:r>
    </w:p>
    <w:p w14:paraId="2FE03B99" w14:textId="77777777" w:rsidR="00821335" w:rsidRPr="00121154" w:rsidRDefault="00821335" w:rsidP="73693557">
      <w:pPr>
        <w:rPr>
          <w:rFonts w:ascii="Arial" w:eastAsia="Times New Roman" w:hAnsi="Arial" w:cs="Arial"/>
        </w:rPr>
      </w:pPr>
      <w:r w:rsidRPr="00121154">
        <w:rPr>
          <w:rFonts w:ascii="Arial" w:eastAsia="Times New Roman" w:hAnsi="Arial" w:cs="Arial"/>
        </w:rPr>
        <w:lastRenderedPageBreak/>
        <w:t xml:space="preserve">Mburu, C. W. (2015). </w:t>
      </w:r>
      <w:r w:rsidRPr="00121154">
        <w:rPr>
          <w:rFonts w:ascii="Arial" w:eastAsia="Times New Roman" w:hAnsi="Arial" w:cs="Arial"/>
          <w:i/>
          <w:iCs/>
        </w:rPr>
        <w:t>Factors influencing implementation of selected donor-funded projects in Kenya: The case of World Vision Isiolo County, Kenya</w:t>
      </w:r>
      <w:r w:rsidRPr="00121154">
        <w:rPr>
          <w:rFonts w:ascii="Arial" w:eastAsia="Times New Roman" w:hAnsi="Arial" w:cs="Arial"/>
        </w:rPr>
        <w:t xml:space="preserve"> (Master's thesis). University of Nairobi. Retrieved from http://erepository.uonbi.ac.ke/handle/11295/90505</w:t>
      </w:r>
    </w:p>
    <w:p w14:paraId="48424063" w14:textId="53F3218C" w:rsidR="00821335" w:rsidRPr="00121154" w:rsidRDefault="00821335" w:rsidP="73693557">
      <w:pPr>
        <w:rPr>
          <w:rFonts w:ascii="Arial" w:eastAsia="Times New Roman" w:hAnsi="Arial" w:cs="Arial"/>
        </w:rPr>
      </w:pPr>
      <w:r w:rsidRPr="00121154">
        <w:rPr>
          <w:rFonts w:ascii="Arial" w:eastAsia="Times New Roman" w:hAnsi="Arial" w:cs="Arial"/>
        </w:rPr>
        <w:t xml:space="preserve">McCarthy, J., &amp; Di Gregorio, M. (2007). Climate change adaptation, rural institutions, and development. </w:t>
      </w:r>
      <w:r w:rsidRPr="00121154">
        <w:rPr>
          <w:rFonts w:ascii="Arial" w:eastAsia="Times New Roman" w:hAnsi="Arial" w:cs="Arial"/>
          <w:i/>
          <w:iCs/>
        </w:rPr>
        <w:t>World Development, 35</w:t>
      </w:r>
      <w:r w:rsidRPr="00121154">
        <w:rPr>
          <w:rFonts w:ascii="Arial" w:eastAsia="Times New Roman" w:hAnsi="Arial" w:cs="Arial"/>
        </w:rPr>
        <w:t xml:space="preserve">(3), 341–363. </w:t>
      </w:r>
      <w:hyperlink r:id="rId13">
        <w:r w:rsidRPr="00121154">
          <w:rPr>
            <w:rStyle w:val="Hyperlink"/>
            <w:rFonts w:ascii="Arial" w:eastAsia="Times New Roman" w:hAnsi="Arial" w:cs="Arial"/>
          </w:rPr>
          <w:t>https://doi.org/10.1016/j.worlddev.2006.10.008</w:t>
        </w:r>
      </w:hyperlink>
    </w:p>
    <w:p w14:paraId="2A6B196A" w14:textId="284F3452" w:rsidR="00350D3D" w:rsidRPr="00121154" w:rsidRDefault="00821335" w:rsidP="73693557">
      <w:pPr>
        <w:rPr>
          <w:rFonts w:ascii="Arial" w:eastAsia="Times New Roman" w:hAnsi="Arial" w:cs="Arial"/>
        </w:rPr>
      </w:pPr>
      <w:r w:rsidRPr="00121154">
        <w:rPr>
          <w:rFonts w:ascii="Arial" w:eastAsia="Times New Roman" w:hAnsi="Arial" w:cs="Arial"/>
        </w:rPr>
        <w:t xml:space="preserve">Mukami, D. M. (2016). </w:t>
      </w:r>
      <w:r w:rsidRPr="00121154">
        <w:rPr>
          <w:rFonts w:ascii="Arial" w:eastAsia="Times New Roman" w:hAnsi="Arial" w:cs="Arial"/>
          <w:i/>
          <w:iCs/>
        </w:rPr>
        <w:t>Carbon markets and livelihood sustainability in dryland regions: Evidence from Kenya</w:t>
      </w:r>
      <w:r w:rsidRPr="00121154">
        <w:rPr>
          <w:rFonts w:ascii="Arial" w:eastAsia="Times New Roman" w:hAnsi="Arial" w:cs="Arial"/>
        </w:rPr>
        <w:t xml:space="preserve"> (Doctoral dissertation). Kenyatta University. Retrieved from </w:t>
      </w:r>
      <w:hyperlink r:id="rId14">
        <w:r w:rsidRPr="00121154">
          <w:rPr>
            <w:rStyle w:val="Hyperlink"/>
            <w:rFonts w:ascii="Arial" w:eastAsia="Times New Roman" w:hAnsi="Arial" w:cs="Arial"/>
          </w:rPr>
          <w:t>https://ir-library.ku.ac.ke/</w:t>
        </w:r>
      </w:hyperlink>
    </w:p>
    <w:p w14:paraId="27AE9C3B" w14:textId="51B1C5BE" w:rsidR="00350D3D" w:rsidRPr="00121154" w:rsidRDefault="2CE364F4" w:rsidP="73693557">
      <w:pPr>
        <w:rPr>
          <w:rFonts w:ascii="Arial" w:eastAsia="Times New Roman" w:hAnsi="Arial" w:cs="Arial"/>
        </w:rPr>
      </w:pPr>
      <w:r w:rsidRPr="00121154">
        <w:rPr>
          <w:rFonts w:ascii="Arial" w:eastAsia="Times New Roman" w:hAnsi="Arial" w:cs="Arial"/>
        </w:rPr>
        <w:t xml:space="preserve">Munene, M. W. (2019). </w:t>
      </w:r>
      <w:r w:rsidRPr="00121154">
        <w:rPr>
          <w:rFonts w:ascii="Arial" w:eastAsia="Times New Roman" w:hAnsi="Arial" w:cs="Arial"/>
          <w:i/>
          <w:iCs/>
        </w:rPr>
        <w:t xml:space="preserve">Factors influencing management of rangelands by pastoral communities in </w:t>
      </w:r>
      <w:proofErr w:type="spellStart"/>
      <w:r w:rsidRPr="00121154">
        <w:rPr>
          <w:rFonts w:ascii="Arial" w:eastAsia="Times New Roman" w:hAnsi="Arial" w:cs="Arial"/>
          <w:i/>
          <w:iCs/>
        </w:rPr>
        <w:t>Gotu</w:t>
      </w:r>
      <w:proofErr w:type="spellEnd"/>
      <w:r w:rsidRPr="00121154">
        <w:rPr>
          <w:rFonts w:ascii="Arial" w:eastAsia="Times New Roman" w:hAnsi="Arial" w:cs="Arial"/>
          <w:i/>
          <w:iCs/>
        </w:rPr>
        <w:t xml:space="preserve">, </w:t>
      </w:r>
      <w:proofErr w:type="spellStart"/>
      <w:r w:rsidRPr="00121154">
        <w:rPr>
          <w:rFonts w:ascii="Arial" w:eastAsia="Times New Roman" w:hAnsi="Arial" w:cs="Arial"/>
          <w:i/>
          <w:iCs/>
        </w:rPr>
        <w:t>Ngaremara</w:t>
      </w:r>
      <w:proofErr w:type="spellEnd"/>
      <w:r w:rsidRPr="00121154">
        <w:rPr>
          <w:rFonts w:ascii="Arial" w:eastAsia="Times New Roman" w:hAnsi="Arial" w:cs="Arial"/>
          <w:i/>
          <w:iCs/>
        </w:rPr>
        <w:t xml:space="preserve"> ward, </w:t>
      </w:r>
      <w:proofErr w:type="spellStart"/>
      <w:r w:rsidRPr="00121154">
        <w:rPr>
          <w:rFonts w:ascii="Arial" w:eastAsia="Times New Roman" w:hAnsi="Arial" w:cs="Arial"/>
          <w:i/>
          <w:iCs/>
        </w:rPr>
        <w:t>Isiolo</w:t>
      </w:r>
      <w:proofErr w:type="spellEnd"/>
      <w:r w:rsidRPr="00121154">
        <w:rPr>
          <w:rFonts w:ascii="Arial" w:eastAsia="Times New Roman" w:hAnsi="Arial" w:cs="Arial"/>
          <w:i/>
          <w:iCs/>
        </w:rPr>
        <w:t xml:space="preserve"> County, Kenya</w:t>
      </w:r>
      <w:r w:rsidRPr="00121154">
        <w:rPr>
          <w:rFonts w:ascii="Arial" w:eastAsia="Times New Roman" w:hAnsi="Arial" w:cs="Arial"/>
        </w:rPr>
        <w:t xml:space="preserve"> (Master's thesis). University of Nairobi. Retrieved from http://erepository.uonbi.ac.ke/handle/11295/106751</w:t>
      </w:r>
    </w:p>
    <w:p w14:paraId="46C13079" w14:textId="61D86740" w:rsidR="00350D3D" w:rsidRPr="00121154" w:rsidRDefault="2CE364F4" w:rsidP="73693557">
      <w:pPr>
        <w:rPr>
          <w:rFonts w:ascii="Arial" w:eastAsia="Times New Roman" w:hAnsi="Arial" w:cs="Arial"/>
        </w:rPr>
      </w:pPr>
      <w:r w:rsidRPr="00121154">
        <w:rPr>
          <w:rFonts w:ascii="Arial" w:eastAsia="Times New Roman" w:hAnsi="Arial" w:cs="Arial"/>
        </w:rPr>
        <w:t xml:space="preserve">Wako, A. G. (2022). </w:t>
      </w:r>
      <w:r w:rsidRPr="00121154">
        <w:rPr>
          <w:rFonts w:ascii="Arial" w:eastAsia="Times New Roman" w:hAnsi="Arial" w:cs="Arial"/>
          <w:i/>
          <w:iCs/>
        </w:rPr>
        <w:t>Socio-economic impacts of carbon projects in Northern Kenya: An assessment of governance structures and equity in benefit-sharing</w:t>
      </w:r>
      <w:r w:rsidRPr="00121154">
        <w:rPr>
          <w:rFonts w:ascii="Arial" w:eastAsia="Times New Roman" w:hAnsi="Arial" w:cs="Arial"/>
        </w:rPr>
        <w:t xml:space="preserve"> (Master’s thesis). University of Nairobi. Retrieved from http://erepository.uonbi.ac.ke/</w:t>
      </w:r>
    </w:p>
    <w:sectPr w:rsidR="00350D3D" w:rsidRPr="0012115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A959" w14:textId="77777777" w:rsidR="00351F0C" w:rsidRDefault="00351F0C" w:rsidP="007B1BC2">
      <w:pPr>
        <w:spacing w:after="0" w:line="240" w:lineRule="auto"/>
      </w:pPr>
      <w:r>
        <w:separator/>
      </w:r>
    </w:p>
  </w:endnote>
  <w:endnote w:type="continuationSeparator" w:id="0">
    <w:p w14:paraId="04BAD362" w14:textId="77777777" w:rsidR="00351F0C" w:rsidRDefault="00351F0C" w:rsidP="007B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53A0" w14:textId="77777777" w:rsidR="007B1BC2" w:rsidRDefault="007B1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04A1" w14:textId="77777777" w:rsidR="007B1BC2" w:rsidRDefault="007B1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9ED2" w14:textId="77777777" w:rsidR="007B1BC2" w:rsidRDefault="007B1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0587B" w14:textId="77777777" w:rsidR="00351F0C" w:rsidRDefault="00351F0C" w:rsidP="007B1BC2">
      <w:pPr>
        <w:spacing w:after="0" w:line="240" w:lineRule="auto"/>
      </w:pPr>
      <w:r>
        <w:separator/>
      </w:r>
    </w:p>
  </w:footnote>
  <w:footnote w:type="continuationSeparator" w:id="0">
    <w:p w14:paraId="44462975" w14:textId="77777777" w:rsidR="00351F0C" w:rsidRDefault="00351F0C" w:rsidP="007B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BA1E" w14:textId="2F46AC7D" w:rsidR="007B1BC2" w:rsidRDefault="00000000">
    <w:pPr>
      <w:pStyle w:val="Header"/>
    </w:pPr>
    <w:r>
      <w:rPr>
        <w:noProof/>
      </w:rPr>
      <w:pict w14:anchorId="430B9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284908"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277F" w14:textId="4CF4066C" w:rsidR="007B1BC2" w:rsidRDefault="00000000">
    <w:pPr>
      <w:pStyle w:val="Header"/>
    </w:pPr>
    <w:r>
      <w:rPr>
        <w:noProof/>
      </w:rPr>
      <w:pict w14:anchorId="6661B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284909"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4C99" w14:textId="17A4F4A5" w:rsidR="007B1BC2" w:rsidRDefault="00000000">
    <w:pPr>
      <w:pStyle w:val="Header"/>
    </w:pPr>
    <w:r>
      <w:rPr>
        <w:noProof/>
      </w:rPr>
      <w:pict w14:anchorId="350B9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284907"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Mcy6Hnrct8IgjA" int2:id="fhQy4hC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9F7"/>
    <w:multiLevelType w:val="multilevel"/>
    <w:tmpl w:val="29F4BDB2"/>
    <w:lvl w:ilvl="0">
      <w:start w:val="4"/>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E16FB"/>
    <w:multiLevelType w:val="multilevel"/>
    <w:tmpl w:val="B168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905C8"/>
    <w:multiLevelType w:val="multilevel"/>
    <w:tmpl w:val="EB6E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3024D"/>
    <w:multiLevelType w:val="multilevel"/>
    <w:tmpl w:val="D312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76F5"/>
    <w:multiLevelType w:val="hybridMultilevel"/>
    <w:tmpl w:val="8BB2CE9A"/>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A7F7D82"/>
    <w:multiLevelType w:val="multilevel"/>
    <w:tmpl w:val="8B92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5402F"/>
    <w:multiLevelType w:val="multilevel"/>
    <w:tmpl w:val="1E64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B529E"/>
    <w:multiLevelType w:val="multilevel"/>
    <w:tmpl w:val="943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C0F14"/>
    <w:multiLevelType w:val="hybridMultilevel"/>
    <w:tmpl w:val="2A7C4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ED4D36"/>
    <w:multiLevelType w:val="hybridMultilevel"/>
    <w:tmpl w:val="A9964D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A35131"/>
    <w:multiLevelType w:val="multilevel"/>
    <w:tmpl w:val="3052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9C2991"/>
    <w:multiLevelType w:val="hybridMultilevel"/>
    <w:tmpl w:val="233C11B8"/>
    <w:lvl w:ilvl="0" w:tplc="8F486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D87376"/>
    <w:multiLevelType w:val="hybridMultilevel"/>
    <w:tmpl w:val="7048FE28"/>
    <w:lvl w:ilvl="0" w:tplc="E684151E">
      <w:start w:val="1"/>
      <w:numFmt w:val="lowerRoman"/>
      <w:lvlText w:val="%1)"/>
      <w:lvlJc w:val="right"/>
      <w:pPr>
        <w:ind w:left="720" w:hanging="360"/>
      </w:pPr>
    </w:lvl>
    <w:lvl w:ilvl="1" w:tplc="7398179A">
      <w:start w:val="1"/>
      <w:numFmt w:val="lowerLetter"/>
      <w:lvlText w:val="%2."/>
      <w:lvlJc w:val="left"/>
      <w:pPr>
        <w:ind w:left="1440" w:hanging="360"/>
      </w:pPr>
    </w:lvl>
    <w:lvl w:ilvl="2" w:tplc="B204E00A">
      <w:start w:val="1"/>
      <w:numFmt w:val="lowerRoman"/>
      <w:lvlText w:val="%3."/>
      <w:lvlJc w:val="right"/>
      <w:pPr>
        <w:ind w:left="2160" w:hanging="180"/>
      </w:pPr>
    </w:lvl>
    <w:lvl w:ilvl="3" w:tplc="81869782">
      <w:start w:val="1"/>
      <w:numFmt w:val="decimal"/>
      <w:lvlText w:val="%4."/>
      <w:lvlJc w:val="left"/>
      <w:pPr>
        <w:ind w:left="2880" w:hanging="360"/>
      </w:pPr>
    </w:lvl>
    <w:lvl w:ilvl="4" w:tplc="02A61C84">
      <w:start w:val="1"/>
      <w:numFmt w:val="lowerLetter"/>
      <w:lvlText w:val="%5."/>
      <w:lvlJc w:val="left"/>
      <w:pPr>
        <w:ind w:left="3600" w:hanging="360"/>
      </w:pPr>
    </w:lvl>
    <w:lvl w:ilvl="5" w:tplc="6978934A">
      <w:start w:val="1"/>
      <w:numFmt w:val="lowerRoman"/>
      <w:lvlText w:val="%6."/>
      <w:lvlJc w:val="right"/>
      <w:pPr>
        <w:ind w:left="4320" w:hanging="180"/>
      </w:pPr>
    </w:lvl>
    <w:lvl w:ilvl="6" w:tplc="15141D0E">
      <w:start w:val="1"/>
      <w:numFmt w:val="decimal"/>
      <w:lvlText w:val="%7."/>
      <w:lvlJc w:val="left"/>
      <w:pPr>
        <w:ind w:left="5040" w:hanging="360"/>
      </w:pPr>
    </w:lvl>
    <w:lvl w:ilvl="7" w:tplc="27FC7BE2">
      <w:start w:val="1"/>
      <w:numFmt w:val="lowerLetter"/>
      <w:lvlText w:val="%8."/>
      <w:lvlJc w:val="left"/>
      <w:pPr>
        <w:ind w:left="5760" w:hanging="360"/>
      </w:pPr>
    </w:lvl>
    <w:lvl w:ilvl="8" w:tplc="F0069A36">
      <w:start w:val="1"/>
      <w:numFmt w:val="lowerRoman"/>
      <w:lvlText w:val="%9."/>
      <w:lvlJc w:val="right"/>
      <w:pPr>
        <w:ind w:left="6480" w:hanging="180"/>
      </w:pPr>
    </w:lvl>
  </w:abstractNum>
  <w:abstractNum w:abstractNumId="13" w15:restartNumberingAfterBreak="0">
    <w:nsid w:val="6F056168"/>
    <w:multiLevelType w:val="multilevel"/>
    <w:tmpl w:val="4190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196089"/>
    <w:multiLevelType w:val="multilevel"/>
    <w:tmpl w:val="5768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4B0839"/>
    <w:multiLevelType w:val="multilevel"/>
    <w:tmpl w:val="2C68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ED3F3B"/>
    <w:multiLevelType w:val="hybridMultilevel"/>
    <w:tmpl w:val="7DFA7698"/>
    <w:lvl w:ilvl="0" w:tplc="389650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D7627"/>
    <w:multiLevelType w:val="multilevel"/>
    <w:tmpl w:val="EDB8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662222">
    <w:abstractNumId w:val="12"/>
  </w:num>
  <w:num w:numId="2" w16cid:durableId="804586093">
    <w:abstractNumId w:val="3"/>
  </w:num>
  <w:num w:numId="3" w16cid:durableId="1366980870">
    <w:abstractNumId w:val="1"/>
  </w:num>
  <w:num w:numId="4" w16cid:durableId="478613908">
    <w:abstractNumId w:val="13"/>
  </w:num>
  <w:num w:numId="5" w16cid:durableId="1546867191">
    <w:abstractNumId w:val="2"/>
  </w:num>
  <w:num w:numId="6" w16cid:durableId="1185434763">
    <w:abstractNumId w:val="14"/>
  </w:num>
  <w:num w:numId="7" w16cid:durableId="1413895006">
    <w:abstractNumId w:val="5"/>
  </w:num>
  <w:num w:numId="8" w16cid:durableId="547106948">
    <w:abstractNumId w:val="7"/>
  </w:num>
  <w:num w:numId="9" w16cid:durableId="291786904">
    <w:abstractNumId w:val="17"/>
  </w:num>
  <w:num w:numId="10" w16cid:durableId="2019654961">
    <w:abstractNumId w:val="6"/>
  </w:num>
  <w:num w:numId="11" w16cid:durableId="951665158">
    <w:abstractNumId w:val="10"/>
  </w:num>
  <w:num w:numId="12" w16cid:durableId="1095394895">
    <w:abstractNumId w:val="15"/>
  </w:num>
  <w:num w:numId="13" w16cid:durableId="792478754">
    <w:abstractNumId w:val="0"/>
  </w:num>
  <w:num w:numId="14" w16cid:durableId="1306425360">
    <w:abstractNumId w:val="11"/>
  </w:num>
  <w:num w:numId="15" w16cid:durableId="2076776237">
    <w:abstractNumId w:val="8"/>
  </w:num>
  <w:num w:numId="16" w16cid:durableId="1696879990">
    <w:abstractNumId w:val="4"/>
  </w:num>
  <w:num w:numId="17" w16cid:durableId="1879396725">
    <w:abstractNumId w:val="9"/>
  </w:num>
  <w:num w:numId="18" w16cid:durableId="21037199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4E"/>
    <w:rsid w:val="00012737"/>
    <w:rsid w:val="00024AA7"/>
    <w:rsid w:val="000470FE"/>
    <w:rsid w:val="000512A1"/>
    <w:rsid w:val="000A2C21"/>
    <w:rsid w:val="000B636D"/>
    <w:rsid w:val="000B69E1"/>
    <w:rsid w:val="000C1714"/>
    <w:rsid w:val="000D4C9C"/>
    <w:rsid w:val="000E718A"/>
    <w:rsid w:val="00121154"/>
    <w:rsid w:val="001379A8"/>
    <w:rsid w:val="0015449A"/>
    <w:rsid w:val="001D590D"/>
    <w:rsid w:val="001F2CD9"/>
    <w:rsid w:val="00210D88"/>
    <w:rsid w:val="00257C35"/>
    <w:rsid w:val="0027AE75"/>
    <w:rsid w:val="002C20D2"/>
    <w:rsid w:val="002C6B41"/>
    <w:rsid w:val="00313069"/>
    <w:rsid w:val="00350D3D"/>
    <w:rsid w:val="00351F0C"/>
    <w:rsid w:val="003A49CA"/>
    <w:rsid w:val="003B201B"/>
    <w:rsid w:val="003E1801"/>
    <w:rsid w:val="003F7CB3"/>
    <w:rsid w:val="00426A71"/>
    <w:rsid w:val="004675B7"/>
    <w:rsid w:val="00471DCE"/>
    <w:rsid w:val="00493DA2"/>
    <w:rsid w:val="004A0AC3"/>
    <w:rsid w:val="004C10A3"/>
    <w:rsid w:val="004C783B"/>
    <w:rsid w:val="004F2F29"/>
    <w:rsid w:val="005536D5"/>
    <w:rsid w:val="00554329"/>
    <w:rsid w:val="00560A5F"/>
    <w:rsid w:val="0057524E"/>
    <w:rsid w:val="005B15C9"/>
    <w:rsid w:val="00642C4C"/>
    <w:rsid w:val="00642E71"/>
    <w:rsid w:val="006B58E0"/>
    <w:rsid w:val="006C7D0F"/>
    <w:rsid w:val="006F06EE"/>
    <w:rsid w:val="00741BC0"/>
    <w:rsid w:val="00775B3F"/>
    <w:rsid w:val="007B1BC2"/>
    <w:rsid w:val="007B376B"/>
    <w:rsid w:val="0080224B"/>
    <w:rsid w:val="00821335"/>
    <w:rsid w:val="008259B8"/>
    <w:rsid w:val="00852348"/>
    <w:rsid w:val="00941D72"/>
    <w:rsid w:val="00944836"/>
    <w:rsid w:val="0096429F"/>
    <w:rsid w:val="009D1C3B"/>
    <w:rsid w:val="00A34457"/>
    <w:rsid w:val="00A42167"/>
    <w:rsid w:val="00A46A79"/>
    <w:rsid w:val="00A57257"/>
    <w:rsid w:val="00A770D0"/>
    <w:rsid w:val="00A82F64"/>
    <w:rsid w:val="00A87D14"/>
    <w:rsid w:val="00AC0FBB"/>
    <w:rsid w:val="00B16272"/>
    <w:rsid w:val="00B2283A"/>
    <w:rsid w:val="00B53B92"/>
    <w:rsid w:val="00B70EB1"/>
    <w:rsid w:val="00B73B45"/>
    <w:rsid w:val="00BC28C6"/>
    <w:rsid w:val="00BE732D"/>
    <w:rsid w:val="00C10C7E"/>
    <w:rsid w:val="00C20ED9"/>
    <w:rsid w:val="00C5032F"/>
    <w:rsid w:val="00C66CFE"/>
    <w:rsid w:val="00C82F61"/>
    <w:rsid w:val="00C976AD"/>
    <w:rsid w:val="00CB0092"/>
    <w:rsid w:val="00CC14E7"/>
    <w:rsid w:val="00CE3423"/>
    <w:rsid w:val="00CE71B2"/>
    <w:rsid w:val="00D02F4A"/>
    <w:rsid w:val="00D13D9C"/>
    <w:rsid w:val="00D233F8"/>
    <w:rsid w:val="00D818EB"/>
    <w:rsid w:val="00DA6923"/>
    <w:rsid w:val="00DB797B"/>
    <w:rsid w:val="00DF5D0B"/>
    <w:rsid w:val="00E31003"/>
    <w:rsid w:val="00E90449"/>
    <w:rsid w:val="00EA2486"/>
    <w:rsid w:val="00EB4314"/>
    <w:rsid w:val="00EB6B38"/>
    <w:rsid w:val="00EE13A9"/>
    <w:rsid w:val="00EE6882"/>
    <w:rsid w:val="00EF06DD"/>
    <w:rsid w:val="00F027DF"/>
    <w:rsid w:val="00F1229A"/>
    <w:rsid w:val="00F312FF"/>
    <w:rsid w:val="00F4690E"/>
    <w:rsid w:val="00F4744F"/>
    <w:rsid w:val="00FA34A6"/>
    <w:rsid w:val="00FC29D5"/>
    <w:rsid w:val="01081B93"/>
    <w:rsid w:val="01F27A73"/>
    <w:rsid w:val="02158427"/>
    <w:rsid w:val="02FFFE75"/>
    <w:rsid w:val="03240E2D"/>
    <w:rsid w:val="0367219E"/>
    <w:rsid w:val="0371AFF1"/>
    <w:rsid w:val="0389343F"/>
    <w:rsid w:val="044268BD"/>
    <w:rsid w:val="05092E2F"/>
    <w:rsid w:val="05722D75"/>
    <w:rsid w:val="058A0B14"/>
    <w:rsid w:val="058ACAF8"/>
    <w:rsid w:val="05B722E6"/>
    <w:rsid w:val="0647C699"/>
    <w:rsid w:val="065D7E01"/>
    <w:rsid w:val="067B7F27"/>
    <w:rsid w:val="06CB2BBE"/>
    <w:rsid w:val="0831E6A9"/>
    <w:rsid w:val="08C83A11"/>
    <w:rsid w:val="0A11F02F"/>
    <w:rsid w:val="0A46D006"/>
    <w:rsid w:val="0AE7A82A"/>
    <w:rsid w:val="0B0E70CD"/>
    <w:rsid w:val="0BB5A596"/>
    <w:rsid w:val="0C33EBAE"/>
    <w:rsid w:val="0CC3B942"/>
    <w:rsid w:val="0E2978A2"/>
    <w:rsid w:val="0E961CF0"/>
    <w:rsid w:val="0E9EA1EC"/>
    <w:rsid w:val="0EA1518C"/>
    <w:rsid w:val="0F8437BF"/>
    <w:rsid w:val="0F99FA4F"/>
    <w:rsid w:val="10ACA585"/>
    <w:rsid w:val="1112F153"/>
    <w:rsid w:val="12F0FE32"/>
    <w:rsid w:val="13B5B4D1"/>
    <w:rsid w:val="14201ABA"/>
    <w:rsid w:val="14899602"/>
    <w:rsid w:val="152C21FA"/>
    <w:rsid w:val="159428DF"/>
    <w:rsid w:val="166A8026"/>
    <w:rsid w:val="16B4CAB3"/>
    <w:rsid w:val="1746B533"/>
    <w:rsid w:val="1766132A"/>
    <w:rsid w:val="17EFC652"/>
    <w:rsid w:val="1A948B74"/>
    <w:rsid w:val="1AE625F5"/>
    <w:rsid w:val="1B60651C"/>
    <w:rsid w:val="1BEA584C"/>
    <w:rsid w:val="1C24670D"/>
    <w:rsid w:val="1C4BB3C2"/>
    <w:rsid w:val="1DC6C867"/>
    <w:rsid w:val="1EA06942"/>
    <w:rsid w:val="1F12BD1B"/>
    <w:rsid w:val="1F534632"/>
    <w:rsid w:val="217E3684"/>
    <w:rsid w:val="21830AA6"/>
    <w:rsid w:val="22334D75"/>
    <w:rsid w:val="244C1687"/>
    <w:rsid w:val="24625602"/>
    <w:rsid w:val="25E1FD35"/>
    <w:rsid w:val="26299818"/>
    <w:rsid w:val="26AC1D25"/>
    <w:rsid w:val="26B2C593"/>
    <w:rsid w:val="2A2046ED"/>
    <w:rsid w:val="2A386F0A"/>
    <w:rsid w:val="2A7B1619"/>
    <w:rsid w:val="2B3434E6"/>
    <w:rsid w:val="2BA23644"/>
    <w:rsid w:val="2BB158DD"/>
    <w:rsid w:val="2C6DA1A5"/>
    <w:rsid w:val="2CE364F4"/>
    <w:rsid w:val="2E7D8674"/>
    <w:rsid w:val="2EB9A63E"/>
    <w:rsid w:val="2F35B74D"/>
    <w:rsid w:val="30AF0A30"/>
    <w:rsid w:val="31799844"/>
    <w:rsid w:val="31B63C2C"/>
    <w:rsid w:val="31C3D09B"/>
    <w:rsid w:val="3237C715"/>
    <w:rsid w:val="3298F550"/>
    <w:rsid w:val="33CD51DD"/>
    <w:rsid w:val="343262B0"/>
    <w:rsid w:val="3460ED53"/>
    <w:rsid w:val="361727DA"/>
    <w:rsid w:val="36A02124"/>
    <w:rsid w:val="36D13D0A"/>
    <w:rsid w:val="37300350"/>
    <w:rsid w:val="37AD359E"/>
    <w:rsid w:val="3810ABF2"/>
    <w:rsid w:val="396E1EE9"/>
    <w:rsid w:val="39DE6352"/>
    <w:rsid w:val="39E9C398"/>
    <w:rsid w:val="39F6F48F"/>
    <w:rsid w:val="3A13FA4E"/>
    <w:rsid w:val="3A36663F"/>
    <w:rsid w:val="3B5740C7"/>
    <w:rsid w:val="3BD3AE04"/>
    <w:rsid w:val="3C3C2B25"/>
    <w:rsid w:val="3CBBF69F"/>
    <w:rsid w:val="3D43CA24"/>
    <w:rsid w:val="3D73FE7F"/>
    <w:rsid w:val="3FB643F3"/>
    <w:rsid w:val="410BFEE9"/>
    <w:rsid w:val="415DC394"/>
    <w:rsid w:val="419E0129"/>
    <w:rsid w:val="419E07A4"/>
    <w:rsid w:val="43110CF4"/>
    <w:rsid w:val="431E188B"/>
    <w:rsid w:val="43209333"/>
    <w:rsid w:val="435CE445"/>
    <w:rsid w:val="4377830F"/>
    <w:rsid w:val="4384EE60"/>
    <w:rsid w:val="43952FCD"/>
    <w:rsid w:val="43C249DF"/>
    <w:rsid w:val="43E9D3D2"/>
    <w:rsid w:val="44A018F9"/>
    <w:rsid w:val="45926564"/>
    <w:rsid w:val="469799C0"/>
    <w:rsid w:val="47732CD9"/>
    <w:rsid w:val="4775B36D"/>
    <w:rsid w:val="47CB0599"/>
    <w:rsid w:val="487088B5"/>
    <w:rsid w:val="49DC4677"/>
    <w:rsid w:val="4A13785F"/>
    <w:rsid w:val="4A6D9357"/>
    <w:rsid w:val="4AA704B1"/>
    <w:rsid w:val="4D922B20"/>
    <w:rsid w:val="4DA9321F"/>
    <w:rsid w:val="4DAB54D7"/>
    <w:rsid w:val="4F9FD044"/>
    <w:rsid w:val="4FAFCF1F"/>
    <w:rsid w:val="50302B62"/>
    <w:rsid w:val="50AFA3D4"/>
    <w:rsid w:val="50B932A3"/>
    <w:rsid w:val="512A2080"/>
    <w:rsid w:val="51854DCF"/>
    <w:rsid w:val="51BA3FCF"/>
    <w:rsid w:val="53AE9057"/>
    <w:rsid w:val="53CA0560"/>
    <w:rsid w:val="54E570DD"/>
    <w:rsid w:val="55C6FA91"/>
    <w:rsid w:val="55E4355A"/>
    <w:rsid w:val="55E73D86"/>
    <w:rsid w:val="56024442"/>
    <w:rsid w:val="573F6A89"/>
    <w:rsid w:val="5775C30D"/>
    <w:rsid w:val="586F4895"/>
    <w:rsid w:val="589A60F6"/>
    <w:rsid w:val="59F67FAB"/>
    <w:rsid w:val="5A21DE21"/>
    <w:rsid w:val="5A28DD73"/>
    <w:rsid w:val="5A28F5AA"/>
    <w:rsid w:val="5B80C68E"/>
    <w:rsid w:val="5B960E5B"/>
    <w:rsid w:val="5BF55809"/>
    <w:rsid w:val="5E6B329E"/>
    <w:rsid w:val="5EA0CE64"/>
    <w:rsid w:val="5F4241AC"/>
    <w:rsid w:val="5F66A37A"/>
    <w:rsid w:val="61C83DF4"/>
    <w:rsid w:val="61C89AB2"/>
    <w:rsid w:val="624B96F2"/>
    <w:rsid w:val="62F61F5D"/>
    <w:rsid w:val="6377C5C9"/>
    <w:rsid w:val="648E3227"/>
    <w:rsid w:val="64DD37DE"/>
    <w:rsid w:val="653CC5D7"/>
    <w:rsid w:val="663C729D"/>
    <w:rsid w:val="6640AE7F"/>
    <w:rsid w:val="69D0D9D5"/>
    <w:rsid w:val="6A815CAB"/>
    <w:rsid w:val="6A8AC548"/>
    <w:rsid w:val="6AEB288B"/>
    <w:rsid w:val="6BCE0008"/>
    <w:rsid w:val="6C7D0868"/>
    <w:rsid w:val="6F588639"/>
    <w:rsid w:val="6F97F2AB"/>
    <w:rsid w:val="6FD99D09"/>
    <w:rsid w:val="6FEB15FF"/>
    <w:rsid w:val="70BD0C76"/>
    <w:rsid w:val="7189093B"/>
    <w:rsid w:val="71A2B763"/>
    <w:rsid w:val="7228483E"/>
    <w:rsid w:val="72464DA3"/>
    <w:rsid w:val="724FEEE9"/>
    <w:rsid w:val="733CDDFF"/>
    <w:rsid w:val="73659FCD"/>
    <w:rsid w:val="73693557"/>
    <w:rsid w:val="73C84F50"/>
    <w:rsid w:val="73D471FE"/>
    <w:rsid w:val="74009020"/>
    <w:rsid w:val="751AA4B7"/>
    <w:rsid w:val="762722F8"/>
    <w:rsid w:val="763EC570"/>
    <w:rsid w:val="7797C172"/>
    <w:rsid w:val="77D2B9E1"/>
    <w:rsid w:val="7842AC37"/>
    <w:rsid w:val="78916FEB"/>
    <w:rsid w:val="7A8B5CD5"/>
    <w:rsid w:val="7AB1E51C"/>
    <w:rsid w:val="7AC1991E"/>
    <w:rsid w:val="7C5C2A90"/>
    <w:rsid w:val="7CD10D0B"/>
    <w:rsid w:val="7D333372"/>
    <w:rsid w:val="7D5C4296"/>
    <w:rsid w:val="7D92A7F3"/>
    <w:rsid w:val="7E86D15C"/>
    <w:rsid w:val="7ECE24B9"/>
    <w:rsid w:val="7F1CEC4E"/>
    <w:rsid w:val="7FCF95B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B54"/>
  <w15:chartTrackingRefBased/>
  <w15:docId w15:val="{09EA66C6-EF0E-4AA5-B3FE-6F5097B6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5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5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24E"/>
    <w:rPr>
      <w:rFonts w:eastAsiaTheme="majorEastAsia" w:cstheme="majorBidi"/>
      <w:color w:val="272727" w:themeColor="text1" w:themeTint="D8"/>
    </w:rPr>
  </w:style>
  <w:style w:type="paragraph" w:styleId="Title">
    <w:name w:val="Title"/>
    <w:basedOn w:val="Normal"/>
    <w:next w:val="Normal"/>
    <w:link w:val="TitleChar"/>
    <w:uiPriority w:val="10"/>
    <w:qFormat/>
    <w:rsid w:val="00575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24E"/>
    <w:pPr>
      <w:spacing w:before="160"/>
      <w:jc w:val="center"/>
    </w:pPr>
    <w:rPr>
      <w:i/>
      <w:iCs/>
      <w:color w:val="404040" w:themeColor="text1" w:themeTint="BF"/>
    </w:rPr>
  </w:style>
  <w:style w:type="character" w:customStyle="1" w:styleId="QuoteChar">
    <w:name w:val="Quote Char"/>
    <w:basedOn w:val="DefaultParagraphFont"/>
    <w:link w:val="Quote"/>
    <w:uiPriority w:val="29"/>
    <w:rsid w:val="0057524E"/>
    <w:rPr>
      <w:i/>
      <w:iCs/>
      <w:color w:val="404040" w:themeColor="text1" w:themeTint="BF"/>
    </w:rPr>
  </w:style>
  <w:style w:type="paragraph" w:styleId="ListParagraph">
    <w:name w:val="List Paragraph"/>
    <w:basedOn w:val="Normal"/>
    <w:uiPriority w:val="34"/>
    <w:qFormat/>
    <w:rsid w:val="0057524E"/>
    <w:pPr>
      <w:ind w:left="720"/>
      <w:contextualSpacing/>
    </w:pPr>
  </w:style>
  <w:style w:type="character" w:styleId="IntenseEmphasis">
    <w:name w:val="Intense Emphasis"/>
    <w:basedOn w:val="DefaultParagraphFont"/>
    <w:uiPriority w:val="21"/>
    <w:qFormat/>
    <w:rsid w:val="0057524E"/>
    <w:rPr>
      <w:i/>
      <w:iCs/>
      <w:color w:val="0F4761" w:themeColor="accent1" w:themeShade="BF"/>
    </w:rPr>
  </w:style>
  <w:style w:type="paragraph" w:styleId="IntenseQuote">
    <w:name w:val="Intense Quote"/>
    <w:basedOn w:val="Normal"/>
    <w:next w:val="Normal"/>
    <w:link w:val="IntenseQuoteChar"/>
    <w:uiPriority w:val="30"/>
    <w:qFormat/>
    <w:rsid w:val="00575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24E"/>
    <w:rPr>
      <w:i/>
      <w:iCs/>
      <w:color w:val="0F4761" w:themeColor="accent1" w:themeShade="BF"/>
    </w:rPr>
  </w:style>
  <w:style w:type="character" w:styleId="IntenseReference">
    <w:name w:val="Intense Reference"/>
    <w:basedOn w:val="DefaultParagraphFont"/>
    <w:uiPriority w:val="32"/>
    <w:qFormat/>
    <w:rsid w:val="0057524E"/>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3693557"/>
    <w:rPr>
      <w:color w:val="467886"/>
      <w:u w:val="single"/>
    </w:rPr>
  </w:style>
  <w:style w:type="character" w:styleId="UnresolvedMention">
    <w:name w:val="Unresolved Mention"/>
    <w:basedOn w:val="DefaultParagraphFont"/>
    <w:uiPriority w:val="99"/>
    <w:semiHidden/>
    <w:unhideWhenUsed/>
    <w:rsid w:val="00642C4C"/>
    <w:rPr>
      <w:color w:val="605E5C"/>
      <w:shd w:val="clear" w:color="auto" w:fill="E1DFDD"/>
    </w:rPr>
  </w:style>
  <w:style w:type="paragraph" w:styleId="Header">
    <w:name w:val="header"/>
    <w:basedOn w:val="Normal"/>
    <w:link w:val="HeaderChar"/>
    <w:uiPriority w:val="99"/>
    <w:unhideWhenUsed/>
    <w:rsid w:val="007B1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BC2"/>
  </w:style>
  <w:style w:type="paragraph" w:styleId="Footer">
    <w:name w:val="footer"/>
    <w:basedOn w:val="Normal"/>
    <w:link w:val="FooterChar"/>
    <w:uiPriority w:val="99"/>
    <w:unhideWhenUsed/>
    <w:rsid w:val="007B1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6522">
      <w:bodyDiv w:val="1"/>
      <w:marLeft w:val="0"/>
      <w:marRight w:val="0"/>
      <w:marTop w:val="0"/>
      <w:marBottom w:val="0"/>
      <w:divBdr>
        <w:top w:val="none" w:sz="0" w:space="0" w:color="auto"/>
        <w:left w:val="none" w:sz="0" w:space="0" w:color="auto"/>
        <w:bottom w:val="none" w:sz="0" w:space="0" w:color="auto"/>
        <w:right w:val="none" w:sz="0" w:space="0" w:color="auto"/>
      </w:divBdr>
    </w:div>
    <w:div w:id="173346118">
      <w:bodyDiv w:val="1"/>
      <w:marLeft w:val="0"/>
      <w:marRight w:val="0"/>
      <w:marTop w:val="0"/>
      <w:marBottom w:val="0"/>
      <w:divBdr>
        <w:top w:val="none" w:sz="0" w:space="0" w:color="auto"/>
        <w:left w:val="none" w:sz="0" w:space="0" w:color="auto"/>
        <w:bottom w:val="none" w:sz="0" w:space="0" w:color="auto"/>
        <w:right w:val="none" w:sz="0" w:space="0" w:color="auto"/>
      </w:divBdr>
    </w:div>
    <w:div w:id="189999153">
      <w:bodyDiv w:val="1"/>
      <w:marLeft w:val="0"/>
      <w:marRight w:val="0"/>
      <w:marTop w:val="0"/>
      <w:marBottom w:val="0"/>
      <w:divBdr>
        <w:top w:val="none" w:sz="0" w:space="0" w:color="auto"/>
        <w:left w:val="none" w:sz="0" w:space="0" w:color="auto"/>
        <w:bottom w:val="none" w:sz="0" w:space="0" w:color="auto"/>
        <w:right w:val="none" w:sz="0" w:space="0" w:color="auto"/>
      </w:divBdr>
    </w:div>
    <w:div w:id="395788675">
      <w:bodyDiv w:val="1"/>
      <w:marLeft w:val="0"/>
      <w:marRight w:val="0"/>
      <w:marTop w:val="0"/>
      <w:marBottom w:val="0"/>
      <w:divBdr>
        <w:top w:val="none" w:sz="0" w:space="0" w:color="auto"/>
        <w:left w:val="none" w:sz="0" w:space="0" w:color="auto"/>
        <w:bottom w:val="none" w:sz="0" w:space="0" w:color="auto"/>
        <w:right w:val="none" w:sz="0" w:space="0" w:color="auto"/>
      </w:divBdr>
    </w:div>
    <w:div w:id="459805302">
      <w:bodyDiv w:val="1"/>
      <w:marLeft w:val="0"/>
      <w:marRight w:val="0"/>
      <w:marTop w:val="0"/>
      <w:marBottom w:val="0"/>
      <w:divBdr>
        <w:top w:val="none" w:sz="0" w:space="0" w:color="auto"/>
        <w:left w:val="none" w:sz="0" w:space="0" w:color="auto"/>
        <w:bottom w:val="none" w:sz="0" w:space="0" w:color="auto"/>
        <w:right w:val="none" w:sz="0" w:space="0" w:color="auto"/>
      </w:divBdr>
    </w:div>
    <w:div w:id="644696700">
      <w:bodyDiv w:val="1"/>
      <w:marLeft w:val="0"/>
      <w:marRight w:val="0"/>
      <w:marTop w:val="0"/>
      <w:marBottom w:val="0"/>
      <w:divBdr>
        <w:top w:val="none" w:sz="0" w:space="0" w:color="auto"/>
        <w:left w:val="none" w:sz="0" w:space="0" w:color="auto"/>
        <w:bottom w:val="none" w:sz="0" w:space="0" w:color="auto"/>
        <w:right w:val="none" w:sz="0" w:space="0" w:color="auto"/>
      </w:divBdr>
    </w:div>
    <w:div w:id="681473620">
      <w:bodyDiv w:val="1"/>
      <w:marLeft w:val="0"/>
      <w:marRight w:val="0"/>
      <w:marTop w:val="0"/>
      <w:marBottom w:val="0"/>
      <w:divBdr>
        <w:top w:val="none" w:sz="0" w:space="0" w:color="auto"/>
        <w:left w:val="none" w:sz="0" w:space="0" w:color="auto"/>
        <w:bottom w:val="none" w:sz="0" w:space="0" w:color="auto"/>
        <w:right w:val="none" w:sz="0" w:space="0" w:color="auto"/>
      </w:divBdr>
    </w:div>
    <w:div w:id="746652249">
      <w:bodyDiv w:val="1"/>
      <w:marLeft w:val="0"/>
      <w:marRight w:val="0"/>
      <w:marTop w:val="0"/>
      <w:marBottom w:val="0"/>
      <w:divBdr>
        <w:top w:val="none" w:sz="0" w:space="0" w:color="auto"/>
        <w:left w:val="none" w:sz="0" w:space="0" w:color="auto"/>
        <w:bottom w:val="none" w:sz="0" w:space="0" w:color="auto"/>
        <w:right w:val="none" w:sz="0" w:space="0" w:color="auto"/>
      </w:divBdr>
    </w:div>
    <w:div w:id="754521629">
      <w:bodyDiv w:val="1"/>
      <w:marLeft w:val="0"/>
      <w:marRight w:val="0"/>
      <w:marTop w:val="0"/>
      <w:marBottom w:val="0"/>
      <w:divBdr>
        <w:top w:val="none" w:sz="0" w:space="0" w:color="auto"/>
        <w:left w:val="none" w:sz="0" w:space="0" w:color="auto"/>
        <w:bottom w:val="none" w:sz="0" w:space="0" w:color="auto"/>
        <w:right w:val="none" w:sz="0" w:space="0" w:color="auto"/>
      </w:divBdr>
    </w:div>
    <w:div w:id="829295614">
      <w:bodyDiv w:val="1"/>
      <w:marLeft w:val="0"/>
      <w:marRight w:val="0"/>
      <w:marTop w:val="0"/>
      <w:marBottom w:val="0"/>
      <w:divBdr>
        <w:top w:val="none" w:sz="0" w:space="0" w:color="auto"/>
        <w:left w:val="none" w:sz="0" w:space="0" w:color="auto"/>
        <w:bottom w:val="none" w:sz="0" w:space="0" w:color="auto"/>
        <w:right w:val="none" w:sz="0" w:space="0" w:color="auto"/>
      </w:divBdr>
    </w:div>
    <w:div w:id="962687334">
      <w:bodyDiv w:val="1"/>
      <w:marLeft w:val="0"/>
      <w:marRight w:val="0"/>
      <w:marTop w:val="0"/>
      <w:marBottom w:val="0"/>
      <w:divBdr>
        <w:top w:val="none" w:sz="0" w:space="0" w:color="auto"/>
        <w:left w:val="none" w:sz="0" w:space="0" w:color="auto"/>
        <w:bottom w:val="none" w:sz="0" w:space="0" w:color="auto"/>
        <w:right w:val="none" w:sz="0" w:space="0" w:color="auto"/>
      </w:divBdr>
    </w:div>
    <w:div w:id="982856802">
      <w:bodyDiv w:val="1"/>
      <w:marLeft w:val="0"/>
      <w:marRight w:val="0"/>
      <w:marTop w:val="0"/>
      <w:marBottom w:val="0"/>
      <w:divBdr>
        <w:top w:val="none" w:sz="0" w:space="0" w:color="auto"/>
        <w:left w:val="none" w:sz="0" w:space="0" w:color="auto"/>
        <w:bottom w:val="none" w:sz="0" w:space="0" w:color="auto"/>
        <w:right w:val="none" w:sz="0" w:space="0" w:color="auto"/>
      </w:divBdr>
    </w:div>
    <w:div w:id="1045833797">
      <w:bodyDiv w:val="1"/>
      <w:marLeft w:val="0"/>
      <w:marRight w:val="0"/>
      <w:marTop w:val="0"/>
      <w:marBottom w:val="0"/>
      <w:divBdr>
        <w:top w:val="none" w:sz="0" w:space="0" w:color="auto"/>
        <w:left w:val="none" w:sz="0" w:space="0" w:color="auto"/>
        <w:bottom w:val="none" w:sz="0" w:space="0" w:color="auto"/>
        <w:right w:val="none" w:sz="0" w:space="0" w:color="auto"/>
      </w:divBdr>
    </w:div>
    <w:div w:id="1078986459">
      <w:bodyDiv w:val="1"/>
      <w:marLeft w:val="0"/>
      <w:marRight w:val="0"/>
      <w:marTop w:val="0"/>
      <w:marBottom w:val="0"/>
      <w:divBdr>
        <w:top w:val="none" w:sz="0" w:space="0" w:color="auto"/>
        <w:left w:val="none" w:sz="0" w:space="0" w:color="auto"/>
        <w:bottom w:val="none" w:sz="0" w:space="0" w:color="auto"/>
        <w:right w:val="none" w:sz="0" w:space="0" w:color="auto"/>
      </w:divBdr>
    </w:div>
    <w:div w:id="1135217503">
      <w:bodyDiv w:val="1"/>
      <w:marLeft w:val="0"/>
      <w:marRight w:val="0"/>
      <w:marTop w:val="0"/>
      <w:marBottom w:val="0"/>
      <w:divBdr>
        <w:top w:val="none" w:sz="0" w:space="0" w:color="auto"/>
        <w:left w:val="none" w:sz="0" w:space="0" w:color="auto"/>
        <w:bottom w:val="none" w:sz="0" w:space="0" w:color="auto"/>
        <w:right w:val="none" w:sz="0" w:space="0" w:color="auto"/>
      </w:divBdr>
    </w:div>
    <w:div w:id="1187987101">
      <w:bodyDiv w:val="1"/>
      <w:marLeft w:val="0"/>
      <w:marRight w:val="0"/>
      <w:marTop w:val="0"/>
      <w:marBottom w:val="0"/>
      <w:divBdr>
        <w:top w:val="none" w:sz="0" w:space="0" w:color="auto"/>
        <w:left w:val="none" w:sz="0" w:space="0" w:color="auto"/>
        <w:bottom w:val="none" w:sz="0" w:space="0" w:color="auto"/>
        <w:right w:val="none" w:sz="0" w:space="0" w:color="auto"/>
      </w:divBdr>
    </w:div>
    <w:div w:id="1266501783">
      <w:bodyDiv w:val="1"/>
      <w:marLeft w:val="0"/>
      <w:marRight w:val="0"/>
      <w:marTop w:val="0"/>
      <w:marBottom w:val="0"/>
      <w:divBdr>
        <w:top w:val="none" w:sz="0" w:space="0" w:color="auto"/>
        <w:left w:val="none" w:sz="0" w:space="0" w:color="auto"/>
        <w:bottom w:val="none" w:sz="0" w:space="0" w:color="auto"/>
        <w:right w:val="none" w:sz="0" w:space="0" w:color="auto"/>
      </w:divBdr>
    </w:div>
    <w:div w:id="1288585682">
      <w:bodyDiv w:val="1"/>
      <w:marLeft w:val="0"/>
      <w:marRight w:val="0"/>
      <w:marTop w:val="0"/>
      <w:marBottom w:val="0"/>
      <w:divBdr>
        <w:top w:val="none" w:sz="0" w:space="0" w:color="auto"/>
        <w:left w:val="none" w:sz="0" w:space="0" w:color="auto"/>
        <w:bottom w:val="none" w:sz="0" w:space="0" w:color="auto"/>
        <w:right w:val="none" w:sz="0" w:space="0" w:color="auto"/>
      </w:divBdr>
    </w:div>
    <w:div w:id="1403868963">
      <w:bodyDiv w:val="1"/>
      <w:marLeft w:val="0"/>
      <w:marRight w:val="0"/>
      <w:marTop w:val="0"/>
      <w:marBottom w:val="0"/>
      <w:divBdr>
        <w:top w:val="none" w:sz="0" w:space="0" w:color="auto"/>
        <w:left w:val="none" w:sz="0" w:space="0" w:color="auto"/>
        <w:bottom w:val="none" w:sz="0" w:space="0" w:color="auto"/>
        <w:right w:val="none" w:sz="0" w:space="0" w:color="auto"/>
      </w:divBdr>
    </w:div>
    <w:div w:id="1413315430">
      <w:bodyDiv w:val="1"/>
      <w:marLeft w:val="0"/>
      <w:marRight w:val="0"/>
      <w:marTop w:val="0"/>
      <w:marBottom w:val="0"/>
      <w:divBdr>
        <w:top w:val="none" w:sz="0" w:space="0" w:color="auto"/>
        <w:left w:val="none" w:sz="0" w:space="0" w:color="auto"/>
        <w:bottom w:val="none" w:sz="0" w:space="0" w:color="auto"/>
        <w:right w:val="none" w:sz="0" w:space="0" w:color="auto"/>
      </w:divBdr>
    </w:div>
    <w:div w:id="1536582971">
      <w:bodyDiv w:val="1"/>
      <w:marLeft w:val="0"/>
      <w:marRight w:val="0"/>
      <w:marTop w:val="0"/>
      <w:marBottom w:val="0"/>
      <w:divBdr>
        <w:top w:val="none" w:sz="0" w:space="0" w:color="auto"/>
        <w:left w:val="none" w:sz="0" w:space="0" w:color="auto"/>
        <w:bottom w:val="none" w:sz="0" w:space="0" w:color="auto"/>
        <w:right w:val="none" w:sz="0" w:space="0" w:color="auto"/>
      </w:divBdr>
    </w:div>
    <w:div w:id="1547183147">
      <w:bodyDiv w:val="1"/>
      <w:marLeft w:val="0"/>
      <w:marRight w:val="0"/>
      <w:marTop w:val="0"/>
      <w:marBottom w:val="0"/>
      <w:divBdr>
        <w:top w:val="none" w:sz="0" w:space="0" w:color="auto"/>
        <w:left w:val="none" w:sz="0" w:space="0" w:color="auto"/>
        <w:bottom w:val="none" w:sz="0" w:space="0" w:color="auto"/>
        <w:right w:val="none" w:sz="0" w:space="0" w:color="auto"/>
      </w:divBdr>
    </w:div>
    <w:div w:id="1561598157">
      <w:bodyDiv w:val="1"/>
      <w:marLeft w:val="0"/>
      <w:marRight w:val="0"/>
      <w:marTop w:val="0"/>
      <w:marBottom w:val="0"/>
      <w:divBdr>
        <w:top w:val="none" w:sz="0" w:space="0" w:color="auto"/>
        <w:left w:val="none" w:sz="0" w:space="0" w:color="auto"/>
        <w:bottom w:val="none" w:sz="0" w:space="0" w:color="auto"/>
        <w:right w:val="none" w:sz="0" w:space="0" w:color="auto"/>
      </w:divBdr>
    </w:div>
    <w:div w:id="1592354089">
      <w:bodyDiv w:val="1"/>
      <w:marLeft w:val="0"/>
      <w:marRight w:val="0"/>
      <w:marTop w:val="0"/>
      <w:marBottom w:val="0"/>
      <w:divBdr>
        <w:top w:val="none" w:sz="0" w:space="0" w:color="auto"/>
        <w:left w:val="none" w:sz="0" w:space="0" w:color="auto"/>
        <w:bottom w:val="none" w:sz="0" w:space="0" w:color="auto"/>
        <w:right w:val="none" w:sz="0" w:space="0" w:color="auto"/>
      </w:divBdr>
    </w:div>
    <w:div w:id="1637444149">
      <w:bodyDiv w:val="1"/>
      <w:marLeft w:val="0"/>
      <w:marRight w:val="0"/>
      <w:marTop w:val="0"/>
      <w:marBottom w:val="0"/>
      <w:divBdr>
        <w:top w:val="none" w:sz="0" w:space="0" w:color="auto"/>
        <w:left w:val="none" w:sz="0" w:space="0" w:color="auto"/>
        <w:bottom w:val="none" w:sz="0" w:space="0" w:color="auto"/>
        <w:right w:val="none" w:sz="0" w:space="0" w:color="auto"/>
      </w:divBdr>
    </w:div>
    <w:div w:id="1673559379">
      <w:bodyDiv w:val="1"/>
      <w:marLeft w:val="0"/>
      <w:marRight w:val="0"/>
      <w:marTop w:val="0"/>
      <w:marBottom w:val="0"/>
      <w:divBdr>
        <w:top w:val="none" w:sz="0" w:space="0" w:color="auto"/>
        <w:left w:val="none" w:sz="0" w:space="0" w:color="auto"/>
        <w:bottom w:val="none" w:sz="0" w:space="0" w:color="auto"/>
        <w:right w:val="none" w:sz="0" w:space="0" w:color="auto"/>
      </w:divBdr>
    </w:div>
    <w:div w:id="1739203806">
      <w:bodyDiv w:val="1"/>
      <w:marLeft w:val="0"/>
      <w:marRight w:val="0"/>
      <w:marTop w:val="0"/>
      <w:marBottom w:val="0"/>
      <w:divBdr>
        <w:top w:val="none" w:sz="0" w:space="0" w:color="auto"/>
        <w:left w:val="none" w:sz="0" w:space="0" w:color="auto"/>
        <w:bottom w:val="none" w:sz="0" w:space="0" w:color="auto"/>
        <w:right w:val="none" w:sz="0" w:space="0" w:color="auto"/>
      </w:divBdr>
    </w:div>
    <w:div w:id="1774400679">
      <w:bodyDiv w:val="1"/>
      <w:marLeft w:val="0"/>
      <w:marRight w:val="0"/>
      <w:marTop w:val="0"/>
      <w:marBottom w:val="0"/>
      <w:divBdr>
        <w:top w:val="none" w:sz="0" w:space="0" w:color="auto"/>
        <w:left w:val="none" w:sz="0" w:space="0" w:color="auto"/>
        <w:bottom w:val="none" w:sz="0" w:space="0" w:color="auto"/>
        <w:right w:val="none" w:sz="0" w:space="0" w:color="auto"/>
      </w:divBdr>
    </w:div>
    <w:div w:id="1804233168">
      <w:bodyDiv w:val="1"/>
      <w:marLeft w:val="0"/>
      <w:marRight w:val="0"/>
      <w:marTop w:val="0"/>
      <w:marBottom w:val="0"/>
      <w:divBdr>
        <w:top w:val="none" w:sz="0" w:space="0" w:color="auto"/>
        <w:left w:val="none" w:sz="0" w:space="0" w:color="auto"/>
        <w:bottom w:val="none" w:sz="0" w:space="0" w:color="auto"/>
        <w:right w:val="none" w:sz="0" w:space="0" w:color="auto"/>
      </w:divBdr>
    </w:div>
    <w:div w:id="1896159741">
      <w:bodyDiv w:val="1"/>
      <w:marLeft w:val="0"/>
      <w:marRight w:val="0"/>
      <w:marTop w:val="0"/>
      <w:marBottom w:val="0"/>
      <w:divBdr>
        <w:top w:val="none" w:sz="0" w:space="0" w:color="auto"/>
        <w:left w:val="none" w:sz="0" w:space="0" w:color="auto"/>
        <w:bottom w:val="none" w:sz="0" w:space="0" w:color="auto"/>
        <w:right w:val="none" w:sz="0" w:space="0" w:color="auto"/>
      </w:divBdr>
    </w:div>
    <w:div w:id="1965426750">
      <w:bodyDiv w:val="1"/>
      <w:marLeft w:val="0"/>
      <w:marRight w:val="0"/>
      <w:marTop w:val="0"/>
      <w:marBottom w:val="0"/>
      <w:divBdr>
        <w:top w:val="none" w:sz="0" w:space="0" w:color="auto"/>
        <w:left w:val="none" w:sz="0" w:space="0" w:color="auto"/>
        <w:bottom w:val="none" w:sz="0" w:space="0" w:color="auto"/>
        <w:right w:val="none" w:sz="0" w:space="0" w:color="auto"/>
      </w:divBdr>
    </w:div>
    <w:div w:id="1993244603">
      <w:bodyDiv w:val="1"/>
      <w:marLeft w:val="0"/>
      <w:marRight w:val="0"/>
      <w:marTop w:val="0"/>
      <w:marBottom w:val="0"/>
      <w:divBdr>
        <w:top w:val="none" w:sz="0" w:space="0" w:color="auto"/>
        <w:left w:val="none" w:sz="0" w:space="0" w:color="auto"/>
        <w:bottom w:val="none" w:sz="0" w:space="0" w:color="auto"/>
        <w:right w:val="none" w:sz="0" w:space="0" w:color="auto"/>
      </w:divBdr>
    </w:div>
    <w:div w:id="2058116864">
      <w:bodyDiv w:val="1"/>
      <w:marLeft w:val="0"/>
      <w:marRight w:val="0"/>
      <w:marTop w:val="0"/>
      <w:marBottom w:val="0"/>
      <w:divBdr>
        <w:top w:val="none" w:sz="0" w:space="0" w:color="auto"/>
        <w:left w:val="none" w:sz="0" w:space="0" w:color="auto"/>
        <w:bottom w:val="none" w:sz="0" w:space="0" w:color="auto"/>
        <w:right w:val="none" w:sz="0" w:space="0" w:color="auto"/>
      </w:divBdr>
    </w:div>
    <w:div w:id="20679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16/j.worlddev.2006.10.00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r-library.ku.ac.k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C9838-9EA0-40B1-A9BB-FB65AFA3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Links>
    <vt:vector size="12" baseType="variant">
      <vt:variant>
        <vt:i4>1507356</vt:i4>
      </vt:variant>
      <vt:variant>
        <vt:i4>3</vt:i4>
      </vt:variant>
      <vt:variant>
        <vt:i4>0</vt:i4>
      </vt:variant>
      <vt:variant>
        <vt:i4>5</vt:i4>
      </vt:variant>
      <vt:variant>
        <vt:lpwstr>https://ir-library.ku.ac.ke/</vt:lpwstr>
      </vt:variant>
      <vt:variant>
        <vt:lpwstr/>
      </vt:variant>
      <vt:variant>
        <vt:i4>3735605</vt:i4>
      </vt:variant>
      <vt:variant>
        <vt:i4>0</vt:i4>
      </vt:variant>
      <vt:variant>
        <vt:i4>0</vt:i4>
      </vt:variant>
      <vt:variant>
        <vt:i4>5</vt:i4>
      </vt:variant>
      <vt:variant>
        <vt:lpwstr>https://doi.org/10.1016/j.worlddev.2006.10.008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Chemoiwo, Kiptoo</dc:creator>
  <cp:keywords/>
  <dc:description/>
  <cp:lastModifiedBy>sonamniharika@gmail.com</cp:lastModifiedBy>
  <cp:revision>87</cp:revision>
  <dcterms:created xsi:type="dcterms:W3CDTF">2025-03-18T03:23:00Z</dcterms:created>
  <dcterms:modified xsi:type="dcterms:W3CDTF">2026-03-11T09:16:00Z</dcterms:modified>
</cp:coreProperties>
</file>