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2D" w:rsidRDefault="0036002D" w:rsidP="00441B6F">
      <w:pPr>
        <w:pStyle w:val="Author"/>
        <w:spacing w:line="240" w:lineRule="auto"/>
        <w:rPr>
          <w:rFonts w:ascii="Arial" w:hAnsi="Arial" w:cs="Arial"/>
          <w:bCs/>
          <w:iCs/>
          <w:kern w:val="28"/>
          <w:sz w:val="36"/>
        </w:rPr>
      </w:pPr>
      <w:r w:rsidRPr="0036002D">
        <w:rPr>
          <w:rFonts w:ascii="Arial" w:hAnsi="Arial" w:cs="Arial"/>
          <w:bCs/>
          <w:iCs/>
          <w:kern w:val="28"/>
          <w:sz w:val="36"/>
        </w:rPr>
        <w:t>Original Research Article</w:t>
      </w:r>
    </w:p>
    <w:p w:rsidR="0036002D" w:rsidRDefault="0036002D" w:rsidP="00441B6F">
      <w:pPr>
        <w:pStyle w:val="Author"/>
        <w:spacing w:line="240" w:lineRule="auto"/>
        <w:rPr>
          <w:rFonts w:ascii="Arial" w:hAnsi="Arial" w:cs="Arial"/>
          <w:bCs/>
          <w:iCs/>
          <w:kern w:val="28"/>
          <w:sz w:val="36"/>
        </w:rPr>
      </w:pPr>
    </w:p>
    <w:p w:rsidR="00163BC4" w:rsidRPr="00163BC4" w:rsidRDefault="00833E41" w:rsidP="00441B6F">
      <w:pPr>
        <w:pStyle w:val="Author"/>
        <w:spacing w:line="240" w:lineRule="auto"/>
        <w:rPr>
          <w:rFonts w:ascii="Arial" w:hAnsi="Arial" w:cs="Arial"/>
          <w:bCs/>
          <w:iCs/>
          <w:kern w:val="28"/>
          <w:sz w:val="36"/>
        </w:rPr>
      </w:pPr>
      <w:r w:rsidRPr="00833E41">
        <w:rPr>
          <w:rFonts w:ascii="Arial" w:hAnsi="Arial" w:cs="Arial"/>
          <w:bCs/>
          <w:iCs/>
          <w:kern w:val="28"/>
          <w:sz w:val="36"/>
        </w:rPr>
        <w:t>Nutrient Dynamics and Crop Performance of Urdbean under Different Organic Weed Management Regimes</w:t>
      </w:r>
    </w:p>
    <w:p w:rsidR="00A258C3" w:rsidRPr="00790ADA" w:rsidRDefault="00A258C3" w:rsidP="00441B6F">
      <w:pPr>
        <w:pStyle w:val="Author"/>
        <w:spacing w:line="240" w:lineRule="auto"/>
        <w:jc w:val="both"/>
        <w:rPr>
          <w:rFonts w:ascii="Arial" w:hAnsi="Arial" w:cs="Arial"/>
          <w:sz w:val="36"/>
        </w:rPr>
      </w:pPr>
    </w:p>
    <w:p w:rsidR="00D8384E" w:rsidRDefault="00D8384E" w:rsidP="00B353C9">
      <w:pPr>
        <w:pStyle w:val="Affiliation"/>
        <w:spacing w:after="0" w:line="240" w:lineRule="auto"/>
        <w:rPr>
          <w:rFonts w:ascii="Arial" w:hAnsi="Arial" w:cs="Arial"/>
          <w:i/>
        </w:rPr>
      </w:pPr>
    </w:p>
    <w:p w:rsidR="00B353C9" w:rsidRDefault="00B353C9" w:rsidP="00B353C9">
      <w:pPr>
        <w:pStyle w:val="Affiliation"/>
        <w:spacing w:after="0" w:line="240" w:lineRule="auto"/>
        <w:rPr>
          <w:rFonts w:ascii="Arial" w:hAnsi="Arial" w:cs="Arial"/>
          <w:i/>
        </w:rPr>
      </w:pPr>
    </w:p>
    <w:p w:rsidR="00833E41" w:rsidRPr="00FB3A86" w:rsidRDefault="00833E41" w:rsidP="00833E41">
      <w:pPr>
        <w:pStyle w:val="Affiliation"/>
        <w:spacing w:after="0" w:line="240" w:lineRule="auto"/>
        <w:rPr>
          <w:rFonts w:ascii="Arial" w:hAnsi="Arial" w:cs="Arial"/>
        </w:rPr>
      </w:pPr>
    </w:p>
    <w:p w:rsidR="00B01FCD" w:rsidRPr="00FB3A86" w:rsidRDefault="008E28BC" w:rsidP="00441B6F">
      <w:pPr>
        <w:pStyle w:val="Copyright"/>
        <w:spacing w:after="0" w:line="240" w:lineRule="auto"/>
        <w:jc w:val="both"/>
        <w:rPr>
          <w:rFonts w:ascii="Arial" w:hAnsi="Arial" w:cs="Arial"/>
        </w:rPr>
        <w:sectPr w:rsidR="00B01FCD" w:rsidRPr="00FB3A86" w:rsidSect="00BB46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E28BC">
        <w:rPr>
          <w:rFonts w:ascii="Arial" w:hAnsi="Arial" w:cs="Arial"/>
          <w:noProof/>
          <w:lang w:val="en-IN" w:eastAsia="en-IN"/>
        </w:rPr>
      </w:r>
      <w:r w:rsidRPr="008E28BC">
        <w:rPr>
          <w:rFonts w:ascii="Arial" w:hAnsi="Arial" w:cs="Arial"/>
          <w:noProof/>
          <w:lang w:val="en-IN" w:eastAsia="en-IN"/>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B51941">
        <w:tc>
          <w:tcPr>
            <w:tcW w:w="8424"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33E41" w:rsidRPr="00833E41">
              <w:rPr>
                <w:rFonts w:ascii="Arial" w:eastAsia="Calibri" w:hAnsi="Arial" w:cs="Arial"/>
                <w:szCs w:val="22"/>
              </w:rPr>
              <w:t>The present study was undertaken to assess the effectiveness of various organic weed management regimes in reducing weed density and biomass in urdbean. It further aims to examine the impact of these practices on soil nutrient availability, particularly nitrogen (N), phosphorus (P), and potassium (K), during different stages of crop growth. The study also seeks to determine the nutrient concentration and total nutrient uptake by urdbean under different organic weed control treatments</w:t>
            </w:r>
            <w:r w:rsidR="001A6B8E">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commentRangeStart w:id="0"/>
            <w:r w:rsidR="00C83DE2">
              <w:rPr>
                <w:rFonts w:ascii="Arial" w:eastAsia="Calibri" w:hAnsi="Arial" w:cs="Arial"/>
                <w:szCs w:val="22"/>
              </w:rPr>
              <w:t>RCBD(R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commentRangeEnd w:id="0"/>
            <w:r w:rsidR="001A6B8E">
              <w:rPr>
                <w:rStyle w:val="CommentReference"/>
                <w:rFonts w:ascii="Times New Roman" w:hAnsi="Times New Roman"/>
                <w:lang w:val="nb-NO" w:eastAsia="nb-NO"/>
              </w:rPr>
              <w:commentReference w:id="0"/>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Mechanical (cycle weeder)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Ageratum conyzoides</w:t>
            </w:r>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C83DE2" w:rsidRPr="00C83DE2">
              <w:rPr>
                <w:rFonts w:ascii="Arial" w:eastAsia="Calibri" w:hAnsi="Arial" w:cs="Arial"/>
                <w:szCs w:val="22"/>
              </w:rPr>
              <w:t>The results indicated that</w:t>
            </w:r>
            <w:r w:rsidR="00C83DE2">
              <w:rPr>
                <w:rFonts w:ascii="Arial" w:eastAsia="Calibri" w:hAnsi="Arial" w:cs="Arial"/>
                <w:szCs w:val="22"/>
              </w:rPr>
              <w:t xml:space="preserve"> significantly </w:t>
            </w:r>
            <w:r w:rsidR="00C83DE2" w:rsidRPr="00C83DE2">
              <w:rPr>
                <w:rFonts w:ascii="Arial" w:eastAsia="Calibri" w:hAnsi="Arial" w:cs="Arial"/>
                <w:szCs w:val="22"/>
              </w:rPr>
              <w:t>higher nutrient uptake by black gram was obtained in 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(80.52 N, 15.89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35.62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followed by stale seedbed technique + inter cultivation twice at 25 &amp;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(79.04 N, 15.39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33.98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The lesser uptake of the nutrient by black gram (39.29 N, 7.20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14.43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and higher nutrient uptake by weeds (12.12 N, 5.87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8.84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were noticed in un weeded check (T</w:t>
            </w:r>
            <w:r w:rsidR="00C83DE2" w:rsidRPr="00C83DE2">
              <w:rPr>
                <w:rFonts w:ascii="Arial" w:eastAsia="Calibri" w:hAnsi="Arial" w:cs="Arial"/>
                <w:szCs w:val="22"/>
                <w:vertAlign w:val="subscript"/>
              </w:rPr>
              <w:t>12</w:t>
            </w:r>
            <w:r w:rsidR="00C83DE2" w:rsidRPr="00C83DE2">
              <w:rPr>
                <w:rFonts w:ascii="Arial" w:eastAsia="Calibri" w:hAnsi="Arial" w:cs="Arial"/>
                <w:szCs w:val="22"/>
              </w:rPr>
              <w:t xml:space="preserve">). </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commentRangeStart w:id="1"/>
            <w:r w:rsidR="00C83DE2" w:rsidRPr="00C83DE2">
              <w:rPr>
                <w:rFonts w:ascii="Arial" w:eastAsia="Calibri" w:hAnsi="Arial" w:cs="Arial"/>
                <w:szCs w:val="22"/>
              </w:rPr>
              <w:t>Timely organic weed management markedly improved nutrient uptake of black gram while minimizing nutrient removal by weeds. Hand weeding at 20 and 40 DAS was the most effective practice, followed closely by the stale seedbed technique with inter-cultivation. In contrast, the unweeded check recorded the lowest crop nutrient uptake and highest nutrient depletion by weeds, emphasizing the necessity of effective weed control for enhanced productivity</w:t>
            </w:r>
            <w:commentRangeEnd w:id="1"/>
            <w:r w:rsidR="001A6B8E">
              <w:rPr>
                <w:rStyle w:val="CommentReference"/>
                <w:rFonts w:ascii="Times New Roman" w:hAnsi="Times New Roman"/>
                <w:lang w:val="nb-NO" w:eastAsia="nb-NO"/>
              </w:rPr>
              <w:commentReference w:id="1"/>
            </w:r>
          </w:p>
        </w:tc>
      </w:tr>
    </w:tbl>
    <w:p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Cycle weeder, Inter cultivation, Hand weeding, Stale seed bed</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A16A66" w:rsidRPr="00A16A66" w:rsidRDefault="00A16A66" w:rsidP="00A16A66">
      <w:pPr>
        <w:pStyle w:val="Body"/>
        <w:rPr>
          <w:rFonts w:ascii="Arial" w:hAnsi="Arial" w:cs="Arial"/>
        </w:rPr>
      </w:pPr>
      <w:r w:rsidRPr="00A16A66">
        <w:rPr>
          <w:rFonts w:ascii="Arial" w:hAnsi="Arial" w:cs="Arial"/>
        </w:rPr>
        <w:t xml:space="preserve">Grain  legumes  are  inseparable  ingredients  of vegetarian  diet,  and  one  of  the  cheapest  source  for combating the malnutrition by supplying dietary protein to the  people.  </w:t>
      </w:r>
      <w:r w:rsidRPr="00A16A66">
        <w:rPr>
          <w:rFonts w:ascii="Arial" w:hAnsi="Arial" w:cs="Arial"/>
        </w:rPr>
        <w:lastRenderedPageBreak/>
        <w:t xml:space="preserve">India contributes 27.6 per cent to the global grain legume production and holds 35.2 per cent of the world’s pulse acreage (Kundu </w:t>
      </w:r>
      <w:r w:rsidRPr="00A16A66">
        <w:rPr>
          <w:rFonts w:ascii="Arial" w:hAnsi="Arial" w:cs="Arial"/>
          <w:i/>
        </w:rPr>
        <w:t>et al</w:t>
      </w:r>
      <w:r w:rsidRPr="00A16A66">
        <w:rPr>
          <w:rFonts w:ascii="Arial" w:hAnsi="Arial" w:cs="Arial"/>
        </w:rPr>
        <w:t>., 2025). Surprisingly, about 80 per cent of the areas under pulses are currently grown in rainfed land of the country. Urdbean [</w:t>
      </w:r>
      <w:r w:rsidRPr="00A16A66">
        <w:rPr>
          <w:rFonts w:ascii="Arial" w:hAnsi="Arial" w:cs="Arial"/>
          <w:i/>
        </w:rPr>
        <w:t>Vigna mungo</w:t>
      </w:r>
      <w:r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The  crop  can  be grown  on  all  types  of  soils  ranging  from  sandy  loam  to heavy  clay  except  the  alkaline  and  saline  soil. Urd bean contributes about 13 per cent of total area in pulses and 10 per cent of their total production in our country.  This  crop  was cultivated on an area of about 5.44 M ha (rainy + winter season)  and  recorded  a  production  of  3.56  mt  at  a productivity level of 655 kg ha</w:t>
      </w:r>
      <w:r w:rsidRPr="00A16A66">
        <w:rPr>
          <w:rFonts w:ascii="Arial" w:hAnsi="Arial" w:cs="Arial"/>
          <w:vertAlign w:val="superscript"/>
        </w:rPr>
        <w:t>-1</w:t>
      </w:r>
      <w:r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rsidR="00A16A66" w:rsidRPr="00A16A66" w:rsidRDefault="00A16A66" w:rsidP="00A16A66">
      <w:pPr>
        <w:pStyle w:val="Body"/>
        <w:rPr>
          <w:rFonts w:ascii="Arial" w:hAnsi="Arial" w:cs="Arial"/>
        </w:rPr>
      </w:pPr>
      <w:r w:rsidRPr="00A16A66">
        <w:rPr>
          <w:rFonts w:ascii="Arial" w:hAnsi="Arial" w:cs="Arial"/>
        </w:rPr>
        <w:t xml:space="preserve">Urdbean is susceptible to weed competition (Balyan </w:t>
      </w:r>
      <w:r w:rsidRPr="00A16A66">
        <w:rPr>
          <w:rFonts w:ascii="Arial" w:hAnsi="Arial" w:cs="Arial"/>
          <w:i/>
        </w:rPr>
        <w:t>et al</w:t>
      </w:r>
      <w:r w:rsidRPr="00A16A66">
        <w:rPr>
          <w:rFonts w:ascii="Arial" w:hAnsi="Arial" w:cs="Arial"/>
        </w:rPr>
        <w:t>., 2016) with yield reduction of 42 -51 per cent (Malliswari</w:t>
      </w:r>
      <w:r w:rsidRPr="00A16A66">
        <w:rPr>
          <w:rFonts w:ascii="Arial" w:hAnsi="Arial" w:cs="Arial"/>
          <w:i/>
        </w:rPr>
        <w:t>et al</w:t>
      </w:r>
      <w:r w:rsidRPr="00A16A66">
        <w:rPr>
          <w:rFonts w:ascii="Arial" w:hAnsi="Arial" w:cs="Arial"/>
        </w:rPr>
        <w:t xml:space="preserve">., 2008; Begum and Rao 2006). Thus weed management has become very much imperative to sustain productivity in crops like urdbean (Kumar </w:t>
      </w:r>
      <w:r w:rsidRPr="00A16A66">
        <w:rPr>
          <w:rFonts w:ascii="Arial" w:hAnsi="Arial" w:cs="Arial"/>
          <w:i/>
        </w:rPr>
        <w:t>et. al</w:t>
      </w:r>
      <w:r w:rsidRPr="00A16A66">
        <w:rPr>
          <w:rFonts w:ascii="Arial" w:hAnsi="Arial" w:cs="Arial"/>
        </w:rPr>
        <w:t xml:space="preserve">., 2018). Higher weed density is seen mainly in the rainy season due to ample presence of moisture in the soil and limited field work days (Ramamoorthy </w:t>
      </w:r>
      <w:r w:rsidRPr="00A16A66">
        <w:rPr>
          <w:rFonts w:ascii="Arial" w:hAnsi="Arial" w:cs="Arial"/>
          <w:i/>
        </w:rPr>
        <w:t>et al</w:t>
      </w:r>
      <w:r w:rsidRPr="00A16A66">
        <w:rPr>
          <w:rFonts w:ascii="Arial" w:hAnsi="Arial" w:cs="Arial"/>
        </w:rPr>
        <w:t>., 2004). The most intensive period for weed competition is around 3 and 6 weeks after sowing which needs control measures for achieving yield targets (Asaduzzaman</w:t>
      </w:r>
      <w:r w:rsidRPr="00A16A66">
        <w:rPr>
          <w:rFonts w:ascii="Arial" w:hAnsi="Arial" w:cs="Arial"/>
          <w:i/>
        </w:rPr>
        <w:t>et al</w:t>
      </w:r>
      <w:r w:rsidRPr="00A16A66">
        <w:rPr>
          <w:rFonts w:ascii="Arial" w:hAnsi="Arial" w:cs="Arial"/>
        </w:rPr>
        <w:t>., 2010). Many potential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labour. As a result, awareness is being raised about the use of environmental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rsidR="00790ADA" w:rsidRPr="00FB3A86" w:rsidRDefault="00A16A66" w:rsidP="00A16A66">
      <w:pPr>
        <w:pStyle w:val="Body"/>
        <w:spacing w:after="0"/>
        <w:rPr>
          <w:rFonts w:ascii="Arial" w:hAnsi="Arial" w:cs="Arial"/>
        </w:rPr>
      </w:pPr>
      <w:r w:rsidRPr="00A16A66">
        <w:rPr>
          <w:rFonts w:ascii="Arial" w:hAnsi="Arial" w:cs="Arial"/>
        </w:rPr>
        <w:t>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w:t>
      </w:r>
      <w:commentRangeStart w:id="2"/>
      <w:r w:rsidRPr="00A16A66">
        <w:rPr>
          <w:rFonts w:ascii="Arial" w:hAnsi="Arial" w:cs="Arial"/>
        </w:rPr>
        <w:t xml:space="preserve"> As a result, the current study was started in order to discover practical and cost-effective weed management strategies in organic black gram. Thus keeping these points in view, an experiment was conducted with the objective of evaluating the relative efficacy of different weed control practices on nutrient status and yield of urdbean.</w:t>
      </w:r>
      <w:commentRangeEnd w:id="2"/>
      <w:r w:rsidR="00D73A9B">
        <w:rPr>
          <w:rStyle w:val="CommentReference"/>
          <w:rFonts w:ascii="Times New Roman" w:hAnsi="Times New Roman"/>
          <w:lang w:val="nb-NO" w:eastAsia="nb-NO"/>
        </w:rPr>
        <w:commentReference w:id="2"/>
      </w: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A16A66" w:rsidRPr="00FB3A86" w:rsidRDefault="00A16A66" w:rsidP="00441B6F">
      <w:pPr>
        <w:pStyle w:val="AbstHead"/>
        <w:spacing w:after="0"/>
        <w:jc w:val="both"/>
        <w:rPr>
          <w:rFonts w:ascii="Arial" w:hAnsi="Arial" w:cs="Arial"/>
        </w:rPr>
      </w:pPr>
    </w:p>
    <w:p w:rsidR="00A16A66" w:rsidRPr="00A16A66" w:rsidRDefault="00A16A66" w:rsidP="00A16A66">
      <w:pPr>
        <w:pStyle w:val="Body"/>
        <w:rPr>
          <w:rFonts w:ascii="Arial" w:hAnsi="Arial" w:cs="Arial"/>
        </w:rPr>
      </w:pPr>
      <w:r w:rsidRPr="00A16A66">
        <w:rPr>
          <w:rFonts w:ascii="Arial" w:hAnsi="Arial" w:cs="Arial"/>
        </w:rPr>
        <w:t xml:space="preserve">A field experiment was conducted during </w:t>
      </w:r>
      <w:commentRangeStart w:id="3"/>
      <w:r w:rsidRPr="00A16A66">
        <w:rPr>
          <w:rFonts w:ascii="Arial" w:hAnsi="Arial" w:cs="Arial"/>
        </w:rPr>
        <w:t xml:space="preserve">Rabi </w:t>
      </w:r>
      <w:commentRangeEnd w:id="3"/>
      <w:r w:rsidR="00D73A9B">
        <w:rPr>
          <w:rStyle w:val="CommentReference"/>
          <w:rFonts w:ascii="Times New Roman" w:hAnsi="Times New Roman"/>
          <w:lang w:val="nb-NO" w:eastAsia="nb-NO"/>
        </w:rPr>
        <w:commentReference w:id="3"/>
      </w:r>
      <w:commentRangeStart w:id="4"/>
      <w:r w:rsidRPr="00A16A66">
        <w:rPr>
          <w:rFonts w:ascii="Arial" w:hAnsi="Arial" w:cs="Arial"/>
        </w:rPr>
        <w:t xml:space="preserve">season </w:t>
      </w:r>
      <w:commentRangeEnd w:id="4"/>
      <w:r w:rsidR="00D73A9B">
        <w:rPr>
          <w:rStyle w:val="CommentReference"/>
          <w:rFonts w:ascii="Times New Roman" w:hAnsi="Times New Roman"/>
          <w:lang w:val="nb-NO" w:eastAsia="nb-NO"/>
        </w:rPr>
        <w:commentReference w:id="4"/>
      </w:r>
      <w:r w:rsidRPr="00A16A66">
        <w:rPr>
          <w:rFonts w:ascii="Arial" w:hAnsi="Arial" w:cs="Arial"/>
        </w:rPr>
        <w:t xml:space="preserve">of 2025-26 at the Research Institute of Organic Farming (RIOF) field unit, University of Agricultural Sciences, GKVK, Bengaluru, Karnataka (latitude of 13° 05' N, longitude 77° 34' E with an altitude of 924 m above MSL). </w:t>
      </w:r>
      <w:r w:rsidRPr="00A16A66">
        <w:rPr>
          <w:rFonts w:ascii="Arial" w:hAnsi="Arial" w:cs="Arial"/>
        </w:rPr>
        <w:lastRenderedPageBreak/>
        <w:t>The soil of the experimental site comes under sandy loam texture having neutral pH of 6.69, low electrical conductivity (0.25 d Sm</w:t>
      </w:r>
      <w:r w:rsidRPr="00A16A66">
        <w:rPr>
          <w:rFonts w:ascii="Arial" w:hAnsi="Arial" w:cs="Arial"/>
          <w:vertAlign w:val="superscript"/>
        </w:rPr>
        <w:t>-1</w:t>
      </w:r>
      <w:r w:rsidRPr="00A16A66">
        <w:rPr>
          <w:rFonts w:ascii="Arial" w:hAnsi="Arial" w:cs="Arial"/>
        </w:rPr>
        <w:t>) with medium organic carbon content (</w:t>
      </w:r>
      <w:commentRangeStart w:id="5"/>
      <w:r w:rsidRPr="00A16A66">
        <w:rPr>
          <w:rFonts w:ascii="Arial" w:hAnsi="Arial" w:cs="Arial"/>
        </w:rPr>
        <w:t xml:space="preserve">0.6 </w:t>
      </w:r>
      <w:commentRangeEnd w:id="5"/>
      <w:r w:rsidR="00CD0AC2">
        <w:rPr>
          <w:rStyle w:val="CommentReference"/>
          <w:rFonts w:ascii="Times New Roman" w:hAnsi="Times New Roman"/>
          <w:lang w:val="nb-NO" w:eastAsia="nb-NO"/>
        </w:rPr>
        <w:commentReference w:id="5"/>
      </w:r>
      <w:r w:rsidRPr="00A16A66">
        <w:rPr>
          <w:rFonts w:ascii="Arial" w:hAnsi="Arial" w:cs="Arial"/>
        </w:rPr>
        <w:t>%). The 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rsidR="00A03B96" w:rsidRDefault="00A16A66" w:rsidP="00A16A66">
      <w:pPr>
        <w:pStyle w:val="Body"/>
        <w:spacing w:after="0"/>
        <w:rPr>
          <w:rFonts w:ascii="Arial" w:hAnsi="Arial" w:cs="Arial"/>
        </w:rPr>
      </w:pPr>
      <w:r w:rsidRPr="00A16A66">
        <w:rPr>
          <w:rFonts w:ascii="Arial" w:hAnsi="Arial" w:cs="Arial"/>
        </w:rPr>
        <w:t>The experiment comprised of twelve treatments laid out in RCBD design in three replication with the gross plot size of 25.92 m</w:t>
      </w:r>
      <w:r w:rsidRPr="00A16A66">
        <w:rPr>
          <w:rFonts w:ascii="Arial" w:hAnsi="Arial" w:cs="Arial"/>
          <w:vertAlign w:val="superscript"/>
        </w:rPr>
        <w:t>2</w:t>
      </w:r>
      <w:r w:rsidRPr="00A16A66">
        <w:rPr>
          <w:rFonts w:ascii="Arial" w:hAnsi="Arial" w:cs="Arial"/>
        </w:rPr>
        <w:t xml:space="preserve"> and 50cm buffer area was maintained between two plots within the replication, </w:t>
      </w:r>
      <w:commentRangeStart w:id="6"/>
      <w:r w:rsidRPr="00A16A66">
        <w:rPr>
          <w:rFonts w:ascii="Arial" w:hAnsi="Arial" w:cs="Arial"/>
        </w:rPr>
        <w:t>while the</w:t>
      </w:r>
      <w:r>
        <w:rPr>
          <w:rFonts w:ascii="Arial" w:hAnsi="Arial" w:cs="Arial"/>
        </w:rPr>
        <w:t xml:space="preserve"> block border size was 0.75 m</w:t>
      </w:r>
      <w:r w:rsidRPr="00A16A66">
        <w:rPr>
          <w:rFonts w:ascii="Arial" w:hAnsi="Arial" w:cs="Arial"/>
        </w:rPr>
        <w:t xml:space="preserve">.  </w:t>
      </w:r>
      <w:commentRangeEnd w:id="6"/>
      <w:r w:rsidR="00CD0AC2">
        <w:rPr>
          <w:rStyle w:val="CommentReference"/>
          <w:rFonts w:ascii="Times New Roman" w:hAnsi="Times New Roman"/>
          <w:lang w:val="nb-NO" w:eastAsia="nb-NO"/>
        </w:rPr>
        <w:commentReference w:id="6"/>
      </w:r>
      <w:r w:rsidRPr="00A16A66">
        <w:rPr>
          <w:rFonts w:ascii="Arial" w:hAnsi="Arial" w:cs="Arial"/>
        </w:rPr>
        <w:t>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mechanical (cycle weeder)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w:t>
      </w:r>
      <w:r w:rsidR="00CD0AC2">
        <w:rPr>
          <w:rFonts w:ascii="Arial" w:hAnsi="Arial" w:cs="Arial"/>
        </w:rPr>
        <w:t xml:space="preserve"> </w:t>
      </w:r>
      <w:r w:rsidRPr="00A16A66">
        <w:rPr>
          <w:rFonts w:ascii="Arial" w:hAnsi="Arial" w:cs="Arial"/>
        </w:rPr>
        <w:t>ml</w:t>
      </w:r>
      <w:r w:rsidR="00CD0AC2">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Ageratum conyzoides</w:t>
      </w:r>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The urd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cris-cross manner. Inter cultivation was done with the help of hand gudli. Straw mulching was done with crop residues (Kodo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weeder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Ageratum conyzoides</w:t>
      </w:r>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w:t>
      </w:r>
      <w:commentRangeStart w:id="7"/>
      <w:r w:rsidRPr="00CD0AC2">
        <w:rPr>
          <w:rFonts w:ascii="Arial" w:hAnsi="Arial" w:cs="Arial"/>
        </w:rPr>
        <w:t xml:space="preserve">The obtained 10 % (w/v) aqueous allele chemical extract was used for spraying onto the weeds grown in pots (Javaid et al., 2006). </w:t>
      </w:r>
      <w:commentRangeEnd w:id="7"/>
      <w:r w:rsidR="00CD0AC2">
        <w:rPr>
          <w:rStyle w:val="CommentReference"/>
          <w:rFonts w:ascii="Times New Roman" w:hAnsi="Times New Roman"/>
          <w:lang w:val="nb-NO" w:eastAsia="nb-NO"/>
        </w:rPr>
        <w:commentReference w:id="7"/>
      </w:r>
      <w:commentRangeStart w:id="8"/>
      <w:r w:rsidRPr="00A16A66">
        <w:rPr>
          <w:rFonts w:ascii="Arial" w:hAnsi="Arial" w:cs="Arial"/>
        </w:rPr>
        <w:t>Statistical  analysis  of  the data  was  done  as  per  the  Fisher’s  analysis  of  variance technique for the experimental designs and treatment means were compared using least significant difference test at 5 per cent probability level using t-test.</w:t>
      </w:r>
      <w:commentRangeEnd w:id="8"/>
      <w:r w:rsidR="00CD0AC2">
        <w:rPr>
          <w:rStyle w:val="CommentReference"/>
          <w:rFonts w:ascii="Times New Roman" w:hAnsi="Times New Roman"/>
          <w:lang w:val="nb-NO" w:eastAsia="nb-NO"/>
        </w:rPr>
        <w:commentReference w:id="8"/>
      </w: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C739F5" w:rsidRDefault="00C739F5" w:rsidP="00C739F5">
      <w:pPr>
        <w:tabs>
          <w:tab w:val="left" w:pos="1080"/>
        </w:tabs>
        <w:jc w:val="both"/>
        <w:rPr>
          <w:rFonts w:ascii="Arial" w:hAnsi="Arial" w:cs="Arial"/>
        </w:rPr>
      </w:pPr>
      <w:commentRangeStart w:id="9"/>
      <w:r w:rsidRPr="00C739F5">
        <w:rPr>
          <w:rFonts w:ascii="Arial" w:hAnsi="Arial" w:cs="Arial"/>
        </w:rPr>
        <w:t xml:space="preserve">Major weed flora </w:t>
      </w:r>
      <w:commentRangeEnd w:id="9"/>
      <w:r w:rsidR="00F566CA">
        <w:rPr>
          <w:rStyle w:val="CommentReference"/>
          <w:rFonts w:ascii="Times New Roman" w:hAnsi="Times New Roman"/>
          <w:lang w:val="nb-NO" w:eastAsia="nb-NO"/>
        </w:rPr>
        <w:commentReference w:id="9"/>
      </w:r>
      <w:r w:rsidRPr="00C739F5">
        <w:rPr>
          <w:rFonts w:ascii="Arial" w:hAnsi="Arial" w:cs="Arial"/>
        </w:rPr>
        <w:t xml:space="preserve">observed in the experimental plot were </w:t>
      </w:r>
      <w:r w:rsidRPr="00C739F5">
        <w:rPr>
          <w:rFonts w:ascii="Arial" w:hAnsi="Arial" w:cs="Arial"/>
          <w:i/>
        </w:rPr>
        <w:t>Cyperus rotundus</w:t>
      </w:r>
      <w:r w:rsidRPr="00C739F5">
        <w:rPr>
          <w:rFonts w:ascii="Arial" w:hAnsi="Arial" w:cs="Arial"/>
        </w:rPr>
        <w:t xml:space="preserve"> L. (among sedges):  </w:t>
      </w:r>
      <w:r w:rsidRPr="00C739F5">
        <w:rPr>
          <w:rFonts w:ascii="Arial" w:hAnsi="Arial" w:cs="Arial"/>
          <w:i/>
        </w:rPr>
        <w:t>Digitariamarginata</w:t>
      </w:r>
      <w:r w:rsidRPr="00C739F5">
        <w:rPr>
          <w:rFonts w:ascii="Arial" w:hAnsi="Arial" w:cs="Arial"/>
        </w:rPr>
        <w:t xml:space="preserve"> (Retz.), </w:t>
      </w:r>
      <w:r w:rsidRPr="00C739F5">
        <w:rPr>
          <w:rFonts w:ascii="Arial" w:hAnsi="Arial" w:cs="Arial"/>
          <w:i/>
        </w:rPr>
        <w:t>Echinochloa</w:t>
      </w:r>
      <w:r w:rsidR="00CD0AC2">
        <w:rPr>
          <w:rFonts w:ascii="Arial" w:hAnsi="Arial" w:cs="Arial"/>
          <w:i/>
        </w:rPr>
        <w:t xml:space="preserve"> </w:t>
      </w:r>
      <w:r w:rsidRPr="00C739F5">
        <w:rPr>
          <w:rFonts w:ascii="Arial" w:hAnsi="Arial" w:cs="Arial"/>
          <w:i/>
        </w:rPr>
        <w:t>crusgalli</w:t>
      </w:r>
      <w:r w:rsidRPr="00C739F5">
        <w:rPr>
          <w:rFonts w:ascii="Arial" w:hAnsi="Arial" w:cs="Arial"/>
        </w:rPr>
        <w:t xml:space="preserve"> (L), </w:t>
      </w:r>
      <w:r w:rsidRPr="00C739F5">
        <w:rPr>
          <w:rFonts w:ascii="Arial" w:hAnsi="Arial" w:cs="Arial"/>
          <w:i/>
        </w:rPr>
        <w:t>Dactyloctenium</w:t>
      </w:r>
      <w:r w:rsidR="00CD0AC2">
        <w:rPr>
          <w:rFonts w:ascii="Arial" w:hAnsi="Arial" w:cs="Arial"/>
          <w:i/>
        </w:rPr>
        <w:t xml:space="preserve"> </w:t>
      </w:r>
      <w:r w:rsidRPr="00C739F5">
        <w:rPr>
          <w:rFonts w:ascii="Arial" w:hAnsi="Arial" w:cs="Arial"/>
          <w:i/>
        </w:rPr>
        <w:t>aegyptium</w:t>
      </w:r>
      <w:r w:rsidRPr="00C739F5">
        <w:rPr>
          <w:rFonts w:ascii="Arial" w:hAnsi="Arial" w:cs="Arial"/>
        </w:rPr>
        <w:t xml:space="preserve"> (L) P. Beauv, </w:t>
      </w:r>
      <w:r w:rsidRPr="00C739F5">
        <w:rPr>
          <w:rFonts w:ascii="Arial" w:hAnsi="Arial" w:cs="Arial"/>
          <w:i/>
        </w:rPr>
        <w:t>Elucina</w:t>
      </w:r>
      <w:r w:rsidR="00CD0AC2">
        <w:rPr>
          <w:rFonts w:ascii="Arial" w:hAnsi="Arial" w:cs="Arial"/>
          <w:i/>
        </w:rPr>
        <w:t xml:space="preserve"> </w:t>
      </w:r>
      <w:r w:rsidRPr="00C739F5">
        <w:rPr>
          <w:rFonts w:ascii="Arial" w:hAnsi="Arial" w:cs="Arial"/>
          <w:i/>
        </w:rPr>
        <w:t>indica</w:t>
      </w:r>
      <w:r w:rsidRPr="00C739F5">
        <w:rPr>
          <w:rFonts w:ascii="Arial" w:hAnsi="Arial" w:cs="Arial"/>
        </w:rPr>
        <w:t xml:space="preserve"> (L), </w:t>
      </w:r>
      <w:r w:rsidRPr="00C739F5">
        <w:rPr>
          <w:rFonts w:ascii="Arial" w:hAnsi="Arial" w:cs="Arial"/>
          <w:i/>
        </w:rPr>
        <w:t>Cynodon</w:t>
      </w:r>
      <w:r w:rsidR="00CD0AC2">
        <w:rPr>
          <w:rFonts w:ascii="Arial" w:hAnsi="Arial" w:cs="Arial"/>
          <w:i/>
        </w:rPr>
        <w:t xml:space="preserve"> </w:t>
      </w:r>
      <w:r w:rsidRPr="00C739F5">
        <w:rPr>
          <w:rFonts w:ascii="Arial" w:hAnsi="Arial" w:cs="Arial"/>
          <w:i/>
        </w:rPr>
        <w:t>dactylon</w:t>
      </w:r>
      <w:r w:rsidRPr="00C739F5">
        <w:rPr>
          <w:rFonts w:ascii="Arial" w:hAnsi="Arial" w:cs="Arial"/>
        </w:rPr>
        <w:t xml:space="preserve"> (L) Pers, </w:t>
      </w:r>
      <w:r w:rsidRPr="00C739F5">
        <w:rPr>
          <w:rFonts w:ascii="Arial" w:hAnsi="Arial" w:cs="Arial"/>
          <w:i/>
        </w:rPr>
        <w:t>Chloris barbata</w:t>
      </w:r>
      <w:r w:rsidRPr="00C739F5">
        <w:rPr>
          <w:rFonts w:ascii="Arial" w:hAnsi="Arial" w:cs="Arial"/>
        </w:rPr>
        <w:t xml:space="preserve"> (L.) (among grasses) and among broad leaved weeds </w:t>
      </w:r>
      <w:r w:rsidRPr="00C739F5">
        <w:rPr>
          <w:rFonts w:ascii="Arial" w:hAnsi="Arial" w:cs="Arial"/>
          <w:i/>
        </w:rPr>
        <w:t>Borreria</w:t>
      </w:r>
      <w:r w:rsidR="00CD0AC2">
        <w:rPr>
          <w:rFonts w:ascii="Arial" w:hAnsi="Arial" w:cs="Arial"/>
          <w:i/>
        </w:rPr>
        <w:t xml:space="preserve"> </w:t>
      </w:r>
      <w:r w:rsidRPr="00C739F5">
        <w:rPr>
          <w:rFonts w:ascii="Arial" w:hAnsi="Arial" w:cs="Arial"/>
          <w:i/>
        </w:rPr>
        <w:t>hispida</w:t>
      </w:r>
      <w:r w:rsidRPr="00C739F5">
        <w:rPr>
          <w:rFonts w:ascii="Arial" w:hAnsi="Arial" w:cs="Arial"/>
        </w:rPr>
        <w:t xml:space="preserve"> (L) K.schum, </w:t>
      </w:r>
      <w:r w:rsidRPr="00C739F5">
        <w:rPr>
          <w:rFonts w:ascii="Arial" w:hAnsi="Arial" w:cs="Arial"/>
          <w:i/>
        </w:rPr>
        <w:t>Emilia sonchifolia</w:t>
      </w:r>
      <w:r w:rsidR="00CD0AC2">
        <w:rPr>
          <w:rFonts w:ascii="Arial" w:hAnsi="Arial" w:cs="Arial"/>
          <w:i/>
        </w:rPr>
        <w:t xml:space="preserve"> </w:t>
      </w:r>
      <w:r w:rsidRPr="00C739F5">
        <w:rPr>
          <w:rFonts w:ascii="Arial" w:hAnsi="Arial" w:cs="Arial"/>
        </w:rPr>
        <w:t xml:space="preserve">(L), </w:t>
      </w:r>
      <w:r w:rsidRPr="00C739F5">
        <w:rPr>
          <w:rFonts w:ascii="Arial" w:hAnsi="Arial" w:cs="Arial"/>
          <w:i/>
        </w:rPr>
        <w:t>Spilanthus</w:t>
      </w:r>
      <w:r w:rsidR="00CD0AC2">
        <w:rPr>
          <w:rFonts w:ascii="Arial" w:hAnsi="Arial" w:cs="Arial"/>
          <w:i/>
        </w:rPr>
        <w:t xml:space="preserve"> </w:t>
      </w:r>
      <w:r w:rsidRPr="00C739F5">
        <w:rPr>
          <w:rFonts w:ascii="Arial" w:hAnsi="Arial" w:cs="Arial"/>
          <w:i/>
        </w:rPr>
        <w:t>acmella</w:t>
      </w:r>
      <w:r w:rsidRPr="00C739F5">
        <w:rPr>
          <w:rFonts w:ascii="Arial" w:hAnsi="Arial" w:cs="Arial"/>
        </w:rPr>
        <w:t xml:space="preserve"> (L), </w:t>
      </w:r>
      <w:r w:rsidRPr="00C739F5">
        <w:rPr>
          <w:rFonts w:ascii="Arial" w:hAnsi="Arial" w:cs="Arial"/>
          <w:i/>
        </w:rPr>
        <w:t>Ageratum conyzoides</w:t>
      </w:r>
      <w:r w:rsidRPr="00C739F5">
        <w:rPr>
          <w:rFonts w:ascii="Arial" w:hAnsi="Arial" w:cs="Arial"/>
        </w:rPr>
        <w:t xml:space="preserve"> (L), </w:t>
      </w:r>
      <w:r w:rsidRPr="00C739F5">
        <w:rPr>
          <w:rFonts w:ascii="Arial" w:hAnsi="Arial" w:cs="Arial"/>
          <w:i/>
        </w:rPr>
        <w:t>Alternanthera sessilie</w:t>
      </w:r>
      <w:r w:rsidRPr="00C739F5">
        <w:rPr>
          <w:rFonts w:ascii="Arial" w:hAnsi="Arial" w:cs="Arial"/>
        </w:rPr>
        <w:t xml:space="preserve"> (Br), </w:t>
      </w:r>
      <w:r w:rsidRPr="00C739F5">
        <w:rPr>
          <w:rFonts w:ascii="Arial" w:hAnsi="Arial" w:cs="Arial"/>
          <w:i/>
        </w:rPr>
        <w:t>Commelina</w:t>
      </w:r>
      <w:r w:rsidR="00CD0AC2">
        <w:rPr>
          <w:rFonts w:ascii="Arial" w:hAnsi="Arial" w:cs="Arial"/>
          <w:i/>
        </w:rPr>
        <w:t xml:space="preserve"> </w:t>
      </w:r>
      <w:r w:rsidRPr="00C739F5">
        <w:rPr>
          <w:rFonts w:ascii="Arial" w:hAnsi="Arial" w:cs="Arial"/>
          <w:i/>
        </w:rPr>
        <w:t>benghalensis</w:t>
      </w:r>
      <w:r>
        <w:rPr>
          <w:rFonts w:ascii="Arial" w:hAnsi="Arial" w:cs="Arial"/>
        </w:rPr>
        <w:t xml:space="preserve"> (L), </w:t>
      </w:r>
      <w:r w:rsidRPr="00C739F5">
        <w:rPr>
          <w:rFonts w:ascii="Arial" w:hAnsi="Arial" w:cs="Arial"/>
          <w:i/>
        </w:rPr>
        <w:t>Lonaidium</w:t>
      </w:r>
      <w:r w:rsidR="00CD0AC2">
        <w:rPr>
          <w:rFonts w:ascii="Arial" w:hAnsi="Arial" w:cs="Arial"/>
          <w:i/>
        </w:rPr>
        <w:t xml:space="preserve"> </w:t>
      </w:r>
      <w:r w:rsidRPr="00C739F5">
        <w:rPr>
          <w:rFonts w:ascii="Arial" w:hAnsi="Arial" w:cs="Arial"/>
          <w:i/>
        </w:rPr>
        <w:t>supfruiticesum</w:t>
      </w:r>
      <w:r w:rsidR="00CD0AC2">
        <w:rPr>
          <w:rFonts w:ascii="Arial" w:hAnsi="Arial" w:cs="Arial"/>
          <w:i/>
        </w:rPr>
        <w:t xml:space="preserve"> </w:t>
      </w:r>
      <w:r w:rsidRPr="00C739F5">
        <w:rPr>
          <w:rFonts w:ascii="Arial" w:hAnsi="Arial" w:cs="Arial"/>
        </w:rPr>
        <w:t xml:space="preserve">(L) Ging, </w:t>
      </w:r>
      <w:r w:rsidRPr="00C739F5">
        <w:rPr>
          <w:rFonts w:ascii="Arial" w:hAnsi="Arial" w:cs="Arial"/>
          <w:i/>
        </w:rPr>
        <w:t>Cleome viscose</w:t>
      </w:r>
      <w:r w:rsidRPr="00C739F5">
        <w:rPr>
          <w:rFonts w:ascii="Arial" w:hAnsi="Arial" w:cs="Arial"/>
        </w:rPr>
        <w:t xml:space="preserve"> (L), </w:t>
      </w:r>
      <w:r w:rsidRPr="00C739F5">
        <w:rPr>
          <w:rFonts w:ascii="Arial" w:hAnsi="Arial" w:cs="Arial"/>
          <w:i/>
        </w:rPr>
        <w:t>Amaranthus viridis</w:t>
      </w:r>
      <w:r w:rsidRPr="00C739F5">
        <w:rPr>
          <w:rFonts w:ascii="Arial" w:hAnsi="Arial" w:cs="Arial"/>
        </w:rPr>
        <w:t xml:space="preserve"> (L), </w:t>
      </w:r>
      <w:r w:rsidRPr="00C739F5">
        <w:rPr>
          <w:rFonts w:ascii="Arial" w:hAnsi="Arial" w:cs="Arial"/>
          <w:i/>
        </w:rPr>
        <w:t>Portulaca</w:t>
      </w:r>
      <w:r w:rsidR="00CD0AC2">
        <w:rPr>
          <w:rFonts w:ascii="Arial" w:hAnsi="Arial" w:cs="Arial"/>
          <w:i/>
        </w:rPr>
        <w:t xml:space="preserve"> </w:t>
      </w:r>
      <w:r w:rsidRPr="00C739F5">
        <w:rPr>
          <w:rFonts w:ascii="Arial" w:hAnsi="Arial" w:cs="Arial"/>
          <w:i/>
        </w:rPr>
        <w:t>oleracia</w:t>
      </w:r>
      <w:r w:rsidRPr="00C739F5">
        <w:rPr>
          <w:rFonts w:ascii="Arial" w:hAnsi="Arial" w:cs="Arial"/>
        </w:rPr>
        <w:t xml:space="preserve"> (L), </w:t>
      </w:r>
      <w:r w:rsidRPr="00C739F5">
        <w:rPr>
          <w:rFonts w:ascii="Arial" w:hAnsi="Arial" w:cs="Arial"/>
          <w:i/>
        </w:rPr>
        <w:t>Sida acuta</w:t>
      </w:r>
      <w:r w:rsidRPr="00C739F5">
        <w:rPr>
          <w:rFonts w:ascii="Arial" w:hAnsi="Arial" w:cs="Arial"/>
        </w:rPr>
        <w:t xml:space="preserve"> (Burm f), </w:t>
      </w:r>
      <w:r w:rsidRPr="00C739F5">
        <w:rPr>
          <w:rFonts w:ascii="Arial" w:hAnsi="Arial" w:cs="Arial"/>
          <w:i/>
        </w:rPr>
        <w:t>Acanthospermum</w:t>
      </w:r>
      <w:r w:rsidR="00CD0AC2">
        <w:rPr>
          <w:rFonts w:ascii="Arial" w:hAnsi="Arial" w:cs="Arial"/>
          <w:i/>
        </w:rPr>
        <w:t xml:space="preserve"> </w:t>
      </w:r>
      <w:r w:rsidRPr="00C739F5">
        <w:rPr>
          <w:rFonts w:ascii="Arial" w:hAnsi="Arial" w:cs="Arial"/>
          <w:i/>
        </w:rPr>
        <w:t>hispida</w:t>
      </w:r>
      <w:r w:rsidRPr="00C739F5">
        <w:rPr>
          <w:rFonts w:ascii="Arial" w:hAnsi="Arial" w:cs="Arial"/>
        </w:rPr>
        <w:t xml:space="preserve"> DC, </w:t>
      </w:r>
      <w:r w:rsidRPr="00C739F5">
        <w:rPr>
          <w:rFonts w:ascii="Arial" w:hAnsi="Arial" w:cs="Arial"/>
          <w:i/>
        </w:rPr>
        <w:t>Celosia argentea</w:t>
      </w:r>
      <w:r w:rsidRPr="00C739F5">
        <w:rPr>
          <w:rFonts w:ascii="Arial" w:hAnsi="Arial" w:cs="Arial"/>
        </w:rPr>
        <w:t xml:space="preserve"> (L) at 60 DAS (Table 1)</w:t>
      </w:r>
    </w:p>
    <w:p w:rsidR="00C739F5" w:rsidRPr="00C739F5" w:rsidRDefault="00C739F5" w:rsidP="00C739F5">
      <w:pPr>
        <w:tabs>
          <w:tab w:val="left" w:pos="1080"/>
        </w:tabs>
        <w:jc w:val="both"/>
        <w:rPr>
          <w:rFonts w:ascii="Arial" w:hAnsi="Arial" w:cs="Arial"/>
        </w:rPr>
      </w:pPr>
    </w:p>
    <w:p w:rsidR="00C739F5" w:rsidRDefault="00C739F5" w:rsidP="00C739F5">
      <w:pPr>
        <w:tabs>
          <w:tab w:val="left" w:pos="1080"/>
        </w:tabs>
        <w:jc w:val="both"/>
        <w:rPr>
          <w:rFonts w:ascii="Arial" w:hAnsi="Arial" w:cs="Arial"/>
          <w:b/>
          <w:sz w:val="22"/>
          <w:szCs w:val="22"/>
        </w:rPr>
      </w:pPr>
      <w:r>
        <w:rPr>
          <w:rFonts w:ascii="Arial" w:hAnsi="Arial" w:cs="Arial"/>
          <w:b/>
          <w:sz w:val="22"/>
          <w:szCs w:val="22"/>
        </w:rPr>
        <w:t xml:space="preserve">3.1 </w:t>
      </w:r>
      <w:r w:rsidRPr="00C739F5">
        <w:rPr>
          <w:rFonts w:ascii="Arial" w:hAnsi="Arial" w:cs="Arial"/>
          <w:b/>
          <w:sz w:val="22"/>
          <w:szCs w:val="22"/>
        </w:rPr>
        <w:t>Nutrient uptake by crop</w:t>
      </w:r>
    </w:p>
    <w:p w:rsidR="00C739F5" w:rsidRPr="00C739F5" w:rsidRDefault="00C739F5" w:rsidP="00C739F5">
      <w:pPr>
        <w:tabs>
          <w:tab w:val="left" w:pos="1080"/>
        </w:tabs>
        <w:jc w:val="both"/>
        <w:rPr>
          <w:rFonts w:ascii="Arial" w:hAnsi="Arial" w:cs="Arial"/>
          <w:b/>
          <w:sz w:val="22"/>
          <w:szCs w:val="22"/>
        </w:rPr>
      </w:pPr>
    </w:p>
    <w:p w:rsidR="00C739F5" w:rsidRDefault="00C739F5" w:rsidP="00C739F5">
      <w:pPr>
        <w:tabs>
          <w:tab w:val="left" w:pos="1080"/>
        </w:tabs>
        <w:jc w:val="both"/>
        <w:rPr>
          <w:rFonts w:ascii="Arial" w:hAnsi="Arial" w:cs="Arial"/>
        </w:rPr>
      </w:pPr>
      <w:r w:rsidRPr="00C739F5">
        <w:rPr>
          <w:rFonts w:ascii="Arial" w:hAnsi="Arial" w:cs="Arial"/>
        </w:rPr>
        <w:lastRenderedPageBreak/>
        <w:t>Nutrient uptake by black gram (kg ha</w:t>
      </w:r>
      <w:r w:rsidRPr="00C739F5">
        <w:rPr>
          <w:rFonts w:ascii="Cambria Math" w:hAnsi="Cambria Math" w:cs="Cambria Math"/>
        </w:rPr>
        <w:t>⁻</w:t>
      </w:r>
      <w:r w:rsidRPr="00C739F5">
        <w:rPr>
          <w:rFonts w:ascii="Arial" w:hAnsi="Arial" w:cs="Arial"/>
        </w:rPr>
        <w:t>¹) was significantly influenced by different weed management practices (Table 3). Hand weeding at 20 and 40 DAS recorded the highest uptake of N,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and K</w:t>
      </w:r>
      <w:r w:rsidRPr="00C739F5">
        <w:rPr>
          <w:rFonts w:ascii="Cambria Math" w:hAnsi="Cambria Math" w:cs="Cambria Math"/>
        </w:rPr>
        <w:t>₂</w:t>
      </w:r>
      <w:r w:rsidRPr="00C739F5">
        <w:rPr>
          <w:rFonts w:ascii="Arial" w:hAnsi="Arial" w:cs="Arial"/>
        </w:rPr>
        <w:t>O (80.52, 15.89, and 35.62 kg ha</w:t>
      </w:r>
      <w:r w:rsidRPr="00C739F5">
        <w:rPr>
          <w:rFonts w:ascii="Cambria Math" w:hAnsi="Cambria Math" w:cs="Cambria Math"/>
        </w:rPr>
        <w:t>⁻</w:t>
      </w:r>
      <w:r w:rsidRPr="00C739F5">
        <w:rPr>
          <w:rFonts w:ascii="Arial" w:hAnsi="Arial" w:cs="Arial"/>
        </w:rPr>
        <w:t>¹, respectively), and was found to be statistically on par with the stale seedbed technique followed by inter-cultivation at 25 and 45 DAS (79.04, 15.39, and 33.98 kg ha</w:t>
      </w:r>
      <w:r w:rsidRPr="00C739F5">
        <w:rPr>
          <w:rFonts w:ascii="Cambria Math" w:hAnsi="Cambria Math" w:cs="Cambria Math"/>
        </w:rPr>
        <w:t>⁻</w:t>
      </w:r>
      <w:r w:rsidRPr="00C739F5">
        <w:rPr>
          <w:rFonts w:ascii="Arial" w:hAnsi="Arial" w:cs="Arial"/>
        </w:rPr>
        <w:t>¹, respectively). The untreated control recorded the lowest nutrient uptake (39.29 kg N ha</w:t>
      </w:r>
      <w:r w:rsidRPr="00C739F5">
        <w:rPr>
          <w:rFonts w:ascii="Cambria Math" w:hAnsi="Cambria Math" w:cs="Cambria Math"/>
        </w:rPr>
        <w:t>⁻</w:t>
      </w:r>
      <w:r w:rsidRPr="00C739F5">
        <w:rPr>
          <w:rFonts w:ascii="Arial" w:hAnsi="Arial" w:cs="Arial"/>
        </w:rPr>
        <w:t>¹, 7.20 kg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xml:space="preserve"> ha</w:t>
      </w:r>
      <w:r w:rsidRPr="00C739F5">
        <w:rPr>
          <w:rFonts w:ascii="Cambria Math" w:hAnsi="Cambria Math" w:cs="Cambria Math"/>
        </w:rPr>
        <w:t>⁻</w:t>
      </w:r>
      <w:r w:rsidRPr="00C739F5">
        <w:rPr>
          <w:rFonts w:ascii="Arial" w:hAnsi="Arial" w:cs="Arial"/>
        </w:rPr>
        <w:t>¹, and 14.43 kg K</w:t>
      </w:r>
      <w:r w:rsidRPr="00C739F5">
        <w:rPr>
          <w:rFonts w:ascii="Cambria Math" w:hAnsi="Cambria Math" w:cs="Cambria Math"/>
        </w:rPr>
        <w:t>₂</w:t>
      </w:r>
      <w:r w:rsidRPr="00C739F5">
        <w:rPr>
          <w:rFonts w:ascii="Arial" w:hAnsi="Arial" w:cs="Arial"/>
        </w:rPr>
        <w:t>O ha</w:t>
      </w:r>
      <w:r w:rsidRPr="00C739F5">
        <w:rPr>
          <w:rFonts w:ascii="Cambria Math" w:hAnsi="Cambria Math" w:cs="Cambria Math"/>
        </w:rPr>
        <w:t>⁻</w:t>
      </w:r>
      <w:r w:rsidRPr="00C739F5">
        <w:rPr>
          <w:rFonts w:ascii="Arial" w:hAnsi="Arial" w:cs="Arial"/>
        </w:rPr>
        <w:t xml:space="preserve">¹). The increased nutrient uptake under effective weed management practices may be attributed to reduced weed density and lower weed dry matter production (Table 2), which minimized crop–weed competition for nutrients and enhanced nutrient availability to the crop. Improved growth and vigor of the crop under these treatments likely contributed to greater nutrient absorption. These findings are in agreement with the results of Madhukumar </w:t>
      </w:r>
      <w:r w:rsidRPr="00C739F5">
        <w:rPr>
          <w:rFonts w:ascii="Arial" w:hAnsi="Arial" w:cs="Arial"/>
          <w:i/>
        </w:rPr>
        <w:t>et al</w:t>
      </w:r>
      <w:r w:rsidRPr="00C739F5">
        <w:rPr>
          <w:rFonts w:ascii="Arial" w:hAnsi="Arial" w:cs="Arial"/>
        </w:rPr>
        <w:t>. (2</w:t>
      </w:r>
      <w:r w:rsidR="00B51941">
        <w:rPr>
          <w:rFonts w:ascii="Arial" w:hAnsi="Arial" w:cs="Arial"/>
        </w:rPr>
        <w:t>013), Ramanam</w:t>
      </w:r>
      <w:r w:rsidRPr="00C739F5">
        <w:rPr>
          <w:rFonts w:ascii="Arial" w:hAnsi="Arial" w:cs="Arial"/>
        </w:rPr>
        <w:t xml:space="preserve">urthy and Reddy (2013), and Gaganpreet </w:t>
      </w:r>
      <w:r w:rsidRPr="00C739F5">
        <w:rPr>
          <w:rFonts w:ascii="Arial" w:hAnsi="Arial" w:cs="Arial"/>
          <w:i/>
        </w:rPr>
        <w:t>et al</w:t>
      </w:r>
      <w:r w:rsidRPr="00C739F5">
        <w:rPr>
          <w:rFonts w:ascii="Arial" w:hAnsi="Arial" w:cs="Arial"/>
        </w:rPr>
        <w:t>. (2010), who also reported significantly higher NPK uptake under reduced weed competition.</w:t>
      </w:r>
    </w:p>
    <w:p w:rsidR="00C739F5" w:rsidRPr="00C739F5" w:rsidRDefault="00C739F5" w:rsidP="00C739F5">
      <w:pPr>
        <w:tabs>
          <w:tab w:val="left" w:pos="1080"/>
        </w:tabs>
        <w:jc w:val="both"/>
        <w:rPr>
          <w:rFonts w:ascii="Arial" w:hAnsi="Arial" w:cs="Arial"/>
        </w:rPr>
      </w:pPr>
    </w:p>
    <w:p w:rsidR="00C739F5" w:rsidRPr="00C739F5" w:rsidRDefault="00C739F5" w:rsidP="00C739F5">
      <w:pPr>
        <w:tabs>
          <w:tab w:val="left" w:pos="1080"/>
        </w:tabs>
        <w:jc w:val="both"/>
        <w:rPr>
          <w:rFonts w:ascii="Arial" w:hAnsi="Arial" w:cs="Arial"/>
          <w:b/>
          <w:sz w:val="22"/>
          <w:szCs w:val="22"/>
        </w:rPr>
      </w:pPr>
      <w:r>
        <w:rPr>
          <w:rFonts w:ascii="Arial" w:hAnsi="Arial" w:cs="Arial"/>
          <w:b/>
          <w:sz w:val="22"/>
          <w:szCs w:val="22"/>
        </w:rPr>
        <w:t xml:space="preserve">3.2 </w:t>
      </w:r>
      <w:r w:rsidRPr="00C739F5">
        <w:rPr>
          <w:rFonts w:ascii="Arial" w:hAnsi="Arial" w:cs="Arial"/>
          <w:b/>
          <w:sz w:val="22"/>
          <w:szCs w:val="22"/>
        </w:rPr>
        <w:t>Nutrient uptake by weeds</w:t>
      </w:r>
    </w:p>
    <w:p w:rsidR="00C739F5" w:rsidRDefault="00C739F5" w:rsidP="00C739F5">
      <w:pPr>
        <w:tabs>
          <w:tab w:val="left" w:pos="1080"/>
        </w:tabs>
        <w:jc w:val="both"/>
        <w:rPr>
          <w:rFonts w:ascii="Arial" w:hAnsi="Arial" w:cs="Arial"/>
        </w:rPr>
      </w:pPr>
    </w:p>
    <w:p w:rsidR="00C739F5" w:rsidRPr="00C739F5" w:rsidRDefault="00C739F5" w:rsidP="00C739F5">
      <w:pPr>
        <w:tabs>
          <w:tab w:val="left" w:pos="1080"/>
        </w:tabs>
        <w:jc w:val="both"/>
        <w:rPr>
          <w:rFonts w:ascii="Arial" w:hAnsi="Arial" w:cs="Arial"/>
        </w:rPr>
      </w:pPr>
      <w:r w:rsidRPr="00C739F5">
        <w:rPr>
          <w:rFonts w:ascii="Arial" w:hAnsi="Arial" w:cs="Arial"/>
        </w:rPr>
        <w:t>Nutrient uptake (N, P and K) by weeds was significantly influenced by different weed management practices (Table 4). The unweeded check (T</w:t>
      </w:r>
      <w:r w:rsidRPr="00C739F5">
        <w:rPr>
          <w:rFonts w:ascii="Cambria Math" w:hAnsi="Cambria Math" w:cs="Cambria Math"/>
        </w:rPr>
        <w:t>₁₂</w:t>
      </w:r>
      <w:r w:rsidRPr="00C739F5">
        <w:rPr>
          <w:rFonts w:ascii="Arial" w:hAnsi="Arial" w:cs="Arial"/>
        </w:rPr>
        <w:t>) recorded significantly higher nutrient removal by weeds (12.12 kg N ha</w:t>
      </w:r>
      <w:r w:rsidRPr="00C739F5">
        <w:rPr>
          <w:rFonts w:ascii="Cambria Math" w:hAnsi="Cambria Math" w:cs="Cambria Math"/>
        </w:rPr>
        <w:t>⁻</w:t>
      </w:r>
      <w:r w:rsidRPr="00C739F5">
        <w:rPr>
          <w:rFonts w:ascii="Arial" w:hAnsi="Arial" w:cs="Arial"/>
        </w:rPr>
        <w:t>¹, 5.87 kg P ha</w:t>
      </w:r>
      <w:r w:rsidRPr="00C739F5">
        <w:rPr>
          <w:rFonts w:ascii="Cambria Math" w:hAnsi="Cambria Math" w:cs="Cambria Math"/>
        </w:rPr>
        <w:t>⁻</w:t>
      </w:r>
      <w:r w:rsidRPr="00C739F5">
        <w:rPr>
          <w:rFonts w:ascii="Arial" w:hAnsi="Arial" w:cs="Arial"/>
        </w:rPr>
        <w:t>¹ and 8.84 kg K ha</w:t>
      </w:r>
      <w:r w:rsidRPr="00C739F5">
        <w:rPr>
          <w:rFonts w:ascii="Cambria Math" w:hAnsi="Cambria Math" w:cs="Cambria Math"/>
        </w:rPr>
        <w:t>⁻</w:t>
      </w:r>
      <w:r w:rsidRPr="00C739F5">
        <w:rPr>
          <w:rFonts w:ascii="Arial" w:hAnsi="Arial" w:cs="Arial"/>
        </w:rPr>
        <w:t>¹), which was statistically on par with black gram + fodder cowpea as a smothering crop between rows of black gram (11.96, 5.76 and 8.65 kg ha</w:t>
      </w:r>
      <w:r w:rsidRPr="00C739F5">
        <w:rPr>
          <w:rFonts w:ascii="Cambria Math" w:hAnsi="Cambria Math" w:cs="Cambria Math"/>
        </w:rPr>
        <w:t>⁻</w:t>
      </w:r>
      <w:r w:rsidRPr="00C739F5">
        <w:rPr>
          <w:rFonts w:ascii="Arial" w:hAnsi="Arial" w:cs="Arial"/>
        </w:rPr>
        <w:t>¹, respectively) and black gram + fodder cowpea as an intercrop (multi-cut) + one inter-cultivation at 40 DAS (11.72, 5.62 and 8.55 kg ha</w:t>
      </w:r>
      <w:r w:rsidRPr="00C739F5">
        <w:rPr>
          <w:rFonts w:ascii="Cambria Math" w:hAnsi="Cambria Math" w:cs="Cambria Math"/>
        </w:rPr>
        <w:t>⁻</w:t>
      </w:r>
      <w:r w:rsidRPr="00C739F5">
        <w:rPr>
          <w:rFonts w:ascii="Arial" w:hAnsi="Arial" w:cs="Arial"/>
        </w:rPr>
        <w:t>¹, respectively). The higher nutrient uptake by weeds in these treatments may be attributed to severe weed infestation and the rapid, competitive growth habit of weeds, which enabled them to absorb a greater proportion of available soil nutrients than the crop.</w:t>
      </w:r>
    </w:p>
    <w:p w:rsidR="00C739F5" w:rsidRDefault="00C739F5" w:rsidP="00C739F5">
      <w:pPr>
        <w:tabs>
          <w:tab w:val="left" w:pos="1080"/>
        </w:tabs>
        <w:jc w:val="both"/>
        <w:rPr>
          <w:rFonts w:ascii="Arial" w:hAnsi="Arial" w:cs="Arial"/>
        </w:rPr>
      </w:pPr>
      <w:r w:rsidRPr="00C739F5">
        <w:rPr>
          <w:rFonts w:ascii="Arial" w:hAnsi="Arial" w:cs="Arial"/>
        </w:rPr>
        <w:t>In contrast, hand weeding at 20 and 40 DAS recorded significantly lower nutrient uptake by weeds (4.69 kg N ha</w:t>
      </w:r>
      <w:r w:rsidRPr="00C739F5">
        <w:rPr>
          <w:rFonts w:ascii="Cambria Math" w:hAnsi="Cambria Math" w:cs="Cambria Math"/>
        </w:rPr>
        <w:t>⁻</w:t>
      </w:r>
      <w:r w:rsidRPr="00C739F5">
        <w:rPr>
          <w:rFonts w:ascii="Arial" w:hAnsi="Arial" w:cs="Arial"/>
        </w:rPr>
        <w:t>¹, 2.40 kg P ha</w:t>
      </w:r>
      <w:r w:rsidRPr="00C739F5">
        <w:rPr>
          <w:rFonts w:ascii="Cambria Math" w:hAnsi="Cambria Math" w:cs="Cambria Math"/>
        </w:rPr>
        <w:t>⁻</w:t>
      </w:r>
      <w:r w:rsidRPr="00C739F5">
        <w:rPr>
          <w:rFonts w:ascii="Arial" w:hAnsi="Arial" w:cs="Arial"/>
        </w:rPr>
        <w:t>¹ and 3.49 kg K ha</w:t>
      </w:r>
      <w:r w:rsidRPr="00C739F5">
        <w:rPr>
          <w:rFonts w:ascii="Cambria Math" w:hAnsi="Cambria Math" w:cs="Cambria Math"/>
        </w:rPr>
        <w:t>⁻</w:t>
      </w:r>
      <w:r w:rsidRPr="00C739F5">
        <w:rPr>
          <w:rFonts w:ascii="Arial" w:hAnsi="Arial" w:cs="Arial"/>
        </w:rPr>
        <w:t>¹), followed by the stale seedbed technique combined with inter-cultivation at 20 and 45 DAS (4.88, 2.77 and 3.62 kg ha</w:t>
      </w:r>
      <w:r w:rsidRPr="00C739F5">
        <w:rPr>
          <w:rFonts w:ascii="Cambria Math" w:hAnsi="Cambria Math" w:cs="Cambria Math"/>
        </w:rPr>
        <w:t>⁻</w:t>
      </w:r>
      <w:r w:rsidRPr="00C739F5">
        <w:rPr>
          <w:rFonts w:ascii="Arial" w:hAnsi="Arial" w:cs="Arial"/>
        </w:rPr>
        <w:t>¹, respectively). The reduced nutrient removal by weeds under these treatments could be attributed to effective weed suppression and better crop performance, which limited weed growth and nutrient depletion. These findings are in conformity with the re</w:t>
      </w:r>
      <w:r w:rsidR="00434AA3">
        <w:rPr>
          <w:rFonts w:ascii="Arial" w:hAnsi="Arial" w:cs="Arial"/>
        </w:rPr>
        <w:t>ports of Geetha (2002), Thimmeg</w:t>
      </w:r>
      <w:r w:rsidRPr="00C739F5">
        <w:rPr>
          <w:rFonts w:ascii="Arial" w:hAnsi="Arial" w:cs="Arial"/>
        </w:rPr>
        <w:t>owda (2006), Madhukumar</w:t>
      </w:r>
      <w:r w:rsidRPr="007D43B1">
        <w:rPr>
          <w:rFonts w:ascii="Arial" w:hAnsi="Arial" w:cs="Arial"/>
          <w:i/>
        </w:rPr>
        <w:t>et al</w:t>
      </w:r>
      <w:r w:rsidRPr="00C739F5">
        <w:rPr>
          <w:rFonts w:ascii="Arial" w:hAnsi="Arial" w:cs="Arial"/>
        </w:rPr>
        <w:t xml:space="preserve">. (2013) and Gaganpreet </w:t>
      </w:r>
      <w:r w:rsidRPr="007D43B1">
        <w:rPr>
          <w:rFonts w:ascii="Arial" w:hAnsi="Arial" w:cs="Arial"/>
          <w:i/>
        </w:rPr>
        <w:t>et al</w:t>
      </w:r>
      <w:r w:rsidRPr="00C739F5">
        <w:rPr>
          <w:rFonts w:ascii="Arial" w:hAnsi="Arial" w:cs="Arial"/>
        </w:rPr>
        <w:t>. (2010), who also observed higher nutrient depletion by weeds under unweeded conditions and reduced nutrient removal under effective weed management practices.</w:t>
      </w:r>
    </w:p>
    <w:p w:rsidR="007D43B1" w:rsidRPr="00C739F5" w:rsidRDefault="007D43B1" w:rsidP="00C739F5">
      <w:pPr>
        <w:tabs>
          <w:tab w:val="left" w:pos="1080"/>
        </w:tabs>
        <w:jc w:val="both"/>
        <w:rPr>
          <w:rFonts w:ascii="Arial" w:hAnsi="Arial" w:cs="Arial"/>
        </w:rPr>
      </w:pPr>
    </w:p>
    <w:p w:rsidR="00C739F5" w:rsidRDefault="007D43B1" w:rsidP="00C739F5">
      <w:pPr>
        <w:tabs>
          <w:tab w:val="left" w:pos="1080"/>
        </w:tabs>
        <w:jc w:val="both"/>
        <w:rPr>
          <w:rFonts w:ascii="Arial" w:hAnsi="Arial" w:cs="Arial"/>
          <w:b/>
          <w:sz w:val="22"/>
          <w:szCs w:val="22"/>
        </w:rPr>
      </w:pPr>
      <w:r w:rsidRPr="007D43B1">
        <w:rPr>
          <w:rFonts w:ascii="Arial" w:hAnsi="Arial" w:cs="Arial"/>
          <w:b/>
          <w:sz w:val="22"/>
          <w:szCs w:val="22"/>
        </w:rPr>
        <w:t xml:space="preserve">3.3 </w:t>
      </w:r>
      <w:r w:rsidR="00C739F5" w:rsidRPr="007D43B1">
        <w:rPr>
          <w:rFonts w:ascii="Arial" w:hAnsi="Arial" w:cs="Arial"/>
          <w:b/>
          <w:sz w:val="22"/>
          <w:szCs w:val="22"/>
        </w:rPr>
        <w:t>Nutrient status of soil after harvest</w:t>
      </w:r>
    </w:p>
    <w:p w:rsidR="007D43B1" w:rsidRPr="007D43B1" w:rsidRDefault="007D43B1" w:rsidP="00C739F5">
      <w:pPr>
        <w:tabs>
          <w:tab w:val="left" w:pos="1080"/>
        </w:tabs>
        <w:jc w:val="both"/>
        <w:rPr>
          <w:rFonts w:ascii="Arial" w:hAnsi="Arial" w:cs="Arial"/>
          <w:b/>
          <w:sz w:val="22"/>
          <w:szCs w:val="22"/>
        </w:rPr>
      </w:pPr>
    </w:p>
    <w:p w:rsidR="00C739F5" w:rsidRPr="00C739F5" w:rsidRDefault="00C739F5" w:rsidP="00C739F5">
      <w:pPr>
        <w:tabs>
          <w:tab w:val="left" w:pos="1080"/>
        </w:tabs>
        <w:jc w:val="both"/>
        <w:rPr>
          <w:rFonts w:ascii="Arial" w:hAnsi="Arial" w:cs="Arial"/>
        </w:rPr>
      </w:pPr>
      <w:r w:rsidRPr="00C739F5">
        <w:rPr>
          <w:rFonts w:ascii="Arial" w:hAnsi="Arial" w:cs="Arial"/>
        </w:rPr>
        <w:t>The post-harvest soil nutrient status was significantly influenced by different weed management practices (Table 5). Significantly higher available nitrogen was recorded in black gram + fodder cowpea as a smothering crop between rows (233.21 kg ha</w:t>
      </w:r>
      <w:r w:rsidRPr="00C739F5">
        <w:rPr>
          <w:rFonts w:ascii="Cambria Math" w:hAnsi="Cambria Math" w:cs="Cambria Math"/>
        </w:rPr>
        <w:t>⁻</w:t>
      </w:r>
      <w:r w:rsidRPr="00C739F5">
        <w:rPr>
          <w:rFonts w:ascii="Arial" w:hAnsi="Arial" w:cs="Arial"/>
        </w:rPr>
        <w:t>¹), followed by black gram + fodder cowpea as an intercrop (multi-cut) + one inter-cultivation at 40 DAS (232.80 kg ha</w:t>
      </w:r>
      <w:r w:rsidRPr="00C739F5">
        <w:rPr>
          <w:rFonts w:ascii="Cambria Math" w:hAnsi="Cambria Math" w:cs="Cambria Math"/>
        </w:rPr>
        <w:t>⁻</w:t>
      </w:r>
      <w:r w:rsidRPr="00C739F5">
        <w:rPr>
          <w:rFonts w:ascii="Arial" w:hAnsi="Arial" w:cs="Arial"/>
        </w:rPr>
        <w:t>¹), and the unweeded check (218.58 kg ha</w:t>
      </w:r>
      <w:r w:rsidRPr="00C739F5">
        <w:rPr>
          <w:rFonts w:ascii="Cambria Math" w:hAnsi="Cambria Math" w:cs="Cambria Math"/>
        </w:rPr>
        <w:t>⁻</w:t>
      </w:r>
      <w:r w:rsidRPr="00C739F5">
        <w:rPr>
          <w:rFonts w:ascii="Arial" w:hAnsi="Arial" w:cs="Arial"/>
        </w:rPr>
        <w:t>¹). In contrast, significantly higher available phosphorus and potassium were observed in the unweeded check (25.44 and 152.71 kg ha</w:t>
      </w:r>
      <w:r w:rsidRPr="00C739F5">
        <w:rPr>
          <w:rFonts w:ascii="Cambria Math" w:hAnsi="Cambria Math" w:cs="Cambria Math"/>
        </w:rPr>
        <w:t>⁻</w:t>
      </w:r>
      <w:r w:rsidRPr="00C739F5">
        <w:rPr>
          <w:rFonts w:ascii="Arial" w:hAnsi="Arial" w:cs="Arial"/>
        </w:rPr>
        <w:t>¹, respectively), followed by straw mulching @ 5 t ha</w:t>
      </w:r>
      <w:r w:rsidRPr="00C739F5">
        <w:rPr>
          <w:rFonts w:ascii="Cambria Math" w:hAnsi="Cambria Math" w:cs="Cambria Math"/>
        </w:rPr>
        <w:t>⁻</w:t>
      </w:r>
      <w:r w:rsidRPr="00C739F5">
        <w:rPr>
          <w:rFonts w:ascii="Arial" w:hAnsi="Arial" w:cs="Arial"/>
        </w:rPr>
        <w:t>¹ applied at 10–15 DAS (22.86 and 144.83 kg ha</w:t>
      </w:r>
      <w:r w:rsidRPr="00C739F5">
        <w:rPr>
          <w:rFonts w:ascii="Cambria Math" w:hAnsi="Cambria Math" w:cs="Cambria Math"/>
        </w:rPr>
        <w:t>⁻</w:t>
      </w:r>
      <w:r w:rsidRPr="00C739F5">
        <w:rPr>
          <w:rFonts w:ascii="Arial" w:hAnsi="Arial" w:cs="Arial"/>
        </w:rPr>
        <w:t>¹, respectively). The higher residual nutrient status under unweeded conditions may be attributed to intense crop–weed competition, which restricted crop growth and nutrient uptake, thereby leaving a greater proportion of nutrients unutilized in the soil. These results are in conformity with the findings of Sudhalakshmi</w:t>
      </w:r>
      <w:r w:rsidR="00F566CA">
        <w:rPr>
          <w:rFonts w:ascii="Arial" w:hAnsi="Arial" w:cs="Arial"/>
        </w:rPr>
        <w:t xml:space="preserve"> </w:t>
      </w:r>
      <w:r w:rsidRPr="007D43B1">
        <w:rPr>
          <w:rFonts w:ascii="Arial" w:hAnsi="Arial" w:cs="Arial"/>
          <w:i/>
        </w:rPr>
        <w:t>et al</w:t>
      </w:r>
      <w:r w:rsidRPr="00C739F5">
        <w:rPr>
          <w:rFonts w:ascii="Arial" w:hAnsi="Arial" w:cs="Arial"/>
        </w:rPr>
        <w:t xml:space="preserve">. (2005) and Gaganpreet </w:t>
      </w:r>
      <w:r w:rsidRPr="007D43B1">
        <w:rPr>
          <w:rFonts w:ascii="Arial" w:hAnsi="Arial" w:cs="Arial"/>
          <w:i/>
        </w:rPr>
        <w:t>et al</w:t>
      </w:r>
      <w:r w:rsidRPr="00C739F5">
        <w:rPr>
          <w:rFonts w:ascii="Arial" w:hAnsi="Arial" w:cs="Arial"/>
        </w:rPr>
        <w:t>. (2010).</w:t>
      </w:r>
    </w:p>
    <w:p w:rsidR="00C739F5" w:rsidRPr="00C739F5" w:rsidRDefault="00C739F5" w:rsidP="00C739F5">
      <w:pPr>
        <w:tabs>
          <w:tab w:val="left" w:pos="1080"/>
        </w:tabs>
        <w:jc w:val="both"/>
        <w:rPr>
          <w:rFonts w:ascii="Arial" w:hAnsi="Arial" w:cs="Arial"/>
        </w:rPr>
      </w:pPr>
      <w:r w:rsidRPr="00C739F5">
        <w:rPr>
          <w:rFonts w:ascii="Arial" w:hAnsi="Arial" w:cs="Arial"/>
        </w:rPr>
        <w:t>Lower available nitrogen, phosphorus, and potassium were recorded under hand weeding at 20 and 40 DAS (184.79, 20.20, and 136.86 kg ha</w:t>
      </w:r>
      <w:r w:rsidRPr="00C739F5">
        <w:rPr>
          <w:rFonts w:ascii="Cambria Math" w:hAnsi="Cambria Math" w:cs="Cambria Math"/>
        </w:rPr>
        <w:t>⁻</w:t>
      </w:r>
      <w:r w:rsidRPr="00C739F5">
        <w:rPr>
          <w:rFonts w:ascii="Arial" w:hAnsi="Arial" w:cs="Arial"/>
        </w:rPr>
        <w:t xml:space="preserve">¹, respectively), followed by the stale seedbed technique + inter-cultivation twice at 20 and 45 DAS (186.08, 20.34, and 138.50 kg </w:t>
      </w:r>
      <w:r w:rsidRPr="00C739F5">
        <w:rPr>
          <w:rFonts w:ascii="Arial" w:hAnsi="Arial" w:cs="Arial"/>
        </w:rPr>
        <w:lastRenderedPageBreak/>
        <w:t>ha</w:t>
      </w:r>
      <w:r w:rsidRPr="00C739F5">
        <w:rPr>
          <w:rFonts w:ascii="Cambria Math" w:hAnsi="Cambria Math" w:cs="Cambria Math"/>
        </w:rPr>
        <w:t>⁻</w:t>
      </w:r>
      <w:r w:rsidRPr="00C739F5">
        <w:rPr>
          <w:rFonts w:ascii="Arial" w:hAnsi="Arial" w:cs="Arial"/>
        </w:rPr>
        <w:t>¹, respectively). The reduced residual nutrient levels in these treatments may be attributed to effective weed control and higher nutrient uptake by the crop.</w:t>
      </w:r>
    </w:p>
    <w:p w:rsidR="007D43B1" w:rsidRDefault="007D43B1" w:rsidP="00C739F5">
      <w:pPr>
        <w:tabs>
          <w:tab w:val="left" w:pos="1080"/>
        </w:tabs>
        <w:jc w:val="both"/>
        <w:rPr>
          <w:rFonts w:ascii="Arial" w:hAnsi="Arial" w:cs="Arial"/>
          <w:b/>
          <w:sz w:val="22"/>
          <w:szCs w:val="22"/>
        </w:rPr>
      </w:pPr>
    </w:p>
    <w:p w:rsidR="00C739F5" w:rsidRDefault="007D43B1" w:rsidP="00C739F5">
      <w:pPr>
        <w:tabs>
          <w:tab w:val="left" w:pos="1080"/>
        </w:tabs>
        <w:jc w:val="both"/>
        <w:rPr>
          <w:rFonts w:ascii="Arial" w:hAnsi="Arial" w:cs="Arial"/>
          <w:b/>
          <w:sz w:val="22"/>
          <w:szCs w:val="22"/>
        </w:rPr>
      </w:pPr>
      <w:r w:rsidRPr="007D43B1">
        <w:rPr>
          <w:rFonts w:ascii="Arial" w:hAnsi="Arial" w:cs="Arial"/>
          <w:b/>
          <w:sz w:val="22"/>
          <w:szCs w:val="22"/>
        </w:rPr>
        <w:t xml:space="preserve">3.4 </w:t>
      </w:r>
      <w:r w:rsidR="00C739F5" w:rsidRPr="007D43B1">
        <w:rPr>
          <w:rFonts w:ascii="Arial" w:hAnsi="Arial" w:cs="Arial"/>
          <w:b/>
          <w:sz w:val="22"/>
          <w:szCs w:val="22"/>
        </w:rPr>
        <w:t>Growth and yield attributes</w:t>
      </w:r>
    </w:p>
    <w:p w:rsidR="007D43B1" w:rsidRPr="007D43B1" w:rsidRDefault="007D43B1" w:rsidP="00C739F5">
      <w:pPr>
        <w:tabs>
          <w:tab w:val="left" w:pos="1080"/>
        </w:tabs>
        <w:jc w:val="both"/>
        <w:rPr>
          <w:rFonts w:ascii="Arial" w:hAnsi="Arial" w:cs="Arial"/>
          <w:b/>
          <w:sz w:val="22"/>
          <w:szCs w:val="22"/>
        </w:rPr>
      </w:pPr>
    </w:p>
    <w:p w:rsidR="00C739F5" w:rsidRPr="00C739F5" w:rsidRDefault="00C739F5" w:rsidP="00C739F5">
      <w:pPr>
        <w:tabs>
          <w:tab w:val="left" w:pos="1080"/>
        </w:tabs>
        <w:jc w:val="both"/>
        <w:rPr>
          <w:rFonts w:ascii="Arial" w:hAnsi="Arial" w:cs="Arial"/>
        </w:rPr>
      </w:pPr>
      <w:r w:rsidRPr="00C739F5">
        <w:rPr>
          <w:rFonts w:ascii="Arial" w:hAnsi="Arial" w:cs="Arial"/>
        </w:rPr>
        <w:t>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unweeded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and two mechanical weedings at 20 and 40 DAS (T</w:t>
      </w:r>
      <w:r w:rsidRPr="00C739F5">
        <w:rPr>
          <w:rFonts w:ascii="Cambria Math" w:hAnsi="Cambria Math" w:cs="Cambria Math"/>
        </w:rPr>
        <w:t>₈</w:t>
      </w:r>
      <w:r w:rsidRPr="00C739F5">
        <w:rPr>
          <w:rFonts w:ascii="Arial" w:hAnsi="Arial" w:cs="Arial"/>
        </w:rPr>
        <w:t>). The unweeded check (T</w:t>
      </w:r>
      <w:r w:rsidRPr="00C739F5">
        <w:rPr>
          <w:rFonts w:ascii="Cambria Math" w:hAnsi="Cambria Math" w:cs="Cambria Math"/>
        </w:rPr>
        <w:t>₁₂</w:t>
      </w:r>
      <w:r w:rsidRPr="00C739F5">
        <w:rPr>
          <w:rFonts w:ascii="Arial" w:hAnsi="Arial" w:cs="Arial"/>
        </w:rPr>
        <w:t xml:space="preserve">) consistently recorded the lowest growth parameters (Table 6). </w:t>
      </w:r>
    </w:p>
    <w:p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 xml:space="preserve">¹), along with superior yield attributes such as number of productive branches, pods per plant, seeds per pod, pod length, seed yield per plant, and 1000-grain weight. These were statistically on par with the stale seedbed technique + inter-cultivation twice at 25 and 45 DAS, inter-cultivation at 25 DAS + one hand weeding at 45 </w:t>
      </w:r>
      <w:bookmarkStart w:id="10" w:name="_GoBack"/>
      <w:bookmarkEnd w:id="10"/>
      <w:r w:rsidRPr="00C739F5">
        <w:rPr>
          <w:rFonts w:ascii="Arial" w:hAnsi="Arial" w:cs="Arial"/>
        </w:rPr>
        <w:t>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unweeded check. Reduced weed growth and enhanced nutrient uptake by black gram under hand weeding at 20 and 40 DAS resulted in significantly improved growth and yield attributes (Table 6). This efficiency might be attributed to effective control of weed density and weed biomass during critical stage of crop-weed competition period which leads to increased availability of nutrients, moisture, light and space for the crop. Similar results were also reported by Nazma </w:t>
      </w:r>
      <w:r w:rsidRPr="007D43B1">
        <w:rPr>
          <w:rFonts w:ascii="Arial" w:hAnsi="Arial" w:cs="Arial"/>
          <w:i/>
        </w:rPr>
        <w:t>et al</w:t>
      </w:r>
      <w:r w:rsidRPr="00C739F5">
        <w:rPr>
          <w:rFonts w:ascii="Arial" w:hAnsi="Arial" w:cs="Arial"/>
        </w:rPr>
        <w:t xml:space="preserve">. (2015) and Gaganpreet </w:t>
      </w:r>
      <w:r w:rsidRPr="007D43B1">
        <w:rPr>
          <w:rFonts w:ascii="Arial" w:hAnsi="Arial" w:cs="Arial"/>
          <w:i/>
        </w:rPr>
        <w:t>et al</w:t>
      </w:r>
      <w:r w:rsidRPr="00C739F5">
        <w:rPr>
          <w:rFonts w:ascii="Arial" w:hAnsi="Arial" w:cs="Arial"/>
        </w:rPr>
        <w:t>. (2010).</w:t>
      </w:r>
    </w:p>
    <w:p w:rsidR="00927834" w:rsidRDefault="00927834" w:rsidP="00441B6F">
      <w:pPr>
        <w:autoSpaceDE w:val="0"/>
        <w:autoSpaceDN w:val="0"/>
        <w:adjustRightInd w:val="0"/>
        <w:jc w:val="both"/>
        <w:rPr>
          <w:rFonts w:ascii="Arial" w:hAnsi="Arial" w:cs="Arial"/>
          <w:b/>
          <w:bCs/>
          <w:szCs w:val="22"/>
        </w:rPr>
      </w:pPr>
    </w:p>
    <w:p w:rsidR="00315186" w:rsidRPr="00315186" w:rsidRDefault="00315186" w:rsidP="00441B6F"/>
    <w:p w:rsidR="00315186" w:rsidRDefault="00315186"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434AA3" w:rsidRDefault="00434AA3" w:rsidP="00441B6F">
      <w:pPr>
        <w:sectPr w:rsidR="00434AA3" w:rsidSect="00BB4604">
          <w:type w:val="continuous"/>
          <w:pgSz w:w="12240" w:h="15840"/>
          <w:pgMar w:top="1440" w:right="2016" w:bottom="2016" w:left="2016" w:header="720" w:footer="1123" w:gutter="0"/>
          <w:cols w:space="720"/>
          <w:docGrid w:linePitch="272"/>
        </w:sectPr>
      </w:pPr>
    </w:p>
    <w:p w:rsidR="00434AA3" w:rsidRPr="006857AF" w:rsidRDefault="00434AA3" w:rsidP="00434AA3">
      <w:pPr>
        <w:spacing w:line="360" w:lineRule="auto"/>
        <w:ind w:left="900" w:hanging="900"/>
        <w:jc w:val="both"/>
        <w:rPr>
          <w:rFonts w:ascii="Arial" w:hAnsi="Arial" w:cs="Arial"/>
          <w:b/>
        </w:rPr>
      </w:pPr>
      <w:commentRangeStart w:id="11"/>
      <w:r w:rsidRPr="006857AF">
        <w:rPr>
          <w:rFonts w:ascii="Arial" w:hAnsi="Arial" w:cs="Arial"/>
          <w:b/>
        </w:rPr>
        <w:lastRenderedPageBreak/>
        <w:t>Table 1. Major weeds species density (number m</w:t>
      </w:r>
      <w:r w:rsidRPr="006857AF">
        <w:rPr>
          <w:rFonts w:ascii="Arial" w:hAnsi="Arial" w:cs="Arial"/>
          <w:color w:val="000000" w:themeColor="text1"/>
          <w:vertAlign w:val="superscript"/>
        </w:rPr>
        <w:t>-2</w:t>
      </w:r>
      <w:r w:rsidRPr="006857AF">
        <w:rPr>
          <w:rFonts w:ascii="Arial" w:hAnsi="Arial" w:cs="Arial"/>
          <w:b/>
        </w:rPr>
        <w:t>) at 60 DAS in black gram as influenced by organic weed management practices</w:t>
      </w:r>
      <w:commentRangeEnd w:id="11"/>
      <w:r w:rsidR="00843051">
        <w:rPr>
          <w:rStyle w:val="CommentReference"/>
          <w:rFonts w:ascii="Times New Roman" w:hAnsi="Times New Roman"/>
          <w:lang w:val="nb-NO" w:eastAsia="nb-NO"/>
        </w:rPr>
        <w:commentReference w:id="11"/>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4"/>
        <w:gridCol w:w="799"/>
        <w:gridCol w:w="524"/>
        <w:gridCol w:w="525"/>
        <w:gridCol w:w="525"/>
        <w:gridCol w:w="525"/>
        <w:gridCol w:w="628"/>
        <w:gridCol w:w="638"/>
        <w:gridCol w:w="628"/>
        <w:gridCol w:w="525"/>
        <w:gridCol w:w="628"/>
        <w:gridCol w:w="525"/>
        <w:gridCol w:w="525"/>
        <w:gridCol w:w="525"/>
        <w:gridCol w:w="628"/>
        <w:gridCol w:w="525"/>
        <w:gridCol w:w="525"/>
        <w:gridCol w:w="525"/>
        <w:gridCol w:w="525"/>
        <w:gridCol w:w="525"/>
        <w:gridCol w:w="640"/>
      </w:tblGrid>
      <w:tr w:rsidR="00434AA3" w:rsidRPr="006857AF" w:rsidTr="00434AA3">
        <w:trPr>
          <w:trHeight w:val="163"/>
        </w:trPr>
        <w:tc>
          <w:tcPr>
            <w:tcW w:w="471" w:type="pct"/>
            <w:vMerge w:val="restart"/>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Treatments</w:t>
            </w:r>
          </w:p>
        </w:tc>
        <w:tc>
          <w:tcPr>
            <w:tcW w:w="303" w:type="pct"/>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Sedges</w:t>
            </w:r>
          </w:p>
        </w:tc>
        <w:tc>
          <w:tcPr>
            <w:tcW w:w="1340" w:type="pct"/>
            <w:gridSpan w:val="6"/>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Grasses</w:t>
            </w:r>
          </w:p>
        </w:tc>
        <w:tc>
          <w:tcPr>
            <w:tcW w:w="2886" w:type="pct"/>
            <w:gridSpan w:val="13"/>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Broad leaved weeds</w:t>
            </w:r>
          </w:p>
        </w:tc>
      </w:tr>
      <w:tr w:rsidR="00434AA3" w:rsidRPr="006857AF" w:rsidTr="00434AA3">
        <w:trPr>
          <w:trHeight w:val="163"/>
        </w:trPr>
        <w:tc>
          <w:tcPr>
            <w:tcW w:w="471" w:type="pct"/>
            <w:vMerge/>
            <w:tcBorders>
              <w:bottom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p>
        </w:tc>
        <w:tc>
          <w:tcPr>
            <w:tcW w:w="303" w:type="pct"/>
            <w:tcBorders>
              <w:bottom w:val="single" w:sz="4" w:space="0" w:color="auto"/>
            </w:tcBorders>
          </w:tcPr>
          <w:p w:rsidR="00434AA3" w:rsidRPr="006857AF" w:rsidRDefault="00434AA3" w:rsidP="001A6B8E">
            <w:pPr>
              <w:tabs>
                <w:tab w:val="center" w:pos="322"/>
              </w:tabs>
              <w:spacing w:before="60" w:after="60"/>
              <w:ind w:left="-29" w:right="-29"/>
              <w:rPr>
                <w:rFonts w:ascii="Arial" w:hAnsi="Arial" w:cs="Arial"/>
                <w:b/>
                <w:color w:val="000000" w:themeColor="text1"/>
                <w:w w:val="90"/>
                <w:sz w:val="20"/>
                <w:szCs w:val="20"/>
              </w:rPr>
            </w:pPr>
            <w:r w:rsidRPr="006857AF">
              <w:rPr>
                <w:rFonts w:ascii="Arial" w:hAnsi="Arial" w:cs="Arial"/>
                <w:b/>
                <w:color w:val="000000" w:themeColor="text1"/>
                <w:w w:val="90"/>
                <w:sz w:val="20"/>
                <w:szCs w:val="20"/>
              </w:rPr>
              <w:tab/>
              <w:t>Cr</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Cd</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Da</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Dm</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Ec</w:t>
            </w:r>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Ei</w:t>
            </w:r>
          </w:p>
        </w:tc>
        <w:tc>
          <w:tcPr>
            <w:tcW w:w="253"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Alt</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Is</w:t>
            </w:r>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Bh</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Cv</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Av</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Cb</w:t>
            </w:r>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Ac</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Po</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Spa</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Es</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Sa</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Ah</w:t>
            </w:r>
          </w:p>
        </w:tc>
        <w:tc>
          <w:tcPr>
            <w:tcW w:w="253"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r>
      <w:tr w:rsidR="00434AA3" w:rsidRPr="006857AF" w:rsidTr="00434AA3">
        <w:trPr>
          <w:trHeight w:val="313"/>
        </w:trPr>
        <w:tc>
          <w:tcPr>
            <w:tcW w:w="471" w:type="pct"/>
            <w:tcBorders>
              <w:top w:val="single" w:sz="4" w:space="0" w:color="auto"/>
            </w:tcBorders>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w:t>
            </w:r>
          </w:p>
        </w:tc>
        <w:tc>
          <w:tcPr>
            <w:tcW w:w="303" w:type="pct"/>
            <w:tcBorders>
              <w:top w:val="single" w:sz="4" w:space="0" w:color="auto"/>
            </w:tcBorders>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16.67</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2</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3</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7.33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30.00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4</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33.33</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5</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15.33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37.33</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6</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r>
      <w:tr w:rsidR="00434AA3" w:rsidRPr="006857AF" w:rsidTr="001A6B8E">
        <w:trPr>
          <w:trHeight w:val="313"/>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7</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36.67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31.33</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8</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18.67</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9</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26.00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10</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7.33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28.00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11</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14.00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12</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40.00</w:t>
            </w:r>
          </w:p>
        </w:tc>
      </w:tr>
    </w:tbl>
    <w:p w:rsidR="00434AA3" w:rsidRPr="006857AF" w:rsidRDefault="00434AA3" w:rsidP="00434AA3">
      <w:pPr>
        <w:pStyle w:val="NormalWeb"/>
        <w:spacing w:before="160" w:beforeAutospacing="0" w:after="160" w:afterAutospacing="0" w:line="256" w:lineRule="auto"/>
        <w:jc w:val="both"/>
        <w:rPr>
          <w:rFonts w:ascii="Arial" w:hAnsi="Arial" w:cs="Arial"/>
          <w:sz w:val="20"/>
          <w:szCs w:val="20"/>
        </w:rPr>
      </w:pPr>
      <w:r w:rsidRPr="006857AF">
        <w:rPr>
          <w:rFonts w:ascii="Arial" w:eastAsia="Calibri" w:hAnsi="Arial" w:cs="Arial"/>
          <w:b/>
          <w:bCs/>
          <w:color w:val="000000" w:themeColor="text1"/>
          <w:kern w:val="24"/>
          <w:sz w:val="20"/>
          <w:szCs w:val="20"/>
        </w:rPr>
        <w:t>Cr</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Cyperusrotundus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Dm</w:t>
      </w:r>
      <w:r w:rsidRPr="006857AF">
        <w:rPr>
          <w:rFonts w:ascii="Arial" w:eastAsia="Calibri" w:hAnsi="Arial" w:cs="Arial"/>
          <w:bCs/>
          <w:i/>
          <w:iCs/>
          <w:color w:val="000000" w:themeColor="text1"/>
          <w:kern w:val="24"/>
          <w:sz w:val="20"/>
          <w:szCs w:val="20"/>
        </w:rPr>
        <w:t>- Digitariamarginata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Ec</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Echinochloacrusgalli</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Dactylocteniumaegyptium,</w:t>
      </w:r>
      <w:r w:rsidRPr="006857AF">
        <w:rPr>
          <w:rFonts w:ascii="Arial" w:eastAsia="Calibri" w:hAnsi="Arial" w:cs="Arial"/>
          <w:b/>
          <w:bCs/>
          <w:color w:val="000000" w:themeColor="text1"/>
          <w:kern w:val="24"/>
          <w:sz w:val="20"/>
          <w:szCs w:val="20"/>
        </w:rPr>
        <w:t>Ei</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Elucinaindica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Cd</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Cynodondactylon</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Bh</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Borreriahispida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Emilia sonchifolia</w:t>
      </w:r>
      <w:r w:rsidRPr="006857AF">
        <w:rPr>
          <w:rFonts w:ascii="Arial" w:eastAsia="Calibri" w:hAnsi="Arial" w:cs="Arial"/>
          <w:bCs/>
          <w:color w:val="000000" w:themeColor="text1"/>
          <w:kern w:val="24"/>
          <w:sz w:val="20"/>
          <w:szCs w:val="20"/>
        </w:rPr>
        <w:t>,</w:t>
      </w:r>
      <w:r w:rsidRPr="006857AF">
        <w:rPr>
          <w:rFonts w:ascii="Arial" w:eastAsia="Calibri" w:hAnsi="Arial" w:cs="Arial"/>
          <w:b/>
          <w:bCs/>
          <w:color w:val="000000" w:themeColor="text1"/>
          <w:kern w:val="24"/>
          <w:sz w:val="20"/>
          <w:szCs w:val="20"/>
        </w:rPr>
        <w:t xml:space="preserve"> Spa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Spilanthusacmella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Ac</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Ageratum conyzoides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Alt</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Alternanthera sessilie</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Cb</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Commelinabenghalensis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Is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Ionaidiumsupfruiticesum</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Cv</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Cleome viscose</w:t>
      </w:r>
      <w:r w:rsidRPr="006857AF">
        <w:rPr>
          <w:rFonts w:ascii="Arial" w:eastAsia="Calibri" w:hAnsi="Arial" w:cs="Arial"/>
          <w:bCs/>
          <w:color w:val="000000" w:themeColor="text1"/>
          <w:kern w:val="24"/>
          <w:sz w:val="20"/>
          <w:szCs w:val="20"/>
        </w:rPr>
        <w:t xml:space="preserve">, Av- </w:t>
      </w:r>
      <w:r w:rsidRPr="006857AF">
        <w:rPr>
          <w:rFonts w:ascii="Arial" w:eastAsia="Calibri" w:hAnsi="Arial" w:cs="Arial"/>
          <w:bCs/>
          <w:i/>
          <w:iCs/>
          <w:color w:val="000000" w:themeColor="text1"/>
          <w:kern w:val="24"/>
          <w:sz w:val="20"/>
          <w:szCs w:val="20"/>
        </w:rPr>
        <w:t>Amaranthus viridis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Po</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Portulacaoleracia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Sa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Sidaacuta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Ah</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Acanthospermumhispida</w:t>
      </w:r>
    </w:p>
    <w:tbl>
      <w:tblPr>
        <w:tblW w:w="0" w:type="auto"/>
        <w:jc w:val="center"/>
        <w:tblLook w:val="04A0"/>
      </w:tblPr>
      <w:tblGrid>
        <w:gridCol w:w="7632"/>
        <w:gridCol w:w="222"/>
      </w:tblGrid>
      <w:tr w:rsidR="00434AA3" w:rsidRPr="006857AF" w:rsidTr="00434AA3">
        <w:trPr>
          <w:trHeight w:val="101"/>
          <w:jc w:val="center"/>
        </w:trPr>
        <w:tc>
          <w:tcPr>
            <w:tcW w:w="7632" w:type="dxa"/>
            <w:tcBorders>
              <w:top w:val="nil"/>
              <w:left w:val="nil"/>
              <w:bottom w:val="nil"/>
              <w:right w:val="nil"/>
            </w:tcBorders>
            <w:vAlign w:val="bottom"/>
          </w:tcPr>
          <w:p w:rsidR="00434AA3" w:rsidRDefault="00434AA3" w:rsidP="001A6B8E">
            <w:pPr>
              <w:rPr>
                <w:rFonts w:ascii="Arial" w:hAnsi="Arial" w:cs="Arial"/>
                <w:b/>
                <w:bCs/>
                <w:color w:val="000000"/>
              </w:rPr>
            </w:pPr>
          </w:p>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bottom"/>
          </w:tcPr>
          <w:p w:rsidR="00434AA3" w:rsidRPr="006857AF" w:rsidRDefault="00434AA3" w:rsidP="001A6B8E">
            <w:pPr>
              <w:rPr>
                <w:rFonts w:ascii="Arial" w:hAnsi="Arial" w:cs="Arial"/>
                <w:color w:val="000000"/>
              </w:rPr>
            </w:pPr>
          </w:p>
        </w:tc>
      </w:tr>
      <w:tr w:rsidR="00434AA3" w:rsidRPr="006857AF" w:rsidTr="00434AA3">
        <w:trPr>
          <w:trHeight w:val="197"/>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215"/>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197"/>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197"/>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193"/>
          <w:jc w:val="center"/>
        </w:trPr>
        <w:tc>
          <w:tcPr>
            <w:tcW w:w="7632" w:type="dxa"/>
            <w:tcBorders>
              <w:top w:val="nil"/>
              <w:left w:val="nil"/>
              <w:bottom w:val="nil"/>
              <w:right w:val="nil"/>
            </w:tcBorders>
            <w:vAlign w:val="center"/>
          </w:tcPr>
          <w:p w:rsidR="00434AA3" w:rsidRPr="006857AF" w:rsidRDefault="00434AA3" w:rsidP="001A6B8E">
            <w:pPr>
              <w:ind w:left="342" w:hanging="342"/>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bl>
    <w:p w:rsidR="00434AA3" w:rsidRPr="00DB2E86" w:rsidRDefault="00434AA3" w:rsidP="00434AA3">
      <w:pPr>
        <w:ind w:left="992" w:hanging="992"/>
        <w:jc w:val="both"/>
        <w:rPr>
          <w:rFonts w:ascii="Arial" w:hAnsi="Arial" w:cs="Arial"/>
          <w:b/>
        </w:rPr>
      </w:pPr>
      <w:commentRangeStart w:id="12"/>
      <w:r w:rsidRPr="00DB2E86">
        <w:rPr>
          <w:rFonts w:ascii="Arial" w:hAnsi="Arial" w:cs="Arial"/>
          <w:b/>
        </w:rPr>
        <w:lastRenderedPageBreak/>
        <w:t>Table 2. Effect of organic weed management practices on weed density and dry weight of the weeds (sedges, grasses and broad leaf weeds m</w:t>
      </w:r>
      <w:r w:rsidRPr="00DB2E86">
        <w:rPr>
          <w:rFonts w:ascii="Arial" w:hAnsi="Arial" w:cs="Arial"/>
          <w:b/>
          <w:vertAlign w:val="superscript"/>
        </w:rPr>
        <w:t>-2</w:t>
      </w:r>
      <w:r w:rsidRPr="00DB2E86">
        <w:rPr>
          <w:rFonts w:ascii="Arial" w:hAnsi="Arial" w:cs="Arial"/>
          <w:b/>
        </w:rPr>
        <w:t>) at 60 DAS in black gram.</w:t>
      </w:r>
      <w:commentRangeEnd w:id="12"/>
      <w:r w:rsidR="00843051">
        <w:rPr>
          <w:rStyle w:val="CommentReference"/>
          <w:rFonts w:ascii="Times New Roman" w:hAnsi="Times New Roman"/>
          <w:lang w:val="nb-NO" w:eastAsia="nb-NO"/>
        </w:rPr>
        <w:commentReference w:id="12"/>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51"/>
        <w:gridCol w:w="809"/>
        <w:gridCol w:w="807"/>
        <w:gridCol w:w="807"/>
        <w:gridCol w:w="809"/>
        <w:gridCol w:w="6"/>
        <w:gridCol w:w="802"/>
        <w:gridCol w:w="807"/>
        <w:gridCol w:w="807"/>
        <w:gridCol w:w="824"/>
      </w:tblGrid>
      <w:tr w:rsidR="00434AA3" w:rsidRPr="00434AA3" w:rsidTr="00434AA3">
        <w:trPr>
          <w:trHeight w:val="20"/>
        </w:trPr>
        <w:tc>
          <w:tcPr>
            <w:tcW w:w="2415" w:type="pct"/>
            <w:vMerge w:val="restart"/>
            <w:tcBorders>
              <w:top w:val="single" w:sz="4" w:space="0" w:color="auto"/>
            </w:tcBorders>
            <w:vAlign w:val="center"/>
          </w:tcPr>
          <w:p w:rsidR="00434AA3" w:rsidRPr="00434AA3" w:rsidRDefault="00434AA3" w:rsidP="001A6B8E">
            <w:pPr>
              <w:jc w:val="center"/>
              <w:rPr>
                <w:rFonts w:ascii="Arial" w:hAnsi="Arial" w:cs="Arial"/>
                <w:b/>
                <w:color w:val="000000" w:themeColor="text1"/>
                <w:sz w:val="18"/>
                <w:szCs w:val="18"/>
              </w:rPr>
            </w:pPr>
            <w:r w:rsidRPr="00434AA3">
              <w:rPr>
                <w:rFonts w:ascii="Arial" w:hAnsi="Arial" w:cs="Arial"/>
                <w:b/>
                <w:color w:val="000000" w:themeColor="text1"/>
                <w:sz w:val="18"/>
                <w:szCs w:val="18"/>
              </w:rPr>
              <w:t>Treatments</w:t>
            </w:r>
          </w:p>
        </w:tc>
        <w:tc>
          <w:tcPr>
            <w:tcW w:w="1292" w:type="pct"/>
            <w:gridSpan w:val="5"/>
            <w:tcBorders>
              <w:top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Weed density</w:t>
            </w:r>
          </w:p>
        </w:tc>
        <w:tc>
          <w:tcPr>
            <w:tcW w:w="1293" w:type="pct"/>
            <w:gridSpan w:val="4"/>
            <w:tcBorders>
              <w:top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Weed dry weight (g m</w:t>
            </w:r>
            <w:r w:rsidRPr="00434AA3">
              <w:rPr>
                <w:rFonts w:ascii="Arial" w:hAnsi="Arial" w:cs="Arial"/>
                <w:b/>
                <w:sz w:val="18"/>
                <w:szCs w:val="18"/>
                <w:vertAlign w:val="superscript"/>
              </w:rPr>
              <w:t>-2</w:t>
            </w:r>
            <w:r w:rsidRPr="00434AA3">
              <w:rPr>
                <w:rFonts w:ascii="Arial" w:hAnsi="Arial" w:cs="Arial"/>
                <w:b/>
                <w:sz w:val="18"/>
                <w:szCs w:val="18"/>
              </w:rPr>
              <w:t>)</w:t>
            </w:r>
          </w:p>
        </w:tc>
      </w:tr>
      <w:tr w:rsidR="00434AA3" w:rsidRPr="00434AA3" w:rsidTr="00434AA3">
        <w:trPr>
          <w:trHeight w:val="20"/>
        </w:trPr>
        <w:tc>
          <w:tcPr>
            <w:tcW w:w="2415" w:type="pct"/>
            <w:vMerge/>
            <w:tcBorders>
              <w:bottom w:val="single" w:sz="4" w:space="0" w:color="auto"/>
            </w:tcBorders>
          </w:tcPr>
          <w:p w:rsidR="00434AA3" w:rsidRPr="00434AA3" w:rsidRDefault="00434AA3" w:rsidP="001A6B8E">
            <w:pPr>
              <w:jc w:val="center"/>
              <w:rPr>
                <w:rFonts w:ascii="Arial" w:hAnsi="Arial" w:cs="Arial"/>
                <w:b/>
                <w:color w:val="000000" w:themeColor="text1"/>
                <w:sz w:val="18"/>
                <w:szCs w:val="18"/>
              </w:rPr>
            </w:pPr>
          </w:p>
        </w:tc>
        <w:tc>
          <w:tcPr>
            <w:tcW w:w="323"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BLW</w:t>
            </w:r>
          </w:p>
        </w:tc>
        <w:tc>
          <w:tcPr>
            <w:tcW w:w="323"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Total</w:t>
            </w:r>
          </w:p>
        </w:tc>
        <w:tc>
          <w:tcPr>
            <w:tcW w:w="322" w:type="pct"/>
            <w:gridSpan w:val="2"/>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BLW</w:t>
            </w:r>
          </w:p>
        </w:tc>
        <w:tc>
          <w:tcPr>
            <w:tcW w:w="329"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Total</w:t>
            </w:r>
          </w:p>
        </w:tc>
      </w:tr>
      <w:tr w:rsidR="00434AA3" w:rsidRPr="00434AA3" w:rsidTr="00434AA3">
        <w:trPr>
          <w:trHeight w:val="20"/>
        </w:trPr>
        <w:tc>
          <w:tcPr>
            <w:tcW w:w="2415" w:type="pct"/>
            <w:tcBorders>
              <w:top w:val="single" w:sz="4" w:space="0" w:color="auto"/>
            </w:tcBorders>
          </w:tcPr>
          <w:p w:rsidR="00434AA3" w:rsidRPr="00434AA3" w:rsidRDefault="00434AA3" w:rsidP="001A6B8E">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w:t>
            </w:r>
            <w:r w:rsidRPr="00434AA3">
              <w:rPr>
                <w:rFonts w:ascii="Arial" w:hAnsi="Arial" w:cs="Arial"/>
                <w:b/>
                <w:sz w:val="18"/>
                <w:szCs w:val="18"/>
              </w:rPr>
              <w:t>:</w:t>
            </w:r>
            <w:r w:rsidRPr="00434AA3">
              <w:rPr>
                <w:rFonts w:ascii="Arial" w:hAnsi="Arial" w:cs="Arial"/>
                <w:bCs/>
                <w:color w:val="000000" w:themeColor="text1"/>
                <w:sz w:val="18"/>
                <w:szCs w:val="18"/>
              </w:rPr>
              <w:t>Inter cultivation at 25 DAS + 1 hand weeding at 45 DAS</w:t>
            </w:r>
          </w:p>
        </w:tc>
        <w:tc>
          <w:tcPr>
            <w:tcW w:w="323"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4.18 (16.67)</w:t>
            </w:r>
          </w:p>
        </w:tc>
        <w:tc>
          <w:tcPr>
            <w:tcW w:w="323"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4.82 (22.67)</w:t>
            </w:r>
          </w:p>
        </w:tc>
        <w:tc>
          <w:tcPr>
            <w:tcW w:w="322" w:type="pct"/>
            <w:gridSpan w:val="2"/>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1.23 (0.52)</w:t>
            </w:r>
          </w:p>
        </w:tc>
        <w:tc>
          <w:tcPr>
            <w:tcW w:w="322" w:type="pct"/>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2.31 (4.37)</w:t>
            </w:r>
          </w:p>
        </w:tc>
        <w:tc>
          <w:tcPr>
            <w:tcW w:w="329" w:type="pct"/>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2.42</w:t>
            </w:r>
          </w:p>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(4.89)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 xml:space="preserve">2 </w:t>
            </w:r>
            <w:r w:rsidRPr="00434AA3">
              <w:rPr>
                <w:rFonts w:ascii="Arial" w:hAnsi="Arial" w:cs="Arial"/>
                <w:b/>
                <w:sz w:val="18"/>
                <w:szCs w:val="18"/>
              </w:rPr>
              <w:t>:</w:t>
            </w:r>
            <w:r w:rsidRPr="00434AA3">
              <w:rPr>
                <w:rFonts w:ascii="Arial" w:hAnsi="Arial" w:cs="Arial"/>
                <w:bCs/>
                <w:color w:val="000000" w:themeColor="text1"/>
                <w:sz w:val="18"/>
                <w:szCs w:val="18"/>
              </w:rPr>
              <w:t>Stale seed bed technique + inter cultivation twice at 25 &amp; 45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4.09 (16.00)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4.73 (22.00)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1.23 (0.51)</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2.27 (4.21)</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2.38 (4.73)</w:t>
            </w:r>
          </w:p>
        </w:tc>
      </w:tr>
      <w:tr w:rsidR="00434AA3" w:rsidRPr="00434AA3" w:rsidTr="001A6B8E">
        <w:trPr>
          <w:trHeight w:val="20"/>
        </w:trPr>
        <w:tc>
          <w:tcPr>
            <w:tcW w:w="2415" w:type="pct"/>
          </w:tcPr>
          <w:p w:rsidR="00434AA3" w:rsidRPr="00434AA3" w:rsidRDefault="00434AA3" w:rsidP="001A6B8E">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3</w:t>
            </w:r>
            <w:r w:rsidRPr="00434AA3">
              <w:rPr>
                <w:rFonts w:ascii="Arial" w:hAnsi="Arial" w:cs="Arial"/>
                <w:b/>
                <w:sz w:val="18"/>
                <w:szCs w:val="18"/>
              </w:rPr>
              <w:t>:</w:t>
            </w:r>
            <w:r w:rsidRPr="00434AA3">
              <w:rPr>
                <w:rFonts w:ascii="Arial" w:hAnsi="Arial" w:cs="Arial"/>
                <w:bCs/>
                <w:color w:val="000000" w:themeColor="text1"/>
                <w:sz w:val="18"/>
                <w:szCs w:val="18"/>
              </w:rPr>
              <w:t>Straw mulching 5 t ha</w:t>
            </w:r>
            <w:r w:rsidRPr="00434AA3">
              <w:rPr>
                <w:rFonts w:ascii="Arial" w:hAnsi="Arial" w:cs="Arial"/>
                <w:color w:val="000000" w:themeColor="text1"/>
                <w:sz w:val="18"/>
                <w:szCs w:val="18"/>
                <w:vertAlign w:val="superscript"/>
              </w:rPr>
              <w:t>-1</w:t>
            </w:r>
            <w:r w:rsidRPr="00434AA3">
              <w:rPr>
                <w:rFonts w:ascii="Arial" w:hAnsi="Arial" w:cs="Arial"/>
                <w:bCs/>
                <w:color w:val="000000" w:themeColor="text1"/>
                <w:sz w:val="18"/>
                <w:szCs w:val="18"/>
              </w:rPr>
              <w:t xml:space="preserve"> at 10-15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5.72 (32.00)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2.99 (8.00)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5.57 (30.00)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8.42 (70.00)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2.15 (3.66)</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1.36 (0.85)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2.70 (6.27)</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3.43 (10.79)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4</w:t>
            </w:r>
            <w:r w:rsidRPr="00434AA3">
              <w:rPr>
                <w:rFonts w:ascii="Arial" w:hAnsi="Arial" w:cs="Arial"/>
                <w:b/>
                <w:sz w:val="18"/>
                <w:szCs w:val="18"/>
              </w:rPr>
              <w:t>:</w:t>
            </w:r>
            <w:r w:rsidRPr="00434AA3">
              <w:rPr>
                <w:rFonts w:ascii="Arial" w:hAnsi="Arial" w:cs="Arial"/>
                <w:bCs/>
                <w:color w:val="000000" w:themeColor="text1"/>
                <w:sz w:val="18"/>
                <w:szCs w:val="18"/>
              </w:rPr>
              <w:t>Black gram + fodder cowpea as an intercrop  + 1 inter cultivation at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6.24 (38.00)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3.60 (12.00)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5.86 (33.33)</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9.18 (83.33)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2.33 (4.42)</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1.51 (1.28)</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2.79 (6.80)</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3.67 (12.49)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5</w:t>
            </w:r>
            <w:r w:rsidRPr="00434AA3">
              <w:rPr>
                <w:rFonts w:ascii="Arial" w:hAnsi="Arial" w:cs="Arial"/>
                <w:b/>
                <w:sz w:val="18"/>
                <w:szCs w:val="18"/>
              </w:rPr>
              <w:t>:</w:t>
            </w:r>
            <w:r w:rsidRPr="00434AA3">
              <w:rPr>
                <w:rFonts w:ascii="Arial" w:hAnsi="Arial" w:cs="Arial"/>
                <w:bCs/>
                <w:color w:val="000000" w:themeColor="text1"/>
                <w:sz w:val="18"/>
                <w:szCs w:val="18"/>
              </w:rPr>
              <w:t>Black gram + fodder cowpea as smothering crop in between rows of black gram</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6.66 (43.33)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4.04 (15.33)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6.18 (37.33)</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9.85 (96.00)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2.52 (5.33)</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1.66 (1.74)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2.85 (7.12)</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3.90 (14.19)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6</w:t>
            </w:r>
            <w:r w:rsidRPr="00434AA3">
              <w:rPr>
                <w:rFonts w:ascii="Arial" w:hAnsi="Arial" w:cs="Arial"/>
                <w:b/>
                <w:sz w:val="18"/>
                <w:szCs w:val="18"/>
              </w:rPr>
              <w:t>:</w:t>
            </w:r>
            <w:r w:rsidRPr="00434AA3">
              <w:rPr>
                <w:rFonts w:ascii="Arial" w:hAnsi="Arial" w:cs="Arial"/>
                <w:bCs/>
                <w:color w:val="000000" w:themeColor="text1"/>
                <w:sz w:val="18"/>
                <w:szCs w:val="18"/>
              </w:rPr>
              <w:t>Black gram + fodder cowpea as an intercrop with in-situ incorporation on 35 DAS + 1 inter cultivation at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4.35 (18.00)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2.49 (5.33)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6.81 (45.33)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1.60 (1.57)</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1.24 (0.54)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2.49 (5.21)</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2.88 (7.31)</w:t>
            </w:r>
          </w:p>
        </w:tc>
      </w:tr>
      <w:tr w:rsidR="00434AA3" w:rsidRPr="00434AA3" w:rsidTr="001A6B8E">
        <w:trPr>
          <w:trHeight w:val="20"/>
        </w:trPr>
        <w:tc>
          <w:tcPr>
            <w:tcW w:w="2415" w:type="pct"/>
          </w:tcPr>
          <w:p w:rsidR="00434AA3" w:rsidRPr="00434AA3" w:rsidRDefault="00434AA3" w:rsidP="001A6B8E">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7</w:t>
            </w:r>
            <w:r w:rsidRPr="00434AA3">
              <w:rPr>
                <w:rFonts w:ascii="Arial" w:hAnsi="Arial" w:cs="Arial"/>
                <w:b/>
                <w:sz w:val="18"/>
                <w:szCs w:val="18"/>
              </w:rPr>
              <w:t>:</w:t>
            </w:r>
            <w:r w:rsidRPr="00434AA3">
              <w:rPr>
                <w:rFonts w:ascii="Arial" w:hAnsi="Arial" w:cs="Arial"/>
                <w:bCs/>
                <w:color w:val="000000" w:themeColor="text1"/>
                <w:sz w:val="18"/>
                <w:szCs w:val="18"/>
              </w:rPr>
              <w:t>Mechanical (cycle weeder) weeding at 35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6.13 (36.67)</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3.51 (11.33)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5.68 (31.33)</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8.96 (79.33)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2.26 (4.14)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1.47 (1.17)</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2.73 (6.46)</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3.57 (11.77)</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8</w:t>
            </w:r>
            <w:r w:rsidRPr="00434AA3">
              <w:rPr>
                <w:rFonts w:ascii="Arial" w:hAnsi="Arial" w:cs="Arial"/>
                <w:b/>
                <w:sz w:val="18"/>
                <w:szCs w:val="18"/>
              </w:rPr>
              <w:t>:</w:t>
            </w:r>
            <w:r w:rsidRPr="00434AA3">
              <w:rPr>
                <w:rFonts w:ascii="Arial" w:hAnsi="Arial" w:cs="Arial"/>
                <w:bCs/>
                <w:color w:val="000000" w:themeColor="text1"/>
                <w:sz w:val="18"/>
                <w:szCs w:val="18"/>
              </w:rPr>
              <w:t>Two mechanical (cycle weeder) weeding at 20 &amp;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2.96 (8.00)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1.49 (1.33)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4.43 (18.67)</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5.37 (28.00)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1.29 (0.68)</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1.06 (0.13)</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2.40 (4.77)</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2.56 (5.58)</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9</w:t>
            </w:r>
            <w:r w:rsidRPr="00434AA3">
              <w:rPr>
                <w:rFonts w:ascii="Arial" w:hAnsi="Arial" w:cs="Arial"/>
                <w:b/>
                <w:sz w:val="18"/>
                <w:szCs w:val="18"/>
              </w:rPr>
              <w:t>:</w:t>
            </w:r>
            <w:r w:rsidRPr="00434AA3">
              <w:rPr>
                <w:rFonts w:ascii="Arial" w:hAnsi="Arial" w:cs="Arial"/>
                <w:color w:val="000000" w:themeColor="text1"/>
                <w:sz w:val="18"/>
                <w:szCs w:val="18"/>
              </w:rPr>
              <w:t>Cucumber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2.60 (6.00)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5.19 (26.00)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7.42 (54.00)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1.77 (2.15)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1.27 (0.62)</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2.55 (5.52)</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3.05 (8.29)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10</w:t>
            </w:r>
            <w:r w:rsidRPr="00434AA3">
              <w:rPr>
                <w:rFonts w:ascii="Arial" w:hAnsi="Arial" w:cs="Arial"/>
                <w:b/>
                <w:sz w:val="18"/>
                <w:szCs w:val="18"/>
              </w:rPr>
              <w:t>:</w:t>
            </w:r>
            <w:r w:rsidRPr="00434AA3">
              <w:rPr>
                <w:rFonts w:ascii="Arial" w:hAnsi="Arial" w:cs="Arial"/>
                <w:i/>
                <w:color w:val="000000" w:themeColor="text1"/>
                <w:sz w:val="18"/>
                <w:szCs w:val="18"/>
              </w:rPr>
              <w:t>Ageratumconyzoides</w:t>
            </w:r>
            <w:r w:rsidRPr="00434AA3">
              <w:rPr>
                <w:rFonts w:ascii="Arial" w:hAnsi="Arial" w:cs="Arial"/>
                <w:color w:val="000000" w:themeColor="text1"/>
                <w:sz w:val="18"/>
                <w:szCs w:val="18"/>
              </w:rPr>
              <w:t xml:space="preserve">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4.93 (23.33)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2.87 (7.33)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5.38 (28.00)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7.72 (58.67)</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1.81 (2.30)</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1.32 (0.74)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2.64 (6.00)</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3.17 (9.04)</w:t>
            </w:r>
          </w:p>
        </w:tc>
      </w:tr>
      <w:tr w:rsidR="00434AA3" w:rsidRPr="00434AA3" w:rsidTr="001A6B8E">
        <w:trPr>
          <w:trHeight w:val="20"/>
        </w:trPr>
        <w:tc>
          <w:tcPr>
            <w:tcW w:w="2415" w:type="pct"/>
          </w:tcPr>
          <w:p w:rsidR="00434AA3" w:rsidRPr="00434AA3" w:rsidRDefault="00434AA3" w:rsidP="001A6B8E">
            <w:pPr>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11</w:t>
            </w:r>
            <w:r w:rsidRPr="00434AA3">
              <w:rPr>
                <w:rFonts w:ascii="Arial" w:hAnsi="Arial" w:cs="Arial"/>
                <w:b/>
                <w:sz w:val="18"/>
                <w:szCs w:val="18"/>
              </w:rPr>
              <w:t>:</w:t>
            </w:r>
            <w:r w:rsidRPr="00434AA3">
              <w:rPr>
                <w:rFonts w:ascii="Arial" w:hAnsi="Arial" w:cs="Arial"/>
                <w:bCs/>
                <w:color w:val="000000" w:themeColor="text1"/>
                <w:sz w:val="18"/>
                <w:szCs w:val="18"/>
              </w:rPr>
              <w:t>Hand weeding at 20 &amp;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2.46 (5.33)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3.83 (14.00)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4.44 (19.33)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1.20 (0.45)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2.19 (3.85)</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2.29 (4.31)</w:t>
            </w:r>
          </w:p>
        </w:tc>
      </w:tr>
      <w:tr w:rsidR="00434AA3" w:rsidRPr="00434AA3" w:rsidTr="001A6B8E">
        <w:trPr>
          <w:trHeight w:val="341"/>
        </w:trPr>
        <w:tc>
          <w:tcPr>
            <w:tcW w:w="2415" w:type="pct"/>
          </w:tcPr>
          <w:p w:rsidR="00434AA3" w:rsidRPr="00434AA3" w:rsidRDefault="00434AA3" w:rsidP="001A6B8E">
            <w:pPr>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12</w:t>
            </w:r>
            <w:r w:rsidRPr="00434AA3">
              <w:rPr>
                <w:rFonts w:ascii="Arial" w:hAnsi="Arial" w:cs="Arial"/>
                <w:b/>
                <w:sz w:val="18"/>
                <w:szCs w:val="18"/>
              </w:rPr>
              <w:t>:</w:t>
            </w:r>
            <w:r w:rsidRPr="00434AA3">
              <w:rPr>
                <w:rFonts w:ascii="Arial" w:hAnsi="Arial" w:cs="Arial"/>
                <w:bCs/>
                <w:color w:val="000000" w:themeColor="text1"/>
                <w:sz w:val="18"/>
                <w:szCs w:val="18"/>
              </w:rPr>
              <w:t>Unweeded check</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7.14 (50.00)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4.57 (20.00)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6.40 (40.00)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10.53 (110.0)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2.77 (6.65)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2.08 (3.37)</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3.02 (8.13)</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4.38 (18.15)</w:t>
            </w:r>
          </w:p>
        </w:tc>
      </w:tr>
      <w:tr w:rsidR="00434AA3" w:rsidRPr="00434AA3" w:rsidTr="001A6B8E">
        <w:trPr>
          <w:trHeight w:val="20"/>
        </w:trPr>
        <w:tc>
          <w:tcPr>
            <w:tcW w:w="2415"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F test</w:t>
            </w:r>
          </w:p>
        </w:tc>
        <w:tc>
          <w:tcPr>
            <w:tcW w:w="323"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3"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gridSpan w:val="2"/>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9" w:type="pct"/>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r>
      <w:tr w:rsidR="00434AA3" w:rsidRPr="00434AA3" w:rsidTr="00434AA3">
        <w:trPr>
          <w:trHeight w:val="20"/>
        </w:trPr>
        <w:tc>
          <w:tcPr>
            <w:tcW w:w="2415"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S.Em±</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0.16</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0.21</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0.27</w:t>
            </w:r>
          </w:p>
        </w:tc>
        <w:tc>
          <w:tcPr>
            <w:tcW w:w="322" w:type="pct"/>
            <w:gridSpan w:val="2"/>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0.07</w:t>
            </w:r>
          </w:p>
        </w:tc>
        <w:tc>
          <w:tcPr>
            <w:tcW w:w="329" w:type="pct"/>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0.08</w:t>
            </w:r>
          </w:p>
        </w:tc>
      </w:tr>
      <w:tr w:rsidR="00434AA3" w:rsidRPr="00434AA3" w:rsidTr="00434AA3">
        <w:trPr>
          <w:trHeight w:val="20"/>
        </w:trPr>
        <w:tc>
          <w:tcPr>
            <w:tcW w:w="2415" w:type="pct"/>
            <w:tcBorders>
              <w:bottom w:val="single" w:sz="4" w:space="0" w:color="auto"/>
            </w:tcBorders>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CD (P&lt;0.05)</w:t>
            </w:r>
          </w:p>
        </w:tc>
        <w:tc>
          <w:tcPr>
            <w:tcW w:w="323"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0.57</w:t>
            </w:r>
          </w:p>
        </w:tc>
        <w:tc>
          <w:tcPr>
            <w:tcW w:w="322"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0.47</w:t>
            </w:r>
          </w:p>
        </w:tc>
        <w:tc>
          <w:tcPr>
            <w:tcW w:w="322"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0.61</w:t>
            </w:r>
          </w:p>
        </w:tc>
        <w:tc>
          <w:tcPr>
            <w:tcW w:w="323"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0.79</w:t>
            </w:r>
          </w:p>
        </w:tc>
        <w:tc>
          <w:tcPr>
            <w:tcW w:w="322" w:type="pct"/>
            <w:gridSpan w:val="2"/>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0.14</w:t>
            </w:r>
          </w:p>
        </w:tc>
        <w:tc>
          <w:tcPr>
            <w:tcW w:w="322" w:type="pct"/>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0.15</w:t>
            </w:r>
          </w:p>
        </w:tc>
        <w:tc>
          <w:tcPr>
            <w:tcW w:w="322" w:type="pct"/>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9" w:type="pct"/>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0.23</w:t>
            </w:r>
          </w:p>
        </w:tc>
      </w:tr>
    </w:tbl>
    <w:p w:rsidR="00434AA3" w:rsidRPr="00DB2E86" w:rsidRDefault="00434AA3" w:rsidP="00434AA3">
      <w:pPr>
        <w:spacing w:line="288" w:lineRule="auto"/>
        <w:jc w:val="both"/>
        <w:rPr>
          <w:rFonts w:ascii="Arial" w:hAnsi="Arial" w:cs="Arial"/>
        </w:rPr>
      </w:pPr>
      <w:r w:rsidRPr="00DB2E86">
        <w:rPr>
          <w:rFonts w:ascii="Arial" w:hAnsi="Arial" w:cs="Arial"/>
        </w:rPr>
        <w:t xml:space="preserve">DAS- Days after sowing, BLW- Broad leaved weed, *- Significant. </w:t>
      </w:r>
    </w:p>
    <w:p w:rsidR="00434AA3" w:rsidRPr="00DB2E86" w:rsidRDefault="00434AA3" w:rsidP="00434AA3">
      <w:pPr>
        <w:spacing w:line="288" w:lineRule="auto"/>
        <w:jc w:val="both"/>
        <w:rPr>
          <w:rFonts w:ascii="Arial" w:hAnsi="Arial" w:cs="Arial"/>
        </w:rPr>
      </w:pPr>
      <w:r w:rsidRPr="00DB2E86">
        <w:rPr>
          <w:rFonts w:ascii="Arial" w:hAnsi="Arial" w:cs="Arial"/>
        </w:rPr>
        <w:t>Figures in the parenthesis are original values; data analysed after square root (X+1) transformation.</w:t>
      </w:r>
    </w:p>
    <w:p w:rsidR="00434AA3" w:rsidRPr="00DB2E86" w:rsidRDefault="00434AA3" w:rsidP="00434AA3">
      <w:pPr>
        <w:spacing w:line="360" w:lineRule="auto"/>
        <w:rPr>
          <w:rFonts w:ascii="Arial" w:hAnsi="Arial" w:cs="Arial"/>
          <w:b/>
        </w:rPr>
      </w:pPr>
      <w:r w:rsidRPr="00DB2E86">
        <w:rPr>
          <w:rFonts w:ascii="Arial" w:hAnsi="Arial" w:cs="Arial"/>
          <w:b/>
          <w:color w:val="000000" w:themeColor="text1"/>
        </w:rPr>
        <w:lastRenderedPageBreak/>
        <w:t>Table 3. Influence of weed management practices on nutrient uptake by crop (kg ha</w:t>
      </w:r>
      <w:r w:rsidRPr="00DB2E86">
        <w:rPr>
          <w:rFonts w:ascii="Arial" w:hAnsi="Arial" w:cs="Arial"/>
          <w:b/>
          <w:color w:val="000000" w:themeColor="text1"/>
          <w:vertAlign w:val="superscript"/>
        </w:rPr>
        <w:t>-1</w:t>
      </w:r>
      <w:r w:rsidRPr="00DB2E86">
        <w:rPr>
          <w:rFonts w:ascii="Arial" w:hAnsi="Arial" w:cs="Arial"/>
          <w:b/>
          <w:color w:val="000000" w:themeColor="text1"/>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
        <w:gridCol w:w="8464"/>
        <w:gridCol w:w="1039"/>
        <w:gridCol w:w="1383"/>
        <w:gridCol w:w="1228"/>
      </w:tblGrid>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sz w:val="20"/>
                <w:szCs w:val="20"/>
              </w:rPr>
            </w:pPr>
          </w:p>
        </w:tc>
        <w:tc>
          <w:tcPr>
            <w:tcW w:w="3449"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Treatments</w:t>
            </w:r>
          </w:p>
        </w:tc>
        <w:tc>
          <w:tcPr>
            <w:tcW w:w="396"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Nitrogen (N)</w:t>
            </w:r>
          </w:p>
        </w:tc>
        <w:tc>
          <w:tcPr>
            <w:tcW w:w="504"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Phosphorus (P)</w:t>
            </w:r>
          </w:p>
        </w:tc>
        <w:tc>
          <w:tcPr>
            <w:tcW w:w="461"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449" w:type="pct"/>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396"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77.37</w:t>
            </w:r>
          </w:p>
        </w:tc>
        <w:tc>
          <w:tcPr>
            <w:tcW w:w="504"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15.22</w:t>
            </w:r>
          </w:p>
        </w:tc>
        <w:tc>
          <w:tcPr>
            <w:tcW w:w="461"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33.67</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79.04</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15.39</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33.98</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449"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54.11</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11.58</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24.79</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40.48</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7.57</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14.77</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39.83</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7.19</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14.63</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66.78</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14.12</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31.13</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449"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53.38</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11.46</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24.35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72.75</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14.53</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31.91</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61.69</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12.44</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26.25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61.76</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12.31</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26.37</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449" w:type="pct"/>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80.52</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15.89</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35.62</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449" w:type="pct"/>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39.29</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7.20</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14.43</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449" w:type="pct"/>
            <w:vAlign w:val="center"/>
          </w:tcPr>
          <w:p w:rsidR="00434AA3" w:rsidRPr="00DB2E86" w:rsidRDefault="00434AA3" w:rsidP="001A6B8E">
            <w:pPr>
              <w:spacing w:before="64" w:after="64"/>
              <w:jc w:val="center"/>
              <w:rPr>
                <w:rFonts w:ascii="Arial" w:hAnsi="Arial" w:cs="Arial"/>
                <w:bCs/>
                <w:sz w:val="20"/>
                <w:szCs w:val="20"/>
              </w:rPr>
            </w:pPr>
            <w:r w:rsidRPr="00DB2E86">
              <w:rPr>
                <w:rFonts w:ascii="Arial" w:hAnsi="Arial" w:cs="Arial"/>
                <w:bCs/>
                <w:sz w:val="20"/>
                <w:szCs w:val="20"/>
              </w:rPr>
              <w:t>F test</w:t>
            </w:r>
          </w:p>
        </w:tc>
        <w:tc>
          <w:tcPr>
            <w:tcW w:w="396"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0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461"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449" w:type="pct"/>
            <w:vAlign w:val="center"/>
          </w:tcPr>
          <w:p w:rsidR="00434AA3" w:rsidRPr="00DB2E86" w:rsidRDefault="00434AA3" w:rsidP="001A6B8E">
            <w:pPr>
              <w:spacing w:before="64" w:after="64"/>
              <w:jc w:val="center"/>
              <w:rPr>
                <w:rFonts w:ascii="Arial" w:hAnsi="Arial" w:cs="Arial"/>
                <w:sz w:val="20"/>
                <w:szCs w:val="20"/>
              </w:rPr>
            </w:pPr>
            <w:r w:rsidRPr="00DB2E86">
              <w:rPr>
                <w:rFonts w:ascii="Arial" w:hAnsi="Arial" w:cs="Arial"/>
                <w:sz w:val="20"/>
                <w:szCs w:val="20"/>
              </w:rPr>
              <w:t>S.Em±</w:t>
            </w:r>
          </w:p>
        </w:tc>
        <w:tc>
          <w:tcPr>
            <w:tcW w:w="396"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1.62</w:t>
            </w:r>
          </w:p>
        </w:tc>
        <w:tc>
          <w:tcPr>
            <w:tcW w:w="50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461"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449" w:type="pct"/>
            <w:tcBorders>
              <w:bottom w:val="single" w:sz="4" w:space="0" w:color="auto"/>
            </w:tcBorders>
            <w:vAlign w:val="center"/>
          </w:tcPr>
          <w:p w:rsidR="00434AA3" w:rsidRPr="00DB2E86" w:rsidRDefault="00434AA3" w:rsidP="001A6B8E">
            <w:pPr>
              <w:spacing w:before="64" w:after="64"/>
              <w:jc w:val="center"/>
              <w:rPr>
                <w:rFonts w:ascii="Arial" w:hAnsi="Arial" w:cs="Arial"/>
                <w:sz w:val="20"/>
                <w:szCs w:val="20"/>
              </w:rPr>
            </w:pPr>
            <w:r>
              <w:rPr>
                <w:rFonts w:ascii="Arial" w:hAnsi="Arial" w:cs="Arial"/>
                <w:sz w:val="20"/>
                <w:szCs w:val="20"/>
              </w:rPr>
              <w:t>CD (P&lt;</w:t>
            </w:r>
            <w:r w:rsidRPr="00DB2E86">
              <w:rPr>
                <w:rFonts w:ascii="Arial" w:hAnsi="Arial" w:cs="Arial"/>
                <w:sz w:val="20"/>
                <w:szCs w:val="20"/>
              </w:rPr>
              <w:t>0.05)</w:t>
            </w:r>
          </w:p>
        </w:tc>
        <w:tc>
          <w:tcPr>
            <w:tcW w:w="396"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4.76</w:t>
            </w:r>
          </w:p>
        </w:tc>
        <w:tc>
          <w:tcPr>
            <w:tcW w:w="504"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1.07</w:t>
            </w:r>
          </w:p>
        </w:tc>
        <w:tc>
          <w:tcPr>
            <w:tcW w:w="461"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2.11</w:t>
            </w:r>
          </w:p>
        </w:tc>
      </w:tr>
    </w:tbl>
    <w:p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rsidR="00434AA3" w:rsidRPr="00DB2E86" w:rsidRDefault="00434AA3" w:rsidP="00434AA3">
      <w:pPr>
        <w:spacing w:line="288" w:lineRule="auto"/>
        <w:jc w:val="both"/>
        <w:rPr>
          <w:rFonts w:ascii="Arial" w:hAnsi="Arial" w:cs="Arial"/>
        </w:rPr>
      </w:pPr>
      <w:r w:rsidRPr="00DB2E86">
        <w:rPr>
          <w:rFonts w:ascii="Arial" w:hAnsi="Arial" w:cs="Arial"/>
        </w:rPr>
        <w:t xml:space="preserve">*- Significant </w:t>
      </w:r>
    </w:p>
    <w:p w:rsidR="00434AA3" w:rsidRDefault="00434AA3" w:rsidP="00434AA3">
      <w:pPr>
        <w:spacing w:before="160" w:line="360" w:lineRule="auto"/>
        <w:jc w:val="both"/>
        <w:rPr>
          <w:rFonts w:ascii="Times New Roman" w:hAnsi="Times New Roman"/>
          <w:sz w:val="24"/>
          <w:szCs w:val="24"/>
        </w:rPr>
      </w:pPr>
    </w:p>
    <w:p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4. Influence of weed management practices on nutrient uptake by weeds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
        <w:gridCol w:w="7954"/>
        <w:gridCol w:w="1255"/>
        <w:gridCol w:w="1510"/>
        <w:gridCol w:w="1395"/>
      </w:tblGrid>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sz w:val="20"/>
                <w:szCs w:val="20"/>
              </w:rPr>
            </w:pPr>
          </w:p>
        </w:tc>
        <w:tc>
          <w:tcPr>
            <w:tcW w:w="3157"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Treatments</w:t>
            </w:r>
          </w:p>
        </w:tc>
        <w:tc>
          <w:tcPr>
            <w:tcW w:w="499"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Nitrogen (N)</w:t>
            </w:r>
          </w:p>
        </w:tc>
        <w:tc>
          <w:tcPr>
            <w:tcW w:w="600"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Phosphorus (P)</w:t>
            </w:r>
          </w:p>
        </w:tc>
        <w:tc>
          <w:tcPr>
            <w:tcW w:w="554"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157" w:type="pct"/>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499"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4.99</w:t>
            </w:r>
          </w:p>
        </w:tc>
        <w:tc>
          <w:tcPr>
            <w:tcW w:w="600"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2.92</w:t>
            </w:r>
          </w:p>
        </w:tc>
        <w:tc>
          <w:tcPr>
            <w:tcW w:w="554"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3.81</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4.88</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2.77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3.62</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157"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8.27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6.35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11.72</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5.62</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8.55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11.96</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5.76</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8.65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6.97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3.44</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5.02</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157"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8.30</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4.05</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5.98</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3.07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4.71</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7.47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3.65</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5.94</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7.63</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3.72</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6.05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157" w:type="pct"/>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4.69</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2.40</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3.49</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157" w:type="pct"/>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12.12</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8.84</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157" w:type="pct"/>
            <w:vAlign w:val="center"/>
          </w:tcPr>
          <w:p w:rsidR="00434AA3" w:rsidRPr="00DB2E86" w:rsidRDefault="00434AA3" w:rsidP="001A6B8E">
            <w:pPr>
              <w:spacing w:before="64" w:after="64"/>
              <w:jc w:val="center"/>
              <w:rPr>
                <w:rFonts w:ascii="Arial" w:hAnsi="Arial" w:cs="Arial"/>
                <w:bCs/>
                <w:sz w:val="20"/>
                <w:szCs w:val="20"/>
              </w:rPr>
            </w:pPr>
            <w:r w:rsidRPr="00DB2E86">
              <w:rPr>
                <w:rFonts w:ascii="Arial" w:hAnsi="Arial" w:cs="Arial"/>
                <w:bCs/>
                <w:sz w:val="20"/>
                <w:szCs w:val="20"/>
              </w:rPr>
              <w:t>F test</w:t>
            </w:r>
          </w:p>
        </w:tc>
        <w:tc>
          <w:tcPr>
            <w:tcW w:w="499"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600"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5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157" w:type="pct"/>
            <w:vAlign w:val="center"/>
          </w:tcPr>
          <w:p w:rsidR="00434AA3" w:rsidRPr="00DB2E86" w:rsidRDefault="00434AA3" w:rsidP="001A6B8E">
            <w:pPr>
              <w:spacing w:before="64" w:after="64"/>
              <w:jc w:val="center"/>
              <w:rPr>
                <w:rFonts w:ascii="Arial" w:hAnsi="Arial" w:cs="Arial"/>
                <w:sz w:val="20"/>
                <w:szCs w:val="20"/>
              </w:rPr>
            </w:pPr>
            <w:r w:rsidRPr="00DB2E86">
              <w:rPr>
                <w:rFonts w:ascii="Arial" w:hAnsi="Arial" w:cs="Arial"/>
                <w:sz w:val="20"/>
                <w:szCs w:val="20"/>
              </w:rPr>
              <w:t>S.Em±</w:t>
            </w:r>
          </w:p>
        </w:tc>
        <w:tc>
          <w:tcPr>
            <w:tcW w:w="499"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0.25</w:t>
            </w:r>
          </w:p>
        </w:tc>
        <w:tc>
          <w:tcPr>
            <w:tcW w:w="600"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0.12</w:t>
            </w:r>
          </w:p>
        </w:tc>
        <w:tc>
          <w:tcPr>
            <w:tcW w:w="55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0.18</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157" w:type="pct"/>
            <w:tcBorders>
              <w:bottom w:val="single" w:sz="4" w:space="0" w:color="auto"/>
            </w:tcBorders>
            <w:vAlign w:val="center"/>
          </w:tcPr>
          <w:p w:rsidR="00434AA3" w:rsidRPr="00DB2E86" w:rsidRDefault="00434AA3" w:rsidP="001A6B8E">
            <w:pPr>
              <w:spacing w:before="64" w:after="64"/>
              <w:jc w:val="center"/>
              <w:rPr>
                <w:rFonts w:ascii="Arial" w:hAnsi="Arial" w:cs="Arial"/>
                <w:sz w:val="20"/>
                <w:szCs w:val="20"/>
              </w:rPr>
            </w:pPr>
            <w:r w:rsidRPr="00DB2E86">
              <w:rPr>
                <w:rFonts w:ascii="Arial" w:hAnsi="Arial" w:cs="Arial"/>
                <w:sz w:val="20"/>
                <w:szCs w:val="20"/>
              </w:rPr>
              <w:t>CD (P=0.05)</w:t>
            </w:r>
          </w:p>
        </w:tc>
        <w:tc>
          <w:tcPr>
            <w:tcW w:w="499"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c>
          <w:tcPr>
            <w:tcW w:w="600"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554"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0.52</w:t>
            </w:r>
          </w:p>
        </w:tc>
      </w:tr>
    </w:tbl>
    <w:p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rsidR="00434AA3" w:rsidRDefault="00434AA3" w:rsidP="00434AA3">
      <w:pPr>
        <w:spacing w:line="288" w:lineRule="auto"/>
        <w:jc w:val="both"/>
        <w:rPr>
          <w:rFonts w:ascii="Arial" w:hAnsi="Arial" w:cs="Arial"/>
        </w:rPr>
      </w:pPr>
      <w:r w:rsidRPr="00DB2E86">
        <w:rPr>
          <w:rFonts w:ascii="Arial" w:hAnsi="Arial" w:cs="Arial"/>
        </w:rPr>
        <w:t xml:space="preserve">*- Significant </w:t>
      </w:r>
    </w:p>
    <w:p w:rsidR="00434AA3" w:rsidRDefault="00434AA3" w:rsidP="00434AA3">
      <w:pPr>
        <w:spacing w:line="288" w:lineRule="auto"/>
        <w:jc w:val="both"/>
        <w:rPr>
          <w:rFonts w:ascii="Arial" w:hAnsi="Arial" w:cs="Arial"/>
        </w:rPr>
      </w:pPr>
    </w:p>
    <w:p w:rsidR="00434AA3" w:rsidRPr="00DB2E86" w:rsidRDefault="00434AA3" w:rsidP="00434AA3">
      <w:pPr>
        <w:spacing w:line="288" w:lineRule="auto"/>
        <w:jc w:val="both"/>
        <w:rPr>
          <w:rFonts w:ascii="Arial" w:hAnsi="Arial" w:cs="Arial"/>
        </w:rPr>
      </w:pPr>
    </w:p>
    <w:p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5. Influence of weed management practices on available nutrient status of soil NPK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after harvest of black gram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
        <w:gridCol w:w="8019"/>
        <w:gridCol w:w="1275"/>
        <w:gridCol w:w="1550"/>
        <w:gridCol w:w="1270"/>
      </w:tblGrid>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sz w:val="20"/>
                <w:szCs w:val="20"/>
              </w:rPr>
            </w:pPr>
          </w:p>
        </w:tc>
        <w:tc>
          <w:tcPr>
            <w:tcW w:w="0" w:type="auto"/>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Treatments</w:t>
            </w:r>
          </w:p>
        </w:tc>
        <w:tc>
          <w:tcPr>
            <w:tcW w:w="0" w:type="auto"/>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Nitrogen (N)</w:t>
            </w:r>
          </w:p>
        </w:tc>
        <w:tc>
          <w:tcPr>
            <w:tcW w:w="1550" w:type="dxa"/>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Phosphorous (P)</w:t>
            </w:r>
          </w:p>
        </w:tc>
        <w:tc>
          <w:tcPr>
            <w:tcW w:w="1270" w:type="dxa"/>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Potassium (K)</w:t>
            </w:r>
          </w:p>
        </w:tc>
      </w:tr>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0" w:type="auto"/>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0" w:type="auto"/>
            <w:tcBorders>
              <w:top w:val="single" w:sz="4" w:space="0" w:color="auto"/>
            </w:tcBorders>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187.68</w:t>
            </w:r>
          </w:p>
        </w:tc>
        <w:tc>
          <w:tcPr>
            <w:tcW w:w="1550" w:type="dxa"/>
            <w:tcBorders>
              <w:top w:val="single" w:sz="4" w:space="0" w:color="auto"/>
            </w:tcBorders>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20.37</w:t>
            </w:r>
          </w:p>
        </w:tc>
        <w:tc>
          <w:tcPr>
            <w:tcW w:w="1270" w:type="dxa"/>
            <w:tcBorders>
              <w:top w:val="single" w:sz="4" w:space="0" w:color="auto"/>
            </w:tcBorders>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139.86</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186.18</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138.50</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0" w:type="auto"/>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207.63</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22.86</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144.83</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232.71</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21.76</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142.33</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233.14</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21.34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143.38</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196.39</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139.95</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0" w:type="auto"/>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208.28</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22.65</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143.96</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191.41</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20.91</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139.50</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200.95</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143.82</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200.65</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22.49</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143.58</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0" w:type="auto"/>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185.24</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20.20</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136.86</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0" w:type="auto"/>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218.58</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25.44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152.71</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p>
        </w:tc>
        <w:tc>
          <w:tcPr>
            <w:tcW w:w="0" w:type="auto"/>
            <w:vAlign w:val="center"/>
          </w:tcPr>
          <w:p w:rsidR="00434AA3" w:rsidRPr="00DB2E86" w:rsidRDefault="00434AA3" w:rsidP="001A6B8E">
            <w:pPr>
              <w:spacing w:before="16" w:after="16"/>
              <w:jc w:val="center"/>
              <w:rPr>
                <w:rFonts w:ascii="Arial" w:hAnsi="Arial" w:cs="Arial"/>
                <w:bCs/>
                <w:sz w:val="20"/>
                <w:szCs w:val="20"/>
              </w:rPr>
            </w:pPr>
            <w:r w:rsidRPr="00DB2E86">
              <w:rPr>
                <w:rFonts w:ascii="Arial" w:hAnsi="Arial" w:cs="Arial"/>
                <w:bCs/>
                <w:sz w:val="20"/>
                <w:szCs w:val="20"/>
              </w:rPr>
              <w:t>F test</w:t>
            </w:r>
          </w:p>
        </w:tc>
        <w:tc>
          <w:tcPr>
            <w:tcW w:w="0" w:type="auto"/>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55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27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p>
        </w:tc>
        <w:tc>
          <w:tcPr>
            <w:tcW w:w="0" w:type="auto"/>
            <w:vAlign w:val="center"/>
          </w:tcPr>
          <w:p w:rsidR="00434AA3" w:rsidRPr="00DB2E86" w:rsidRDefault="00434AA3" w:rsidP="001A6B8E">
            <w:pPr>
              <w:spacing w:before="16" w:after="16"/>
              <w:jc w:val="center"/>
              <w:rPr>
                <w:rFonts w:ascii="Arial" w:hAnsi="Arial" w:cs="Arial"/>
                <w:sz w:val="20"/>
                <w:szCs w:val="20"/>
              </w:rPr>
            </w:pPr>
            <w:r w:rsidRPr="00DB2E86">
              <w:rPr>
                <w:rFonts w:ascii="Arial" w:hAnsi="Arial" w:cs="Arial"/>
                <w:sz w:val="20"/>
                <w:szCs w:val="20"/>
              </w:rPr>
              <w:t>S.Em±</w:t>
            </w:r>
          </w:p>
        </w:tc>
        <w:tc>
          <w:tcPr>
            <w:tcW w:w="0" w:type="auto"/>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6.01</w:t>
            </w:r>
          </w:p>
        </w:tc>
        <w:tc>
          <w:tcPr>
            <w:tcW w:w="155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0.64</w:t>
            </w:r>
          </w:p>
        </w:tc>
        <w:tc>
          <w:tcPr>
            <w:tcW w:w="127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4.13</w:t>
            </w:r>
          </w:p>
        </w:tc>
      </w:tr>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p>
        </w:tc>
        <w:tc>
          <w:tcPr>
            <w:tcW w:w="0" w:type="auto"/>
            <w:tcBorders>
              <w:bottom w:val="single" w:sz="4" w:space="0" w:color="auto"/>
            </w:tcBorders>
            <w:vAlign w:val="center"/>
          </w:tcPr>
          <w:p w:rsidR="00434AA3" w:rsidRPr="00DB2E86" w:rsidRDefault="00434AA3" w:rsidP="001A6B8E">
            <w:pPr>
              <w:spacing w:before="16" w:after="16"/>
              <w:jc w:val="center"/>
              <w:rPr>
                <w:rFonts w:ascii="Arial" w:hAnsi="Arial" w:cs="Arial"/>
                <w:sz w:val="20"/>
                <w:szCs w:val="20"/>
              </w:rPr>
            </w:pPr>
            <w:r w:rsidRPr="00DB2E86">
              <w:rPr>
                <w:rFonts w:ascii="Arial" w:hAnsi="Arial" w:cs="Arial"/>
                <w:sz w:val="20"/>
                <w:szCs w:val="20"/>
              </w:rPr>
              <w:t>CD (P=0.05)</w:t>
            </w:r>
          </w:p>
        </w:tc>
        <w:tc>
          <w:tcPr>
            <w:tcW w:w="0" w:type="auto"/>
            <w:tcBorders>
              <w:bottom w:val="single" w:sz="4" w:space="0" w:color="auto"/>
            </w:tcBorders>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17.59</w:t>
            </w:r>
          </w:p>
        </w:tc>
        <w:tc>
          <w:tcPr>
            <w:tcW w:w="1550" w:type="dxa"/>
            <w:tcBorders>
              <w:bottom w:val="single" w:sz="4" w:space="0" w:color="auto"/>
            </w:tcBorders>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1.86</w:t>
            </w:r>
          </w:p>
        </w:tc>
        <w:tc>
          <w:tcPr>
            <w:tcW w:w="1270" w:type="dxa"/>
            <w:tcBorders>
              <w:bottom w:val="single" w:sz="4" w:space="0" w:color="auto"/>
            </w:tcBorders>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12.10</w:t>
            </w:r>
          </w:p>
        </w:tc>
      </w:tr>
    </w:tbl>
    <w:p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rsidR="00434AA3" w:rsidRPr="00DB2E86" w:rsidRDefault="00434AA3" w:rsidP="00434AA3">
      <w:pPr>
        <w:spacing w:line="288" w:lineRule="auto"/>
        <w:jc w:val="both"/>
        <w:rPr>
          <w:rFonts w:ascii="Arial" w:hAnsi="Arial" w:cs="Arial"/>
        </w:rPr>
      </w:pPr>
      <w:r w:rsidRPr="00DB2E86">
        <w:rPr>
          <w:rFonts w:ascii="Arial" w:hAnsi="Arial" w:cs="Arial"/>
        </w:rPr>
        <w:t>NS- Non significant</w:t>
      </w:r>
    </w:p>
    <w:p w:rsidR="00434AA3" w:rsidRPr="00DB2E86" w:rsidRDefault="00434AA3" w:rsidP="00434AA3">
      <w:pPr>
        <w:spacing w:line="288" w:lineRule="auto"/>
        <w:jc w:val="both"/>
        <w:rPr>
          <w:rFonts w:ascii="Arial" w:hAnsi="Arial" w:cs="Arial"/>
        </w:rPr>
      </w:pPr>
      <w:r w:rsidRPr="00DB2E86">
        <w:rPr>
          <w:rFonts w:ascii="Arial" w:hAnsi="Arial" w:cs="Arial"/>
        </w:rPr>
        <w:t>*- Significant</w:t>
      </w:r>
    </w:p>
    <w:p w:rsidR="00434AA3" w:rsidRPr="00DB2E86"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Pr="00DB2E86" w:rsidRDefault="00434AA3" w:rsidP="00434AA3">
      <w:pPr>
        <w:spacing w:line="288" w:lineRule="auto"/>
        <w:jc w:val="both"/>
        <w:rPr>
          <w:rFonts w:ascii="Arial" w:hAnsi="Arial" w:cs="Arial"/>
        </w:rPr>
      </w:pPr>
    </w:p>
    <w:p w:rsidR="00434AA3" w:rsidRPr="00DB2E86" w:rsidRDefault="00434AA3" w:rsidP="00434AA3">
      <w:pPr>
        <w:spacing w:line="288" w:lineRule="auto"/>
        <w:jc w:val="both"/>
        <w:rPr>
          <w:rFonts w:ascii="Arial" w:hAnsi="Arial" w:cs="Arial"/>
        </w:rPr>
      </w:pPr>
    </w:p>
    <w:p w:rsidR="00434AA3" w:rsidRPr="00DB2E86" w:rsidRDefault="00434AA3" w:rsidP="00434AA3">
      <w:pPr>
        <w:ind w:left="992" w:hanging="992"/>
        <w:jc w:val="both"/>
        <w:rPr>
          <w:rFonts w:ascii="Arial" w:hAnsi="Arial" w:cs="Arial"/>
          <w:b/>
        </w:rPr>
      </w:pPr>
      <w:r w:rsidRPr="00DB2E86">
        <w:rPr>
          <w:rFonts w:ascii="Arial" w:hAnsi="Arial" w:cs="Arial"/>
          <w:b/>
        </w:rPr>
        <w:lastRenderedPageBreak/>
        <w:t>Table 6. Effect of organic weed management practices on plant height(cm), leaf area(cm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00"/>
        <w:gridCol w:w="859"/>
        <w:gridCol w:w="857"/>
        <w:gridCol w:w="857"/>
        <w:gridCol w:w="860"/>
        <w:gridCol w:w="857"/>
        <w:gridCol w:w="857"/>
        <w:gridCol w:w="950"/>
      </w:tblGrid>
      <w:tr w:rsidR="00434AA3" w:rsidRPr="00DB2E86" w:rsidTr="00434AA3">
        <w:trPr>
          <w:trHeight w:val="20"/>
        </w:trPr>
        <w:tc>
          <w:tcPr>
            <w:tcW w:w="2585" w:type="pct"/>
            <w:tcBorders>
              <w:top w:val="single" w:sz="4" w:space="0" w:color="auto"/>
              <w:bottom w:val="single" w:sz="4" w:space="0" w:color="auto"/>
            </w:tcBorders>
          </w:tcPr>
          <w:p w:rsidR="00434AA3" w:rsidRPr="00DB2E86" w:rsidRDefault="00434AA3" w:rsidP="001A6B8E">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rsidTr="00434AA3">
        <w:trPr>
          <w:trHeight w:val="20"/>
        </w:trPr>
        <w:tc>
          <w:tcPr>
            <w:tcW w:w="2585" w:type="pct"/>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rsidTr="001A6B8E">
        <w:trPr>
          <w:trHeight w:val="20"/>
        </w:trPr>
        <w:tc>
          <w:tcPr>
            <w:tcW w:w="2585" w:type="pct"/>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rsidTr="001A6B8E">
        <w:trPr>
          <w:trHeight w:val="341"/>
        </w:trPr>
        <w:tc>
          <w:tcPr>
            <w:tcW w:w="2585" w:type="pct"/>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434AA3" w:rsidRDefault="00434AA3" w:rsidP="001A6B8E">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rsidTr="00434AA3">
        <w:trPr>
          <w:trHeight w:val="20"/>
        </w:trPr>
        <w:tc>
          <w:tcPr>
            <w:tcW w:w="2585" w:type="pct"/>
          </w:tcPr>
          <w:p w:rsidR="00434AA3" w:rsidRPr="00434AA3" w:rsidRDefault="00434AA3" w:rsidP="001A6B8E">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S.Em±</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rsidTr="00434AA3">
        <w:trPr>
          <w:trHeight w:val="20"/>
        </w:trPr>
        <w:tc>
          <w:tcPr>
            <w:tcW w:w="2585" w:type="pct"/>
            <w:tcBorders>
              <w:bottom w:val="single" w:sz="4" w:space="0" w:color="auto"/>
            </w:tcBorders>
          </w:tcPr>
          <w:p w:rsidR="00434AA3" w:rsidRPr="00434AA3" w:rsidRDefault="00434AA3" w:rsidP="001A6B8E">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NS</w:t>
            </w:r>
          </w:p>
        </w:tc>
      </w:tr>
    </w:tbl>
    <w:p w:rsidR="00434AA3" w:rsidRPr="00DB2E86" w:rsidRDefault="00434AA3" w:rsidP="00434AA3">
      <w:pPr>
        <w:spacing w:line="288" w:lineRule="auto"/>
        <w:jc w:val="both"/>
        <w:rPr>
          <w:rFonts w:ascii="Arial" w:hAnsi="Arial" w:cs="Arial"/>
        </w:rPr>
      </w:pPr>
      <w:r w:rsidRPr="00DB2E86">
        <w:rPr>
          <w:rFonts w:ascii="Arial" w:hAnsi="Arial" w:cs="Arial"/>
        </w:rPr>
        <w:t>DAS- Days after sowing, *- Significant. NS- Non significant</w:t>
      </w:r>
    </w:p>
    <w:p w:rsidR="00434AA3" w:rsidRDefault="00434AA3" w:rsidP="00441B6F">
      <w:r>
        <w:br w:type="page"/>
      </w:r>
    </w:p>
    <w:p w:rsidR="00434AA3" w:rsidRDefault="00434AA3" w:rsidP="00441B6F">
      <w:pPr>
        <w:sectPr w:rsidR="00434AA3" w:rsidSect="00BB4604">
          <w:type w:val="continuous"/>
          <w:pgSz w:w="15840" w:h="12240" w:orient="landscape"/>
          <w:pgMar w:top="2019" w:right="2019" w:bottom="2019" w:left="1440" w:header="720" w:footer="1123" w:gutter="0"/>
          <w:cols w:space="720"/>
          <w:docGrid w:linePitch="272"/>
        </w:sectPr>
      </w:pPr>
    </w:p>
    <w:p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rsidR="007B325F" w:rsidRPr="00FB3A86" w:rsidRDefault="007B325F" w:rsidP="007B325F">
      <w:pPr>
        <w:pStyle w:val="ConcHead"/>
        <w:spacing w:after="0"/>
        <w:jc w:val="both"/>
        <w:rPr>
          <w:rFonts w:ascii="Arial" w:hAnsi="Arial" w:cs="Arial"/>
        </w:rPr>
      </w:pPr>
    </w:p>
    <w:p w:rsidR="007B325F" w:rsidRPr="00FB3A86" w:rsidRDefault="007B325F" w:rsidP="007B325F">
      <w:pPr>
        <w:pStyle w:val="Body"/>
        <w:spacing w:after="0"/>
        <w:rPr>
          <w:rFonts w:ascii="Arial" w:hAnsi="Arial" w:cs="Arial"/>
        </w:rPr>
      </w:pPr>
      <w:commentRangeStart w:id="13"/>
      <w:r w:rsidRPr="00B51941">
        <w:rPr>
          <w:rFonts w:ascii="Arial" w:hAnsi="Arial" w:cs="Arial"/>
        </w:rPr>
        <w:t>Hand weeding at 20 and 40 DAS is the best efficient method for the control of weeds which produces significantly highest yield and weed control efficiency. Since, the labour availability is a problem besides high cost involved in the hand weeding, stale seed bed technique + inter cultivation twice at 25 &amp; 45 DAS (T2), inter cultivation at 25 DAS + 1 hand weeding at 45 DAS (T1) and two mechanical (cycle weeder) at 20 &amp; 40 DAS (T8).</w:t>
      </w:r>
      <w:commentRangeEnd w:id="13"/>
      <w:r w:rsidR="00843051">
        <w:rPr>
          <w:rStyle w:val="CommentReference"/>
          <w:rFonts w:ascii="Times New Roman" w:hAnsi="Times New Roman"/>
          <w:lang w:val="nb-NO" w:eastAsia="nb-NO"/>
        </w:rPr>
        <w:commentReference w:id="13"/>
      </w:r>
    </w:p>
    <w:p w:rsidR="007B325F" w:rsidRDefault="007B325F" w:rsidP="007B325F">
      <w:pPr>
        <w:pStyle w:val="AcknHead"/>
        <w:spacing w:after="0"/>
        <w:jc w:val="both"/>
        <w:rPr>
          <w:rFonts w:ascii="Arial" w:hAnsi="Arial" w:cs="Arial"/>
        </w:rPr>
      </w:pPr>
    </w:p>
    <w:p w:rsidR="002B685A" w:rsidRDefault="002B685A"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8B459E" w:rsidRPr="002C57D2" w:rsidRDefault="008B459E" w:rsidP="00441B6F">
      <w:pPr>
        <w:pStyle w:val="Body"/>
        <w:spacing w:after="0"/>
        <w:rPr>
          <w:rFonts w:ascii="Arial" w:hAnsi="Arial" w:cs="Arial"/>
        </w:rPr>
      </w:pPr>
    </w:p>
    <w:p w:rsidR="00434AA3" w:rsidRPr="00434AA3" w:rsidRDefault="00434AA3" w:rsidP="00A641F9">
      <w:pPr>
        <w:pStyle w:val="Body"/>
        <w:rPr>
          <w:rFonts w:ascii="Arial" w:hAnsi="Arial" w:cs="Arial"/>
        </w:rPr>
      </w:pPr>
      <w:r w:rsidRPr="00434AA3">
        <w:rPr>
          <w:rFonts w:ascii="Arial" w:hAnsi="Arial" w:cs="Arial"/>
        </w:rPr>
        <w:t>Kundu, R., Bera, P.S., &amp;Brahmachari, K. (2009). Effect of different weed management practices in summer mungbean [Vigna radiate L.] under new alluvial zone of West Bengal. Journal of Crop and Weed, 5: 117-121.</w:t>
      </w:r>
    </w:p>
    <w:p w:rsidR="00434AA3" w:rsidRPr="00434AA3" w:rsidRDefault="00434AA3" w:rsidP="00A641F9">
      <w:pPr>
        <w:pStyle w:val="Body"/>
        <w:rPr>
          <w:rFonts w:ascii="Arial" w:hAnsi="Arial" w:cs="Arial"/>
        </w:rPr>
      </w:pPr>
      <w:r w:rsidRPr="00434AA3">
        <w:rPr>
          <w:rFonts w:ascii="Arial" w:hAnsi="Arial" w:cs="Arial"/>
        </w:rPr>
        <w:t>Anonymous. (2024) Pulses revolution from food to nutritional security, Crops Division,  Government of India, Ministry of Agriculture and Farmers Welfare Department of  Agriculture, Cooperation and Farmers Welfare, Krishi Bhavan. New Delhi., 131 p.</w:t>
      </w:r>
    </w:p>
    <w:p w:rsidR="00434AA3" w:rsidRPr="00434AA3" w:rsidRDefault="00434AA3" w:rsidP="00A641F9">
      <w:pPr>
        <w:pStyle w:val="Body"/>
        <w:rPr>
          <w:rFonts w:ascii="Arial" w:hAnsi="Arial" w:cs="Arial"/>
        </w:rPr>
      </w:pPr>
      <w:r w:rsidRPr="00434AA3">
        <w:rPr>
          <w:rFonts w:ascii="Arial" w:hAnsi="Arial" w:cs="Arial"/>
        </w:rPr>
        <w:t>Balyan, J.K., Choudhary, R.S., Kumpawat, B.S., &amp;Rhosan, C. (2016). Weed management in blackgram under rainfed conditions. Indian Journal of Weed Science, 48: 173–177.</w:t>
      </w:r>
    </w:p>
    <w:p w:rsidR="00434AA3" w:rsidRPr="00434AA3" w:rsidRDefault="00434AA3" w:rsidP="00A641F9">
      <w:pPr>
        <w:pStyle w:val="Body"/>
        <w:rPr>
          <w:rFonts w:ascii="Arial" w:hAnsi="Arial" w:cs="Arial"/>
        </w:rPr>
      </w:pPr>
      <w:r w:rsidRPr="00434AA3">
        <w:rPr>
          <w:rFonts w:ascii="Arial" w:hAnsi="Arial" w:cs="Arial"/>
        </w:rPr>
        <w:t>Malliswari, T., Reddy, M. P., Sagar, K. G., &amp; Chandrika, V. (2008). Effect of irrigation and weed management practices on weed control and yield of black gram. Indian Journal of Weed Science, 40(1&amp;2): 85-86.</w:t>
      </w:r>
    </w:p>
    <w:p w:rsidR="00434AA3" w:rsidRPr="00434AA3" w:rsidRDefault="00434AA3" w:rsidP="00A641F9">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rsidR="00434AA3" w:rsidRPr="00434AA3" w:rsidRDefault="00434AA3" w:rsidP="00A641F9">
      <w:pPr>
        <w:pStyle w:val="Body"/>
        <w:rPr>
          <w:rFonts w:ascii="Arial" w:hAnsi="Arial" w:cs="Arial"/>
        </w:rPr>
      </w:pPr>
      <w:r w:rsidRPr="00434AA3">
        <w:rPr>
          <w:rFonts w:ascii="Arial" w:hAnsi="Arial" w:cs="Arial"/>
        </w:rPr>
        <w:t>Kumar, N., Hazra, K. K., Nath, C. P., Praharaj, C.S., &amp; Singh, U. (2018). Grain Legumes for resource conservation and agricultural sustainability in South Asia. Springer.</w:t>
      </w:r>
    </w:p>
    <w:p w:rsidR="00434AA3" w:rsidRPr="00434AA3" w:rsidRDefault="00434AA3" w:rsidP="00A641F9">
      <w:pPr>
        <w:pStyle w:val="Body"/>
        <w:rPr>
          <w:rFonts w:ascii="Arial" w:hAnsi="Arial" w:cs="Arial"/>
        </w:rPr>
      </w:pPr>
      <w:r w:rsidRPr="00434AA3">
        <w:rPr>
          <w:rFonts w:ascii="Arial" w:hAnsi="Arial" w:cs="Arial"/>
        </w:rPr>
        <w:t>Ramamoorthy, K.,  Lourdura,  A. C.,  Thiyagarajan,  T. M.,  Prem  Sekhar, Mand, Steware,  B. A. (2004). Weeds and weed control in dryland agriculture a review. Agriculture Review, 25:  79-99.</w:t>
      </w:r>
    </w:p>
    <w:p w:rsidR="00434AA3" w:rsidRPr="00434AA3" w:rsidRDefault="00434AA3" w:rsidP="00A641F9">
      <w:pPr>
        <w:pStyle w:val="Body"/>
        <w:rPr>
          <w:rFonts w:ascii="Arial" w:hAnsi="Arial" w:cs="Arial"/>
        </w:rPr>
      </w:pPr>
      <w:r w:rsidRPr="00434AA3">
        <w:rPr>
          <w:rFonts w:ascii="Arial" w:hAnsi="Arial" w:cs="Arial"/>
        </w:rPr>
        <w:t>Asaduzzaman, M., Sultana, S., Roy, T.S., &amp;Masu, M. (2010). Weeding and plant spacing effects on the growth and yield of black gram. Bangaldesh Research Publications Journal, 3: 62-68.</w:t>
      </w:r>
    </w:p>
    <w:p w:rsidR="00434AA3" w:rsidRPr="00434AA3" w:rsidRDefault="00434AA3" w:rsidP="00A641F9">
      <w:pPr>
        <w:pStyle w:val="Body"/>
        <w:rPr>
          <w:rFonts w:ascii="Arial" w:hAnsi="Arial" w:cs="Arial"/>
        </w:rPr>
      </w:pPr>
      <w:r w:rsidRPr="00434AA3">
        <w:rPr>
          <w:rFonts w:ascii="Arial" w:hAnsi="Arial" w:cs="Arial"/>
        </w:rPr>
        <w:t>Javaid, A., Shafique, S., &amp; Bajwa R. (2006). Effect of aqueous extracts of allelopathic crops on germination and growth of Parthenium hysterophorus L. South African Journal of Botony, 72: 609-912.</w:t>
      </w:r>
    </w:p>
    <w:p w:rsidR="00434AA3" w:rsidRPr="00434AA3" w:rsidRDefault="00434AA3" w:rsidP="00A641F9">
      <w:pPr>
        <w:pStyle w:val="Body"/>
        <w:rPr>
          <w:rFonts w:ascii="Arial" w:hAnsi="Arial" w:cs="Arial"/>
        </w:rPr>
      </w:pPr>
      <w:r w:rsidRPr="00434AA3">
        <w:rPr>
          <w:rFonts w:ascii="Arial" w:hAnsi="Arial" w:cs="Arial"/>
        </w:rPr>
        <w:t>Madhukumar, V., Murthy, K. N., Sanjay, M. T., Prasanth, R., &amp; Sunil, C. M. (2013). Economics and crop weed competition for nutrients in aerobic rice (Oryza sativa L.) as influenced by weed control practices. Plant Archives, 13(2): 731-734.</w:t>
      </w:r>
    </w:p>
    <w:p w:rsidR="00434AA3" w:rsidRPr="00434AA3" w:rsidRDefault="00434AA3" w:rsidP="00A641F9">
      <w:pPr>
        <w:pStyle w:val="Body"/>
        <w:rPr>
          <w:rFonts w:ascii="Arial" w:hAnsi="Arial" w:cs="Arial"/>
        </w:rPr>
      </w:pPr>
      <w:r w:rsidRPr="00434AA3">
        <w:rPr>
          <w:rFonts w:ascii="Arial" w:hAnsi="Arial" w:cs="Arial"/>
        </w:rPr>
        <w:t>Ramanamurthy, K. V., &amp; Reddy, D. S. (2013). Effect of irrigation and weed management practices on nutrient uptake and economics of production of aerobic rice. Journal of Agriculture and Veterinary Sciences, 1: 15-21.</w:t>
      </w:r>
    </w:p>
    <w:p w:rsidR="00434AA3" w:rsidRPr="00434AA3" w:rsidRDefault="00434AA3" w:rsidP="00A641F9">
      <w:pPr>
        <w:pStyle w:val="Body"/>
        <w:rPr>
          <w:rFonts w:ascii="Arial" w:hAnsi="Arial" w:cs="Arial"/>
        </w:rPr>
      </w:pPr>
      <w:r w:rsidRPr="00434AA3">
        <w:rPr>
          <w:rFonts w:ascii="Arial" w:hAnsi="Arial" w:cs="Arial"/>
        </w:rPr>
        <w:lastRenderedPageBreak/>
        <w:t>Gaganpreet, K., Brar, H. S., &amp;Guriqbal, Singh. (2010). Effect of weed management on weeds, nutrient uptake, nodulation, growth and yield of summer mungbean (Vigna radiate). Indian Journal of Weed Science, 42(1&amp;2): 114-119.</w:t>
      </w:r>
    </w:p>
    <w:p w:rsidR="00434AA3" w:rsidRPr="00434AA3" w:rsidRDefault="00434AA3" w:rsidP="00A641F9">
      <w:pPr>
        <w:pStyle w:val="Body"/>
        <w:rPr>
          <w:rFonts w:ascii="Arial" w:hAnsi="Arial" w:cs="Arial"/>
        </w:rPr>
      </w:pPr>
      <w:r w:rsidRPr="00434AA3">
        <w:rPr>
          <w:rFonts w:ascii="Arial" w:hAnsi="Arial" w:cs="Arial"/>
        </w:rPr>
        <w:t>Geetha, L. (2002). Studies on crop weed interference with dominant weed flora in upland rice. M. Sc. (Agri.) thesis, University of Agricultural Sciences, Dharwad.</w:t>
      </w:r>
    </w:p>
    <w:p w:rsidR="00434AA3" w:rsidRPr="00434AA3" w:rsidRDefault="00434AA3" w:rsidP="00A641F9">
      <w:pPr>
        <w:pStyle w:val="Body"/>
        <w:rPr>
          <w:rFonts w:ascii="Arial" w:hAnsi="Arial" w:cs="Arial"/>
        </w:rPr>
      </w:pPr>
      <w:r w:rsidRPr="00434AA3">
        <w:rPr>
          <w:rFonts w:ascii="Arial" w:hAnsi="Arial" w:cs="Arial"/>
        </w:rPr>
        <w:t>Thimmegowda, P. (2006). Chemical weed control in aerobic rice.  M.Sc. (Agri.) Thesis, University of Agricultural Sciences, Bangalore.</w:t>
      </w:r>
    </w:p>
    <w:p w:rsidR="00434AA3" w:rsidRPr="00434AA3" w:rsidRDefault="00434AA3" w:rsidP="00A641F9">
      <w:pPr>
        <w:pStyle w:val="Body"/>
        <w:rPr>
          <w:rFonts w:ascii="Arial" w:hAnsi="Arial" w:cs="Arial"/>
        </w:rPr>
      </w:pPr>
      <w:r w:rsidRPr="00434AA3">
        <w:rPr>
          <w:rFonts w:ascii="Arial" w:hAnsi="Arial" w:cs="Arial"/>
        </w:rPr>
        <w:t>Sudhalakshmi, C., Velu, V., &amp; Thiyagarajan, T. M. (2005). Weed management options on the dynamics of nitrogen fractions in the rhizosphere soil of rice hybrids. Madras Agricultural Journal, 92(7&amp;9): 444-448.</w:t>
      </w:r>
    </w:p>
    <w:p w:rsidR="00284C4C" w:rsidRDefault="00434AA3" w:rsidP="00A641F9">
      <w:pPr>
        <w:pStyle w:val="Body"/>
        <w:spacing w:after="0"/>
      </w:pPr>
      <w:r w:rsidRPr="00434AA3">
        <w:rPr>
          <w:rFonts w:ascii="Arial" w:hAnsi="Arial" w:cs="Arial"/>
        </w:rPr>
        <w:t>Nazma, Mansoori, Nisha, Bhadauria, &amp; Rajput, R. L. (2015). Effect of weed control practices on weeds and yield of black gram (Vigna mungo). Legume Research, 38(6): 855-857.</w:t>
      </w:r>
    </w:p>
    <w:sectPr w:rsidR="00284C4C" w:rsidSect="00BB4604">
      <w:type w:val="continuous"/>
      <w:pgSz w:w="12240" w:h="15840"/>
      <w:pgMar w:top="1440" w:right="2019" w:bottom="2019" w:left="2019"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6-02-25T22:20:00Z" w:initials="A">
    <w:p w:rsidR="001A6B8E" w:rsidRDefault="001A6B8E">
      <w:pPr>
        <w:pStyle w:val="CommentText"/>
      </w:pPr>
      <w:r>
        <w:rPr>
          <w:rStyle w:val="CommentReference"/>
        </w:rPr>
        <w:annotationRef/>
      </w:r>
      <w:r>
        <w:t>add treatments number and replications</w:t>
      </w:r>
    </w:p>
  </w:comment>
  <w:comment w:id="1" w:author="Admin" w:date="2026-02-25T22:22:00Z" w:initials="A">
    <w:p w:rsidR="001A6B8E" w:rsidRDefault="001A6B8E">
      <w:pPr>
        <w:pStyle w:val="CommentText"/>
      </w:pPr>
      <w:r>
        <w:rPr>
          <w:rStyle w:val="CommentReference"/>
        </w:rPr>
        <w:annotationRef/>
      </w:r>
      <w:r>
        <w:t>Conclude the research with recommendation</w:t>
      </w:r>
    </w:p>
  </w:comment>
  <w:comment w:id="2" w:author="Admin" w:date="2026-02-25T22:39:00Z" w:initials="A">
    <w:p w:rsidR="00D73A9B" w:rsidRDefault="00D73A9B">
      <w:pPr>
        <w:pStyle w:val="CommentText"/>
      </w:pPr>
      <w:r>
        <w:rPr>
          <w:rStyle w:val="CommentReference"/>
        </w:rPr>
        <w:annotationRef/>
      </w:r>
      <w:r>
        <w:t>do not repeat the matter</w:t>
      </w:r>
    </w:p>
  </w:comment>
  <w:comment w:id="3" w:author="Admin" w:date="2026-02-25T22:39:00Z" w:initials="A">
    <w:p w:rsidR="00D73A9B" w:rsidRDefault="00D73A9B">
      <w:pPr>
        <w:pStyle w:val="CommentText"/>
      </w:pPr>
      <w:r>
        <w:rPr>
          <w:rStyle w:val="CommentReference"/>
        </w:rPr>
        <w:annotationRef/>
      </w:r>
      <w:r>
        <w:t>italic</w:t>
      </w:r>
    </w:p>
  </w:comment>
  <w:comment w:id="4" w:author="Admin" w:date="2026-02-25T22:39:00Z" w:initials="A">
    <w:p w:rsidR="00D73A9B" w:rsidRDefault="00D73A9B">
      <w:pPr>
        <w:pStyle w:val="CommentText"/>
      </w:pPr>
      <w:r>
        <w:rPr>
          <w:rStyle w:val="CommentReference"/>
        </w:rPr>
        <w:annotationRef/>
      </w:r>
      <w:r>
        <w:t>give months in brachet</w:t>
      </w:r>
    </w:p>
  </w:comment>
  <w:comment w:id="5" w:author="Admin" w:date="2026-02-25T22:40:00Z" w:initials="A">
    <w:p w:rsidR="00CD0AC2" w:rsidRDefault="00CD0AC2">
      <w:pPr>
        <w:pStyle w:val="CommentText"/>
      </w:pPr>
      <w:r>
        <w:rPr>
          <w:rStyle w:val="CommentReference"/>
        </w:rPr>
        <w:annotationRef/>
      </w:r>
      <w:r>
        <w:t>give two decimals</w:t>
      </w:r>
    </w:p>
  </w:comment>
  <w:comment w:id="6" w:author="Admin" w:date="2026-02-25T22:41:00Z" w:initials="A">
    <w:p w:rsidR="00CD0AC2" w:rsidRDefault="00CD0AC2">
      <w:pPr>
        <w:pStyle w:val="CommentText"/>
      </w:pPr>
      <w:r>
        <w:rPr>
          <w:rStyle w:val="CommentReference"/>
        </w:rPr>
        <w:annotationRef/>
      </w:r>
      <w:r>
        <w:t>?</w:t>
      </w:r>
    </w:p>
  </w:comment>
  <w:comment w:id="7" w:author="Admin" w:date="2026-02-25T22:45:00Z" w:initials="A">
    <w:p w:rsidR="00CD0AC2" w:rsidRDefault="00CD0AC2">
      <w:pPr>
        <w:pStyle w:val="CommentText"/>
      </w:pPr>
      <w:r>
        <w:rPr>
          <w:rStyle w:val="CommentReference"/>
        </w:rPr>
        <w:annotationRef/>
      </w:r>
      <w:r>
        <w:t xml:space="preserve">is this the part of research, no where in results it is seen. kindly check </w:t>
      </w:r>
    </w:p>
  </w:comment>
  <w:comment w:id="8" w:author="Admin" w:date="2026-02-25T22:46:00Z" w:initials="A">
    <w:p w:rsidR="00CD0AC2" w:rsidRDefault="00CD0AC2">
      <w:pPr>
        <w:pStyle w:val="CommentText"/>
      </w:pPr>
      <w:r>
        <w:rPr>
          <w:rStyle w:val="CommentReference"/>
        </w:rPr>
        <w:annotationRef/>
      </w:r>
      <w:r>
        <w:t>Add if any software is used for analysis</w:t>
      </w:r>
    </w:p>
  </w:comment>
  <w:comment w:id="9" w:author="Admin" w:date="2026-02-25T23:47:00Z" w:initials="A">
    <w:p w:rsidR="00F566CA" w:rsidRDefault="00F566CA">
      <w:pPr>
        <w:pStyle w:val="CommentText"/>
      </w:pPr>
      <w:r>
        <w:rPr>
          <w:rStyle w:val="CommentReference"/>
        </w:rPr>
        <w:annotationRef/>
      </w:r>
      <w:r>
        <w:t>add density results as given in table 1</w:t>
      </w:r>
    </w:p>
  </w:comment>
  <w:comment w:id="11" w:author="Admin" w:date="2026-02-25T23:44:00Z" w:initials="A">
    <w:p w:rsidR="00843051" w:rsidRDefault="00843051">
      <w:pPr>
        <w:pStyle w:val="CommentText"/>
      </w:pPr>
      <w:r>
        <w:rPr>
          <w:rStyle w:val="CommentReference"/>
        </w:rPr>
        <w:annotationRef/>
      </w:r>
      <w:r>
        <w:t>Weed density results were not mentioned in text</w:t>
      </w:r>
    </w:p>
  </w:comment>
  <w:comment w:id="12" w:author="Admin" w:date="2026-02-25T23:44:00Z" w:initials="A">
    <w:p w:rsidR="00843051" w:rsidRDefault="00843051">
      <w:pPr>
        <w:pStyle w:val="CommentText"/>
      </w:pPr>
      <w:r>
        <w:rPr>
          <w:rStyle w:val="CommentReference"/>
        </w:rPr>
        <w:annotationRef/>
      </w:r>
      <w:r>
        <w:t>add results and discussion of this table</w:t>
      </w:r>
    </w:p>
  </w:comment>
  <w:comment w:id="13" w:author="Admin" w:date="2026-02-25T23:45:00Z" w:initials="A">
    <w:p w:rsidR="00843051" w:rsidRDefault="00843051">
      <w:pPr>
        <w:pStyle w:val="CommentText"/>
      </w:pPr>
      <w:r>
        <w:rPr>
          <w:rStyle w:val="CommentReference"/>
        </w:rPr>
        <w:annotationRef/>
      </w:r>
      <w:r>
        <w:t>expand  the conclusion at leat 100-150 words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689" w:rsidRDefault="000A4689" w:rsidP="00C37E61">
      <w:r>
        <w:separator/>
      </w:r>
    </w:p>
  </w:endnote>
  <w:endnote w:type="continuationSeparator" w:id="1">
    <w:p w:rsidR="000A4689" w:rsidRDefault="000A468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8E" w:rsidRDefault="001A6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8E" w:rsidRDefault="001A6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8E" w:rsidRDefault="001A6B8E">
    <w:pPr>
      <w:pStyle w:val="Footer"/>
      <w:rPr>
        <w:rFonts w:ascii="Arial" w:hAnsi="Arial" w:cs="Arial"/>
        <w:sz w:val="16"/>
      </w:rPr>
    </w:pPr>
  </w:p>
  <w:p w:rsidR="001A6B8E" w:rsidRDefault="001A6B8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1A6B8E" w:rsidRDefault="001A6B8E">
    <w:pPr>
      <w:pStyle w:val="Footer"/>
      <w:rPr>
        <w:rFonts w:ascii="Arial" w:hAnsi="Arial" w:cs="Arial"/>
        <w:sz w:val="16"/>
      </w:rPr>
    </w:pPr>
  </w:p>
  <w:p w:rsidR="001A6B8E" w:rsidRPr="009E048A" w:rsidRDefault="001A6B8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689" w:rsidRDefault="000A4689" w:rsidP="00C37E61">
      <w:r>
        <w:separator/>
      </w:r>
    </w:p>
  </w:footnote>
  <w:footnote w:type="continuationSeparator" w:id="1">
    <w:p w:rsidR="000A4689" w:rsidRDefault="000A468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8E" w:rsidRDefault="001A6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8E" w:rsidRDefault="001A6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8E" w:rsidRPr="00296529" w:rsidRDefault="001A6B8E" w:rsidP="00296529">
    <w:pPr>
      <w:ind w:left="2160"/>
      <w:jc w:val="center"/>
      <w:rPr>
        <w:rFonts w:ascii="Times New Roman" w:eastAsia="Calibri" w:hAnsi="Times New Roman"/>
        <w:i/>
        <w:sz w:val="18"/>
        <w:szCs w:val="22"/>
      </w:rPr>
    </w:pPr>
    <w:r w:rsidRPr="008E28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A6B8E" w:rsidRPr="00296529" w:rsidRDefault="001A6B8E" w:rsidP="00296529">
    <w:pPr>
      <w:ind w:left="4320"/>
      <w:rPr>
        <w:rFonts w:ascii="Times New Roman" w:eastAsia="Calibri" w:hAnsi="Times New Roman"/>
        <w:i/>
        <w:sz w:val="18"/>
        <w:szCs w:val="22"/>
      </w:rPr>
    </w:pPr>
    <w:r>
      <w:rPr>
        <w:rFonts w:ascii="Times New Roman" w:eastAsia="Calibri" w:hAnsi="Times New Roman"/>
        <w:i/>
        <w:sz w:val="18"/>
        <w:szCs w:val="22"/>
      </w:rPr>
      <w:t>.</w:t>
    </w:r>
  </w:p>
  <w:p w:rsidR="001A6B8E" w:rsidRPr="00296529" w:rsidRDefault="001A6B8E" w:rsidP="00296529">
    <w:pPr>
      <w:jc w:val="center"/>
      <w:rPr>
        <w:rFonts w:ascii="Times New Roman" w:eastAsia="Calibri" w:hAnsi="Times New Roman"/>
        <w:i/>
        <w:sz w:val="18"/>
        <w:szCs w:val="22"/>
      </w:rPr>
    </w:pPr>
    <w:r>
      <w:rPr>
        <w:rFonts w:ascii="Times New Roman" w:eastAsia="Calibri" w:hAnsi="Times New Roman"/>
        <w:i/>
        <w:sz w:val="18"/>
        <w:szCs w:val="22"/>
      </w:rPr>
      <w:t>.</w:t>
    </w:r>
  </w:p>
  <w:p w:rsidR="001A6B8E" w:rsidRPr="00296529" w:rsidRDefault="001A6B8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1A6B8E" w:rsidRDefault="001A6B8E" w:rsidP="00296529">
    <w:pPr>
      <w:jc w:val="center"/>
      <w:rPr>
        <w:rFonts w:ascii="Times New Roman" w:eastAsia="Calibri" w:hAnsi="Times New Roman"/>
        <w:i/>
        <w:sz w:val="18"/>
        <w:szCs w:val="22"/>
      </w:rPr>
    </w:pPr>
  </w:p>
  <w:p w:rsidR="001A6B8E" w:rsidRDefault="001A6B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A6B8E" w:rsidRDefault="001A6B8E">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1C5477"/>
    <w:multiLevelType w:val="hybridMultilevel"/>
    <w:tmpl w:val="5872A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6E8C"/>
    <w:rsid w:val="00030174"/>
    <w:rsid w:val="0004579C"/>
    <w:rsid w:val="000A468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B8E"/>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3C"/>
    <w:rsid w:val="002B27FB"/>
    <w:rsid w:val="002B685A"/>
    <w:rsid w:val="002C57D2"/>
    <w:rsid w:val="002E0D56"/>
    <w:rsid w:val="00315186"/>
    <w:rsid w:val="0033343E"/>
    <w:rsid w:val="003512C2"/>
    <w:rsid w:val="0036002D"/>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325F"/>
    <w:rsid w:val="007D2288"/>
    <w:rsid w:val="007D43B1"/>
    <w:rsid w:val="007E088F"/>
    <w:rsid w:val="007F7B32"/>
    <w:rsid w:val="00804BC2"/>
    <w:rsid w:val="0081431A"/>
    <w:rsid w:val="0083216F"/>
    <w:rsid w:val="00833E41"/>
    <w:rsid w:val="00843051"/>
    <w:rsid w:val="00860000"/>
    <w:rsid w:val="00863BD3"/>
    <w:rsid w:val="008641ED"/>
    <w:rsid w:val="00866D66"/>
    <w:rsid w:val="008671C6"/>
    <w:rsid w:val="00875803"/>
    <w:rsid w:val="008B459E"/>
    <w:rsid w:val="008E13AE"/>
    <w:rsid w:val="008E1506"/>
    <w:rsid w:val="008E28BC"/>
    <w:rsid w:val="008E710C"/>
    <w:rsid w:val="008F69D6"/>
    <w:rsid w:val="00902823"/>
    <w:rsid w:val="00915CA6"/>
    <w:rsid w:val="00927834"/>
    <w:rsid w:val="009500A6"/>
    <w:rsid w:val="00957C18"/>
    <w:rsid w:val="009659BA"/>
    <w:rsid w:val="0098122A"/>
    <w:rsid w:val="00983040"/>
    <w:rsid w:val="009B3FB9"/>
    <w:rsid w:val="009C2465"/>
    <w:rsid w:val="009D35A0"/>
    <w:rsid w:val="009D7EB7"/>
    <w:rsid w:val="009E048A"/>
    <w:rsid w:val="009E08E9"/>
    <w:rsid w:val="009E3DB9"/>
    <w:rsid w:val="009E6E35"/>
    <w:rsid w:val="009F0EDA"/>
    <w:rsid w:val="00A03B96"/>
    <w:rsid w:val="00A05B19"/>
    <w:rsid w:val="00A1134E"/>
    <w:rsid w:val="00A16A66"/>
    <w:rsid w:val="00A24E7E"/>
    <w:rsid w:val="00A258C3"/>
    <w:rsid w:val="00A347C0"/>
    <w:rsid w:val="00A51431"/>
    <w:rsid w:val="00A539AD"/>
    <w:rsid w:val="00A641F9"/>
    <w:rsid w:val="00A94063"/>
    <w:rsid w:val="00AA6219"/>
    <w:rsid w:val="00AA74E0"/>
    <w:rsid w:val="00AB703F"/>
    <w:rsid w:val="00AC6BB8"/>
    <w:rsid w:val="00AE008F"/>
    <w:rsid w:val="00B01FCD"/>
    <w:rsid w:val="00B1776C"/>
    <w:rsid w:val="00B353C9"/>
    <w:rsid w:val="00B51941"/>
    <w:rsid w:val="00B52583"/>
    <w:rsid w:val="00B52896"/>
    <w:rsid w:val="00B95236"/>
    <w:rsid w:val="00B96BD9"/>
    <w:rsid w:val="00BA1B01"/>
    <w:rsid w:val="00BA2641"/>
    <w:rsid w:val="00BB37AA"/>
    <w:rsid w:val="00BB4604"/>
    <w:rsid w:val="00BC53A0"/>
    <w:rsid w:val="00BE62AD"/>
    <w:rsid w:val="00BF121F"/>
    <w:rsid w:val="00BF1F80"/>
    <w:rsid w:val="00C166EF"/>
    <w:rsid w:val="00C17EB0"/>
    <w:rsid w:val="00C27F5F"/>
    <w:rsid w:val="00C30A0F"/>
    <w:rsid w:val="00C37E61"/>
    <w:rsid w:val="00C57AE5"/>
    <w:rsid w:val="00C70F1B"/>
    <w:rsid w:val="00C71A47"/>
    <w:rsid w:val="00C739F5"/>
    <w:rsid w:val="00C7464C"/>
    <w:rsid w:val="00C83DE2"/>
    <w:rsid w:val="00C85588"/>
    <w:rsid w:val="00CD0AC2"/>
    <w:rsid w:val="00CD6755"/>
    <w:rsid w:val="00CD6856"/>
    <w:rsid w:val="00CE0089"/>
    <w:rsid w:val="00CE793C"/>
    <w:rsid w:val="00CF193C"/>
    <w:rsid w:val="00D173F1"/>
    <w:rsid w:val="00D73A9B"/>
    <w:rsid w:val="00D74CB0"/>
    <w:rsid w:val="00D8295D"/>
    <w:rsid w:val="00D8384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71A"/>
    <w:rsid w:val="00EF581D"/>
    <w:rsid w:val="00EF7FD8"/>
    <w:rsid w:val="00F06F59"/>
    <w:rsid w:val="00F17988"/>
    <w:rsid w:val="00F469F0"/>
    <w:rsid w:val="00F53273"/>
    <w:rsid w:val="00F566CA"/>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customStyle="1" w:styleId="UnresolvedMention">
    <w:name w:val="Unresolved Mention"/>
    <w:basedOn w:val="DefaultParagraphFont"/>
    <w:uiPriority w:val="99"/>
    <w:semiHidden/>
    <w:unhideWhenUsed/>
    <w:rsid w:val="00B353C9"/>
    <w:rPr>
      <w:color w:val="605E5C"/>
      <w:shd w:val="clear" w:color="auto" w:fill="E1DFDD"/>
    </w:rPr>
  </w:style>
  <w:style w:type="paragraph" w:styleId="CommentSubject">
    <w:name w:val="annotation subject"/>
    <w:basedOn w:val="CommentText"/>
    <w:next w:val="CommentText"/>
    <w:link w:val="CommentSubjectChar"/>
    <w:semiHidden/>
    <w:unhideWhenUsed/>
    <w:rsid w:val="001A6B8E"/>
    <w:rPr>
      <w:rFonts w:ascii="Helvetica" w:hAnsi="Helvetica"/>
      <w:b/>
      <w:bCs/>
      <w:lang w:val="en-US" w:eastAsia="en-US"/>
    </w:rPr>
  </w:style>
  <w:style w:type="character" w:customStyle="1" w:styleId="CommentSubjectChar">
    <w:name w:val="Comment Subject Char"/>
    <w:basedOn w:val="CommentTextChar"/>
    <w:link w:val="CommentSubject"/>
    <w:semiHidden/>
    <w:rsid w:val="001A6B8E"/>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205A-9FAE-44A7-A60E-B9D418B5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13</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15</cp:revision>
  <cp:lastPrinted>1999-07-06T11:00:00Z</cp:lastPrinted>
  <dcterms:created xsi:type="dcterms:W3CDTF">2026-02-25T03:57:00Z</dcterms:created>
  <dcterms:modified xsi:type="dcterms:W3CDTF">2026-02-25T18:19:00Z</dcterms:modified>
</cp:coreProperties>
</file>