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E900" w14:textId="77777777" w:rsidR="007A5039" w:rsidRDefault="00A56C92">
      <w:pPr>
        <w:jc w:val="both"/>
        <w:rPr>
          <w:rFonts w:ascii="Times New Roman" w:hAnsi="Times New Roman" w:cs="Times New Roman"/>
          <w:b/>
          <w:bCs/>
        </w:rPr>
      </w:pPr>
      <w:r>
        <w:rPr>
          <w:rFonts w:ascii="Times New Roman" w:hAnsi="Times New Roman" w:cs="Times New Roman"/>
          <w:b/>
          <w:bCs/>
        </w:rPr>
        <w:t xml:space="preserve">QUALITY EVALUATION OF FORTIFIED OATMEAL COOKIES WITH BANANA PULP AND HONEY </w:t>
      </w:r>
    </w:p>
    <w:p w14:paraId="3E48E5FB" w14:textId="77777777" w:rsidR="00DA438C" w:rsidRDefault="00DA438C">
      <w:pPr>
        <w:jc w:val="both"/>
        <w:rPr>
          <w:rFonts w:ascii="Times New Roman" w:hAnsi="Times New Roman" w:cs="Times New Roman"/>
          <w:b/>
        </w:rPr>
      </w:pPr>
    </w:p>
    <w:p w14:paraId="0F649E90" w14:textId="1C1A76B6" w:rsidR="007628E0" w:rsidRDefault="00A56C92">
      <w:pPr>
        <w:jc w:val="both"/>
        <w:rPr>
          <w:rFonts w:ascii="Times New Roman" w:hAnsi="Times New Roman" w:cs="Times New Roman"/>
          <w:b/>
        </w:rPr>
      </w:pPr>
      <w:r>
        <w:rPr>
          <w:rFonts w:ascii="Times New Roman" w:hAnsi="Times New Roman" w:cs="Times New Roman"/>
          <w:b/>
        </w:rPr>
        <w:t>ABSTRACT</w:t>
      </w:r>
    </w:p>
    <w:p w14:paraId="2223A9AB" w14:textId="77777777" w:rsidR="007628E0" w:rsidRDefault="00A56C92">
      <w:pPr>
        <w:jc w:val="both"/>
        <w:rPr>
          <w:rFonts w:ascii="Times New Roman" w:hAnsi="Times New Roman" w:cs="Times New Roman"/>
          <w:sz w:val="20"/>
          <w:szCs w:val="20"/>
        </w:rPr>
      </w:pPr>
      <w:r>
        <w:rPr>
          <w:rFonts w:ascii="Times New Roman" w:hAnsi="Times New Roman" w:cs="Times New Roman"/>
          <w:sz w:val="20"/>
          <w:szCs w:val="20"/>
        </w:rPr>
        <w:t>This study evaluated the quality of oatmeal cookies fortified with banana pulp and honey</w:t>
      </w:r>
      <w:commentRangeStart w:id="0"/>
      <w:r>
        <w:rPr>
          <w:rFonts w:ascii="Times New Roman" w:hAnsi="Times New Roman" w:cs="Times New Roman"/>
          <w:sz w:val="20"/>
          <w:szCs w:val="20"/>
        </w:rPr>
        <w:t xml:space="preserve">. </w:t>
      </w:r>
      <w:commentRangeEnd w:id="0"/>
      <w:r w:rsidR="00FC6505">
        <w:rPr>
          <w:rStyle w:val="CommentReference"/>
        </w:rPr>
        <w:commentReference w:id="0"/>
      </w:r>
      <w:r>
        <w:rPr>
          <w:rFonts w:ascii="Times New Roman" w:hAnsi="Times New Roman" w:cs="Times New Roman"/>
          <w:sz w:val="20"/>
          <w:szCs w:val="20"/>
        </w:rPr>
        <w:t>The proximate composition, physical properties, mineral composition and sensory properties were determined using standard analytical methods. The proximate composition revealed that moisture, fat and crude protein values decreased significantly (p&lt;0.05) from samples A to E. Moisture content decreased from 9.18 to 7.18%, fat decreased from 3.26 to 2.45% while crude protein decreased from 19.47 to 17.44%. However, ash, crude fibre and carbohydrate increased from 0.26 to 1.18%; 5.54 to 6.72 % and 62.30 to 65.0% respectively. Results of physical properties of oatmeal cookies showed that cookies diameter ranged from 5.25 to 5.48cm, thickness ranged from 0.48 to 0.53cm, spread ratio ranged from 10.17 to 11.50 and weight increased non significantly (p&gt;0.05) from 9.33 to 11.30g. Results of mineral composition revealed that all the minerals evaluated  (calcium, iron, potassium and sodium) increased progressively from sample A to E with sample E having the highest values of 3.87mg/100g for calcium, 310mg/100g for potassium and 113.6mg/100g for sodium, while iron peaked in sample D (0.480mg/100g). Sensory properties revealed that all the oatmeal cookies samples were generally well accepted with mean scores above 7.5 on a 9-point hedonic scale across all attributes</w:t>
      </w:r>
      <w:commentRangeStart w:id="1"/>
      <w:r>
        <w:rPr>
          <w:rFonts w:ascii="Times New Roman" w:hAnsi="Times New Roman" w:cs="Times New Roman"/>
          <w:sz w:val="20"/>
          <w:szCs w:val="20"/>
        </w:rPr>
        <w:t xml:space="preserve">.   </w:t>
      </w:r>
      <w:commentRangeEnd w:id="1"/>
      <w:r w:rsidR="00662BC1">
        <w:rPr>
          <w:rStyle w:val="CommentReference"/>
        </w:rPr>
        <w:commentReference w:id="1"/>
      </w:r>
    </w:p>
    <w:p w14:paraId="4D30D72B" w14:textId="77777777" w:rsidR="007628E0" w:rsidRDefault="00A56C92">
      <w:pPr>
        <w:jc w:val="both"/>
        <w:rPr>
          <w:rFonts w:ascii="Times New Roman" w:hAnsi="Times New Roman" w:cs="Times New Roman"/>
        </w:rPr>
      </w:pPr>
      <w:r>
        <w:rPr>
          <w:rFonts w:ascii="Times New Roman" w:hAnsi="Times New Roman" w:cs="Times New Roman"/>
          <w:b/>
        </w:rPr>
        <w:t>KEY WORDS:</w:t>
      </w:r>
      <w:r>
        <w:rPr>
          <w:rFonts w:ascii="Times New Roman" w:hAnsi="Times New Roman" w:cs="Times New Roman"/>
        </w:rPr>
        <w:t xml:space="preserve"> Cookies, Oatmeal, Honey, Banana pulp, nutritional composition</w:t>
      </w:r>
    </w:p>
    <w:p w14:paraId="65BB627D" w14:textId="77777777" w:rsidR="007628E0" w:rsidRDefault="00A56C92">
      <w:pPr>
        <w:jc w:val="both"/>
        <w:rPr>
          <w:rFonts w:ascii="Times New Roman" w:hAnsi="Times New Roman" w:cs="Times New Roman"/>
          <w:b/>
        </w:rPr>
      </w:pPr>
      <w:r>
        <w:rPr>
          <w:rFonts w:ascii="Times New Roman" w:hAnsi="Times New Roman" w:cs="Times New Roman"/>
          <w:b/>
        </w:rPr>
        <w:t>1.0 INTRODUCTION</w:t>
      </w:r>
    </w:p>
    <w:p w14:paraId="60BE3564"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global food industry continually evolves to meet changing consumer demands and preferences. One notable area of innovation lies in the creation of baked goods, such as cookies, which have become more than just delightful treats (Birch and </w:t>
      </w:r>
      <w:proofErr w:type="spellStart"/>
      <w:r>
        <w:rPr>
          <w:rFonts w:ascii="Times New Roman" w:hAnsi="Times New Roman" w:cs="Times New Roman"/>
        </w:rPr>
        <w:t>Bonwick</w:t>
      </w:r>
      <w:proofErr w:type="spellEnd"/>
      <w:r>
        <w:rPr>
          <w:rFonts w:ascii="Times New Roman" w:hAnsi="Times New Roman" w:cs="Times New Roman"/>
        </w:rPr>
        <w:t xml:space="preserve">, 2019). Today's consumers seek both indulgence and health benefits from their food choices, prompting researchers and food manufacturers to explore unconventional ingredients to develop innovative products. </w:t>
      </w:r>
    </w:p>
    <w:p w14:paraId="7C13315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Cookies are popular snack items enjoyed by people of all ages. They come in various flavors, shapes, and sizes, offering a delightful culinary experience. Traditional cookie recipes often rely on wheat flour as a primary ingredient (Manley </w:t>
      </w:r>
      <w:r>
        <w:rPr>
          <w:rFonts w:ascii="Times New Roman" w:hAnsi="Times New Roman" w:cs="Times New Roman"/>
          <w:i/>
          <w:iCs/>
        </w:rPr>
        <w:t>et al</w:t>
      </w:r>
      <w:r>
        <w:rPr>
          <w:rFonts w:ascii="Times New Roman" w:hAnsi="Times New Roman" w:cs="Times New Roman"/>
        </w:rPr>
        <w:t xml:space="preserve">., 2015). However, as health awareness grows and dietary restrictions become more prevalent, the limitations of using a single type of flour have become apparent. The incorporation of alternative flours and ingredients offers a solution to address these challenges and presents an opportunity to create cookies that align with modern nutritional goals. The nutritional value and health benefits of cookies can be enhanced by incorporating alternative flours and ingredients into their production (Ostermann-Porcel </w:t>
      </w:r>
      <w:r>
        <w:rPr>
          <w:rFonts w:ascii="Times New Roman" w:hAnsi="Times New Roman" w:cs="Times New Roman"/>
          <w:i/>
          <w:iCs/>
        </w:rPr>
        <w:t>et al</w:t>
      </w:r>
      <w:r>
        <w:rPr>
          <w:rFonts w:ascii="Times New Roman" w:hAnsi="Times New Roman" w:cs="Times New Roman"/>
        </w:rPr>
        <w:t>., 2017).</w:t>
      </w:r>
    </w:p>
    <w:p w14:paraId="0757D12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Composite flours are mixtures of different flours from roots, tubers, grains and legumes, with or without wheat flour. In most parts of the world, baked goods based on wheat flour in particular, are a popular foodstuff (Amadeu </w:t>
      </w:r>
      <w:r>
        <w:rPr>
          <w:rFonts w:ascii="Times New Roman" w:hAnsi="Times New Roman" w:cs="Times New Roman"/>
          <w:i/>
          <w:iCs/>
        </w:rPr>
        <w:t>et al</w:t>
      </w:r>
      <w:r>
        <w:rPr>
          <w:rFonts w:ascii="Times New Roman" w:hAnsi="Times New Roman" w:cs="Times New Roman"/>
        </w:rPr>
        <w:t xml:space="preserve">., 2024). The application of composite flour in various food products would be economically beneficial if the imports of wheat could be reduced or eliminated, and that demand for pastry, cookies and bread products could be met by the use of domestically grown products added to wheat (Jisha </w:t>
      </w:r>
      <w:r>
        <w:rPr>
          <w:rFonts w:ascii="Times New Roman" w:hAnsi="Times New Roman" w:cs="Times New Roman"/>
          <w:i/>
          <w:iCs/>
        </w:rPr>
        <w:t>et al</w:t>
      </w:r>
      <w:r>
        <w:rPr>
          <w:rFonts w:ascii="Times New Roman" w:hAnsi="Times New Roman" w:cs="Times New Roman"/>
        </w:rPr>
        <w:t>., 2018).</w:t>
      </w:r>
    </w:p>
    <w:p w14:paraId="4EFFD88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Oats are a rich source of dietary fiber, specifically, β-glucan. Oatmeal is a tonic for general debility, treats anorexia, is good for convalescence and fatigue, lowers blood cholesterol levels and helps to control hormonal activity. Oatmeal cuts the risk of strokes and heart attacks from blocked </w:t>
      </w:r>
      <w:r>
        <w:rPr>
          <w:rFonts w:ascii="Times New Roman" w:hAnsi="Times New Roman" w:cs="Times New Roman"/>
        </w:rPr>
        <w:lastRenderedPageBreak/>
        <w:t>arteries, stabilizes blood sugar and increases the body’s ability to fight off infectious diseases (</w:t>
      </w:r>
      <w:proofErr w:type="spellStart"/>
      <w:r>
        <w:rPr>
          <w:rFonts w:ascii="Times New Roman" w:hAnsi="Times New Roman" w:cs="Times New Roman"/>
        </w:rPr>
        <w:t>Bornare</w:t>
      </w:r>
      <w:proofErr w:type="spellEnd"/>
      <w:r>
        <w:rPr>
          <w:rFonts w:ascii="Times New Roman" w:hAnsi="Times New Roman" w:cs="Times New Roman"/>
        </w:rPr>
        <w:t xml:space="preserve"> and Khan, 2015).  </w:t>
      </w:r>
    </w:p>
    <w:p w14:paraId="48237E13"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Bananas are edible ripe berries of the herbaceous flowering plants in the genus Musa. Musa belongs to a genus containing 50 of tropical monocot (pseudo) plants, significant for food, primarily for their delicious fruits, beverages (wine and beer), fiber for industry and as ornamental plants. Bananas are an excellent source of potassium, providing about 450 mg per medium fruit, which is roughly 10% of the daily recommended intake. Potassium is crucial for heart health, as it helps regulate heartbeat, muscle contractions, and nerve signals. It also aids in lowering blood pressure by promoting sodium excretion and relaxing blood vessel walls, thereby protecting against atherosclerosis and hypertension (Ranjha </w:t>
      </w:r>
      <w:r>
        <w:rPr>
          <w:rFonts w:ascii="Times New Roman" w:hAnsi="Times New Roman" w:cs="Times New Roman"/>
          <w:i/>
          <w:iCs/>
        </w:rPr>
        <w:t>et al</w:t>
      </w:r>
      <w:r>
        <w:rPr>
          <w:rFonts w:ascii="Times New Roman" w:hAnsi="Times New Roman" w:cs="Times New Roman"/>
        </w:rPr>
        <w:t xml:space="preserve">. 2022; Quan </w:t>
      </w:r>
      <w:r>
        <w:rPr>
          <w:rFonts w:ascii="Times New Roman" w:hAnsi="Times New Roman" w:cs="Times New Roman"/>
          <w:i/>
          <w:iCs/>
        </w:rPr>
        <w:t>et al</w:t>
      </w:r>
      <w:r>
        <w:rPr>
          <w:rFonts w:ascii="Times New Roman" w:hAnsi="Times New Roman" w:cs="Times New Roman"/>
        </w:rPr>
        <w:t>., 2024).</w:t>
      </w:r>
    </w:p>
    <w:p w14:paraId="14A88B7A"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Honey is known for its effectiveness in instantly boosting the performance, endurance and reduces fatigue in muscle (Hemmati </w:t>
      </w:r>
      <w:r>
        <w:rPr>
          <w:rFonts w:ascii="Times New Roman" w:hAnsi="Times New Roman" w:cs="Times New Roman"/>
          <w:i/>
          <w:iCs/>
        </w:rPr>
        <w:t>et al</w:t>
      </w:r>
      <w:r>
        <w:rPr>
          <w:rFonts w:ascii="Times New Roman" w:hAnsi="Times New Roman" w:cs="Times New Roman"/>
        </w:rPr>
        <w:t>., 2024). Beyond many health claims and ability to mask any taste deficiency that may have resulted from ingredient interactions, inclusion of honey into bread formulation is reported to offer functional benefits, improve water-binding capacity of dough, provide increased volumes and improves shelf life of baked products.</w:t>
      </w:r>
    </w:p>
    <w:p w14:paraId="20FB825E"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increasing demand for healthier snack options highlights the need to develop nutrient-rich cookies using natural ingredients. Traditional cookies lack essential nutrients and rely on refined sugar and flour. By incorporating banana pulp and honey into oatmeal cookies, this study aims to enhance their nutritional value using locally available and underutilized resources.</w:t>
      </w:r>
    </w:p>
    <w:p w14:paraId="6BC508B8"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Oats provide fiber, banana adds natural sugars and vitamins, while honey offers antioxidants and replaces refined sugar. This formulation supports better health, adds value to local produce, and aligns with current consumer preferences for functional and clean-label foods. The study would benefit both consumers and food producers by introducing a healthier alternative to conventional cookies. The broad objective of this study was therefore to develop and evaluate </w:t>
      </w:r>
      <w:commentRangeStart w:id="2"/>
      <w:r>
        <w:rPr>
          <w:rFonts w:ascii="Times New Roman" w:hAnsi="Times New Roman" w:cs="Times New Roman"/>
        </w:rPr>
        <w:t>fortified</w:t>
      </w:r>
      <w:commentRangeEnd w:id="2"/>
      <w:r w:rsidR="00662BC1">
        <w:rPr>
          <w:rStyle w:val="CommentReference"/>
        </w:rPr>
        <w:commentReference w:id="2"/>
      </w:r>
      <w:r>
        <w:rPr>
          <w:rFonts w:ascii="Times New Roman" w:hAnsi="Times New Roman" w:cs="Times New Roman"/>
        </w:rPr>
        <w:t xml:space="preserve"> oatmeal cookies with banana pulp and honey.</w:t>
      </w:r>
    </w:p>
    <w:p w14:paraId="00EC5A02" w14:textId="77777777" w:rsidR="007628E0" w:rsidRDefault="00A56C92">
      <w:pPr>
        <w:spacing w:line="240" w:lineRule="auto"/>
        <w:jc w:val="both"/>
        <w:rPr>
          <w:rFonts w:ascii="Times New Roman" w:hAnsi="Times New Roman" w:cs="Times New Roman"/>
          <w:b/>
        </w:rPr>
      </w:pPr>
      <w:r>
        <w:rPr>
          <w:rFonts w:ascii="Times New Roman" w:hAnsi="Times New Roman" w:cs="Times New Roman"/>
          <w:b/>
        </w:rPr>
        <w:t>2.0 Materials and Methods</w:t>
      </w:r>
    </w:p>
    <w:p w14:paraId="0645A638" w14:textId="77777777" w:rsidR="007628E0" w:rsidRDefault="00A56C92">
      <w:pPr>
        <w:spacing w:line="240" w:lineRule="auto"/>
        <w:jc w:val="both"/>
        <w:rPr>
          <w:rFonts w:ascii="Times New Roman" w:hAnsi="Times New Roman" w:cs="Times New Roman"/>
          <w:b/>
        </w:rPr>
      </w:pPr>
      <w:r>
        <w:rPr>
          <w:rFonts w:ascii="Times New Roman" w:hAnsi="Times New Roman" w:cs="Times New Roman"/>
          <w:b/>
        </w:rPr>
        <w:t>2.1 Source of Raw Materials</w:t>
      </w:r>
    </w:p>
    <w:p w14:paraId="39065B4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bananas were bought from </w:t>
      </w:r>
      <w:proofErr w:type="spellStart"/>
      <w:r>
        <w:rPr>
          <w:rFonts w:ascii="Times New Roman" w:hAnsi="Times New Roman" w:cs="Times New Roman"/>
        </w:rPr>
        <w:t>Wurukum</w:t>
      </w:r>
      <w:proofErr w:type="spellEnd"/>
      <w:r>
        <w:rPr>
          <w:rFonts w:ascii="Times New Roman" w:hAnsi="Times New Roman" w:cs="Times New Roman"/>
        </w:rPr>
        <w:t xml:space="preserve"> market, while the oatmeal flour and honey were purchased from the Modern market. Other ingredients like sugar, fat, yeast and salt were purchased from North-bank market, Makurdi, Benue State, Nigeria; and the equipment used were obtained from the processing laboratory of the department of Food Science and Technology, Joseph Sarwuan Tarka University, Makurdi.</w:t>
      </w:r>
    </w:p>
    <w:p w14:paraId="43E7B8B1"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t>Sample Preparation</w:t>
      </w:r>
    </w:p>
    <w:p w14:paraId="2BA5445B"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2.2.1</w:t>
      </w:r>
      <w:r>
        <w:rPr>
          <w:rFonts w:ascii="Times New Roman" w:hAnsi="Times New Roman" w:cs="Times New Roman"/>
          <w:b/>
          <w:bCs/>
        </w:rPr>
        <w:tab/>
        <w:t>Preparation of Banana pulp/ oatmeal flour and blend formulation</w:t>
      </w:r>
    </w:p>
    <w:p w14:paraId="7E3C19AB"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The banana was washed along with the skin to reduce contamination, peeled and mashed into a pulp with fork using modified method of Olufemi (2024). Oatmeal was milled into flour and formulated into blends with banana pulp and honey using the following ratios: Sample A was 95% Oatmeal Flour: 0% Banana pulp: 5% Honey; B was 90% Oatmeal Flour: 5% Banana pulp: 5% Honey; C was 85% Oatmeal Flour: 10% Banana pulp: 5% Honey; D contained 80% Oatmeal Flour: 15% Banana pulp: 5% Honey while E contained 75% Oatmeal Flour: 20% Banana pulp: 5% Honey.</w:t>
      </w:r>
    </w:p>
    <w:p w14:paraId="62B1A151"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lastRenderedPageBreak/>
        <w:t>2.2.2</w:t>
      </w:r>
      <w:r>
        <w:rPr>
          <w:rFonts w:ascii="Times New Roman" w:hAnsi="Times New Roman" w:cs="Times New Roman"/>
          <w:b/>
          <w:bCs/>
        </w:rPr>
        <w:tab/>
        <w:t xml:space="preserve"> Preparation of Cookies</w:t>
      </w:r>
    </w:p>
    <w:p w14:paraId="5386855A"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oat meal flour, ripe banana pulp blend was mixed thoroughly with ingredients which consisted of honey, vegetable oil, salt and baking powder. After thorough mixing, it was kneaded neatly, rolled and cut into desired shape according to the modified method of Soni </w:t>
      </w:r>
      <w:r>
        <w:rPr>
          <w:rFonts w:ascii="Times New Roman" w:hAnsi="Times New Roman" w:cs="Times New Roman"/>
          <w:i/>
        </w:rPr>
        <w:t xml:space="preserve">et al. </w:t>
      </w:r>
      <w:r>
        <w:rPr>
          <w:rFonts w:ascii="Times New Roman" w:hAnsi="Times New Roman" w:cs="Times New Roman"/>
        </w:rPr>
        <w:t>(2018). The dough was baked for 30 minutes at 180°C and then packaged for sensory evaluation.</w:t>
      </w:r>
    </w:p>
    <w:p w14:paraId="6AB6C13C" w14:textId="77777777" w:rsidR="007628E0" w:rsidRDefault="00A56C92">
      <w:pPr>
        <w:pStyle w:val="Heading2"/>
        <w:rPr>
          <w:rFonts w:ascii="Times New Roman" w:hAnsi="Times New Roman" w:cs="Times New Roman"/>
          <w:b/>
          <w:sz w:val="24"/>
          <w:szCs w:val="24"/>
        </w:rPr>
      </w:pPr>
      <w:r>
        <w:rPr>
          <w:rFonts w:ascii="Times New Roman" w:hAnsi="Times New Roman" w:cs="Times New Roman"/>
          <w:b/>
          <w:color w:val="auto"/>
          <w:sz w:val="24"/>
          <w:szCs w:val="24"/>
        </w:rPr>
        <w:t>2.3 Proximate composition</w:t>
      </w:r>
      <w:r>
        <w:rPr>
          <w:rFonts w:ascii="Times New Roman" w:hAnsi="Times New Roman" w:cs="Times New Roman"/>
          <w:b/>
          <w:sz w:val="24"/>
          <w:szCs w:val="24"/>
        </w:rPr>
        <w:t xml:space="preserve"> </w:t>
      </w:r>
    </w:p>
    <w:p w14:paraId="001FF816" w14:textId="77777777" w:rsidR="007628E0" w:rsidRDefault="00A56C92">
      <w:pPr>
        <w:spacing w:line="240" w:lineRule="auto"/>
        <w:jc w:val="both"/>
        <w:rPr>
          <w:rFonts w:ascii="Times New Roman" w:hAnsi="Times New Roman" w:cs="Times New Roman"/>
        </w:rPr>
      </w:pPr>
      <w:r>
        <w:rPr>
          <w:rFonts w:ascii="Times New Roman" w:eastAsiaTheme="minorEastAsia" w:hAnsi="Times New Roman" w:cs="Times New Roman"/>
        </w:rPr>
        <w:t>Protein (micro-Kjeldahl procedure), fat (Soxhlet extraction method), moisture (dry oven method), crude fibre and ash were determined using the method of AOAC (2012).</w:t>
      </w:r>
    </w:p>
    <w:p w14:paraId="657D1CF0" w14:textId="77777777" w:rsidR="007628E0" w:rsidRDefault="00A56C92">
      <w:pPr>
        <w:pStyle w:val="Heading2"/>
        <w:spacing w:line="240" w:lineRule="auto"/>
        <w:rPr>
          <w:rFonts w:ascii="Times New Roman" w:hAnsi="Times New Roman" w:cs="Times New Roman"/>
          <w:b/>
          <w:color w:val="auto"/>
          <w:sz w:val="24"/>
          <w:szCs w:val="24"/>
        </w:rPr>
      </w:pPr>
      <w:bookmarkStart w:id="3" w:name="_Toc183525207"/>
      <w:r>
        <w:rPr>
          <w:rFonts w:ascii="Times New Roman" w:hAnsi="Times New Roman" w:cs="Times New Roman"/>
          <w:b/>
          <w:color w:val="auto"/>
          <w:sz w:val="24"/>
          <w:szCs w:val="24"/>
        </w:rPr>
        <w:t>2.4</w:t>
      </w:r>
      <w:r>
        <w:rPr>
          <w:rFonts w:ascii="Times New Roman" w:hAnsi="Times New Roman" w:cs="Times New Roman"/>
          <w:b/>
          <w:color w:val="auto"/>
          <w:sz w:val="24"/>
          <w:szCs w:val="24"/>
        </w:rPr>
        <w:tab/>
        <w:t>Determination of Physical Properties</w:t>
      </w:r>
      <w:bookmarkEnd w:id="3"/>
    </w:p>
    <w:p w14:paraId="0BCBFED4" w14:textId="77777777" w:rsidR="007628E0" w:rsidRDefault="00A56C92">
      <w:pPr>
        <w:spacing w:line="240" w:lineRule="auto"/>
        <w:rPr>
          <w:rFonts w:ascii="Times New Roman" w:hAnsi="Times New Roman" w:cs="Times New Roman"/>
        </w:rPr>
      </w:pPr>
      <w:r>
        <w:rPr>
          <w:rFonts w:ascii="Times New Roman" w:hAnsi="Times New Roman" w:cs="Times New Roman"/>
        </w:rPr>
        <w:t xml:space="preserve">Physical Properties such as weight, spread ratio, diameter and thickness were determined by the method described by Ayo </w:t>
      </w:r>
      <w:r>
        <w:rPr>
          <w:rFonts w:ascii="Times New Roman" w:hAnsi="Times New Roman" w:cs="Times New Roman"/>
          <w:i/>
          <w:iCs/>
        </w:rPr>
        <w:t>et al.</w:t>
      </w:r>
      <w:r>
        <w:rPr>
          <w:rFonts w:ascii="Times New Roman" w:hAnsi="Times New Roman" w:cs="Times New Roman"/>
        </w:rPr>
        <w:t xml:space="preserve"> (2007).</w:t>
      </w:r>
    </w:p>
    <w:p w14:paraId="2BFBD280"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2.4.1 Weight and Diameter:</w:t>
      </w:r>
      <w:r>
        <w:rPr>
          <w:rFonts w:ascii="Times New Roman" w:hAnsi="Times New Roman" w:cs="Times New Roman"/>
        </w:rPr>
        <w:t xml:space="preserve"> The weight and the diameter of the baked cookies were determined by weighing on a weighing balance (</w:t>
      </w:r>
      <w:proofErr w:type="spellStart"/>
      <w:r>
        <w:rPr>
          <w:rFonts w:ascii="Times New Roman" w:hAnsi="Times New Roman" w:cs="Times New Roman"/>
        </w:rPr>
        <w:t>Santual</w:t>
      </w:r>
      <w:proofErr w:type="spellEnd"/>
      <w:r>
        <w:rPr>
          <w:rFonts w:ascii="Times New Roman" w:hAnsi="Times New Roman" w:cs="Times New Roman"/>
        </w:rPr>
        <w:t xml:space="preserve"> Electronic Weighing Balance) and measuring with a calibrated ruler, respectively.</w:t>
      </w:r>
    </w:p>
    <w:p w14:paraId="76C736EA"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2.4.2 Thickness:</w:t>
      </w:r>
      <w:r>
        <w:rPr>
          <w:rFonts w:ascii="Times New Roman" w:hAnsi="Times New Roman" w:cs="Times New Roman"/>
        </w:rPr>
        <w:t xml:space="preserve"> Thickness was determined using a calibrated ruler as described by Ayo </w:t>
      </w:r>
      <w:r>
        <w:rPr>
          <w:rFonts w:ascii="Times New Roman" w:hAnsi="Times New Roman" w:cs="Times New Roman"/>
          <w:i/>
          <w:iCs/>
        </w:rPr>
        <w:t>et al</w:t>
      </w:r>
      <w:r>
        <w:rPr>
          <w:rFonts w:ascii="Times New Roman" w:hAnsi="Times New Roman" w:cs="Times New Roman"/>
        </w:rPr>
        <w:t>. (2007) and using a digital Vernier caliper (Fowler, US). The measurement was repeated twice to get an average value and results were reported in mm (AACC, 2000).</w:t>
      </w:r>
    </w:p>
    <w:p w14:paraId="5392949C"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2.4.3 Spread Ratio:</w:t>
      </w:r>
      <w:r>
        <w:rPr>
          <w:rFonts w:ascii="Times New Roman" w:hAnsi="Times New Roman" w:cs="Times New Roman"/>
        </w:rPr>
        <w:t xml:space="preserve"> Spread ratio was calculated as diameter (length) to thickness ratio (Shrestha and </w:t>
      </w:r>
      <w:proofErr w:type="spellStart"/>
      <w:r>
        <w:rPr>
          <w:rFonts w:ascii="Times New Roman" w:hAnsi="Times New Roman" w:cs="Times New Roman"/>
        </w:rPr>
        <w:t>Noomhorm</w:t>
      </w:r>
      <w:proofErr w:type="spellEnd"/>
      <w:r>
        <w:rPr>
          <w:rFonts w:ascii="Times New Roman" w:hAnsi="Times New Roman" w:cs="Times New Roman"/>
        </w:rPr>
        <w:t>, 2002) by using the following equation:</w:t>
      </w:r>
    </w:p>
    <w:p w14:paraId="395C0A33" w14:textId="77777777" w:rsidR="007628E0" w:rsidRDefault="00A56C92">
      <w:pPr>
        <w:spacing w:after="0" w:line="240" w:lineRule="auto"/>
        <w:jc w:val="both"/>
        <w:rPr>
          <w:rFonts w:ascii="Times New Roman" w:hAnsi="Times New Roman" w:cs="Times New Roman"/>
        </w:rPr>
      </w:pPr>
      <m:oMathPara>
        <m:oMath>
          <m:r>
            <w:rPr>
              <w:rFonts w:ascii="Cambria Math" w:hAnsi="Cambria Math" w:cs="Times New Roman"/>
            </w:rPr>
            <m:t xml:space="preserve">Spread Ratio= </m:t>
          </m:r>
          <m:f>
            <m:fPr>
              <m:ctrlPr>
                <w:rPr>
                  <w:rFonts w:ascii="Cambria Math" w:hAnsi="Cambria Math" w:cs="Times New Roman"/>
                  <w:i/>
                </w:rPr>
              </m:ctrlPr>
            </m:fPr>
            <m:num>
              <m:r>
                <w:rPr>
                  <w:rFonts w:ascii="Cambria Math" w:hAnsi="Cambria Math" w:cs="Times New Roman"/>
                </w:rPr>
                <m:t>Diameter</m:t>
              </m:r>
            </m:num>
            <m:den>
              <m:r>
                <w:rPr>
                  <w:rFonts w:ascii="Cambria Math" w:hAnsi="Cambria Math" w:cs="Times New Roman"/>
                </w:rPr>
                <m:t>Thickness</m:t>
              </m:r>
            </m:den>
          </m:f>
        </m:oMath>
      </m:oMathPara>
    </w:p>
    <w:p w14:paraId="1B002517" w14:textId="77777777" w:rsidR="007628E0" w:rsidRDefault="00A56C92">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2.5</w:t>
      </w:r>
      <w:r>
        <w:rPr>
          <w:rFonts w:ascii="Times New Roman" w:eastAsiaTheme="minorEastAsia" w:hAnsi="Times New Roman" w:cs="Times New Roman"/>
          <w:b/>
          <w:bCs/>
        </w:rPr>
        <w:tab/>
        <w:t>Mineral Analysis</w:t>
      </w:r>
    </w:p>
    <w:p w14:paraId="6F9B9FAC"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mineral contents of the test samples were determined by the dry ash extraction method following each specific mineral element as described by AOAC (2OO5). Twenty (20) grams of the test sample was burnt to ash and resulting ash was dissolved in 100ml of dilute hydrochloric acid (1MHCL) and then diluted to 100ml volumetric flask using distilled water. The solution was used for the various analysis of mineral.</w:t>
      </w:r>
    </w:p>
    <w:p w14:paraId="40496BCA"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2.5.1 Determination of Calcium (Ca):</w:t>
      </w:r>
      <w:r>
        <w:rPr>
          <w:rFonts w:ascii="Times New Roman" w:eastAsiaTheme="minorEastAsia" w:hAnsi="Times New Roman" w:cs="Times New Roman"/>
        </w:rPr>
        <w:t xml:space="preserve"> Calcium contents of the test sample was determined by the EDTA complex isometric titration. Twenty (20) ml of each extract was dispersed into a conical flask and panels of the masking agents, </w:t>
      </w:r>
      <w:proofErr w:type="spellStart"/>
      <w:r>
        <w:rPr>
          <w:rFonts w:ascii="Times New Roman" w:eastAsiaTheme="minorEastAsia" w:hAnsi="Times New Roman" w:cs="Times New Roman"/>
        </w:rPr>
        <w:t>hydroxytannin</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hydrochlorate</w:t>
      </w:r>
      <w:proofErr w:type="spellEnd"/>
      <w:r>
        <w:rPr>
          <w:rFonts w:ascii="Times New Roman" w:eastAsiaTheme="minorEastAsia" w:hAnsi="Times New Roman" w:cs="Times New Roman"/>
        </w:rPr>
        <w:t xml:space="preserve"> and potassium cyanide were added followed by 20ml of ammonia buffer (pH 10.0). A pinch of the indicator-Ferrochrome black was added and the mixture was shaken well. It was titrated against 0.02N EDTA solution. </w:t>
      </w:r>
    </w:p>
    <w:p w14:paraId="5BB90A36"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calcium contents were calculated using the formula below:</w:t>
      </w:r>
    </w:p>
    <w:p w14:paraId="64C98DAF"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Calcium (mg/100g )= </m:t>
          </m:r>
          <m:f>
            <m:fPr>
              <m:ctrlPr>
                <w:rPr>
                  <w:rFonts w:ascii="Cambria Math" w:eastAsiaTheme="minorEastAsia" w:hAnsi="Cambria Math" w:cs="Times New Roman"/>
                  <w:i/>
                </w:rPr>
              </m:ctrlPr>
            </m:fPr>
            <m:num>
              <m:r>
                <w:rPr>
                  <w:rFonts w:ascii="Cambria Math" w:eastAsiaTheme="minorEastAsia" w:hAnsi="Cambria Math" w:cs="Times New Roman"/>
                </w:rPr>
                <m:t>Tv×0.4008 ×1000</m:t>
              </m:r>
            </m:num>
            <m:den>
              <m:r>
                <w:rPr>
                  <w:rFonts w:ascii="Cambria Math" w:eastAsiaTheme="minorEastAsia" w:hAnsi="Cambria Math" w:cs="Times New Roman"/>
                </w:rPr>
                <m:t>Vol  of sample used</m:t>
              </m:r>
            </m:den>
          </m:f>
        </m:oMath>
      </m:oMathPara>
    </w:p>
    <w:p w14:paraId="234D6B23"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 xml:space="preserve"> 2.5.2 Determination of Potassium (K):</w:t>
      </w:r>
      <w:r>
        <w:rPr>
          <w:rFonts w:ascii="Times New Roman" w:eastAsiaTheme="minorEastAsia" w:hAnsi="Times New Roman" w:cs="Times New Roman"/>
        </w:rPr>
        <w:t xml:space="preserve"> The concentrations of potassium (ppm) was analyzed using UV-spectrophotometer at a wavelength of 766.5 nm, and the concentration in mg/100 g was calculated using the formula below:</w:t>
      </w:r>
    </w:p>
    <w:p w14:paraId="6C13DB27"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Potassium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r>
            <w:rPr>
              <w:rFonts w:ascii="Cambria Math" w:eastAsiaTheme="minorEastAsia" w:hAnsi="Cambria Math" w:cs="Times New Roman"/>
            </w:rPr>
            <m:t xml:space="preserve"> </m:t>
          </m:r>
        </m:oMath>
      </m:oMathPara>
    </w:p>
    <w:p w14:paraId="50CB6546"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2.5.3 Determination of Iron (Fe):</w:t>
      </w:r>
      <w:r>
        <w:rPr>
          <w:rFonts w:ascii="Times New Roman" w:eastAsiaTheme="minorEastAsia" w:hAnsi="Times New Roman" w:cs="Times New Roman"/>
        </w:rPr>
        <w:t xml:space="preserve"> The concentrations of iron (mg/100g) was analysed using atomic absorption spectrophotometer at a wavelength of 243nm and the concentration in mg/ 100 g was calculated using the following equation:</w:t>
      </w:r>
    </w:p>
    <w:p w14:paraId="25F8FCE2"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w:lastRenderedPageBreak/>
            <m:t xml:space="preserve">Iron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oMath>
      </m:oMathPara>
    </w:p>
    <w:p w14:paraId="5C0A2465"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2.5.4 Determination of Sodium (Na):</w:t>
      </w:r>
      <w:r>
        <w:rPr>
          <w:rFonts w:ascii="Times New Roman" w:eastAsiaTheme="minorEastAsia" w:hAnsi="Times New Roman" w:cs="Times New Roman"/>
        </w:rPr>
        <w:t xml:space="preserve"> The concentrations of sodium (ppm) was analysed using atomic absorption spectrometer at a wavelength of 243nm and the concentration in mg/100 g was calculated using the following equation:</w:t>
      </w:r>
    </w:p>
    <w:p w14:paraId="0C231CAC"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Sodium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oMath>
      </m:oMathPara>
    </w:p>
    <w:p w14:paraId="3A0FAE21" w14:textId="77777777" w:rsidR="007628E0" w:rsidRDefault="00A56C92">
      <w:pPr>
        <w:pStyle w:val="Heading2"/>
        <w:spacing w:line="240" w:lineRule="auto"/>
        <w:rPr>
          <w:rFonts w:ascii="Times New Roman" w:hAnsi="Times New Roman" w:cs="Times New Roman"/>
          <w:b/>
          <w:color w:val="auto"/>
          <w:sz w:val="24"/>
          <w:szCs w:val="24"/>
          <w:shd w:val="clear" w:color="auto" w:fill="FFFFFF"/>
        </w:rPr>
      </w:pPr>
      <w:bookmarkStart w:id="4" w:name="_Toc183525209"/>
      <w:r>
        <w:rPr>
          <w:rFonts w:ascii="Times New Roman" w:hAnsi="Times New Roman" w:cs="Times New Roman"/>
          <w:b/>
          <w:color w:val="auto"/>
          <w:sz w:val="24"/>
          <w:szCs w:val="24"/>
          <w:shd w:val="clear" w:color="auto" w:fill="FFFFFF"/>
        </w:rPr>
        <w:t>2.6</w:t>
      </w:r>
      <w:r>
        <w:rPr>
          <w:rFonts w:ascii="Times New Roman" w:hAnsi="Times New Roman" w:cs="Times New Roman"/>
          <w:b/>
          <w:color w:val="auto"/>
          <w:sz w:val="24"/>
          <w:szCs w:val="24"/>
          <w:shd w:val="clear" w:color="auto" w:fill="FFFFFF"/>
        </w:rPr>
        <w:tab/>
        <w:t>Sensory Analysis</w:t>
      </w:r>
      <w:bookmarkEnd w:id="4"/>
    </w:p>
    <w:p w14:paraId="0697F1F2"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sensorial acceptability of the </w:t>
      </w:r>
      <w:proofErr w:type="gramStart"/>
      <w:r>
        <w:rPr>
          <w:rFonts w:ascii="Times New Roman" w:hAnsi="Times New Roman" w:cs="Times New Roman"/>
        </w:rPr>
        <w:t>cookies</w:t>
      </w:r>
      <w:proofErr w:type="gramEnd"/>
      <w:r>
        <w:rPr>
          <w:rFonts w:ascii="Times New Roman" w:hAnsi="Times New Roman" w:cs="Times New Roman"/>
        </w:rPr>
        <w:t xml:space="preserve"> samples prepared were evaluated based on the crispiness, taste, aroma, appearance, texture and overall acceptability.</w:t>
      </w:r>
    </w:p>
    <w:p w14:paraId="0E298F1C"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Twenty (20) member semi-trained sensory panelists evaluated the samples using a 9-point Hedonic scale in line with the procedure described by </w:t>
      </w:r>
      <w:proofErr w:type="spellStart"/>
      <w:r>
        <w:rPr>
          <w:rFonts w:ascii="Times New Roman" w:hAnsi="Times New Roman" w:cs="Times New Roman"/>
        </w:rPr>
        <w:t>Ahaotu</w:t>
      </w:r>
      <w:proofErr w:type="spellEnd"/>
      <w:r>
        <w:rPr>
          <w:rFonts w:ascii="Times New Roman" w:hAnsi="Times New Roman" w:cs="Times New Roman"/>
        </w:rPr>
        <w:t xml:space="preserve"> and </w:t>
      </w:r>
      <w:proofErr w:type="spellStart"/>
      <w:r>
        <w:rPr>
          <w:rFonts w:ascii="Times New Roman" w:hAnsi="Times New Roman" w:cs="Times New Roman"/>
        </w:rPr>
        <w:t>Ihekoronye</w:t>
      </w:r>
      <w:proofErr w:type="spellEnd"/>
      <w:r>
        <w:rPr>
          <w:rFonts w:ascii="Times New Roman" w:hAnsi="Times New Roman" w:cs="Times New Roman"/>
        </w:rPr>
        <w:t xml:space="preserve"> (2019) with slight modifications. Sensory score 9 was the highest rating interpreted as like extremely whereas sensory score 1 was the least interpreted as dislike extremely. The panelists were instructed to use a glass of potable water provided to rinse their mouth before putting each sample in the mouth for sensory evaluation.</w:t>
      </w:r>
      <w:bookmarkStart w:id="5" w:name="_Toc156521980"/>
    </w:p>
    <w:p w14:paraId="6B63CF81" w14:textId="77777777" w:rsidR="007628E0" w:rsidRDefault="00A56C92">
      <w:pPr>
        <w:pStyle w:val="Heading1"/>
        <w:spacing w:line="240" w:lineRule="auto"/>
      </w:pPr>
      <w:r>
        <w:t>2.7</w:t>
      </w:r>
      <w:r>
        <w:tab/>
        <w:t>Statistical Analysis</w:t>
      </w:r>
    </w:p>
    <w:p w14:paraId="6F1C79C0"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data generated were subjected to analysis of variance (ANOVA) and means were separated using Fisher’s Least Significant difference. Significant difference was tested at 5 % level of probability using </w:t>
      </w:r>
      <w:proofErr w:type="spellStart"/>
      <w:r>
        <w:rPr>
          <w:rFonts w:ascii="Times New Roman" w:hAnsi="Times New Roman" w:cs="Times New Roman"/>
        </w:rPr>
        <w:t>Genstat</w:t>
      </w:r>
      <w:proofErr w:type="spellEnd"/>
      <w:r>
        <w:rPr>
          <w:rFonts w:ascii="Times New Roman" w:hAnsi="Times New Roman" w:cs="Times New Roman"/>
        </w:rPr>
        <w:t xml:space="preserve"> 17.0 software.</w:t>
      </w:r>
    </w:p>
    <w:bookmarkEnd w:id="5"/>
    <w:p w14:paraId="3277BE8D" w14:textId="77777777" w:rsidR="007628E0" w:rsidRDefault="00A56C92">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3.0 Results and Discussion</w:t>
      </w:r>
    </w:p>
    <w:p w14:paraId="36D5EE2E" w14:textId="77777777" w:rsidR="007628E0" w:rsidRDefault="00A56C92">
      <w:pPr>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Proximate Composition of cookies from oatmeal flour, banana pulp and honey blend</w:t>
      </w:r>
    </w:p>
    <w:p w14:paraId="481F3513"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Table 1 shows the proximate composition of cookies from oatmeal flour, banana pulp and honey blend.</w:t>
      </w:r>
    </w:p>
    <w:p w14:paraId="7043F5F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Moisture content ranged from 7.2% to 9.2% which was sufficiently low to suggest good shelf stability and aligned with values in recent cookie studies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who reported moisture contents of 5.35–6.75% in cookies made from wheat-oat composite flour sweetened with date syrup, noting that lower moisture helps reduce spoilage risk while still maintaining acceptable texture. </w:t>
      </w:r>
    </w:p>
    <w:p w14:paraId="7A40CDD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Protein levels varied significantly, with sample A recording the highest value (19.47%) while samples C and D had the lowest (around 16.8–17.0%). These levels are considerably higher than those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for cookies made from wheat-oat cookies, which ranged between 13.58 - 18.01%. The higher protein values here reflect the contribution of oatmeal, a protein-rich cereal, and highlight the nutritional advantage of this blend, which could contribute meaningfully to daily protein requirements.</w:t>
      </w:r>
    </w:p>
    <w:p w14:paraId="23249BC7"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Ash content, an index of mineral composition, ranged from 0.26% in sample A to 1.30% in sample B, showing that minerals were contributed appreciably from banana pulp and oatmeal into the cookies. This is consistent with findings of Alam </w:t>
      </w:r>
      <w:r>
        <w:rPr>
          <w:rFonts w:ascii="Times New Roman" w:hAnsi="Times New Roman" w:cs="Times New Roman"/>
          <w:i/>
        </w:rPr>
        <w:t>et al</w:t>
      </w:r>
      <w:r>
        <w:rPr>
          <w:rFonts w:ascii="Times New Roman" w:hAnsi="Times New Roman" w:cs="Times New Roman"/>
        </w:rPr>
        <w:t xml:space="preserve">. (2020) who reported that substitution with banana/banana-peel flour increased ash content compared to control cookies, demonstrating improved mineral content. </w:t>
      </w:r>
    </w:p>
    <w:p w14:paraId="4E78D478"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fat content of the cookies was moderate, ranging from 2.45% in sample E to 3.26% in sample A. These levels are substantially lower than the 10–20% fat content often reported in conventional cookies due to the use of butter or margarine. A similar trend was noted by </w:t>
      </w:r>
      <w:proofErr w:type="spellStart"/>
      <w:r>
        <w:rPr>
          <w:rFonts w:ascii="Times New Roman" w:hAnsi="Times New Roman" w:cs="Times New Roman"/>
        </w:rPr>
        <w:t>Chaipoot</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(2024), </w:t>
      </w:r>
      <w:r>
        <w:rPr>
          <w:rFonts w:ascii="Times New Roman" w:hAnsi="Times New Roman" w:cs="Times New Roman"/>
        </w:rPr>
        <w:lastRenderedPageBreak/>
        <w:t>who observed reduced fat levels when honey was used as a binder in place of traditional fat sources. The lower fat content here is beneficial for health-conscious consumers, making the cookies a more attractive option for individuals seeking reduced-calorie diets.</w:t>
      </w:r>
    </w:p>
    <w:p w14:paraId="0C7BDBC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Crude fibre was highest in sample E (6.72%) and lowest in sample A (5.54%), reflecting the fibre contribution of banana pulp and oatmeal. These values are considerably higher than the &lt;2% typically found in wheat-based cookies. This is consistent with the findings of Adeniji (2015), who observed that incorporating banana pulp into bakery products significantly enhanced fibre content. Fibre-rich cookies are particularly important in promoting gut health and in reducing the risk of diet-related non-communicable diseases. </w:t>
      </w:r>
    </w:p>
    <w:p w14:paraId="06AA64FE"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Carbohydrate was the major constituent of the cookies, ranging between 62.3% and 65.0%. Although this is slightly lower than the &gt;70% carbohydrate content commonly reported in conventional cookies (Ho </w:t>
      </w:r>
      <w:r>
        <w:rPr>
          <w:rFonts w:ascii="Times New Roman" w:hAnsi="Times New Roman" w:cs="Times New Roman"/>
          <w:i/>
        </w:rPr>
        <w:t>et al</w:t>
      </w:r>
      <w:r>
        <w:rPr>
          <w:rFonts w:ascii="Times New Roman" w:hAnsi="Times New Roman" w:cs="Times New Roman"/>
        </w:rPr>
        <w:t xml:space="preserve">., 2020); the reduction could be attributed to the relatively higher protein and fibre content in the present formulations. This compositional balance is nutritionally desirable, as it reduces the glycaemic load while simultaneously enhancing the protein and fibre profile of the product. </w:t>
      </w:r>
    </w:p>
    <w:p w14:paraId="51F10AA3" w14:textId="77777777" w:rsidR="007628E0" w:rsidRDefault="00A56C92">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Table 1: Proximate Composition (%) of cookies</w:t>
      </w:r>
      <w:r>
        <w:rPr>
          <w:rFonts w:ascii="Times New Roman" w:hAnsi="Times New Roman" w:cs="Times New Roman"/>
          <w:b/>
          <w:color w:val="000000" w:themeColor="text1"/>
          <w:spacing w:val="5"/>
          <w:sz w:val="20"/>
          <w:szCs w:val="20"/>
        </w:rPr>
        <w:t xml:space="preserve"> from oatmeal flour, banana pulp and honey blends</w:t>
      </w:r>
    </w:p>
    <w:tbl>
      <w:tblPr>
        <w:tblStyle w:val="PlainTable21"/>
        <w:tblW w:w="5000" w:type="pct"/>
        <w:tblLook w:val="04A0" w:firstRow="1" w:lastRow="0" w:firstColumn="1" w:lastColumn="0" w:noHBand="0" w:noVBand="1"/>
      </w:tblPr>
      <w:tblGrid>
        <w:gridCol w:w="892"/>
        <w:gridCol w:w="1659"/>
        <w:gridCol w:w="1224"/>
        <w:gridCol w:w="1159"/>
        <w:gridCol w:w="1357"/>
        <w:gridCol w:w="1541"/>
        <w:gridCol w:w="1528"/>
      </w:tblGrid>
      <w:tr w:rsidR="007628E0" w14:paraId="3CF39D8E" w14:textId="77777777" w:rsidTr="007A503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731E90E"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886" w:type="pct"/>
            <w:noWrap/>
          </w:tcPr>
          <w:p w14:paraId="40C68FC2"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Moisture </w:t>
            </w:r>
          </w:p>
        </w:tc>
        <w:tc>
          <w:tcPr>
            <w:tcW w:w="654" w:type="pct"/>
            <w:noWrap/>
          </w:tcPr>
          <w:p w14:paraId="1C85DEDE"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Ash</w:t>
            </w:r>
          </w:p>
        </w:tc>
        <w:tc>
          <w:tcPr>
            <w:tcW w:w="619" w:type="pct"/>
            <w:noWrap/>
          </w:tcPr>
          <w:p w14:paraId="56C3B8DF"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b w:val="0"/>
                <w:bCs w:val="0"/>
                <w:color w:val="000000" w:themeColor="text1"/>
                <w:sz w:val="20"/>
                <w:szCs w:val="20"/>
              </w:rPr>
              <w:t>F</w:t>
            </w:r>
            <w:r>
              <w:rPr>
                <w:rFonts w:cs="Times New Roman"/>
                <w:color w:val="000000" w:themeColor="text1"/>
                <w:sz w:val="20"/>
                <w:szCs w:val="20"/>
              </w:rPr>
              <w:t>at</w:t>
            </w:r>
          </w:p>
        </w:tc>
        <w:tc>
          <w:tcPr>
            <w:tcW w:w="725" w:type="pct"/>
            <w:noWrap/>
          </w:tcPr>
          <w:p w14:paraId="2D983521"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Crude Fibre </w:t>
            </w:r>
          </w:p>
        </w:tc>
        <w:tc>
          <w:tcPr>
            <w:tcW w:w="823" w:type="pct"/>
            <w:noWrap/>
          </w:tcPr>
          <w:p w14:paraId="433AFEF7"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Crude Protein </w:t>
            </w:r>
          </w:p>
        </w:tc>
        <w:tc>
          <w:tcPr>
            <w:tcW w:w="816" w:type="pct"/>
            <w:noWrap/>
          </w:tcPr>
          <w:p w14:paraId="49542A9D"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Carbohydrate</w:t>
            </w:r>
          </w:p>
        </w:tc>
      </w:tr>
      <w:tr w:rsidR="007628E0" w14:paraId="52CD77A7"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68F0263A"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886" w:type="pct"/>
            <w:noWrap/>
          </w:tcPr>
          <w:p w14:paraId="5FF7708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9.18</w:t>
            </w:r>
            <w:r>
              <w:rPr>
                <w:rFonts w:cs="Times New Roman"/>
                <w:color w:val="000000" w:themeColor="text1"/>
                <w:kern w:val="0"/>
                <w:sz w:val="20"/>
                <w:szCs w:val="20"/>
                <w:vertAlign w:val="superscript"/>
              </w:rPr>
              <w:t>a</w:t>
            </w:r>
            <w:r>
              <w:rPr>
                <w:rFonts w:cs="Times New Roman"/>
                <w:color w:val="000000" w:themeColor="text1"/>
                <w:kern w:val="0"/>
                <w:sz w:val="20"/>
                <w:szCs w:val="20"/>
              </w:rPr>
              <w:t>±0.33</w:t>
            </w:r>
          </w:p>
        </w:tc>
        <w:tc>
          <w:tcPr>
            <w:tcW w:w="654" w:type="pct"/>
            <w:noWrap/>
          </w:tcPr>
          <w:p w14:paraId="32A42B9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0.26</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619" w:type="pct"/>
            <w:noWrap/>
          </w:tcPr>
          <w:p w14:paraId="5F28AC5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3.26</w:t>
            </w:r>
            <w:r>
              <w:rPr>
                <w:rFonts w:cs="Times New Roman"/>
                <w:color w:val="000000" w:themeColor="text1"/>
                <w:kern w:val="0"/>
                <w:sz w:val="20"/>
                <w:szCs w:val="20"/>
                <w:vertAlign w:val="superscript"/>
              </w:rPr>
              <w:t>a</w:t>
            </w:r>
            <w:r>
              <w:rPr>
                <w:rFonts w:cs="Times New Roman"/>
                <w:color w:val="000000" w:themeColor="text1"/>
                <w:kern w:val="0"/>
                <w:sz w:val="20"/>
                <w:szCs w:val="20"/>
              </w:rPr>
              <w:t>±0.02</w:t>
            </w:r>
          </w:p>
        </w:tc>
        <w:tc>
          <w:tcPr>
            <w:tcW w:w="725" w:type="pct"/>
            <w:noWrap/>
          </w:tcPr>
          <w:p w14:paraId="3669B00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5.54</w:t>
            </w:r>
            <w:r>
              <w:rPr>
                <w:rFonts w:cs="Times New Roman"/>
                <w:color w:val="000000" w:themeColor="text1"/>
                <w:kern w:val="0"/>
                <w:sz w:val="20"/>
                <w:szCs w:val="20"/>
                <w:vertAlign w:val="superscript"/>
              </w:rPr>
              <w:t>c</w:t>
            </w:r>
            <w:r>
              <w:rPr>
                <w:rFonts w:cs="Times New Roman"/>
                <w:color w:val="000000" w:themeColor="text1"/>
                <w:kern w:val="0"/>
                <w:sz w:val="20"/>
                <w:szCs w:val="20"/>
              </w:rPr>
              <w:t>±0.01</w:t>
            </w:r>
          </w:p>
        </w:tc>
        <w:tc>
          <w:tcPr>
            <w:tcW w:w="823" w:type="pct"/>
            <w:noWrap/>
          </w:tcPr>
          <w:p w14:paraId="0F92A52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19.47</w:t>
            </w:r>
            <w:r>
              <w:rPr>
                <w:rFonts w:cs="Times New Roman"/>
                <w:color w:val="000000" w:themeColor="text1"/>
                <w:kern w:val="0"/>
                <w:sz w:val="20"/>
                <w:szCs w:val="20"/>
                <w:vertAlign w:val="superscript"/>
              </w:rPr>
              <w:t>a</w:t>
            </w:r>
            <w:r>
              <w:rPr>
                <w:rFonts w:cs="Times New Roman"/>
                <w:color w:val="000000" w:themeColor="text1"/>
                <w:kern w:val="0"/>
                <w:sz w:val="20"/>
                <w:szCs w:val="20"/>
              </w:rPr>
              <w:t>±0.06</w:t>
            </w:r>
          </w:p>
        </w:tc>
        <w:tc>
          <w:tcPr>
            <w:tcW w:w="816" w:type="pct"/>
            <w:noWrap/>
          </w:tcPr>
          <w:p w14:paraId="07D6B43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62.30</w:t>
            </w:r>
            <w:r>
              <w:rPr>
                <w:rFonts w:cs="Times New Roman"/>
                <w:color w:val="000000" w:themeColor="text1"/>
                <w:kern w:val="0"/>
                <w:sz w:val="20"/>
                <w:szCs w:val="20"/>
                <w:vertAlign w:val="superscript"/>
              </w:rPr>
              <w:t>b</w:t>
            </w:r>
            <w:r>
              <w:rPr>
                <w:rFonts w:cs="Times New Roman"/>
                <w:color w:val="000000" w:themeColor="text1"/>
                <w:kern w:val="0"/>
                <w:sz w:val="20"/>
                <w:szCs w:val="20"/>
              </w:rPr>
              <w:t>±0.38</w:t>
            </w:r>
          </w:p>
        </w:tc>
      </w:tr>
      <w:tr w:rsidR="007628E0" w14:paraId="5EC4D212"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F74264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886" w:type="pct"/>
            <w:noWrap/>
          </w:tcPr>
          <w:p w14:paraId="15EE094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b</w:t>
            </w:r>
            <w:r>
              <w:rPr>
                <w:rFonts w:cs="Times New Roman"/>
                <w:color w:val="000000" w:themeColor="text1"/>
                <w:kern w:val="0"/>
                <w:sz w:val="20"/>
                <w:szCs w:val="20"/>
              </w:rPr>
              <w:t>±0.15</w:t>
            </w:r>
          </w:p>
        </w:tc>
        <w:tc>
          <w:tcPr>
            <w:tcW w:w="654" w:type="pct"/>
            <w:noWrap/>
          </w:tcPr>
          <w:p w14:paraId="67E6B03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1.30</w:t>
            </w:r>
            <w:r>
              <w:rPr>
                <w:rFonts w:cs="Times New Roman"/>
                <w:color w:val="000000" w:themeColor="text1"/>
                <w:kern w:val="0"/>
                <w:sz w:val="20"/>
                <w:szCs w:val="20"/>
                <w:vertAlign w:val="superscript"/>
              </w:rPr>
              <w:t>a</w:t>
            </w:r>
            <w:r>
              <w:rPr>
                <w:rFonts w:cs="Times New Roman"/>
                <w:color w:val="000000" w:themeColor="text1"/>
                <w:kern w:val="0"/>
                <w:sz w:val="20"/>
                <w:szCs w:val="20"/>
              </w:rPr>
              <w:t>±0.10</w:t>
            </w:r>
          </w:p>
        </w:tc>
        <w:tc>
          <w:tcPr>
            <w:tcW w:w="619" w:type="pct"/>
            <w:noWrap/>
          </w:tcPr>
          <w:p w14:paraId="1802725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2.72</w:t>
            </w:r>
            <w:r>
              <w:rPr>
                <w:rFonts w:cs="Times New Roman"/>
                <w:color w:val="000000" w:themeColor="text1"/>
                <w:kern w:val="0"/>
                <w:sz w:val="20"/>
                <w:szCs w:val="20"/>
                <w:vertAlign w:val="superscript"/>
              </w:rPr>
              <w:t>b</w:t>
            </w:r>
            <w:r>
              <w:rPr>
                <w:rFonts w:cs="Times New Roman"/>
                <w:color w:val="000000" w:themeColor="text1"/>
                <w:kern w:val="0"/>
                <w:sz w:val="20"/>
                <w:szCs w:val="20"/>
              </w:rPr>
              <w:t>±0.23</w:t>
            </w:r>
          </w:p>
        </w:tc>
        <w:tc>
          <w:tcPr>
            <w:tcW w:w="725" w:type="pct"/>
            <w:noWrap/>
          </w:tcPr>
          <w:p w14:paraId="30E936F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5.97</w:t>
            </w:r>
            <w:r>
              <w:rPr>
                <w:rFonts w:cs="Times New Roman"/>
                <w:color w:val="000000" w:themeColor="text1"/>
                <w:kern w:val="0"/>
                <w:sz w:val="20"/>
                <w:szCs w:val="20"/>
                <w:vertAlign w:val="superscript"/>
              </w:rPr>
              <w:t>b</w:t>
            </w:r>
            <w:r>
              <w:rPr>
                <w:rFonts w:cs="Times New Roman"/>
                <w:color w:val="000000" w:themeColor="text1"/>
                <w:kern w:val="0"/>
                <w:sz w:val="20"/>
                <w:szCs w:val="20"/>
              </w:rPr>
              <w:t>±0.16</w:t>
            </w:r>
          </w:p>
        </w:tc>
        <w:tc>
          <w:tcPr>
            <w:tcW w:w="823" w:type="pct"/>
            <w:noWrap/>
          </w:tcPr>
          <w:p w14:paraId="7DEE86E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18.92</w:t>
            </w:r>
            <w:r>
              <w:rPr>
                <w:rFonts w:cs="Times New Roman"/>
                <w:color w:val="000000" w:themeColor="text1"/>
                <w:kern w:val="0"/>
                <w:sz w:val="20"/>
                <w:szCs w:val="20"/>
                <w:vertAlign w:val="superscript"/>
              </w:rPr>
              <w:t>b</w:t>
            </w:r>
            <w:r>
              <w:rPr>
                <w:rFonts w:cs="Times New Roman"/>
                <w:color w:val="000000" w:themeColor="text1"/>
                <w:kern w:val="0"/>
                <w:sz w:val="20"/>
                <w:szCs w:val="20"/>
              </w:rPr>
              <w:t>±0.11</w:t>
            </w:r>
          </w:p>
        </w:tc>
        <w:tc>
          <w:tcPr>
            <w:tcW w:w="816" w:type="pct"/>
            <w:noWrap/>
          </w:tcPr>
          <w:p w14:paraId="42B96E2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62.90</w:t>
            </w:r>
            <w:r>
              <w:rPr>
                <w:rFonts w:cs="Times New Roman"/>
                <w:color w:val="000000" w:themeColor="text1"/>
                <w:kern w:val="0"/>
                <w:sz w:val="20"/>
                <w:szCs w:val="20"/>
                <w:vertAlign w:val="superscript"/>
              </w:rPr>
              <w:t>b</w:t>
            </w:r>
            <w:r>
              <w:rPr>
                <w:rFonts w:cs="Times New Roman"/>
                <w:color w:val="000000" w:themeColor="text1"/>
                <w:kern w:val="0"/>
                <w:sz w:val="20"/>
                <w:szCs w:val="20"/>
              </w:rPr>
              <w:t>±0.29</w:t>
            </w:r>
          </w:p>
        </w:tc>
      </w:tr>
      <w:tr w:rsidR="007628E0" w14:paraId="571603D4"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3FBBE3F1"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886" w:type="pct"/>
            <w:noWrap/>
          </w:tcPr>
          <w:p w14:paraId="2624618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8.27</w:t>
            </w:r>
            <w:r>
              <w:rPr>
                <w:rFonts w:cs="Times New Roman"/>
                <w:color w:val="000000" w:themeColor="text1"/>
                <w:kern w:val="0"/>
                <w:sz w:val="20"/>
                <w:szCs w:val="20"/>
                <w:vertAlign w:val="superscript"/>
              </w:rPr>
              <w:t>b</w:t>
            </w:r>
            <w:r>
              <w:rPr>
                <w:rFonts w:cs="Times New Roman"/>
                <w:color w:val="000000" w:themeColor="text1"/>
                <w:kern w:val="0"/>
                <w:sz w:val="20"/>
                <w:szCs w:val="20"/>
              </w:rPr>
              <w:t>±0.07</w:t>
            </w:r>
          </w:p>
        </w:tc>
        <w:tc>
          <w:tcPr>
            <w:tcW w:w="654" w:type="pct"/>
            <w:noWrap/>
          </w:tcPr>
          <w:p w14:paraId="5CBD5A3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1.08</w:t>
            </w:r>
            <w:r>
              <w:rPr>
                <w:rFonts w:cs="Times New Roman"/>
                <w:color w:val="000000" w:themeColor="text1"/>
                <w:kern w:val="0"/>
                <w:sz w:val="20"/>
                <w:szCs w:val="20"/>
                <w:vertAlign w:val="superscript"/>
              </w:rPr>
              <w:t>c</w:t>
            </w:r>
            <w:r>
              <w:rPr>
                <w:rFonts w:cs="Times New Roman"/>
                <w:color w:val="000000" w:themeColor="text1"/>
                <w:kern w:val="0"/>
                <w:sz w:val="20"/>
                <w:szCs w:val="20"/>
              </w:rPr>
              <w:t>±0.02</w:t>
            </w:r>
          </w:p>
        </w:tc>
        <w:tc>
          <w:tcPr>
            <w:tcW w:w="619" w:type="pct"/>
            <w:noWrap/>
          </w:tcPr>
          <w:p w14:paraId="673BE83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2.70</w:t>
            </w:r>
            <w:r>
              <w:rPr>
                <w:rFonts w:cs="Times New Roman"/>
                <w:color w:val="000000" w:themeColor="text1"/>
                <w:kern w:val="0"/>
                <w:sz w:val="20"/>
                <w:szCs w:val="20"/>
                <w:vertAlign w:val="superscript"/>
              </w:rPr>
              <w:t>bc</w:t>
            </w:r>
            <w:r>
              <w:rPr>
                <w:rFonts w:cs="Times New Roman"/>
                <w:color w:val="000000" w:themeColor="text1"/>
                <w:kern w:val="0"/>
                <w:sz w:val="20"/>
                <w:szCs w:val="20"/>
              </w:rPr>
              <w:t>±0.01</w:t>
            </w:r>
          </w:p>
        </w:tc>
        <w:tc>
          <w:tcPr>
            <w:tcW w:w="725" w:type="pct"/>
            <w:noWrap/>
          </w:tcPr>
          <w:p w14:paraId="0047A0A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6.51</w:t>
            </w:r>
            <w:r>
              <w:rPr>
                <w:rFonts w:cs="Times New Roman"/>
                <w:color w:val="000000" w:themeColor="text1"/>
                <w:kern w:val="0"/>
                <w:sz w:val="20"/>
                <w:szCs w:val="20"/>
                <w:vertAlign w:val="superscript"/>
              </w:rPr>
              <w:t>a</w:t>
            </w:r>
            <w:r>
              <w:rPr>
                <w:rFonts w:cs="Times New Roman"/>
                <w:color w:val="000000" w:themeColor="text1"/>
                <w:kern w:val="0"/>
                <w:sz w:val="20"/>
                <w:szCs w:val="20"/>
              </w:rPr>
              <w:t>±0.28</w:t>
            </w:r>
          </w:p>
        </w:tc>
        <w:tc>
          <w:tcPr>
            <w:tcW w:w="823" w:type="pct"/>
            <w:noWrap/>
          </w:tcPr>
          <w:p w14:paraId="56EBF6D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16.95</w:t>
            </w:r>
            <w:r>
              <w:rPr>
                <w:rFonts w:cs="Times New Roman"/>
                <w:color w:val="000000" w:themeColor="text1"/>
                <w:kern w:val="0"/>
                <w:sz w:val="20"/>
                <w:szCs w:val="20"/>
                <w:vertAlign w:val="superscript"/>
              </w:rPr>
              <w:t>d</w:t>
            </w:r>
            <w:r>
              <w:rPr>
                <w:rFonts w:cs="Times New Roman"/>
                <w:color w:val="000000" w:themeColor="text1"/>
                <w:kern w:val="0"/>
                <w:sz w:val="20"/>
                <w:szCs w:val="20"/>
              </w:rPr>
              <w:t>±0.11</w:t>
            </w:r>
          </w:p>
        </w:tc>
        <w:tc>
          <w:tcPr>
            <w:tcW w:w="816" w:type="pct"/>
            <w:noWrap/>
          </w:tcPr>
          <w:p w14:paraId="356AA3A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±0.35</w:t>
            </w:r>
          </w:p>
        </w:tc>
      </w:tr>
      <w:tr w:rsidR="007628E0" w14:paraId="0A63690F"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029DD00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886" w:type="pct"/>
            <w:noWrap/>
          </w:tcPr>
          <w:p w14:paraId="7B41971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8.53</w:t>
            </w:r>
            <w:r>
              <w:rPr>
                <w:rFonts w:cs="Times New Roman"/>
                <w:color w:val="000000" w:themeColor="text1"/>
                <w:kern w:val="0"/>
                <w:sz w:val="20"/>
                <w:szCs w:val="20"/>
                <w:vertAlign w:val="superscript"/>
              </w:rPr>
              <w:t>b</w:t>
            </w:r>
            <w:r>
              <w:rPr>
                <w:rFonts w:cs="Times New Roman"/>
                <w:color w:val="000000" w:themeColor="text1"/>
                <w:kern w:val="0"/>
                <w:sz w:val="20"/>
                <w:szCs w:val="20"/>
              </w:rPr>
              <w:t>±0.18</w:t>
            </w:r>
          </w:p>
        </w:tc>
        <w:tc>
          <w:tcPr>
            <w:tcW w:w="654" w:type="pct"/>
            <w:noWrap/>
          </w:tcPr>
          <w:p w14:paraId="1E4E60A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1.27</w:t>
            </w:r>
            <w:r>
              <w:rPr>
                <w:rFonts w:cs="Times New Roman"/>
                <w:color w:val="000000" w:themeColor="text1"/>
                <w:kern w:val="0"/>
                <w:sz w:val="20"/>
                <w:szCs w:val="20"/>
                <w:vertAlign w:val="superscript"/>
              </w:rPr>
              <w:t>a</w:t>
            </w:r>
            <w:r>
              <w:rPr>
                <w:rFonts w:cs="Times New Roman"/>
                <w:color w:val="000000" w:themeColor="text1"/>
                <w:kern w:val="0"/>
                <w:sz w:val="20"/>
                <w:szCs w:val="20"/>
              </w:rPr>
              <w:t>±0.01</w:t>
            </w:r>
          </w:p>
        </w:tc>
        <w:tc>
          <w:tcPr>
            <w:tcW w:w="619" w:type="pct"/>
            <w:noWrap/>
          </w:tcPr>
          <w:p w14:paraId="3FDF4EB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2.52</w:t>
            </w:r>
            <w:r>
              <w:rPr>
                <w:rFonts w:cs="Times New Roman"/>
                <w:color w:val="000000" w:themeColor="text1"/>
                <w:kern w:val="0"/>
                <w:sz w:val="20"/>
                <w:szCs w:val="20"/>
                <w:vertAlign w:val="superscript"/>
              </w:rPr>
              <w:t>cd</w:t>
            </w:r>
            <w:r>
              <w:rPr>
                <w:rFonts w:cs="Times New Roman"/>
                <w:color w:val="000000" w:themeColor="text1"/>
                <w:kern w:val="0"/>
                <w:sz w:val="20"/>
                <w:szCs w:val="20"/>
              </w:rPr>
              <w:t>±0.05</w:t>
            </w:r>
          </w:p>
        </w:tc>
        <w:tc>
          <w:tcPr>
            <w:tcW w:w="725" w:type="pct"/>
            <w:noWrap/>
          </w:tcPr>
          <w:p w14:paraId="74DBD76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6.40</w:t>
            </w:r>
            <w:r>
              <w:rPr>
                <w:rFonts w:cs="Times New Roman"/>
                <w:color w:val="000000" w:themeColor="text1"/>
                <w:kern w:val="0"/>
                <w:sz w:val="20"/>
                <w:szCs w:val="20"/>
                <w:vertAlign w:val="superscript"/>
              </w:rPr>
              <w:t>a</w:t>
            </w:r>
            <w:r>
              <w:rPr>
                <w:rFonts w:cs="Times New Roman"/>
                <w:color w:val="000000" w:themeColor="text1"/>
                <w:kern w:val="0"/>
                <w:sz w:val="20"/>
                <w:szCs w:val="20"/>
              </w:rPr>
              <w:t>±0.17</w:t>
            </w:r>
          </w:p>
        </w:tc>
        <w:tc>
          <w:tcPr>
            <w:tcW w:w="823" w:type="pct"/>
            <w:noWrap/>
          </w:tcPr>
          <w:p w14:paraId="30E4C16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16.82</w:t>
            </w:r>
            <w:r>
              <w:rPr>
                <w:rFonts w:cs="Times New Roman"/>
                <w:color w:val="000000" w:themeColor="text1"/>
                <w:kern w:val="0"/>
                <w:sz w:val="20"/>
                <w:szCs w:val="20"/>
                <w:vertAlign w:val="superscript"/>
              </w:rPr>
              <w:t>d</w:t>
            </w:r>
            <w:r>
              <w:rPr>
                <w:rFonts w:cs="Times New Roman"/>
                <w:color w:val="000000" w:themeColor="text1"/>
                <w:kern w:val="0"/>
                <w:sz w:val="20"/>
                <w:szCs w:val="20"/>
              </w:rPr>
              <w:t>±0.24</w:t>
            </w:r>
          </w:p>
        </w:tc>
        <w:tc>
          <w:tcPr>
            <w:tcW w:w="816" w:type="pct"/>
            <w:noWrap/>
          </w:tcPr>
          <w:p w14:paraId="52DD2F10"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7628E0" w14:paraId="3466AD69"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2C21BA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886" w:type="pct"/>
            <w:noWrap/>
          </w:tcPr>
          <w:p w14:paraId="0BAC6A4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7.18</w:t>
            </w:r>
            <w:r>
              <w:rPr>
                <w:rFonts w:cs="Times New Roman"/>
                <w:color w:val="000000" w:themeColor="text1"/>
                <w:kern w:val="0"/>
                <w:sz w:val="20"/>
                <w:szCs w:val="20"/>
                <w:vertAlign w:val="superscript"/>
              </w:rPr>
              <w:t>a</w:t>
            </w:r>
            <w:r>
              <w:rPr>
                <w:rFonts w:cs="Times New Roman"/>
                <w:color w:val="000000" w:themeColor="text1"/>
                <w:kern w:val="0"/>
                <w:sz w:val="20"/>
                <w:szCs w:val="20"/>
              </w:rPr>
              <w:t>±0.03</w:t>
            </w:r>
          </w:p>
        </w:tc>
        <w:tc>
          <w:tcPr>
            <w:tcW w:w="654" w:type="pct"/>
            <w:noWrap/>
          </w:tcPr>
          <w:p w14:paraId="7076FD7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1.18</w:t>
            </w:r>
            <w:r>
              <w:rPr>
                <w:rFonts w:cs="Times New Roman"/>
                <w:color w:val="000000" w:themeColor="text1"/>
                <w:kern w:val="0"/>
                <w:sz w:val="20"/>
                <w:szCs w:val="20"/>
                <w:vertAlign w:val="superscript"/>
              </w:rPr>
              <w:t>b</w:t>
            </w:r>
            <w:r>
              <w:rPr>
                <w:rFonts w:cs="Times New Roman"/>
                <w:color w:val="000000" w:themeColor="text1"/>
                <w:kern w:val="0"/>
                <w:sz w:val="20"/>
                <w:szCs w:val="20"/>
              </w:rPr>
              <w:t>±0.02</w:t>
            </w:r>
          </w:p>
        </w:tc>
        <w:tc>
          <w:tcPr>
            <w:tcW w:w="619" w:type="pct"/>
            <w:noWrap/>
          </w:tcPr>
          <w:p w14:paraId="1FE7855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2.45</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725" w:type="pct"/>
            <w:noWrap/>
          </w:tcPr>
          <w:p w14:paraId="0FF442CA"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6.72</w:t>
            </w:r>
            <w:r>
              <w:rPr>
                <w:rFonts w:cs="Times New Roman"/>
                <w:color w:val="000000" w:themeColor="text1"/>
                <w:kern w:val="0"/>
                <w:sz w:val="20"/>
                <w:szCs w:val="20"/>
                <w:vertAlign w:val="superscript"/>
              </w:rPr>
              <w:t>a</w:t>
            </w:r>
            <w:r>
              <w:rPr>
                <w:rFonts w:cs="Times New Roman"/>
                <w:color w:val="000000" w:themeColor="text1"/>
                <w:kern w:val="0"/>
                <w:sz w:val="20"/>
                <w:szCs w:val="20"/>
              </w:rPr>
              <w:t>±0.29</w:t>
            </w:r>
          </w:p>
        </w:tc>
        <w:tc>
          <w:tcPr>
            <w:tcW w:w="823" w:type="pct"/>
            <w:noWrap/>
          </w:tcPr>
          <w:p w14:paraId="28B2F87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17.44</w:t>
            </w:r>
            <w:r>
              <w:rPr>
                <w:rFonts w:cs="Times New Roman"/>
                <w:color w:val="000000" w:themeColor="text1"/>
                <w:kern w:val="0"/>
                <w:sz w:val="20"/>
                <w:szCs w:val="20"/>
                <w:vertAlign w:val="superscript"/>
              </w:rPr>
              <w:t>c</w:t>
            </w:r>
            <w:r>
              <w:rPr>
                <w:rFonts w:cs="Times New Roman"/>
                <w:color w:val="000000" w:themeColor="text1"/>
                <w:kern w:val="0"/>
                <w:sz w:val="20"/>
                <w:szCs w:val="20"/>
              </w:rPr>
              <w:t>±0.05</w:t>
            </w:r>
          </w:p>
        </w:tc>
        <w:tc>
          <w:tcPr>
            <w:tcW w:w="816" w:type="pct"/>
            <w:noWrap/>
          </w:tcPr>
          <w:p w14:paraId="74F349E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65.00</w:t>
            </w:r>
            <w:r>
              <w:rPr>
                <w:rFonts w:cs="Times New Roman"/>
                <w:color w:val="000000" w:themeColor="text1"/>
                <w:kern w:val="0"/>
                <w:sz w:val="20"/>
                <w:szCs w:val="20"/>
                <w:vertAlign w:val="superscript"/>
              </w:rPr>
              <w:t>a</w:t>
            </w:r>
            <w:r>
              <w:rPr>
                <w:rFonts w:cs="Times New Roman"/>
                <w:color w:val="000000" w:themeColor="text1"/>
                <w:kern w:val="0"/>
                <w:sz w:val="20"/>
                <w:szCs w:val="20"/>
              </w:rPr>
              <w:t>±0.31</w:t>
            </w:r>
          </w:p>
        </w:tc>
      </w:tr>
    </w:tbl>
    <w:p w14:paraId="6217591A" w14:textId="77777777" w:rsidR="007628E0" w:rsidRDefault="00A56C92">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(p&lt;0.05) different.</w:t>
      </w:r>
    </w:p>
    <w:p w14:paraId="34C230FC" w14:textId="77777777" w:rsidR="007628E0" w:rsidRDefault="00A56C92">
      <w:pPr>
        <w:spacing w:after="0" w:line="240" w:lineRule="auto"/>
        <w:jc w:val="both"/>
        <w:rPr>
          <w:rFonts w:ascii="Times New Roman" w:hAnsi="Times New Roman" w:cs="Times New Roman"/>
          <w:b/>
          <w:bCs/>
          <w:sz w:val="20"/>
          <w:szCs w:val="20"/>
        </w:rPr>
      </w:pPr>
      <w:bookmarkStart w:id="6" w:name="_Toc183525210"/>
      <w:r>
        <w:rPr>
          <w:rFonts w:ascii="Times New Roman" w:hAnsi="Times New Roman" w:cs="Times New Roman"/>
          <w:b/>
          <w:bCs/>
          <w:sz w:val="20"/>
          <w:szCs w:val="20"/>
        </w:rPr>
        <w:t>KEYS</w:t>
      </w:r>
    </w:p>
    <w:p w14:paraId="18DDF4AA"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p>
    <w:p w14:paraId="15FFCB51" w14:textId="77777777" w:rsidR="007628E0" w:rsidRDefault="007628E0">
      <w:pPr>
        <w:spacing w:line="240" w:lineRule="auto"/>
        <w:rPr>
          <w:rFonts w:ascii="Times New Roman" w:hAnsi="Times New Roman" w:cs="Times New Roman"/>
          <w:b/>
          <w:bCs/>
        </w:rPr>
      </w:pPr>
    </w:p>
    <w:p w14:paraId="1127A6B0" w14:textId="77777777" w:rsidR="007628E0" w:rsidRDefault="00A56C92">
      <w:pPr>
        <w:spacing w:line="24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t>Physical Properties of Cookies from Oatmeal flour, Banana Pulp and Honey Blend</w:t>
      </w:r>
    </w:p>
    <w:p w14:paraId="3932739F" w14:textId="77777777" w:rsidR="007628E0" w:rsidRDefault="00A56C92">
      <w:pPr>
        <w:spacing w:line="240" w:lineRule="auto"/>
        <w:jc w:val="both"/>
        <w:rPr>
          <w:rFonts w:ascii="Times New Roman" w:hAnsi="Times New Roman" w:cs="Times New Roman"/>
        </w:rPr>
      </w:pPr>
      <w:r>
        <w:rPr>
          <w:rFonts w:ascii="Times New Roman" w:hAnsi="Times New Roman" w:cs="Times New Roman"/>
        </w:rPr>
        <w:t>Table 2 shows the physical properties which includes the diameter, thickness, spread ratio, and weight. The diameters ranged from 5.25 cm in sample A to 5.48 cm in sample D, while thickness values varied slightly between 0.467 cm and 0.533 cm. Spread ratios were relatively high, between 10.17 and 11.50, and weights ranged from 9.33 g to 11.30 g.</w:t>
      </w:r>
    </w:p>
    <w:p w14:paraId="5F8A71C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Xiong </w:t>
      </w:r>
      <w:r>
        <w:rPr>
          <w:rFonts w:ascii="Times New Roman" w:hAnsi="Times New Roman" w:cs="Times New Roman"/>
          <w:i/>
        </w:rPr>
        <w:t>et al</w:t>
      </w:r>
      <w:r>
        <w:rPr>
          <w:rFonts w:ascii="Times New Roman" w:hAnsi="Times New Roman" w:cs="Times New Roman"/>
        </w:rPr>
        <w:t xml:space="preserve">. (2023) reported that partial substitution of wheat flour with </w:t>
      </w:r>
      <w:proofErr w:type="spellStart"/>
      <w:r>
        <w:rPr>
          <w:rFonts w:ascii="Times New Roman" w:hAnsi="Times New Roman" w:cs="Times New Roman"/>
        </w:rPr>
        <w:t>Huangjing</w:t>
      </w:r>
      <w:proofErr w:type="spellEnd"/>
      <w:r>
        <w:rPr>
          <w:rFonts w:ascii="Times New Roman" w:hAnsi="Times New Roman" w:cs="Times New Roman"/>
        </w:rPr>
        <w:t xml:space="preserve"> flour produced cookies whose spread ratios remained similar to control samples at lower inclusion levels, but decreased when substitution was high due to increased dough viscosity and reduced gluten development. </w:t>
      </w:r>
    </w:p>
    <w:p w14:paraId="5D3ACE88"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Similarly, </w:t>
      </w:r>
      <w:proofErr w:type="spellStart"/>
      <w:r>
        <w:rPr>
          <w:rFonts w:ascii="Times New Roman" w:hAnsi="Times New Roman" w:cs="Times New Roman"/>
        </w:rPr>
        <w:t>Aljobair</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observed that addition of clove powder in composite flour cookies did not significantly alter cookie diameter or thickness at moderate concentrations.</w:t>
      </w:r>
    </w:p>
    <w:p w14:paraId="341213F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spread ratios obtained in the present study (10–11) are consistent with values of Alam </w:t>
      </w:r>
      <w:r>
        <w:rPr>
          <w:rFonts w:ascii="Times New Roman" w:hAnsi="Times New Roman" w:cs="Times New Roman"/>
          <w:i/>
        </w:rPr>
        <w:t>et al</w:t>
      </w:r>
      <w:r>
        <w:rPr>
          <w:rFonts w:ascii="Times New Roman" w:hAnsi="Times New Roman" w:cs="Times New Roman"/>
        </w:rPr>
        <w:t>. (2020), suggesting that the oatmeal–banana–honey blend maintained adequate dough extensibility and moisture balance to allow spreading without collapse.</w:t>
      </w:r>
    </w:p>
    <w:p w14:paraId="3493EAE7"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The weights of the cookies in this study (9.33–11.30 g) are also comparable to values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for wheat–oat composite cookies sweetened with date syrup (8.75–12.00 g), further demonstrating that the substitution of honey and banana pulp in place of refined sugar and fat does not adversely affect final product yield. </w:t>
      </w:r>
    </w:p>
    <w:p w14:paraId="29A77E67"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relatively narrow range of weights across samples indicates consistency in dough handling and baking performance, a desirable characteristic for commercial production.</w:t>
      </w:r>
    </w:p>
    <w:p w14:paraId="19A91122" w14:textId="77777777" w:rsidR="007628E0" w:rsidRDefault="00A56C9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2: Physical Properties of Oatmeal flour, banana pulp and honey blends</w:t>
      </w:r>
    </w:p>
    <w:tbl>
      <w:tblPr>
        <w:tblStyle w:val="PlainTable21"/>
        <w:tblW w:w="5000" w:type="pct"/>
        <w:tblLook w:val="04A0" w:firstRow="1" w:lastRow="0" w:firstColumn="1" w:lastColumn="0" w:noHBand="0" w:noVBand="1"/>
      </w:tblPr>
      <w:tblGrid>
        <w:gridCol w:w="1099"/>
        <w:gridCol w:w="2014"/>
        <w:gridCol w:w="2243"/>
        <w:gridCol w:w="1670"/>
        <w:gridCol w:w="2334"/>
      </w:tblGrid>
      <w:tr w:rsidR="007628E0" w14:paraId="140BE9A1" w14:textId="77777777" w:rsidTr="007628E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0603056B"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1076" w:type="pct"/>
          </w:tcPr>
          <w:p w14:paraId="3CF398F6"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Diameter</w:t>
            </w:r>
            <w:proofErr w:type="gramStart"/>
            <w:r>
              <w:rPr>
                <w:rFonts w:cs="Times New Roman"/>
                <w:color w:val="000000" w:themeColor="text1"/>
                <w:sz w:val="20"/>
                <w:szCs w:val="20"/>
              </w:rPr>
              <w:t xml:space="preserve">   (</w:t>
            </w:r>
            <w:proofErr w:type="gramEnd"/>
            <w:r>
              <w:rPr>
                <w:rFonts w:cs="Times New Roman"/>
                <w:color w:val="000000" w:themeColor="text1"/>
                <w:sz w:val="20"/>
                <w:szCs w:val="20"/>
              </w:rPr>
              <w:t>cm)</w:t>
            </w:r>
          </w:p>
        </w:tc>
        <w:tc>
          <w:tcPr>
            <w:tcW w:w="1198" w:type="pct"/>
          </w:tcPr>
          <w:p w14:paraId="683FECF5"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Thickness (cm)</w:t>
            </w:r>
          </w:p>
        </w:tc>
        <w:tc>
          <w:tcPr>
            <w:tcW w:w="892" w:type="pct"/>
          </w:tcPr>
          <w:p w14:paraId="777259CD"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Spread Ratio</w:t>
            </w:r>
          </w:p>
        </w:tc>
        <w:tc>
          <w:tcPr>
            <w:tcW w:w="1247" w:type="pct"/>
          </w:tcPr>
          <w:p w14:paraId="78EC15C4"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Weight (g)</w:t>
            </w:r>
          </w:p>
        </w:tc>
      </w:tr>
      <w:tr w:rsidR="007628E0" w14:paraId="171DA66E"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80E8ED8"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1076" w:type="pct"/>
          </w:tcPr>
          <w:p w14:paraId="518AC7A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5.25ᵃ ± 0.13</w:t>
            </w:r>
          </w:p>
        </w:tc>
        <w:tc>
          <w:tcPr>
            <w:tcW w:w="1198" w:type="pct"/>
          </w:tcPr>
          <w:p w14:paraId="5419A9E1"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0.48ᵃ ± 0.029</w:t>
            </w:r>
          </w:p>
        </w:tc>
        <w:tc>
          <w:tcPr>
            <w:tcW w:w="892" w:type="pct"/>
          </w:tcPr>
          <w:p w14:paraId="77970BA1"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10.9ᵃ ± 0.82</w:t>
            </w:r>
          </w:p>
        </w:tc>
        <w:tc>
          <w:tcPr>
            <w:tcW w:w="1247" w:type="pct"/>
          </w:tcPr>
          <w:p w14:paraId="78A6191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9.33ᵃ ± 0.32</w:t>
            </w:r>
          </w:p>
        </w:tc>
      </w:tr>
      <w:tr w:rsidR="007628E0" w14:paraId="2AEFF7C1"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67869569"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1076" w:type="pct"/>
          </w:tcPr>
          <w:p w14:paraId="311ED9FA"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5.30ᵃ ± 0.20</w:t>
            </w:r>
          </w:p>
        </w:tc>
        <w:tc>
          <w:tcPr>
            <w:tcW w:w="1198" w:type="pct"/>
          </w:tcPr>
          <w:p w14:paraId="079D16D4"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0.47ᵃ ± 0.058</w:t>
            </w:r>
          </w:p>
        </w:tc>
        <w:tc>
          <w:tcPr>
            <w:tcW w:w="892" w:type="pct"/>
          </w:tcPr>
          <w:p w14:paraId="30816FAD"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11.5ᵃ ± 1.61</w:t>
            </w:r>
          </w:p>
        </w:tc>
        <w:tc>
          <w:tcPr>
            <w:tcW w:w="1247" w:type="pct"/>
          </w:tcPr>
          <w:p w14:paraId="70A5FD36"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10.50ᵃ ± 0.82</w:t>
            </w:r>
          </w:p>
        </w:tc>
      </w:tr>
      <w:tr w:rsidR="007628E0" w14:paraId="07057D85"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30079C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1076" w:type="pct"/>
          </w:tcPr>
          <w:p w14:paraId="544BEEBA"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5.42ᵃ ± 0.16</w:t>
            </w:r>
          </w:p>
        </w:tc>
        <w:tc>
          <w:tcPr>
            <w:tcW w:w="1198" w:type="pct"/>
          </w:tcPr>
          <w:p w14:paraId="00123AF4"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0.53ᵃ ± 0.115</w:t>
            </w:r>
          </w:p>
        </w:tc>
        <w:tc>
          <w:tcPr>
            <w:tcW w:w="892" w:type="pct"/>
          </w:tcPr>
          <w:p w14:paraId="566C4CE6"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10.48ᵃ ± 2.40</w:t>
            </w:r>
          </w:p>
        </w:tc>
        <w:tc>
          <w:tcPr>
            <w:tcW w:w="1247" w:type="pct"/>
          </w:tcPr>
          <w:p w14:paraId="13CEFE7B"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11.30ᵃ ± 1.93</w:t>
            </w:r>
          </w:p>
        </w:tc>
      </w:tr>
      <w:tr w:rsidR="007628E0" w14:paraId="15FB10AE"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8ACF9B5"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1076" w:type="pct"/>
          </w:tcPr>
          <w:p w14:paraId="1EF47CE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5.48ᵃ ± 0.10</w:t>
            </w:r>
          </w:p>
        </w:tc>
        <w:tc>
          <w:tcPr>
            <w:tcW w:w="1198" w:type="pct"/>
          </w:tcPr>
          <w:p w14:paraId="24689657"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0.52ᵃ ± 0.076</w:t>
            </w:r>
          </w:p>
        </w:tc>
        <w:tc>
          <w:tcPr>
            <w:tcW w:w="892" w:type="pct"/>
          </w:tcPr>
          <w:p w14:paraId="5B5C5B13"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10.73ᵃ ± 1.40</w:t>
            </w:r>
          </w:p>
        </w:tc>
        <w:tc>
          <w:tcPr>
            <w:tcW w:w="1247" w:type="pct"/>
          </w:tcPr>
          <w:p w14:paraId="011ECF15"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11.23ᵃ ± 1.72</w:t>
            </w:r>
          </w:p>
        </w:tc>
      </w:tr>
      <w:tr w:rsidR="007628E0" w14:paraId="24F3CB37"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BBB9197"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1076" w:type="pct"/>
          </w:tcPr>
          <w:p w14:paraId="45CD43E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5.38ᵃ ± 0.03</w:t>
            </w:r>
          </w:p>
        </w:tc>
        <w:tc>
          <w:tcPr>
            <w:tcW w:w="1198" w:type="pct"/>
          </w:tcPr>
          <w:p w14:paraId="6EB2E89B"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0.53ᵃ ± 0.058</w:t>
            </w:r>
          </w:p>
        </w:tc>
        <w:tc>
          <w:tcPr>
            <w:tcW w:w="892" w:type="pct"/>
          </w:tcPr>
          <w:p w14:paraId="60926D8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10.17ᵃ ± 1.01</w:t>
            </w:r>
          </w:p>
        </w:tc>
        <w:tc>
          <w:tcPr>
            <w:tcW w:w="1247" w:type="pct"/>
          </w:tcPr>
          <w:p w14:paraId="6C80D18C"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10.07ᵃ ± 0.68</w:t>
            </w:r>
          </w:p>
        </w:tc>
      </w:tr>
    </w:tbl>
    <w:p w14:paraId="37C7D16D" w14:textId="77777777" w:rsidR="007628E0" w:rsidRDefault="00A56C92">
      <w:pPr>
        <w:rPr>
          <w:rFonts w:ascii="Times New Roman" w:hAnsi="Times New Roman" w:cs="Times New Roman"/>
          <w:sz w:val="20"/>
          <w:szCs w:val="20"/>
        </w:rPr>
      </w:pPr>
      <w:r>
        <w:rPr>
          <w:rFonts w:ascii="Times New Roman" w:hAnsi="Times New Roman" w:cs="Times New Roman"/>
          <w:b/>
          <w:color w:val="000000" w:themeColor="text1"/>
        </w:rPr>
        <w:t xml:space="preserve"> </w:t>
      </w:r>
      <w:r>
        <w:rPr>
          <w:rFonts w:ascii="Times New Roman" w:hAnsi="Times New Roman" w:cs="Times New Roman"/>
          <w:iCs/>
          <w:sz w:val="20"/>
          <w:szCs w:val="20"/>
        </w:rPr>
        <w:t>Values are means of triplicate determinations ± standard deviation. Means in the same column with different superscripts differ significantly (p&lt;0.05) according to Duncan’s multiple range test.</w:t>
      </w:r>
    </w:p>
    <w:p w14:paraId="07BA1147" w14:textId="77777777" w:rsidR="007628E0" w:rsidRDefault="00A56C9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KEYS</w:t>
      </w:r>
    </w:p>
    <w:p w14:paraId="083579A2"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w:t>
      </w:r>
    </w:p>
    <w:p w14:paraId="0687EF1B"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 85% Oatmeal Flour: 10% Banana pulp: 5% Honey; D = 80% Oatmeal Flour: 15% Banana pulp: 5% Honey</w:t>
      </w:r>
    </w:p>
    <w:p w14:paraId="27EC9B94"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 = 75% Oatmeal Flour: 20% Banana pulp: 5% Honey</w:t>
      </w:r>
    </w:p>
    <w:p w14:paraId="3B193C28"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t>Mineral Analysis of Cookies from Oatmeal Flour, Banana Pulp and Honey</w:t>
      </w:r>
    </w:p>
    <w:p w14:paraId="522597A2" w14:textId="77777777" w:rsidR="007628E0" w:rsidRDefault="00A56C92">
      <w:pPr>
        <w:spacing w:line="240" w:lineRule="auto"/>
        <w:jc w:val="both"/>
        <w:rPr>
          <w:rFonts w:ascii="Times New Roman" w:hAnsi="Times New Roman" w:cs="Times New Roman"/>
        </w:rPr>
      </w:pPr>
      <w:r>
        <w:rPr>
          <w:rFonts w:ascii="Times New Roman" w:hAnsi="Times New Roman" w:cs="Times New Roman"/>
        </w:rPr>
        <w:t>Table 3 shows result on the mineral analysis; calcium (Ca), iron (Fe), potassium (K), and sodium (Na) contents increased progressively from Sample A through E, with Sample E having the highest Ca (3.867 mg/100 g), K (310.0 mg/100 g), and Na (113.6 mg/100 g), while Fe peaked in Sample D (0.480 mg/100 g).</w:t>
      </w:r>
    </w:p>
    <w:p w14:paraId="0736F82C"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Chayote mung bean flour biscuits evaluated by </w:t>
      </w:r>
      <w:proofErr w:type="spellStart"/>
      <w:r>
        <w:rPr>
          <w:rFonts w:ascii="Times New Roman" w:hAnsi="Times New Roman" w:cs="Times New Roman"/>
        </w:rPr>
        <w:t>Sakung</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had K values significantly lower than 300 mg/100 g, demonstrating that the banana containing formulations in the result, achieved mineral levels among the higher end of typical composite flour baked goods.</w:t>
      </w:r>
    </w:p>
    <w:p w14:paraId="62DB6D0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calcium levels observed in the present study (1.80–3.87 mg/100 g) were modest when compared with values reported for many fruit- or seed-enriched cookies. For instance, Hussein </w:t>
      </w:r>
      <w:r>
        <w:rPr>
          <w:rFonts w:ascii="Times New Roman" w:hAnsi="Times New Roman" w:cs="Times New Roman"/>
          <w:i/>
        </w:rPr>
        <w:t>et al</w:t>
      </w:r>
      <w:r>
        <w:rPr>
          <w:rFonts w:ascii="Times New Roman" w:hAnsi="Times New Roman" w:cs="Times New Roman"/>
        </w:rPr>
        <w:t xml:space="preserve">. (2020) found that cookies fortified with pumpkin seed flour recorded calcium contents in the range of 32–46 mg/100 g, far exceeding the levels obtained in this study. Similarly,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(2021) reported significantly higher calcium levels when banana peel flour was incorporated into biscuit formulations, attributing the increase to the higher mineral density of the peel compared to the pulp. These findings suggest that the relatively low calcium in the current samples is linked to the use of banana pulp, which is less mineral-dense, and the absence of mineral-rich seed flours.</w:t>
      </w:r>
    </w:p>
    <w:p w14:paraId="16F366F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Iron concentrations in the cookies (0.28–0.48 mg/100 g) were similarly low, a trend consistent with most non-fortified bakery products. </w:t>
      </w:r>
      <w:proofErr w:type="spellStart"/>
      <w:r>
        <w:rPr>
          <w:rFonts w:ascii="Times New Roman" w:hAnsi="Times New Roman" w:cs="Times New Roman"/>
        </w:rPr>
        <w:t>Adegunwa</w:t>
      </w:r>
      <w:proofErr w:type="spellEnd"/>
      <w:r>
        <w:rPr>
          <w:rFonts w:ascii="Times New Roman" w:hAnsi="Times New Roman" w:cs="Times New Roman"/>
          <w:i/>
        </w:rPr>
        <w:t xml:space="preserve"> et al.</w:t>
      </w:r>
      <w:r>
        <w:rPr>
          <w:rFonts w:ascii="Times New Roman" w:hAnsi="Times New Roman" w:cs="Times New Roman"/>
        </w:rPr>
        <w:t xml:space="preserve"> (2017) noted that cookies produced from wheat–plantain–</w:t>
      </w:r>
      <w:proofErr w:type="spellStart"/>
      <w:r>
        <w:rPr>
          <w:rFonts w:ascii="Times New Roman" w:hAnsi="Times New Roman" w:cs="Times New Roman"/>
        </w:rPr>
        <w:t>bambara</w:t>
      </w:r>
      <w:proofErr w:type="spellEnd"/>
      <w:r>
        <w:rPr>
          <w:rFonts w:ascii="Times New Roman" w:hAnsi="Times New Roman" w:cs="Times New Roman"/>
        </w:rPr>
        <w:t xml:space="preserve"> groundnut blends contained less than 1 mg/100 g of iron, while higher iron values were only achieved when iron-rich legumes or by-products were used. In contrast, Adelekan </w:t>
      </w:r>
      <w:r>
        <w:rPr>
          <w:rFonts w:ascii="Times New Roman" w:hAnsi="Times New Roman" w:cs="Times New Roman"/>
          <w:i/>
        </w:rPr>
        <w:t>et al</w:t>
      </w:r>
      <w:r>
        <w:rPr>
          <w:rFonts w:ascii="Times New Roman" w:hAnsi="Times New Roman" w:cs="Times New Roman"/>
        </w:rPr>
        <w:t>. (2019) reported appreciably higher iron (up to 12 mg/100 g) in cookies fortified with African locust bean flour, highlighting the role of ingredient choice in improving iron density.</w:t>
      </w:r>
    </w:p>
    <w:p w14:paraId="12C2B488"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Sodium levels in this study ranged between 32.40 and 113.6 mg/100 g, which were moderate compared to many commercial cookies.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reported sodium contents between 95–145 mg/100 g in wheat–oat cookies sweetened with date syrup, while Xiong </w:t>
      </w:r>
      <w:r>
        <w:rPr>
          <w:rFonts w:ascii="Times New Roman" w:hAnsi="Times New Roman" w:cs="Times New Roman"/>
          <w:i/>
        </w:rPr>
        <w:t>et al</w:t>
      </w:r>
      <w:r>
        <w:rPr>
          <w:rFonts w:ascii="Times New Roman" w:hAnsi="Times New Roman" w:cs="Times New Roman"/>
        </w:rPr>
        <w:t xml:space="preserve">. (2023) also found elevated sodium levels in </w:t>
      </w:r>
      <w:proofErr w:type="spellStart"/>
      <w:r>
        <w:rPr>
          <w:rFonts w:ascii="Times New Roman" w:hAnsi="Times New Roman" w:cs="Times New Roman"/>
        </w:rPr>
        <w:t>Huangjing</w:t>
      </w:r>
      <w:proofErr w:type="spellEnd"/>
      <w:r>
        <w:rPr>
          <w:rFonts w:ascii="Times New Roman" w:hAnsi="Times New Roman" w:cs="Times New Roman"/>
        </w:rPr>
        <w:t>-enriched cookies where salt was added to enhance flavor. The sodium levels in Sample E of the present study (113.6 mg/100 g) are within this commercial range, likely influenced by the combined effects of added salt and the mineral content of honey.</w:t>
      </w:r>
    </w:p>
    <w:p w14:paraId="529476DC" w14:textId="77777777" w:rsidR="007628E0" w:rsidRDefault="00A56C92">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Table 3: Mineral Analysis of Cookies (mg/100g)</w:t>
      </w:r>
    </w:p>
    <w:tbl>
      <w:tblPr>
        <w:tblStyle w:val="PlainTable21"/>
        <w:tblW w:w="5000" w:type="pct"/>
        <w:tblLook w:val="04A0" w:firstRow="1" w:lastRow="0" w:firstColumn="1" w:lastColumn="0" w:noHBand="0" w:noVBand="1"/>
      </w:tblPr>
      <w:tblGrid>
        <w:gridCol w:w="1099"/>
        <w:gridCol w:w="2014"/>
        <w:gridCol w:w="2243"/>
        <w:gridCol w:w="1670"/>
        <w:gridCol w:w="2334"/>
      </w:tblGrid>
      <w:tr w:rsidR="007628E0" w14:paraId="48C43225" w14:textId="77777777" w:rsidTr="007628E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24A0AB44"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1076" w:type="pct"/>
          </w:tcPr>
          <w:p w14:paraId="42D72545"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Calcium</w:t>
            </w:r>
          </w:p>
        </w:tc>
        <w:tc>
          <w:tcPr>
            <w:tcW w:w="1198" w:type="pct"/>
          </w:tcPr>
          <w:p w14:paraId="52BDB28A"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Iron</w:t>
            </w:r>
          </w:p>
        </w:tc>
        <w:tc>
          <w:tcPr>
            <w:tcW w:w="892" w:type="pct"/>
          </w:tcPr>
          <w:p w14:paraId="5277363E"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Potassium                    </w:t>
            </w:r>
          </w:p>
        </w:tc>
        <w:tc>
          <w:tcPr>
            <w:tcW w:w="1247" w:type="pct"/>
          </w:tcPr>
          <w:p w14:paraId="4268C7C2"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Sodium</w:t>
            </w:r>
          </w:p>
        </w:tc>
      </w:tr>
      <w:tr w:rsidR="007628E0" w14:paraId="3EB1DE64"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9C49906"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1076" w:type="pct"/>
          </w:tcPr>
          <w:p w14:paraId="762F3E03"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1.80ᵉ ± 0.13</w:t>
            </w:r>
          </w:p>
        </w:tc>
        <w:tc>
          <w:tcPr>
            <w:tcW w:w="1198" w:type="pct"/>
          </w:tcPr>
          <w:p w14:paraId="0D6AFA32"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0.28ᵈ ± 0.01</w:t>
            </w:r>
          </w:p>
        </w:tc>
        <w:tc>
          <w:tcPr>
            <w:tcW w:w="892" w:type="pct"/>
          </w:tcPr>
          <w:p w14:paraId="5C0D027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88.59ᵉ ± 0.12</w:t>
            </w:r>
          </w:p>
        </w:tc>
        <w:tc>
          <w:tcPr>
            <w:tcW w:w="1247" w:type="pct"/>
          </w:tcPr>
          <w:p w14:paraId="7A237E5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32.40ᵉ ± 0.04</w:t>
            </w:r>
          </w:p>
        </w:tc>
      </w:tr>
      <w:tr w:rsidR="007628E0" w14:paraId="2FE854B5"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8AD6AA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1076" w:type="pct"/>
          </w:tcPr>
          <w:p w14:paraId="3FE0AD8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2.48ᵈ ± 0.03</w:t>
            </w:r>
          </w:p>
        </w:tc>
        <w:tc>
          <w:tcPr>
            <w:tcW w:w="1198" w:type="pct"/>
          </w:tcPr>
          <w:p w14:paraId="296EFF39"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0.33ᶜ ± 0.01</w:t>
            </w:r>
          </w:p>
        </w:tc>
        <w:tc>
          <w:tcPr>
            <w:tcW w:w="892" w:type="pct"/>
          </w:tcPr>
          <w:p w14:paraId="2241F0FF"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106.6ᵈ ± 0.08</w:t>
            </w:r>
          </w:p>
        </w:tc>
        <w:tc>
          <w:tcPr>
            <w:tcW w:w="1247" w:type="pct"/>
          </w:tcPr>
          <w:p w14:paraId="56C71E75"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42.69ᵈ ± 0.05</w:t>
            </w:r>
          </w:p>
        </w:tc>
      </w:tr>
      <w:tr w:rsidR="007628E0" w14:paraId="24FA12CF"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F06744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1076" w:type="pct"/>
          </w:tcPr>
          <w:p w14:paraId="35A891E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2.77ᶜ ± 0.02</w:t>
            </w:r>
          </w:p>
        </w:tc>
        <w:tc>
          <w:tcPr>
            <w:tcW w:w="1198" w:type="pct"/>
          </w:tcPr>
          <w:p w14:paraId="1EF316ED"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0.29ᵈ ± 0.01</w:t>
            </w:r>
          </w:p>
        </w:tc>
        <w:tc>
          <w:tcPr>
            <w:tcW w:w="892" w:type="pct"/>
          </w:tcPr>
          <w:p w14:paraId="6EC3562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111.8ᶜ ± 0.13</w:t>
            </w:r>
          </w:p>
        </w:tc>
        <w:tc>
          <w:tcPr>
            <w:tcW w:w="1247" w:type="pct"/>
          </w:tcPr>
          <w:p w14:paraId="56CD81D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92.18ᶜ ± 0.04</w:t>
            </w:r>
          </w:p>
        </w:tc>
      </w:tr>
      <w:tr w:rsidR="007628E0" w14:paraId="1A0DB816"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8B0478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1076" w:type="pct"/>
          </w:tcPr>
          <w:p w14:paraId="0DB5901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3.53ᵇ ± 0.01</w:t>
            </w:r>
          </w:p>
        </w:tc>
        <w:tc>
          <w:tcPr>
            <w:tcW w:w="1198" w:type="pct"/>
          </w:tcPr>
          <w:p w14:paraId="0966829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0.48ᵃ ± 0.01</w:t>
            </w:r>
          </w:p>
        </w:tc>
        <w:tc>
          <w:tcPr>
            <w:tcW w:w="892" w:type="pct"/>
          </w:tcPr>
          <w:p w14:paraId="3CAD0E29"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277.4ᵇ ± 0.01</w:t>
            </w:r>
          </w:p>
        </w:tc>
        <w:tc>
          <w:tcPr>
            <w:tcW w:w="1247" w:type="pct"/>
          </w:tcPr>
          <w:p w14:paraId="560507EB"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105.2ᵇ ± 0.01</w:t>
            </w:r>
          </w:p>
        </w:tc>
      </w:tr>
      <w:tr w:rsidR="007628E0" w14:paraId="504862FA"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1B5BE52F"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1076" w:type="pct"/>
          </w:tcPr>
          <w:p w14:paraId="2F73F09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3.87ᵃ ± 0.01</w:t>
            </w:r>
          </w:p>
        </w:tc>
        <w:tc>
          <w:tcPr>
            <w:tcW w:w="1198" w:type="pct"/>
          </w:tcPr>
          <w:p w14:paraId="0DE20416"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0.45ᵇ ± 0.00</w:t>
            </w:r>
          </w:p>
        </w:tc>
        <w:tc>
          <w:tcPr>
            <w:tcW w:w="892" w:type="pct"/>
          </w:tcPr>
          <w:p w14:paraId="32C3860D"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310.0ᵃ ± 0.01</w:t>
            </w:r>
          </w:p>
        </w:tc>
        <w:tc>
          <w:tcPr>
            <w:tcW w:w="1247" w:type="pct"/>
          </w:tcPr>
          <w:p w14:paraId="11FA7432"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113.6ᵃ ± 0.01</w:t>
            </w:r>
          </w:p>
        </w:tc>
      </w:tr>
    </w:tbl>
    <w:p w14:paraId="0409EF3C" w14:textId="77777777" w:rsidR="007628E0" w:rsidRDefault="00A56C92">
      <w:pPr>
        <w:spacing w:line="240" w:lineRule="auto"/>
        <w:jc w:val="both"/>
        <w:rPr>
          <w:rFonts w:ascii="Times New Roman" w:hAnsi="Times New Roman" w:cs="Times New Roman"/>
        </w:rPr>
      </w:pPr>
      <w:r>
        <w:rPr>
          <w:rFonts w:ascii="Times New Roman" w:hAnsi="Times New Roman" w:cs="Times New Roman"/>
          <w:iCs/>
        </w:rPr>
        <w:t>Values are means of triplicate determinations ± standard deviation. Means in the same column with different superscripts differ significantly (p&lt;0.05) according to Duncan’s multiple range test.</w:t>
      </w:r>
    </w:p>
    <w:p w14:paraId="0C2B7F2E" w14:textId="77777777" w:rsidR="007628E0" w:rsidRDefault="00A56C92">
      <w:pPr>
        <w:spacing w:after="0" w:line="240" w:lineRule="auto"/>
        <w:jc w:val="both"/>
        <w:rPr>
          <w:rFonts w:ascii="Times New Roman" w:hAnsi="Times New Roman" w:cs="Times New Roman"/>
          <w:b/>
          <w:bCs/>
        </w:rPr>
      </w:pPr>
      <w:r>
        <w:rPr>
          <w:rFonts w:ascii="Times New Roman" w:hAnsi="Times New Roman" w:cs="Times New Roman"/>
          <w:b/>
          <w:bCs/>
        </w:rPr>
        <w:t>KEYS</w:t>
      </w:r>
    </w:p>
    <w:p w14:paraId="7BBACBE4"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A = 95% Oatmeal Flour: 0% Banana pulp: 5% Honey; B = 90% Oatmeal Flour: 5% Banana pulp: 5% Honey; C = 85% Oatmeal Flour: 10% Banana pulp: 5% Honey; D = 80% Oatmeal Flour: 15% Banana pulp: 5% Honey; E = 75% Oatmeal Flour: 20% Banana pulp: 5% Honey</w:t>
      </w:r>
    </w:p>
    <w:p w14:paraId="482CF545"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3.4</w:t>
      </w:r>
      <w:r>
        <w:rPr>
          <w:rFonts w:ascii="Times New Roman" w:hAnsi="Times New Roman" w:cs="Times New Roman"/>
          <w:b/>
          <w:bCs/>
        </w:rPr>
        <w:tab/>
        <w:t>Sensory Properties of Cookies from Oatmeal Flour, Banana Pulp and Honey</w:t>
      </w:r>
    </w:p>
    <w:p w14:paraId="7FCA334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Table 4 result revealed that all the samples were generally well accepted, with mean scores above 7.5 on a nine-point hedonic scale across all attributes. Appearance scores ranged from 8.40 to 8.60, with sample C rated the highest (8.60) and sample B slightly lower (8.40). These values indicated that the oatmeal–banana–honey blends produced cookies that were visually appealing and comparable to conventional products. Similar findings were reported by </w:t>
      </w:r>
      <w:proofErr w:type="spellStart"/>
      <w:r>
        <w:rPr>
          <w:rFonts w:ascii="Times New Roman" w:hAnsi="Times New Roman" w:cs="Times New Roman"/>
        </w:rPr>
        <w:t>Ekeocha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(2025), who noted that shortbread cookies enriched with soybean and carrot flour maintained high appearance ratings (7.9–8.4) despite compositional modifications.</w:t>
      </w:r>
    </w:p>
    <w:p w14:paraId="0B1D20A1"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Aroma scores ranged from 7.95 in sample A to 8.50 in sample E, with significant differences (p&lt;0.05). The higher aroma scores in samples with greater banana and honey proportions (notably sample E) could be attributed to the natural volatile compounds present in these ingredients, which enhanced flavor perception. This observation aligned with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who reported improved aroma in wheat–oat cookies sweetened with date syrup, suggesting that natural sweeteners contribute positively to sensory quality.</w:t>
      </w:r>
    </w:p>
    <w:p w14:paraId="7779760F"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Colour ratings were fairly consistent (7.85–8.30), with no significant differences among samples, indicating that the substitution did not negatively impact consumer perception of cookie colour. This is in agreement with Yusuf </w:t>
      </w:r>
      <w:r>
        <w:rPr>
          <w:rFonts w:ascii="Times New Roman" w:hAnsi="Times New Roman" w:cs="Times New Roman"/>
          <w:i/>
        </w:rPr>
        <w:t>et al</w:t>
      </w:r>
      <w:r>
        <w:rPr>
          <w:rFonts w:ascii="Times New Roman" w:hAnsi="Times New Roman" w:cs="Times New Roman"/>
        </w:rPr>
        <w:t>. (2023), who found that composite cookies incorporating banana and sesame maintained acceptable colour values similar to those of control samples.</w:t>
      </w:r>
    </w:p>
    <w:p w14:paraId="09B318C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Taste scores were all above 7.8, with sample D (8.40) achieving the highest rating. The pleasant taste profile likely stems from the synergy between banana pulp and honey, which provided natural </w:t>
      </w:r>
      <w:r>
        <w:rPr>
          <w:rFonts w:ascii="Times New Roman" w:hAnsi="Times New Roman" w:cs="Times New Roman"/>
        </w:rPr>
        <w:lastRenderedPageBreak/>
        <w:t xml:space="preserve">sweetness and masked potential bitterness from oatmeal. Similar improvements in taste perception were reported by Alam </w:t>
      </w:r>
      <w:r>
        <w:rPr>
          <w:rFonts w:ascii="Times New Roman" w:hAnsi="Times New Roman" w:cs="Times New Roman"/>
          <w:i/>
        </w:rPr>
        <w:t>et al</w:t>
      </w:r>
      <w:r>
        <w:rPr>
          <w:rFonts w:ascii="Times New Roman" w:hAnsi="Times New Roman" w:cs="Times New Roman"/>
        </w:rPr>
        <w:t>. (2020) when banana peel and honey were incorporated into fibre-enriched cookies, showing that fruit-based components can enhance palatability.</w:t>
      </w:r>
    </w:p>
    <w:p w14:paraId="36CA89E6"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Texture scores ranged from 7.65 to 8.20, with sample E rated the highest. This suggests that the formulation provided a desirable balance between crispness and tenderness, possibly influenced by the humectant properties of honey and the fibre contribution of oatmeal. Comparable outcomes were observed by Okoye </w:t>
      </w:r>
      <w:r>
        <w:rPr>
          <w:rFonts w:ascii="Times New Roman" w:hAnsi="Times New Roman" w:cs="Times New Roman"/>
          <w:i/>
        </w:rPr>
        <w:t>et al</w:t>
      </w:r>
      <w:r>
        <w:rPr>
          <w:rFonts w:ascii="Times New Roman" w:hAnsi="Times New Roman" w:cs="Times New Roman"/>
        </w:rPr>
        <w:t>. (2019), who reported that composite cookies containing plantain and sesame flour achieved high texture ratings despite fibre enrichment.</w:t>
      </w:r>
    </w:p>
    <w:p w14:paraId="1318FCD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Overall acceptability followed a similar trend, with all samples rated highly (8.10–8.50), confirming that the oatmeal–banana–honey blends produced cookies with strong consumer appeal. The highest acceptability was observed in sample E (8.50), which also recorded the best aroma and texture scores. This mirrors the results of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who observed that cookies enriched with banana peel flour were preferred by panelists due to their distinctive aroma and balanced texture.</w:t>
      </w:r>
    </w:p>
    <w:bookmarkEnd w:id="6"/>
    <w:p w14:paraId="40A8BE77" w14:textId="77777777" w:rsidR="007628E0" w:rsidRDefault="00A56C92">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Oatmeal </w:t>
      </w:r>
      <w:r>
        <w:rPr>
          <w:rFonts w:ascii="Times New Roman" w:hAnsi="Times New Roman" w:cs="Times New Roman"/>
          <w:b/>
          <w:color w:val="000000" w:themeColor="text1"/>
          <w:spacing w:val="5"/>
          <w:sz w:val="20"/>
          <w:szCs w:val="20"/>
        </w:rPr>
        <w:t>cookies from oatmeal flour, banana pulp and honey blends</w:t>
      </w:r>
    </w:p>
    <w:tbl>
      <w:tblPr>
        <w:tblStyle w:val="PlainTable21"/>
        <w:tblW w:w="4970" w:type="pct"/>
        <w:tblLayout w:type="fixed"/>
        <w:tblLook w:val="04A0" w:firstRow="1" w:lastRow="0" w:firstColumn="1" w:lastColumn="0" w:noHBand="0" w:noVBand="1"/>
      </w:tblPr>
      <w:tblGrid>
        <w:gridCol w:w="903"/>
        <w:gridCol w:w="1258"/>
        <w:gridCol w:w="359"/>
        <w:gridCol w:w="1172"/>
        <w:gridCol w:w="1172"/>
        <w:gridCol w:w="1169"/>
        <w:gridCol w:w="1202"/>
        <w:gridCol w:w="2069"/>
      </w:tblGrid>
      <w:tr w:rsidR="007628E0" w14:paraId="5062A189" w14:textId="77777777" w:rsidTr="007628E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249FA676"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Sample</w:t>
            </w:r>
          </w:p>
        </w:tc>
        <w:tc>
          <w:tcPr>
            <w:tcW w:w="676" w:type="pct"/>
          </w:tcPr>
          <w:p w14:paraId="1BC1BE6F"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Appearance</w:t>
            </w:r>
          </w:p>
        </w:tc>
        <w:tc>
          <w:tcPr>
            <w:tcW w:w="193" w:type="pct"/>
          </w:tcPr>
          <w:p w14:paraId="72B35953" w14:textId="77777777" w:rsidR="007628E0" w:rsidRDefault="007628E0">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p>
        </w:tc>
        <w:tc>
          <w:tcPr>
            <w:tcW w:w="630" w:type="pct"/>
            <w:noWrap/>
          </w:tcPr>
          <w:p w14:paraId="6576BD69"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Aroma</w:t>
            </w:r>
          </w:p>
        </w:tc>
        <w:tc>
          <w:tcPr>
            <w:tcW w:w="630" w:type="pct"/>
            <w:noWrap/>
          </w:tcPr>
          <w:p w14:paraId="174D5384"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Colour</w:t>
            </w:r>
          </w:p>
        </w:tc>
        <w:tc>
          <w:tcPr>
            <w:tcW w:w="628" w:type="pct"/>
            <w:noWrap/>
          </w:tcPr>
          <w:p w14:paraId="0C89B7C9"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Taste             </w:t>
            </w:r>
          </w:p>
        </w:tc>
        <w:tc>
          <w:tcPr>
            <w:tcW w:w="646" w:type="pct"/>
            <w:noWrap/>
          </w:tcPr>
          <w:p w14:paraId="1A5C62C7"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Texture                                          </w:t>
            </w:r>
          </w:p>
        </w:tc>
        <w:tc>
          <w:tcPr>
            <w:tcW w:w="1112" w:type="pct"/>
          </w:tcPr>
          <w:p w14:paraId="65462E14"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Overall Acceptability</w:t>
            </w:r>
          </w:p>
        </w:tc>
      </w:tr>
      <w:tr w:rsidR="007628E0" w14:paraId="2950BCDF"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72DBF0AA" w14:textId="77777777" w:rsidR="007628E0" w:rsidRDefault="00A56C92">
            <w:pPr>
              <w:spacing w:after="0"/>
              <w:jc w:val="left"/>
              <w:rPr>
                <w:rFonts w:cs="Times New Roman"/>
                <w:b w:val="0"/>
                <w:bCs w:val="0"/>
                <w:color w:val="000000" w:themeColor="text1"/>
                <w:sz w:val="20"/>
                <w:szCs w:val="20"/>
              </w:rPr>
            </w:pPr>
            <w:r>
              <w:rPr>
                <w:rFonts w:cs="Times New Roman"/>
                <w:bCs w:val="0"/>
                <w:color w:val="000000" w:themeColor="text1"/>
                <w:sz w:val="20"/>
                <w:szCs w:val="20"/>
              </w:rPr>
              <w:t>A</w:t>
            </w:r>
          </w:p>
        </w:tc>
        <w:tc>
          <w:tcPr>
            <w:tcW w:w="676" w:type="pct"/>
          </w:tcPr>
          <w:p w14:paraId="7AAC992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8.55</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193" w:type="pct"/>
          </w:tcPr>
          <w:p w14:paraId="4A7D3115"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3FD0D57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7.95</w:t>
            </w:r>
            <w:r>
              <w:rPr>
                <w:rFonts w:cs="Times New Roman"/>
                <w:color w:val="000000" w:themeColor="text1"/>
                <w:kern w:val="0"/>
                <w:sz w:val="20"/>
                <w:szCs w:val="20"/>
                <w:vertAlign w:val="superscript"/>
              </w:rPr>
              <w:t>b</w:t>
            </w:r>
            <w:r>
              <w:rPr>
                <w:rFonts w:cs="Times New Roman"/>
                <w:color w:val="000000" w:themeColor="text1"/>
                <w:kern w:val="0"/>
                <w:sz w:val="20"/>
                <w:szCs w:val="20"/>
              </w:rPr>
              <w:t>±0.61</w:t>
            </w:r>
          </w:p>
        </w:tc>
        <w:tc>
          <w:tcPr>
            <w:tcW w:w="630" w:type="pct"/>
            <w:noWrap/>
          </w:tcPr>
          <w:p w14:paraId="4999D9B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28" w:type="pct"/>
            <w:noWrap/>
          </w:tcPr>
          <w:p w14:paraId="2E4351F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±0.83     </w:t>
            </w:r>
          </w:p>
        </w:tc>
        <w:tc>
          <w:tcPr>
            <w:tcW w:w="646" w:type="pct"/>
            <w:noWrap/>
          </w:tcPr>
          <w:p w14:paraId="67AC924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7.75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 ±1.07                        </w:t>
            </w:r>
          </w:p>
        </w:tc>
        <w:tc>
          <w:tcPr>
            <w:tcW w:w="1112" w:type="pct"/>
          </w:tcPr>
          <w:p w14:paraId="627478F2"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8.10</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r>
      <w:tr w:rsidR="007628E0" w14:paraId="3159DD48"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196A9280"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B</w:t>
            </w:r>
          </w:p>
        </w:tc>
        <w:tc>
          <w:tcPr>
            <w:tcW w:w="676" w:type="pct"/>
          </w:tcPr>
          <w:p w14:paraId="28830A0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±0.68</w:t>
            </w:r>
          </w:p>
        </w:tc>
        <w:tc>
          <w:tcPr>
            <w:tcW w:w="193" w:type="pct"/>
          </w:tcPr>
          <w:p w14:paraId="462453A2"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7AA9445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ab</w:t>
            </w:r>
            <w:r>
              <w:rPr>
                <w:rFonts w:cs="Times New Roman"/>
                <w:color w:val="000000" w:themeColor="text1"/>
                <w:kern w:val="0"/>
                <w:sz w:val="20"/>
                <w:szCs w:val="20"/>
              </w:rPr>
              <w:t>±0.59</w:t>
            </w:r>
          </w:p>
        </w:tc>
        <w:tc>
          <w:tcPr>
            <w:tcW w:w="630" w:type="pct"/>
            <w:noWrap/>
          </w:tcPr>
          <w:p w14:paraId="4AAEC8C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8.26</w:t>
            </w:r>
            <w:r>
              <w:rPr>
                <w:rFonts w:cs="Times New Roman"/>
                <w:color w:val="000000" w:themeColor="text1"/>
                <w:kern w:val="0"/>
                <w:sz w:val="20"/>
                <w:szCs w:val="20"/>
                <w:vertAlign w:val="superscript"/>
              </w:rPr>
              <w:t>a</w:t>
            </w:r>
            <w:r>
              <w:rPr>
                <w:rFonts w:cs="Times New Roman"/>
                <w:color w:val="000000" w:themeColor="text1"/>
                <w:kern w:val="0"/>
                <w:sz w:val="20"/>
                <w:szCs w:val="20"/>
              </w:rPr>
              <w:t>±0.87</w:t>
            </w:r>
          </w:p>
        </w:tc>
        <w:tc>
          <w:tcPr>
            <w:tcW w:w="628" w:type="pct"/>
            <w:noWrap/>
          </w:tcPr>
          <w:p w14:paraId="2E59E6D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46" w:type="pct"/>
            <w:noWrap/>
          </w:tcPr>
          <w:p w14:paraId="49F9B0C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7.65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±1.04                      </w:t>
            </w:r>
          </w:p>
        </w:tc>
        <w:tc>
          <w:tcPr>
            <w:tcW w:w="1112" w:type="pct"/>
          </w:tcPr>
          <w:p w14:paraId="0B009B7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±0.57</w:t>
            </w:r>
          </w:p>
        </w:tc>
      </w:tr>
      <w:tr w:rsidR="007628E0" w14:paraId="2D7699FD"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5F8AE8F3"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C</w:t>
            </w:r>
          </w:p>
        </w:tc>
        <w:tc>
          <w:tcPr>
            <w:tcW w:w="676" w:type="pct"/>
          </w:tcPr>
          <w:p w14:paraId="6F178B4A"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8.60</w:t>
            </w:r>
            <w:r>
              <w:rPr>
                <w:rFonts w:cs="Times New Roman"/>
                <w:color w:val="000000" w:themeColor="text1"/>
                <w:kern w:val="0"/>
                <w:sz w:val="20"/>
                <w:szCs w:val="20"/>
                <w:vertAlign w:val="superscript"/>
              </w:rPr>
              <w:t>a</w:t>
            </w:r>
            <w:r>
              <w:rPr>
                <w:rFonts w:cs="Times New Roman"/>
                <w:color w:val="000000" w:themeColor="text1"/>
                <w:kern w:val="0"/>
                <w:sz w:val="20"/>
                <w:szCs w:val="20"/>
              </w:rPr>
              <w:t>±0.50</w:t>
            </w:r>
          </w:p>
        </w:tc>
        <w:tc>
          <w:tcPr>
            <w:tcW w:w="193" w:type="pct"/>
          </w:tcPr>
          <w:p w14:paraId="75478DFD"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551F29B5"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14:paraId="278FD5E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c>
          <w:tcPr>
            <w:tcW w:w="628" w:type="pct"/>
            <w:noWrap/>
          </w:tcPr>
          <w:p w14:paraId="540DCDE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646" w:type="pct"/>
            <w:noWrap/>
          </w:tcPr>
          <w:p w14:paraId="30A08EE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±0.97                         </w:t>
            </w:r>
          </w:p>
        </w:tc>
        <w:tc>
          <w:tcPr>
            <w:tcW w:w="1112" w:type="pct"/>
          </w:tcPr>
          <w:p w14:paraId="1A96FD0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8.40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7628E0" w14:paraId="60B52D71"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39FE5694"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D</w:t>
            </w:r>
          </w:p>
        </w:tc>
        <w:tc>
          <w:tcPr>
            <w:tcW w:w="676" w:type="pct"/>
          </w:tcPr>
          <w:p w14:paraId="6D4C332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14:paraId="1F53FCCC"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7415E17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14:paraId="06779DC0"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8.30</w:t>
            </w:r>
            <w:r>
              <w:rPr>
                <w:rFonts w:cs="Times New Roman"/>
                <w:color w:val="000000" w:themeColor="text1"/>
                <w:kern w:val="0"/>
                <w:sz w:val="20"/>
                <w:szCs w:val="20"/>
                <w:vertAlign w:val="superscript"/>
              </w:rPr>
              <w:t>a</w:t>
            </w:r>
            <w:r>
              <w:rPr>
                <w:rFonts w:cs="Times New Roman"/>
                <w:color w:val="000000" w:themeColor="text1"/>
                <w:kern w:val="0"/>
                <w:sz w:val="20"/>
                <w:szCs w:val="20"/>
              </w:rPr>
              <w:t>±0.80</w:t>
            </w:r>
          </w:p>
        </w:tc>
        <w:tc>
          <w:tcPr>
            <w:tcW w:w="628" w:type="pct"/>
            <w:noWrap/>
          </w:tcPr>
          <w:p w14:paraId="35EB8A9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±0.82</w:t>
            </w:r>
          </w:p>
        </w:tc>
        <w:tc>
          <w:tcPr>
            <w:tcW w:w="646" w:type="pct"/>
            <w:noWrap/>
          </w:tcPr>
          <w:p w14:paraId="2831AE42"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±1.05                         </w:t>
            </w:r>
          </w:p>
        </w:tc>
        <w:tc>
          <w:tcPr>
            <w:tcW w:w="1112" w:type="pct"/>
          </w:tcPr>
          <w:p w14:paraId="14F6F22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±0.66</w:t>
            </w:r>
          </w:p>
        </w:tc>
      </w:tr>
      <w:tr w:rsidR="007628E0" w14:paraId="2401AF1F"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219D2F61"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E</w:t>
            </w:r>
          </w:p>
        </w:tc>
        <w:tc>
          <w:tcPr>
            <w:tcW w:w="676" w:type="pct"/>
          </w:tcPr>
          <w:p w14:paraId="262F623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14:paraId="02D7F136"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314D698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630" w:type="pct"/>
            <w:noWrap/>
          </w:tcPr>
          <w:p w14:paraId="01D7244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7.85</w:t>
            </w:r>
            <w:r>
              <w:rPr>
                <w:rFonts w:cs="Times New Roman"/>
                <w:color w:val="000000" w:themeColor="text1"/>
                <w:kern w:val="0"/>
                <w:sz w:val="20"/>
                <w:szCs w:val="20"/>
                <w:vertAlign w:val="superscript"/>
              </w:rPr>
              <w:t>c</w:t>
            </w:r>
            <w:r>
              <w:rPr>
                <w:rFonts w:cs="Times New Roman"/>
                <w:color w:val="000000" w:themeColor="text1"/>
                <w:kern w:val="0"/>
                <w:sz w:val="20"/>
                <w:szCs w:val="20"/>
              </w:rPr>
              <w:t>±0.99</w:t>
            </w:r>
          </w:p>
        </w:tc>
        <w:tc>
          <w:tcPr>
            <w:tcW w:w="628" w:type="pct"/>
            <w:noWrap/>
          </w:tcPr>
          <w:p w14:paraId="3596E73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w:t>
            </w:r>
            <w:r>
              <w:rPr>
                <w:rFonts w:cs="Times New Roman"/>
                <w:color w:val="000000" w:themeColor="text1"/>
                <w:kern w:val="0"/>
                <w:sz w:val="20"/>
                <w:szCs w:val="20"/>
              </w:rPr>
              <w:t>±1.27</w:t>
            </w:r>
          </w:p>
        </w:tc>
        <w:tc>
          <w:tcPr>
            <w:tcW w:w="646" w:type="pct"/>
            <w:noWrap/>
          </w:tcPr>
          <w:p w14:paraId="79322B9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±1.01                         </w:t>
            </w:r>
          </w:p>
        </w:tc>
        <w:tc>
          <w:tcPr>
            <w:tcW w:w="1112" w:type="pct"/>
          </w:tcPr>
          <w:p w14:paraId="14BFFAB5"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8.50</w:t>
            </w:r>
            <w:r>
              <w:rPr>
                <w:rFonts w:cs="Times New Roman"/>
                <w:color w:val="000000" w:themeColor="text1"/>
                <w:kern w:val="0"/>
                <w:sz w:val="20"/>
                <w:szCs w:val="20"/>
                <w:vertAlign w:val="superscript"/>
              </w:rPr>
              <w:t>a</w:t>
            </w:r>
            <w:r>
              <w:rPr>
                <w:rFonts w:cs="Times New Roman"/>
                <w:color w:val="000000" w:themeColor="text1"/>
                <w:kern w:val="0"/>
                <w:sz w:val="20"/>
                <w:szCs w:val="20"/>
              </w:rPr>
              <w:t>±0.69</w:t>
            </w:r>
          </w:p>
        </w:tc>
      </w:tr>
    </w:tbl>
    <w:p w14:paraId="6FA80908" w14:textId="77777777" w:rsidR="007628E0" w:rsidRDefault="00A56C92">
      <w:pPr>
        <w:tabs>
          <w:tab w:val="left" w:pos="900"/>
        </w:tabs>
        <w:spacing w:line="240" w:lineRule="auto"/>
        <w:jc w:val="both"/>
        <w:rPr>
          <w:rFonts w:ascii="Times New Roman" w:hAnsi="Times New Roman" w:cs="Times New Roman"/>
          <w:sz w:val="20"/>
          <w:szCs w:val="20"/>
        </w:rPr>
      </w:pPr>
      <w:r>
        <w:rPr>
          <w:rFonts w:ascii="Times New Roman" w:hAnsi="Times New Roman" w:cs="Times New Roman"/>
          <w:sz w:val="20"/>
          <w:szCs w:val="20"/>
        </w:rPr>
        <w:t>Values are means of sensory panel ratings ± standard deviation. Means in the same column with similar superscripts do not differ significantly (p&gt;0.05).</w:t>
      </w:r>
    </w:p>
    <w:p w14:paraId="1C6F70C5" w14:textId="77777777" w:rsidR="007628E0" w:rsidRDefault="00A56C9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KEYS</w:t>
      </w:r>
    </w:p>
    <w:p w14:paraId="7A45E897"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p>
    <w:p w14:paraId="66F8DD71" w14:textId="77777777" w:rsidR="007628E0" w:rsidRDefault="00A56C92">
      <w:pPr>
        <w:spacing w:after="0" w:line="240" w:lineRule="auto"/>
        <w:jc w:val="both"/>
        <w:rPr>
          <w:rFonts w:ascii="Times New Roman" w:hAnsi="Times New Roman" w:cs="Times New Roman"/>
          <w:b/>
        </w:rPr>
      </w:pPr>
      <w:r>
        <w:rPr>
          <w:rFonts w:ascii="Times New Roman" w:hAnsi="Times New Roman" w:cs="Times New Roman"/>
          <w:b/>
        </w:rPr>
        <w:t>4.0 Conclusion and Recommendation</w:t>
      </w:r>
    </w:p>
    <w:p w14:paraId="74542A2A"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study demonstrated that blending oatmeal flour with banana pulp and honey produced cookies with improved nutritional and sensory attributes.  Proximate composition showed that while sample A had the highest protein (19.47%), sample E contained the least fat (2.45%) and the highest crude fibre (6.72%) and carbohydrate (65.0%), making it nutritionally superior in terms of fibre enrichment and energy contribution. Physical properties were relatively uniform across all samples, indicating good baking consistency and commercial suitability. Mineral analysis revealed progressive increases in calcium, potassium, and sodium with increasing levels of banana pulp, with sample E exhibiting the highest Ca (3.867 mg/100 g), K (310 mg/100 g), and Na (113.6 mg/100 g). Sensory evaluation further confirmed consumer acceptability, as all samples scored above 7.5, with sample E scoring highest for aroma, texture, and overall acceptability (8.50).</w:t>
      </w:r>
    </w:p>
    <w:p w14:paraId="5BE27F99" w14:textId="77777777" w:rsidR="007628E0" w:rsidRDefault="00A56C92">
      <w:pPr>
        <w:spacing w:line="240" w:lineRule="auto"/>
        <w:jc w:val="both"/>
        <w:rPr>
          <w:rFonts w:ascii="Times New Roman" w:hAnsi="Times New Roman" w:cs="Times New Roman"/>
        </w:rPr>
      </w:pPr>
      <w:r>
        <w:rPr>
          <w:rFonts w:ascii="Times New Roman" w:hAnsi="Times New Roman" w:cs="Times New Roman"/>
        </w:rPr>
        <w:t>Among the five samples, sample E (75% oatmeal flour, 20% banana pulp, 5% honey) was identified as the best formulation. It provided the most favorable balance of nutritional value, mineral enrichment, and consumer acceptability, making it the most promising option for both functional food development and consumer markets.</w:t>
      </w:r>
    </w:p>
    <w:p w14:paraId="1B45F19E"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Further research should be carried out on the storage stability of the developed cookies to establish their shelf life. </w:t>
      </w:r>
    </w:p>
    <w:p w14:paraId="6552F67D" w14:textId="77777777" w:rsidR="007628E0" w:rsidRDefault="00A56C92">
      <w:pPr>
        <w:spacing w:after="0" w:line="240" w:lineRule="auto"/>
        <w:jc w:val="both"/>
        <w:rPr>
          <w:rFonts w:ascii="Times New Roman" w:hAnsi="Times New Roman" w:cs="Times New Roman"/>
          <w:b/>
        </w:rPr>
      </w:pPr>
      <w:r>
        <w:rPr>
          <w:rFonts w:ascii="Times New Roman" w:hAnsi="Times New Roman" w:cs="Times New Roman"/>
          <w:b/>
        </w:rPr>
        <w:lastRenderedPageBreak/>
        <w:t>References</w:t>
      </w:r>
    </w:p>
    <w:p w14:paraId="3AC70D2D" w14:textId="77777777" w:rsidR="007628E0" w:rsidRDefault="007628E0">
      <w:pPr>
        <w:spacing w:after="0" w:line="240" w:lineRule="auto"/>
        <w:jc w:val="both"/>
        <w:rPr>
          <w:rFonts w:ascii="Times New Roman" w:hAnsi="Times New Roman" w:cs="Times New Roman"/>
          <w:b/>
        </w:rPr>
      </w:pPr>
    </w:p>
    <w:p w14:paraId="0151432E"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AACC (2000): Approved Methods of the American Association of Cereal Chemists (10</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American Association of Cereal Chemists, St. Paul, MN, USA.</w:t>
      </w:r>
    </w:p>
    <w:p w14:paraId="258AE84C"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Adegunwa</w:t>
      </w:r>
      <w:proofErr w:type="spellEnd"/>
      <w:r>
        <w:rPr>
          <w:rFonts w:ascii="Times New Roman" w:hAnsi="Times New Roman" w:cs="Times New Roman"/>
          <w:sz w:val="20"/>
          <w:szCs w:val="20"/>
        </w:rPr>
        <w:t xml:space="preserve">, M. O., Alamu, E. O. and Bakare, H. A. (2017): Evaluation of nutritional and sensory properties of cookies from wheat, plantain and </w:t>
      </w:r>
      <w:proofErr w:type="spellStart"/>
      <w:r>
        <w:rPr>
          <w:rFonts w:ascii="Times New Roman" w:hAnsi="Times New Roman" w:cs="Times New Roman"/>
          <w:sz w:val="20"/>
          <w:szCs w:val="20"/>
        </w:rPr>
        <w:t>bambara</w:t>
      </w:r>
      <w:proofErr w:type="spellEnd"/>
      <w:r>
        <w:rPr>
          <w:rFonts w:ascii="Times New Roman" w:hAnsi="Times New Roman" w:cs="Times New Roman"/>
          <w:sz w:val="20"/>
          <w:szCs w:val="20"/>
        </w:rPr>
        <w:t xml:space="preserve"> groundnut flour blends. </w:t>
      </w:r>
      <w:r>
        <w:rPr>
          <w:rFonts w:ascii="Times New Roman" w:hAnsi="Times New Roman" w:cs="Times New Roman"/>
          <w:i/>
          <w:iCs/>
          <w:sz w:val="20"/>
          <w:szCs w:val="20"/>
        </w:rPr>
        <w:t>Journal of Food Science and Nutrition, 5</w:t>
      </w:r>
      <w:r>
        <w:rPr>
          <w:rFonts w:ascii="Times New Roman" w:hAnsi="Times New Roman" w:cs="Times New Roman"/>
          <w:sz w:val="20"/>
          <w:szCs w:val="20"/>
        </w:rPr>
        <w:t>(3): 105–112.</w:t>
      </w:r>
    </w:p>
    <w:p w14:paraId="5CFE6202"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Adelekan, A. O., Akinwande, B. A. and Balogun, O. O. (2019): Nutritional evaluation of cookies produced from wheat flour fortified with African locust bean flour. </w:t>
      </w:r>
      <w:r>
        <w:rPr>
          <w:rFonts w:ascii="Times New Roman" w:hAnsi="Times New Roman" w:cs="Times New Roman"/>
          <w:i/>
          <w:iCs/>
          <w:sz w:val="20"/>
          <w:szCs w:val="20"/>
        </w:rPr>
        <w:t>Journal of Food Research, 8</w:t>
      </w:r>
      <w:r>
        <w:rPr>
          <w:rFonts w:ascii="Times New Roman" w:hAnsi="Times New Roman" w:cs="Times New Roman"/>
          <w:sz w:val="20"/>
          <w:szCs w:val="20"/>
        </w:rPr>
        <w:t>(4): 55–62.</w:t>
      </w:r>
    </w:p>
    <w:p w14:paraId="2602C720"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Adeniji, T. A. (2015): Plantain, banana and wheat flour composites in bread making: Prospects for industrial application. </w:t>
      </w:r>
      <w:r>
        <w:rPr>
          <w:rFonts w:ascii="Times New Roman" w:hAnsi="Times New Roman" w:cs="Times New Roman"/>
          <w:i/>
          <w:iCs/>
          <w:sz w:val="20"/>
          <w:szCs w:val="20"/>
        </w:rPr>
        <w:t>African Journal of Food, Agriculture, Nutrition and Development</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(4): 10182-10197.</w:t>
      </w:r>
    </w:p>
    <w:p w14:paraId="539DD111"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Ahaotu</w:t>
      </w:r>
      <w:proofErr w:type="spellEnd"/>
      <w:r>
        <w:rPr>
          <w:rFonts w:ascii="Times New Roman" w:hAnsi="Times New Roman" w:cs="Times New Roman"/>
          <w:sz w:val="20"/>
          <w:szCs w:val="20"/>
        </w:rPr>
        <w:t xml:space="preserve">, E. O. and </w:t>
      </w:r>
      <w:proofErr w:type="spellStart"/>
      <w:r>
        <w:rPr>
          <w:rFonts w:ascii="Times New Roman" w:hAnsi="Times New Roman" w:cs="Times New Roman"/>
          <w:sz w:val="20"/>
          <w:szCs w:val="20"/>
        </w:rPr>
        <w:t>Ihekoronye</w:t>
      </w:r>
      <w:proofErr w:type="spellEnd"/>
      <w:r>
        <w:rPr>
          <w:rFonts w:ascii="Times New Roman" w:hAnsi="Times New Roman" w:cs="Times New Roman"/>
          <w:sz w:val="20"/>
          <w:szCs w:val="20"/>
        </w:rPr>
        <w:t xml:space="preserve">, B. (2019): Environmental, Ecological and Anti-Nutritional Factors for Cashew Utilization in Rabbit Production- A Review. </w:t>
      </w:r>
      <w:r>
        <w:rPr>
          <w:rFonts w:ascii="Times New Roman" w:hAnsi="Times New Roman" w:cs="Times New Roman"/>
          <w:i/>
          <w:sz w:val="20"/>
          <w:szCs w:val="20"/>
        </w:rPr>
        <w:t>International Journal of Research in Agriculture and Forestry, 6 (1): 8-22.</w:t>
      </w:r>
      <w:r>
        <w:rPr>
          <w:rFonts w:ascii="Times New Roman" w:hAnsi="Times New Roman" w:cs="Times New Roman"/>
          <w:sz w:val="20"/>
          <w:szCs w:val="20"/>
        </w:rPr>
        <w:t xml:space="preserve"> </w:t>
      </w:r>
    </w:p>
    <w:p w14:paraId="686A6D16"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Alam, M. S., Singh, A., Sawhney, B. K. and Singh, D. (2020): Development of fiber and mineral enriched wheat-oat cookies by utilization of banana and banana peel flour. </w:t>
      </w:r>
      <w:r>
        <w:rPr>
          <w:rFonts w:ascii="Times New Roman" w:hAnsi="Times New Roman" w:cs="Times New Roman"/>
          <w:i/>
          <w:iCs/>
          <w:sz w:val="20"/>
          <w:szCs w:val="20"/>
        </w:rPr>
        <w:t>Asian Journal of Dairy and Food Research, 39</w:t>
      </w:r>
      <w:r>
        <w:rPr>
          <w:rFonts w:ascii="Times New Roman" w:hAnsi="Times New Roman" w:cs="Times New Roman"/>
          <w:sz w:val="20"/>
          <w:szCs w:val="20"/>
        </w:rPr>
        <w:t>(4): 338–343</w:t>
      </w:r>
    </w:p>
    <w:p w14:paraId="55E7E51E"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Aljobair</w:t>
      </w:r>
      <w:proofErr w:type="spellEnd"/>
      <w:r>
        <w:rPr>
          <w:rFonts w:ascii="Times New Roman" w:hAnsi="Times New Roman" w:cs="Times New Roman"/>
          <w:sz w:val="20"/>
          <w:szCs w:val="20"/>
        </w:rPr>
        <w:t xml:space="preserve">, M. O., Elgasim, E. A., Ahmed, I. A. M. and Babiker, E. E. (2022): Physicochemical properties, bioactive compounds, and antioxidant activity of clove incorporated cookies. </w:t>
      </w:r>
      <w:r>
        <w:rPr>
          <w:rFonts w:ascii="Times New Roman" w:hAnsi="Times New Roman" w:cs="Times New Roman"/>
          <w:i/>
          <w:iCs/>
          <w:sz w:val="20"/>
          <w:szCs w:val="20"/>
        </w:rPr>
        <w:t>International Journal of Food Properties, 25</w:t>
      </w:r>
      <w:r>
        <w:rPr>
          <w:rFonts w:ascii="Times New Roman" w:hAnsi="Times New Roman" w:cs="Times New Roman"/>
          <w:sz w:val="20"/>
          <w:szCs w:val="20"/>
        </w:rPr>
        <w:t xml:space="preserve">(1): 1176–1189. </w:t>
      </w:r>
    </w:p>
    <w:p w14:paraId="3C4DA0F7" w14:textId="77777777" w:rsidR="007628E0" w:rsidRDefault="00A56C92">
      <w:pPr>
        <w:spacing w:line="240" w:lineRule="auto"/>
        <w:jc w:val="both"/>
        <w:rPr>
          <w:rFonts w:ascii="Times New Roman" w:hAnsi="Times New Roman" w:cs="Times New Roman"/>
          <w:sz w:val="20"/>
          <w:szCs w:val="20"/>
        </w:rPr>
      </w:pPr>
      <w:r>
        <w:rPr>
          <w:rFonts w:ascii="Times New Roman" w:hAnsi="Times New Roman" w:cs="Times New Roman"/>
          <w:sz w:val="20"/>
          <w:szCs w:val="20"/>
        </w:rPr>
        <w:t>AOAC (2005): Official Methods of Analysis. 18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edition. Association of Analytical Chemist. AOAC International.</w:t>
      </w:r>
    </w:p>
    <w:p w14:paraId="0925013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AOAC (2012): Official methods of Analysis (19</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Gaithersburg, md; AOAC International.</w:t>
      </w:r>
    </w:p>
    <w:p w14:paraId="6BAD755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Ayo, J. A., Ayo, V. A., </w:t>
      </w:r>
      <w:proofErr w:type="spellStart"/>
      <w:r>
        <w:rPr>
          <w:rFonts w:ascii="Times New Roman" w:hAnsi="Times New Roman" w:cs="Times New Roman"/>
          <w:sz w:val="20"/>
          <w:szCs w:val="20"/>
        </w:rPr>
        <w:t>Nkama</w:t>
      </w:r>
      <w:proofErr w:type="spellEnd"/>
      <w:r>
        <w:rPr>
          <w:rFonts w:ascii="Times New Roman" w:hAnsi="Times New Roman" w:cs="Times New Roman"/>
          <w:sz w:val="20"/>
          <w:szCs w:val="20"/>
        </w:rPr>
        <w:t xml:space="preserve">, I. and </w:t>
      </w:r>
      <w:proofErr w:type="spellStart"/>
      <w:r>
        <w:rPr>
          <w:rFonts w:ascii="Times New Roman" w:hAnsi="Times New Roman" w:cs="Times New Roman"/>
          <w:sz w:val="20"/>
          <w:szCs w:val="20"/>
        </w:rPr>
        <w:t>Adewori</w:t>
      </w:r>
      <w:proofErr w:type="spellEnd"/>
      <w:r>
        <w:rPr>
          <w:rFonts w:ascii="Times New Roman" w:hAnsi="Times New Roman" w:cs="Times New Roman"/>
          <w:sz w:val="20"/>
          <w:szCs w:val="20"/>
        </w:rPr>
        <w:t xml:space="preserve">, R. (2007): </w:t>
      </w:r>
      <w:proofErr w:type="spellStart"/>
      <w:r>
        <w:rPr>
          <w:rFonts w:ascii="Times New Roman" w:hAnsi="Times New Roman" w:cs="Times New Roman"/>
          <w:sz w:val="20"/>
          <w:szCs w:val="20"/>
        </w:rPr>
        <w:t>Physico</w:t>
      </w:r>
      <w:proofErr w:type="spellEnd"/>
      <w:r>
        <w:rPr>
          <w:rFonts w:ascii="Times New Roman" w:hAnsi="Times New Roman" w:cs="Times New Roman"/>
          <w:sz w:val="20"/>
          <w:szCs w:val="20"/>
        </w:rPr>
        <w:t xml:space="preserve">-chemical, Invitro digestibility and organoleptic evaluation of “Acha”-Wheat Biscuit supplemented with soybean flour. </w:t>
      </w:r>
      <w:r>
        <w:rPr>
          <w:rFonts w:ascii="Times New Roman" w:hAnsi="Times New Roman" w:cs="Times New Roman"/>
          <w:i/>
          <w:sz w:val="20"/>
          <w:szCs w:val="20"/>
        </w:rPr>
        <w:t>Nigerian Food Journal</w:t>
      </w:r>
      <w:r>
        <w:rPr>
          <w:rFonts w:ascii="Times New Roman" w:hAnsi="Times New Roman" w:cs="Times New Roman"/>
          <w:sz w:val="20"/>
          <w:szCs w:val="20"/>
        </w:rPr>
        <w:t xml:space="preserve"> 25 (1) DOI:10.4314/</w:t>
      </w:r>
      <w:proofErr w:type="gramStart"/>
      <w:r>
        <w:rPr>
          <w:rFonts w:ascii="Times New Roman" w:hAnsi="Times New Roman" w:cs="Times New Roman"/>
          <w:sz w:val="20"/>
          <w:szCs w:val="20"/>
        </w:rPr>
        <w:t>nifoj.v</w:t>
      </w:r>
      <w:proofErr w:type="gramEnd"/>
      <w:r>
        <w:rPr>
          <w:rFonts w:ascii="Times New Roman" w:hAnsi="Times New Roman" w:cs="Times New Roman"/>
          <w:sz w:val="20"/>
          <w:szCs w:val="20"/>
        </w:rPr>
        <w:t xml:space="preserve">25i1.33656 </w:t>
      </w:r>
    </w:p>
    <w:p w14:paraId="787CB325"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bookmarkStart w:id="7" w:name="_Hlk143431965"/>
      <w:r>
        <w:rPr>
          <w:rFonts w:ascii="Times New Roman" w:hAnsi="Times New Roman" w:cs="Times New Roman"/>
          <w:sz w:val="20"/>
          <w:szCs w:val="20"/>
          <w:shd w:val="clear" w:color="auto" w:fill="FFFFFF"/>
        </w:rPr>
        <w:t>Birch</w:t>
      </w:r>
      <w:bookmarkEnd w:id="7"/>
      <w:r>
        <w:rPr>
          <w:rFonts w:ascii="Times New Roman" w:hAnsi="Times New Roman" w:cs="Times New Roman"/>
          <w:sz w:val="20"/>
          <w:szCs w:val="20"/>
          <w:shd w:val="clear" w:color="auto" w:fill="FFFFFF"/>
        </w:rPr>
        <w:t xml:space="preserve">, C. S. and </w:t>
      </w:r>
      <w:bookmarkStart w:id="8" w:name="_Hlk143431975"/>
      <w:proofErr w:type="spellStart"/>
      <w:r>
        <w:rPr>
          <w:rFonts w:ascii="Times New Roman" w:hAnsi="Times New Roman" w:cs="Times New Roman"/>
          <w:sz w:val="20"/>
          <w:szCs w:val="20"/>
          <w:shd w:val="clear" w:color="auto" w:fill="FFFFFF"/>
        </w:rPr>
        <w:t>Bonwick</w:t>
      </w:r>
      <w:bookmarkEnd w:id="8"/>
      <w:proofErr w:type="spellEnd"/>
      <w:r>
        <w:rPr>
          <w:rFonts w:ascii="Times New Roman" w:hAnsi="Times New Roman" w:cs="Times New Roman"/>
          <w:sz w:val="20"/>
          <w:szCs w:val="20"/>
          <w:shd w:val="clear" w:color="auto" w:fill="FFFFFF"/>
        </w:rPr>
        <w:t>, G. A. (2019): Ensuring the future of functional foods. </w:t>
      </w:r>
      <w:r>
        <w:rPr>
          <w:rFonts w:ascii="Times New Roman" w:hAnsi="Times New Roman" w:cs="Times New Roman"/>
          <w:i/>
          <w:iCs/>
          <w:sz w:val="20"/>
          <w:szCs w:val="20"/>
          <w:shd w:val="clear" w:color="auto" w:fill="FFFFFF"/>
        </w:rPr>
        <w:t>International Journal of Food Science and Technology</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54</w:t>
      </w:r>
      <w:r>
        <w:rPr>
          <w:rFonts w:ascii="Times New Roman" w:hAnsi="Times New Roman" w:cs="Times New Roman"/>
          <w:sz w:val="20"/>
          <w:szCs w:val="20"/>
          <w:shd w:val="clear" w:color="auto" w:fill="FFFFFF"/>
        </w:rPr>
        <w:t>(5): 1467-1485.</w:t>
      </w:r>
    </w:p>
    <w:p w14:paraId="62F19989" w14:textId="77777777" w:rsidR="007628E0" w:rsidRDefault="00A56C92">
      <w:pPr>
        <w:spacing w:before="240" w:line="240" w:lineRule="auto"/>
        <w:ind w:left="720" w:hanging="720"/>
        <w:rPr>
          <w:rFonts w:ascii="Times New Roman" w:hAnsi="Times New Roman" w:cs="Times New Roman"/>
          <w:sz w:val="20"/>
          <w:szCs w:val="20"/>
        </w:rPr>
      </w:pPr>
      <w:proofErr w:type="spellStart"/>
      <w:r>
        <w:rPr>
          <w:rFonts w:ascii="Times New Roman" w:hAnsi="Times New Roman" w:cs="Times New Roman"/>
          <w:sz w:val="20"/>
          <w:szCs w:val="20"/>
        </w:rPr>
        <w:t>Bornare</w:t>
      </w:r>
      <w:proofErr w:type="spellEnd"/>
      <w:r>
        <w:rPr>
          <w:rFonts w:ascii="Times New Roman" w:hAnsi="Times New Roman" w:cs="Times New Roman"/>
          <w:sz w:val="20"/>
          <w:szCs w:val="20"/>
        </w:rPr>
        <w:t>, D. T. and Khan, K. S. A. (2015): Physical and sensory evaluation of cookies incorporated with oats and honey. </w:t>
      </w:r>
      <w:r>
        <w:rPr>
          <w:rFonts w:ascii="Times New Roman" w:hAnsi="Times New Roman" w:cs="Times New Roman"/>
          <w:i/>
          <w:iCs/>
          <w:sz w:val="20"/>
          <w:szCs w:val="20"/>
        </w:rPr>
        <w:t>International Journal of Engineering Research and Technology</w:t>
      </w:r>
      <w:r>
        <w:rPr>
          <w:rFonts w:ascii="Times New Roman" w:hAnsi="Times New Roman" w:cs="Times New Roman"/>
          <w:sz w:val="20"/>
          <w:szCs w:val="20"/>
        </w:rPr>
        <w:t>, </w:t>
      </w:r>
      <w:r>
        <w:rPr>
          <w:rFonts w:ascii="Times New Roman" w:hAnsi="Times New Roman" w:cs="Times New Roman"/>
          <w:i/>
          <w:iCs/>
          <w:sz w:val="20"/>
          <w:szCs w:val="20"/>
        </w:rPr>
        <w:t>4</w:t>
      </w:r>
      <w:r>
        <w:rPr>
          <w:rFonts w:ascii="Times New Roman" w:hAnsi="Times New Roman" w:cs="Times New Roman"/>
          <w:sz w:val="20"/>
          <w:szCs w:val="20"/>
        </w:rPr>
        <w:t>(8): 407-411.</w:t>
      </w:r>
    </w:p>
    <w:p w14:paraId="699C09CA"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Chaipoot</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Phongphisutthinant</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Wiriyacharee</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Kanthakat</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Wongwatcharayothin</w:t>
      </w:r>
      <w:proofErr w:type="spellEnd"/>
      <w:r>
        <w:rPr>
          <w:rFonts w:ascii="Times New Roman" w:hAnsi="Times New Roman" w:cs="Times New Roman"/>
          <w:sz w:val="20"/>
          <w:szCs w:val="20"/>
        </w:rPr>
        <w:t xml:space="preserve">, W., </w:t>
      </w:r>
      <w:proofErr w:type="spellStart"/>
      <w:r>
        <w:rPr>
          <w:rFonts w:ascii="Times New Roman" w:hAnsi="Times New Roman" w:cs="Times New Roman"/>
          <w:sz w:val="20"/>
          <w:szCs w:val="20"/>
        </w:rPr>
        <w:t>Somjai</w:t>
      </w:r>
      <w:proofErr w:type="spellEnd"/>
      <w:r>
        <w:rPr>
          <w:rFonts w:ascii="Times New Roman" w:hAnsi="Times New Roman" w:cs="Times New Roman"/>
          <w:sz w:val="20"/>
          <w:szCs w:val="20"/>
        </w:rPr>
        <w:t xml:space="preserve">, C. and </w:t>
      </w:r>
      <w:proofErr w:type="spellStart"/>
      <w:r>
        <w:rPr>
          <w:rFonts w:ascii="Times New Roman" w:hAnsi="Times New Roman" w:cs="Times New Roman"/>
          <w:sz w:val="20"/>
          <w:szCs w:val="20"/>
        </w:rPr>
        <w:t>Chuttong</w:t>
      </w:r>
      <w:proofErr w:type="spellEnd"/>
      <w:r>
        <w:rPr>
          <w:rFonts w:ascii="Times New Roman" w:hAnsi="Times New Roman" w:cs="Times New Roman"/>
          <w:sz w:val="20"/>
          <w:szCs w:val="20"/>
        </w:rPr>
        <w:t>, B. (2024): Application of Carboxymethyl Cellulose and Glycerol Monostearate as Binder Agents for Protein Powder Production from Honey Bee Brood Using Foam-Mat Drying Technique. </w:t>
      </w:r>
      <w:r>
        <w:rPr>
          <w:rFonts w:ascii="Times New Roman" w:hAnsi="Times New Roman" w:cs="Times New Roman"/>
          <w:i/>
          <w:iCs/>
          <w:sz w:val="20"/>
          <w:szCs w:val="20"/>
        </w:rPr>
        <w:t>Foods</w:t>
      </w:r>
      <w:r>
        <w:rPr>
          <w:rFonts w:ascii="Times New Roman" w:hAnsi="Times New Roman" w:cs="Times New Roman"/>
          <w:sz w:val="20"/>
          <w:szCs w:val="20"/>
        </w:rPr>
        <w:t>, </w:t>
      </w:r>
      <w:r>
        <w:rPr>
          <w:rFonts w:ascii="Times New Roman" w:hAnsi="Times New Roman" w:cs="Times New Roman"/>
          <w:i/>
          <w:iCs/>
          <w:sz w:val="20"/>
          <w:szCs w:val="20"/>
        </w:rPr>
        <w:t>13</w:t>
      </w:r>
      <w:r>
        <w:rPr>
          <w:rFonts w:ascii="Times New Roman" w:hAnsi="Times New Roman" w:cs="Times New Roman"/>
          <w:sz w:val="20"/>
          <w:szCs w:val="20"/>
        </w:rPr>
        <w:t>(14): 2265.</w:t>
      </w:r>
    </w:p>
    <w:p w14:paraId="22306F3D"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Ekeocha</w:t>
      </w:r>
      <w:proofErr w:type="spellEnd"/>
      <w:r>
        <w:rPr>
          <w:rFonts w:ascii="Times New Roman" w:hAnsi="Times New Roman" w:cs="Times New Roman"/>
          <w:sz w:val="20"/>
          <w:szCs w:val="20"/>
        </w:rPr>
        <w:t xml:space="preserve">, C. O., </w:t>
      </w:r>
      <w:proofErr w:type="spellStart"/>
      <w:r>
        <w:rPr>
          <w:rFonts w:ascii="Times New Roman" w:hAnsi="Times New Roman" w:cs="Times New Roman"/>
          <w:sz w:val="20"/>
          <w:szCs w:val="20"/>
        </w:rPr>
        <w:t>Nwokoro</w:t>
      </w:r>
      <w:proofErr w:type="spellEnd"/>
      <w:r>
        <w:rPr>
          <w:rFonts w:ascii="Times New Roman" w:hAnsi="Times New Roman" w:cs="Times New Roman"/>
          <w:sz w:val="20"/>
          <w:szCs w:val="20"/>
        </w:rPr>
        <w:t xml:space="preserve">, S. O., and Igwe, V. S. (2025): Nutritional and sensory properties of shortbread cookies produced from wheat, soybean, and carrot flour blends. </w:t>
      </w:r>
      <w:r>
        <w:rPr>
          <w:rFonts w:ascii="Times New Roman" w:hAnsi="Times New Roman" w:cs="Times New Roman"/>
          <w:i/>
          <w:iCs/>
          <w:sz w:val="20"/>
          <w:szCs w:val="20"/>
        </w:rPr>
        <w:t>Asian Journal of Food Research and Nutrition, 5</w:t>
      </w:r>
      <w:r>
        <w:rPr>
          <w:rFonts w:ascii="Times New Roman" w:hAnsi="Times New Roman" w:cs="Times New Roman"/>
          <w:sz w:val="20"/>
          <w:szCs w:val="20"/>
        </w:rPr>
        <w:t xml:space="preserve">(1): 35–44. </w:t>
      </w:r>
    </w:p>
    <w:p w14:paraId="37283D5E" w14:textId="77777777" w:rsidR="007628E0" w:rsidRDefault="00A56C92">
      <w:pPr>
        <w:spacing w:before="240" w:line="240" w:lineRule="auto"/>
        <w:ind w:left="720" w:hanging="720"/>
        <w:rPr>
          <w:rFonts w:ascii="Times New Roman" w:hAnsi="Times New Roman" w:cs="Times New Roman"/>
          <w:sz w:val="20"/>
          <w:szCs w:val="20"/>
        </w:rPr>
      </w:pPr>
      <w:bookmarkStart w:id="9" w:name="_Hlk199153167"/>
      <w:r>
        <w:rPr>
          <w:rFonts w:ascii="Times New Roman" w:hAnsi="Times New Roman" w:cs="Times New Roman"/>
          <w:sz w:val="20"/>
          <w:szCs w:val="20"/>
        </w:rPr>
        <w:t>Hemmati</w:t>
      </w:r>
      <w:bookmarkEnd w:id="9"/>
      <w:r>
        <w:rPr>
          <w:rFonts w:ascii="Times New Roman" w:hAnsi="Times New Roman" w:cs="Times New Roman"/>
          <w:sz w:val="20"/>
          <w:szCs w:val="20"/>
        </w:rPr>
        <w:t xml:space="preserve">, H., </w:t>
      </w:r>
      <w:proofErr w:type="spellStart"/>
      <w:r>
        <w:rPr>
          <w:rFonts w:ascii="Times New Roman" w:hAnsi="Times New Roman" w:cs="Times New Roman"/>
          <w:sz w:val="20"/>
          <w:szCs w:val="20"/>
        </w:rPr>
        <w:t>Alkasasbeh</w:t>
      </w:r>
      <w:proofErr w:type="spellEnd"/>
      <w:r>
        <w:rPr>
          <w:rFonts w:ascii="Times New Roman" w:hAnsi="Times New Roman" w:cs="Times New Roman"/>
          <w:sz w:val="20"/>
          <w:szCs w:val="20"/>
        </w:rPr>
        <w:t xml:space="preserve">, W. J., </w:t>
      </w:r>
      <w:proofErr w:type="spellStart"/>
      <w:r>
        <w:rPr>
          <w:rFonts w:ascii="Times New Roman" w:hAnsi="Times New Roman" w:cs="Times New Roman"/>
          <w:sz w:val="20"/>
          <w:szCs w:val="20"/>
        </w:rPr>
        <w:t>Hemmatinafar</w:t>
      </w:r>
      <w:proofErr w:type="spellEnd"/>
      <w:r>
        <w:rPr>
          <w:rFonts w:ascii="Times New Roman" w:hAnsi="Times New Roman" w:cs="Times New Roman"/>
          <w:sz w:val="20"/>
          <w:szCs w:val="20"/>
        </w:rPr>
        <w:t xml:space="preserve">, M., Salesi, M., </w:t>
      </w:r>
      <w:proofErr w:type="spellStart"/>
      <w:r>
        <w:rPr>
          <w:rFonts w:ascii="Times New Roman" w:hAnsi="Times New Roman" w:cs="Times New Roman"/>
          <w:sz w:val="20"/>
          <w:szCs w:val="20"/>
        </w:rPr>
        <w:t>Pirmohammadi</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Imanian</w:t>
      </w:r>
      <w:proofErr w:type="spellEnd"/>
      <w:r>
        <w:rPr>
          <w:rFonts w:ascii="Times New Roman" w:hAnsi="Times New Roman" w:cs="Times New Roman"/>
          <w:sz w:val="20"/>
          <w:szCs w:val="20"/>
        </w:rPr>
        <w:t>, B. and Rezaei, R. (2024): Effect of a honey-sweetened beverage on muscle soreness and recovery of performance after exercise-induced muscle damage in strength-trained females. </w:t>
      </w:r>
      <w:r>
        <w:rPr>
          <w:rFonts w:ascii="Times New Roman" w:hAnsi="Times New Roman" w:cs="Times New Roman"/>
          <w:i/>
          <w:iCs/>
          <w:sz w:val="20"/>
          <w:szCs w:val="20"/>
        </w:rPr>
        <w:t>Frontiers in Physiology</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 1426872.</w:t>
      </w:r>
    </w:p>
    <w:p w14:paraId="1DC7208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Ho, L. H. and </w:t>
      </w:r>
      <w:proofErr w:type="spellStart"/>
      <w:r>
        <w:rPr>
          <w:rFonts w:ascii="Times New Roman" w:hAnsi="Times New Roman" w:cs="Times New Roman"/>
          <w:sz w:val="20"/>
          <w:szCs w:val="20"/>
        </w:rPr>
        <w:t>Pulsawat</w:t>
      </w:r>
      <w:proofErr w:type="spellEnd"/>
      <w:r>
        <w:rPr>
          <w:rFonts w:ascii="Times New Roman" w:hAnsi="Times New Roman" w:cs="Times New Roman"/>
          <w:sz w:val="20"/>
          <w:szCs w:val="20"/>
        </w:rPr>
        <w:t>, M. M. (2020): Effects of partial sugar replacement on the physicochemical and sensory properties of low sugar cookies. </w:t>
      </w:r>
      <w:r>
        <w:rPr>
          <w:rFonts w:ascii="Times New Roman" w:hAnsi="Times New Roman" w:cs="Times New Roman"/>
          <w:i/>
          <w:iCs/>
          <w:sz w:val="20"/>
          <w:szCs w:val="20"/>
        </w:rPr>
        <w:t>International Food Research Journal</w:t>
      </w:r>
      <w:r>
        <w:rPr>
          <w:rFonts w:ascii="Times New Roman" w:hAnsi="Times New Roman" w:cs="Times New Roman"/>
          <w:sz w:val="20"/>
          <w:szCs w:val="20"/>
        </w:rPr>
        <w:t>, </w:t>
      </w:r>
      <w:r>
        <w:rPr>
          <w:rFonts w:ascii="Times New Roman" w:hAnsi="Times New Roman" w:cs="Times New Roman"/>
          <w:i/>
          <w:iCs/>
          <w:sz w:val="20"/>
          <w:szCs w:val="20"/>
        </w:rPr>
        <w:t>27</w:t>
      </w:r>
      <w:r>
        <w:rPr>
          <w:rFonts w:ascii="Times New Roman" w:hAnsi="Times New Roman" w:cs="Times New Roman"/>
          <w:sz w:val="20"/>
          <w:szCs w:val="20"/>
        </w:rPr>
        <w:t>(3): 557-567.</w:t>
      </w:r>
    </w:p>
    <w:p w14:paraId="7B38C684"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Hussein, A. M., Abou-El-Hawa, S. H. and Mohamed, S. A. (2020): Nutritional quality and sensory evaluation of cookies enriched with pumpkin seed flour. </w:t>
      </w:r>
      <w:r>
        <w:rPr>
          <w:rFonts w:ascii="Times New Roman" w:hAnsi="Times New Roman" w:cs="Times New Roman"/>
          <w:i/>
          <w:iCs/>
          <w:sz w:val="20"/>
          <w:szCs w:val="20"/>
        </w:rPr>
        <w:t>Journal of Food Science and Technology, 57</w:t>
      </w:r>
      <w:r>
        <w:rPr>
          <w:rFonts w:ascii="Times New Roman" w:hAnsi="Times New Roman" w:cs="Times New Roman"/>
          <w:sz w:val="20"/>
          <w:szCs w:val="20"/>
        </w:rPr>
        <w:t>(7): 2674–2682.</w:t>
      </w:r>
    </w:p>
    <w:p w14:paraId="4C24BB7A"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lastRenderedPageBreak/>
        <w:t>Jisha, S., Padmaja, G., Moorthy, S. N. and Rajeshkumar, K. (2018): Pre-treatment effect on the nutritional and functional properties of selected cassava-based composite flours. </w:t>
      </w:r>
      <w:r>
        <w:rPr>
          <w:rFonts w:ascii="Times New Roman" w:hAnsi="Times New Roman" w:cs="Times New Roman"/>
          <w:i/>
          <w:iCs/>
          <w:sz w:val="20"/>
          <w:szCs w:val="20"/>
          <w:shd w:val="clear" w:color="auto" w:fill="FFFFFF"/>
        </w:rPr>
        <w:t>Innovative Food Science and Emerging Technologies</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9</w:t>
      </w:r>
      <w:r>
        <w:rPr>
          <w:rFonts w:ascii="Times New Roman" w:hAnsi="Times New Roman" w:cs="Times New Roman"/>
          <w:sz w:val="20"/>
          <w:szCs w:val="20"/>
          <w:shd w:val="clear" w:color="auto" w:fill="FFFFFF"/>
        </w:rPr>
        <w:t>(4): 587-592.</w:t>
      </w:r>
    </w:p>
    <w:p w14:paraId="3839052C"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Maneju</w:t>
      </w:r>
      <w:proofErr w:type="spellEnd"/>
      <w:r>
        <w:rPr>
          <w:rFonts w:ascii="Times New Roman" w:hAnsi="Times New Roman" w:cs="Times New Roman"/>
          <w:sz w:val="20"/>
          <w:szCs w:val="20"/>
        </w:rPr>
        <w:t xml:space="preserve">, H., Sunday, J. and Abah, S. (2021): Nutritional and sensory evaluation of biscuits produced from wheat–banana peel composite flour blends. </w:t>
      </w:r>
      <w:r>
        <w:rPr>
          <w:rFonts w:ascii="Times New Roman" w:hAnsi="Times New Roman" w:cs="Times New Roman"/>
          <w:i/>
          <w:iCs/>
          <w:sz w:val="20"/>
          <w:szCs w:val="20"/>
        </w:rPr>
        <w:t>African Journal of Food Science, 15</w:t>
      </w:r>
      <w:r>
        <w:rPr>
          <w:rFonts w:ascii="Times New Roman" w:hAnsi="Times New Roman" w:cs="Times New Roman"/>
          <w:sz w:val="20"/>
          <w:szCs w:val="20"/>
        </w:rPr>
        <w:t>(3): 88–96.</w:t>
      </w:r>
    </w:p>
    <w:p w14:paraId="7E883841"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bookmarkStart w:id="10" w:name="_Hlk143432052"/>
      <w:r>
        <w:rPr>
          <w:rFonts w:ascii="Times New Roman" w:hAnsi="Times New Roman" w:cs="Times New Roman"/>
          <w:sz w:val="20"/>
          <w:szCs w:val="20"/>
          <w:shd w:val="clear" w:color="auto" w:fill="FFFFFF"/>
        </w:rPr>
        <w:t>Manley</w:t>
      </w:r>
      <w:bookmarkEnd w:id="10"/>
      <w:r>
        <w:rPr>
          <w:rFonts w:ascii="Times New Roman" w:hAnsi="Times New Roman" w:cs="Times New Roman"/>
          <w:sz w:val="20"/>
          <w:szCs w:val="20"/>
          <w:shd w:val="clear" w:color="auto" w:fill="FFFFFF"/>
        </w:rPr>
        <w:t xml:space="preserve">, D., </w:t>
      </w:r>
      <w:proofErr w:type="spellStart"/>
      <w:r>
        <w:rPr>
          <w:rFonts w:ascii="Times New Roman" w:hAnsi="Times New Roman" w:cs="Times New Roman"/>
          <w:sz w:val="20"/>
          <w:szCs w:val="20"/>
          <w:shd w:val="clear" w:color="auto" w:fill="FFFFFF"/>
        </w:rPr>
        <w:t>Pareyt</w:t>
      </w:r>
      <w:proofErr w:type="spellEnd"/>
      <w:r>
        <w:rPr>
          <w:rFonts w:ascii="Times New Roman" w:hAnsi="Times New Roman" w:cs="Times New Roman"/>
          <w:sz w:val="20"/>
          <w:szCs w:val="20"/>
          <w:shd w:val="clear" w:color="auto" w:fill="FFFFFF"/>
        </w:rPr>
        <w:t>, B. and Delcour, J. A. (2015): Wheat flour and vital wheat gluten as biscuit ingredients. In </w:t>
      </w:r>
      <w:r>
        <w:rPr>
          <w:rFonts w:ascii="Times New Roman" w:hAnsi="Times New Roman" w:cs="Times New Roman"/>
          <w:i/>
          <w:iCs/>
          <w:sz w:val="20"/>
          <w:szCs w:val="20"/>
          <w:shd w:val="clear" w:color="auto" w:fill="FFFFFF"/>
        </w:rPr>
        <w:t>Manley’s technology of biscuits, crackers and cookies</w:t>
      </w:r>
      <w:r>
        <w:rPr>
          <w:rFonts w:ascii="Times New Roman" w:hAnsi="Times New Roman" w:cs="Times New Roman"/>
          <w:sz w:val="20"/>
          <w:szCs w:val="20"/>
          <w:shd w:val="clear" w:color="auto" w:fill="FFFFFF"/>
        </w:rPr>
        <w:t> (pp. 109-133): Woodhead Publishing.</w:t>
      </w:r>
    </w:p>
    <w:p w14:paraId="4AE31C8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Nwanagba, E. C., </w:t>
      </w:r>
      <w:proofErr w:type="spellStart"/>
      <w:r>
        <w:rPr>
          <w:rFonts w:ascii="Times New Roman" w:hAnsi="Times New Roman" w:cs="Times New Roman"/>
          <w:sz w:val="20"/>
          <w:szCs w:val="20"/>
        </w:rPr>
        <w:t>Umego</w:t>
      </w:r>
      <w:proofErr w:type="spellEnd"/>
      <w:r>
        <w:rPr>
          <w:rFonts w:ascii="Times New Roman" w:hAnsi="Times New Roman" w:cs="Times New Roman"/>
          <w:sz w:val="20"/>
          <w:szCs w:val="20"/>
        </w:rPr>
        <w:t xml:space="preserve">, C. F., Odo, C. E. and Olawale, A. (2022): Quality evaluation of cookies produced from wheat–oat composite flour sweetened with date syrup. </w:t>
      </w:r>
      <w:r>
        <w:rPr>
          <w:rFonts w:ascii="Times New Roman" w:hAnsi="Times New Roman" w:cs="Times New Roman"/>
          <w:i/>
          <w:iCs/>
          <w:sz w:val="20"/>
          <w:szCs w:val="20"/>
        </w:rPr>
        <w:t>Nigerian Agricultural Journal, 53</w:t>
      </w:r>
      <w:r>
        <w:rPr>
          <w:rFonts w:ascii="Times New Roman" w:hAnsi="Times New Roman" w:cs="Times New Roman"/>
          <w:sz w:val="20"/>
          <w:szCs w:val="20"/>
        </w:rPr>
        <w:t>(2): 73–80.</w:t>
      </w:r>
    </w:p>
    <w:p w14:paraId="05CB7909"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Okoye, J. I., Nkwocha, A. C. and Ogbonna, A. C. (2019): Production, proximate composition and sensory properties of biscuits from wheat, sesame and unripe plantain composite flours. </w:t>
      </w:r>
      <w:r>
        <w:rPr>
          <w:rFonts w:ascii="Times New Roman" w:hAnsi="Times New Roman" w:cs="Times New Roman"/>
          <w:i/>
          <w:iCs/>
          <w:sz w:val="20"/>
          <w:szCs w:val="20"/>
        </w:rPr>
        <w:t>International Journal of Food Science and Biotechnology, 4</w:t>
      </w:r>
      <w:r>
        <w:rPr>
          <w:rFonts w:ascii="Times New Roman" w:hAnsi="Times New Roman" w:cs="Times New Roman"/>
          <w:sz w:val="20"/>
          <w:szCs w:val="20"/>
        </w:rPr>
        <w:t>(1): 14–20.</w:t>
      </w:r>
    </w:p>
    <w:p w14:paraId="69EF1500" w14:textId="77777777" w:rsidR="007628E0" w:rsidRDefault="00A56C92">
      <w:pPr>
        <w:spacing w:before="240" w:line="240" w:lineRule="auto"/>
        <w:ind w:left="720" w:hanging="720"/>
        <w:jc w:val="both"/>
        <w:rPr>
          <w:rFonts w:ascii="Times New Roman" w:hAnsi="Times New Roman" w:cs="Times New Roman"/>
          <w:sz w:val="20"/>
          <w:szCs w:val="20"/>
        </w:rPr>
      </w:pPr>
      <w:bookmarkStart w:id="11" w:name="_Hlk199872251"/>
      <w:r>
        <w:rPr>
          <w:rFonts w:ascii="Times New Roman" w:hAnsi="Times New Roman" w:cs="Times New Roman"/>
          <w:sz w:val="20"/>
          <w:szCs w:val="20"/>
        </w:rPr>
        <w:t>Olufemi</w:t>
      </w:r>
      <w:bookmarkEnd w:id="11"/>
      <w:r>
        <w:rPr>
          <w:rFonts w:ascii="Times New Roman" w:hAnsi="Times New Roman" w:cs="Times New Roman"/>
          <w:sz w:val="20"/>
          <w:szCs w:val="20"/>
        </w:rPr>
        <w:t>, O. S. (2024): Exploring banana production in Africa for food security and economic growth: A short review. </w:t>
      </w:r>
      <w:r>
        <w:rPr>
          <w:rFonts w:ascii="Times New Roman" w:hAnsi="Times New Roman" w:cs="Times New Roman"/>
          <w:i/>
          <w:iCs/>
          <w:sz w:val="20"/>
          <w:szCs w:val="20"/>
        </w:rPr>
        <w:t>Food Nutrition Chemistry</w:t>
      </w:r>
      <w:r>
        <w:rPr>
          <w:rFonts w:ascii="Times New Roman" w:hAnsi="Times New Roman" w:cs="Times New Roman"/>
          <w:sz w:val="20"/>
          <w:szCs w:val="20"/>
        </w:rPr>
        <w:t>, </w:t>
      </w:r>
      <w:r>
        <w:rPr>
          <w:rFonts w:ascii="Times New Roman" w:hAnsi="Times New Roman" w:cs="Times New Roman"/>
          <w:i/>
          <w:iCs/>
          <w:sz w:val="20"/>
          <w:szCs w:val="20"/>
        </w:rPr>
        <w:t>2</w:t>
      </w:r>
      <w:r>
        <w:rPr>
          <w:rFonts w:ascii="Times New Roman" w:hAnsi="Times New Roman" w:cs="Times New Roman"/>
          <w:sz w:val="20"/>
          <w:szCs w:val="20"/>
        </w:rPr>
        <w:t>(1): 125.</w:t>
      </w:r>
    </w:p>
    <w:p w14:paraId="14058CD3"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Ostermann-Porcel, M. V., Quiroga-Panelo, N., </w:t>
      </w:r>
      <w:proofErr w:type="spellStart"/>
      <w:r>
        <w:rPr>
          <w:rFonts w:ascii="Times New Roman" w:hAnsi="Times New Roman" w:cs="Times New Roman"/>
          <w:sz w:val="20"/>
          <w:szCs w:val="20"/>
          <w:shd w:val="clear" w:color="auto" w:fill="FFFFFF"/>
        </w:rPr>
        <w:t>Rinaldoni</w:t>
      </w:r>
      <w:proofErr w:type="spellEnd"/>
      <w:r>
        <w:rPr>
          <w:rFonts w:ascii="Times New Roman" w:hAnsi="Times New Roman" w:cs="Times New Roman"/>
          <w:sz w:val="20"/>
          <w:szCs w:val="20"/>
          <w:shd w:val="clear" w:color="auto" w:fill="FFFFFF"/>
        </w:rPr>
        <w:t xml:space="preserve">, A. N. and </w:t>
      </w:r>
      <w:proofErr w:type="spellStart"/>
      <w:r>
        <w:rPr>
          <w:rFonts w:ascii="Times New Roman" w:hAnsi="Times New Roman" w:cs="Times New Roman"/>
          <w:sz w:val="20"/>
          <w:szCs w:val="20"/>
          <w:shd w:val="clear" w:color="auto" w:fill="FFFFFF"/>
        </w:rPr>
        <w:t>Campderrós</w:t>
      </w:r>
      <w:proofErr w:type="spellEnd"/>
      <w:r>
        <w:rPr>
          <w:rFonts w:ascii="Times New Roman" w:hAnsi="Times New Roman" w:cs="Times New Roman"/>
          <w:sz w:val="20"/>
          <w:szCs w:val="20"/>
          <w:shd w:val="clear" w:color="auto" w:fill="FFFFFF"/>
        </w:rPr>
        <w:t>, M. E. (2017): Incorporation of Okara into gluten-free cookies with high quality and nutritional value. </w:t>
      </w:r>
      <w:r>
        <w:rPr>
          <w:rFonts w:ascii="Times New Roman" w:hAnsi="Times New Roman" w:cs="Times New Roman"/>
          <w:i/>
          <w:iCs/>
          <w:sz w:val="20"/>
          <w:szCs w:val="20"/>
          <w:shd w:val="clear" w:color="auto" w:fill="FFFFFF"/>
        </w:rPr>
        <w:t>Journal of Food Quality</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2017</w:t>
      </w:r>
      <w:r>
        <w:rPr>
          <w:rFonts w:ascii="Times New Roman" w:hAnsi="Times New Roman" w:cs="Times New Roman"/>
          <w:sz w:val="20"/>
          <w:szCs w:val="20"/>
          <w:shd w:val="clear" w:color="auto" w:fill="FFFFFF"/>
        </w:rPr>
        <w:t>.</w:t>
      </w:r>
    </w:p>
    <w:p w14:paraId="33F83CBD"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Quan, Z., Li, C., Zhao, L., Cui, D., Liu, S., Yin, Y. and Fu, X. (2024): Effect of banana intake on serum potassium level in patients undergoing maintenance hemodialysis: A randomized controlled trial. </w:t>
      </w:r>
      <w:r>
        <w:rPr>
          <w:rFonts w:ascii="Times New Roman" w:hAnsi="Times New Roman" w:cs="Times New Roman"/>
          <w:i/>
          <w:iCs/>
          <w:sz w:val="20"/>
          <w:szCs w:val="20"/>
        </w:rPr>
        <w:t>International Journal of Nursing Sciences</w:t>
      </w:r>
      <w:r>
        <w:rPr>
          <w:rFonts w:ascii="Times New Roman" w:hAnsi="Times New Roman" w:cs="Times New Roman"/>
          <w:sz w:val="20"/>
          <w:szCs w:val="20"/>
        </w:rPr>
        <w:t>, </w:t>
      </w:r>
      <w:r>
        <w:rPr>
          <w:rFonts w:ascii="Times New Roman" w:hAnsi="Times New Roman" w:cs="Times New Roman"/>
          <w:i/>
          <w:iCs/>
          <w:sz w:val="20"/>
          <w:szCs w:val="20"/>
        </w:rPr>
        <w:t>11</w:t>
      </w:r>
      <w:r>
        <w:rPr>
          <w:rFonts w:ascii="Times New Roman" w:hAnsi="Times New Roman" w:cs="Times New Roman"/>
          <w:sz w:val="20"/>
          <w:szCs w:val="20"/>
        </w:rPr>
        <w:t>(2): 197-204.</w:t>
      </w:r>
    </w:p>
    <w:p w14:paraId="553F0071"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Ranjha, M. M. A. N., Irfan, S., Nadeem, M. and Mahmood, S. (2022): A comprehensive review on nutritional value, medicinal uses, and processing of banana. </w:t>
      </w:r>
      <w:r>
        <w:rPr>
          <w:rFonts w:ascii="Times New Roman" w:hAnsi="Times New Roman" w:cs="Times New Roman"/>
          <w:i/>
          <w:iCs/>
          <w:sz w:val="20"/>
          <w:szCs w:val="20"/>
        </w:rPr>
        <w:t>Food Reviews International</w:t>
      </w:r>
      <w:r>
        <w:rPr>
          <w:rFonts w:ascii="Times New Roman" w:hAnsi="Times New Roman" w:cs="Times New Roman"/>
          <w:sz w:val="20"/>
          <w:szCs w:val="20"/>
        </w:rPr>
        <w:t>, </w:t>
      </w:r>
      <w:r>
        <w:rPr>
          <w:rFonts w:ascii="Times New Roman" w:hAnsi="Times New Roman" w:cs="Times New Roman"/>
          <w:i/>
          <w:iCs/>
          <w:sz w:val="20"/>
          <w:szCs w:val="20"/>
        </w:rPr>
        <w:t>38</w:t>
      </w:r>
      <w:r>
        <w:rPr>
          <w:rFonts w:ascii="Times New Roman" w:hAnsi="Times New Roman" w:cs="Times New Roman"/>
          <w:sz w:val="20"/>
          <w:szCs w:val="20"/>
        </w:rPr>
        <w:t>(2): 199-225.</w:t>
      </w:r>
    </w:p>
    <w:p w14:paraId="6D00CA76"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Shrestha, A. K. and </w:t>
      </w:r>
      <w:proofErr w:type="spellStart"/>
      <w:r>
        <w:rPr>
          <w:rFonts w:ascii="Times New Roman" w:hAnsi="Times New Roman" w:cs="Times New Roman"/>
          <w:sz w:val="20"/>
          <w:szCs w:val="20"/>
        </w:rPr>
        <w:t>Noomhorm</w:t>
      </w:r>
      <w:proofErr w:type="spellEnd"/>
      <w:r>
        <w:rPr>
          <w:rFonts w:ascii="Times New Roman" w:hAnsi="Times New Roman" w:cs="Times New Roman"/>
          <w:sz w:val="20"/>
          <w:szCs w:val="20"/>
        </w:rPr>
        <w:t xml:space="preserve">, A. (2002): Comparison of </w:t>
      </w:r>
      <w:proofErr w:type="spellStart"/>
      <w:r>
        <w:rPr>
          <w:rFonts w:ascii="Times New Roman" w:hAnsi="Times New Roman" w:cs="Times New Roman"/>
          <w:sz w:val="20"/>
          <w:szCs w:val="20"/>
        </w:rPr>
        <w:t>physico</w:t>
      </w:r>
      <w:proofErr w:type="spellEnd"/>
      <w:r>
        <w:rPr>
          <w:rFonts w:ascii="Times New Roman" w:hAnsi="Times New Roman" w:cs="Times New Roman"/>
          <w:sz w:val="20"/>
          <w:szCs w:val="20"/>
        </w:rPr>
        <w:t xml:space="preserve">-chemical properties of biscuits supplemented with soy and Kinema flours. </w:t>
      </w:r>
      <w:r>
        <w:rPr>
          <w:rFonts w:ascii="Times New Roman" w:hAnsi="Times New Roman" w:cs="Times New Roman"/>
          <w:i/>
          <w:sz w:val="20"/>
          <w:szCs w:val="20"/>
        </w:rPr>
        <w:t xml:space="preserve">International Journal of Food Science and Technology. 37(4):361-368. </w:t>
      </w:r>
      <w:r>
        <w:rPr>
          <w:rFonts w:ascii="Times New Roman" w:hAnsi="Times New Roman" w:cs="Times New Roman"/>
          <w:sz w:val="20"/>
          <w:szCs w:val="20"/>
        </w:rPr>
        <w:t xml:space="preserve">DOI:10.1046/j.1365-2621. 2002. 00574.x </w:t>
      </w:r>
    </w:p>
    <w:p w14:paraId="526401C9" w14:textId="77777777" w:rsidR="007628E0" w:rsidRDefault="00A56C92">
      <w:pPr>
        <w:spacing w:before="240" w:line="240" w:lineRule="auto"/>
        <w:ind w:left="720" w:hanging="720"/>
        <w:jc w:val="both"/>
        <w:rPr>
          <w:rFonts w:ascii="Times New Roman" w:hAnsi="Times New Roman" w:cs="Times New Roman"/>
          <w:sz w:val="20"/>
          <w:szCs w:val="20"/>
        </w:rPr>
      </w:pPr>
      <w:bookmarkStart w:id="12" w:name="_Hlk201687958"/>
      <w:r>
        <w:rPr>
          <w:rFonts w:ascii="Times New Roman" w:hAnsi="Times New Roman" w:cs="Times New Roman"/>
          <w:sz w:val="20"/>
          <w:szCs w:val="20"/>
        </w:rPr>
        <w:t>Soni, N., Kulkarni, A. S. and Patel, L. (2018): Studies on development of high protein cookies. </w:t>
      </w:r>
      <w:r>
        <w:rPr>
          <w:rFonts w:ascii="Times New Roman" w:hAnsi="Times New Roman" w:cs="Times New Roman"/>
          <w:i/>
          <w:iCs/>
          <w:sz w:val="20"/>
          <w:szCs w:val="20"/>
        </w:rPr>
        <w:t>Int J Chem Stud</w:t>
      </w:r>
      <w:r>
        <w:rPr>
          <w:rFonts w:ascii="Times New Roman" w:hAnsi="Times New Roman" w:cs="Times New Roman"/>
          <w:sz w:val="20"/>
          <w:szCs w:val="20"/>
        </w:rPr>
        <w:t>, </w:t>
      </w:r>
      <w:r>
        <w:rPr>
          <w:rFonts w:ascii="Times New Roman" w:hAnsi="Times New Roman" w:cs="Times New Roman"/>
          <w:i/>
          <w:iCs/>
          <w:sz w:val="20"/>
          <w:szCs w:val="20"/>
        </w:rPr>
        <w:t>6</w:t>
      </w:r>
      <w:r>
        <w:rPr>
          <w:rFonts w:ascii="Times New Roman" w:hAnsi="Times New Roman" w:cs="Times New Roman"/>
          <w:sz w:val="20"/>
          <w:szCs w:val="20"/>
        </w:rPr>
        <w:t>(6): 439-444.</w:t>
      </w:r>
    </w:p>
    <w:bookmarkEnd w:id="12"/>
    <w:p w14:paraId="61A54BAB"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Xiong, S., Li, J., Xu, J., Zhou, Y., &amp; Liao, L. (2023): Effect of </w:t>
      </w:r>
      <w:proofErr w:type="spellStart"/>
      <w:r>
        <w:rPr>
          <w:rFonts w:ascii="Times New Roman" w:hAnsi="Times New Roman" w:cs="Times New Roman"/>
          <w:sz w:val="20"/>
          <w:szCs w:val="20"/>
        </w:rPr>
        <w:t>Huangjing</w:t>
      </w:r>
      <w:proofErr w:type="spellEnd"/>
      <w:r>
        <w:rPr>
          <w:rFonts w:ascii="Times New Roman" w:hAnsi="Times New Roman" w:cs="Times New Roman"/>
          <w:sz w:val="20"/>
          <w:szCs w:val="20"/>
        </w:rPr>
        <w:t xml:space="preserve"> flour substitution on the physicochemical, textural and sensory properties of cookies. </w:t>
      </w:r>
      <w:r>
        <w:rPr>
          <w:rFonts w:ascii="Times New Roman" w:hAnsi="Times New Roman" w:cs="Times New Roman"/>
          <w:i/>
          <w:iCs/>
          <w:sz w:val="20"/>
          <w:szCs w:val="20"/>
        </w:rPr>
        <w:t>LWT – Food Science and Technology, 187</w:t>
      </w:r>
      <w:r>
        <w:rPr>
          <w:rFonts w:ascii="Times New Roman" w:hAnsi="Times New Roman" w:cs="Times New Roman"/>
          <w:sz w:val="20"/>
          <w:szCs w:val="20"/>
        </w:rPr>
        <w:t>, 115061.</w:t>
      </w:r>
    </w:p>
    <w:p w14:paraId="1D54BC2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Yusuf, S. I., </w:t>
      </w:r>
      <w:proofErr w:type="spellStart"/>
      <w:r>
        <w:rPr>
          <w:rFonts w:ascii="Times New Roman" w:hAnsi="Times New Roman" w:cs="Times New Roman"/>
          <w:sz w:val="20"/>
          <w:szCs w:val="20"/>
        </w:rPr>
        <w:t>Akinoso</w:t>
      </w:r>
      <w:proofErr w:type="spellEnd"/>
      <w:r>
        <w:rPr>
          <w:rFonts w:ascii="Times New Roman" w:hAnsi="Times New Roman" w:cs="Times New Roman"/>
          <w:sz w:val="20"/>
          <w:szCs w:val="20"/>
        </w:rPr>
        <w:t xml:space="preserve">, R. and Adebowale, O. J. (2023): Development and quality evaluation of cookies produced from sorghum–unripe banana–defatted sesame seed composite flour blends. </w:t>
      </w:r>
      <w:r>
        <w:rPr>
          <w:rFonts w:ascii="Times New Roman" w:hAnsi="Times New Roman" w:cs="Times New Roman"/>
          <w:i/>
          <w:iCs/>
          <w:sz w:val="20"/>
          <w:szCs w:val="20"/>
        </w:rPr>
        <w:t>Food Production, Processing and Nutrition, 5</w:t>
      </w:r>
      <w:r>
        <w:rPr>
          <w:rFonts w:ascii="Times New Roman" w:hAnsi="Times New Roman" w:cs="Times New Roman"/>
          <w:sz w:val="20"/>
          <w:szCs w:val="20"/>
        </w:rPr>
        <w:t xml:space="preserve">, 29. </w:t>
      </w:r>
    </w:p>
    <w:p w14:paraId="56C4217A" w14:textId="77777777" w:rsidR="007628E0" w:rsidRDefault="007628E0">
      <w:pPr>
        <w:ind w:left="720" w:hanging="720"/>
        <w:jc w:val="both"/>
        <w:rPr>
          <w:rFonts w:ascii="Times New Roman" w:hAnsi="Times New Roman" w:cs="Times New Roman"/>
        </w:rPr>
      </w:pPr>
    </w:p>
    <w:p w14:paraId="3D452D52" w14:textId="77777777" w:rsidR="007628E0" w:rsidRDefault="007628E0">
      <w:pPr>
        <w:spacing w:after="0" w:line="480" w:lineRule="auto"/>
        <w:jc w:val="both"/>
        <w:rPr>
          <w:rFonts w:ascii="Times New Roman" w:hAnsi="Times New Roman" w:cs="Times New Roman"/>
          <w:sz w:val="20"/>
          <w:szCs w:val="20"/>
        </w:rPr>
      </w:pPr>
    </w:p>
    <w:p w14:paraId="21E88120" w14:textId="77777777" w:rsidR="007628E0" w:rsidRDefault="007628E0">
      <w:pPr>
        <w:spacing w:line="240" w:lineRule="auto"/>
        <w:jc w:val="both"/>
        <w:rPr>
          <w:rFonts w:ascii="Times New Roman" w:hAnsi="Times New Roman" w:cs="Times New Roman"/>
          <w:b/>
          <w:color w:val="000000" w:themeColor="text1"/>
        </w:rPr>
      </w:pPr>
    </w:p>
    <w:sectPr w:rsidR="007628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2-09T10:28:00Z" w:initials="U">
    <w:p w14:paraId="5E868752" w14:textId="5C7E5BC7" w:rsidR="00FC6505" w:rsidRDefault="00FC6505">
      <w:pPr>
        <w:pStyle w:val="CommentText"/>
      </w:pPr>
      <w:r>
        <w:rPr>
          <w:rStyle w:val="CommentReference"/>
        </w:rPr>
        <w:annotationRef/>
      </w:r>
      <w:r>
        <w:t>Kindly show the formulation ratios here and the brief preliminary processing of the raw samples.</w:t>
      </w:r>
    </w:p>
  </w:comment>
  <w:comment w:id="1" w:author="User" w:date="2026-02-09T10:30:00Z" w:initials="U">
    <w:p w14:paraId="34D6673D" w14:textId="0206C0F3" w:rsidR="00662BC1" w:rsidRDefault="00662BC1">
      <w:pPr>
        <w:pStyle w:val="CommentText"/>
      </w:pPr>
      <w:r>
        <w:rPr>
          <w:rStyle w:val="CommentReference"/>
        </w:rPr>
        <w:annotationRef/>
      </w:r>
      <w:r>
        <w:t>Write one or two sentence-conclusion of the study and its relevance.</w:t>
      </w:r>
    </w:p>
  </w:comment>
  <w:comment w:id="2" w:author="User" w:date="2026-02-09T10:34:00Z" w:initials="U">
    <w:p w14:paraId="633DA4C9" w14:textId="345AC7F9" w:rsidR="00662BC1" w:rsidRDefault="00662BC1">
      <w:pPr>
        <w:pStyle w:val="CommentText"/>
      </w:pPr>
      <w:r>
        <w:rPr>
          <w:rStyle w:val="CommentReference"/>
        </w:rPr>
        <w:annotationRef/>
      </w:r>
      <w:r>
        <w:t>Add this phrase here “the nutrient quality of fortified”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68752" w15:done="0"/>
  <w15:commentEx w15:paraId="34D6673D" w15:done="0"/>
  <w15:commentEx w15:paraId="633DA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48EA15" w16cex:dateUtc="2026-02-09T09:28:00Z"/>
  <w16cex:commentExtensible w16cex:durableId="7C9C3961" w16cex:dateUtc="2026-02-09T09:30:00Z"/>
  <w16cex:commentExtensible w16cex:durableId="6C635EB8" w16cex:dateUtc="2026-02-0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68752" w16cid:durableId="4B48EA15"/>
  <w16cid:commentId w16cid:paraId="34D6673D" w16cid:durableId="7C9C3961"/>
  <w16cid:commentId w16cid:paraId="633DA4C9" w16cid:durableId="6C635E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4C0" w14:textId="77777777" w:rsidR="005B7E32" w:rsidRDefault="005B7E32">
      <w:pPr>
        <w:spacing w:line="240" w:lineRule="auto"/>
      </w:pPr>
      <w:r>
        <w:separator/>
      </w:r>
    </w:p>
  </w:endnote>
  <w:endnote w:type="continuationSeparator" w:id="0">
    <w:p w14:paraId="46B8EC7B" w14:textId="77777777" w:rsidR="005B7E32" w:rsidRDefault="005B7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B3BE" w14:textId="77777777" w:rsidR="00DA438C" w:rsidRDefault="00DA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6593" w14:textId="77777777" w:rsidR="007628E0" w:rsidRDefault="00A56C92">
    <w:pPr>
      <w:pStyle w:val="Footer"/>
    </w:pPr>
    <w:r>
      <w:rPr>
        <w:noProof/>
      </w:rPr>
      <mc:AlternateContent>
        <mc:Choice Requires="wps">
          <w:drawing>
            <wp:anchor distT="0" distB="0" distL="114300" distR="114300" simplePos="0" relativeHeight="251659264" behindDoc="0" locked="0" layoutInCell="1" allowOverlap="1" wp14:anchorId="14D54AF8" wp14:editId="55A9B740">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80410" w14:textId="77777777" w:rsidR="007628E0" w:rsidRDefault="00A56C9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D54AF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6AE80410" w14:textId="77777777" w:rsidR="007628E0" w:rsidRDefault="00A56C9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1191" w14:textId="77777777" w:rsidR="00DA438C" w:rsidRDefault="00DA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3AD9" w14:textId="77777777" w:rsidR="005B7E32" w:rsidRDefault="005B7E32">
      <w:pPr>
        <w:spacing w:after="0"/>
      </w:pPr>
      <w:r>
        <w:separator/>
      </w:r>
    </w:p>
  </w:footnote>
  <w:footnote w:type="continuationSeparator" w:id="0">
    <w:p w14:paraId="09B5377E" w14:textId="77777777" w:rsidR="005B7E32" w:rsidRDefault="005B7E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763A" w14:textId="12B5CED7" w:rsidR="00DA438C" w:rsidRDefault="00000000">
    <w:pPr>
      <w:pStyle w:val="Header"/>
    </w:pPr>
    <w:r>
      <w:rPr>
        <w:noProof/>
      </w:rPr>
      <w:pict w14:anchorId="49170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00A4" w14:textId="6F32B07D" w:rsidR="00DA438C" w:rsidRDefault="00000000">
    <w:pPr>
      <w:pStyle w:val="Header"/>
    </w:pPr>
    <w:r>
      <w:rPr>
        <w:noProof/>
      </w:rPr>
      <w:pict w14:anchorId="1C511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D413" w14:textId="50B2D8E1" w:rsidR="00DA438C" w:rsidRDefault="00000000">
    <w:pPr>
      <w:pStyle w:val="Header"/>
    </w:pPr>
    <w:r>
      <w:rPr>
        <w:noProof/>
      </w:rPr>
      <w:pict w14:anchorId="4B74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08"/>
    <w:rsid w:val="0001328E"/>
    <w:rsid w:val="00022659"/>
    <w:rsid w:val="00026F55"/>
    <w:rsid w:val="00035798"/>
    <w:rsid w:val="00061372"/>
    <w:rsid w:val="00066AEF"/>
    <w:rsid w:val="000676D8"/>
    <w:rsid w:val="00071DDD"/>
    <w:rsid w:val="000A04A6"/>
    <w:rsid w:val="000B62EC"/>
    <w:rsid w:val="000D23A7"/>
    <w:rsid w:val="000D7FCA"/>
    <w:rsid w:val="000E2D61"/>
    <w:rsid w:val="00166BA3"/>
    <w:rsid w:val="001B07A0"/>
    <w:rsid w:val="001E0A09"/>
    <w:rsid w:val="001E54AE"/>
    <w:rsid w:val="002000D6"/>
    <w:rsid w:val="0020336D"/>
    <w:rsid w:val="002176F5"/>
    <w:rsid w:val="00222EDC"/>
    <w:rsid w:val="00226108"/>
    <w:rsid w:val="00236167"/>
    <w:rsid w:val="0025522E"/>
    <w:rsid w:val="00266FB6"/>
    <w:rsid w:val="00293089"/>
    <w:rsid w:val="002A2178"/>
    <w:rsid w:val="002D6688"/>
    <w:rsid w:val="00302318"/>
    <w:rsid w:val="00364B1E"/>
    <w:rsid w:val="003651DD"/>
    <w:rsid w:val="003833C8"/>
    <w:rsid w:val="003939A3"/>
    <w:rsid w:val="003F4002"/>
    <w:rsid w:val="00421E06"/>
    <w:rsid w:val="00441CD2"/>
    <w:rsid w:val="00447CD5"/>
    <w:rsid w:val="00452753"/>
    <w:rsid w:val="00477660"/>
    <w:rsid w:val="004776A7"/>
    <w:rsid w:val="00477FD1"/>
    <w:rsid w:val="00490F06"/>
    <w:rsid w:val="004D4E94"/>
    <w:rsid w:val="004F6E75"/>
    <w:rsid w:val="00503233"/>
    <w:rsid w:val="005204E2"/>
    <w:rsid w:val="00520B35"/>
    <w:rsid w:val="00541CB9"/>
    <w:rsid w:val="00580382"/>
    <w:rsid w:val="00590D61"/>
    <w:rsid w:val="005A4214"/>
    <w:rsid w:val="005A5297"/>
    <w:rsid w:val="005B7E32"/>
    <w:rsid w:val="005C3728"/>
    <w:rsid w:val="005F19A6"/>
    <w:rsid w:val="00601026"/>
    <w:rsid w:val="00605BE5"/>
    <w:rsid w:val="00614E77"/>
    <w:rsid w:val="00616517"/>
    <w:rsid w:val="006404AE"/>
    <w:rsid w:val="00662BC1"/>
    <w:rsid w:val="00663F33"/>
    <w:rsid w:val="006752A1"/>
    <w:rsid w:val="00676FC0"/>
    <w:rsid w:val="0068142E"/>
    <w:rsid w:val="006B7C26"/>
    <w:rsid w:val="006F3B07"/>
    <w:rsid w:val="006F40DD"/>
    <w:rsid w:val="00701255"/>
    <w:rsid w:val="00707164"/>
    <w:rsid w:val="00742E50"/>
    <w:rsid w:val="007432CA"/>
    <w:rsid w:val="007628E0"/>
    <w:rsid w:val="0079459E"/>
    <w:rsid w:val="007A1252"/>
    <w:rsid w:val="007A5039"/>
    <w:rsid w:val="007C121E"/>
    <w:rsid w:val="007C2FE0"/>
    <w:rsid w:val="007D2C9D"/>
    <w:rsid w:val="007E332F"/>
    <w:rsid w:val="00802CBF"/>
    <w:rsid w:val="00804B18"/>
    <w:rsid w:val="008144FC"/>
    <w:rsid w:val="00825612"/>
    <w:rsid w:val="00825D26"/>
    <w:rsid w:val="0084006C"/>
    <w:rsid w:val="00840EC5"/>
    <w:rsid w:val="00872E73"/>
    <w:rsid w:val="00873D84"/>
    <w:rsid w:val="008773BD"/>
    <w:rsid w:val="00893F3C"/>
    <w:rsid w:val="008B2575"/>
    <w:rsid w:val="008B3437"/>
    <w:rsid w:val="008B772C"/>
    <w:rsid w:val="008D0E79"/>
    <w:rsid w:val="00973794"/>
    <w:rsid w:val="009752D9"/>
    <w:rsid w:val="00980567"/>
    <w:rsid w:val="009A53BD"/>
    <w:rsid w:val="009B6328"/>
    <w:rsid w:val="009D2BE2"/>
    <w:rsid w:val="00A0777A"/>
    <w:rsid w:val="00A347B8"/>
    <w:rsid w:val="00A56C92"/>
    <w:rsid w:val="00A56EAB"/>
    <w:rsid w:val="00A66F56"/>
    <w:rsid w:val="00A67C4B"/>
    <w:rsid w:val="00A8531C"/>
    <w:rsid w:val="00AA4F50"/>
    <w:rsid w:val="00B025DD"/>
    <w:rsid w:val="00B37FBA"/>
    <w:rsid w:val="00B64F00"/>
    <w:rsid w:val="00B714C6"/>
    <w:rsid w:val="00B71C03"/>
    <w:rsid w:val="00B7315D"/>
    <w:rsid w:val="00B752E9"/>
    <w:rsid w:val="00B96F10"/>
    <w:rsid w:val="00BA074E"/>
    <w:rsid w:val="00BA354A"/>
    <w:rsid w:val="00C14FA2"/>
    <w:rsid w:val="00C34155"/>
    <w:rsid w:val="00C3659A"/>
    <w:rsid w:val="00C57B84"/>
    <w:rsid w:val="00C81FDB"/>
    <w:rsid w:val="00CA2603"/>
    <w:rsid w:val="00CB176C"/>
    <w:rsid w:val="00CE17BE"/>
    <w:rsid w:val="00CF0BD6"/>
    <w:rsid w:val="00D2577A"/>
    <w:rsid w:val="00D61B24"/>
    <w:rsid w:val="00D634A3"/>
    <w:rsid w:val="00D64694"/>
    <w:rsid w:val="00D92D4E"/>
    <w:rsid w:val="00DA438C"/>
    <w:rsid w:val="00DE3078"/>
    <w:rsid w:val="00DE4530"/>
    <w:rsid w:val="00DE6862"/>
    <w:rsid w:val="00E10A08"/>
    <w:rsid w:val="00E4174C"/>
    <w:rsid w:val="00E6508A"/>
    <w:rsid w:val="00E67815"/>
    <w:rsid w:val="00E73135"/>
    <w:rsid w:val="00E8602B"/>
    <w:rsid w:val="00EA7316"/>
    <w:rsid w:val="00EB0EE3"/>
    <w:rsid w:val="00EB4DEF"/>
    <w:rsid w:val="00ED2BCF"/>
    <w:rsid w:val="00F01D10"/>
    <w:rsid w:val="00F04C0B"/>
    <w:rsid w:val="00F11AE6"/>
    <w:rsid w:val="00F234F4"/>
    <w:rsid w:val="00F35F93"/>
    <w:rsid w:val="00F37E08"/>
    <w:rsid w:val="00F43A6E"/>
    <w:rsid w:val="00F46843"/>
    <w:rsid w:val="00F622B5"/>
    <w:rsid w:val="00F9194C"/>
    <w:rsid w:val="00FA687F"/>
    <w:rsid w:val="00FB3FCA"/>
    <w:rsid w:val="00FC49FC"/>
    <w:rsid w:val="00FC6505"/>
    <w:rsid w:val="00FF539B"/>
    <w:rsid w:val="00FF6034"/>
    <w:rsid w:val="04A26E27"/>
    <w:rsid w:val="06BF391E"/>
    <w:rsid w:val="0D714A1C"/>
    <w:rsid w:val="0EBC11BB"/>
    <w:rsid w:val="0F950E9E"/>
    <w:rsid w:val="154E1A04"/>
    <w:rsid w:val="1D6567C6"/>
    <w:rsid w:val="1D886CD2"/>
    <w:rsid w:val="1DB765D0"/>
    <w:rsid w:val="214B19AF"/>
    <w:rsid w:val="28AB4A44"/>
    <w:rsid w:val="2DFC6E80"/>
    <w:rsid w:val="2F5716BB"/>
    <w:rsid w:val="30CC4A9F"/>
    <w:rsid w:val="33F870CD"/>
    <w:rsid w:val="35DF02EF"/>
    <w:rsid w:val="39741150"/>
    <w:rsid w:val="3DBC52D8"/>
    <w:rsid w:val="42465FED"/>
    <w:rsid w:val="4265497C"/>
    <w:rsid w:val="439D5CFD"/>
    <w:rsid w:val="4A1B4023"/>
    <w:rsid w:val="4B182C41"/>
    <w:rsid w:val="4B876778"/>
    <w:rsid w:val="5219153F"/>
    <w:rsid w:val="526428B8"/>
    <w:rsid w:val="53E21E30"/>
    <w:rsid w:val="5FC22099"/>
    <w:rsid w:val="66135703"/>
    <w:rsid w:val="696D3286"/>
    <w:rsid w:val="6C5E57D7"/>
    <w:rsid w:val="6E293B49"/>
    <w:rsid w:val="6E7603C5"/>
    <w:rsid w:val="6EE51CFE"/>
    <w:rsid w:val="6F2C4671"/>
    <w:rsid w:val="70A94E62"/>
    <w:rsid w:val="751D5331"/>
    <w:rsid w:val="7B646D7F"/>
    <w:rsid w:val="7ED3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3587D"/>
  <w15:docId w15:val="{347CD720-9844-493A-A1CD-AA0AEC0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spacing w:line="480" w:lineRule="auto"/>
      <w:jc w:val="both"/>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pPr>
      <w:jc w:val="center"/>
    </w:pPr>
    <w:rPr>
      <w:rFonts w:ascii="Times New Roman" w:hAnsi="Times New Roman"/>
      <w:kern w:val="2"/>
      <w:sz w:val="24"/>
      <w:szCs w:val="24"/>
      <w14:ligatures w14:val="standardContextual"/>
    </w:rPr>
    <w:tblPr>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kern w:val="2"/>
      <w:sz w:val="20"/>
      <w:szCs w:val="20"/>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FC6505"/>
    <w:rPr>
      <w:b/>
      <w:bCs/>
    </w:rPr>
  </w:style>
  <w:style w:type="character" w:customStyle="1" w:styleId="CommentSubjectChar">
    <w:name w:val="Comment Subject Char"/>
    <w:basedOn w:val="CommentTextChar"/>
    <w:link w:val="CommentSubject"/>
    <w:uiPriority w:val="99"/>
    <w:semiHidden/>
    <w:rsid w:val="00FC6505"/>
    <w:rPr>
      <w:b/>
      <w:bCs/>
      <w:kern w:val="2"/>
      <w:sz w:val="20"/>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10</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User</cp:lastModifiedBy>
  <cp:revision>152</cp:revision>
  <dcterms:created xsi:type="dcterms:W3CDTF">2025-11-23T06:48:00Z</dcterms:created>
  <dcterms:modified xsi:type="dcterms:W3CDTF">2026-02-09T09:43:00Z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975F24176F85421F99BD258197E1FE17_12</vt:lpwstr>
  </property>
</Properties>
</file>