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2A" w:rsidRPr="00070383" w:rsidRDefault="00E5342A">
      <w:pPr>
        <w:spacing w:before="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E5342A" w:rsidRPr="00070383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Journal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0703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7038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703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0703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0703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703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703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E5342A" w:rsidRPr="00070383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Ms_CJAST_154976</w:t>
            </w:r>
          </w:p>
        </w:tc>
      </w:tr>
      <w:tr w:rsidR="00E5342A" w:rsidRPr="00070383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Title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environmentally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friendly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703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recycled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plastic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>sand</w:t>
            </w:r>
          </w:p>
        </w:tc>
      </w:tr>
      <w:tr w:rsidR="00E5342A" w:rsidRPr="00070383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Type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5342A" w:rsidRPr="00070383" w:rsidRDefault="00E5342A">
      <w:pPr>
        <w:rPr>
          <w:rFonts w:ascii="Arial" w:hAnsi="Arial" w:cs="Arial"/>
          <w:sz w:val="20"/>
          <w:szCs w:val="20"/>
        </w:rPr>
      </w:pPr>
    </w:p>
    <w:p w:rsidR="00E5342A" w:rsidRPr="00070383" w:rsidRDefault="00E534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E5342A" w:rsidRPr="00070383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E5342A" w:rsidRPr="00070383" w:rsidRDefault="00FD3B9C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70383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0703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703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5342A" w:rsidRPr="00070383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03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5342A" w:rsidRPr="00070383" w:rsidRDefault="00E5342A">
            <w:pPr>
              <w:pStyle w:val="TableParagraph"/>
              <w:ind w:left="107" w:right="13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line="252" w:lineRule="auto"/>
              <w:ind w:left="103" w:right="740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(It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mandatory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that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authors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should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write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342A" w:rsidRPr="00070383">
        <w:trPr>
          <w:trHeight w:val="149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703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This manuscript addresses an important environmental and engineering challenge related to plastic waste management. The study explores the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 possibility of converting recycled plastic and sand into composite materials that could potentially be used in non-structural construction applications. The proposed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approach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contributes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to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 growing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body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research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on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sustainable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construction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materials and waste valorization.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179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5342A" w:rsidRPr="00070383" w:rsidRDefault="00FD3B9C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703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current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title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generally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appropriate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reflects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core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objective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study.</w:t>
            </w:r>
            <w:r w:rsidRPr="0007038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However,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it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could be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slightly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improved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to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better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emphasize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aspect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specific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material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formulation.</w:t>
            </w:r>
          </w:p>
          <w:p w:rsidR="00E5342A" w:rsidRPr="00070383" w:rsidRDefault="00E5342A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5342A" w:rsidRPr="00070383" w:rsidRDefault="00FD3B9C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Suggested</w:t>
            </w:r>
            <w:r w:rsidRPr="0007038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alternative</w:t>
            </w:r>
            <w:r w:rsidRPr="0007038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E5342A" w:rsidRPr="00070383" w:rsidRDefault="00FD3B9C">
            <w:pPr>
              <w:pStyle w:val="TableParagraph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“Development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Preliminary</w:t>
            </w:r>
            <w:r w:rsidRPr="0007038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Characterization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Composite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Material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Produced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from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Recycled Plastic and Sand for Sustainable Construction Applications”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100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2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703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703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 w:right="222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abstract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clearly</w:t>
            </w:r>
            <w:r w:rsidRPr="000703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presents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aim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research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briefly</w:t>
            </w:r>
            <w:r w:rsidRPr="000703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describes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methodology. </w:t>
            </w:r>
            <w:r w:rsidRPr="00070383">
              <w:rPr>
                <w:rFonts w:ascii="Arial" w:hAnsi="Arial" w:cs="Arial"/>
                <w:sz w:val="20"/>
                <w:szCs w:val="20"/>
              </w:rPr>
              <w:t>However, it remains largely descriptive and would benefit from the inclusion of more quantitative information such as include key numerical results such as density values or other measured properties.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225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03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703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The manuscript presents a logical experimental process for producing plastic–sand composites. The general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703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melting</w:t>
            </w:r>
            <w:r w:rsidRPr="000703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plastic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sand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technically</w:t>
            </w:r>
            <w:r w:rsidRPr="000703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reasonable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consistent with previous studies on plastic-based </w:t>
            </w:r>
            <w:r w:rsidRPr="00070383">
              <w:rPr>
                <w:rFonts w:ascii="Arial" w:hAnsi="Arial" w:cs="Arial"/>
                <w:sz w:val="20"/>
                <w:szCs w:val="20"/>
              </w:rPr>
              <w:t>construction materials. However, several scientific aspects require improvement. For example, lack of mechanical testing: The study mainly relies on visual observations and density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measurements. Mechanical properties such as compressive strength, flexural </w:t>
            </w:r>
            <w:r w:rsidRPr="00070383">
              <w:rPr>
                <w:rFonts w:ascii="Arial" w:hAnsi="Arial" w:cs="Arial"/>
                <w:sz w:val="20"/>
                <w:szCs w:val="20"/>
              </w:rPr>
              <w:t>strength, or durability are essential to evaluate the practical performance of the composite.</w:t>
            </w:r>
          </w:p>
          <w:p w:rsidR="00E5342A" w:rsidRPr="00070383" w:rsidRDefault="00FD3B9C">
            <w:pPr>
              <w:pStyle w:val="TableParagraph"/>
              <w:spacing w:before="2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discussion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primarily</w:t>
            </w:r>
            <w:r w:rsidRPr="000703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describes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observations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rather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than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critically</w:t>
            </w:r>
            <w:r w:rsidRPr="0007038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interpreting</w:t>
            </w:r>
            <w:r w:rsidRPr="000703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the results or comparing them with existing literature.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17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 w:right="356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The manuscript cites several relevant studies related to plastic waste recycling and construction materials. However, many referenc</w:t>
            </w:r>
            <w:r w:rsidRPr="00070383">
              <w:rPr>
                <w:rFonts w:ascii="Arial" w:hAnsi="Arial" w:cs="Arial"/>
                <w:sz w:val="20"/>
                <w:szCs w:val="20"/>
              </w:rPr>
              <w:t>es are relatively old or limited in number considering the active research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field.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Author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should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include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more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recent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studies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(last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5 years)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on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plastic-sand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composites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or plastic-based construction materials by adding references from high-impact journals </w:t>
            </w:r>
            <w:r w:rsidRPr="00070383">
              <w:rPr>
                <w:rFonts w:ascii="Arial" w:hAnsi="Arial" w:cs="Arial"/>
                <w:sz w:val="20"/>
                <w:szCs w:val="20"/>
              </w:rPr>
              <w:t>related to sustainable materials or construction engineering. Consider citing research on plastic waste incorporation in paving blocks, concrete substitutes, or polymer-based composites.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7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Some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sentences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are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repetitive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or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contain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minor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grammatical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inconsistencies.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careful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0703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or professional language editing is recommended to improve readability and scientific style.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2A" w:rsidRPr="00070383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0703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To enhance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 the scientific value of the work, the authors are encouraged to conduct mechanical tests (compressive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strength,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flexural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strength,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durability.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Provide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clearer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details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and</w:t>
            </w:r>
            <w:r w:rsidRPr="000703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 xml:space="preserve">replicate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measurements.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42A" w:rsidRPr="00070383" w:rsidRDefault="00E5342A">
      <w:pPr>
        <w:pStyle w:val="TableParagraph"/>
        <w:rPr>
          <w:rFonts w:ascii="Arial" w:hAnsi="Arial" w:cs="Arial"/>
          <w:sz w:val="20"/>
          <w:szCs w:val="20"/>
        </w:rPr>
        <w:sectPr w:rsidR="00E5342A" w:rsidRPr="00070383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E5342A" w:rsidRPr="00070383" w:rsidRDefault="00E5342A">
      <w:pPr>
        <w:spacing w:before="10"/>
        <w:rPr>
          <w:rFonts w:ascii="Arial" w:hAnsi="Arial" w:cs="Arial"/>
          <w:sz w:val="20"/>
          <w:szCs w:val="20"/>
        </w:rPr>
      </w:pPr>
    </w:p>
    <w:p w:rsidR="00F2478C" w:rsidRPr="00070383" w:rsidRDefault="00F2478C">
      <w:pPr>
        <w:spacing w:before="10"/>
        <w:rPr>
          <w:rFonts w:ascii="Arial" w:hAnsi="Arial" w:cs="Arial"/>
          <w:sz w:val="20"/>
          <w:szCs w:val="20"/>
        </w:rPr>
      </w:pPr>
    </w:p>
    <w:p w:rsidR="00F2478C" w:rsidRPr="00070383" w:rsidRDefault="00F2478C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5"/>
        <w:gridCol w:w="5677"/>
      </w:tblGrid>
      <w:tr w:rsidR="00E5342A" w:rsidRPr="00070383">
        <w:trPr>
          <w:trHeight w:val="446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F2478C" w:rsidRPr="00070383" w:rsidRDefault="00F2478C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E5342A" w:rsidRPr="00070383" w:rsidRDefault="00FD3B9C" w:rsidP="00F2478C">
            <w:pPr>
              <w:pStyle w:val="TableParagraph"/>
              <w:spacing w:line="222" w:lineRule="exact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</w:pPr>
            <w:r w:rsidRPr="000703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070383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:rsidR="00F2478C" w:rsidRPr="00070383" w:rsidRDefault="00F2478C" w:rsidP="00F2478C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342A" w:rsidRPr="00070383">
        <w:trPr>
          <w:trHeight w:val="929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5" w:type="dxa"/>
            <w:tcBorders>
              <w:left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03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7" w:type="dxa"/>
            <w:tcBorders>
              <w:left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 w:line="252" w:lineRule="auto"/>
              <w:ind w:left="2" w:right="76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703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703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(It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mandatory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that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authors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should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write</w:t>
            </w:r>
            <w:r w:rsidRPr="000703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342A" w:rsidRPr="00070383">
        <w:trPr>
          <w:trHeight w:val="918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5342A" w:rsidRPr="00070383" w:rsidRDefault="00FD3B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703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703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03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703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FD3B9C">
            <w:pPr>
              <w:pStyle w:val="TableParagraph"/>
              <w:spacing w:before="1"/>
              <w:rPr>
                <w:rFonts w:ascii="Arial" w:hAnsi="Arial" w:cs="Arial"/>
                <w:i/>
                <w:sz w:val="20"/>
                <w:szCs w:val="20"/>
              </w:rPr>
            </w:pP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7038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7038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70383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7038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7038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7038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7038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7038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7038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7038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70383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07038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E5342A" w:rsidRPr="00070383" w:rsidRDefault="00FD3B9C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070383">
              <w:rPr>
                <w:rFonts w:ascii="Arial" w:hAnsi="Arial" w:cs="Arial"/>
                <w:sz w:val="20"/>
                <w:szCs w:val="20"/>
              </w:rPr>
              <w:t>There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are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no</w:t>
            </w:r>
            <w:r w:rsidRPr="000703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apparent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ethical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issues in</w:t>
            </w:r>
            <w:r w:rsidRPr="000703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z w:val="20"/>
                <w:szCs w:val="20"/>
              </w:rPr>
              <w:t>this</w:t>
            </w:r>
            <w:r w:rsidRPr="000703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383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42A" w:rsidRPr="00070383" w:rsidRDefault="00E5342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42A" w:rsidRPr="00070383" w:rsidRDefault="00E5342A">
      <w:pPr>
        <w:rPr>
          <w:rFonts w:ascii="Arial" w:hAnsi="Arial" w:cs="Arial"/>
          <w:sz w:val="20"/>
          <w:szCs w:val="20"/>
        </w:rPr>
      </w:pPr>
    </w:p>
    <w:p w:rsidR="00F2478C" w:rsidRPr="00070383" w:rsidRDefault="00F2478C">
      <w:pPr>
        <w:rPr>
          <w:rFonts w:ascii="Arial" w:hAnsi="Arial" w:cs="Arial"/>
          <w:sz w:val="20"/>
          <w:szCs w:val="20"/>
        </w:rPr>
      </w:pPr>
    </w:p>
    <w:p w:rsidR="00F2478C" w:rsidRPr="00070383" w:rsidRDefault="00F2478C">
      <w:pPr>
        <w:rPr>
          <w:rFonts w:ascii="Arial" w:hAnsi="Arial" w:cs="Arial"/>
          <w:sz w:val="20"/>
          <w:szCs w:val="20"/>
        </w:rPr>
      </w:pPr>
    </w:p>
    <w:p w:rsidR="00F2478C" w:rsidRPr="00070383" w:rsidRDefault="00F2478C">
      <w:pPr>
        <w:rPr>
          <w:rFonts w:ascii="Arial" w:hAnsi="Arial" w:cs="Arial"/>
          <w:b/>
          <w:sz w:val="20"/>
          <w:szCs w:val="20"/>
          <w:u w:val="single"/>
        </w:rPr>
      </w:pPr>
      <w:r w:rsidRPr="000703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52C9B" w:rsidRPr="00070383" w:rsidRDefault="00752C9B">
      <w:pPr>
        <w:rPr>
          <w:rFonts w:ascii="Arial" w:hAnsi="Arial" w:cs="Arial"/>
          <w:b/>
          <w:sz w:val="20"/>
          <w:szCs w:val="20"/>
          <w:u w:val="single"/>
        </w:rPr>
      </w:pPr>
    </w:p>
    <w:p w:rsidR="00752C9B" w:rsidRPr="00070383" w:rsidRDefault="00070383">
      <w:pPr>
        <w:rPr>
          <w:rFonts w:ascii="Arial" w:hAnsi="Arial" w:cs="Arial"/>
          <w:b/>
          <w:sz w:val="20"/>
          <w:szCs w:val="20"/>
        </w:rPr>
      </w:pPr>
      <w:proofErr w:type="spellStart"/>
      <w:r w:rsidRPr="00070383">
        <w:rPr>
          <w:rFonts w:ascii="Arial" w:hAnsi="Arial" w:cs="Arial"/>
          <w:b/>
          <w:sz w:val="20"/>
          <w:szCs w:val="20"/>
        </w:rPr>
        <w:t>Thipsuree</w:t>
      </w:r>
      <w:proofErr w:type="spellEnd"/>
      <w:r w:rsidRPr="0007038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70383">
        <w:rPr>
          <w:rFonts w:ascii="Arial" w:hAnsi="Arial" w:cs="Arial"/>
          <w:b/>
          <w:sz w:val="20"/>
          <w:szCs w:val="20"/>
        </w:rPr>
        <w:t>Kornboonraksa</w:t>
      </w:r>
      <w:proofErr w:type="spellEnd"/>
      <w:r w:rsidRPr="0007038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70383">
        <w:rPr>
          <w:rFonts w:ascii="Arial" w:hAnsi="Arial" w:cs="Arial"/>
          <w:b/>
          <w:sz w:val="20"/>
          <w:szCs w:val="20"/>
        </w:rPr>
        <w:t>Burapha</w:t>
      </w:r>
      <w:proofErr w:type="spellEnd"/>
      <w:r w:rsidRPr="00070383">
        <w:rPr>
          <w:rFonts w:ascii="Arial" w:hAnsi="Arial" w:cs="Arial"/>
          <w:b/>
          <w:sz w:val="20"/>
          <w:szCs w:val="20"/>
        </w:rPr>
        <w:t xml:space="preserve"> University, Thailand</w:t>
      </w:r>
      <w:bookmarkStart w:id="0" w:name="_GoBack"/>
      <w:bookmarkEnd w:id="0"/>
    </w:p>
    <w:sectPr w:rsidR="00752C9B" w:rsidRPr="00070383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B9C" w:rsidRDefault="00FD3B9C">
      <w:r>
        <w:separator/>
      </w:r>
    </w:p>
  </w:endnote>
  <w:endnote w:type="continuationSeparator" w:id="0">
    <w:p w:rsidR="00FD3B9C" w:rsidRDefault="00FD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2A" w:rsidRDefault="00FD3B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42A" w:rsidRDefault="00FD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E5342A" w:rsidRDefault="00FD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42A" w:rsidRDefault="00FD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E5342A" w:rsidRDefault="00FD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42A" w:rsidRDefault="00FD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E5342A" w:rsidRDefault="00FD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42A" w:rsidRDefault="00FD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E5342A" w:rsidRDefault="00FD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B9C" w:rsidRDefault="00FD3B9C">
      <w:r>
        <w:separator/>
      </w:r>
    </w:p>
  </w:footnote>
  <w:footnote w:type="continuationSeparator" w:id="0">
    <w:p w:rsidR="00FD3B9C" w:rsidRDefault="00FD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2A" w:rsidRDefault="00FD3B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42A" w:rsidRDefault="00FD3B9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E5342A" w:rsidRDefault="00FD3B9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42A"/>
    <w:rsid w:val="00070383"/>
    <w:rsid w:val="00752C9B"/>
    <w:rsid w:val="00E5342A"/>
    <w:rsid w:val="00F2478C"/>
    <w:rsid w:val="00FD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D5B5"/>
  <w15:docId w15:val="{5F4C7ECA-6110-4D52-921D-F791DE51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1185</cp:lastModifiedBy>
  <cp:revision>7</cp:revision>
  <dcterms:created xsi:type="dcterms:W3CDTF">2026-03-12T10:05:00Z</dcterms:created>
  <dcterms:modified xsi:type="dcterms:W3CDTF">2026-03-24T11:14:00Z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