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4CD3" w14:textId="77777777" w:rsidR="00AE4807" w:rsidRPr="00AE4807" w:rsidRDefault="00AE4807" w:rsidP="00AE4807">
      <w:pPr>
        <w:pStyle w:val="Author"/>
        <w:rPr>
          <w:rFonts w:ascii="Arial" w:hAnsi="Arial" w:cs="Arial"/>
          <w:bCs/>
          <w:i/>
          <w:iCs/>
          <w:kern w:val="28"/>
          <w:sz w:val="20"/>
          <w:u w:val="single"/>
        </w:rPr>
      </w:pPr>
      <w:r w:rsidRPr="00AE4807">
        <w:rPr>
          <w:rFonts w:ascii="Arial" w:hAnsi="Arial" w:cs="Arial"/>
          <w:bCs/>
          <w:i/>
          <w:iCs/>
          <w:kern w:val="28"/>
          <w:sz w:val="20"/>
          <w:u w:val="single"/>
        </w:rPr>
        <w:t>Review Article</w:t>
      </w:r>
    </w:p>
    <w:p w14:paraId="269EEDF0" w14:textId="42951A9B" w:rsidR="00A258C3" w:rsidRPr="00E37BEE" w:rsidRDefault="00527426" w:rsidP="005668FD">
      <w:pPr>
        <w:pStyle w:val="Author"/>
        <w:spacing w:line="240" w:lineRule="auto"/>
        <w:rPr>
          <w:rFonts w:ascii="Arial" w:hAnsi="Arial" w:cs="Arial"/>
          <w:sz w:val="36"/>
        </w:rPr>
      </w:pPr>
      <w:r w:rsidRPr="00E37BEE">
        <w:rPr>
          <w:rFonts w:ascii="Arial" w:hAnsi="Arial" w:cs="Arial"/>
          <w:bCs/>
          <w:iCs/>
          <w:kern w:val="28"/>
          <w:sz w:val="36"/>
        </w:rPr>
        <w:t>Decoding the Endocannabinoid System: Biosynthesis, Receptor Pharmacology, and Emerging Natural Product Interventions</w:t>
      </w:r>
    </w:p>
    <w:p w14:paraId="47CD849C" w14:textId="77777777" w:rsidR="006F1F15" w:rsidRDefault="006F1F15" w:rsidP="00A649B0">
      <w:pPr>
        <w:pStyle w:val="Footer"/>
      </w:pPr>
    </w:p>
    <w:p w14:paraId="720C0788" w14:textId="77777777" w:rsidR="00A649B0" w:rsidRPr="00AE4807" w:rsidRDefault="00A649B0" w:rsidP="00AE4807">
      <w:pPr>
        <w:pStyle w:val="Affiliation"/>
        <w:rPr>
          <w:rFonts w:ascii="Arial" w:hAnsi="Arial" w:cs="Arial"/>
          <w:i/>
        </w:rPr>
      </w:pPr>
    </w:p>
    <w:p w14:paraId="65632D13" w14:textId="77777777" w:rsidR="00AE4807" w:rsidRDefault="00AE4807" w:rsidP="005668FD">
      <w:pPr>
        <w:pStyle w:val="Affiliation"/>
        <w:spacing w:after="0" w:line="240" w:lineRule="auto"/>
        <w:rPr>
          <w:rFonts w:ascii="Arial" w:hAnsi="Arial" w:cs="Arial"/>
          <w:i/>
        </w:rPr>
      </w:pPr>
    </w:p>
    <w:p w14:paraId="0663B338" w14:textId="39DF141B" w:rsidR="00434D8D" w:rsidRPr="00E37BEE" w:rsidRDefault="00434D8D" w:rsidP="00434D8D">
      <w:pPr>
        <w:pStyle w:val="AbstHead"/>
        <w:spacing w:after="0"/>
        <w:jc w:val="both"/>
        <w:rPr>
          <w:rFonts w:ascii="Arial" w:hAnsi="Arial" w:cs="Arial"/>
        </w:rPr>
      </w:pPr>
      <w:r>
        <w:rPr>
          <w:rFonts w:ascii="Arial" w:hAnsi="Arial" w:cs="Arial"/>
        </w:rPr>
        <w:t>A</w:t>
      </w:r>
      <w:r w:rsidRPr="00E37BEE">
        <w:rPr>
          <w:rFonts w:ascii="Arial" w:hAnsi="Arial" w:cs="Arial"/>
        </w:rPr>
        <w:t xml:space="preserve">BSTRACT </w:t>
      </w:r>
    </w:p>
    <w:p w14:paraId="42A06FB6" w14:textId="5A486671" w:rsidR="002C57D2" w:rsidRPr="00434D8D" w:rsidRDefault="002C57D2" w:rsidP="00434D8D">
      <w:pPr>
        <w:pStyle w:val="Affiliation"/>
        <w:spacing w:after="0" w:line="240" w:lineRule="auto"/>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92"/>
      </w:tblGrid>
      <w:tr w:rsidR="00434D8D" w:rsidRPr="00E37BEE" w14:paraId="10D32070" w14:textId="77777777" w:rsidTr="007E0AD8">
        <w:tc>
          <w:tcPr>
            <w:tcW w:w="9576" w:type="dxa"/>
            <w:shd w:val="clear" w:color="auto" w:fill="F2F2F2"/>
          </w:tcPr>
          <w:p w14:paraId="244C3652" w14:textId="6ADD8FCC" w:rsidR="00434D8D" w:rsidRPr="00E37BEE" w:rsidRDefault="00434D8D" w:rsidP="007E0AD8">
            <w:pPr>
              <w:spacing w:before="100" w:beforeAutospacing="1" w:after="100" w:afterAutospacing="1"/>
              <w:jc w:val="both"/>
              <w:rPr>
                <w:rFonts w:ascii="Arial" w:hAnsi="Arial" w:cs="Arial"/>
                <w:lang w:val="en-CA" w:eastAsia="en-CA"/>
              </w:rPr>
            </w:pPr>
            <w:r w:rsidRPr="00E37BEE">
              <w:rPr>
                <w:rFonts w:ascii="Arial" w:hAnsi="Arial" w:cs="Arial"/>
                <w:lang w:val="en-CA" w:eastAsia="en-CA"/>
              </w:rPr>
              <w:t xml:space="preserve">Background: The endocannabinoid system </w:t>
            </w:r>
            <w:r w:rsidR="00D03035" w:rsidRPr="00D03035">
              <w:rPr>
                <w:rFonts w:ascii="Arial" w:hAnsi="Arial" w:cs="Arial"/>
                <w:lang w:eastAsia="en-CA"/>
              </w:rPr>
              <w:t>represents a highly conserved biological communication network based on lipid mediators across species</w:t>
            </w:r>
            <w:r w:rsidRPr="00E37BEE">
              <w:rPr>
                <w:rFonts w:ascii="Arial" w:hAnsi="Arial" w:cs="Arial"/>
                <w:lang w:val="en-CA" w:eastAsia="en-CA"/>
              </w:rPr>
              <w:t xml:space="preserve"> that contributes significantly to the regulation of physiological balance within the body. It comprises endogenous lipid mediators, mainly anandamide and 2-arachidonoylglycerol, their synthesizing and degrading enzymes, and two primary receptors, cannabinoid receptor type 1 and type 2. </w:t>
            </w:r>
            <w:r w:rsidR="00D03035" w:rsidRPr="00D03035">
              <w:rPr>
                <w:rFonts w:ascii="Arial" w:hAnsi="Arial" w:cs="Arial"/>
                <w:lang w:eastAsia="en-CA"/>
              </w:rPr>
              <w:t>Disturbances in endocannabinoid system activity have been associated with numerous pathological conditions</w:t>
            </w:r>
            <w:r w:rsidRPr="00E37BEE">
              <w:rPr>
                <w:rFonts w:ascii="Arial" w:hAnsi="Arial" w:cs="Arial"/>
                <w:lang w:val="en-CA" w:eastAsia="en-CA"/>
              </w:rPr>
              <w:t>, including neurodegenerative diseases, chronic pain, metabolic disturbances, anxiety, and immune-related conditions, highlighting its relevance as a therapeutic target.</w:t>
            </w:r>
          </w:p>
          <w:p w14:paraId="1ACCA36F" w14:textId="789F9994" w:rsidR="00434D8D" w:rsidRPr="00E37BEE" w:rsidRDefault="00434D8D" w:rsidP="007E0AD8">
            <w:pPr>
              <w:spacing w:before="100" w:beforeAutospacing="1" w:after="100" w:afterAutospacing="1"/>
              <w:jc w:val="both"/>
              <w:rPr>
                <w:rFonts w:ascii="Arial" w:hAnsi="Arial" w:cs="Arial"/>
                <w:lang w:val="en-CA" w:eastAsia="en-CA"/>
              </w:rPr>
            </w:pPr>
            <w:r w:rsidRPr="00E37BEE">
              <w:rPr>
                <w:rFonts w:ascii="Arial" w:hAnsi="Arial" w:cs="Arial"/>
                <w:lang w:val="en-CA" w:eastAsia="en-CA"/>
              </w:rPr>
              <w:t xml:space="preserve">Objective: This review aims to provide an integrated overview of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organization, receptor signaling mechanisms, and biological functions, while also examining the potential influence of plant-derived bioactive compounds on </w:t>
            </w:r>
            <w:r w:rsidR="00D03035" w:rsidRPr="00E37BEE">
              <w:rPr>
                <w:rFonts w:ascii="Arial" w:hAnsi="Arial" w:cs="Arial"/>
                <w:lang w:val="en-CA" w:eastAsia="en-CA"/>
              </w:rPr>
              <w:t xml:space="preserve">endocannabinoid system </w:t>
            </w:r>
            <w:r w:rsidRPr="00E37BEE">
              <w:rPr>
                <w:rFonts w:ascii="Arial" w:hAnsi="Arial" w:cs="Arial"/>
                <w:lang w:val="en-CA" w:eastAsia="en-CA"/>
              </w:rPr>
              <w:t>modulation.</w:t>
            </w:r>
          </w:p>
          <w:p w14:paraId="37A6A347" w14:textId="6A5E1753" w:rsidR="00434D8D" w:rsidRPr="00E37BEE" w:rsidRDefault="00434D8D" w:rsidP="007E0AD8">
            <w:pPr>
              <w:spacing w:before="100" w:beforeAutospacing="1" w:after="100" w:afterAutospacing="1"/>
              <w:jc w:val="both"/>
              <w:rPr>
                <w:rFonts w:ascii="Arial" w:hAnsi="Arial" w:cs="Arial"/>
                <w:lang w:val="en-CA" w:eastAsia="en-CA"/>
              </w:rPr>
            </w:pPr>
            <w:r w:rsidRPr="00E37BEE">
              <w:rPr>
                <w:rFonts w:ascii="Arial" w:hAnsi="Arial" w:cs="Arial"/>
                <w:lang w:val="en-CA" w:eastAsia="en-CA"/>
              </w:rPr>
              <w:t xml:space="preserve">Methods: Relevant scientific literature was systematically gathered from major electronic databases, focusing on studies related to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components, molecular signaling pathways, physiological roles, pathological associations, and phytochemical interactions with </w:t>
            </w:r>
            <w:r w:rsidR="00D03035" w:rsidRPr="00E37BEE">
              <w:rPr>
                <w:rFonts w:ascii="Arial" w:hAnsi="Arial" w:cs="Arial"/>
                <w:lang w:val="en-CA" w:eastAsia="en-CA"/>
              </w:rPr>
              <w:t xml:space="preserve">endocannabinoid system </w:t>
            </w:r>
            <w:r w:rsidRPr="00E37BEE">
              <w:rPr>
                <w:rFonts w:ascii="Arial" w:hAnsi="Arial" w:cs="Arial"/>
                <w:lang w:val="en-CA" w:eastAsia="en-CA"/>
              </w:rPr>
              <w:t>targets.</w:t>
            </w:r>
          </w:p>
          <w:p w14:paraId="0ED2BF5A" w14:textId="4C351E34" w:rsidR="00434D8D" w:rsidRPr="00E37BEE" w:rsidRDefault="00434D8D" w:rsidP="007E0AD8">
            <w:pPr>
              <w:spacing w:before="100" w:beforeAutospacing="1" w:after="100" w:afterAutospacing="1"/>
              <w:jc w:val="both"/>
              <w:rPr>
                <w:rFonts w:ascii="Arial" w:hAnsi="Arial" w:cs="Arial"/>
                <w:lang w:val="en-CA" w:eastAsia="en-CA"/>
              </w:rPr>
            </w:pPr>
            <w:r w:rsidRPr="00E37BEE">
              <w:rPr>
                <w:rFonts w:ascii="Arial" w:hAnsi="Arial" w:cs="Arial"/>
                <w:lang w:val="en-CA" w:eastAsia="en-CA"/>
              </w:rPr>
              <w:t xml:space="preserve">Results: The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plays a central role in regulating neurotransmission, inflammatory responses, immune activity, energy metabolism, and pain modulation through receptor-mediated intracellular pathways. Cannabinoid receptor type 1 is predominantly expressed in neural tissues and is associated with neuromodulation and neuroprotective effects, whereas cannabinoid receptor type 2 is largely distributed in immune cells and contributes to immunoregulatory and anti-inflammatory actions. Various phytoconstituents from medicinal plants have demonstrated the capacity to influence </w:t>
            </w:r>
            <w:r w:rsidR="00D03035" w:rsidRPr="00E37BEE">
              <w:rPr>
                <w:rFonts w:ascii="Arial" w:hAnsi="Arial" w:cs="Arial"/>
                <w:lang w:val="en-CA" w:eastAsia="en-CA"/>
              </w:rPr>
              <w:t xml:space="preserve">endocannabinoid system </w:t>
            </w:r>
            <w:r w:rsidRPr="00E37BEE">
              <w:rPr>
                <w:rFonts w:ascii="Arial" w:hAnsi="Arial" w:cs="Arial"/>
                <w:lang w:val="en-CA" w:eastAsia="en-CA"/>
              </w:rPr>
              <w:t>activity, suggesting their possible utility in restoring physiological stability under pathological conditions.</w:t>
            </w:r>
          </w:p>
          <w:p w14:paraId="46038A08" w14:textId="1BA05575" w:rsidR="00434D8D" w:rsidRPr="00E37BEE" w:rsidRDefault="00434D8D" w:rsidP="007E0AD8">
            <w:pPr>
              <w:pStyle w:val="Body"/>
              <w:spacing w:after="0"/>
              <w:rPr>
                <w:rFonts w:ascii="Arial" w:eastAsia="Calibri" w:hAnsi="Arial" w:cs="Arial"/>
                <w:szCs w:val="22"/>
              </w:rPr>
            </w:pPr>
            <w:r w:rsidRPr="00E37BEE">
              <w:rPr>
                <w:rFonts w:ascii="Arial" w:hAnsi="Arial" w:cs="Arial"/>
                <w:lang w:val="en-CA" w:eastAsia="en-CA"/>
              </w:rPr>
              <w:t xml:space="preserve">Conclusion: Targeting the </w:t>
            </w:r>
            <w:r w:rsidR="00D03035" w:rsidRPr="00E37BEE">
              <w:rPr>
                <w:rFonts w:ascii="Arial" w:hAnsi="Arial" w:cs="Arial"/>
                <w:lang w:val="en-CA" w:eastAsia="en-CA"/>
              </w:rPr>
              <w:t xml:space="preserve">endocannabinoid system </w:t>
            </w:r>
            <w:r w:rsidRPr="00E37BEE">
              <w:rPr>
                <w:rFonts w:ascii="Arial" w:hAnsi="Arial" w:cs="Arial"/>
                <w:lang w:val="en-CA" w:eastAsia="en-CA"/>
              </w:rPr>
              <w:t xml:space="preserve">offers promising prospects for managing complex disorders involving neuroimmune and metabolic imbalance. Natural bioactive molecules capable of interacting with </w:t>
            </w:r>
            <w:r w:rsidR="00D03035" w:rsidRPr="00E37BEE">
              <w:rPr>
                <w:rFonts w:ascii="Arial" w:hAnsi="Arial" w:cs="Arial"/>
                <w:lang w:val="en-CA" w:eastAsia="en-CA"/>
              </w:rPr>
              <w:t xml:space="preserve">endocannabinoid system </w:t>
            </w:r>
            <w:r w:rsidRPr="00E37BEE">
              <w:rPr>
                <w:rFonts w:ascii="Arial" w:hAnsi="Arial" w:cs="Arial"/>
                <w:lang w:val="en-CA" w:eastAsia="en-CA"/>
              </w:rPr>
              <w:t>components may support the development of innovative therapeutic strategies aimed at re-establishing homeostasis</w:t>
            </w:r>
            <w:r w:rsidRPr="00E37BEE">
              <w:rPr>
                <w:rFonts w:ascii="Arial" w:hAnsi="Arial" w:cs="Arial"/>
                <w:b/>
                <w:bCs/>
                <w:lang w:val="en-CA" w:eastAsia="en-CA"/>
              </w:rPr>
              <w:t>.</w:t>
            </w:r>
          </w:p>
        </w:tc>
      </w:tr>
    </w:tbl>
    <w:p w14:paraId="1FEA7069" w14:textId="31FC3230" w:rsidR="00434D8D" w:rsidRPr="00E37BEE" w:rsidRDefault="00434D8D" w:rsidP="00434D8D">
      <w:pPr>
        <w:pStyle w:val="Copyright"/>
        <w:spacing w:after="0" w:line="240" w:lineRule="auto"/>
        <w:jc w:val="both"/>
        <w:rPr>
          <w:rFonts w:ascii="Arial" w:hAnsi="Arial" w:cs="Arial"/>
        </w:rPr>
      </w:pPr>
      <w:r w:rsidRPr="00E37BEE">
        <w:rPr>
          <w:rFonts w:ascii="Arial" w:hAnsi="Arial" w:cs="Arial"/>
        </w:rPr>
        <w:t xml:space="preserve"> </w:t>
      </w:r>
    </w:p>
    <w:p w14:paraId="783198F9" w14:textId="7CCC4E20" w:rsidR="00527426" w:rsidRPr="00E37BEE" w:rsidRDefault="00A24E7E" w:rsidP="005668FD">
      <w:pPr>
        <w:pStyle w:val="BodyText"/>
        <w:spacing w:before="159"/>
        <w:ind w:right="20"/>
        <w:jc w:val="both"/>
        <w:rPr>
          <w:rFonts w:ascii="Arial" w:hAnsi="Arial" w:cs="Arial"/>
          <w:i/>
        </w:rPr>
      </w:pPr>
      <w:r w:rsidRPr="00E37BEE">
        <w:rPr>
          <w:rFonts w:ascii="Arial" w:hAnsi="Arial" w:cs="Arial"/>
          <w:i/>
        </w:rPr>
        <w:t>Keywords:</w:t>
      </w:r>
      <w:r w:rsidR="00527426" w:rsidRPr="00E37BEE">
        <w:rPr>
          <w:rFonts w:ascii="Arial" w:hAnsi="Arial" w:cs="Arial"/>
          <w:i/>
        </w:rPr>
        <w:t xml:space="preserve"> Keywords: Endocannabinoid system, cannabinoid receptors, Ligand binding, Non-Cannabinoid Natural Ligands, High-affinity Ligand, anandamide (AEA),2- </w:t>
      </w:r>
      <w:proofErr w:type="spellStart"/>
      <w:r w:rsidR="00527426" w:rsidRPr="00E37BEE">
        <w:rPr>
          <w:rFonts w:ascii="Arial" w:hAnsi="Arial" w:cs="Arial"/>
          <w:i/>
        </w:rPr>
        <w:t>arachidonoylglycerol</w:t>
      </w:r>
      <w:proofErr w:type="spellEnd"/>
      <w:r w:rsidR="00527426" w:rsidRPr="00E37BEE">
        <w:rPr>
          <w:rFonts w:ascii="Arial" w:hAnsi="Arial" w:cs="Arial"/>
          <w:i/>
        </w:rPr>
        <w:t xml:space="preserve"> (2-AG).</w:t>
      </w:r>
    </w:p>
    <w:p w14:paraId="0CB7D724" w14:textId="0201509A" w:rsidR="007F7B32" w:rsidRPr="00E37BEE" w:rsidRDefault="00902823" w:rsidP="005668FD">
      <w:pPr>
        <w:pStyle w:val="AbstHead"/>
        <w:spacing w:after="0"/>
        <w:jc w:val="both"/>
        <w:rPr>
          <w:rFonts w:ascii="Arial" w:hAnsi="Arial" w:cs="Arial"/>
        </w:rPr>
      </w:pPr>
      <w:r w:rsidRPr="00E37BEE">
        <w:rPr>
          <w:rFonts w:ascii="Arial" w:hAnsi="Arial" w:cs="Arial"/>
        </w:rPr>
        <w:t xml:space="preserve">1. </w:t>
      </w:r>
      <w:r w:rsidR="00B01FCD" w:rsidRPr="00E37BEE">
        <w:rPr>
          <w:rFonts w:ascii="Arial" w:hAnsi="Arial" w:cs="Arial"/>
        </w:rPr>
        <w:t>INTRODUCTION</w:t>
      </w:r>
    </w:p>
    <w:p w14:paraId="4920252E" w14:textId="447C35BF" w:rsidR="00E37BEE" w:rsidRPr="00E37BEE" w:rsidRDefault="002636EB" w:rsidP="005668FD">
      <w:pPr>
        <w:pStyle w:val="Body"/>
        <w:rPr>
          <w:rFonts w:ascii="Arial" w:hAnsi="Arial" w:cs="Arial"/>
        </w:rPr>
      </w:pPr>
      <w:r w:rsidRPr="002636EB">
        <w:rPr>
          <w:rFonts w:ascii="Arial" w:hAnsi="Arial" w:cs="Arial"/>
        </w:rPr>
        <w:t xml:space="preserve">The endocannabinoid system (ECS) is a biologically preserved lipid-based communication network that is essential for sustaining internal balance and proper functioning of various body systems. It contributes significantly to the regulation of numerous physiological processes, helping the body maintain overall homeostasis. </w:t>
      </w:r>
      <w:r w:rsidR="00B6404F" w:rsidRPr="00B6404F">
        <w:rPr>
          <w:rFonts w:ascii="Arial" w:hAnsi="Arial" w:cs="Arial"/>
        </w:rPr>
        <w:t>(Siegel et al., 1994)</w:t>
      </w:r>
      <w:r w:rsidR="00E37BEE" w:rsidRPr="00E37BEE">
        <w:rPr>
          <w:rFonts w:ascii="Arial" w:hAnsi="Arial" w:cs="Arial"/>
        </w:rPr>
        <w:t xml:space="preserve"> </w:t>
      </w:r>
      <w:r w:rsidRPr="002636EB">
        <w:rPr>
          <w:rFonts w:ascii="Arial" w:hAnsi="Arial" w:cs="Arial"/>
        </w:rPr>
        <w:t>The endocannabinoid system is built around three essential components: naturally produced signaling molecules called endocannabinoids, the enzymes that control their synthesis and degradation, and the receptors that transmit their effects within the body. Among these molecules, anandamide (AEA) and 2-arachidonoylglycerol (2-AG) are the most prominent. Unlike many neurotransmitters, they are not stored in advance but are generated only when required from membrane lipid precursors. Anandamide is primarily formed through a pathway involving N-</w:t>
      </w:r>
      <w:proofErr w:type="spellStart"/>
      <w:r w:rsidRPr="002636EB">
        <w:rPr>
          <w:rFonts w:ascii="Arial" w:hAnsi="Arial" w:cs="Arial"/>
        </w:rPr>
        <w:t>acylphosphatidylethanolamine</w:t>
      </w:r>
      <w:proofErr w:type="spellEnd"/>
      <w:r w:rsidRPr="002636EB">
        <w:rPr>
          <w:rFonts w:ascii="Arial" w:hAnsi="Arial" w:cs="Arial"/>
        </w:rPr>
        <w:t>-specific phospholipase D (NAPE-PLD), whereas 2-AG is synthesized from diacylglycerol with the help of the enzyme diacylglycerol lipase (DAGL). This on-demand production allows the system to respond rapidly to physiological needs and maintain internal balance</w:t>
      </w:r>
      <w:r w:rsidR="00E37BEE" w:rsidRPr="00E37BEE">
        <w:rPr>
          <w:rFonts w:ascii="Arial" w:hAnsi="Arial" w:cs="Arial"/>
        </w:rPr>
        <w:t xml:space="preserve">. Anandamide is mainly broken down by the enzyme fatty acid amide hydrolase (FAAH), while </w:t>
      </w:r>
      <w:r w:rsidR="00E37BEE" w:rsidRPr="00E37BEE">
        <w:rPr>
          <w:rFonts w:ascii="Arial" w:hAnsi="Arial" w:cs="Arial"/>
        </w:rPr>
        <w:lastRenderedPageBreak/>
        <w:t>2-arachidonoylglycerol (2-AG) is predominantly degraded by monoacylglycerol lipase (MAGL)</w:t>
      </w:r>
      <w:r w:rsidR="00B6404F">
        <w:rPr>
          <w:rFonts w:ascii="Arial" w:hAnsi="Arial" w:cs="Arial"/>
        </w:rPr>
        <w:t xml:space="preserve"> </w:t>
      </w:r>
      <w:r w:rsidR="00B6404F" w:rsidRPr="00B6404F">
        <w:rPr>
          <w:rFonts w:ascii="Arial" w:hAnsi="Arial" w:cs="Arial"/>
        </w:rPr>
        <w:t>(</w:t>
      </w:r>
      <w:proofErr w:type="spellStart"/>
      <w:r w:rsidR="00B6404F" w:rsidRPr="00B6404F">
        <w:rPr>
          <w:rFonts w:ascii="Arial" w:hAnsi="Arial" w:cs="Arial"/>
        </w:rPr>
        <w:t>Mechoulam</w:t>
      </w:r>
      <w:proofErr w:type="spellEnd"/>
      <w:r w:rsidR="00B6404F" w:rsidRPr="00B6404F">
        <w:rPr>
          <w:rFonts w:ascii="Arial" w:hAnsi="Arial" w:cs="Arial"/>
        </w:rPr>
        <w:t>, 1986) (</w:t>
      </w:r>
      <w:proofErr w:type="spellStart"/>
      <w:r w:rsidR="00B6404F" w:rsidRPr="00B6404F">
        <w:rPr>
          <w:rFonts w:ascii="Arial" w:hAnsi="Arial" w:cs="Arial"/>
        </w:rPr>
        <w:t>Gonsiorek</w:t>
      </w:r>
      <w:proofErr w:type="spellEnd"/>
      <w:r w:rsidR="00B6404F" w:rsidRPr="00B6404F">
        <w:rPr>
          <w:rFonts w:ascii="Arial" w:hAnsi="Arial" w:cs="Arial"/>
        </w:rPr>
        <w:t xml:space="preserve"> et al., 2000) (</w:t>
      </w:r>
      <w:proofErr w:type="spellStart"/>
      <w:r w:rsidR="00B6404F" w:rsidRPr="00B6404F">
        <w:rPr>
          <w:rFonts w:ascii="Arial" w:hAnsi="Arial" w:cs="Arial"/>
        </w:rPr>
        <w:t>Mechoulam</w:t>
      </w:r>
      <w:proofErr w:type="spellEnd"/>
      <w:r w:rsidR="00B6404F" w:rsidRPr="00B6404F">
        <w:rPr>
          <w:rFonts w:ascii="Arial" w:hAnsi="Arial" w:cs="Arial"/>
        </w:rPr>
        <w:t xml:space="preserve"> et al., 1995) (</w:t>
      </w:r>
      <w:proofErr w:type="spellStart"/>
      <w:r w:rsidR="00B6404F" w:rsidRPr="00B6404F">
        <w:rPr>
          <w:rFonts w:ascii="Arial" w:hAnsi="Arial" w:cs="Arial"/>
        </w:rPr>
        <w:t>Sugiura</w:t>
      </w:r>
      <w:proofErr w:type="spellEnd"/>
      <w:r w:rsidR="00B6404F" w:rsidRPr="00B6404F">
        <w:rPr>
          <w:rFonts w:ascii="Arial" w:hAnsi="Arial" w:cs="Arial"/>
        </w:rPr>
        <w:t xml:space="preserve"> et al., 1995)</w:t>
      </w:r>
      <w:r w:rsidR="00E37BEE" w:rsidRPr="00E37BEE">
        <w:rPr>
          <w:rFonts w:ascii="Arial" w:hAnsi="Arial" w:cs="Arial"/>
        </w:rPr>
        <w:t>.</w:t>
      </w:r>
    </w:p>
    <w:p w14:paraId="01CC8904" w14:textId="745C594C" w:rsidR="00E37BEE" w:rsidRPr="00E37BEE" w:rsidRDefault="002636EB" w:rsidP="005668FD">
      <w:pPr>
        <w:pStyle w:val="Body"/>
        <w:rPr>
          <w:rFonts w:ascii="Arial" w:hAnsi="Arial" w:cs="Arial"/>
        </w:rPr>
      </w:pPr>
      <w:r w:rsidRPr="002636EB">
        <w:rPr>
          <w:rFonts w:ascii="Arial" w:hAnsi="Arial" w:cs="Arial"/>
        </w:rPr>
        <w:t>The effects of the endocannabinoid system are mainly carried out through two important G-protein-coupled receptors known as cannabinoid receptor type 1 (CB1) and cannabinoid receptor type 2 (CB2). CB1 receptors are found predominantly in the brain and spinal cord, where they help regulate communication between nerve cells, whereas CB2 receptors are more commonly present in immune cells and peripheral organs, where they influence immune responses. Activation of CB1 receptors leads to inhibition of adenylyl cyclase, resulting in decreased intracellular cyclic adenosine monophosphate (cAMP) levels and changes in ion channel activity. These intracellular events ultimately reduce neurotransmitter release, thereby affecting functions such as pain signaling, emotional regulation, and neuronal excitability. On the other hand, activation of CB2 receptors is mainly associated with modulation of immune activity, particularly by decreasing the release of pro-inflammatory cytokines and contributing to anti-inflammatory effects.</w:t>
      </w:r>
      <w:r>
        <w:rPr>
          <w:rFonts w:ascii="Arial" w:hAnsi="Arial" w:cs="Arial"/>
        </w:rPr>
        <w:t xml:space="preserve"> </w:t>
      </w:r>
      <w:r w:rsidR="00E37BEE" w:rsidRPr="00E37BEE">
        <w:rPr>
          <w:rFonts w:ascii="Arial" w:hAnsi="Arial" w:cs="Arial"/>
        </w:rPr>
        <w:t>Together, these pathways influence key physiological processes, including pain modulation, mood regulation, appetite control, immune response, neuroprotection, and energy metabolism</w:t>
      </w:r>
      <w:r w:rsidR="00B6404F">
        <w:rPr>
          <w:rFonts w:ascii="Arial" w:hAnsi="Arial" w:cs="Arial"/>
        </w:rPr>
        <w:t xml:space="preserve"> </w:t>
      </w:r>
      <w:r w:rsidR="00B6404F" w:rsidRPr="00B6404F">
        <w:rPr>
          <w:rFonts w:ascii="Arial" w:hAnsi="Arial" w:cs="Arial"/>
        </w:rPr>
        <w:t>(</w:t>
      </w:r>
      <w:proofErr w:type="spellStart"/>
      <w:r w:rsidR="00B6404F" w:rsidRPr="00B6404F">
        <w:rPr>
          <w:rFonts w:ascii="Arial" w:hAnsi="Arial" w:cs="Arial"/>
        </w:rPr>
        <w:t>Ledent</w:t>
      </w:r>
      <w:proofErr w:type="spellEnd"/>
      <w:r w:rsidR="00B6404F" w:rsidRPr="00B6404F">
        <w:rPr>
          <w:rFonts w:ascii="Arial" w:hAnsi="Arial" w:cs="Arial"/>
        </w:rPr>
        <w:t xml:space="preserve"> et al., 1999) (Zimmer et al., 1999) (Lunn et al., 2006) (Di </w:t>
      </w:r>
      <w:proofErr w:type="spellStart"/>
      <w:r w:rsidR="00B6404F" w:rsidRPr="00B6404F">
        <w:rPr>
          <w:rFonts w:ascii="Arial" w:hAnsi="Arial" w:cs="Arial"/>
        </w:rPr>
        <w:t>Marzo</w:t>
      </w:r>
      <w:proofErr w:type="spellEnd"/>
      <w:r w:rsidR="00B6404F" w:rsidRPr="00B6404F">
        <w:rPr>
          <w:rFonts w:ascii="Arial" w:hAnsi="Arial" w:cs="Arial"/>
        </w:rPr>
        <w:t xml:space="preserve"> and De </w:t>
      </w:r>
      <w:proofErr w:type="spellStart"/>
      <w:r w:rsidR="00B6404F" w:rsidRPr="00B6404F">
        <w:rPr>
          <w:rFonts w:ascii="Arial" w:hAnsi="Arial" w:cs="Arial"/>
        </w:rPr>
        <w:t>Petrocellis</w:t>
      </w:r>
      <w:proofErr w:type="spellEnd"/>
      <w:r w:rsidR="00B6404F" w:rsidRPr="00B6404F">
        <w:rPr>
          <w:rFonts w:ascii="Arial" w:hAnsi="Arial" w:cs="Arial"/>
        </w:rPr>
        <w:t>, 2006)</w:t>
      </w:r>
      <w:r w:rsidR="00E37BEE" w:rsidRPr="00E37BEE">
        <w:rPr>
          <w:rFonts w:ascii="Arial" w:hAnsi="Arial" w:cs="Arial"/>
        </w:rPr>
        <w:t>.</w:t>
      </w:r>
    </w:p>
    <w:p w14:paraId="1EB121D1" w14:textId="4A2AF3DE" w:rsidR="00E37BEE" w:rsidRPr="00E37BEE" w:rsidRDefault="005772F5" w:rsidP="005668FD">
      <w:pPr>
        <w:pStyle w:val="Body"/>
        <w:rPr>
          <w:rFonts w:ascii="Arial" w:hAnsi="Arial" w:cs="Arial"/>
        </w:rPr>
      </w:pPr>
      <w:r w:rsidRPr="005772F5">
        <w:rPr>
          <w:rFonts w:ascii="Arial" w:hAnsi="Arial" w:cs="Arial"/>
        </w:rPr>
        <w:t>Imbalances in the functioning of the endocannabinoid system have been connected with a broad spectrum of diseases, particularly those involving neurodegenerative changes</w:t>
      </w:r>
      <w:r w:rsidR="00E37BEE" w:rsidRPr="00E37BEE">
        <w:rPr>
          <w:rFonts w:ascii="Arial" w:hAnsi="Arial" w:cs="Arial"/>
        </w:rPr>
        <w:t>, persistent pain, metabolic imbalances like obesity, anxiety-related conditions, and immune system dysfunctions—highlighting its potential as a valuable target for therapeutic intervention. Furthermore, plant-derived cannabinoids (e.g., Δ9- tetrahydrocannabinol) and non-cannabinoid phytochemicals (e.g., β-caryophyllene) can modulate ECS, offering potential pharmacological interventions. Understanding ECS signaling and its cross-talk with other regulatory systems provides a foundation for developing novel therapeutics that aim to restore homeostasis in disease states</w:t>
      </w:r>
      <w:r w:rsidR="00B6404F">
        <w:rPr>
          <w:rFonts w:ascii="Arial" w:hAnsi="Arial" w:cs="Arial"/>
        </w:rPr>
        <w:t xml:space="preserve"> </w:t>
      </w:r>
      <w:r w:rsidR="00B6404F" w:rsidRPr="00B6404F">
        <w:rPr>
          <w:rFonts w:ascii="Arial" w:hAnsi="Arial" w:cs="Arial"/>
        </w:rPr>
        <w:t>(Saxena and Rauch, 2000) (</w:t>
      </w:r>
      <w:proofErr w:type="spellStart"/>
      <w:r w:rsidR="00B6404F" w:rsidRPr="00B6404F">
        <w:rPr>
          <w:rFonts w:ascii="Arial" w:hAnsi="Arial" w:cs="Arial"/>
        </w:rPr>
        <w:t>Sköld</w:t>
      </w:r>
      <w:proofErr w:type="spellEnd"/>
      <w:r w:rsidR="00B6404F" w:rsidRPr="00B6404F">
        <w:rPr>
          <w:rFonts w:ascii="Arial" w:hAnsi="Arial" w:cs="Arial"/>
        </w:rPr>
        <w:t xml:space="preserve"> et al., 2006)</w:t>
      </w:r>
      <w:r w:rsidR="00E37BEE" w:rsidRPr="00E37BEE">
        <w:rPr>
          <w:rFonts w:ascii="Arial" w:hAnsi="Arial" w:cs="Arial"/>
        </w:rPr>
        <w:t>.</w:t>
      </w:r>
    </w:p>
    <w:p w14:paraId="7B6BF314" w14:textId="3C33813E" w:rsidR="00E37BEE" w:rsidRPr="00E37BEE" w:rsidRDefault="00E37BEE" w:rsidP="005668FD">
      <w:pPr>
        <w:pStyle w:val="Heading1"/>
        <w:spacing w:before="62"/>
        <w:ind w:right="26"/>
        <w:jc w:val="both"/>
        <w:rPr>
          <w:rFonts w:cs="Arial"/>
          <w:sz w:val="20"/>
        </w:rPr>
      </w:pPr>
      <w:r w:rsidRPr="00E37BEE">
        <w:rPr>
          <w:rFonts w:cs="Arial"/>
          <w:b w:val="0"/>
          <w:noProof/>
          <w:sz w:val="20"/>
          <w:lang w:val="en-IN" w:eastAsia="en-IN"/>
        </w:rPr>
        <w:drawing>
          <wp:anchor distT="0" distB="0" distL="0" distR="0" simplePos="0" relativeHeight="251659264" behindDoc="1" locked="0" layoutInCell="1" allowOverlap="1" wp14:anchorId="2D109095" wp14:editId="0D890E91">
            <wp:simplePos x="0" y="0"/>
            <wp:positionH relativeFrom="page">
              <wp:posOffset>2339340</wp:posOffset>
            </wp:positionH>
            <wp:positionV relativeFrom="paragraph">
              <wp:posOffset>370205</wp:posOffset>
            </wp:positionV>
            <wp:extent cx="3078480" cy="20269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078480" cy="2026920"/>
                    </a:xfrm>
                    <a:prstGeom prst="rect">
                      <a:avLst/>
                    </a:prstGeom>
                  </pic:spPr>
                </pic:pic>
              </a:graphicData>
            </a:graphic>
            <wp14:sizeRelH relativeFrom="margin">
              <wp14:pctWidth>0</wp14:pctWidth>
            </wp14:sizeRelH>
            <wp14:sizeRelV relativeFrom="margin">
              <wp14:pctHeight>0</wp14:pctHeight>
            </wp14:sizeRelV>
          </wp:anchor>
        </w:drawing>
      </w:r>
      <w:r w:rsidRPr="00E37BEE">
        <w:rPr>
          <w:rFonts w:cs="Arial"/>
          <w:spacing w:val="-2"/>
          <w:sz w:val="20"/>
        </w:rPr>
        <w:t>2. ENDOCANNABINOID SYSTEM AND ROLE IN PHYSIOLOGICAL REGULATION</w:t>
      </w:r>
    </w:p>
    <w:p w14:paraId="775932D5" w14:textId="699CB75E" w:rsidR="00E37BEE" w:rsidRPr="00E37BEE" w:rsidRDefault="00E37BEE" w:rsidP="005668FD">
      <w:pPr>
        <w:pStyle w:val="BodyText"/>
        <w:spacing w:before="16"/>
        <w:rPr>
          <w:rFonts w:ascii="Arial" w:hAnsi="Arial" w:cs="Arial"/>
          <w:b/>
        </w:rPr>
      </w:pPr>
    </w:p>
    <w:p w14:paraId="34001D3A" w14:textId="77777777" w:rsidR="00E37BEE" w:rsidRPr="00E37BEE" w:rsidRDefault="00E37BEE" w:rsidP="005668FD">
      <w:pPr>
        <w:pStyle w:val="BodyText"/>
        <w:ind w:left="23" w:right="19"/>
        <w:jc w:val="both"/>
        <w:rPr>
          <w:rFonts w:ascii="Arial" w:hAnsi="Arial" w:cs="Arial"/>
        </w:rPr>
      </w:pPr>
    </w:p>
    <w:p w14:paraId="036DF9B0" w14:textId="569754F5" w:rsidR="00E37BEE" w:rsidRPr="00E37BEE" w:rsidRDefault="00E37BEE" w:rsidP="005668FD">
      <w:pPr>
        <w:pStyle w:val="BodyText"/>
        <w:ind w:left="23" w:right="19"/>
        <w:jc w:val="center"/>
        <w:rPr>
          <w:rFonts w:ascii="Arial" w:hAnsi="Arial" w:cs="Arial"/>
          <w:b/>
          <w:bCs/>
        </w:rPr>
      </w:pPr>
      <w:r w:rsidRPr="00E37BEE">
        <w:rPr>
          <w:rFonts w:ascii="Arial" w:hAnsi="Arial" w:cs="Arial"/>
          <w:b/>
          <w:bCs/>
        </w:rPr>
        <w:t>Fig. 1. Endocannabinoid system</w:t>
      </w:r>
    </w:p>
    <w:p w14:paraId="67391FC2" w14:textId="77777777" w:rsidR="00790ADA" w:rsidRPr="00E37BEE" w:rsidRDefault="00790ADA" w:rsidP="005668FD">
      <w:pPr>
        <w:pStyle w:val="AbstHead"/>
        <w:spacing w:after="0"/>
        <w:jc w:val="both"/>
        <w:rPr>
          <w:rFonts w:ascii="Arial" w:hAnsi="Arial" w:cs="Arial"/>
        </w:rPr>
      </w:pPr>
    </w:p>
    <w:p w14:paraId="07CBCE78" w14:textId="5D07B13C" w:rsidR="003D155D" w:rsidRPr="00E37BEE" w:rsidRDefault="005772F5" w:rsidP="005668FD">
      <w:pPr>
        <w:pStyle w:val="Body"/>
        <w:rPr>
          <w:rFonts w:ascii="Arial" w:hAnsi="Arial" w:cs="Arial"/>
        </w:rPr>
      </w:pPr>
      <w:r w:rsidRPr="005772F5">
        <w:rPr>
          <w:rFonts w:ascii="Arial" w:hAnsi="Arial" w:cs="Arial"/>
        </w:rPr>
        <w:t>The endocannabinoid system is a sophisticated communication network in the body that contributes significantly to maintaining internal balance, or homeostasis, by influencing a wide range of physiological processes in mammals.</w:t>
      </w:r>
      <w:r w:rsidR="00E37BEE" w:rsidRPr="00E37BEE">
        <w:rPr>
          <w:rFonts w:ascii="Arial" w:hAnsi="Arial" w:cs="Arial"/>
        </w:rPr>
        <w:t xml:space="preserve"> It helps regulate functions such as mood, appetite, pain sensation, immune response, and memory</w:t>
      </w:r>
      <w:r w:rsidR="003D155D">
        <w:rPr>
          <w:rFonts w:ascii="Arial" w:hAnsi="Arial" w:cs="Arial"/>
        </w:rPr>
        <w:t xml:space="preserve"> </w:t>
      </w:r>
      <w:r w:rsidR="003D155D" w:rsidRPr="003D155D">
        <w:rPr>
          <w:rFonts w:ascii="Arial" w:hAnsi="Arial" w:cs="Arial"/>
        </w:rPr>
        <w:t xml:space="preserve">(Di </w:t>
      </w:r>
      <w:proofErr w:type="spellStart"/>
      <w:r w:rsidR="003D155D" w:rsidRPr="003D155D">
        <w:rPr>
          <w:rFonts w:ascii="Arial" w:hAnsi="Arial" w:cs="Arial"/>
        </w:rPr>
        <w:t>Marzo</w:t>
      </w:r>
      <w:proofErr w:type="spellEnd"/>
      <w:r w:rsidR="003D155D" w:rsidRPr="003D155D">
        <w:rPr>
          <w:rFonts w:ascii="Arial" w:hAnsi="Arial" w:cs="Arial"/>
        </w:rPr>
        <w:t xml:space="preserve"> et al., 2007) (Patricelli and </w:t>
      </w:r>
      <w:proofErr w:type="spellStart"/>
      <w:r w:rsidR="003D155D" w:rsidRPr="003D155D">
        <w:rPr>
          <w:rFonts w:ascii="Arial" w:hAnsi="Arial" w:cs="Arial"/>
        </w:rPr>
        <w:t>Cravatt</w:t>
      </w:r>
      <w:proofErr w:type="spellEnd"/>
      <w:r w:rsidR="003D155D" w:rsidRPr="003D155D">
        <w:rPr>
          <w:rFonts w:ascii="Arial" w:hAnsi="Arial" w:cs="Arial"/>
        </w:rPr>
        <w:t>, 2001) (</w:t>
      </w:r>
      <w:proofErr w:type="spellStart"/>
      <w:r w:rsidR="003D155D" w:rsidRPr="003D155D">
        <w:rPr>
          <w:rFonts w:ascii="Arial" w:hAnsi="Arial" w:cs="Arial"/>
        </w:rPr>
        <w:t>Basavarajappa</w:t>
      </w:r>
      <w:proofErr w:type="spellEnd"/>
      <w:r w:rsidR="003D155D" w:rsidRPr="003D155D">
        <w:rPr>
          <w:rFonts w:ascii="Arial" w:hAnsi="Arial" w:cs="Arial"/>
        </w:rPr>
        <w:t>, 2007)</w:t>
      </w:r>
      <w:r w:rsidR="00E37BEE" w:rsidRPr="00E37BEE">
        <w:rPr>
          <w:rFonts w:ascii="Arial" w:hAnsi="Arial" w:cs="Arial"/>
        </w:rPr>
        <w:t xml:space="preserve">. </w:t>
      </w:r>
      <w:r w:rsidRPr="005772F5">
        <w:rPr>
          <w:rFonts w:ascii="Arial" w:hAnsi="Arial" w:cs="Arial"/>
        </w:rPr>
        <w:t>The endocannabinoid system is composed of naturally produced lipid signaling molecules known as endocannabinoids, which function as internal messengers to coordinate communication between different physiological systems. The two principal endocannabinoids, anandamide (AEA) and 2-arachidonoylglycerol (2-AG), are synthesized on demand rather than stored, allowing the body to respond rapidly to changing physiological conditions. Once released, these molecules move in a retrograde manner across synapses to regulate neuronal activity and maintain functional balance (</w:t>
      </w:r>
      <w:proofErr w:type="spellStart"/>
      <w:r w:rsidRPr="005772F5">
        <w:rPr>
          <w:rFonts w:ascii="Arial" w:hAnsi="Arial" w:cs="Arial"/>
        </w:rPr>
        <w:t>Devane</w:t>
      </w:r>
      <w:proofErr w:type="spellEnd"/>
      <w:r w:rsidRPr="005772F5">
        <w:rPr>
          <w:rFonts w:ascii="Arial" w:hAnsi="Arial" w:cs="Arial"/>
        </w:rPr>
        <w:t xml:space="preserve"> et al., 1988; Matsuda et al., 1990; Munro et al., 1993; </w:t>
      </w:r>
      <w:proofErr w:type="spellStart"/>
      <w:r w:rsidRPr="005772F5">
        <w:rPr>
          <w:rFonts w:ascii="Arial" w:hAnsi="Arial" w:cs="Arial"/>
        </w:rPr>
        <w:t>Herkenham</w:t>
      </w:r>
      <w:proofErr w:type="spellEnd"/>
      <w:r w:rsidRPr="005772F5">
        <w:rPr>
          <w:rFonts w:ascii="Arial" w:hAnsi="Arial" w:cs="Arial"/>
        </w:rPr>
        <w:t xml:space="preserve">, 1995). Their biological effects are mediated through cannabinoid receptors distributed throughout the body. </w:t>
      </w:r>
      <w:r w:rsidRPr="005772F5">
        <w:rPr>
          <w:rFonts w:ascii="Arial" w:hAnsi="Arial" w:cs="Arial"/>
        </w:rPr>
        <w:lastRenderedPageBreak/>
        <w:t>CB1 receptors are primarily located in the central nervous system and are involved in processes such as pain perception, mood regulation, cognition, and motor control, whereas CB2 receptors are predominantly expressed in immune cells, where they contribute to modulation of inflammatory and immune responses. In addition to receptors, the system includes specialized enzymes responsible for controlling endocannabinoid levels. Enzymes such as N-</w:t>
      </w:r>
      <w:proofErr w:type="spellStart"/>
      <w:r w:rsidRPr="005772F5">
        <w:rPr>
          <w:rFonts w:ascii="Arial" w:hAnsi="Arial" w:cs="Arial"/>
        </w:rPr>
        <w:t>acylphosphatidylethanolamine</w:t>
      </w:r>
      <w:proofErr w:type="spellEnd"/>
      <w:r w:rsidRPr="005772F5">
        <w:rPr>
          <w:rFonts w:ascii="Arial" w:hAnsi="Arial" w:cs="Arial"/>
        </w:rPr>
        <w:t xml:space="preserve">-specific phospholipase D (NAPE-PLD) and diacylglycerol lipase (DAGL) participate in synthesis, while fatty acid amide hydrolase (FAAH) and monoacylglycerol lipase (MAGL) are involved in degradation, ensuring tightly regulated signaling and maintenance of physiological homeostasis </w:t>
      </w:r>
      <w:r w:rsidR="003D155D" w:rsidRPr="003D155D">
        <w:rPr>
          <w:rFonts w:ascii="Arial" w:hAnsi="Arial" w:cs="Arial"/>
        </w:rPr>
        <w:t>(</w:t>
      </w:r>
      <w:proofErr w:type="spellStart"/>
      <w:r w:rsidR="003D155D" w:rsidRPr="003D155D">
        <w:rPr>
          <w:rFonts w:ascii="Arial" w:hAnsi="Arial" w:cs="Arial"/>
        </w:rPr>
        <w:t>Galiègue</w:t>
      </w:r>
      <w:proofErr w:type="spellEnd"/>
      <w:r w:rsidR="003D155D" w:rsidRPr="003D155D">
        <w:rPr>
          <w:rFonts w:ascii="Arial" w:hAnsi="Arial" w:cs="Arial"/>
        </w:rPr>
        <w:t xml:space="preserve"> et al., 1995) (Howlett et al., 2004)</w:t>
      </w:r>
      <w:r w:rsidR="003D155D">
        <w:rPr>
          <w:rFonts w:ascii="Arial" w:hAnsi="Arial" w:cs="Arial"/>
        </w:rPr>
        <w:t xml:space="preserve"> </w:t>
      </w:r>
      <w:r w:rsidR="003D155D" w:rsidRPr="0033613D">
        <w:rPr>
          <w:rFonts w:ascii="Arial" w:hAnsi="Arial" w:cs="Arial"/>
        </w:rPr>
        <w:t xml:space="preserve">(McKinney and </w:t>
      </w:r>
      <w:proofErr w:type="spellStart"/>
      <w:r w:rsidR="003D155D" w:rsidRPr="0033613D">
        <w:rPr>
          <w:rFonts w:ascii="Arial" w:hAnsi="Arial" w:cs="Arial"/>
        </w:rPr>
        <w:t>Cravatt</w:t>
      </w:r>
      <w:proofErr w:type="spellEnd"/>
      <w:r w:rsidR="003D155D" w:rsidRPr="0033613D">
        <w:rPr>
          <w:rFonts w:ascii="Arial" w:hAnsi="Arial" w:cs="Arial"/>
        </w:rPr>
        <w:t>, 2005)</w:t>
      </w:r>
      <w:r w:rsidR="00E37BEE" w:rsidRPr="00E37BEE">
        <w:rPr>
          <w:rFonts w:ascii="Arial" w:hAnsi="Arial" w:cs="Arial"/>
        </w:rPr>
        <w:t>.</w:t>
      </w:r>
    </w:p>
    <w:p w14:paraId="36410ACC" w14:textId="77777777" w:rsidR="00E37BEE" w:rsidRPr="00E37BEE" w:rsidRDefault="00E37BEE" w:rsidP="005668FD">
      <w:pPr>
        <w:pStyle w:val="Body"/>
        <w:rPr>
          <w:rFonts w:ascii="Arial" w:hAnsi="Arial" w:cs="Arial"/>
          <w:b/>
          <w:bCs/>
        </w:rPr>
      </w:pPr>
      <w:r w:rsidRPr="00E37BEE">
        <w:rPr>
          <w:rFonts w:ascii="Arial" w:hAnsi="Arial" w:cs="Arial"/>
          <w:b/>
          <w:bCs/>
        </w:rPr>
        <w:t>2.1 FUNCTIONS</w:t>
      </w:r>
    </w:p>
    <w:p w14:paraId="4CDD27FC" w14:textId="68CDEEEB" w:rsidR="00E37BEE" w:rsidRPr="00E37BEE" w:rsidRDefault="005772F5" w:rsidP="005668FD">
      <w:pPr>
        <w:pStyle w:val="Body"/>
        <w:rPr>
          <w:rFonts w:ascii="Arial" w:hAnsi="Arial" w:cs="Arial"/>
          <w:b/>
          <w:bCs/>
        </w:rPr>
      </w:pPr>
      <w:r w:rsidRPr="005772F5">
        <w:rPr>
          <w:rFonts w:ascii="Arial" w:hAnsi="Arial" w:cs="Arial"/>
        </w:rPr>
        <w:t>It helps keep our emotions balanced, supports the way the body responds to stress, and plays an important role in how pain is sensed and managed</w:t>
      </w:r>
      <w:r w:rsidR="00E37BEE" w:rsidRPr="00E37BEE">
        <w:rPr>
          <w:rFonts w:ascii="Arial" w:hAnsi="Arial" w:cs="Arial"/>
        </w:rPr>
        <w:t>. It also contributes to appetite control and energy balance, supports immune system regulation, and influences reproductive functions. Additionally, it offers neuroprotective effects, helping maintain the integrity and resilience of neural networks.</w:t>
      </w:r>
    </w:p>
    <w:p w14:paraId="4088D57B" w14:textId="77777777" w:rsidR="00E37BEE" w:rsidRPr="00E37BEE" w:rsidRDefault="00E37BEE" w:rsidP="005668FD">
      <w:pPr>
        <w:pStyle w:val="Body"/>
        <w:rPr>
          <w:rFonts w:ascii="Arial" w:hAnsi="Arial" w:cs="Arial"/>
          <w:b/>
          <w:bCs/>
        </w:rPr>
      </w:pPr>
      <w:r w:rsidRPr="00E37BEE">
        <w:rPr>
          <w:rFonts w:ascii="Arial" w:hAnsi="Arial" w:cs="Arial"/>
          <w:b/>
          <w:bCs/>
        </w:rPr>
        <w:t>2.2 ETYMOLOGY</w:t>
      </w:r>
    </w:p>
    <w:p w14:paraId="2335AB12" w14:textId="60FD9853" w:rsidR="00A03B96" w:rsidRPr="00E37BEE" w:rsidRDefault="00E37BEE" w:rsidP="005668FD">
      <w:pPr>
        <w:pStyle w:val="Body"/>
        <w:rPr>
          <w:rFonts w:ascii="Arial" w:hAnsi="Arial" w:cs="Arial"/>
          <w:b/>
          <w:bCs/>
        </w:rPr>
      </w:pPr>
      <w:r w:rsidRPr="00E37BEE">
        <w:rPr>
          <w:rFonts w:ascii="Arial" w:hAnsi="Arial" w:cs="Arial"/>
          <w:b/>
          <w:u w:val="single"/>
        </w:rPr>
        <w:t>2.2.1 Anandamide (AEA):</w:t>
      </w:r>
      <w:r w:rsidRPr="00E37BEE">
        <w:rPr>
          <w:rFonts w:ascii="Arial" w:hAnsi="Arial" w:cs="Arial"/>
          <w:b/>
        </w:rPr>
        <w:t xml:space="preserve"> </w:t>
      </w:r>
      <w:r w:rsidR="000729B0" w:rsidRPr="000729B0">
        <w:rPr>
          <w:rFonts w:ascii="Arial" w:hAnsi="Arial" w:cs="Arial"/>
        </w:rPr>
        <w:t xml:space="preserve">Anandamide (AEA) gets its name from the Sanskrit word </w:t>
      </w:r>
      <w:proofErr w:type="spellStart"/>
      <w:r w:rsidR="000729B0" w:rsidRPr="000729B0">
        <w:rPr>
          <w:rFonts w:ascii="Arial" w:hAnsi="Arial" w:cs="Arial"/>
          <w:i/>
          <w:iCs/>
        </w:rPr>
        <w:t>ānanda</w:t>
      </w:r>
      <w:proofErr w:type="spellEnd"/>
      <w:r w:rsidR="000729B0" w:rsidRPr="000729B0">
        <w:rPr>
          <w:rFonts w:ascii="Arial" w:hAnsi="Arial" w:cs="Arial"/>
        </w:rPr>
        <w:t>, meaning “bliss” or “joy,” combined with the chemical term “amide.” This name reflects its association with positive mood, emotional balance, and feelings of well-</w:t>
      </w:r>
      <w:r w:rsidR="00A90DF4" w:rsidRPr="000729B0">
        <w:rPr>
          <w:rFonts w:ascii="Arial" w:hAnsi="Arial" w:cs="Arial"/>
        </w:rPr>
        <w:t>being.</w:t>
      </w:r>
      <w:r w:rsidRPr="00E37BEE">
        <w:rPr>
          <w:rFonts w:ascii="Arial" w:hAnsi="Arial" w:cs="Arial"/>
        </w:rPr>
        <w:t xml:space="preserve"> The suffix </w:t>
      </w:r>
      <w:r w:rsidRPr="00E37BEE">
        <w:rPr>
          <w:rFonts w:ascii="Arial" w:hAnsi="Arial" w:cs="Arial"/>
          <w:i/>
        </w:rPr>
        <w:t xml:space="preserve">- amide </w:t>
      </w:r>
      <w:r w:rsidRPr="00E37BEE">
        <w:rPr>
          <w:rFonts w:ascii="Arial" w:hAnsi="Arial" w:cs="Arial"/>
        </w:rPr>
        <w:t>denotes its chemical classification as an amide compound. Anandamide is an endogenous lipid mediator that functions as a partial agonist of cannabinoid receptors, particularly CB</w:t>
      </w:r>
      <w:r w:rsidRPr="00E37BEE">
        <w:rPr>
          <w:rFonts w:ascii="Cambria Math" w:hAnsi="Cambria Math" w:cs="Cambria Math"/>
        </w:rPr>
        <w:t>₁</w:t>
      </w:r>
      <w:r w:rsidRPr="00E37BEE">
        <w:rPr>
          <w:rFonts w:ascii="Arial" w:hAnsi="Arial" w:cs="Arial"/>
        </w:rPr>
        <w:t>, and plays a key role in neuromodulation, pain regulation, and homeostatic balance within the endocannabinoid system</w:t>
      </w:r>
      <w:r w:rsidR="003D155D">
        <w:rPr>
          <w:rFonts w:ascii="Arial" w:hAnsi="Arial" w:cs="Arial"/>
        </w:rPr>
        <w:t xml:space="preserve"> </w:t>
      </w:r>
      <w:r w:rsidR="003D155D" w:rsidRPr="003D155D">
        <w:rPr>
          <w:rFonts w:ascii="Arial" w:hAnsi="Arial" w:cs="Arial"/>
        </w:rPr>
        <w:t>(</w:t>
      </w:r>
      <w:proofErr w:type="spellStart"/>
      <w:r w:rsidR="003D155D" w:rsidRPr="003D155D">
        <w:rPr>
          <w:rFonts w:ascii="Arial" w:hAnsi="Arial" w:cs="Arial"/>
        </w:rPr>
        <w:t>Devane</w:t>
      </w:r>
      <w:proofErr w:type="spellEnd"/>
      <w:r w:rsidR="003D155D" w:rsidRPr="003D155D">
        <w:rPr>
          <w:rFonts w:ascii="Arial" w:hAnsi="Arial" w:cs="Arial"/>
        </w:rPr>
        <w:t xml:space="preserve"> et al., 1992)</w:t>
      </w:r>
      <w:r w:rsidR="003D155D">
        <w:rPr>
          <w:rFonts w:ascii="Arial" w:hAnsi="Arial" w:cs="Arial"/>
        </w:rPr>
        <w:t>.</w:t>
      </w:r>
    </w:p>
    <w:p w14:paraId="2C154A5E" w14:textId="123D3905" w:rsidR="00E37BEE" w:rsidRPr="00E37BEE" w:rsidRDefault="00E37BEE" w:rsidP="005668FD">
      <w:pPr>
        <w:pStyle w:val="Body"/>
        <w:rPr>
          <w:rFonts w:ascii="Arial" w:hAnsi="Arial" w:cs="Arial"/>
        </w:rPr>
      </w:pPr>
      <w:r w:rsidRPr="00E37BEE">
        <w:rPr>
          <w:rFonts w:ascii="Arial" w:hAnsi="Arial" w:cs="Arial"/>
          <w:b/>
          <w:u w:val="single"/>
        </w:rPr>
        <w:t>2.2.2 Endocannabinoid:</w:t>
      </w:r>
      <w:r w:rsidRPr="00E37BEE">
        <w:rPr>
          <w:rFonts w:ascii="Arial" w:hAnsi="Arial" w:cs="Arial"/>
        </w:rPr>
        <w:t xml:space="preserve"> </w:t>
      </w:r>
      <w:r w:rsidR="000729B0" w:rsidRPr="000729B0">
        <w:rPr>
          <w:rFonts w:ascii="Arial" w:hAnsi="Arial" w:cs="Arial"/>
        </w:rPr>
        <w:t>The term refers to naturally occurring compounds produced within the body that bind to and activate cannabinoid receptors. These molecules, known as endocannabinoids, were identified in the mid-1990s following research on receptors targeted by tetrahydrocannabinol (THC). They primarily interact with CB1 and CB2 receptors and function as internal signaling messengers that regulate various physiological processes</w:t>
      </w:r>
      <w:r w:rsidRPr="00E37BEE">
        <w:rPr>
          <w:rFonts w:ascii="Arial" w:hAnsi="Arial" w:cs="Arial"/>
        </w:rPr>
        <w:t>. Discovered in the mid-1990s after studies on THC, these compounds—like anandamide and 2-AG—play key roles in regulating mood, pain, appetite, and memory. Their identification led to the understanding of the endocannabinoid system, a crucial network involved in maintaining physiological balance and supporting neuroimmune functions</w:t>
      </w:r>
      <w:r w:rsidR="003D155D">
        <w:rPr>
          <w:rFonts w:ascii="Arial" w:hAnsi="Arial" w:cs="Arial"/>
        </w:rPr>
        <w:t xml:space="preserve"> </w:t>
      </w:r>
      <w:r w:rsidR="003D155D" w:rsidRPr="003D155D">
        <w:rPr>
          <w:rFonts w:ascii="Arial" w:hAnsi="Arial" w:cs="Arial"/>
        </w:rPr>
        <w:t>(Siegel et al., 1994)</w:t>
      </w:r>
      <w:r w:rsidR="003D155D">
        <w:rPr>
          <w:rFonts w:ascii="Arial" w:hAnsi="Arial" w:cs="Arial"/>
        </w:rPr>
        <w:t xml:space="preserve"> </w:t>
      </w:r>
      <w:r w:rsidR="003D155D" w:rsidRPr="003D155D">
        <w:rPr>
          <w:rFonts w:ascii="Arial" w:hAnsi="Arial" w:cs="Arial"/>
        </w:rPr>
        <w:t>(World Health Organization, 2022)</w:t>
      </w:r>
      <w:r w:rsidR="003D155D">
        <w:rPr>
          <w:rFonts w:ascii="Arial" w:hAnsi="Arial" w:cs="Arial"/>
        </w:rPr>
        <w:t>.</w:t>
      </w:r>
    </w:p>
    <w:p w14:paraId="612E2D06" w14:textId="7C6F8B59" w:rsidR="00DA6103" w:rsidRDefault="00E37BEE" w:rsidP="005668FD">
      <w:pPr>
        <w:pStyle w:val="Body"/>
        <w:rPr>
          <w:rFonts w:ascii="Arial" w:hAnsi="Arial" w:cs="Arial"/>
          <w:b/>
          <w:bCs/>
        </w:rPr>
      </w:pPr>
      <w:r w:rsidRPr="00E37BEE">
        <w:rPr>
          <w:rFonts w:ascii="Arial" w:hAnsi="Arial" w:cs="Arial"/>
          <w:b/>
          <w:bCs/>
        </w:rPr>
        <w:t>3</w:t>
      </w:r>
      <w:r w:rsidR="00AB7826" w:rsidRPr="00E37BEE">
        <w:rPr>
          <w:rFonts w:ascii="Arial" w:hAnsi="Arial" w:cs="Arial"/>
          <w:b/>
          <w:bCs/>
        </w:rPr>
        <w:t xml:space="preserve">. BIOSYNTHESIS &amp; DEGRADATION OF AEA AND 2-AG </w:t>
      </w:r>
    </w:p>
    <w:p w14:paraId="4FAD0968" w14:textId="2E544D06" w:rsidR="00E37BEE" w:rsidRPr="00AB7826" w:rsidRDefault="00E37BEE" w:rsidP="00AB7826">
      <w:pPr>
        <w:pStyle w:val="Body"/>
        <w:rPr>
          <w:rFonts w:ascii="Arial" w:hAnsi="Arial" w:cs="Arial"/>
          <w:b/>
          <w:bCs/>
        </w:rPr>
      </w:pPr>
      <w:r w:rsidRPr="00E37BEE">
        <w:rPr>
          <w:rFonts w:ascii="Arial" w:hAnsi="Arial" w:cs="Arial"/>
          <w:b/>
        </w:rPr>
        <w:t>3.1.</w:t>
      </w:r>
      <w:r w:rsidR="00AB7826" w:rsidRPr="00AB7826">
        <w:rPr>
          <w:rFonts w:ascii="Arial" w:hAnsi="Arial" w:cs="Arial"/>
          <w:b/>
          <w:bCs/>
        </w:rPr>
        <w:t xml:space="preserve"> </w:t>
      </w:r>
      <w:r w:rsidR="00AB7826" w:rsidRPr="00E37BEE">
        <w:rPr>
          <w:rFonts w:ascii="Arial" w:hAnsi="Arial" w:cs="Arial"/>
          <w:b/>
          <w:bCs/>
        </w:rPr>
        <w:t>Anandamide (AEA) Pathway</w:t>
      </w:r>
      <w:r w:rsidRPr="00E37BEE">
        <w:rPr>
          <w:rFonts w:ascii="Arial" w:hAnsi="Arial" w:cs="Arial"/>
          <w:b/>
        </w:rPr>
        <w:t xml:space="preserve"> Synthesis (On-Demand):</w:t>
      </w:r>
    </w:p>
    <w:p w14:paraId="5F9BE4FE" w14:textId="77777777" w:rsidR="000729B0" w:rsidRDefault="000729B0" w:rsidP="005668FD">
      <w:pPr>
        <w:pStyle w:val="Body"/>
        <w:rPr>
          <w:rFonts w:ascii="Arial" w:hAnsi="Arial" w:cs="Arial"/>
        </w:rPr>
      </w:pPr>
      <w:r w:rsidRPr="000729B0">
        <w:rPr>
          <w:rFonts w:ascii="Arial" w:hAnsi="Arial" w:cs="Arial"/>
        </w:rPr>
        <w:t xml:space="preserve">Anandamide (AEA) is synthesized only when required through a coordinated series of enzymatic steps involving membrane phospholipids. The process begins with N-acyltransferase (NAT), which transfers an arachidonoyl group to phosphatidylethanolamine (PE), forming N-arachidonoyl-phosphatidylethanolamine (NAPE). This intermediate is then converted into AEA by the action of NAPE-specific phospholipase D (NAPE-PLD). Besides this main pathway, additional mechanisms involving enzymes such as phospholipase C (PLC), α/β-hydrolase domain-containing 4 (ABHD4), and glycerophosphodiesterase-1 (GDE1) may also contribute to AEA formation (Wang and Ueda, 2009; </w:t>
      </w:r>
      <w:proofErr w:type="spellStart"/>
      <w:r w:rsidRPr="000729B0">
        <w:rPr>
          <w:rFonts w:ascii="Arial" w:hAnsi="Arial" w:cs="Arial"/>
        </w:rPr>
        <w:t>Egertová</w:t>
      </w:r>
      <w:proofErr w:type="spellEnd"/>
      <w:r w:rsidRPr="000729B0">
        <w:rPr>
          <w:rFonts w:ascii="Arial" w:hAnsi="Arial" w:cs="Arial"/>
        </w:rPr>
        <w:t xml:space="preserve"> et al., 2008; Okamoto et al., 2007; </w:t>
      </w:r>
      <w:proofErr w:type="spellStart"/>
      <w:r w:rsidRPr="000729B0">
        <w:rPr>
          <w:rFonts w:ascii="Arial" w:hAnsi="Arial" w:cs="Arial"/>
        </w:rPr>
        <w:t>Basavarajappa</w:t>
      </w:r>
      <w:proofErr w:type="spellEnd"/>
      <w:r w:rsidRPr="000729B0">
        <w:rPr>
          <w:rFonts w:ascii="Arial" w:hAnsi="Arial" w:cs="Arial"/>
        </w:rPr>
        <w:t xml:space="preserve">, 2007; </w:t>
      </w:r>
      <w:proofErr w:type="spellStart"/>
      <w:r w:rsidRPr="000729B0">
        <w:rPr>
          <w:rFonts w:ascii="Arial" w:hAnsi="Arial" w:cs="Arial"/>
        </w:rPr>
        <w:t>Cocco</w:t>
      </w:r>
      <w:proofErr w:type="spellEnd"/>
      <w:r w:rsidRPr="000729B0">
        <w:rPr>
          <w:rFonts w:ascii="Arial" w:hAnsi="Arial" w:cs="Arial"/>
        </w:rPr>
        <w:t xml:space="preserve"> et al., 2006).</w:t>
      </w:r>
    </w:p>
    <w:p w14:paraId="0DE036AF" w14:textId="7AACBD96" w:rsidR="00E37BEE" w:rsidRDefault="00E37BEE" w:rsidP="00AB7826">
      <w:pPr>
        <w:pStyle w:val="Body"/>
        <w:spacing w:after="0"/>
        <w:rPr>
          <w:rFonts w:ascii="Arial" w:hAnsi="Arial" w:cs="Arial"/>
          <w:b/>
          <w:bCs/>
        </w:rPr>
      </w:pPr>
      <w:r w:rsidRPr="00E37BEE">
        <w:rPr>
          <w:rFonts w:ascii="Arial" w:hAnsi="Arial" w:cs="Arial"/>
          <w:b/>
          <w:bCs/>
        </w:rPr>
        <w:t>3.2. Degradation:</w:t>
      </w:r>
    </w:p>
    <w:p w14:paraId="383863FF" w14:textId="79381240" w:rsidR="00E37BEE" w:rsidRPr="00E37BEE" w:rsidRDefault="00E37BEE" w:rsidP="005668FD">
      <w:pPr>
        <w:pStyle w:val="Body"/>
        <w:rPr>
          <w:rFonts w:ascii="Arial" w:hAnsi="Arial" w:cs="Arial"/>
          <w:b/>
          <w:bCs/>
        </w:rPr>
      </w:pPr>
      <w:r w:rsidRPr="00E37BEE">
        <w:rPr>
          <w:rFonts w:ascii="Arial" w:hAnsi="Arial" w:cs="Arial"/>
        </w:rPr>
        <w:t xml:space="preserve">Anandamide undergoes enzymatic breakdown predominantly via fatty acid amide hydrolase, which </w:t>
      </w:r>
      <w:proofErr w:type="spellStart"/>
      <w:r w:rsidRPr="00E37BEE">
        <w:rPr>
          <w:rFonts w:ascii="Arial" w:hAnsi="Arial" w:cs="Arial"/>
        </w:rPr>
        <w:t>catalyses</w:t>
      </w:r>
      <w:proofErr w:type="spellEnd"/>
      <w:r w:rsidRPr="00E37BEE">
        <w:rPr>
          <w:rFonts w:ascii="Arial" w:hAnsi="Arial" w:cs="Arial"/>
        </w:rPr>
        <w:t xml:space="preserve"> its hydrolysis into ethanolamine and arachidonic acid, thereby inactivating </w:t>
      </w:r>
      <w:proofErr w:type="gramStart"/>
      <w:r w:rsidRPr="00E37BEE">
        <w:rPr>
          <w:rFonts w:ascii="Arial" w:hAnsi="Arial" w:cs="Arial"/>
        </w:rPr>
        <w:t>its</w:t>
      </w:r>
      <w:proofErr w:type="gramEnd"/>
      <w:r w:rsidRPr="00E37BEE">
        <w:rPr>
          <w:rFonts w:ascii="Arial" w:hAnsi="Arial" w:cs="Arial"/>
        </w:rPr>
        <w:t xml:space="preserve"> signaling function within the endocannabinoid system</w:t>
      </w:r>
      <w:r w:rsidR="00DA6103">
        <w:rPr>
          <w:rFonts w:ascii="Arial" w:hAnsi="Arial" w:cs="Arial"/>
        </w:rPr>
        <w:t xml:space="preserve"> </w:t>
      </w:r>
      <w:r w:rsidR="00DA6103" w:rsidRPr="00DA6103">
        <w:rPr>
          <w:rFonts w:ascii="Arial" w:hAnsi="Arial" w:cs="Arial"/>
        </w:rPr>
        <w:t>(Guindon and Hohmann, 2009)</w:t>
      </w:r>
      <w:r w:rsidR="00DA6103">
        <w:rPr>
          <w:rFonts w:ascii="Arial" w:hAnsi="Arial" w:cs="Arial"/>
        </w:rPr>
        <w:t xml:space="preserve"> </w:t>
      </w:r>
      <w:r w:rsidR="00DA6103" w:rsidRPr="00DA6103">
        <w:rPr>
          <w:rFonts w:ascii="Arial" w:hAnsi="Arial" w:cs="Arial"/>
        </w:rPr>
        <w:t>(Hill and Tasker, 2012)</w:t>
      </w:r>
      <w:r w:rsidRPr="00E37BEE">
        <w:rPr>
          <w:rFonts w:ascii="Arial" w:hAnsi="Arial" w:cs="Arial"/>
        </w:rPr>
        <w:t>.</w:t>
      </w:r>
    </w:p>
    <w:p w14:paraId="06656B38" w14:textId="77777777" w:rsidR="00AB7826" w:rsidRDefault="00AB7826" w:rsidP="005668FD">
      <w:pPr>
        <w:pStyle w:val="Body"/>
        <w:rPr>
          <w:rFonts w:ascii="Arial" w:hAnsi="Arial" w:cs="Arial"/>
          <w:b/>
          <w:bCs/>
        </w:rPr>
      </w:pPr>
    </w:p>
    <w:p w14:paraId="50BF86DA" w14:textId="77777777" w:rsidR="00AB7826" w:rsidRDefault="00AB7826" w:rsidP="005668FD">
      <w:pPr>
        <w:pStyle w:val="Body"/>
        <w:rPr>
          <w:rFonts w:ascii="Arial" w:hAnsi="Arial" w:cs="Arial"/>
          <w:b/>
          <w:bCs/>
        </w:rPr>
      </w:pPr>
    </w:p>
    <w:p w14:paraId="31DBF6D7" w14:textId="7BCF09FF" w:rsidR="00E37BEE" w:rsidRPr="00E37BEE" w:rsidRDefault="00E37BEE" w:rsidP="00AB7826">
      <w:pPr>
        <w:pStyle w:val="Body"/>
        <w:spacing w:after="0"/>
        <w:rPr>
          <w:rFonts w:ascii="Arial" w:hAnsi="Arial" w:cs="Arial"/>
          <w:b/>
          <w:bCs/>
        </w:rPr>
      </w:pPr>
      <w:r w:rsidRPr="00E37BEE">
        <w:rPr>
          <w:rFonts w:ascii="Arial" w:hAnsi="Arial" w:cs="Arial"/>
          <w:b/>
          <w:bCs/>
        </w:rPr>
        <w:t>3.3. Anandamide (AEA, N-</w:t>
      </w:r>
      <w:proofErr w:type="spellStart"/>
      <w:r w:rsidRPr="00E37BEE">
        <w:rPr>
          <w:rFonts w:ascii="Arial" w:hAnsi="Arial" w:cs="Arial"/>
          <w:b/>
          <w:bCs/>
        </w:rPr>
        <w:t>arachidonoylethanolamine</w:t>
      </w:r>
      <w:proofErr w:type="spellEnd"/>
      <w:r w:rsidRPr="00E37BEE">
        <w:rPr>
          <w:rFonts w:ascii="Arial" w:hAnsi="Arial" w:cs="Arial"/>
          <w:b/>
          <w:bCs/>
        </w:rPr>
        <w:t>) Primary Roles</w:t>
      </w:r>
    </w:p>
    <w:p w14:paraId="5E9968C0" w14:textId="5A870646" w:rsidR="00E37BEE" w:rsidRDefault="00D0239E" w:rsidP="005668FD">
      <w:pPr>
        <w:pStyle w:val="Body"/>
        <w:rPr>
          <w:rFonts w:ascii="Arial" w:hAnsi="Arial" w:cs="Arial"/>
        </w:rPr>
      </w:pPr>
      <w:r w:rsidRPr="00D0239E">
        <w:rPr>
          <w:rFonts w:ascii="Arial" w:hAnsi="Arial" w:cs="Arial"/>
        </w:rPr>
        <w:t xml:space="preserve">The endocannabinoid system is essential for maintaining neural and physiological balance and participates in numerous regulatory functions, including emotional processing, nociception, fertility, and reproductive physiology. It also contributes to neuroprotective mechanisms and the regulation of </w:t>
      </w:r>
      <w:r w:rsidRPr="00D0239E">
        <w:rPr>
          <w:rFonts w:ascii="Arial" w:hAnsi="Arial" w:cs="Arial"/>
        </w:rPr>
        <w:lastRenderedPageBreak/>
        <w:t>synaptic plasticity. By interacting with multiple neurotransmitter systems, this signaling network influences affective states such as mood and anxiety, thereby supporting overall homeostatic stability within the nervous system</w:t>
      </w:r>
      <w:r w:rsidR="00E37BEE" w:rsidRPr="00E37BEE">
        <w:rPr>
          <w:rFonts w:ascii="Arial" w:hAnsi="Arial" w:cs="Arial"/>
        </w:rPr>
        <w:t>. Additionally, it is involved in nociceptive regulation, influencing pain perception at both spinal and supraspinal levels. The system also contributes to reproductive physiology by modulating fertility-related signaling. Furthermore, it supports neuroprotection and facilitates synaptic plasticity, which are essential for adaptive neural responses and cognitive resilience</w:t>
      </w:r>
      <w:r w:rsidR="00DA6103">
        <w:rPr>
          <w:rFonts w:ascii="Arial" w:hAnsi="Arial" w:cs="Arial"/>
        </w:rPr>
        <w:t xml:space="preserve"> </w:t>
      </w:r>
      <w:commentRangeStart w:id="0"/>
      <w:r w:rsidR="00DA6103" w:rsidRPr="00DA6103">
        <w:rPr>
          <w:rFonts w:ascii="Arial" w:hAnsi="Arial" w:cs="Arial"/>
        </w:rPr>
        <w:t>(Hill and Tasker, 2012)</w:t>
      </w:r>
      <w:r w:rsidR="00E37BEE" w:rsidRPr="00E37BEE">
        <w:rPr>
          <w:rFonts w:ascii="Arial" w:hAnsi="Arial" w:cs="Arial"/>
        </w:rPr>
        <w:t>.</w:t>
      </w:r>
      <w:commentRangeEnd w:id="0"/>
      <w:r w:rsidR="00343DD5">
        <w:rPr>
          <w:rStyle w:val="CommentReference"/>
          <w:rFonts w:ascii="Times New Roman" w:hAnsi="Times New Roman"/>
          <w:lang w:val="nb-NO" w:eastAsia="nb-NO"/>
        </w:rPr>
        <w:commentReference w:id="0"/>
      </w:r>
    </w:p>
    <w:p w14:paraId="32D0F1E4" w14:textId="77777777" w:rsidR="00E37BEE" w:rsidRDefault="00E37BEE" w:rsidP="00AB7826">
      <w:pPr>
        <w:pStyle w:val="Body"/>
        <w:spacing w:after="0"/>
        <w:rPr>
          <w:rFonts w:ascii="Arial" w:hAnsi="Arial" w:cs="Arial"/>
          <w:b/>
          <w:bCs/>
        </w:rPr>
      </w:pPr>
      <w:r w:rsidRPr="00E37BEE">
        <w:rPr>
          <w:rFonts w:ascii="Arial" w:hAnsi="Arial" w:cs="Arial"/>
          <w:b/>
          <w:bCs/>
        </w:rPr>
        <w:t>3.4. Pathway and Mechanism</w:t>
      </w:r>
    </w:p>
    <w:p w14:paraId="6CB867EB" w14:textId="016B3420" w:rsidR="00E37BEE" w:rsidRPr="00E37BEE" w:rsidRDefault="000729B0" w:rsidP="005668FD">
      <w:pPr>
        <w:pStyle w:val="Body"/>
        <w:rPr>
          <w:rFonts w:ascii="Arial" w:hAnsi="Arial" w:cs="Arial"/>
        </w:rPr>
      </w:pPr>
      <w:r w:rsidRPr="000729B0">
        <w:rPr>
          <w:rFonts w:ascii="Arial" w:hAnsi="Arial" w:cs="Arial"/>
        </w:rPr>
        <w:t>Anandamide (N-</w:t>
      </w:r>
      <w:proofErr w:type="spellStart"/>
      <w:r w:rsidRPr="000729B0">
        <w:rPr>
          <w:rFonts w:ascii="Arial" w:hAnsi="Arial" w:cs="Arial"/>
        </w:rPr>
        <w:t>arachidonoylethanolamine</w:t>
      </w:r>
      <w:proofErr w:type="spellEnd"/>
      <w:r w:rsidRPr="000729B0">
        <w:rPr>
          <w:rFonts w:ascii="Arial" w:hAnsi="Arial" w:cs="Arial"/>
        </w:rPr>
        <w:t>) is produced when needed within the postsynaptic neuronal membrane from its precursor, N-</w:t>
      </w:r>
      <w:proofErr w:type="spellStart"/>
      <w:r w:rsidRPr="000729B0">
        <w:rPr>
          <w:rFonts w:ascii="Arial" w:hAnsi="Arial" w:cs="Arial"/>
        </w:rPr>
        <w:t>acylphosphatidylethanolamine</w:t>
      </w:r>
      <w:proofErr w:type="spellEnd"/>
      <w:r w:rsidRPr="000729B0">
        <w:rPr>
          <w:rFonts w:ascii="Arial" w:hAnsi="Arial" w:cs="Arial"/>
        </w:rPr>
        <w:t xml:space="preserve"> (NAPE), through the action of the enzyme NAPE-specific phospholipase D (NAPE-PLD). After its formation, anandamide travels backward across the synaptic cleft (retrograde signaling) and mainly interacts with CB1 cannabinoid receptors, which are G-protein-coupled receptors abundantly present in the central nervous system. Stimulation of CB1 receptors suppresses adenylyl cyclase activity, resulting in lowered cyclic adenosine monophosphate (cAMP) levels and reduced protein kinase A (PKA) signaling. These intracellular changes lead to the closure of voltage-gated calcium channels and the opening of G-protein-activated inwardly rectifying potassium (GIRK) channels, ultimately decreasing the release of neurotransmitters such as glutamate and gamma-aminobutyric acid (GABA).</w:t>
      </w:r>
      <w:r>
        <w:rPr>
          <w:rFonts w:ascii="Arial" w:hAnsi="Arial" w:cs="Arial"/>
        </w:rPr>
        <w:t xml:space="preserve"> </w:t>
      </w:r>
      <w:r w:rsidR="00E37BEE" w:rsidRPr="00E37BEE">
        <w:rPr>
          <w:rFonts w:ascii="Arial" w:hAnsi="Arial" w:cs="Arial"/>
        </w:rPr>
        <w:t>Anandamide can also activate TRPV1- Transient Receptor Potential Vanilloid 1 channels, leading to excitatory effects such as pain sensation</w:t>
      </w:r>
      <w:r w:rsidR="00DA6103">
        <w:rPr>
          <w:rFonts w:ascii="Arial" w:hAnsi="Arial" w:cs="Arial"/>
        </w:rPr>
        <w:t xml:space="preserve"> </w:t>
      </w:r>
      <w:r w:rsidR="00DA6103" w:rsidRPr="00DA6103">
        <w:rPr>
          <w:rFonts w:ascii="Arial" w:hAnsi="Arial" w:cs="Arial"/>
        </w:rPr>
        <w:t>(</w:t>
      </w:r>
      <w:proofErr w:type="spellStart"/>
      <w:r w:rsidR="00DA6103" w:rsidRPr="00DA6103">
        <w:rPr>
          <w:rFonts w:ascii="Arial" w:hAnsi="Arial" w:cs="Arial"/>
        </w:rPr>
        <w:t>Chevaleyre</w:t>
      </w:r>
      <w:proofErr w:type="spellEnd"/>
      <w:r w:rsidR="00DA6103" w:rsidRPr="00DA6103">
        <w:rPr>
          <w:rFonts w:ascii="Arial" w:hAnsi="Arial" w:cs="Arial"/>
        </w:rPr>
        <w:t xml:space="preserve"> et al., </w:t>
      </w:r>
      <w:commentRangeStart w:id="1"/>
      <w:r w:rsidR="00DA6103" w:rsidRPr="00DA6103">
        <w:rPr>
          <w:rFonts w:ascii="Arial" w:hAnsi="Arial" w:cs="Arial"/>
        </w:rPr>
        <w:t>2006</w:t>
      </w:r>
      <w:commentRangeEnd w:id="1"/>
      <w:r w:rsidR="00343DD5">
        <w:rPr>
          <w:rStyle w:val="CommentReference"/>
          <w:rFonts w:ascii="Times New Roman" w:hAnsi="Times New Roman"/>
          <w:lang w:val="nb-NO" w:eastAsia="nb-NO"/>
        </w:rPr>
        <w:commentReference w:id="1"/>
      </w:r>
      <w:r w:rsidR="00DA6103" w:rsidRPr="00DA6103">
        <w:rPr>
          <w:rFonts w:ascii="Arial" w:hAnsi="Arial" w:cs="Arial"/>
        </w:rPr>
        <w:t>)</w:t>
      </w:r>
      <w:r w:rsidR="00E37BEE" w:rsidRPr="00E37BEE">
        <w:rPr>
          <w:rFonts w:ascii="Arial" w:hAnsi="Arial" w:cs="Arial"/>
        </w:rPr>
        <w:t>.</w:t>
      </w:r>
    </w:p>
    <w:p w14:paraId="380E4FF1" w14:textId="77777777" w:rsidR="00E37BEE" w:rsidRPr="00E37BEE" w:rsidRDefault="00E37BEE" w:rsidP="000F5184">
      <w:pPr>
        <w:pStyle w:val="Body"/>
        <w:spacing w:after="0"/>
        <w:rPr>
          <w:rFonts w:ascii="Arial" w:hAnsi="Arial" w:cs="Arial"/>
          <w:b/>
          <w:bCs/>
        </w:rPr>
      </w:pPr>
      <w:r w:rsidRPr="00E37BEE">
        <w:rPr>
          <w:rFonts w:ascii="Arial" w:hAnsi="Arial" w:cs="Arial"/>
          <w:b/>
          <w:bCs/>
        </w:rPr>
        <w:t>3.5. Effects</w:t>
      </w:r>
    </w:p>
    <w:p w14:paraId="181DA9CB" w14:textId="69FB53DF" w:rsidR="00E37BEE" w:rsidRPr="00E37BEE" w:rsidRDefault="000729B0" w:rsidP="005668FD">
      <w:pPr>
        <w:pStyle w:val="Body"/>
        <w:rPr>
          <w:rFonts w:ascii="Arial" w:hAnsi="Arial" w:cs="Arial"/>
          <w:bCs/>
        </w:rPr>
      </w:pPr>
      <w:r w:rsidRPr="000729B0">
        <w:rPr>
          <w:rFonts w:ascii="Arial" w:hAnsi="Arial" w:cs="Arial"/>
          <w:bCs/>
        </w:rPr>
        <w:t>The endocannabinoid system contributes to the control of several important body functions, such as emotional stability, pain perception, reproductive health, and protection of nerve cells. When CB1 receptors located in brain regions like the amygdala and prefrontal cortex are activated, they can help reduce feelings of anxiety by dampening excessive excitatory signaling between neurons, thereby promoting a more balanced neural response</w:t>
      </w:r>
      <w:r>
        <w:rPr>
          <w:rFonts w:ascii="Arial" w:hAnsi="Arial" w:cs="Arial"/>
          <w:bCs/>
        </w:rPr>
        <w:t xml:space="preserve"> </w:t>
      </w:r>
      <w:r w:rsidR="00E37BEE" w:rsidRPr="00E37BEE">
        <w:rPr>
          <w:rFonts w:ascii="Arial" w:hAnsi="Arial" w:cs="Arial"/>
          <w:bCs/>
        </w:rPr>
        <w:t xml:space="preserve">(Hill et al., 2009). Similarly, CB1 receptor activation within the spinal cord and periaqueductal gray inhibits nociceptive signaling pathways, thereby producing analgesic effects. In reproductive physiology, the endocannabinoid anandamide regulates implantation and embryo development through its actions on uterine CB1 and CB2 receptors. Furthermore, the system contributes to neuroprotection by reducing glutamate-induced excitotoxicity via CB1-mediated presynaptic inhibition, thereby supporting neuronal survival and synaptic stability </w:t>
      </w:r>
      <w:r w:rsidR="00DA6103" w:rsidRPr="00DA6103">
        <w:rPr>
          <w:rFonts w:ascii="Arial" w:hAnsi="Arial" w:cs="Arial"/>
          <w:bCs/>
        </w:rPr>
        <w:t>(</w:t>
      </w:r>
      <w:proofErr w:type="spellStart"/>
      <w:r w:rsidR="00DA6103" w:rsidRPr="00DA6103">
        <w:rPr>
          <w:rFonts w:ascii="Arial" w:hAnsi="Arial" w:cs="Arial"/>
          <w:bCs/>
        </w:rPr>
        <w:t>Chevaleyre</w:t>
      </w:r>
      <w:proofErr w:type="spellEnd"/>
      <w:r w:rsidR="00DA6103" w:rsidRPr="00DA6103">
        <w:rPr>
          <w:rFonts w:ascii="Arial" w:hAnsi="Arial" w:cs="Arial"/>
          <w:bCs/>
        </w:rPr>
        <w:t xml:space="preserve"> et al., 2006)</w:t>
      </w:r>
      <w:r w:rsidR="00DA6103">
        <w:rPr>
          <w:rFonts w:ascii="Arial" w:hAnsi="Arial" w:cs="Arial"/>
          <w:bCs/>
        </w:rPr>
        <w:t xml:space="preserve"> </w:t>
      </w:r>
      <w:r w:rsidR="00DA6103" w:rsidRPr="00DA6103">
        <w:rPr>
          <w:rFonts w:ascii="Arial" w:hAnsi="Arial" w:cs="Arial"/>
          <w:bCs/>
        </w:rPr>
        <w:t>(Guindon and Hohmann, 2009)</w:t>
      </w:r>
      <w:r w:rsidR="00DA6103">
        <w:rPr>
          <w:rFonts w:ascii="Arial" w:hAnsi="Arial" w:cs="Arial"/>
          <w:bCs/>
        </w:rPr>
        <w:t xml:space="preserve"> </w:t>
      </w:r>
      <w:r w:rsidR="00DA6103" w:rsidRPr="00DA6103">
        <w:rPr>
          <w:rFonts w:ascii="Arial" w:hAnsi="Arial" w:cs="Arial"/>
          <w:bCs/>
        </w:rPr>
        <w:t xml:space="preserve">(Di </w:t>
      </w:r>
      <w:proofErr w:type="spellStart"/>
      <w:r w:rsidR="00DA6103" w:rsidRPr="00DA6103">
        <w:rPr>
          <w:rFonts w:ascii="Arial" w:hAnsi="Arial" w:cs="Arial"/>
          <w:bCs/>
        </w:rPr>
        <w:t>Marzo</w:t>
      </w:r>
      <w:proofErr w:type="spellEnd"/>
      <w:r w:rsidR="00DA6103" w:rsidRPr="00DA6103">
        <w:rPr>
          <w:rFonts w:ascii="Arial" w:hAnsi="Arial" w:cs="Arial"/>
          <w:bCs/>
        </w:rPr>
        <w:t xml:space="preserve"> and Matias, 2005)</w:t>
      </w:r>
      <w:r w:rsidR="00E37BEE" w:rsidRPr="00E37BEE">
        <w:rPr>
          <w:rFonts w:ascii="Arial" w:hAnsi="Arial" w:cs="Arial"/>
          <w:bCs/>
        </w:rPr>
        <w:t>.</w:t>
      </w:r>
    </w:p>
    <w:p w14:paraId="4E53DA43" w14:textId="20DFA914" w:rsidR="00E37BEE" w:rsidRPr="00E37BEE" w:rsidRDefault="00E37BEE" w:rsidP="005668FD">
      <w:pPr>
        <w:pStyle w:val="Body"/>
        <w:rPr>
          <w:rFonts w:ascii="Arial" w:hAnsi="Arial" w:cs="Arial"/>
          <w:b/>
          <w:bCs/>
        </w:rPr>
      </w:pPr>
      <w:r w:rsidRPr="00E37BEE">
        <w:rPr>
          <w:rFonts w:ascii="Arial" w:hAnsi="Arial" w:cs="Arial"/>
          <w:b/>
          <w:bCs/>
        </w:rPr>
        <w:t xml:space="preserve">4. </w:t>
      </w:r>
      <w:r w:rsidR="000F5184" w:rsidRPr="00E37BEE">
        <w:rPr>
          <w:rFonts w:ascii="Arial" w:hAnsi="Arial" w:cs="Arial"/>
          <w:b/>
          <w:bCs/>
        </w:rPr>
        <w:t xml:space="preserve">2-ARACHIDONOYLGLYCEROL (2-AG) </w:t>
      </w:r>
    </w:p>
    <w:p w14:paraId="01E92DEF" w14:textId="77777777" w:rsidR="00E37BEE" w:rsidRPr="00E37BEE" w:rsidRDefault="00E37BEE" w:rsidP="000F5184">
      <w:pPr>
        <w:pStyle w:val="Body"/>
        <w:spacing w:after="0"/>
        <w:rPr>
          <w:rFonts w:ascii="Arial" w:hAnsi="Arial" w:cs="Arial"/>
          <w:lang w:val="en-IN"/>
        </w:rPr>
      </w:pPr>
      <w:r w:rsidRPr="00E37BEE">
        <w:rPr>
          <w:rFonts w:ascii="Arial" w:hAnsi="Arial" w:cs="Arial"/>
          <w:b/>
          <w:bCs/>
          <w:lang w:val="en-IN"/>
        </w:rPr>
        <w:t xml:space="preserve">4.1. Synthesis (On-Demand): </w:t>
      </w:r>
    </w:p>
    <w:p w14:paraId="74C51B70" w14:textId="34F2EFD2" w:rsidR="00E37BEE" w:rsidRPr="00E37BEE" w:rsidRDefault="00507751" w:rsidP="005668FD">
      <w:pPr>
        <w:pStyle w:val="Body"/>
        <w:numPr>
          <w:ilvl w:val="0"/>
          <w:numId w:val="41"/>
        </w:numPr>
        <w:rPr>
          <w:rFonts w:ascii="Arial" w:hAnsi="Arial" w:cs="Arial"/>
          <w:lang w:val="en-IN"/>
        </w:rPr>
      </w:pPr>
      <w:r w:rsidRPr="00507751">
        <w:rPr>
          <w:rFonts w:ascii="Arial" w:hAnsi="Arial" w:cs="Arial"/>
        </w:rPr>
        <w:t>Activation of G-protein-coupled receptors (GPCRs) triggers the enzyme phospholipase Cβ (PLCβ), which breaks down phosphatidylinositol 4,5-bisphosphate (PIP</w:t>
      </w:r>
      <w:r w:rsidRPr="00507751">
        <w:rPr>
          <w:rFonts w:ascii="Cambria Math" w:hAnsi="Cambria Math" w:cs="Cambria Math"/>
        </w:rPr>
        <w:t>₂</w:t>
      </w:r>
      <w:r w:rsidRPr="00507751">
        <w:rPr>
          <w:rFonts w:ascii="Arial" w:hAnsi="Arial" w:cs="Arial"/>
        </w:rPr>
        <w:t xml:space="preserve">) to generate diacylglycerol (DAG). This intermediate is subsequently transformed into 2-arachidonoylglycerol (2-AG) by the action of diacylglycerol lipase (DAGL). The rapid formation of 2-AG enables the endocannabinoid system to respond promptly to changing physiological </w:t>
      </w:r>
      <w:commentRangeStart w:id="2"/>
      <w:r w:rsidRPr="00507751">
        <w:rPr>
          <w:rFonts w:ascii="Arial" w:hAnsi="Arial" w:cs="Arial"/>
        </w:rPr>
        <w:t>conditions</w:t>
      </w:r>
      <w:commentRangeEnd w:id="2"/>
      <w:r w:rsidR="0083014A">
        <w:rPr>
          <w:rStyle w:val="CommentReference"/>
          <w:rFonts w:ascii="Times New Roman" w:hAnsi="Times New Roman"/>
          <w:lang w:val="nb-NO" w:eastAsia="nb-NO"/>
        </w:rPr>
        <w:commentReference w:id="2"/>
      </w:r>
      <w:r w:rsidR="00E37BEE" w:rsidRPr="00E37BEE">
        <w:rPr>
          <w:rFonts w:ascii="Arial" w:hAnsi="Arial" w:cs="Arial"/>
        </w:rPr>
        <w:t>.</w:t>
      </w:r>
    </w:p>
    <w:p w14:paraId="38790220" w14:textId="4AC0A4A9" w:rsidR="00E37BEE" w:rsidRPr="00E37BEE" w:rsidRDefault="00E37BEE" w:rsidP="000F5184">
      <w:pPr>
        <w:pStyle w:val="Body"/>
        <w:spacing w:after="0"/>
        <w:rPr>
          <w:rFonts w:ascii="Arial" w:hAnsi="Arial" w:cs="Arial"/>
          <w:lang w:val="en-IN"/>
        </w:rPr>
      </w:pPr>
      <w:r w:rsidRPr="00E37BEE">
        <w:rPr>
          <w:rFonts w:ascii="Arial" w:hAnsi="Arial" w:cs="Arial"/>
          <w:b/>
          <w:bCs/>
          <w:lang w:val="en-IN"/>
        </w:rPr>
        <w:t>4.2. Degradation: MAGL (monoacylglycerol lipase)</w:t>
      </w:r>
    </w:p>
    <w:p w14:paraId="1553617D" w14:textId="01FF24AB" w:rsidR="00E37BEE" w:rsidRPr="00E37BEE" w:rsidRDefault="00E37BEE" w:rsidP="005668FD">
      <w:pPr>
        <w:pStyle w:val="Body"/>
        <w:rPr>
          <w:rFonts w:ascii="Arial" w:hAnsi="Arial" w:cs="Arial"/>
        </w:rPr>
      </w:pPr>
      <w:r w:rsidRPr="00E37BEE">
        <w:rPr>
          <w:rFonts w:ascii="Arial" w:hAnsi="Arial" w:cs="Arial"/>
        </w:rPr>
        <w:t>The catabolism of 2-AG is predominantly mediated by monoacylglycerol lipase (MAGL), which is responsible for approximately 85% of its hydrolytic activity, particularly within neural tissues. Supplementary enzymatic degradation is facilitated by α/β-hydrolase domain-containing proteins ABHD6 and ABHD12, which contribute to localized regulation of 2-AG concentrations. This coordinated enzymatic activity ensures tight control over endocannabinoid signaling and maintains synaptic and immune homeostasis</w:t>
      </w:r>
      <w:r w:rsidR="00F704E8">
        <w:rPr>
          <w:rFonts w:ascii="Arial" w:hAnsi="Arial" w:cs="Arial"/>
        </w:rPr>
        <w:t xml:space="preserve"> </w:t>
      </w:r>
      <w:r w:rsidR="00F704E8" w:rsidRPr="00F704E8">
        <w:rPr>
          <w:rFonts w:ascii="Arial" w:hAnsi="Arial" w:cs="Arial"/>
        </w:rPr>
        <w:t>(</w:t>
      </w:r>
      <w:proofErr w:type="spellStart"/>
      <w:r w:rsidR="00F704E8" w:rsidRPr="00F704E8">
        <w:rPr>
          <w:rFonts w:ascii="Arial" w:hAnsi="Arial" w:cs="Arial"/>
        </w:rPr>
        <w:t>Ahn</w:t>
      </w:r>
      <w:proofErr w:type="spellEnd"/>
      <w:r w:rsidR="00F704E8" w:rsidRPr="00F704E8">
        <w:rPr>
          <w:rFonts w:ascii="Arial" w:hAnsi="Arial" w:cs="Arial"/>
        </w:rPr>
        <w:t xml:space="preserve"> et al., 2008)</w:t>
      </w:r>
      <w:r w:rsidR="0083014A">
        <w:rPr>
          <w:rFonts w:ascii="Arial" w:hAnsi="Arial" w:cs="Arial"/>
        </w:rPr>
        <w:t>.</w:t>
      </w:r>
    </w:p>
    <w:p w14:paraId="4FFB875B" w14:textId="77777777" w:rsidR="00E37BEE" w:rsidRPr="00E37BEE" w:rsidRDefault="00E37BEE" w:rsidP="000F5184">
      <w:pPr>
        <w:pStyle w:val="Body"/>
        <w:spacing w:after="0"/>
        <w:rPr>
          <w:rFonts w:ascii="Arial" w:hAnsi="Arial" w:cs="Arial"/>
          <w:b/>
          <w:bCs/>
        </w:rPr>
      </w:pPr>
      <w:r w:rsidRPr="00E37BEE">
        <w:rPr>
          <w:rFonts w:ascii="Arial" w:hAnsi="Arial" w:cs="Arial"/>
          <w:b/>
          <w:bCs/>
        </w:rPr>
        <w:t>4.3. 2-Arachidonoylglycerol (2-AG) Primary Roles</w:t>
      </w:r>
    </w:p>
    <w:p w14:paraId="7F848665" w14:textId="77777777" w:rsidR="00E37BEE" w:rsidRDefault="00E37BEE" w:rsidP="005668FD">
      <w:pPr>
        <w:pStyle w:val="Body"/>
        <w:rPr>
          <w:rFonts w:ascii="Arial" w:hAnsi="Arial" w:cs="Arial"/>
        </w:rPr>
      </w:pPr>
      <w:r w:rsidRPr="00E37BEE">
        <w:rPr>
          <w:rFonts w:ascii="Arial" w:hAnsi="Arial" w:cs="Arial"/>
        </w:rPr>
        <w:t xml:space="preserve">The endocannabinoid system regulates synaptic plasticity, including long-term depression, and plays a role in stress buffering and fear extinction. It also contributes to analgesic and anti- inflammatory effects, while maintaining energy homeostasis through metabolic and hypothalamic </w:t>
      </w:r>
      <w:commentRangeStart w:id="3"/>
      <w:r w:rsidRPr="00E37BEE">
        <w:rPr>
          <w:rFonts w:ascii="Arial" w:hAnsi="Arial" w:cs="Arial"/>
        </w:rPr>
        <w:t>pathways</w:t>
      </w:r>
      <w:commentRangeEnd w:id="3"/>
      <w:r w:rsidR="0083014A">
        <w:rPr>
          <w:rStyle w:val="CommentReference"/>
          <w:rFonts w:ascii="Times New Roman" w:hAnsi="Times New Roman"/>
          <w:lang w:val="nb-NO" w:eastAsia="nb-NO"/>
        </w:rPr>
        <w:commentReference w:id="3"/>
      </w:r>
      <w:r w:rsidRPr="00E37BEE">
        <w:rPr>
          <w:rFonts w:ascii="Arial" w:hAnsi="Arial" w:cs="Arial"/>
        </w:rPr>
        <w:t>.</w:t>
      </w:r>
    </w:p>
    <w:p w14:paraId="1251C8CD" w14:textId="77777777" w:rsidR="00E37BEE" w:rsidRPr="00E37BEE" w:rsidRDefault="00E37BEE" w:rsidP="000F5184">
      <w:pPr>
        <w:pStyle w:val="Body"/>
        <w:spacing w:after="0"/>
        <w:rPr>
          <w:rFonts w:ascii="Arial" w:hAnsi="Arial" w:cs="Arial"/>
          <w:b/>
          <w:bCs/>
        </w:rPr>
      </w:pPr>
      <w:r w:rsidRPr="00E37BEE">
        <w:rPr>
          <w:rFonts w:ascii="Arial" w:hAnsi="Arial" w:cs="Arial"/>
          <w:b/>
          <w:bCs/>
        </w:rPr>
        <w:t>4.4. Pathway and Mechanism</w:t>
      </w:r>
    </w:p>
    <w:p w14:paraId="6D4F13D8" w14:textId="551AF9D7" w:rsidR="00D0239E" w:rsidRPr="00DC71DA" w:rsidRDefault="00507751" w:rsidP="005668FD">
      <w:pPr>
        <w:pStyle w:val="Body"/>
        <w:rPr>
          <w:rFonts w:ascii="Arial" w:hAnsi="Arial" w:cs="Arial"/>
          <w:b/>
          <w:bCs/>
          <w:lang w:val="en-CA"/>
        </w:rPr>
      </w:pPr>
      <w:r w:rsidRPr="00507751">
        <w:rPr>
          <w:rFonts w:ascii="Arial" w:hAnsi="Arial" w:cs="Arial"/>
        </w:rPr>
        <w:t xml:space="preserve">When G-protein-coupled receptors, such as metabotropic glutamate receptors, are activated, they stimulate phospholipase C-β to break down phosphatidylinositol-4,5-bisphosphate, generating diacylglycerol as an intermediate. This molecule is then converted into 2-arachidonoylglycerol (2-AG) by the </w:t>
      </w:r>
      <w:proofErr w:type="gramStart"/>
      <w:r w:rsidRPr="00507751">
        <w:rPr>
          <w:rFonts w:ascii="Arial" w:hAnsi="Arial" w:cs="Arial"/>
        </w:rPr>
        <w:t>enzymes</w:t>
      </w:r>
      <w:proofErr w:type="gramEnd"/>
      <w:r w:rsidRPr="00507751">
        <w:rPr>
          <w:rFonts w:ascii="Arial" w:hAnsi="Arial" w:cs="Arial"/>
        </w:rPr>
        <w:t xml:space="preserve"> diacylglycerol lipase-α and diacylglycerol lipase-β at the postsynaptic membrane, </w:t>
      </w:r>
      <w:r w:rsidRPr="00507751">
        <w:rPr>
          <w:rFonts w:ascii="Arial" w:hAnsi="Arial" w:cs="Arial"/>
        </w:rPr>
        <w:lastRenderedPageBreak/>
        <w:t>enabling localized endocannabinoid signaling.</w:t>
      </w:r>
      <w:r>
        <w:rPr>
          <w:rFonts w:ascii="Arial" w:hAnsi="Arial" w:cs="Arial"/>
        </w:rPr>
        <w:t xml:space="preserve"> </w:t>
      </w:r>
      <w:r w:rsidR="00D0239E" w:rsidRPr="00D0239E">
        <w:rPr>
          <w:rFonts w:ascii="Arial" w:hAnsi="Arial" w:cs="Arial"/>
        </w:rPr>
        <w:t xml:space="preserve">The newly synthesized 2-arachidonoylglycerol then functions as a retrograde signaling molecule, diffusing back to presynaptic terminals where it activates cannabinoid CB1 receptors. Receptor engagement modulates intracellular signaling cascades, leading to reduced neurotransmitter release and suppression of both inhibitory gamma-aminobutyric acid–mediated and excitatory glutamatergic synaptic transmission, a process described as depolarization-induced suppression of inhibition or excitation. Signal termination primarily occurs through hydrolysis by monoacylglycerol lipase, generating arachidonic acid and glycerol, while additional metabolism is contributed by α/β-hydrolase domain-containing enzymes </w:t>
      </w:r>
      <w:commentRangeStart w:id="4"/>
      <w:r w:rsidR="00D0239E" w:rsidRPr="00D0239E">
        <w:rPr>
          <w:rFonts w:ascii="Arial" w:hAnsi="Arial" w:cs="Arial"/>
        </w:rPr>
        <w:t>6 and 12</w:t>
      </w:r>
      <w:commentRangeEnd w:id="4"/>
      <w:r w:rsidR="004056E9">
        <w:rPr>
          <w:rStyle w:val="CommentReference"/>
          <w:rFonts w:ascii="Times New Roman" w:hAnsi="Times New Roman"/>
          <w:lang w:val="nb-NO" w:eastAsia="nb-NO"/>
        </w:rPr>
        <w:commentReference w:id="4"/>
      </w:r>
      <w:r w:rsidR="00D0239E">
        <w:rPr>
          <w:rFonts w:ascii="Arial" w:hAnsi="Arial" w:cs="Arial"/>
          <w:b/>
          <w:bCs/>
        </w:rPr>
        <w:t>.</w:t>
      </w:r>
    </w:p>
    <w:p w14:paraId="1AEBD86D" w14:textId="10D8EED5" w:rsidR="00E37BEE" w:rsidRPr="00E37BEE" w:rsidRDefault="00E37BEE" w:rsidP="000F5184">
      <w:pPr>
        <w:pStyle w:val="Body"/>
        <w:spacing w:after="0"/>
        <w:rPr>
          <w:rFonts w:ascii="Arial" w:hAnsi="Arial" w:cs="Arial"/>
        </w:rPr>
      </w:pPr>
      <w:r w:rsidRPr="00E37BEE">
        <w:rPr>
          <w:rFonts w:ascii="Arial" w:hAnsi="Arial" w:cs="Arial"/>
          <w:b/>
          <w:bCs/>
        </w:rPr>
        <w:t>4.5. Effects</w:t>
      </w:r>
    </w:p>
    <w:p w14:paraId="64DAA051" w14:textId="77777777" w:rsidR="00E37BEE" w:rsidRPr="00E37BEE" w:rsidRDefault="00E37BEE" w:rsidP="005668FD">
      <w:pPr>
        <w:pStyle w:val="Body"/>
        <w:rPr>
          <w:rFonts w:ascii="Arial" w:hAnsi="Arial" w:cs="Arial"/>
        </w:rPr>
      </w:pPr>
      <w:r w:rsidRPr="00E37BEE">
        <w:rPr>
          <w:rFonts w:ascii="Arial" w:hAnsi="Arial" w:cs="Arial"/>
        </w:rPr>
        <w:t>Synaptic Plasticity: 2-AG mediates long-term depression (LTD) at excitatory synapses, critical for learning and memory (</w:t>
      </w:r>
      <w:proofErr w:type="spellStart"/>
      <w:r w:rsidRPr="00E37BEE">
        <w:rPr>
          <w:rFonts w:ascii="Arial" w:hAnsi="Arial" w:cs="Arial"/>
        </w:rPr>
        <w:t>Chevaleyre</w:t>
      </w:r>
      <w:proofErr w:type="spellEnd"/>
      <w:r w:rsidRPr="00E37BEE">
        <w:rPr>
          <w:rFonts w:ascii="Arial" w:hAnsi="Arial" w:cs="Arial"/>
        </w:rPr>
        <w:t xml:space="preserve"> et al., 2006).</w:t>
      </w:r>
    </w:p>
    <w:p w14:paraId="324531A5" w14:textId="77777777" w:rsidR="00E37BEE" w:rsidRPr="00E37BEE" w:rsidRDefault="00E37BEE" w:rsidP="005668FD">
      <w:pPr>
        <w:pStyle w:val="Body"/>
        <w:rPr>
          <w:rFonts w:ascii="Arial" w:hAnsi="Arial" w:cs="Arial"/>
        </w:rPr>
      </w:pPr>
      <w:r w:rsidRPr="00E37BEE">
        <w:rPr>
          <w:rFonts w:ascii="Arial" w:hAnsi="Arial" w:cs="Arial"/>
        </w:rPr>
        <w:t>Stress Response &amp; Fear Extinction: CB1 receptor signaling by 2-AG dampens hypothalamic-pituitary-adrenal (HPA) axis hyperactivity and facilitates fear extinction (Hill &amp; Tasker, 2012).</w:t>
      </w:r>
    </w:p>
    <w:p w14:paraId="238E6833" w14:textId="77777777" w:rsidR="00E37BEE" w:rsidRPr="00E37BEE" w:rsidRDefault="00E37BEE" w:rsidP="005668FD">
      <w:pPr>
        <w:pStyle w:val="Body"/>
        <w:rPr>
          <w:rFonts w:ascii="Arial" w:hAnsi="Arial" w:cs="Arial"/>
        </w:rPr>
      </w:pPr>
      <w:r w:rsidRPr="00E37BEE">
        <w:rPr>
          <w:rFonts w:ascii="Arial" w:hAnsi="Arial" w:cs="Arial"/>
        </w:rPr>
        <w:t>Pain Relief: Acts on CB1 receptors in nociceptive pathways and CB2 receptors in immune cells to reduce inflammation and neuropathic pain (Guindon &amp; Hohmann, 2009).</w:t>
      </w:r>
    </w:p>
    <w:p w14:paraId="758137B6" w14:textId="77777777" w:rsidR="005668FD" w:rsidRDefault="00E37BEE" w:rsidP="005668FD">
      <w:pPr>
        <w:pStyle w:val="Body"/>
        <w:rPr>
          <w:rFonts w:ascii="Arial" w:hAnsi="Arial" w:cs="Arial"/>
        </w:rPr>
      </w:pPr>
      <w:r w:rsidRPr="00E37BEE">
        <w:rPr>
          <w:rFonts w:ascii="Arial" w:hAnsi="Arial" w:cs="Arial"/>
        </w:rPr>
        <w:t xml:space="preserve">Metabolic Regulation: Influences energy balance by acting on hypothalamic CB1 receptors (Di </w:t>
      </w:r>
      <w:proofErr w:type="spellStart"/>
      <w:r w:rsidRPr="00E37BEE">
        <w:rPr>
          <w:rFonts w:ascii="Arial" w:hAnsi="Arial" w:cs="Arial"/>
        </w:rPr>
        <w:t>Marzo</w:t>
      </w:r>
      <w:proofErr w:type="spellEnd"/>
      <w:r w:rsidRPr="00E37BEE">
        <w:rPr>
          <w:rFonts w:ascii="Arial" w:hAnsi="Arial" w:cs="Arial"/>
        </w:rPr>
        <w:t xml:space="preserve"> &amp; Matias, 2005).</w:t>
      </w:r>
    </w:p>
    <w:p w14:paraId="51FC79AE" w14:textId="00CFE7CF" w:rsidR="00FE767C" w:rsidRPr="00E37BEE" w:rsidRDefault="00F343A8" w:rsidP="00FE767C">
      <w:pPr>
        <w:pStyle w:val="Body"/>
        <w:rPr>
          <w:rFonts w:ascii="Arial" w:hAnsi="Arial" w:cs="Arial"/>
          <w:b/>
          <w:bCs/>
        </w:rPr>
      </w:pPr>
      <w:r w:rsidRPr="00E37BEE">
        <w:rPr>
          <w:rFonts w:ascii="Arial" w:hAnsi="Arial" w:cs="Arial"/>
          <w:b/>
          <w:bCs/>
        </w:rPr>
        <w:t>5. CB1-TYPE 1 CANNABINOID RECEPTOR:</w:t>
      </w:r>
    </w:p>
    <w:p w14:paraId="5DD4EF29" w14:textId="77777777" w:rsidR="00FE767C" w:rsidRPr="00E37BEE" w:rsidRDefault="00FE767C" w:rsidP="00FE767C">
      <w:pPr>
        <w:pStyle w:val="Body"/>
        <w:rPr>
          <w:rFonts w:ascii="Arial" w:hAnsi="Arial" w:cs="Arial"/>
          <w:b/>
        </w:rPr>
      </w:pPr>
      <w:r w:rsidRPr="00E37BEE">
        <w:rPr>
          <w:rFonts w:ascii="Arial" w:hAnsi="Arial" w:cs="Arial"/>
          <w:b/>
        </w:rPr>
        <w:t>5.1. Molecular Structure</w:t>
      </w:r>
    </w:p>
    <w:p w14:paraId="4CE7E7C3" w14:textId="6784CB86" w:rsidR="00FE767C" w:rsidRPr="00E37BEE" w:rsidRDefault="00FE767C" w:rsidP="00FE767C">
      <w:pPr>
        <w:pStyle w:val="Body"/>
        <w:rPr>
          <w:rFonts w:ascii="Arial" w:hAnsi="Arial" w:cs="Arial"/>
        </w:rPr>
      </w:pPr>
      <w:r w:rsidRPr="00E37BEE">
        <w:rPr>
          <w:rFonts w:ascii="Arial" w:hAnsi="Arial" w:cs="Arial"/>
        </w:rPr>
        <w:t xml:space="preserve">CB1 is a G-protein-coupled receptor (GPCR) </w:t>
      </w:r>
      <w:r w:rsidR="00E64556">
        <w:rPr>
          <w:rFonts w:ascii="Arial" w:hAnsi="Arial" w:cs="Arial"/>
        </w:rPr>
        <w:t>that belongs</w:t>
      </w:r>
      <w:r w:rsidRPr="00E37BEE">
        <w:rPr>
          <w:rFonts w:ascii="Arial" w:hAnsi="Arial" w:cs="Arial"/>
        </w:rPr>
        <w:t xml:space="preserve"> to the Class A (Rhodopsin- like) family. In humans, it </w:t>
      </w:r>
      <w:r w:rsidR="00E64556">
        <w:rPr>
          <w:rFonts w:ascii="Arial" w:hAnsi="Arial" w:cs="Arial"/>
        </w:rPr>
        <w:t>comprises</w:t>
      </w:r>
      <w:r w:rsidRPr="00E37BEE">
        <w:rPr>
          <w:rFonts w:ascii="Arial" w:hAnsi="Arial" w:cs="Arial"/>
        </w:rPr>
        <w:t xml:space="preserve"> of 472 amino acids. 7 transmembrane α-helices (TM1–TM7) Linked through loops that span the exterior and interior of the cell membrane, known respectively as extracellular (ECLs) and intracellular loops (ICLs)</w:t>
      </w:r>
      <w:r w:rsidR="00F704E8">
        <w:rPr>
          <w:rFonts w:ascii="Arial" w:hAnsi="Arial" w:cs="Arial"/>
        </w:rPr>
        <w:t xml:space="preserve"> </w:t>
      </w:r>
      <w:r w:rsidR="00F704E8" w:rsidRPr="00E37BEE">
        <w:rPr>
          <w:rFonts w:ascii="Arial" w:hAnsi="Arial" w:cs="Arial"/>
        </w:rPr>
        <w:t>(Hill &amp; Tasker, 2012)</w:t>
      </w:r>
      <w:r w:rsidRPr="00E37BEE">
        <w:rPr>
          <w:rFonts w:ascii="Arial" w:hAnsi="Arial" w:cs="Arial"/>
        </w:rPr>
        <w:t>.</w:t>
      </w:r>
    </w:p>
    <w:p w14:paraId="54A56F94" w14:textId="77777777" w:rsidR="00FE767C" w:rsidRPr="00E37BEE" w:rsidRDefault="00FE767C" w:rsidP="00FE767C">
      <w:pPr>
        <w:pStyle w:val="Body"/>
        <w:rPr>
          <w:rFonts w:ascii="Arial" w:hAnsi="Arial" w:cs="Arial"/>
          <w:bCs/>
        </w:rPr>
      </w:pPr>
      <w:r w:rsidRPr="00E37BEE">
        <w:rPr>
          <w:rFonts w:ascii="Arial" w:hAnsi="Arial" w:cs="Arial"/>
          <w:b/>
          <w:bCs/>
        </w:rPr>
        <w:t>5.2. 3D Structure</w:t>
      </w:r>
      <w:r w:rsidRPr="00E37BEE">
        <w:rPr>
          <w:rFonts w:ascii="Arial" w:hAnsi="Arial" w:cs="Arial"/>
          <w:bCs/>
        </w:rPr>
        <w:t>:</w:t>
      </w:r>
    </w:p>
    <w:p w14:paraId="69B650DD" w14:textId="77777777" w:rsidR="00FE767C" w:rsidRPr="00E37BEE" w:rsidRDefault="00FE767C" w:rsidP="00FE767C">
      <w:pPr>
        <w:pStyle w:val="Body"/>
        <w:rPr>
          <w:rFonts w:ascii="Arial" w:hAnsi="Arial" w:cs="Arial"/>
        </w:rPr>
      </w:pPr>
      <w:r w:rsidRPr="00E37BEE">
        <w:rPr>
          <w:rFonts w:ascii="Arial" w:hAnsi="Arial" w:cs="Arial"/>
        </w:rPr>
        <w:t>Ligand-binding pocket located within transmembrane helices, primarily hydrophobic for lipid-derived ligands. Crystal structure resolved at 2.8 Å resolution using X-ray crystallography (Hua et al., 2017).</w:t>
      </w:r>
    </w:p>
    <w:p w14:paraId="12490ECC" w14:textId="77777777" w:rsidR="00FE767C" w:rsidRPr="00E37BEE" w:rsidRDefault="00FE767C" w:rsidP="00FE767C">
      <w:pPr>
        <w:pStyle w:val="Body"/>
        <w:rPr>
          <w:rFonts w:ascii="Arial" w:hAnsi="Arial" w:cs="Arial"/>
          <w:bCs/>
        </w:rPr>
      </w:pPr>
      <w:r w:rsidRPr="00E37BEE">
        <w:rPr>
          <w:rFonts w:ascii="Arial" w:hAnsi="Arial" w:cs="Arial"/>
          <w:b/>
          <w:bCs/>
        </w:rPr>
        <w:t>5.3. Primary expression sites</w:t>
      </w:r>
      <w:r w:rsidRPr="00E37BEE">
        <w:rPr>
          <w:rFonts w:ascii="Arial" w:hAnsi="Arial" w:cs="Arial"/>
          <w:bCs/>
        </w:rPr>
        <w:t>:</w:t>
      </w:r>
    </w:p>
    <w:p w14:paraId="17C959CA" w14:textId="77777777" w:rsidR="00FE767C" w:rsidRPr="00E37BEE" w:rsidRDefault="00FE767C" w:rsidP="00FE767C">
      <w:pPr>
        <w:pStyle w:val="Body"/>
        <w:rPr>
          <w:rFonts w:ascii="Arial" w:hAnsi="Arial" w:cs="Arial"/>
        </w:rPr>
      </w:pPr>
      <w:r w:rsidRPr="00E37BEE">
        <w:rPr>
          <w:rFonts w:ascii="Arial" w:hAnsi="Arial" w:cs="Arial"/>
        </w:rPr>
        <w:t>Central Nervous System (CNS): hippocampus, cortex, basal ganglia, cerebellum. Low expression in peripheral tissues: adipose tissue, liver.</w:t>
      </w:r>
    </w:p>
    <w:p w14:paraId="51DE912A" w14:textId="77777777" w:rsidR="00FE767C" w:rsidRPr="00E37BEE" w:rsidRDefault="00FE767C" w:rsidP="00FE767C">
      <w:pPr>
        <w:pStyle w:val="Body"/>
        <w:rPr>
          <w:rFonts w:ascii="Arial" w:hAnsi="Arial" w:cs="Arial"/>
          <w:b/>
          <w:bCs/>
          <w:u w:val="single"/>
        </w:rPr>
      </w:pPr>
      <w:r w:rsidRPr="00E37BEE">
        <w:rPr>
          <w:rFonts w:ascii="Arial" w:hAnsi="Arial" w:cs="Arial"/>
          <w:b/>
          <w:bCs/>
          <w:u w:val="single"/>
        </w:rPr>
        <w:t>5.3.1. Signaling Pathway (Expanded)</w:t>
      </w:r>
    </w:p>
    <w:p w14:paraId="6273CFB3" w14:textId="77777777" w:rsidR="00FE767C" w:rsidRPr="00E37BEE" w:rsidRDefault="00FE767C" w:rsidP="00FE767C">
      <w:pPr>
        <w:pStyle w:val="Body"/>
        <w:rPr>
          <w:rFonts w:ascii="Arial" w:hAnsi="Arial" w:cs="Arial"/>
          <w:bCs/>
        </w:rPr>
      </w:pPr>
      <w:r w:rsidRPr="00E37BEE">
        <w:rPr>
          <w:rFonts w:ascii="Arial" w:hAnsi="Arial" w:cs="Arial"/>
          <w:bCs/>
        </w:rPr>
        <w:t>Ligand</w:t>
      </w:r>
      <w:r w:rsidRPr="00E37BEE">
        <w:rPr>
          <w:rFonts w:ascii="Arial" w:hAnsi="Arial" w:cs="Arial"/>
          <w:bCs/>
        </w:rPr>
        <w:tab/>
        <w:t xml:space="preserve">binding: </w:t>
      </w:r>
      <w:commentRangeStart w:id="5"/>
      <w:r w:rsidRPr="00E37BEE">
        <w:rPr>
          <w:rFonts w:ascii="Arial" w:hAnsi="Arial" w:cs="Arial"/>
          <w:bCs/>
        </w:rPr>
        <w:t>Anandamide (N-</w:t>
      </w:r>
      <w:proofErr w:type="spellStart"/>
      <w:r w:rsidRPr="00E37BEE">
        <w:rPr>
          <w:rFonts w:ascii="Arial" w:hAnsi="Arial" w:cs="Arial"/>
          <w:bCs/>
        </w:rPr>
        <w:t>arachidonoylethanolamine</w:t>
      </w:r>
      <w:proofErr w:type="spellEnd"/>
      <w:r w:rsidRPr="00E37BEE">
        <w:rPr>
          <w:rFonts w:ascii="Arial" w:hAnsi="Arial" w:cs="Arial"/>
          <w:bCs/>
        </w:rPr>
        <w:t xml:space="preserve">), 2- </w:t>
      </w:r>
      <w:proofErr w:type="spellStart"/>
      <w:r w:rsidRPr="00E37BEE">
        <w:rPr>
          <w:rFonts w:ascii="Arial" w:hAnsi="Arial" w:cs="Arial"/>
          <w:bCs/>
        </w:rPr>
        <w:t>Arachidonoylglycerol</w:t>
      </w:r>
      <w:proofErr w:type="spellEnd"/>
      <w:r w:rsidRPr="00E37BEE">
        <w:rPr>
          <w:rFonts w:ascii="Arial" w:hAnsi="Arial" w:cs="Arial"/>
          <w:bCs/>
        </w:rPr>
        <w:t>, or a synthetic agonist binds to CB1.</w:t>
      </w:r>
      <w:commentRangeEnd w:id="5"/>
      <w:r w:rsidR="00E52CE6">
        <w:rPr>
          <w:rStyle w:val="CommentReference"/>
          <w:rFonts w:ascii="Times New Roman" w:hAnsi="Times New Roman"/>
          <w:lang w:val="nb-NO" w:eastAsia="nb-NO"/>
        </w:rPr>
        <w:commentReference w:id="5"/>
      </w:r>
    </w:p>
    <w:p w14:paraId="0FF3DEE5" w14:textId="0D24EB33" w:rsidR="00FE767C" w:rsidRPr="00E37BEE" w:rsidRDefault="00FE767C" w:rsidP="00FE767C">
      <w:pPr>
        <w:pStyle w:val="Body"/>
        <w:rPr>
          <w:rFonts w:ascii="Arial" w:hAnsi="Arial" w:cs="Arial"/>
          <w:bCs/>
        </w:rPr>
      </w:pPr>
      <w:r w:rsidRPr="00E37BEE">
        <w:rPr>
          <w:rFonts w:ascii="Arial" w:hAnsi="Arial" w:cs="Arial"/>
          <w:bCs/>
        </w:rPr>
        <w:t xml:space="preserve">G-protein coupling: CB1 couples to Gi/o proteins: α-subunit inhibits adenylyl cyclase, reducing cAMP- cyclic adenosine monophosphate, βγ-subunits modulate ion channels </w:t>
      </w:r>
      <w:r w:rsidR="009A2B3C" w:rsidRPr="009A2B3C">
        <w:rPr>
          <w:rFonts w:ascii="Arial" w:hAnsi="Arial" w:cs="Arial"/>
          <w:bCs/>
        </w:rPr>
        <w:t>(Guindon and Hohmann, 2009)</w:t>
      </w:r>
      <w:r w:rsidRPr="00E37BEE">
        <w:rPr>
          <w:rFonts w:ascii="Arial" w:hAnsi="Arial" w:cs="Arial"/>
          <w:bCs/>
        </w:rPr>
        <w:t>.</w:t>
      </w:r>
    </w:p>
    <w:p w14:paraId="19BABB01" w14:textId="29E79009" w:rsidR="00FE767C" w:rsidRPr="00E37BEE" w:rsidRDefault="00FE767C" w:rsidP="00FE767C">
      <w:pPr>
        <w:pStyle w:val="Body"/>
        <w:rPr>
          <w:rFonts w:ascii="Arial" w:hAnsi="Arial" w:cs="Arial"/>
        </w:rPr>
      </w:pPr>
      <w:r w:rsidRPr="00E37BEE">
        <w:rPr>
          <w:rFonts w:ascii="Arial" w:hAnsi="Arial" w:cs="Arial"/>
          <w:bCs/>
        </w:rPr>
        <w:t>Downstream effects</w:t>
      </w:r>
      <w:r w:rsidRPr="00E37BEE">
        <w:rPr>
          <w:rFonts w:ascii="Arial" w:hAnsi="Arial" w:cs="Arial"/>
        </w:rPr>
        <w:t>:</w:t>
      </w:r>
      <w:r>
        <w:rPr>
          <w:rFonts w:ascii="Arial" w:hAnsi="Arial" w:cs="Arial"/>
        </w:rPr>
        <w:t xml:space="preserve"> </w:t>
      </w:r>
      <w:r w:rsidRPr="00E37BEE">
        <w:rPr>
          <w:rFonts w:ascii="Arial" w:hAnsi="Arial" w:cs="Arial"/>
        </w:rPr>
        <w:t>Activation of cannabinoid receptors leads to a reduction in intracellular cyclic AMP (cAMP) levels, resulting in decreased protein kinase A (PKA) activity, along with the closure of voltage-gated calcium channels (VGCCs) and the opening of G-protein-activated inwardly rectifying potassium (GIRK) channels, which collectively promote neuronal hyperpolarization and inhibition of neurotransmitter release</w:t>
      </w:r>
      <w:r w:rsidR="00120AA9">
        <w:rPr>
          <w:rFonts w:ascii="Arial" w:hAnsi="Arial" w:cs="Arial"/>
        </w:rPr>
        <w:t xml:space="preserve"> </w:t>
      </w:r>
      <w:r w:rsidR="00120AA9" w:rsidRPr="00120AA9">
        <w:rPr>
          <w:rFonts w:ascii="Arial" w:hAnsi="Arial" w:cs="Arial"/>
        </w:rPr>
        <w:t>(</w:t>
      </w:r>
      <w:proofErr w:type="spellStart"/>
      <w:r w:rsidR="00120AA9" w:rsidRPr="00120AA9">
        <w:rPr>
          <w:rFonts w:ascii="Arial" w:hAnsi="Arial" w:cs="Arial"/>
        </w:rPr>
        <w:t>Hashimotodani</w:t>
      </w:r>
      <w:proofErr w:type="spellEnd"/>
      <w:r w:rsidR="00120AA9" w:rsidRPr="00120AA9">
        <w:rPr>
          <w:rFonts w:ascii="Arial" w:hAnsi="Arial" w:cs="Arial"/>
        </w:rPr>
        <w:t xml:space="preserve"> et al., 2008) (</w:t>
      </w:r>
      <w:proofErr w:type="spellStart"/>
      <w:r w:rsidR="00120AA9" w:rsidRPr="00120AA9">
        <w:rPr>
          <w:rFonts w:ascii="Arial" w:hAnsi="Arial" w:cs="Arial"/>
        </w:rPr>
        <w:t>Caille</w:t>
      </w:r>
      <w:proofErr w:type="spellEnd"/>
      <w:r w:rsidR="00120AA9" w:rsidRPr="00120AA9">
        <w:rPr>
          <w:rFonts w:ascii="Arial" w:hAnsi="Arial" w:cs="Arial"/>
        </w:rPr>
        <w:t xml:space="preserve"> et al., 2007)</w:t>
      </w:r>
      <w:r w:rsidRPr="00E37BEE">
        <w:rPr>
          <w:rFonts w:ascii="Arial" w:hAnsi="Arial" w:cs="Arial"/>
        </w:rPr>
        <w:t>.</w:t>
      </w:r>
    </w:p>
    <w:p w14:paraId="0FEBD24F" w14:textId="77777777" w:rsidR="00FE767C" w:rsidRPr="00E37BEE" w:rsidRDefault="00FE767C" w:rsidP="00FE767C">
      <w:pPr>
        <w:pStyle w:val="Body"/>
        <w:rPr>
          <w:rFonts w:ascii="Arial" w:hAnsi="Arial" w:cs="Arial"/>
          <w:bCs/>
          <w:u w:val="single"/>
        </w:rPr>
      </w:pPr>
      <w:r w:rsidRPr="00E37BEE">
        <w:rPr>
          <w:rFonts w:ascii="Arial" w:hAnsi="Arial" w:cs="Arial"/>
          <w:b/>
          <w:bCs/>
          <w:u w:val="single"/>
        </w:rPr>
        <w:t>5.3.2. MAPK- Mitogen-activated protein kinase activation</w:t>
      </w:r>
      <w:r w:rsidRPr="00E37BEE">
        <w:rPr>
          <w:rFonts w:ascii="Arial" w:hAnsi="Arial" w:cs="Arial"/>
          <w:bCs/>
          <w:u w:val="single"/>
        </w:rPr>
        <w:t>:</w:t>
      </w:r>
    </w:p>
    <w:p w14:paraId="64EFCAF5" w14:textId="0FF7ACE5" w:rsidR="00FE767C" w:rsidRPr="00E37BEE" w:rsidRDefault="00FE767C" w:rsidP="00FE767C">
      <w:pPr>
        <w:pStyle w:val="Body"/>
        <w:rPr>
          <w:rFonts w:ascii="Arial" w:hAnsi="Arial" w:cs="Arial"/>
        </w:rPr>
      </w:pPr>
      <w:r w:rsidRPr="00E37BEE">
        <w:rPr>
          <w:rFonts w:ascii="Arial" w:hAnsi="Arial" w:cs="Arial"/>
        </w:rPr>
        <w:t>CB1 stimulates ERK1/2 (extracellular signal-regulated kinases), influencing gene transcription and cell survival</w:t>
      </w:r>
      <w:r w:rsidR="009A2B3C">
        <w:rPr>
          <w:rFonts w:ascii="Arial" w:hAnsi="Arial" w:cs="Arial"/>
        </w:rPr>
        <w:t xml:space="preserve"> </w:t>
      </w:r>
      <w:r w:rsidR="009A2B3C" w:rsidRPr="009A2B3C">
        <w:rPr>
          <w:rFonts w:ascii="Arial" w:hAnsi="Arial" w:cs="Arial"/>
        </w:rPr>
        <w:t>(Drysdale et al., 2006) (Lunn et al., 2006)</w:t>
      </w:r>
      <w:r w:rsidRPr="00E37BEE">
        <w:rPr>
          <w:rFonts w:ascii="Arial" w:hAnsi="Arial" w:cs="Arial"/>
        </w:rPr>
        <w:t>.</w:t>
      </w:r>
    </w:p>
    <w:p w14:paraId="49A8492C" w14:textId="77777777" w:rsidR="00FE767C" w:rsidRPr="00E37BEE" w:rsidRDefault="00FE767C" w:rsidP="00FE767C">
      <w:pPr>
        <w:pStyle w:val="Body"/>
        <w:rPr>
          <w:rFonts w:ascii="Arial" w:hAnsi="Arial" w:cs="Arial"/>
        </w:rPr>
      </w:pPr>
      <w:r w:rsidRPr="00E37BEE">
        <w:rPr>
          <w:rFonts w:ascii="Arial" w:hAnsi="Arial" w:cs="Arial"/>
          <w:b/>
          <w:bCs/>
          <w:u w:val="single"/>
        </w:rPr>
        <w:t>5.3.3. Other pathways</w:t>
      </w:r>
      <w:r w:rsidRPr="00E37BEE">
        <w:rPr>
          <w:rFonts w:ascii="Arial" w:hAnsi="Arial" w:cs="Arial"/>
          <w:bCs/>
          <w:u w:val="single"/>
        </w:rPr>
        <w:t>:</w:t>
      </w:r>
    </w:p>
    <w:p w14:paraId="580BFDA4" w14:textId="2F2D4B3E" w:rsidR="00FE767C" w:rsidRPr="00E37BEE" w:rsidRDefault="00FE767C" w:rsidP="00FE767C">
      <w:pPr>
        <w:pStyle w:val="Body"/>
        <w:rPr>
          <w:rFonts w:ascii="Arial" w:hAnsi="Arial" w:cs="Arial"/>
        </w:rPr>
      </w:pPr>
      <w:r w:rsidRPr="00E37BEE">
        <w:rPr>
          <w:rFonts w:ascii="Arial" w:hAnsi="Arial" w:cs="Arial"/>
        </w:rPr>
        <w:lastRenderedPageBreak/>
        <w:t xml:space="preserve">Cannabinoid receptor activation also engages intracellular signaling pathways such as the phosphoinositide 3-kinase (PI3K)/Akt pathway, contributing to neuronal survival and neuroprotection. In addition, it suppresses the synaptic release of both excitatory and inhibitory neurotransmitters, particularly glutamate and γ-aminobutyric acid (GABA), thereby modulating neuronal excitability and synaptic transmission </w:t>
      </w:r>
      <w:r w:rsidR="009A2B3C" w:rsidRPr="009A2B3C">
        <w:rPr>
          <w:rFonts w:ascii="Arial" w:hAnsi="Arial" w:cs="Arial"/>
        </w:rPr>
        <w:t xml:space="preserve">(Di </w:t>
      </w:r>
      <w:proofErr w:type="spellStart"/>
      <w:r w:rsidR="009A2B3C" w:rsidRPr="009A2B3C">
        <w:rPr>
          <w:rFonts w:ascii="Arial" w:hAnsi="Arial" w:cs="Arial"/>
        </w:rPr>
        <w:t>Marzo</w:t>
      </w:r>
      <w:proofErr w:type="spellEnd"/>
      <w:r w:rsidR="009A2B3C" w:rsidRPr="009A2B3C">
        <w:rPr>
          <w:rFonts w:ascii="Arial" w:hAnsi="Arial" w:cs="Arial"/>
        </w:rPr>
        <w:t xml:space="preserve"> and Matias, 2005)</w:t>
      </w:r>
      <w:r w:rsidRPr="00E37BEE">
        <w:rPr>
          <w:rFonts w:ascii="Arial" w:hAnsi="Arial" w:cs="Arial"/>
        </w:rPr>
        <w:t>.</w:t>
      </w:r>
    </w:p>
    <w:p w14:paraId="38B506B9" w14:textId="77777777" w:rsidR="00FE767C" w:rsidRDefault="00FE767C" w:rsidP="00FE767C">
      <w:pPr>
        <w:pStyle w:val="Body"/>
        <w:rPr>
          <w:rFonts w:ascii="Arial" w:hAnsi="Arial" w:cs="Arial"/>
          <w:b/>
          <w:bCs/>
        </w:rPr>
      </w:pPr>
      <w:r w:rsidRPr="00E37BEE">
        <w:rPr>
          <w:rFonts w:ascii="Arial" w:hAnsi="Arial" w:cs="Arial"/>
          <w:b/>
          <w:bCs/>
        </w:rPr>
        <w:t>5.4. Physiological Effects</w:t>
      </w:r>
    </w:p>
    <w:p w14:paraId="13CFB762" w14:textId="317B193D" w:rsidR="00FE767C" w:rsidRDefault="00FE767C" w:rsidP="00FE767C">
      <w:pPr>
        <w:pStyle w:val="Body"/>
        <w:rPr>
          <w:rFonts w:ascii="Arial" w:hAnsi="Arial" w:cs="Arial"/>
          <w:b/>
          <w:bCs/>
        </w:rPr>
      </w:pPr>
      <w:r w:rsidRPr="00E37BEE">
        <w:rPr>
          <w:rFonts w:ascii="Arial" w:hAnsi="Arial" w:cs="Arial"/>
        </w:rPr>
        <w:t>The endocannabinoid system exerts several important physiological effects, including analgesia, mood regulation, appetite control, and neuroprotection. Analgesic effects are primarily mediated through CB1 receptors located in the spinal cord, which suppress nociceptive signaling. Mood regulation involves CB1 receptors in the hippocampus and cortical regions, where they influence emotional processing and stress responses. Activation of hypothalamic CB1 receptors contributes to appetite stimulation and energy balance. Additionally, the system provides neuroprotective effects by inhibiting excitotoxic glutamate release, thereby reducing neuronal damage and supporting synaptic integrity. CB1 receptor activation mediates analgesia via the spinal cord, regulates mood through hippocampal and cortical pathways, stimulates appetite via hypothalamic signaling, and provides neuroprotection by limiting excitotoxic glutamate release</w:t>
      </w:r>
      <w:r w:rsidR="009A2B3C">
        <w:rPr>
          <w:rFonts w:ascii="Arial" w:hAnsi="Arial" w:cs="Arial"/>
        </w:rPr>
        <w:t xml:space="preserve"> </w:t>
      </w:r>
      <w:r w:rsidR="009A2B3C" w:rsidRPr="009A2B3C">
        <w:rPr>
          <w:rFonts w:ascii="Arial" w:hAnsi="Arial" w:cs="Arial"/>
        </w:rPr>
        <w:t>(Hua et al., 2017)</w:t>
      </w:r>
      <w:r w:rsidR="009A2B3C">
        <w:rPr>
          <w:rFonts w:ascii="Arial" w:hAnsi="Arial" w:cs="Arial"/>
        </w:rPr>
        <w:t>.</w:t>
      </w:r>
    </w:p>
    <w:p w14:paraId="77F19F66" w14:textId="6F6B092D" w:rsidR="00FE767C" w:rsidRPr="00E37BEE" w:rsidRDefault="00F343A8" w:rsidP="00FE767C">
      <w:pPr>
        <w:pStyle w:val="Body"/>
        <w:rPr>
          <w:rFonts w:ascii="Arial" w:hAnsi="Arial" w:cs="Arial"/>
          <w:b/>
          <w:bCs/>
        </w:rPr>
      </w:pPr>
      <w:r w:rsidRPr="00E37BEE">
        <w:rPr>
          <w:rFonts w:ascii="Arial" w:hAnsi="Arial" w:cs="Arial"/>
          <w:b/>
          <w:bCs/>
        </w:rPr>
        <w:t xml:space="preserve">6. CB2- CANNABINOID RECEPTOR </w:t>
      </w:r>
    </w:p>
    <w:p w14:paraId="0B7CF6AE" w14:textId="77777777" w:rsidR="00FE767C" w:rsidRPr="00E37BEE" w:rsidRDefault="00FE767C" w:rsidP="00FE767C">
      <w:pPr>
        <w:pStyle w:val="Body"/>
        <w:rPr>
          <w:rFonts w:ascii="Arial" w:hAnsi="Arial" w:cs="Arial"/>
          <w:b/>
          <w:bCs/>
        </w:rPr>
      </w:pPr>
      <w:r w:rsidRPr="00E37BEE">
        <w:rPr>
          <w:rFonts w:ascii="Arial" w:hAnsi="Arial" w:cs="Arial"/>
          <w:b/>
          <w:bCs/>
        </w:rPr>
        <w:t>6.1. Type 2 Molecular Structure</w:t>
      </w:r>
    </w:p>
    <w:p w14:paraId="541036F8" w14:textId="74AA9647" w:rsidR="00FE767C" w:rsidRPr="00E37BEE" w:rsidRDefault="00FE767C" w:rsidP="00FE767C">
      <w:pPr>
        <w:pStyle w:val="Body"/>
        <w:rPr>
          <w:rFonts w:ascii="Arial" w:hAnsi="Arial" w:cs="Arial"/>
        </w:rPr>
      </w:pPr>
      <w:r w:rsidRPr="00E37BEE">
        <w:rPr>
          <w:rFonts w:ascii="Arial" w:hAnsi="Arial" w:cs="Arial"/>
        </w:rPr>
        <w:t>CB2 is also a G-protein-coupled receptor, Class A family. Composed of 360 amino acids.</w:t>
      </w:r>
      <w:r>
        <w:rPr>
          <w:rFonts w:ascii="Arial" w:hAnsi="Arial" w:cs="Arial"/>
        </w:rPr>
        <w:t xml:space="preserve"> </w:t>
      </w:r>
      <w:r w:rsidRPr="00E37BEE">
        <w:rPr>
          <w:rFonts w:ascii="Arial" w:hAnsi="Arial" w:cs="Arial"/>
        </w:rPr>
        <w:t>Shares 44% sequence similarity with CB1.</w:t>
      </w:r>
      <w:r>
        <w:rPr>
          <w:rFonts w:ascii="Arial" w:hAnsi="Arial" w:cs="Arial"/>
        </w:rPr>
        <w:t xml:space="preserve"> </w:t>
      </w:r>
      <w:r w:rsidRPr="00E37BEE">
        <w:rPr>
          <w:rFonts w:ascii="Arial" w:hAnsi="Arial" w:cs="Arial"/>
        </w:rPr>
        <w:t>Expression sites: High in immune cells: B lymphocytes, macrophages, microglia. Found in spleen, tonsils, bone marrow, and PNS -peripheral nervous system</w:t>
      </w:r>
      <w:r w:rsidR="009A2B3C">
        <w:rPr>
          <w:rFonts w:ascii="Arial" w:hAnsi="Arial" w:cs="Arial"/>
        </w:rPr>
        <w:t xml:space="preserve"> </w:t>
      </w:r>
      <w:r w:rsidR="009A2B3C" w:rsidRPr="009A2B3C">
        <w:rPr>
          <w:rFonts w:ascii="Arial" w:hAnsi="Arial" w:cs="Arial"/>
        </w:rPr>
        <w:t>(Mackie, 2008)</w:t>
      </w:r>
      <w:r w:rsidR="009A2B3C">
        <w:rPr>
          <w:rFonts w:ascii="Arial" w:hAnsi="Arial" w:cs="Arial"/>
        </w:rPr>
        <w:t>.</w:t>
      </w:r>
    </w:p>
    <w:p w14:paraId="0D19A60F" w14:textId="77777777" w:rsidR="00FE767C" w:rsidRPr="00E37BEE" w:rsidRDefault="00FE767C" w:rsidP="00FE767C">
      <w:pPr>
        <w:pStyle w:val="Body"/>
        <w:rPr>
          <w:rFonts w:ascii="Arial" w:hAnsi="Arial" w:cs="Arial"/>
          <w:b/>
          <w:bCs/>
        </w:rPr>
      </w:pPr>
      <w:r w:rsidRPr="00E37BEE">
        <w:rPr>
          <w:rFonts w:ascii="Arial" w:hAnsi="Arial" w:cs="Arial"/>
          <w:b/>
          <w:bCs/>
        </w:rPr>
        <w:t>6.2. Signaling Pathway</w:t>
      </w:r>
    </w:p>
    <w:p w14:paraId="2C043862" w14:textId="77777777" w:rsidR="00FE767C" w:rsidRPr="00E37BEE" w:rsidRDefault="00FE767C" w:rsidP="00FE767C">
      <w:pPr>
        <w:pStyle w:val="Body"/>
        <w:rPr>
          <w:rFonts w:ascii="Arial" w:hAnsi="Arial" w:cs="Arial"/>
        </w:rPr>
      </w:pPr>
      <w:r w:rsidRPr="00E37BEE">
        <w:rPr>
          <w:rFonts w:ascii="Arial" w:hAnsi="Arial" w:cs="Arial"/>
        </w:rPr>
        <w:t xml:space="preserve">Ligand binding to the receptor occurs through endogenous cannabinoids such as anandamide and 2-arachidonoylglycerol, as well as </w:t>
      </w:r>
      <w:proofErr w:type="spellStart"/>
      <w:r w:rsidRPr="00E37BEE">
        <w:rPr>
          <w:rFonts w:ascii="Arial" w:hAnsi="Arial" w:cs="Arial"/>
        </w:rPr>
        <w:t>phytocannabinoids</w:t>
      </w:r>
      <w:proofErr w:type="spellEnd"/>
      <w:r w:rsidRPr="00E37BEE">
        <w:rPr>
          <w:rFonts w:ascii="Arial" w:hAnsi="Arial" w:cs="Arial"/>
        </w:rPr>
        <w:t xml:space="preserve"> like β-caryophyllene, which initiate downstream signaling cascades (</w:t>
      </w:r>
      <w:proofErr w:type="spellStart"/>
      <w:r w:rsidRPr="00E37BEE">
        <w:rPr>
          <w:rFonts w:ascii="Arial" w:hAnsi="Arial" w:cs="Arial"/>
        </w:rPr>
        <w:t>Gertsch</w:t>
      </w:r>
      <w:proofErr w:type="spellEnd"/>
      <w:r w:rsidRPr="00E37BEE">
        <w:rPr>
          <w:rFonts w:ascii="Arial" w:hAnsi="Arial" w:cs="Arial"/>
        </w:rPr>
        <w:t xml:space="preserve"> et al., 2008; Pertwee, 2006). Upon activation, the receptor primarily couples to Gi/o proteins, leading to inhibition of adenylyl cyclase, a subsequent reduction in cyclic AMP (cAMP) levels, and decreased protein kinase A (PKA) activity (Atwood &amp; Mackie, 2010; Howlett et al., 2002). In addition, receptor stimulation activates multiple mitogen-activated protein kinase (MAPK) pathways, including p38 MAPK, extracellular signal-regulated kinase (ERK), and c-Jun N-terminal kinase (JNK), which contribute to cellular regulatory responses (Turcotte et al., 2016; Howlett et al., 2002). These signaling events collectively result in significant immune modulation, characterized by suppression of pro-inflammatory cytokine release such as interleukin-1 beta (IL-1β) and tumor necrosis factor-alpha (TNF-α), along with reduced immune cell migration and activation (Turcotte et al., 2016; Pertwee, 2006; Atwood &amp; Mackie, 2010).</w:t>
      </w:r>
    </w:p>
    <w:p w14:paraId="4D8C10D2" w14:textId="77777777" w:rsidR="00FE767C" w:rsidRPr="00E37BEE" w:rsidRDefault="00FE767C" w:rsidP="00FE767C">
      <w:pPr>
        <w:pStyle w:val="Body"/>
        <w:rPr>
          <w:rFonts w:ascii="Arial" w:hAnsi="Arial" w:cs="Arial"/>
          <w:b/>
          <w:bCs/>
        </w:rPr>
      </w:pPr>
      <w:r w:rsidRPr="00E37BEE">
        <w:rPr>
          <w:rFonts w:ascii="Arial" w:hAnsi="Arial" w:cs="Arial"/>
          <w:b/>
          <w:bCs/>
        </w:rPr>
        <w:t>6.3. Physiological Effects</w:t>
      </w:r>
    </w:p>
    <w:p w14:paraId="116E3191" w14:textId="7AC72A75" w:rsidR="00FE767C" w:rsidRPr="00E37BEE" w:rsidRDefault="00FE767C" w:rsidP="00FE767C">
      <w:pPr>
        <w:pStyle w:val="Body"/>
        <w:rPr>
          <w:rFonts w:ascii="Arial" w:hAnsi="Arial" w:cs="Arial"/>
        </w:rPr>
      </w:pPr>
      <w:r w:rsidRPr="00E37BEE">
        <w:rPr>
          <w:rFonts w:ascii="Arial" w:hAnsi="Arial" w:cs="Arial"/>
        </w:rPr>
        <w:t>CB2 receptor activation plays a</w:t>
      </w:r>
      <w:r w:rsidR="00E64556">
        <w:rPr>
          <w:rFonts w:ascii="Arial" w:hAnsi="Arial" w:cs="Arial"/>
        </w:rPr>
        <w:t xml:space="preserve">n important </w:t>
      </w:r>
      <w:r w:rsidRPr="00E37BEE">
        <w:rPr>
          <w:rFonts w:ascii="Arial" w:hAnsi="Arial" w:cs="Arial"/>
        </w:rPr>
        <w:t>role in modulating immune responses within the central nervous system. It contributes to anti-inflammatory effects by downregulating the production of pro-inflammatory cytokines, thereby attenuating neuroinflammatory processes</w:t>
      </w:r>
      <w:r w:rsidR="001A56EA">
        <w:rPr>
          <w:rFonts w:ascii="Arial" w:hAnsi="Arial" w:cs="Arial"/>
        </w:rPr>
        <w:t xml:space="preserve"> (</w:t>
      </w:r>
      <w:r w:rsidR="001A56EA" w:rsidRPr="00E37BEE">
        <w:rPr>
          <w:rFonts w:ascii="Arial" w:hAnsi="Arial" w:cs="Arial"/>
        </w:rPr>
        <w:t>Pertwee, 2006</w:t>
      </w:r>
      <w:r w:rsidR="001A56EA">
        <w:rPr>
          <w:rFonts w:ascii="Arial" w:hAnsi="Arial" w:cs="Arial"/>
        </w:rPr>
        <w:t>)</w:t>
      </w:r>
      <w:r w:rsidRPr="00E37BEE">
        <w:rPr>
          <w:rFonts w:ascii="Arial" w:hAnsi="Arial" w:cs="Arial"/>
        </w:rPr>
        <w:t>. In microglial cells, CB2 engagement enhances neuroprotection by limiting immune-mediated neuronal damage. Additionally, CB2 signaling is implicated in the modulation of neuropathic pain, acting through immune pathways to reduce nociceptive transmission and promote analgesia</w:t>
      </w:r>
      <w:r w:rsidR="001A56EA">
        <w:rPr>
          <w:rFonts w:ascii="Arial" w:hAnsi="Arial" w:cs="Arial"/>
        </w:rPr>
        <w:t xml:space="preserve"> </w:t>
      </w:r>
      <w:r w:rsidR="001A56EA" w:rsidRPr="00E37BEE">
        <w:rPr>
          <w:rFonts w:ascii="Arial" w:hAnsi="Arial" w:cs="Arial"/>
        </w:rPr>
        <w:t>(Turcotte et al., 2016</w:t>
      </w:r>
      <w:r w:rsidRPr="00E37BEE">
        <w:rPr>
          <w:rFonts w:ascii="Arial" w:hAnsi="Arial" w:cs="Arial"/>
        </w:rPr>
        <w:t>.</w:t>
      </w:r>
    </w:p>
    <w:p w14:paraId="5DFF67F1" w14:textId="77777777" w:rsidR="005646ED" w:rsidRDefault="005646ED" w:rsidP="00FE767C">
      <w:pPr>
        <w:pStyle w:val="Body"/>
        <w:rPr>
          <w:rFonts w:ascii="Arial" w:hAnsi="Arial" w:cs="Arial"/>
          <w:b/>
          <w:bCs/>
        </w:rPr>
      </w:pPr>
    </w:p>
    <w:p w14:paraId="09795F71" w14:textId="24975E0A" w:rsidR="00FE767C" w:rsidRPr="00E37BEE" w:rsidRDefault="00F343A8" w:rsidP="00FE767C">
      <w:pPr>
        <w:pStyle w:val="Body"/>
        <w:rPr>
          <w:rFonts w:ascii="Arial" w:hAnsi="Arial" w:cs="Arial"/>
          <w:b/>
          <w:bCs/>
        </w:rPr>
      </w:pPr>
      <w:r>
        <w:rPr>
          <w:rFonts w:ascii="Arial" w:hAnsi="Arial" w:cs="Arial"/>
          <w:b/>
          <w:bCs/>
        </w:rPr>
        <w:t xml:space="preserve">7. </w:t>
      </w:r>
      <w:r w:rsidRPr="00E37BEE">
        <w:rPr>
          <w:rFonts w:ascii="Arial" w:hAnsi="Arial" w:cs="Arial"/>
          <w:b/>
          <w:bCs/>
        </w:rPr>
        <w:t>HIGHEST AFFINITY CANNABINOIDS AND THEIR MECHANISMS</w:t>
      </w:r>
    </w:p>
    <w:p w14:paraId="3AE8592F" w14:textId="2D5472B5" w:rsidR="00FE767C" w:rsidRPr="00E37BEE" w:rsidRDefault="00FE767C" w:rsidP="00FE767C">
      <w:pPr>
        <w:pStyle w:val="Body"/>
        <w:rPr>
          <w:rFonts w:ascii="Arial" w:hAnsi="Arial" w:cs="Arial"/>
        </w:rPr>
      </w:pPr>
      <w:r w:rsidRPr="00E37BEE">
        <w:rPr>
          <w:rFonts w:ascii="Arial" w:hAnsi="Arial" w:cs="Arial"/>
        </w:rPr>
        <w:t xml:space="preserve">Table 1. Cannabinoid receptors (CB1 and CB2) primarily bind Δ9-tetrahydrocannabinol (Δ9-THC) from </w:t>
      </w:r>
      <w:r w:rsidRPr="00E37BEE">
        <w:rPr>
          <w:rFonts w:ascii="Arial" w:hAnsi="Arial" w:cs="Arial"/>
          <w:i/>
        </w:rPr>
        <w:t>Cannabis sativa</w:t>
      </w:r>
      <w:r w:rsidRPr="00E37BEE">
        <w:rPr>
          <w:rFonts w:ascii="Arial" w:hAnsi="Arial" w:cs="Arial"/>
        </w:rPr>
        <w:t>, but other cannabinoids also show high affinity.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1673"/>
        <w:gridCol w:w="1017"/>
        <w:gridCol w:w="3708"/>
      </w:tblGrid>
      <w:tr w:rsidR="00FE767C" w:rsidRPr="00E37BEE" w14:paraId="5E36F466" w14:textId="77777777" w:rsidTr="005646ED">
        <w:trPr>
          <w:trHeight w:val="414"/>
        </w:trPr>
        <w:tc>
          <w:tcPr>
            <w:tcW w:w="2619" w:type="dxa"/>
          </w:tcPr>
          <w:p w14:paraId="4600CD7E" w14:textId="77777777" w:rsidR="00FE767C" w:rsidRPr="00E37BEE" w:rsidRDefault="00FE767C" w:rsidP="007E0AD8">
            <w:pPr>
              <w:pStyle w:val="Body"/>
              <w:rPr>
                <w:rFonts w:ascii="Arial" w:hAnsi="Arial" w:cs="Arial"/>
                <w:b/>
              </w:rPr>
            </w:pPr>
            <w:r w:rsidRPr="00E37BEE">
              <w:rPr>
                <w:rFonts w:ascii="Arial" w:hAnsi="Arial" w:cs="Arial"/>
                <w:b/>
              </w:rPr>
              <w:t>Ligand</w:t>
            </w:r>
          </w:p>
        </w:tc>
        <w:tc>
          <w:tcPr>
            <w:tcW w:w="1673" w:type="dxa"/>
          </w:tcPr>
          <w:p w14:paraId="27D83836" w14:textId="77777777" w:rsidR="00FE767C" w:rsidRPr="00E37BEE" w:rsidRDefault="00FE767C" w:rsidP="007E0AD8">
            <w:pPr>
              <w:pStyle w:val="Body"/>
              <w:rPr>
                <w:rFonts w:ascii="Arial" w:hAnsi="Arial" w:cs="Arial"/>
                <w:b/>
              </w:rPr>
            </w:pPr>
            <w:r w:rsidRPr="00E37BEE">
              <w:rPr>
                <w:rFonts w:ascii="Arial" w:hAnsi="Arial" w:cs="Arial"/>
                <w:b/>
              </w:rPr>
              <w:t>Affinity (Ki)</w:t>
            </w:r>
          </w:p>
        </w:tc>
        <w:tc>
          <w:tcPr>
            <w:tcW w:w="1017" w:type="dxa"/>
          </w:tcPr>
          <w:p w14:paraId="2CF13680" w14:textId="77777777" w:rsidR="00FE767C" w:rsidRPr="00E37BEE" w:rsidRDefault="00FE767C" w:rsidP="007E0AD8">
            <w:pPr>
              <w:pStyle w:val="Body"/>
              <w:rPr>
                <w:rFonts w:ascii="Arial" w:hAnsi="Arial" w:cs="Arial"/>
                <w:b/>
              </w:rPr>
            </w:pPr>
            <w:r w:rsidRPr="00E37BEE">
              <w:rPr>
                <w:rFonts w:ascii="Arial" w:hAnsi="Arial" w:cs="Arial"/>
                <w:b/>
              </w:rPr>
              <w:t>Target</w:t>
            </w:r>
          </w:p>
        </w:tc>
        <w:tc>
          <w:tcPr>
            <w:tcW w:w="3708" w:type="dxa"/>
          </w:tcPr>
          <w:p w14:paraId="3CC49FE5" w14:textId="77777777" w:rsidR="00FE767C" w:rsidRPr="00E37BEE" w:rsidRDefault="00FE767C" w:rsidP="007E0AD8">
            <w:pPr>
              <w:pStyle w:val="Body"/>
              <w:rPr>
                <w:rFonts w:ascii="Arial" w:hAnsi="Arial" w:cs="Arial"/>
                <w:b/>
              </w:rPr>
            </w:pPr>
            <w:r w:rsidRPr="00E37BEE">
              <w:rPr>
                <w:rFonts w:ascii="Arial" w:hAnsi="Arial" w:cs="Arial"/>
                <w:b/>
              </w:rPr>
              <w:t>Mechanism of Action</w:t>
            </w:r>
          </w:p>
        </w:tc>
      </w:tr>
      <w:tr w:rsidR="00FE767C" w:rsidRPr="00E37BEE" w14:paraId="3A4ED561" w14:textId="77777777" w:rsidTr="005646ED">
        <w:trPr>
          <w:trHeight w:val="2896"/>
        </w:trPr>
        <w:tc>
          <w:tcPr>
            <w:tcW w:w="2619" w:type="dxa"/>
          </w:tcPr>
          <w:p w14:paraId="7D4ACF95" w14:textId="77777777" w:rsidR="00FE767C" w:rsidRPr="00E37BEE" w:rsidRDefault="00FE767C" w:rsidP="007E0AD8">
            <w:pPr>
              <w:pStyle w:val="Body"/>
              <w:rPr>
                <w:rFonts w:ascii="Arial" w:hAnsi="Arial" w:cs="Arial"/>
              </w:rPr>
            </w:pPr>
            <w:r w:rsidRPr="00E37BEE">
              <w:rPr>
                <w:rFonts w:ascii="Arial" w:hAnsi="Arial" w:cs="Arial"/>
              </w:rPr>
              <w:lastRenderedPageBreak/>
              <w:t>Δ9-</w:t>
            </w:r>
          </w:p>
          <w:p w14:paraId="3A0A81DD" w14:textId="77777777" w:rsidR="00FE767C" w:rsidRPr="00E37BEE" w:rsidRDefault="00FE767C" w:rsidP="007E0AD8">
            <w:pPr>
              <w:pStyle w:val="Body"/>
              <w:rPr>
                <w:rFonts w:ascii="Arial" w:hAnsi="Arial" w:cs="Arial"/>
              </w:rPr>
            </w:pPr>
            <w:r w:rsidRPr="00E37BEE">
              <w:rPr>
                <w:rFonts w:ascii="Arial" w:hAnsi="Arial" w:cs="Arial"/>
              </w:rPr>
              <w:t>Tetrahydrocannabinol (THC)</w:t>
            </w:r>
          </w:p>
        </w:tc>
        <w:tc>
          <w:tcPr>
            <w:tcW w:w="1673" w:type="dxa"/>
          </w:tcPr>
          <w:p w14:paraId="24F53D3E" w14:textId="1F89F835" w:rsidR="00FE767C" w:rsidRPr="00E37BEE" w:rsidRDefault="00FE767C" w:rsidP="005646ED">
            <w:pPr>
              <w:pStyle w:val="Body"/>
              <w:jc w:val="left"/>
              <w:rPr>
                <w:rFonts w:ascii="Arial" w:hAnsi="Arial" w:cs="Arial"/>
              </w:rPr>
            </w:pPr>
            <w:r w:rsidRPr="00E37BEE">
              <w:rPr>
                <w:rFonts w:ascii="Arial" w:hAnsi="Arial" w:cs="Arial"/>
              </w:rPr>
              <w:t>CB1:</w:t>
            </w:r>
            <w:r w:rsidR="005646ED">
              <w:rPr>
                <w:rFonts w:ascii="Arial" w:hAnsi="Arial" w:cs="Arial"/>
              </w:rPr>
              <w:t xml:space="preserve"> </w:t>
            </w:r>
            <w:r w:rsidRPr="00E37BEE">
              <w:rPr>
                <w:rFonts w:ascii="Arial" w:hAnsi="Arial" w:cs="Arial"/>
              </w:rPr>
              <w:t>5–80</w:t>
            </w:r>
            <w:r w:rsidR="005646ED">
              <w:rPr>
                <w:rFonts w:ascii="Arial" w:hAnsi="Arial" w:cs="Arial"/>
              </w:rPr>
              <w:t xml:space="preserve"> </w:t>
            </w:r>
            <w:proofErr w:type="spellStart"/>
            <w:r w:rsidRPr="00E37BEE">
              <w:rPr>
                <w:rFonts w:ascii="Arial" w:hAnsi="Arial" w:cs="Arial"/>
              </w:rPr>
              <w:t>nM</w:t>
            </w:r>
            <w:proofErr w:type="spellEnd"/>
            <w:r w:rsidRPr="00E37BEE">
              <w:rPr>
                <w:rFonts w:ascii="Arial" w:hAnsi="Arial" w:cs="Arial"/>
              </w:rPr>
              <w:t xml:space="preserve">, CB2: 3–75 </w:t>
            </w:r>
            <w:proofErr w:type="spellStart"/>
            <w:r w:rsidRPr="00E37BEE">
              <w:rPr>
                <w:rFonts w:ascii="Arial" w:hAnsi="Arial" w:cs="Arial"/>
              </w:rPr>
              <w:t>nM</w:t>
            </w:r>
            <w:proofErr w:type="spellEnd"/>
          </w:p>
        </w:tc>
        <w:tc>
          <w:tcPr>
            <w:tcW w:w="1017" w:type="dxa"/>
          </w:tcPr>
          <w:p w14:paraId="6F3B348F"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4D5C4543" w14:textId="77777777" w:rsidR="00FE767C" w:rsidRPr="00E37BEE" w:rsidRDefault="00FE767C" w:rsidP="007E0AD8">
            <w:pPr>
              <w:pStyle w:val="Body"/>
              <w:rPr>
                <w:rFonts w:ascii="Arial" w:hAnsi="Arial" w:cs="Arial"/>
              </w:rPr>
            </w:pPr>
            <w:r w:rsidRPr="00E37BEE">
              <w:rPr>
                <w:rFonts w:ascii="Arial" w:hAnsi="Arial" w:cs="Arial"/>
              </w:rPr>
              <w:t>Activates Gi/o-protein coupled receptor (GPCR) → inhibits adenylyl cyclase → decreases cyclic adenosine monophosphate (cAMP)</w:t>
            </w:r>
          </w:p>
          <w:p w14:paraId="67DA0A28" w14:textId="77777777" w:rsidR="00FE767C" w:rsidRPr="00E37BEE" w:rsidRDefault="00FE767C" w:rsidP="007E0AD8">
            <w:pPr>
              <w:pStyle w:val="Body"/>
              <w:rPr>
                <w:rFonts w:ascii="Arial" w:hAnsi="Arial" w:cs="Arial"/>
              </w:rPr>
            </w:pPr>
            <w:r w:rsidRPr="00E37BEE">
              <w:rPr>
                <w:rFonts w:ascii="Arial" w:hAnsi="Arial" w:cs="Arial"/>
              </w:rPr>
              <w:t>→ opens potassium channels → closes calcium channels → reduces</w:t>
            </w:r>
          </w:p>
          <w:p w14:paraId="32C4932C" w14:textId="726344F2" w:rsidR="00FE767C" w:rsidRPr="00E37BEE" w:rsidRDefault="00FE767C" w:rsidP="007E0AD8">
            <w:pPr>
              <w:pStyle w:val="Body"/>
              <w:rPr>
                <w:rFonts w:ascii="Arial" w:hAnsi="Arial" w:cs="Arial"/>
              </w:rPr>
            </w:pPr>
            <w:r w:rsidRPr="00E37BEE">
              <w:rPr>
                <w:rFonts w:ascii="Arial" w:hAnsi="Arial" w:cs="Arial"/>
              </w:rPr>
              <w:t>neurotransmitter release</w:t>
            </w:r>
            <w:r w:rsidR="005B133E">
              <w:rPr>
                <w:rFonts w:ascii="Arial" w:hAnsi="Arial" w:cs="Arial"/>
              </w:rPr>
              <w:t xml:space="preserve"> </w:t>
            </w:r>
            <w:r w:rsidR="005B133E" w:rsidRPr="005B133E">
              <w:rPr>
                <w:rFonts w:ascii="Arial" w:hAnsi="Arial" w:cs="Arial"/>
              </w:rPr>
              <w:t xml:space="preserve">(Chapman et al., 1995) (Felder et al., 1995) </w:t>
            </w:r>
          </w:p>
        </w:tc>
      </w:tr>
      <w:tr w:rsidR="00FE767C" w:rsidRPr="00E37BEE" w14:paraId="1CE26DF4" w14:textId="77777777" w:rsidTr="005646ED">
        <w:trPr>
          <w:trHeight w:val="1242"/>
        </w:trPr>
        <w:tc>
          <w:tcPr>
            <w:tcW w:w="2619" w:type="dxa"/>
          </w:tcPr>
          <w:p w14:paraId="7D5CAE45" w14:textId="77777777" w:rsidR="00FE767C" w:rsidRPr="00E37BEE" w:rsidRDefault="00FE767C" w:rsidP="007E0AD8">
            <w:pPr>
              <w:pStyle w:val="Body"/>
              <w:rPr>
                <w:rFonts w:ascii="Arial" w:hAnsi="Arial" w:cs="Arial"/>
              </w:rPr>
            </w:pPr>
            <w:r w:rsidRPr="00E37BEE">
              <w:rPr>
                <w:rFonts w:ascii="Arial" w:hAnsi="Arial" w:cs="Arial"/>
              </w:rPr>
              <w:t>Δ8-</w:t>
            </w:r>
          </w:p>
          <w:p w14:paraId="67968A92" w14:textId="77777777" w:rsidR="00FE767C" w:rsidRPr="00E37BEE" w:rsidRDefault="00FE767C" w:rsidP="007E0AD8">
            <w:pPr>
              <w:pStyle w:val="Body"/>
              <w:rPr>
                <w:rFonts w:ascii="Arial" w:hAnsi="Arial" w:cs="Arial"/>
              </w:rPr>
            </w:pPr>
            <w:r w:rsidRPr="00E37BEE">
              <w:rPr>
                <w:rFonts w:ascii="Arial" w:hAnsi="Arial" w:cs="Arial"/>
              </w:rPr>
              <w:t>Tetrahydrocannabinol (Δ8-THC)</w:t>
            </w:r>
          </w:p>
        </w:tc>
        <w:tc>
          <w:tcPr>
            <w:tcW w:w="1673" w:type="dxa"/>
          </w:tcPr>
          <w:p w14:paraId="154EE679" w14:textId="77777777" w:rsidR="00FE767C" w:rsidRPr="00E37BEE" w:rsidRDefault="00FE767C" w:rsidP="007E0AD8">
            <w:pPr>
              <w:pStyle w:val="Body"/>
              <w:rPr>
                <w:rFonts w:ascii="Arial" w:hAnsi="Arial" w:cs="Arial"/>
              </w:rPr>
            </w:pPr>
            <w:r w:rsidRPr="00E37BEE">
              <w:rPr>
                <w:rFonts w:ascii="Arial" w:hAnsi="Arial" w:cs="Arial"/>
              </w:rPr>
              <w:t xml:space="preserve">CB1: ~40 </w:t>
            </w:r>
            <w:proofErr w:type="spellStart"/>
            <w:r w:rsidRPr="00E37BEE">
              <w:rPr>
                <w:rFonts w:ascii="Arial" w:hAnsi="Arial" w:cs="Arial"/>
              </w:rPr>
              <w:t>nM</w:t>
            </w:r>
            <w:proofErr w:type="spellEnd"/>
          </w:p>
        </w:tc>
        <w:tc>
          <w:tcPr>
            <w:tcW w:w="1017" w:type="dxa"/>
          </w:tcPr>
          <w:p w14:paraId="0EEC64DC"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1DE6088B" w14:textId="01433087" w:rsidR="00FE767C" w:rsidRPr="00E37BEE" w:rsidRDefault="00FE767C" w:rsidP="007E0AD8">
            <w:pPr>
              <w:pStyle w:val="Body"/>
              <w:rPr>
                <w:rFonts w:ascii="Arial" w:hAnsi="Arial" w:cs="Arial"/>
              </w:rPr>
            </w:pPr>
            <w:r w:rsidRPr="00E37BEE">
              <w:rPr>
                <w:rFonts w:ascii="Arial" w:hAnsi="Arial" w:cs="Arial"/>
              </w:rPr>
              <w:t>Similar to Δ9-THC but less potent</w:t>
            </w:r>
            <w:r w:rsidR="005B133E">
              <w:rPr>
                <w:rFonts w:ascii="Arial" w:hAnsi="Arial" w:cs="Arial"/>
              </w:rPr>
              <w:t xml:space="preserve"> </w:t>
            </w:r>
            <w:r w:rsidR="005B133E" w:rsidRPr="005B133E">
              <w:rPr>
                <w:rFonts w:ascii="Arial" w:hAnsi="Arial" w:cs="Arial"/>
              </w:rPr>
              <w:t xml:space="preserve">(Huffman et al., 1999) </w:t>
            </w:r>
          </w:p>
        </w:tc>
      </w:tr>
      <w:tr w:rsidR="00FE767C" w:rsidRPr="00E37BEE" w14:paraId="7D7F90DE" w14:textId="77777777" w:rsidTr="005646ED">
        <w:trPr>
          <w:trHeight w:val="1243"/>
        </w:trPr>
        <w:tc>
          <w:tcPr>
            <w:tcW w:w="2619" w:type="dxa"/>
          </w:tcPr>
          <w:p w14:paraId="35A0D89F" w14:textId="77777777" w:rsidR="00FE767C" w:rsidRPr="00E37BEE" w:rsidRDefault="00FE767C" w:rsidP="007E0AD8">
            <w:pPr>
              <w:pStyle w:val="Body"/>
              <w:rPr>
                <w:rFonts w:ascii="Arial" w:hAnsi="Arial" w:cs="Arial"/>
              </w:rPr>
            </w:pPr>
            <w:r w:rsidRPr="00E37BEE">
              <w:rPr>
                <w:rFonts w:ascii="Arial" w:hAnsi="Arial" w:cs="Arial"/>
              </w:rPr>
              <w:t>Cannabinol (CBN)</w:t>
            </w:r>
          </w:p>
        </w:tc>
        <w:tc>
          <w:tcPr>
            <w:tcW w:w="1673" w:type="dxa"/>
          </w:tcPr>
          <w:p w14:paraId="76A32154" w14:textId="77777777" w:rsidR="00FE767C" w:rsidRPr="00E37BEE" w:rsidRDefault="00FE767C" w:rsidP="007E0AD8">
            <w:pPr>
              <w:pStyle w:val="Body"/>
              <w:rPr>
                <w:rFonts w:ascii="Arial" w:hAnsi="Arial" w:cs="Arial"/>
              </w:rPr>
            </w:pPr>
            <w:r w:rsidRPr="00E37BEE">
              <w:rPr>
                <w:rFonts w:ascii="Arial" w:hAnsi="Arial" w:cs="Arial"/>
              </w:rPr>
              <w:t xml:space="preserve">CB1: 311 </w:t>
            </w:r>
            <w:proofErr w:type="spellStart"/>
            <w:r w:rsidRPr="00E37BEE">
              <w:rPr>
                <w:rFonts w:ascii="Arial" w:hAnsi="Arial" w:cs="Arial"/>
              </w:rPr>
              <w:t>nM</w:t>
            </w:r>
            <w:proofErr w:type="spellEnd"/>
            <w:r w:rsidRPr="00E37BEE">
              <w:rPr>
                <w:rFonts w:ascii="Arial" w:hAnsi="Arial" w:cs="Arial"/>
              </w:rPr>
              <w:t>,</w:t>
            </w:r>
          </w:p>
          <w:p w14:paraId="6B427DFD" w14:textId="77777777" w:rsidR="00FE767C" w:rsidRPr="00E37BEE" w:rsidRDefault="00FE767C" w:rsidP="007E0AD8">
            <w:pPr>
              <w:pStyle w:val="Body"/>
              <w:rPr>
                <w:rFonts w:ascii="Arial" w:hAnsi="Arial" w:cs="Arial"/>
              </w:rPr>
            </w:pPr>
            <w:r w:rsidRPr="00E37BEE">
              <w:rPr>
                <w:rFonts w:ascii="Arial" w:hAnsi="Arial" w:cs="Arial"/>
              </w:rPr>
              <w:t xml:space="preserve">CB2: 126 </w:t>
            </w:r>
            <w:proofErr w:type="spellStart"/>
            <w:r w:rsidRPr="00E37BEE">
              <w:rPr>
                <w:rFonts w:ascii="Arial" w:hAnsi="Arial" w:cs="Arial"/>
              </w:rPr>
              <w:t>nM</w:t>
            </w:r>
            <w:proofErr w:type="spellEnd"/>
          </w:p>
        </w:tc>
        <w:tc>
          <w:tcPr>
            <w:tcW w:w="1017" w:type="dxa"/>
          </w:tcPr>
          <w:p w14:paraId="70E83118" w14:textId="77777777" w:rsidR="00FE767C" w:rsidRPr="00E37BEE" w:rsidRDefault="00FE767C" w:rsidP="007E0AD8">
            <w:pPr>
              <w:pStyle w:val="Body"/>
              <w:rPr>
                <w:rFonts w:ascii="Arial" w:hAnsi="Arial" w:cs="Arial"/>
              </w:rPr>
            </w:pPr>
            <w:r w:rsidRPr="00E37BEE">
              <w:rPr>
                <w:rFonts w:ascii="Arial" w:hAnsi="Arial" w:cs="Arial"/>
              </w:rPr>
              <w:t>Weak</w:t>
            </w:r>
          </w:p>
          <w:p w14:paraId="16B04C00" w14:textId="77777777" w:rsidR="00FE767C" w:rsidRPr="00E37BEE" w:rsidRDefault="00FE767C" w:rsidP="007E0AD8">
            <w:pPr>
              <w:pStyle w:val="Body"/>
              <w:rPr>
                <w:rFonts w:ascii="Arial" w:hAnsi="Arial" w:cs="Arial"/>
              </w:rPr>
            </w:pPr>
            <w:r w:rsidRPr="00E37BEE">
              <w:rPr>
                <w:rFonts w:ascii="Arial" w:hAnsi="Arial" w:cs="Arial"/>
              </w:rPr>
              <w:t>partial agonist</w:t>
            </w:r>
          </w:p>
        </w:tc>
        <w:tc>
          <w:tcPr>
            <w:tcW w:w="3708" w:type="dxa"/>
          </w:tcPr>
          <w:p w14:paraId="04604D3B" w14:textId="431A34CA" w:rsidR="00FE767C" w:rsidRPr="00E37BEE" w:rsidRDefault="00FE767C" w:rsidP="007E0AD8">
            <w:pPr>
              <w:pStyle w:val="Body"/>
              <w:rPr>
                <w:rFonts w:ascii="Arial" w:hAnsi="Arial" w:cs="Arial"/>
              </w:rPr>
            </w:pPr>
            <w:r w:rsidRPr="00E37BEE">
              <w:rPr>
                <w:rFonts w:ascii="Arial" w:hAnsi="Arial" w:cs="Arial"/>
              </w:rPr>
              <w:t>Mild Gi/o signaling</w:t>
            </w:r>
            <w:r w:rsidR="005B133E">
              <w:rPr>
                <w:rFonts w:ascii="Arial" w:hAnsi="Arial" w:cs="Arial"/>
              </w:rPr>
              <w:t xml:space="preserve"> </w:t>
            </w:r>
            <w:r w:rsidR="005B133E" w:rsidRPr="005B133E">
              <w:rPr>
                <w:rFonts w:ascii="Arial" w:hAnsi="Arial" w:cs="Arial"/>
              </w:rPr>
              <w:t>(Rhee et al., 2000)</w:t>
            </w:r>
          </w:p>
        </w:tc>
      </w:tr>
      <w:tr w:rsidR="00FE767C" w:rsidRPr="00E37BEE" w14:paraId="2EAE4E65" w14:textId="77777777" w:rsidTr="005646ED">
        <w:trPr>
          <w:trHeight w:val="827"/>
        </w:trPr>
        <w:tc>
          <w:tcPr>
            <w:tcW w:w="2619" w:type="dxa"/>
          </w:tcPr>
          <w:p w14:paraId="21E59CF2" w14:textId="77777777" w:rsidR="00FE767C" w:rsidRPr="00E37BEE" w:rsidRDefault="00FE767C" w:rsidP="007E0AD8">
            <w:pPr>
              <w:pStyle w:val="Body"/>
              <w:rPr>
                <w:rFonts w:ascii="Arial" w:hAnsi="Arial" w:cs="Arial"/>
              </w:rPr>
            </w:pPr>
            <w:proofErr w:type="spellStart"/>
            <w:r w:rsidRPr="00E37BEE">
              <w:rPr>
                <w:rFonts w:ascii="Arial" w:hAnsi="Arial" w:cs="Arial"/>
              </w:rPr>
              <w:t>Cannabigerol</w:t>
            </w:r>
            <w:proofErr w:type="spellEnd"/>
            <w:r w:rsidRPr="00E37BEE">
              <w:rPr>
                <w:rFonts w:ascii="Arial" w:hAnsi="Arial" w:cs="Arial"/>
              </w:rPr>
              <w:t xml:space="preserve"> (CBG)</w:t>
            </w:r>
          </w:p>
        </w:tc>
        <w:tc>
          <w:tcPr>
            <w:tcW w:w="1673" w:type="dxa"/>
          </w:tcPr>
          <w:p w14:paraId="00C2B2FB" w14:textId="77777777" w:rsidR="00FE767C" w:rsidRPr="00E37BEE" w:rsidRDefault="00FE767C" w:rsidP="007E0AD8">
            <w:pPr>
              <w:pStyle w:val="Body"/>
              <w:rPr>
                <w:rFonts w:ascii="Arial" w:hAnsi="Arial" w:cs="Arial"/>
              </w:rPr>
            </w:pPr>
            <w:r w:rsidRPr="00E37BEE">
              <w:rPr>
                <w:rFonts w:ascii="Arial" w:hAnsi="Arial" w:cs="Arial"/>
              </w:rPr>
              <w:t>CB1/CB2:</w:t>
            </w:r>
          </w:p>
          <w:p w14:paraId="4858EA1A" w14:textId="77777777" w:rsidR="00FE767C" w:rsidRPr="00E37BEE" w:rsidRDefault="00FE767C" w:rsidP="007E0AD8">
            <w:pPr>
              <w:pStyle w:val="Body"/>
              <w:rPr>
                <w:rFonts w:ascii="Arial" w:hAnsi="Arial" w:cs="Arial"/>
              </w:rPr>
            </w:pPr>
            <w:r w:rsidRPr="00E37BEE">
              <w:rPr>
                <w:rFonts w:ascii="Arial" w:hAnsi="Arial" w:cs="Arial"/>
              </w:rPr>
              <w:t>micromolar</w:t>
            </w:r>
          </w:p>
        </w:tc>
        <w:tc>
          <w:tcPr>
            <w:tcW w:w="1017" w:type="dxa"/>
          </w:tcPr>
          <w:p w14:paraId="1619B3A7" w14:textId="77777777" w:rsidR="00FE767C" w:rsidRPr="00E37BEE" w:rsidRDefault="00FE767C" w:rsidP="007E0AD8">
            <w:pPr>
              <w:pStyle w:val="Body"/>
              <w:rPr>
                <w:rFonts w:ascii="Arial" w:hAnsi="Arial" w:cs="Arial"/>
              </w:rPr>
            </w:pPr>
            <w:r w:rsidRPr="00E37BEE">
              <w:rPr>
                <w:rFonts w:ascii="Arial" w:hAnsi="Arial" w:cs="Arial"/>
              </w:rPr>
              <w:t>Weak</w:t>
            </w:r>
          </w:p>
          <w:p w14:paraId="730DC231" w14:textId="77777777" w:rsidR="00FE767C" w:rsidRPr="00E37BEE" w:rsidRDefault="00FE767C" w:rsidP="007E0AD8">
            <w:pPr>
              <w:pStyle w:val="Body"/>
              <w:rPr>
                <w:rFonts w:ascii="Arial" w:hAnsi="Arial" w:cs="Arial"/>
              </w:rPr>
            </w:pPr>
            <w:r w:rsidRPr="00E37BEE">
              <w:rPr>
                <w:rFonts w:ascii="Arial" w:hAnsi="Arial" w:cs="Arial"/>
              </w:rPr>
              <w:t>agonist</w:t>
            </w:r>
          </w:p>
        </w:tc>
        <w:tc>
          <w:tcPr>
            <w:tcW w:w="3708" w:type="dxa"/>
          </w:tcPr>
          <w:p w14:paraId="71DFB84D" w14:textId="77777777" w:rsidR="00FE767C" w:rsidRPr="00E37BEE" w:rsidRDefault="00FE767C" w:rsidP="007E0AD8">
            <w:pPr>
              <w:pStyle w:val="Body"/>
              <w:rPr>
                <w:rFonts w:ascii="Arial" w:hAnsi="Arial" w:cs="Arial"/>
              </w:rPr>
            </w:pPr>
            <w:r w:rsidRPr="00E37BEE">
              <w:rPr>
                <w:rFonts w:ascii="Arial" w:hAnsi="Arial" w:cs="Arial"/>
              </w:rPr>
              <w:t xml:space="preserve">Modulates endocannabinoid </w:t>
            </w:r>
            <w:commentRangeStart w:id="6"/>
            <w:r w:rsidRPr="00E37BEE">
              <w:rPr>
                <w:rFonts w:ascii="Arial" w:hAnsi="Arial" w:cs="Arial"/>
              </w:rPr>
              <w:t>tone</w:t>
            </w:r>
            <w:commentRangeEnd w:id="6"/>
            <w:r w:rsidR="00FA745C">
              <w:rPr>
                <w:rStyle w:val="CommentReference"/>
                <w:rFonts w:ascii="Times New Roman" w:hAnsi="Times New Roman"/>
                <w:lang w:val="nb-NO" w:eastAsia="nb-NO"/>
              </w:rPr>
              <w:commentReference w:id="6"/>
            </w:r>
          </w:p>
        </w:tc>
      </w:tr>
      <w:tr w:rsidR="00FE767C" w:rsidRPr="00E37BEE" w14:paraId="6A36394A" w14:textId="77777777" w:rsidTr="005646ED">
        <w:trPr>
          <w:trHeight w:val="2068"/>
        </w:trPr>
        <w:tc>
          <w:tcPr>
            <w:tcW w:w="2619" w:type="dxa"/>
          </w:tcPr>
          <w:p w14:paraId="70024C3C" w14:textId="77777777" w:rsidR="00FE767C" w:rsidRPr="00E37BEE" w:rsidRDefault="00FE767C" w:rsidP="007E0AD8">
            <w:pPr>
              <w:pStyle w:val="Body"/>
              <w:rPr>
                <w:rFonts w:ascii="Arial" w:hAnsi="Arial" w:cs="Arial"/>
              </w:rPr>
            </w:pPr>
            <w:r w:rsidRPr="00E37BEE">
              <w:rPr>
                <w:rFonts w:ascii="Arial" w:hAnsi="Arial" w:cs="Arial"/>
              </w:rPr>
              <w:t>Tetrahydrocannabivarin (THCV)</w:t>
            </w:r>
          </w:p>
        </w:tc>
        <w:tc>
          <w:tcPr>
            <w:tcW w:w="1673" w:type="dxa"/>
          </w:tcPr>
          <w:p w14:paraId="233387F2" w14:textId="77777777" w:rsidR="00FE767C" w:rsidRPr="00E37BEE" w:rsidRDefault="00FE767C" w:rsidP="007E0AD8">
            <w:pPr>
              <w:pStyle w:val="Body"/>
              <w:rPr>
                <w:rFonts w:ascii="Arial" w:hAnsi="Arial" w:cs="Arial"/>
              </w:rPr>
            </w:pPr>
            <w:r w:rsidRPr="00E37BEE">
              <w:rPr>
                <w:rFonts w:ascii="Arial" w:hAnsi="Arial" w:cs="Arial"/>
              </w:rPr>
              <w:t>CB1</w:t>
            </w:r>
          </w:p>
          <w:p w14:paraId="0AF302FE" w14:textId="77777777" w:rsidR="00FE767C" w:rsidRPr="00E37BEE" w:rsidRDefault="00FE767C" w:rsidP="007E0AD8">
            <w:pPr>
              <w:pStyle w:val="Body"/>
              <w:rPr>
                <w:rFonts w:ascii="Arial" w:hAnsi="Arial" w:cs="Arial"/>
              </w:rPr>
            </w:pPr>
            <w:r w:rsidRPr="00E37BEE">
              <w:rPr>
                <w:rFonts w:ascii="Arial" w:hAnsi="Arial" w:cs="Arial"/>
              </w:rPr>
              <w:t>antagonist at low dose, agonist at high</w:t>
            </w:r>
          </w:p>
          <w:p w14:paraId="27C686F8" w14:textId="77777777" w:rsidR="00FE767C" w:rsidRPr="00E37BEE" w:rsidRDefault="00FE767C" w:rsidP="007E0AD8">
            <w:pPr>
              <w:pStyle w:val="Body"/>
              <w:rPr>
                <w:rFonts w:ascii="Arial" w:hAnsi="Arial" w:cs="Arial"/>
              </w:rPr>
            </w:pPr>
            <w:r w:rsidRPr="00E37BEE">
              <w:rPr>
                <w:rFonts w:ascii="Arial" w:hAnsi="Arial" w:cs="Arial"/>
              </w:rPr>
              <w:t>dose</w:t>
            </w:r>
          </w:p>
        </w:tc>
        <w:tc>
          <w:tcPr>
            <w:tcW w:w="1017" w:type="dxa"/>
          </w:tcPr>
          <w:p w14:paraId="06349085" w14:textId="77777777" w:rsidR="00FE767C" w:rsidRPr="00E37BEE" w:rsidRDefault="00FE767C" w:rsidP="007E0AD8">
            <w:pPr>
              <w:pStyle w:val="Body"/>
              <w:rPr>
                <w:rFonts w:ascii="Arial" w:hAnsi="Arial" w:cs="Arial"/>
              </w:rPr>
            </w:pPr>
            <w:r w:rsidRPr="00E37BEE">
              <w:rPr>
                <w:rFonts w:ascii="Arial" w:hAnsi="Arial" w:cs="Arial"/>
              </w:rPr>
              <w:t>Mixed</w:t>
            </w:r>
          </w:p>
        </w:tc>
        <w:tc>
          <w:tcPr>
            <w:tcW w:w="3708" w:type="dxa"/>
          </w:tcPr>
          <w:p w14:paraId="2998E92D" w14:textId="77777777" w:rsidR="00FE767C" w:rsidRPr="00E37BEE" w:rsidRDefault="00FE767C" w:rsidP="007E0AD8">
            <w:pPr>
              <w:pStyle w:val="Body"/>
              <w:rPr>
                <w:rFonts w:ascii="Arial" w:hAnsi="Arial" w:cs="Arial"/>
              </w:rPr>
            </w:pPr>
            <w:r w:rsidRPr="00E37BEE">
              <w:rPr>
                <w:rFonts w:ascii="Arial" w:hAnsi="Arial" w:cs="Arial"/>
              </w:rPr>
              <w:t xml:space="preserve">Blocks CB1 signaling → anorectic </w:t>
            </w:r>
            <w:commentRangeStart w:id="7"/>
            <w:r w:rsidRPr="00E37BEE">
              <w:rPr>
                <w:rFonts w:ascii="Arial" w:hAnsi="Arial" w:cs="Arial"/>
              </w:rPr>
              <w:t>effect</w:t>
            </w:r>
            <w:commentRangeEnd w:id="7"/>
            <w:r w:rsidR="00FA745C">
              <w:rPr>
                <w:rStyle w:val="CommentReference"/>
                <w:rFonts w:ascii="Times New Roman" w:hAnsi="Times New Roman"/>
                <w:lang w:val="nb-NO" w:eastAsia="nb-NO"/>
              </w:rPr>
              <w:commentReference w:id="7"/>
            </w:r>
          </w:p>
        </w:tc>
      </w:tr>
    </w:tbl>
    <w:p w14:paraId="3D40B2D6" w14:textId="77777777" w:rsidR="00FE767C" w:rsidRPr="00E37BEE" w:rsidRDefault="00FE767C" w:rsidP="00FE767C">
      <w:pPr>
        <w:pStyle w:val="Body"/>
        <w:rPr>
          <w:rFonts w:ascii="Arial" w:hAnsi="Arial" w:cs="Arial"/>
        </w:rPr>
      </w:pPr>
    </w:p>
    <w:p w14:paraId="1807C6E3" w14:textId="77777777" w:rsidR="00FE767C" w:rsidRDefault="00FE767C" w:rsidP="005668FD">
      <w:pPr>
        <w:pStyle w:val="Body"/>
        <w:rPr>
          <w:rFonts w:ascii="Arial" w:hAnsi="Arial" w:cs="Arial"/>
        </w:rPr>
      </w:pPr>
      <w:proofErr w:type="spellStart"/>
      <w:r w:rsidRPr="00E37BEE">
        <w:rPr>
          <w:rFonts w:ascii="Arial" w:hAnsi="Arial" w:cs="Arial"/>
        </w:rPr>
        <w:t>Phytocannabinoids</w:t>
      </w:r>
      <w:proofErr w:type="spellEnd"/>
      <w:r w:rsidRPr="00E37BEE">
        <w:rPr>
          <w:rFonts w:ascii="Arial" w:hAnsi="Arial" w:cs="Arial"/>
        </w:rPr>
        <w:t xml:space="preserve"> comprise a chemically diverse group of naturally occurring compounds that exert modulatory effects on the endocannabinoid system (ECS) through variable receptor affinities and signaling profiles. Δ⁹-Tetrahydrocannabinol (THC), the chief psychoactive agent in Cannabis sativa, binds CB</w:t>
      </w:r>
      <w:r w:rsidRPr="00E37BEE">
        <w:rPr>
          <w:rFonts w:ascii="Cambria Math" w:hAnsi="Cambria Math" w:cs="Cambria Math"/>
        </w:rPr>
        <w:t>₁</w:t>
      </w:r>
      <w:r w:rsidRPr="00E37BEE">
        <w:rPr>
          <w:rFonts w:ascii="Arial" w:hAnsi="Arial" w:cs="Arial"/>
        </w:rPr>
        <w:t xml:space="preserve"> and CB</w:t>
      </w:r>
      <w:r w:rsidRPr="00E37BEE">
        <w:rPr>
          <w:rFonts w:ascii="Cambria Math" w:hAnsi="Cambria Math" w:cs="Cambria Math"/>
        </w:rPr>
        <w:t>₂</w:t>
      </w:r>
      <w:r w:rsidRPr="00E37BEE">
        <w:rPr>
          <w:rFonts w:ascii="Arial" w:hAnsi="Arial" w:cs="Arial"/>
        </w:rPr>
        <w:t xml:space="preserve"> receptors with high nanomolar affinity and acts as a partial agonist. Its engagement of Gi/o-coupled pathways inhibits adenylyl cyclase, lowers intracellular cAMP, and alters ion channel activity—reducing calcium influx and </w:t>
      </w:r>
      <w:commentRangeStart w:id="8"/>
      <w:r w:rsidRPr="00E37BEE">
        <w:rPr>
          <w:rFonts w:ascii="Arial" w:hAnsi="Arial" w:cs="Arial"/>
        </w:rPr>
        <w:t>enhancing</w:t>
      </w:r>
      <w:r>
        <w:rPr>
          <w:rFonts w:ascii="Arial" w:hAnsi="Arial" w:cs="Arial"/>
        </w:rPr>
        <w:t>.</w:t>
      </w:r>
      <w:commentRangeEnd w:id="8"/>
      <w:r w:rsidR="00D27148">
        <w:rPr>
          <w:rStyle w:val="CommentReference"/>
          <w:rFonts w:ascii="Times New Roman" w:hAnsi="Times New Roman"/>
          <w:lang w:val="nb-NO" w:eastAsia="nb-NO"/>
        </w:rPr>
        <w:commentReference w:id="8"/>
      </w:r>
    </w:p>
    <w:p w14:paraId="6D19C9EA" w14:textId="6754CEE2" w:rsidR="00FE767C" w:rsidRPr="00E37BEE" w:rsidRDefault="00FE767C" w:rsidP="00FE767C">
      <w:pPr>
        <w:pStyle w:val="Body"/>
        <w:rPr>
          <w:rFonts w:ascii="Arial" w:hAnsi="Arial" w:cs="Arial"/>
        </w:rPr>
      </w:pPr>
      <w:r>
        <w:rPr>
          <w:rFonts w:ascii="Arial" w:hAnsi="Arial" w:cs="Arial"/>
        </w:rPr>
        <w:t>P</w:t>
      </w:r>
      <w:r w:rsidRPr="00E37BEE">
        <w:rPr>
          <w:rFonts w:ascii="Arial" w:hAnsi="Arial" w:cs="Arial"/>
        </w:rPr>
        <w:t xml:space="preserve">otassium efflux—to suppress synaptic neurotransmitter release. Δ⁸-THC, a structural variant of THC, shares similar receptor targets but with diminished potency. Cannabinol (CBN) interacts weakly with cannabinoid receptors and induces limited partial agonist responses, while </w:t>
      </w:r>
      <w:proofErr w:type="spellStart"/>
      <w:r w:rsidRPr="00E37BEE">
        <w:rPr>
          <w:rFonts w:ascii="Arial" w:hAnsi="Arial" w:cs="Arial"/>
        </w:rPr>
        <w:t>Cannabigerol</w:t>
      </w:r>
      <w:proofErr w:type="spellEnd"/>
      <w:r w:rsidRPr="00E37BEE">
        <w:rPr>
          <w:rFonts w:ascii="Arial" w:hAnsi="Arial" w:cs="Arial"/>
        </w:rPr>
        <w:t xml:space="preserve"> (CBG), with micromolar binding affinity, functions as a low-efficacy agonist and primarily modulates ECS tone through indirect mechanisms. Tetrahydrocannabivarin (THCV) displays concentration-dependent activity: antagonizing CB</w:t>
      </w:r>
      <w:r w:rsidRPr="00E37BEE">
        <w:rPr>
          <w:rFonts w:ascii="Cambria Math" w:hAnsi="Cambria Math" w:cs="Cambria Math"/>
        </w:rPr>
        <w:t>₁</w:t>
      </w:r>
      <w:r w:rsidRPr="00E37BEE">
        <w:rPr>
          <w:rFonts w:ascii="Arial" w:hAnsi="Arial" w:cs="Arial"/>
        </w:rPr>
        <w:t xml:space="preserve"> receptors at low doses to reduce appetite, and activating them at higher doses to produce THC- like effects. These varied receptor–ligand dynamics reflect the pharmacological complexity of Phyto cannabinoids and support their potential utility in selectively targeting ECS pathways for therapeutic intervention in neurological, metabolic, and immune-related conditions</w:t>
      </w:r>
      <w:r w:rsidR="009173DF">
        <w:rPr>
          <w:rFonts w:ascii="Arial" w:hAnsi="Arial" w:cs="Arial"/>
        </w:rPr>
        <w:t xml:space="preserve"> </w:t>
      </w:r>
      <w:r w:rsidR="009173DF" w:rsidRPr="009173DF">
        <w:rPr>
          <w:rFonts w:ascii="Arial" w:hAnsi="Arial" w:cs="Arial"/>
        </w:rPr>
        <w:t>(Pertwee, 2008)</w:t>
      </w:r>
      <w:r w:rsidR="009173DF">
        <w:rPr>
          <w:rFonts w:ascii="Arial" w:hAnsi="Arial" w:cs="Arial"/>
        </w:rPr>
        <w:t>.</w:t>
      </w:r>
    </w:p>
    <w:p w14:paraId="11640CFF" w14:textId="1F68236C" w:rsidR="00FE767C" w:rsidRPr="00E37BEE" w:rsidRDefault="00F343A8" w:rsidP="00FE767C">
      <w:pPr>
        <w:pStyle w:val="Body"/>
        <w:numPr>
          <w:ilvl w:val="0"/>
          <w:numId w:val="47"/>
        </w:numPr>
        <w:rPr>
          <w:rFonts w:ascii="Arial" w:hAnsi="Arial" w:cs="Arial"/>
          <w:b/>
          <w:bCs/>
        </w:rPr>
      </w:pPr>
      <w:r w:rsidRPr="00E37BEE">
        <w:rPr>
          <w:rFonts w:ascii="Arial" w:hAnsi="Arial" w:cs="Arial"/>
          <w:b/>
          <w:bCs/>
        </w:rPr>
        <w:t>NON-CANNABINOID NATURAL LIGANDS AND MECHANISMS</w:t>
      </w:r>
    </w:p>
    <w:p w14:paraId="46535732" w14:textId="77777777" w:rsidR="00FE767C" w:rsidRPr="00E37BEE" w:rsidRDefault="00FE767C" w:rsidP="00FE767C">
      <w:pPr>
        <w:pStyle w:val="Body"/>
        <w:rPr>
          <w:rFonts w:ascii="Arial" w:hAnsi="Arial" w:cs="Arial"/>
        </w:rPr>
      </w:pPr>
      <w:r w:rsidRPr="00E37BEE">
        <w:rPr>
          <w:rFonts w:ascii="Arial" w:hAnsi="Arial" w:cs="Arial"/>
        </w:rPr>
        <w:t xml:space="preserve">Table 2. Certain terpenoids and flavonoids from non-cannabis plants can bind to CB1/CB2 or modulate the endocannabinoid system (ECS) </w:t>
      </w:r>
      <w:commentRangeStart w:id="9"/>
      <w:r w:rsidRPr="00E37BEE">
        <w:rPr>
          <w:rFonts w:ascii="Arial" w:hAnsi="Arial" w:cs="Arial"/>
        </w:rPr>
        <w:t>indirectly</w:t>
      </w:r>
      <w:commentRangeEnd w:id="9"/>
      <w:r w:rsidR="009457A2">
        <w:rPr>
          <w:rStyle w:val="CommentReference"/>
          <w:rFonts w:ascii="Times New Roman" w:hAnsi="Times New Roman"/>
          <w:lang w:val="nb-NO" w:eastAsia="nb-NO"/>
        </w:rPr>
        <w:commentReference w:id="9"/>
      </w:r>
      <w:r w:rsidRPr="00E37BEE">
        <w:rPr>
          <w:rFonts w:ascii="Arial" w:hAnsi="Arial" w:cs="Arial"/>
        </w:rPr>
        <w:t>.</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2477"/>
        <w:gridCol w:w="4865"/>
      </w:tblGrid>
      <w:tr w:rsidR="00FE767C" w:rsidRPr="00E37BEE" w14:paraId="7CE60780" w14:textId="77777777" w:rsidTr="007E0AD8">
        <w:trPr>
          <w:trHeight w:val="414"/>
        </w:trPr>
        <w:tc>
          <w:tcPr>
            <w:tcW w:w="1675" w:type="dxa"/>
          </w:tcPr>
          <w:p w14:paraId="0644FAB9" w14:textId="77777777" w:rsidR="00FE767C" w:rsidRPr="00E37BEE" w:rsidRDefault="00FE767C" w:rsidP="007E0AD8">
            <w:pPr>
              <w:pStyle w:val="Body"/>
              <w:rPr>
                <w:rFonts w:ascii="Arial" w:hAnsi="Arial" w:cs="Arial"/>
                <w:b/>
              </w:rPr>
            </w:pPr>
            <w:r w:rsidRPr="00E37BEE">
              <w:rPr>
                <w:rFonts w:ascii="Arial" w:hAnsi="Arial" w:cs="Arial"/>
                <w:b/>
              </w:rPr>
              <w:lastRenderedPageBreak/>
              <w:t>Compound</w:t>
            </w:r>
          </w:p>
        </w:tc>
        <w:tc>
          <w:tcPr>
            <w:tcW w:w="2477" w:type="dxa"/>
          </w:tcPr>
          <w:p w14:paraId="1F5351B8" w14:textId="77777777" w:rsidR="00FE767C" w:rsidRPr="00E37BEE" w:rsidRDefault="00FE767C" w:rsidP="007E0AD8">
            <w:pPr>
              <w:pStyle w:val="Body"/>
              <w:rPr>
                <w:rFonts w:ascii="Arial" w:hAnsi="Arial" w:cs="Arial"/>
                <w:b/>
              </w:rPr>
            </w:pPr>
            <w:r w:rsidRPr="00E37BEE">
              <w:rPr>
                <w:rFonts w:ascii="Arial" w:hAnsi="Arial" w:cs="Arial"/>
                <w:b/>
              </w:rPr>
              <w:t>Source Plant</w:t>
            </w:r>
          </w:p>
        </w:tc>
        <w:tc>
          <w:tcPr>
            <w:tcW w:w="4865" w:type="dxa"/>
          </w:tcPr>
          <w:p w14:paraId="5A72B065" w14:textId="77777777" w:rsidR="00FE767C" w:rsidRPr="00E37BEE" w:rsidRDefault="00FE767C" w:rsidP="007E0AD8">
            <w:pPr>
              <w:pStyle w:val="Body"/>
              <w:rPr>
                <w:rFonts w:ascii="Arial" w:hAnsi="Arial" w:cs="Arial"/>
                <w:b/>
              </w:rPr>
            </w:pPr>
            <w:r w:rsidRPr="00E37BEE">
              <w:rPr>
                <w:rFonts w:ascii="Arial" w:hAnsi="Arial" w:cs="Arial"/>
                <w:b/>
              </w:rPr>
              <w:t>Target &amp; Mechanism</w:t>
            </w:r>
          </w:p>
        </w:tc>
      </w:tr>
      <w:tr w:rsidR="00FE767C" w:rsidRPr="00E37BEE" w14:paraId="138D87DF" w14:textId="77777777" w:rsidTr="007E0AD8">
        <w:trPr>
          <w:trHeight w:val="1656"/>
        </w:trPr>
        <w:tc>
          <w:tcPr>
            <w:tcW w:w="1675" w:type="dxa"/>
          </w:tcPr>
          <w:p w14:paraId="1FBAC086" w14:textId="77777777" w:rsidR="00FE767C" w:rsidRPr="00E37BEE" w:rsidRDefault="00FE767C" w:rsidP="007E0AD8">
            <w:pPr>
              <w:pStyle w:val="Body"/>
              <w:rPr>
                <w:rFonts w:ascii="Arial" w:hAnsi="Arial" w:cs="Arial"/>
              </w:rPr>
            </w:pPr>
            <w:r w:rsidRPr="00E37BEE">
              <w:rPr>
                <w:rFonts w:ascii="Arial" w:hAnsi="Arial" w:cs="Arial"/>
              </w:rPr>
              <w:t>β-</w:t>
            </w:r>
          </w:p>
          <w:p w14:paraId="5A789471" w14:textId="77777777" w:rsidR="00FE767C" w:rsidRPr="00E37BEE" w:rsidRDefault="00FE767C" w:rsidP="007E0AD8">
            <w:pPr>
              <w:pStyle w:val="Body"/>
              <w:rPr>
                <w:rFonts w:ascii="Arial" w:hAnsi="Arial" w:cs="Arial"/>
              </w:rPr>
            </w:pPr>
            <w:r w:rsidRPr="00E37BEE">
              <w:rPr>
                <w:rFonts w:ascii="Arial" w:hAnsi="Arial" w:cs="Arial"/>
              </w:rPr>
              <w:t>Caryophyllene</w:t>
            </w:r>
          </w:p>
        </w:tc>
        <w:tc>
          <w:tcPr>
            <w:tcW w:w="2477" w:type="dxa"/>
          </w:tcPr>
          <w:p w14:paraId="5EE3A2FE" w14:textId="77777777" w:rsidR="00FE767C" w:rsidRPr="00E37BEE" w:rsidRDefault="00FE767C" w:rsidP="007E0AD8">
            <w:pPr>
              <w:pStyle w:val="Body"/>
              <w:rPr>
                <w:rFonts w:ascii="Arial" w:hAnsi="Arial" w:cs="Arial"/>
                <w:i/>
              </w:rPr>
            </w:pPr>
            <w:r w:rsidRPr="00E37BEE">
              <w:rPr>
                <w:rFonts w:ascii="Arial" w:hAnsi="Arial" w:cs="Arial"/>
              </w:rPr>
              <w:t>Black pepper (</w:t>
            </w:r>
            <w:r w:rsidRPr="00E37BEE">
              <w:rPr>
                <w:rFonts w:ascii="Arial" w:hAnsi="Arial" w:cs="Arial"/>
                <w:i/>
              </w:rPr>
              <w:t>Piper nigrum</w:t>
            </w:r>
            <w:r w:rsidRPr="00E37BEE">
              <w:rPr>
                <w:rFonts w:ascii="Arial" w:hAnsi="Arial" w:cs="Arial"/>
              </w:rPr>
              <w:t>),</w:t>
            </w:r>
            <w:r w:rsidRPr="00E37BEE">
              <w:rPr>
                <w:rFonts w:ascii="Arial" w:hAnsi="Arial" w:cs="Arial"/>
              </w:rPr>
              <w:tab/>
              <w:t>clove (</w:t>
            </w:r>
            <w:proofErr w:type="spellStart"/>
            <w:r w:rsidRPr="00E37BEE">
              <w:rPr>
                <w:rFonts w:ascii="Arial" w:hAnsi="Arial" w:cs="Arial"/>
                <w:i/>
              </w:rPr>
              <w:t>Syzygium</w:t>
            </w:r>
            <w:proofErr w:type="spellEnd"/>
          </w:p>
          <w:p w14:paraId="5DF0D259" w14:textId="77777777" w:rsidR="00FE767C" w:rsidRPr="00E37BEE" w:rsidRDefault="00FE767C" w:rsidP="007E0AD8">
            <w:pPr>
              <w:pStyle w:val="Body"/>
              <w:rPr>
                <w:rFonts w:ascii="Arial" w:hAnsi="Arial" w:cs="Arial"/>
              </w:rPr>
            </w:pPr>
            <w:proofErr w:type="spellStart"/>
            <w:r w:rsidRPr="00E37BEE">
              <w:rPr>
                <w:rFonts w:ascii="Arial" w:hAnsi="Arial" w:cs="Arial"/>
                <w:i/>
              </w:rPr>
              <w:t>aromaticum</w:t>
            </w:r>
            <w:proofErr w:type="spellEnd"/>
            <w:r w:rsidRPr="00E37BEE">
              <w:rPr>
                <w:rFonts w:ascii="Arial" w:hAnsi="Arial" w:cs="Arial"/>
              </w:rPr>
              <w:t>)</w:t>
            </w:r>
          </w:p>
        </w:tc>
        <w:tc>
          <w:tcPr>
            <w:tcW w:w="4865" w:type="dxa"/>
          </w:tcPr>
          <w:p w14:paraId="7AC285A2" w14:textId="77777777" w:rsidR="00FE767C" w:rsidRPr="00E37BEE" w:rsidRDefault="00FE767C" w:rsidP="007E0AD8">
            <w:pPr>
              <w:pStyle w:val="Body"/>
              <w:rPr>
                <w:rFonts w:ascii="Arial" w:hAnsi="Arial" w:cs="Arial"/>
              </w:rPr>
            </w:pPr>
            <w:r w:rsidRPr="00E37BEE">
              <w:rPr>
                <w:rFonts w:ascii="Arial" w:hAnsi="Arial" w:cs="Arial"/>
              </w:rPr>
              <w:t>CB2-selective</w:t>
            </w:r>
            <w:r w:rsidRPr="00E37BEE">
              <w:rPr>
                <w:rFonts w:ascii="Arial" w:hAnsi="Arial" w:cs="Arial"/>
              </w:rPr>
              <w:tab/>
              <w:t>agonist</w:t>
            </w:r>
            <w:r w:rsidRPr="00E37BEE">
              <w:rPr>
                <w:rFonts w:ascii="Arial" w:hAnsi="Arial" w:cs="Arial"/>
              </w:rPr>
              <w:tab/>
              <w:t>→</w:t>
            </w:r>
            <w:r w:rsidRPr="00E37BEE">
              <w:rPr>
                <w:rFonts w:ascii="Arial" w:hAnsi="Arial" w:cs="Arial"/>
              </w:rPr>
              <w:tab/>
              <w:t>anti-inflammatory (Gi/o → ↓ cytokines like TNF-α)</w:t>
            </w:r>
          </w:p>
        </w:tc>
      </w:tr>
      <w:tr w:rsidR="00FE767C" w:rsidRPr="00E37BEE" w14:paraId="365C6328" w14:textId="77777777" w:rsidTr="007E0AD8">
        <w:trPr>
          <w:trHeight w:val="1242"/>
        </w:trPr>
        <w:tc>
          <w:tcPr>
            <w:tcW w:w="1675" w:type="dxa"/>
          </w:tcPr>
          <w:p w14:paraId="37A23EC5" w14:textId="77777777" w:rsidR="00FE767C" w:rsidRPr="00E37BEE" w:rsidRDefault="00FE767C" w:rsidP="007E0AD8">
            <w:pPr>
              <w:pStyle w:val="Body"/>
              <w:rPr>
                <w:rFonts w:ascii="Arial" w:hAnsi="Arial" w:cs="Arial"/>
              </w:rPr>
            </w:pPr>
            <w:r w:rsidRPr="00E37BEE">
              <w:rPr>
                <w:rFonts w:ascii="Arial" w:hAnsi="Arial" w:cs="Arial"/>
              </w:rPr>
              <w:t>Apigenin</w:t>
            </w:r>
          </w:p>
        </w:tc>
        <w:tc>
          <w:tcPr>
            <w:tcW w:w="2477" w:type="dxa"/>
          </w:tcPr>
          <w:p w14:paraId="664ECD5A" w14:textId="77777777" w:rsidR="00FE767C" w:rsidRPr="00E37BEE" w:rsidRDefault="00FE767C" w:rsidP="007E0AD8">
            <w:pPr>
              <w:pStyle w:val="Body"/>
              <w:rPr>
                <w:rFonts w:ascii="Arial" w:hAnsi="Arial" w:cs="Arial"/>
              </w:rPr>
            </w:pPr>
            <w:r w:rsidRPr="00E37BEE">
              <w:rPr>
                <w:rFonts w:ascii="Arial" w:hAnsi="Arial" w:cs="Arial"/>
              </w:rPr>
              <w:t>Chamomile</w:t>
            </w:r>
          </w:p>
          <w:p w14:paraId="7828E1F7" w14:textId="77777777" w:rsidR="00FE767C" w:rsidRPr="00E37BEE" w:rsidRDefault="00FE767C" w:rsidP="007E0AD8">
            <w:pPr>
              <w:pStyle w:val="Body"/>
              <w:rPr>
                <w:rFonts w:ascii="Arial" w:hAnsi="Arial" w:cs="Arial"/>
              </w:rPr>
            </w:pPr>
            <w:r w:rsidRPr="00E37BEE">
              <w:rPr>
                <w:rFonts w:ascii="Arial" w:hAnsi="Arial" w:cs="Arial"/>
              </w:rPr>
              <w:t>(</w:t>
            </w:r>
            <w:proofErr w:type="spellStart"/>
            <w:r w:rsidRPr="00E37BEE">
              <w:rPr>
                <w:rFonts w:ascii="Arial" w:hAnsi="Arial" w:cs="Arial"/>
                <w:i/>
              </w:rPr>
              <w:t>Matricaria</w:t>
            </w:r>
            <w:proofErr w:type="spellEnd"/>
            <w:r w:rsidRPr="00E37BEE">
              <w:rPr>
                <w:rFonts w:ascii="Arial" w:hAnsi="Arial" w:cs="Arial"/>
                <w:i/>
              </w:rPr>
              <w:t xml:space="preserve"> chamomilla</w:t>
            </w:r>
            <w:r w:rsidRPr="00E37BEE">
              <w:rPr>
                <w:rFonts w:ascii="Arial" w:hAnsi="Arial" w:cs="Arial"/>
              </w:rPr>
              <w:t>)</w:t>
            </w:r>
          </w:p>
        </w:tc>
        <w:tc>
          <w:tcPr>
            <w:tcW w:w="4865" w:type="dxa"/>
          </w:tcPr>
          <w:p w14:paraId="5371ACA0" w14:textId="77777777" w:rsidR="00FE767C" w:rsidRPr="00E37BEE" w:rsidRDefault="00FE767C" w:rsidP="007E0AD8">
            <w:pPr>
              <w:pStyle w:val="Body"/>
              <w:rPr>
                <w:rFonts w:ascii="Arial" w:hAnsi="Arial" w:cs="Arial"/>
              </w:rPr>
            </w:pPr>
            <w:r w:rsidRPr="00E37BEE">
              <w:rPr>
                <w:rFonts w:ascii="Arial" w:hAnsi="Arial" w:cs="Arial"/>
              </w:rPr>
              <w:t>Enhances fatty acid amide hydrolase (FAAH)</w:t>
            </w:r>
          </w:p>
          <w:p w14:paraId="4AF8658B" w14:textId="77777777" w:rsidR="00FE767C" w:rsidRPr="00E37BEE" w:rsidRDefault="00FE767C" w:rsidP="007E0AD8">
            <w:pPr>
              <w:pStyle w:val="Body"/>
              <w:rPr>
                <w:rFonts w:ascii="Arial" w:hAnsi="Arial" w:cs="Arial"/>
              </w:rPr>
            </w:pPr>
            <w:r w:rsidRPr="00E37BEE">
              <w:rPr>
                <w:rFonts w:ascii="Arial" w:hAnsi="Arial" w:cs="Arial"/>
              </w:rPr>
              <w:t>inhibition</w:t>
            </w:r>
            <w:r w:rsidRPr="00E37BEE">
              <w:rPr>
                <w:rFonts w:ascii="Arial" w:hAnsi="Arial" w:cs="Arial"/>
              </w:rPr>
              <w:tab/>
              <w:t>→</w:t>
            </w:r>
            <w:r w:rsidRPr="00E37BEE">
              <w:rPr>
                <w:rFonts w:ascii="Arial" w:hAnsi="Arial" w:cs="Arial"/>
              </w:rPr>
              <w:tab/>
              <w:t>increases</w:t>
            </w:r>
            <w:r w:rsidRPr="00E37BEE">
              <w:rPr>
                <w:rFonts w:ascii="Arial" w:hAnsi="Arial" w:cs="Arial"/>
              </w:rPr>
              <w:tab/>
              <w:t>Anandamide</w:t>
            </w:r>
            <w:r w:rsidRPr="00E37BEE">
              <w:rPr>
                <w:rFonts w:ascii="Arial" w:hAnsi="Arial" w:cs="Arial"/>
              </w:rPr>
              <w:tab/>
              <w:t xml:space="preserve">(N- </w:t>
            </w:r>
            <w:proofErr w:type="spellStart"/>
            <w:r w:rsidRPr="00E37BEE">
              <w:rPr>
                <w:rFonts w:ascii="Arial" w:hAnsi="Arial" w:cs="Arial"/>
              </w:rPr>
              <w:t>arachidonoylethanolamine</w:t>
            </w:r>
            <w:proofErr w:type="spellEnd"/>
            <w:r w:rsidRPr="00E37BEE">
              <w:rPr>
                <w:rFonts w:ascii="Arial" w:hAnsi="Arial" w:cs="Arial"/>
              </w:rPr>
              <w:t>) levels</w:t>
            </w:r>
          </w:p>
        </w:tc>
      </w:tr>
      <w:tr w:rsidR="00FE767C" w:rsidRPr="00E37BEE" w14:paraId="0B64E96A" w14:textId="77777777" w:rsidTr="007E0AD8">
        <w:trPr>
          <w:trHeight w:val="827"/>
        </w:trPr>
        <w:tc>
          <w:tcPr>
            <w:tcW w:w="1675" w:type="dxa"/>
          </w:tcPr>
          <w:p w14:paraId="1154D152" w14:textId="77777777" w:rsidR="00FE767C" w:rsidRPr="00E37BEE" w:rsidRDefault="00FE767C" w:rsidP="007E0AD8">
            <w:pPr>
              <w:pStyle w:val="Body"/>
              <w:rPr>
                <w:rFonts w:ascii="Arial" w:hAnsi="Arial" w:cs="Arial"/>
              </w:rPr>
            </w:pPr>
            <w:r w:rsidRPr="00E37BEE">
              <w:rPr>
                <w:rFonts w:ascii="Arial" w:hAnsi="Arial" w:cs="Arial"/>
              </w:rPr>
              <w:t>Quercetin</w:t>
            </w:r>
          </w:p>
        </w:tc>
        <w:tc>
          <w:tcPr>
            <w:tcW w:w="2477" w:type="dxa"/>
          </w:tcPr>
          <w:p w14:paraId="7DEEFDD1" w14:textId="77777777" w:rsidR="00FE767C" w:rsidRPr="00E37BEE" w:rsidRDefault="00FE767C" w:rsidP="007E0AD8">
            <w:pPr>
              <w:pStyle w:val="Body"/>
              <w:rPr>
                <w:rFonts w:ascii="Arial" w:hAnsi="Arial" w:cs="Arial"/>
              </w:rPr>
            </w:pPr>
            <w:proofErr w:type="gramStart"/>
            <w:r w:rsidRPr="00E37BEE">
              <w:rPr>
                <w:rFonts w:ascii="Arial" w:hAnsi="Arial" w:cs="Arial"/>
              </w:rPr>
              <w:t>Onion  (</w:t>
            </w:r>
            <w:proofErr w:type="gramEnd"/>
            <w:r w:rsidRPr="00E37BEE">
              <w:rPr>
                <w:rFonts w:ascii="Arial" w:hAnsi="Arial" w:cs="Arial"/>
                <w:i/>
              </w:rPr>
              <w:t>Allium  cepa</w:t>
            </w:r>
            <w:r w:rsidRPr="00E37BEE">
              <w:rPr>
                <w:rFonts w:ascii="Arial" w:hAnsi="Arial" w:cs="Arial"/>
              </w:rPr>
              <w:t>),</w:t>
            </w:r>
          </w:p>
          <w:p w14:paraId="548C429F" w14:textId="77777777" w:rsidR="00FE767C" w:rsidRPr="00E37BEE" w:rsidRDefault="00FE767C" w:rsidP="007E0AD8">
            <w:pPr>
              <w:pStyle w:val="Body"/>
              <w:rPr>
                <w:rFonts w:ascii="Arial" w:hAnsi="Arial" w:cs="Arial"/>
              </w:rPr>
            </w:pPr>
            <w:r w:rsidRPr="00E37BEE">
              <w:rPr>
                <w:rFonts w:ascii="Arial" w:hAnsi="Arial" w:cs="Arial"/>
              </w:rPr>
              <w:t>tea (</w:t>
            </w:r>
            <w:r w:rsidRPr="00E37BEE">
              <w:rPr>
                <w:rFonts w:ascii="Arial" w:hAnsi="Arial" w:cs="Arial"/>
                <w:i/>
              </w:rPr>
              <w:t>Camellia sinensis</w:t>
            </w:r>
            <w:r w:rsidRPr="00E37BEE">
              <w:rPr>
                <w:rFonts w:ascii="Arial" w:hAnsi="Arial" w:cs="Arial"/>
              </w:rPr>
              <w:t>)</w:t>
            </w:r>
          </w:p>
        </w:tc>
        <w:tc>
          <w:tcPr>
            <w:tcW w:w="4865" w:type="dxa"/>
          </w:tcPr>
          <w:p w14:paraId="23E4A5CE" w14:textId="77777777" w:rsidR="00FE767C" w:rsidRPr="00E37BEE" w:rsidRDefault="00FE767C" w:rsidP="007E0AD8">
            <w:pPr>
              <w:pStyle w:val="Body"/>
              <w:rPr>
                <w:rFonts w:ascii="Arial" w:hAnsi="Arial" w:cs="Arial"/>
              </w:rPr>
            </w:pPr>
            <w:r w:rsidRPr="00E37BEE">
              <w:rPr>
                <w:rFonts w:ascii="Arial" w:hAnsi="Arial" w:cs="Arial"/>
              </w:rPr>
              <w:t>Modulates endocannabinoid enzymes (FAAH</w:t>
            </w:r>
          </w:p>
          <w:p w14:paraId="15B993B9" w14:textId="77777777" w:rsidR="00FE767C" w:rsidRPr="00E37BEE" w:rsidRDefault="00FE767C" w:rsidP="007E0AD8">
            <w:pPr>
              <w:pStyle w:val="Body"/>
              <w:rPr>
                <w:rFonts w:ascii="Arial" w:hAnsi="Arial" w:cs="Arial"/>
              </w:rPr>
            </w:pPr>
            <w:r w:rsidRPr="00E37BEE">
              <w:rPr>
                <w:rFonts w:ascii="Arial" w:hAnsi="Arial" w:cs="Arial"/>
              </w:rPr>
              <w:t>and monoacylglycerol lipase (MAGL))</w:t>
            </w:r>
          </w:p>
        </w:tc>
      </w:tr>
      <w:tr w:rsidR="00FE767C" w:rsidRPr="00E37BEE" w14:paraId="48F7FCA0" w14:textId="77777777" w:rsidTr="007E0AD8">
        <w:trPr>
          <w:trHeight w:val="1243"/>
        </w:trPr>
        <w:tc>
          <w:tcPr>
            <w:tcW w:w="1675" w:type="dxa"/>
          </w:tcPr>
          <w:p w14:paraId="395B4CBE" w14:textId="77777777" w:rsidR="00FE767C" w:rsidRPr="00E37BEE" w:rsidRDefault="00FE767C" w:rsidP="007E0AD8">
            <w:pPr>
              <w:pStyle w:val="Body"/>
              <w:rPr>
                <w:rFonts w:ascii="Arial" w:hAnsi="Arial" w:cs="Arial"/>
              </w:rPr>
            </w:pPr>
            <w:r w:rsidRPr="00E37BEE">
              <w:rPr>
                <w:rFonts w:ascii="Arial" w:hAnsi="Arial" w:cs="Arial"/>
              </w:rPr>
              <w:t>Resveratrol</w:t>
            </w:r>
          </w:p>
        </w:tc>
        <w:tc>
          <w:tcPr>
            <w:tcW w:w="2477" w:type="dxa"/>
          </w:tcPr>
          <w:p w14:paraId="7E9BE891" w14:textId="77777777" w:rsidR="00FE767C" w:rsidRPr="00E37BEE" w:rsidRDefault="00FE767C" w:rsidP="007E0AD8">
            <w:pPr>
              <w:pStyle w:val="Body"/>
              <w:rPr>
                <w:rFonts w:ascii="Arial" w:hAnsi="Arial" w:cs="Arial"/>
              </w:rPr>
            </w:pPr>
            <w:r w:rsidRPr="00E37BEE">
              <w:rPr>
                <w:rFonts w:ascii="Arial" w:hAnsi="Arial" w:cs="Arial"/>
              </w:rPr>
              <w:t>Grapes (</w:t>
            </w:r>
            <w:r w:rsidRPr="00E37BEE">
              <w:rPr>
                <w:rFonts w:ascii="Arial" w:hAnsi="Arial" w:cs="Arial"/>
                <w:i/>
              </w:rPr>
              <w:t>Vitis vinifera</w:t>
            </w:r>
            <w:r w:rsidRPr="00E37BEE">
              <w:rPr>
                <w:rFonts w:ascii="Arial" w:hAnsi="Arial" w:cs="Arial"/>
              </w:rPr>
              <w:t>)</w:t>
            </w:r>
          </w:p>
        </w:tc>
        <w:tc>
          <w:tcPr>
            <w:tcW w:w="4865" w:type="dxa"/>
          </w:tcPr>
          <w:p w14:paraId="3E35F0D2" w14:textId="77777777" w:rsidR="00FE767C" w:rsidRPr="00E37BEE" w:rsidRDefault="00FE767C" w:rsidP="007E0AD8">
            <w:pPr>
              <w:pStyle w:val="Body"/>
              <w:rPr>
                <w:rFonts w:ascii="Arial" w:hAnsi="Arial" w:cs="Arial"/>
              </w:rPr>
            </w:pPr>
            <w:r w:rsidRPr="00E37BEE">
              <w:rPr>
                <w:rFonts w:ascii="Arial" w:hAnsi="Arial" w:cs="Arial"/>
              </w:rPr>
              <w:t>Activates</w:t>
            </w:r>
            <w:r w:rsidRPr="00E37BEE">
              <w:rPr>
                <w:rFonts w:ascii="Arial" w:hAnsi="Arial" w:cs="Arial"/>
              </w:rPr>
              <w:tab/>
            </w:r>
            <w:r w:rsidRPr="00E37BEE">
              <w:rPr>
                <w:rFonts w:ascii="Arial" w:hAnsi="Arial" w:cs="Arial"/>
              </w:rPr>
              <w:tab/>
              <w:t>peroxisome</w:t>
            </w:r>
            <w:r w:rsidRPr="00E37BEE">
              <w:rPr>
                <w:rFonts w:ascii="Arial" w:hAnsi="Arial" w:cs="Arial"/>
              </w:rPr>
              <w:tab/>
              <w:t>proliferator-activated receptor</w:t>
            </w:r>
            <w:r w:rsidRPr="00E37BEE">
              <w:rPr>
                <w:rFonts w:ascii="Arial" w:hAnsi="Arial" w:cs="Arial"/>
              </w:rPr>
              <w:tab/>
              <w:t>gamma</w:t>
            </w:r>
            <w:r w:rsidRPr="00E37BEE">
              <w:rPr>
                <w:rFonts w:ascii="Arial" w:hAnsi="Arial" w:cs="Arial"/>
              </w:rPr>
              <w:tab/>
              <w:t>(PPAR-γ)</w:t>
            </w:r>
            <w:r w:rsidRPr="00E37BEE">
              <w:rPr>
                <w:rFonts w:ascii="Arial" w:hAnsi="Arial" w:cs="Arial"/>
              </w:rPr>
              <w:tab/>
              <w:t>→</w:t>
            </w:r>
            <w:r w:rsidRPr="00E37BEE">
              <w:rPr>
                <w:rFonts w:ascii="Arial" w:hAnsi="Arial" w:cs="Arial"/>
              </w:rPr>
              <w:tab/>
              <w:t>indirectly</w:t>
            </w:r>
          </w:p>
          <w:p w14:paraId="366482BA" w14:textId="77777777" w:rsidR="00FE767C" w:rsidRPr="00E37BEE" w:rsidRDefault="00FE767C" w:rsidP="007E0AD8">
            <w:pPr>
              <w:pStyle w:val="Body"/>
              <w:rPr>
                <w:rFonts w:ascii="Arial" w:hAnsi="Arial" w:cs="Arial"/>
              </w:rPr>
            </w:pPr>
            <w:r w:rsidRPr="00E37BEE">
              <w:rPr>
                <w:rFonts w:ascii="Arial" w:hAnsi="Arial" w:cs="Arial"/>
              </w:rPr>
              <w:t>influences ECS</w:t>
            </w:r>
          </w:p>
        </w:tc>
      </w:tr>
    </w:tbl>
    <w:p w14:paraId="53630FDE" w14:textId="6283A7B7" w:rsidR="00FE767C" w:rsidRPr="00E37BEE" w:rsidRDefault="00FE767C" w:rsidP="00FE767C">
      <w:pPr>
        <w:pStyle w:val="Body"/>
        <w:rPr>
          <w:rFonts w:ascii="Arial" w:hAnsi="Arial" w:cs="Arial"/>
        </w:rPr>
      </w:pPr>
      <w:r w:rsidRPr="00E37BEE">
        <w:rPr>
          <w:rFonts w:ascii="Arial" w:hAnsi="Arial" w:cs="Arial"/>
        </w:rPr>
        <w:t>Several non-cannabinoid phytochemicals derived from medicinal and dietary plants have been reported to modulate the endocannabinoid system (ECS) through diverse molecular mechanisms. β-Caryophyllene, a sesquiterpene isolated from Piper nigrum (black pepper) and</w:t>
      </w:r>
      <w:r w:rsidR="009173DF">
        <w:rPr>
          <w:rFonts w:ascii="Arial" w:hAnsi="Arial" w:cs="Arial"/>
        </w:rPr>
        <w:t xml:space="preserve"> </w:t>
      </w:r>
      <w:proofErr w:type="spellStart"/>
      <w:r w:rsidRPr="00E37BEE">
        <w:rPr>
          <w:rFonts w:ascii="Arial" w:hAnsi="Arial" w:cs="Arial"/>
        </w:rPr>
        <w:t>Syzygium</w:t>
      </w:r>
      <w:proofErr w:type="spellEnd"/>
      <w:r w:rsidRPr="00E37BEE">
        <w:rPr>
          <w:rFonts w:ascii="Arial" w:hAnsi="Arial" w:cs="Arial"/>
        </w:rPr>
        <w:t xml:space="preserve"> </w:t>
      </w:r>
      <w:proofErr w:type="spellStart"/>
      <w:r w:rsidRPr="00E37BEE">
        <w:rPr>
          <w:rFonts w:ascii="Arial" w:hAnsi="Arial" w:cs="Arial"/>
        </w:rPr>
        <w:t>aromaticum</w:t>
      </w:r>
      <w:proofErr w:type="spellEnd"/>
      <w:r w:rsidRPr="00E37BEE">
        <w:rPr>
          <w:rFonts w:ascii="Arial" w:hAnsi="Arial" w:cs="Arial"/>
        </w:rPr>
        <w:t xml:space="preserve"> (clove), functions as a CB</w:t>
      </w:r>
      <w:r w:rsidRPr="00E37BEE">
        <w:rPr>
          <w:rFonts w:ascii="Cambria Math" w:hAnsi="Cambria Math" w:cs="Cambria Math"/>
        </w:rPr>
        <w:t>₂</w:t>
      </w:r>
      <w:r w:rsidRPr="00E37BEE">
        <w:rPr>
          <w:rFonts w:ascii="Arial" w:hAnsi="Arial" w:cs="Arial"/>
        </w:rPr>
        <w:t xml:space="preserve">-selective agonist and exerts anti- inflammatory effects by attenuating pro-inflammatory cytokine release via Gi/o protein– coupled signaling. Apigenin, a flavonoid abundant in </w:t>
      </w:r>
      <w:proofErr w:type="spellStart"/>
      <w:r w:rsidRPr="00E37BEE">
        <w:rPr>
          <w:rFonts w:ascii="Arial" w:hAnsi="Arial" w:cs="Arial"/>
        </w:rPr>
        <w:t>Matricaria</w:t>
      </w:r>
      <w:proofErr w:type="spellEnd"/>
      <w:r w:rsidRPr="00E37BEE">
        <w:rPr>
          <w:rFonts w:ascii="Arial" w:hAnsi="Arial" w:cs="Arial"/>
        </w:rPr>
        <w:t xml:space="preserve"> chamomilla (chamomile), augments the inhibition of fatty acid amide hydrolase, thereby enhancing anandamide bioavailability and prolonging cannabinoid receptor activation. Quercetin, present in Allium cepa (onion) and Camellia sinensis (tea), modulates ECS activity through regulation of FAAH and monoacylglycerol lipase, consequently influencing the catabolism of both AEA and 2-arachidonoylglycerol (2-AG). Resveratrol, a polyphenolic stilbene from Vitis vinifera (grapes), primarily acts via activation of peroxisome proliferator-activated receptor gamma (PPAR-γ), indirectly influencing ECS signaling through cross-talk with nuclear receptor pathways. Collectively, these bioactive compounds highlight the capacity of non- cannabinoid phytochemicals to regulate ECS function, emphasizing their potential therapeutic significance in the context of inflammation, neuroprotection, and metabolic regulation</w:t>
      </w:r>
      <w:r w:rsidR="00655E3C">
        <w:rPr>
          <w:rFonts w:ascii="Arial" w:hAnsi="Arial" w:cs="Arial"/>
        </w:rPr>
        <w:t xml:space="preserve"> </w:t>
      </w:r>
      <w:r w:rsidR="00655E3C" w:rsidRPr="00655E3C">
        <w:rPr>
          <w:rFonts w:ascii="Arial" w:hAnsi="Arial" w:cs="Arial"/>
        </w:rPr>
        <w:t>(</w:t>
      </w:r>
      <w:proofErr w:type="spellStart"/>
      <w:r w:rsidR="00655E3C" w:rsidRPr="00655E3C">
        <w:rPr>
          <w:rFonts w:ascii="Arial" w:hAnsi="Arial" w:cs="Arial"/>
        </w:rPr>
        <w:t>Bortolato</w:t>
      </w:r>
      <w:proofErr w:type="spellEnd"/>
      <w:r w:rsidR="00655E3C" w:rsidRPr="00655E3C">
        <w:rPr>
          <w:rFonts w:ascii="Arial" w:hAnsi="Arial" w:cs="Arial"/>
        </w:rPr>
        <w:t xml:space="preserve"> et al., 2007)</w:t>
      </w:r>
      <w:r w:rsidR="00655E3C">
        <w:rPr>
          <w:rFonts w:ascii="Arial" w:hAnsi="Arial" w:cs="Arial"/>
        </w:rPr>
        <w:t xml:space="preserve"> </w:t>
      </w:r>
      <w:r w:rsidR="00655E3C" w:rsidRPr="00655E3C">
        <w:rPr>
          <w:rFonts w:ascii="Arial" w:hAnsi="Arial" w:cs="Arial"/>
        </w:rPr>
        <w:t>(</w:t>
      </w:r>
      <w:proofErr w:type="spellStart"/>
      <w:r w:rsidR="00655E3C" w:rsidRPr="00655E3C">
        <w:rPr>
          <w:rFonts w:ascii="Arial" w:hAnsi="Arial" w:cs="Arial"/>
        </w:rPr>
        <w:t>Gertsch</w:t>
      </w:r>
      <w:proofErr w:type="spellEnd"/>
      <w:r w:rsidR="00655E3C" w:rsidRPr="00655E3C">
        <w:rPr>
          <w:rFonts w:ascii="Arial" w:hAnsi="Arial" w:cs="Arial"/>
        </w:rPr>
        <w:t xml:space="preserve"> et al., 2008)</w:t>
      </w:r>
      <w:r w:rsidR="00F343A8">
        <w:rPr>
          <w:rFonts w:ascii="Arial" w:hAnsi="Arial" w:cs="Arial"/>
        </w:rPr>
        <w:t xml:space="preserve"> </w:t>
      </w:r>
      <w:r w:rsidR="00F343A8" w:rsidRPr="00655E3C">
        <w:rPr>
          <w:rFonts w:ascii="Arial" w:hAnsi="Arial" w:cs="Arial"/>
        </w:rPr>
        <w:t>(Howlett et al., 2002) (</w:t>
      </w:r>
      <w:proofErr w:type="spellStart"/>
      <w:r w:rsidR="00F343A8" w:rsidRPr="00655E3C">
        <w:rPr>
          <w:rFonts w:ascii="Arial" w:hAnsi="Arial" w:cs="Arial"/>
        </w:rPr>
        <w:t>Goparaju</w:t>
      </w:r>
      <w:proofErr w:type="spellEnd"/>
      <w:r w:rsidR="00F343A8" w:rsidRPr="00655E3C">
        <w:rPr>
          <w:rFonts w:ascii="Arial" w:hAnsi="Arial" w:cs="Arial"/>
        </w:rPr>
        <w:t xml:space="preserve"> et al., 1998) (</w:t>
      </w:r>
      <w:proofErr w:type="spellStart"/>
      <w:r w:rsidR="00F343A8" w:rsidRPr="00655E3C">
        <w:rPr>
          <w:rFonts w:ascii="Arial" w:hAnsi="Arial" w:cs="Arial"/>
        </w:rPr>
        <w:t>Dinh</w:t>
      </w:r>
      <w:proofErr w:type="spellEnd"/>
      <w:r w:rsidR="00F343A8" w:rsidRPr="00655E3C">
        <w:rPr>
          <w:rFonts w:ascii="Arial" w:hAnsi="Arial" w:cs="Arial"/>
        </w:rPr>
        <w:t xml:space="preserve"> et al., 2002)</w:t>
      </w:r>
      <w:r w:rsidR="00F343A8" w:rsidRPr="00E37BEE">
        <w:rPr>
          <w:rFonts w:ascii="Arial" w:hAnsi="Arial" w:cs="Arial"/>
        </w:rPr>
        <w:t>.</w:t>
      </w:r>
    </w:p>
    <w:p w14:paraId="1ED04A9F" w14:textId="7B14D0D6" w:rsidR="00FE767C" w:rsidRDefault="00FE767C" w:rsidP="00FE767C">
      <w:pPr>
        <w:pStyle w:val="Body"/>
        <w:rPr>
          <w:rFonts w:ascii="Arial" w:hAnsi="Arial" w:cs="Arial"/>
        </w:rPr>
      </w:pPr>
      <w:r>
        <w:rPr>
          <w:rFonts w:ascii="Arial" w:hAnsi="Arial" w:cs="Arial"/>
        </w:rPr>
        <w:t>P</w:t>
      </w:r>
      <w:r w:rsidRPr="00E37BEE">
        <w:rPr>
          <w:rFonts w:ascii="Arial" w:hAnsi="Arial" w:cs="Arial"/>
        </w:rPr>
        <w:t xml:space="preserve">otassium efflux—to suppress synaptic neurotransmitter release. Δ⁸-THC, a structural variant of THC, shares similar receptor targets but with diminished potency. Cannabinol (CBN) interacts weakly with cannabinoid receptors and induces limited partial agonist responses, while </w:t>
      </w:r>
      <w:proofErr w:type="spellStart"/>
      <w:r w:rsidRPr="00E37BEE">
        <w:rPr>
          <w:rFonts w:ascii="Arial" w:hAnsi="Arial" w:cs="Arial"/>
        </w:rPr>
        <w:t>Cannabigerol</w:t>
      </w:r>
      <w:proofErr w:type="spellEnd"/>
      <w:r w:rsidRPr="00E37BEE">
        <w:rPr>
          <w:rFonts w:ascii="Arial" w:hAnsi="Arial" w:cs="Arial"/>
        </w:rPr>
        <w:t xml:space="preserve"> (CBG), with micromolar binding affinity, functions as a low-efficacy agonist and primarily modulates ECS tone through indirect mechanisms. Tetrahydrocannabivarin (THCV) displays concentration-dependent activity: antagonizing CB</w:t>
      </w:r>
      <w:r w:rsidRPr="00E37BEE">
        <w:rPr>
          <w:rFonts w:ascii="Cambria Math" w:hAnsi="Cambria Math" w:cs="Cambria Math"/>
        </w:rPr>
        <w:t>₁</w:t>
      </w:r>
      <w:r w:rsidRPr="00E37BEE">
        <w:rPr>
          <w:rFonts w:ascii="Arial" w:hAnsi="Arial" w:cs="Arial"/>
        </w:rPr>
        <w:t xml:space="preserve"> receptors at low doses to reduce appetite, and activating them at higher doses to produce THC- like effects. These varied receptor–ligand dynamics reflect the pharmacological complexity of Phyto cannabinoids and support their potential utility in selectively targeting ECS pathways for therapeutic intervention in neurological, metabolic, and immune-related </w:t>
      </w:r>
      <w:proofErr w:type="gramStart"/>
      <w:r w:rsidRPr="00E37BEE">
        <w:rPr>
          <w:rFonts w:ascii="Arial" w:hAnsi="Arial" w:cs="Arial"/>
        </w:rPr>
        <w:t>conditions.(</w:t>
      </w:r>
      <w:proofErr w:type="gramEnd"/>
      <w:r w:rsidRPr="00E37BEE">
        <w:rPr>
          <w:rFonts w:ascii="Arial" w:hAnsi="Arial" w:cs="Arial"/>
        </w:rPr>
        <w:t>10)</w:t>
      </w:r>
    </w:p>
    <w:p w14:paraId="7FE0E7CD" w14:textId="77777777" w:rsidR="000F5184" w:rsidRDefault="000F5184" w:rsidP="00FE767C">
      <w:pPr>
        <w:pStyle w:val="Body"/>
        <w:rPr>
          <w:rFonts w:ascii="Arial" w:hAnsi="Arial" w:cs="Arial"/>
        </w:rPr>
      </w:pPr>
    </w:p>
    <w:p w14:paraId="6CEBE6E1" w14:textId="3E394492" w:rsidR="00FE767C" w:rsidRPr="00E37BEE" w:rsidRDefault="00F343A8" w:rsidP="00F343A8">
      <w:pPr>
        <w:pStyle w:val="Body"/>
        <w:numPr>
          <w:ilvl w:val="0"/>
          <w:numId w:val="47"/>
        </w:numPr>
        <w:rPr>
          <w:rFonts w:ascii="Arial" w:hAnsi="Arial" w:cs="Arial"/>
          <w:b/>
          <w:bCs/>
        </w:rPr>
      </w:pPr>
      <w:r w:rsidRPr="00E37BEE">
        <w:rPr>
          <w:rFonts w:ascii="Arial" w:hAnsi="Arial" w:cs="Arial"/>
          <w:b/>
          <w:bCs/>
        </w:rPr>
        <w:t>INDIAN PLANTS INFLUENCING ECS AND MECHANISMS</w:t>
      </w:r>
    </w:p>
    <w:p w14:paraId="258C8247" w14:textId="7923B6A1" w:rsidR="00655E3C" w:rsidRPr="00E37BEE" w:rsidRDefault="00FE767C" w:rsidP="00FE767C">
      <w:pPr>
        <w:pStyle w:val="Body"/>
        <w:rPr>
          <w:rFonts w:ascii="Arial" w:hAnsi="Arial" w:cs="Arial"/>
        </w:rPr>
      </w:pPr>
      <w:r w:rsidRPr="00E37BEE">
        <w:rPr>
          <w:rFonts w:ascii="Arial" w:hAnsi="Arial" w:cs="Arial"/>
        </w:rPr>
        <w:t xml:space="preserve">Table 3. Several Indian medicinal plants have compounds that interact with the ECS directly or </w:t>
      </w:r>
      <w:commentRangeStart w:id="10"/>
      <w:r w:rsidRPr="00E37BEE">
        <w:rPr>
          <w:rFonts w:ascii="Arial" w:hAnsi="Arial" w:cs="Arial"/>
        </w:rPr>
        <w:t>indirectly</w:t>
      </w:r>
      <w:commentRangeEnd w:id="10"/>
      <w:r w:rsidR="009457A2">
        <w:rPr>
          <w:rStyle w:val="CommentReference"/>
          <w:rFonts w:ascii="Times New Roman" w:hAnsi="Times New Roman"/>
          <w:lang w:val="nb-NO" w:eastAsia="nb-NO"/>
        </w:rPr>
        <w:commentReference w:id="10"/>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2675"/>
        <w:gridCol w:w="4271"/>
      </w:tblGrid>
      <w:tr w:rsidR="00FE767C" w:rsidRPr="00E37BEE" w14:paraId="41B62D0B" w14:textId="77777777" w:rsidTr="007E0AD8">
        <w:trPr>
          <w:trHeight w:val="412"/>
        </w:trPr>
        <w:tc>
          <w:tcPr>
            <w:tcW w:w="2074" w:type="dxa"/>
          </w:tcPr>
          <w:p w14:paraId="30AF9370" w14:textId="77777777" w:rsidR="00FE767C" w:rsidRPr="00E37BEE" w:rsidRDefault="00FE767C" w:rsidP="007E0AD8">
            <w:pPr>
              <w:pStyle w:val="Body"/>
              <w:rPr>
                <w:rFonts w:ascii="Arial" w:hAnsi="Arial" w:cs="Arial"/>
                <w:b/>
              </w:rPr>
            </w:pPr>
            <w:r w:rsidRPr="00E37BEE">
              <w:rPr>
                <w:rFonts w:ascii="Arial" w:hAnsi="Arial" w:cs="Arial"/>
                <w:b/>
              </w:rPr>
              <w:t>Indian Plant</w:t>
            </w:r>
          </w:p>
        </w:tc>
        <w:tc>
          <w:tcPr>
            <w:tcW w:w="2675" w:type="dxa"/>
          </w:tcPr>
          <w:p w14:paraId="5AB80C26" w14:textId="77777777" w:rsidR="00FE767C" w:rsidRPr="00E37BEE" w:rsidRDefault="00FE767C" w:rsidP="007E0AD8">
            <w:pPr>
              <w:pStyle w:val="Body"/>
              <w:rPr>
                <w:rFonts w:ascii="Arial" w:hAnsi="Arial" w:cs="Arial"/>
                <w:b/>
              </w:rPr>
            </w:pPr>
            <w:r w:rsidRPr="00E37BEE">
              <w:rPr>
                <w:rFonts w:ascii="Arial" w:hAnsi="Arial" w:cs="Arial"/>
                <w:b/>
              </w:rPr>
              <w:t>Active Compound</w:t>
            </w:r>
          </w:p>
        </w:tc>
        <w:tc>
          <w:tcPr>
            <w:tcW w:w="4271" w:type="dxa"/>
          </w:tcPr>
          <w:p w14:paraId="61B6ED30" w14:textId="77777777" w:rsidR="00FE767C" w:rsidRPr="00E37BEE" w:rsidRDefault="00FE767C" w:rsidP="007E0AD8">
            <w:pPr>
              <w:pStyle w:val="Body"/>
              <w:rPr>
                <w:rFonts w:ascii="Arial" w:hAnsi="Arial" w:cs="Arial"/>
                <w:b/>
              </w:rPr>
            </w:pPr>
            <w:r w:rsidRPr="00E37BEE">
              <w:rPr>
                <w:rFonts w:ascii="Arial" w:hAnsi="Arial" w:cs="Arial"/>
                <w:b/>
              </w:rPr>
              <w:t>ECS Mechanism</w:t>
            </w:r>
          </w:p>
        </w:tc>
      </w:tr>
      <w:tr w:rsidR="00FE767C" w:rsidRPr="00E37BEE" w14:paraId="41751540" w14:textId="77777777" w:rsidTr="007E0AD8">
        <w:trPr>
          <w:trHeight w:val="827"/>
        </w:trPr>
        <w:tc>
          <w:tcPr>
            <w:tcW w:w="2074" w:type="dxa"/>
          </w:tcPr>
          <w:p w14:paraId="04EADA56" w14:textId="77777777" w:rsidR="00FE767C" w:rsidRPr="00E37BEE" w:rsidRDefault="00FE767C" w:rsidP="007E0AD8">
            <w:pPr>
              <w:pStyle w:val="Body"/>
              <w:rPr>
                <w:rFonts w:ascii="Arial" w:hAnsi="Arial" w:cs="Arial"/>
              </w:rPr>
            </w:pPr>
            <w:r w:rsidRPr="00E37BEE">
              <w:rPr>
                <w:rFonts w:ascii="Arial" w:hAnsi="Arial" w:cs="Arial"/>
              </w:rPr>
              <w:lastRenderedPageBreak/>
              <w:t>Black Pepper</w:t>
            </w:r>
          </w:p>
          <w:p w14:paraId="40C6D8D4" w14:textId="77777777" w:rsidR="00FE767C" w:rsidRPr="00E37BEE" w:rsidRDefault="00FE767C" w:rsidP="007E0AD8">
            <w:pPr>
              <w:pStyle w:val="Body"/>
              <w:rPr>
                <w:rFonts w:ascii="Arial" w:hAnsi="Arial" w:cs="Arial"/>
              </w:rPr>
            </w:pPr>
            <w:r w:rsidRPr="00E37BEE">
              <w:rPr>
                <w:rFonts w:ascii="Arial" w:hAnsi="Arial" w:cs="Arial"/>
              </w:rPr>
              <w:t>(Piper nigrum)</w:t>
            </w:r>
          </w:p>
        </w:tc>
        <w:tc>
          <w:tcPr>
            <w:tcW w:w="2675" w:type="dxa"/>
          </w:tcPr>
          <w:p w14:paraId="277910B6" w14:textId="77777777" w:rsidR="00FE767C" w:rsidRPr="00E37BEE" w:rsidRDefault="00FE767C" w:rsidP="007E0AD8">
            <w:pPr>
              <w:pStyle w:val="Body"/>
              <w:rPr>
                <w:rFonts w:ascii="Arial" w:hAnsi="Arial" w:cs="Arial"/>
              </w:rPr>
            </w:pPr>
            <w:r w:rsidRPr="00E37BEE">
              <w:rPr>
                <w:rFonts w:ascii="Arial" w:hAnsi="Arial" w:cs="Arial"/>
              </w:rPr>
              <w:t>β-Caryophyllene</w:t>
            </w:r>
          </w:p>
        </w:tc>
        <w:tc>
          <w:tcPr>
            <w:tcW w:w="4271" w:type="dxa"/>
          </w:tcPr>
          <w:p w14:paraId="6A82EBD5" w14:textId="77777777" w:rsidR="00FE767C" w:rsidRPr="00E37BEE" w:rsidRDefault="00FE767C" w:rsidP="007E0AD8">
            <w:pPr>
              <w:pStyle w:val="Body"/>
              <w:rPr>
                <w:rFonts w:ascii="Arial" w:hAnsi="Arial" w:cs="Arial"/>
              </w:rPr>
            </w:pPr>
            <w:r w:rsidRPr="00E37BEE">
              <w:rPr>
                <w:rFonts w:ascii="Arial" w:hAnsi="Arial" w:cs="Arial"/>
              </w:rPr>
              <w:t>CB2</w:t>
            </w:r>
            <w:r w:rsidRPr="00E37BEE">
              <w:rPr>
                <w:rFonts w:ascii="Arial" w:hAnsi="Arial" w:cs="Arial"/>
              </w:rPr>
              <w:tab/>
              <w:t>receptor</w:t>
            </w:r>
            <w:r w:rsidRPr="00E37BEE">
              <w:rPr>
                <w:rFonts w:ascii="Arial" w:hAnsi="Arial" w:cs="Arial"/>
              </w:rPr>
              <w:tab/>
              <w:t>agonist</w:t>
            </w:r>
            <w:r w:rsidRPr="00E37BEE">
              <w:rPr>
                <w:rFonts w:ascii="Arial" w:hAnsi="Arial" w:cs="Arial"/>
              </w:rPr>
              <w:tab/>
              <w:t>→</w:t>
            </w:r>
            <w:r w:rsidRPr="00E37BEE">
              <w:rPr>
                <w:rFonts w:ascii="Arial" w:hAnsi="Arial" w:cs="Arial"/>
              </w:rPr>
              <w:tab/>
              <w:t>anti-</w:t>
            </w:r>
          </w:p>
          <w:p w14:paraId="3B9E42CA" w14:textId="77777777" w:rsidR="00FE767C" w:rsidRPr="00E37BEE" w:rsidRDefault="00FE767C" w:rsidP="007E0AD8">
            <w:pPr>
              <w:pStyle w:val="Body"/>
              <w:rPr>
                <w:rFonts w:ascii="Arial" w:hAnsi="Arial" w:cs="Arial"/>
              </w:rPr>
            </w:pPr>
            <w:r w:rsidRPr="00E37BEE">
              <w:rPr>
                <w:rFonts w:ascii="Arial" w:hAnsi="Arial" w:cs="Arial"/>
              </w:rPr>
              <w:t>inflammatory</w:t>
            </w:r>
          </w:p>
        </w:tc>
      </w:tr>
      <w:tr w:rsidR="00FE767C" w:rsidRPr="00E37BEE" w14:paraId="15DC50BC" w14:textId="77777777" w:rsidTr="007E0AD8">
        <w:trPr>
          <w:trHeight w:val="1242"/>
        </w:trPr>
        <w:tc>
          <w:tcPr>
            <w:tcW w:w="2074" w:type="dxa"/>
          </w:tcPr>
          <w:p w14:paraId="43BD183C" w14:textId="77777777" w:rsidR="00FE767C" w:rsidRPr="00E37BEE" w:rsidRDefault="00FE767C" w:rsidP="007E0AD8">
            <w:pPr>
              <w:pStyle w:val="Body"/>
              <w:rPr>
                <w:rFonts w:ascii="Arial" w:hAnsi="Arial" w:cs="Arial"/>
              </w:rPr>
            </w:pPr>
            <w:r w:rsidRPr="00E37BEE">
              <w:rPr>
                <w:rFonts w:ascii="Arial" w:hAnsi="Arial" w:cs="Arial"/>
              </w:rPr>
              <w:t>Holy Basil (</w:t>
            </w:r>
            <w:proofErr w:type="spellStart"/>
            <w:r w:rsidRPr="00E37BEE">
              <w:rPr>
                <w:rFonts w:ascii="Arial" w:hAnsi="Arial" w:cs="Arial"/>
              </w:rPr>
              <w:t>Ocimum</w:t>
            </w:r>
            <w:proofErr w:type="spellEnd"/>
          </w:p>
          <w:p w14:paraId="4857836C" w14:textId="77777777" w:rsidR="00FE767C" w:rsidRPr="00E37BEE" w:rsidRDefault="00FE767C" w:rsidP="007E0AD8">
            <w:pPr>
              <w:pStyle w:val="Body"/>
              <w:rPr>
                <w:rFonts w:ascii="Arial" w:hAnsi="Arial" w:cs="Arial"/>
              </w:rPr>
            </w:pPr>
            <w:r w:rsidRPr="00E37BEE">
              <w:rPr>
                <w:rFonts w:ascii="Arial" w:hAnsi="Arial" w:cs="Arial"/>
              </w:rPr>
              <w:t>sanctum)</w:t>
            </w:r>
          </w:p>
        </w:tc>
        <w:tc>
          <w:tcPr>
            <w:tcW w:w="2675" w:type="dxa"/>
          </w:tcPr>
          <w:p w14:paraId="6059A6F7" w14:textId="77777777" w:rsidR="00FE767C" w:rsidRPr="00E37BEE" w:rsidRDefault="00FE767C" w:rsidP="007E0AD8">
            <w:pPr>
              <w:pStyle w:val="Body"/>
              <w:rPr>
                <w:rFonts w:ascii="Arial" w:hAnsi="Arial" w:cs="Arial"/>
              </w:rPr>
            </w:pPr>
            <w:r w:rsidRPr="00E37BEE">
              <w:rPr>
                <w:rFonts w:ascii="Arial" w:hAnsi="Arial" w:cs="Arial"/>
              </w:rPr>
              <w:t>Eugenol</w:t>
            </w:r>
          </w:p>
        </w:tc>
        <w:tc>
          <w:tcPr>
            <w:tcW w:w="4271" w:type="dxa"/>
          </w:tcPr>
          <w:p w14:paraId="6A673EAD" w14:textId="77777777" w:rsidR="00FE767C" w:rsidRPr="00E37BEE" w:rsidRDefault="00FE767C" w:rsidP="007E0AD8">
            <w:pPr>
              <w:pStyle w:val="Body"/>
              <w:rPr>
                <w:rFonts w:ascii="Arial" w:hAnsi="Arial" w:cs="Arial"/>
              </w:rPr>
            </w:pPr>
            <w:r w:rsidRPr="00E37BEE">
              <w:rPr>
                <w:rFonts w:ascii="Arial" w:hAnsi="Arial" w:cs="Arial"/>
              </w:rPr>
              <w:t>Inhibits FAAH enzyme → ↑ Anandamide (AEA)</w:t>
            </w:r>
          </w:p>
        </w:tc>
      </w:tr>
      <w:tr w:rsidR="00FE767C" w:rsidRPr="00E37BEE" w14:paraId="77D250E3" w14:textId="77777777" w:rsidTr="007E0AD8">
        <w:trPr>
          <w:trHeight w:val="1243"/>
        </w:trPr>
        <w:tc>
          <w:tcPr>
            <w:tcW w:w="2074" w:type="dxa"/>
          </w:tcPr>
          <w:p w14:paraId="401206A0" w14:textId="77777777" w:rsidR="00FE767C" w:rsidRPr="00E37BEE" w:rsidRDefault="00FE767C" w:rsidP="007E0AD8">
            <w:pPr>
              <w:pStyle w:val="Body"/>
              <w:rPr>
                <w:rFonts w:ascii="Arial" w:hAnsi="Arial" w:cs="Arial"/>
              </w:rPr>
            </w:pPr>
            <w:r w:rsidRPr="00E37BEE">
              <w:rPr>
                <w:rFonts w:ascii="Arial" w:hAnsi="Arial" w:cs="Arial"/>
              </w:rPr>
              <w:t>Clove</w:t>
            </w:r>
          </w:p>
          <w:p w14:paraId="0E950929" w14:textId="77777777" w:rsidR="00FE767C" w:rsidRPr="00E37BEE" w:rsidRDefault="00FE767C" w:rsidP="007E0AD8">
            <w:pPr>
              <w:pStyle w:val="Body"/>
              <w:rPr>
                <w:rFonts w:ascii="Arial" w:hAnsi="Arial" w:cs="Arial"/>
              </w:rPr>
            </w:pPr>
            <w:r w:rsidRPr="00E37BEE">
              <w:rPr>
                <w:rFonts w:ascii="Arial" w:hAnsi="Arial" w:cs="Arial"/>
              </w:rPr>
              <w:t>(</w:t>
            </w:r>
            <w:proofErr w:type="spellStart"/>
            <w:r w:rsidRPr="00E37BEE">
              <w:rPr>
                <w:rFonts w:ascii="Arial" w:hAnsi="Arial" w:cs="Arial"/>
              </w:rPr>
              <w:t>Syzygium</w:t>
            </w:r>
            <w:proofErr w:type="spellEnd"/>
            <w:r w:rsidRPr="00E37BEE">
              <w:rPr>
                <w:rFonts w:ascii="Arial" w:hAnsi="Arial" w:cs="Arial"/>
              </w:rPr>
              <w:t xml:space="preserve"> </w:t>
            </w:r>
            <w:proofErr w:type="spellStart"/>
            <w:r w:rsidRPr="00E37BEE">
              <w:rPr>
                <w:rFonts w:ascii="Arial" w:hAnsi="Arial" w:cs="Arial"/>
              </w:rPr>
              <w:t>aromaticum</w:t>
            </w:r>
            <w:proofErr w:type="spellEnd"/>
            <w:r w:rsidRPr="00E37BEE">
              <w:rPr>
                <w:rFonts w:ascii="Arial" w:hAnsi="Arial" w:cs="Arial"/>
              </w:rPr>
              <w:t>)</w:t>
            </w:r>
          </w:p>
        </w:tc>
        <w:tc>
          <w:tcPr>
            <w:tcW w:w="2675" w:type="dxa"/>
          </w:tcPr>
          <w:p w14:paraId="068D25FE" w14:textId="77777777" w:rsidR="00FE767C" w:rsidRPr="00E37BEE" w:rsidRDefault="00FE767C" w:rsidP="007E0AD8">
            <w:pPr>
              <w:pStyle w:val="Body"/>
              <w:rPr>
                <w:rFonts w:ascii="Arial" w:hAnsi="Arial" w:cs="Arial"/>
              </w:rPr>
            </w:pPr>
            <w:r w:rsidRPr="00E37BEE">
              <w:rPr>
                <w:rFonts w:ascii="Arial" w:hAnsi="Arial" w:cs="Arial"/>
              </w:rPr>
              <w:t>β-Caryophyllene</w:t>
            </w:r>
          </w:p>
        </w:tc>
        <w:tc>
          <w:tcPr>
            <w:tcW w:w="4271" w:type="dxa"/>
          </w:tcPr>
          <w:p w14:paraId="6FF7284F" w14:textId="77777777" w:rsidR="00FE767C" w:rsidRPr="00E37BEE" w:rsidRDefault="00FE767C" w:rsidP="007E0AD8">
            <w:pPr>
              <w:pStyle w:val="Body"/>
              <w:rPr>
                <w:rFonts w:ascii="Arial" w:hAnsi="Arial" w:cs="Arial"/>
              </w:rPr>
            </w:pPr>
            <w:r w:rsidRPr="00E37BEE">
              <w:rPr>
                <w:rFonts w:ascii="Arial" w:hAnsi="Arial" w:cs="Arial"/>
              </w:rPr>
              <w:t>CB2 receptor agonist</w:t>
            </w:r>
          </w:p>
        </w:tc>
      </w:tr>
      <w:tr w:rsidR="00FE767C" w:rsidRPr="00E37BEE" w14:paraId="29824B13" w14:textId="77777777" w:rsidTr="007E0AD8">
        <w:trPr>
          <w:trHeight w:val="827"/>
        </w:trPr>
        <w:tc>
          <w:tcPr>
            <w:tcW w:w="2074" w:type="dxa"/>
          </w:tcPr>
          <w:p w14:paraId="5A760DC6" w14:textId="77777777" w:rsidR="00FE767C" w:rsidRPr="00E37BEE" w:rsidRDefault="00FE767C" w:rsidP="007E0AD8">
            <w:pPr>
              <w:pStyle w:val="Body"/>
              <w:rPr>
                <w:rFonts w:ascii="Arial" w:hAnsi="Arial" w:cs="Arial"/>
              </w:rPr>
            </w:pPr>
            <w:r w:rsidRPr="00E37BEE">
              <w:rPr>
                <w:rFonts w:ascii="Arial" w:hAnsi="Arial" w:cs="Arial"/>
              </w:rPr>
              <w:t>Turmeric</w:t>
            </w:r>
          </w:p>
          <w:p w14:paraId="7DFB41C3" w14:textId="77777777" w:rsidR="00FE767C" w:rsidRPr="00E37BEE" w:rsidRDefault="00FE767C" w:rsidP="007E0AD8">
            <w:pPr>
              <w:pStyle w:val="Body"/>
              <w:rPr>
                <w:rFonts w:ascii="Arial" w:hAnsi="Arial" w:cs="Arial"/>
              </w:rPr>
            </w:pPr>
            <w:r w:rsidRPr="00E37BEE">
              <w:rPr>
                <w:rFonts w:ascii="Arial" w:hAnsi="Arial" w:cs="Arial"/>
              </w:rPr>
              <w:t>(Curcuma longa)</w:t>
            </w:r>
          </w:p>
        </w:tc>
        <w:tc>
          <w:tcPr>
            <w:tcW w:w="2675" w:type="dxa"/>
          </w:tcPr>
          <w:p w14:paraId="2B16D811" w14:textId="77777777" w:rsidR="00FE767C" w:rsidRPr="00E37BEE" w:rsidRDefault="00FE767C" w:rsidP="007E0AD8">
            <w:pPr>
              <w:pStyle w:val="Body"/>
              <w:rPr>
                <w:rFonts w:ascii="Arial" w:hAnsi="Arial" w:cs="Arial"/>
              </w:rPr>
            </w:pPr>
            <w:r w:rsidRPr="00E37BEE">
              <w:rPr>
                <w:rFonts w:ascii="Arial" w:hAnsi="Arial" w:cs="Arial"/>
              </w:rPr>
              <w:t>Curcumin</w:t>
            </w:r>
          </w:p>
        </w:tc>
        <w:tc>
          <w:tcPr>
            <w:tcW w:w="4271" w:type="dxa"/>
          </w:tcPr>
          <w:p w14:paraId="266BD254" w14:textId="77777777" w:rsidR="00FE767C" w:rsidRPr="00E37BEE" w:rsidRDefault="00FE767C" w:rsidP="007E0AD8">
            <w:pPr>
              <w:pStyle w:val="Body"/>
              <w:rPr>
                <w:rFonts w:ascii="Arial" w:hAnsi="Arial" w:cs="Arial"/>
              </w:rPr>
            </w:pPr>
            <w:r w:rsidRPr="00E37BEE">
              <w:rPr>
                <w:rFonts w:ascii="Arial" w:hAnsi="Arial" w:cs="Arial"/>
              </w:rPr>
              <w:t>Modulates</w:t>
            </w:r>
            <w:r w:rsidRPr="00E37BEE">
              <w:rPr>
                <w:rFonts w:ascii="Arial" w:hAnsi="Arial" w:cs="Arial"/>
              </w:rPr>
              <w:tab/>
              <w:t>endocannabinoid</w:t>
            </w:r>
            <w:r w:rsidRPr="00E37BEE">
              <w:rPr>
                <w:rFonts w:ascii="Arial" w:hAnsi="Arial" w:cs="Arial"/>
              </w:rPr>
              <w:tab/>
              <w:t>tone</w:t>
            </w:r>
            <w:r w:rsidRPr="00E37BEE">
              <w:rPr>
                <w:rFonts w:ascii="Arial" w:hAnsi="Arial" w:cs="Arial"/>
              </w:rPr>
              <w:tab/>
              <w:t>via</w:t>
            </w:r>
          </w:p>
          <w:p w14:paraId="1170A54E" w14:textId="77777777" w:rsidR="00FE767C" w:rsidRPr="00E37BEE" w:rsidRDefault="00FE767C" w:rsidP="007E0AD8">
            <w:pPr>
              <w:pStyle w:val="Body"/>
              <w:rPr>
                <w:rFonts w:ascii="Arial" w:hAnsi="Arial" w:cs="Arial"/>
              </w:rPr>
            </w:pPr>
            <w:r w:rsidRPr="00E37BEE">
              <w:rPr>
                <w:rFonts w:ascii="Arial" w:hAnsi="Arial" w:cs="Arial"/>
              </w:rPr>
              <w:t>PPAR-γ activation</w:t>
            </w:r>
          </w:p>
        </w:tc>
      </w:tr>
      <w:tr w:rsidR="00FE767C" w:rsidRPr="00E37BEE" w14:paraId="32C4FF8C" w14:textId="77777777" w:rsidTr="007E0AD8">
        <w:trPr>
          <w:trHeight w:val="1240"/>
        </w:trPr>
        <w:tc>
          <w:tcPr>
            <w:tcW w:w="2074" w:type="dxa"/>
          </w:tcPr>
          <w:p w14:paraId="0686D20D" w14:textId="77777777" w:rsidR="00FE767C" w:rsidRPr="00E37BEE" w:rsidRDefault="00FE767C" w:rsidP="007E0AD8">
            <w:pPr>
              <w:pStyle w:val="Body"/>
              <w:rPr>
                <w:rFonts w:ascii="Arial" w:hAnsi="Arial" w:cs="Arial"/>
              </w:rPr>
            </w:pPr>
            <w:r w:rsidRPr="00E37BEE">
              <w:rPr>
                <w:rFonts w:ascii="Arial" w:hAnsi="Arial" w:cs="Arial"/>
              </w:rPr>
              <w:t>Tea</w:t>
            </w:r>
          </w:p>
          <w:p w14:paraId="7D34EE66" w14:textId="77777777" w:rsidR="00FE767C" w:rsidRPr="00E37BEE" w:rsidRDefault="00FE767C" w:rsidP="007E0AD8">
            <w:pPr>
              <w:pStyle w:val="Body"/>
              <w:rPr>
                <w:rFonts w:ascii="Arial" w:hAnsi="Arial" w:cs="Arial"/>
              </w:rPr>
            </w:pPr>
            <w:r w:rsidRPr="00E37BEE">
              <w:rPr>
                <w:rFonts w:ascii="Arial" w:hAnsi="Arial" w:cs="Arial"/>
              </w:rPr>
              <w:t>(Camellia sinensis)</w:t>
            </w:r>
          </w:p>
        </w:tc>
        <w:tc>
          <w:tcPr>
            <w:tcW w:w="2675" w:type="dxa"/>
          </w:tcPr>
          <w:p w14:paraId="72AAA94D" w14:textId="77777777" w:rsidR="00FE767C" w:rsidRPr="00E37BEE" w:rsidRDefault="00FE767C" w:rsidP="007E0AD8">
            <w:pPr>
              <w:pStyle w:val="Body"/>
              <w:rPr>
                <w:rFonts w:ascii="Arial" w:hAnsi="Arial" w:cs="Arial"/>
              </w:rPr>
            </w:pPr>
            <w:r w:rsidRPr="00E37BEE">
              <w:rPr>
                <w:rFonts w:ascii="Arial" w:hAnsi="Arial" w:cs="Arial"/>
              </w:rPr>
              <w:t>Epigallocatechin</w:t>
            </w:r>
            <w:r w:rsidRPr="00E37BEE">
              <w:rPr>
                <w:rFonts w:ascii="Arial" w:hAnsi="Arial" w:cs="Arial"/>
              </w:rPr>
              <w:tab/>
              <w:t>gallate (EGCG)</w:t>
            </w:r>
          </w:p>
        </w:tc>
        <w:tc>
          <w:tcPr>
            <w:tcW w:w="4271" w:type="dxa"/>
          </w:tcPr>
          <w:p w14:paraId="182DDEB2" w14:textId="77777777" w:rsidR="00FE767C" w:rsidRPr="00E37BEE" w:rsidRDefault="00FE767C" w:rsidP="007E0AD8">
            <w:pPr>
              <w:pStyle w:val="Body"/>
              <w:rPr>
                <w:rFonts w:ascii="Arial" w:hAnsi="Arial" w:cs="Arial"/>
              </w:rPr>
            </w:pPr>
            <w:r w:rsidRPr="00E37BEE">
              <w:rPr>
                <w:rFonts w:ascii="Arial" w:hAnsi="Arial" w:cs="Arial"/>
              </w:rPr>
              <w:t>Indirect ECS modulation via antioxidant and enzyme regulation</w:t>
            </w:r>
          </w:p>
        </w:tc>
      </w:tr>
    </w:tbl>
    <w:p w14:paraId="4A8C7021" w14:textId="77777777" w:rsidR="00FE767C" w:rsidRPr="00E37BEE" w:rsidRDefault="00FE767C" w:rsidP="00FE767C">
      <w:pPr>
        <w:pStyle w:val="Body"/>
        <w:rPr>
          <w:rFonts w:ascii="Arial" w:hAnsi="Arial" w:cs="Arial"/>
        </w:rPr>
        <w:sectPr w:rsidR="00FE767C" w:rsidRPr="00E37BEE" w:rsidSect="00FE767C">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360" w:right="1417" w:bottom="280" w:left="1417" w:header="720" w:footer="720" w:gutter="0"/>
          <w:cols w:space="720"/>
        </w:sectPr>
      </w:pPr>
    </w:p>
    <w:p w14:paraId="08B68CC4" w14:textId="3FD2FF44" w:rsidR="00FE767C" w:rsidRPr="00E37BEE" w:rsidRDefault="00FE767C" w:rsidP="00FE767C">
      <w:pPr>
        <w:pStyle w:val="Body"/>
        <w:rPr>
          <w:rFonts w:ascii="Arial" w:hAnsi="Arial" w:cs="Arial"/>
        </w:rPr>
      </w:pPr>
      <w:r w:rsidRPr="00E37BEE">
        <w:rPr>
          <w:rFonts w:ascii="Arial" w:hAnsi="Arial" w:cs="Arial"/>
        </w:rPr>
        <w:t xml:space="preserve">Indian medicinal flora offers a variety of phytochemicals that engage the endocannabinoid system through distinct pathways. Piper nigrum (black pepper) and </w:t>
      </w:r>
      <w:proofErr w:type="spellStart"/>
      <w:r w:rsidRPr="00E37BEE">
        <w:rPr>
          <w:rFonts w:ascii="Arial" w:hAnsi="Arial" w:cs="Arial"/>
        </w:rPr>
        <w:t>Syzygium</w:t>
      </w:r>
      <w:proofErr w:type="spellEnd"/>
      <w:r w:rsidRPr="00E37BEE">
        <w:rPr>
          <w:rFonts w:ascii="Arial" w:hAnsi="Arial" w:cs="Arial"/>
        </w:rPr>
        <w:t xml:space="preserve"> </w:t>
      </w:r>
      <w:proofErr w:type="spellStart"/>
      <w:r w:rsidRPr="00E37BEE">
        <w:rPr>
          <w:rFonts w:ascii="Arial" w:hAnsi="Arial" w:cs="Arial"/>
        </w:rPr>
        <w:t>aromaticum</w:t>
      </w:r>
      <w:proofErr w:type="spellEnd"/>
      <w:r w:rsidRPr="00E37BEE">
        <w:rPr>
          <w:rFonts w:ascii="Arial" w:hAnsi="Arial" w:cs="Arial"/>
        </w:rPr>
        <w:t xml:space="preserve"> (clove) both supply β-caryophyllene, a selective CB</w:t>
      </w:r>
      <w:r w:rsidRPr="00E37BEE">
        <w:rPr>
          <w:rFonts w:ascii="Cambria Math" w:hAnsi="Cambria Math" w:cs="Cambria Math"/>
        </w:rPr>
        <w:t>₂</w:t>
      </w:r>
      <w:r w:rsidRPr="00E37BEE">
        <w:rPr>
          <w:rFonts w:ascii="Arial" w:hAnsi="Arial" w:cs="Arial"/>
        </w:rPr>
        <w:t xml:space="preserve"> receptor agonist with pronounced anti- inflammatory activity. Eugenol from </w:t>
      </w:r>
      <w:proofErr w:type="spellStart"/>
      <w:r w:rsidRPr="00E37BEE">
        <w:rPr>
          <w:rFonts w:ascii="Arial" w:hAnsi="Arial" w:cs="Arial"/>
        </w:rPr>
        <w:t>Ocimum</w:t>
      </w:r>
      <w:proofErr w:type="spellEnd"/>
      <w:r w:rsidRPr="00E37BEE">
        <w:rPr>
          <w:rFonts w:ascii="Arial" w:hAnsi="Arial" w:cs="Arial"/>
        </w:rPr>
        <w:t xml:space="preserve"> sanctum (holy basil) inhibits fatty acid amide hydrolase (FAAH), raising anandamide levels and prolonging cannabinoid receptor signaling. Curcumin, the active constituent of Curcuma longa (turmeric), indirectly adjusts endocannabinoid tone via activation of peroxisome proliferator-activated receptor gamma (PPAR-γ). Likewise, epigallocatechin gallate (EGCG) in Camellia sinensis (tea) modulates ECS function through its antioxidant effects and regulation of metabolic enzymes. Together, these compounds highlight the potential of Indian botanicals to regulate ECS-mediated responses in inflammation, oxidative stress, and metabolic disorders</w:t>
      </w:r>
      <w:r w:rsidR="00655E3C">
        <w:rPr>
          <w:rFonts w:ascii="Arial" w:hAnsi="Arial" w:cs="Arial"/>
        </w:rPr>
        <w:t xml:space="preserve"> </w:t>
      </w:r>
      <w:r w:rsidR="00655E3C" w:rsidRPr="00655E3C">
        <w:rPr>
          <w:rFonts w:ascii="Arial" w:hAnsi="Arial" w:cs="Arial"/>
        </w:rPr>
        <w:t>(</w:t>
      </w:r>
      <w:proofErr w:type="spellStart"/>
      <w:r w:rsidR="00655E3C" w:rsidRPr="00655E3C">
        <w:rPr>
          <w:rFonts w:ascii="Arial" w:hAnsi="Arial" w:cs="Arial"/>
        </w:rPr>
        <w:t>Orav</w:t>
      </w:r>
      <w:proofErr w:type="spellEnd"/>
      <w:r w:rsidR="00655E3C" w:rsidRPr="00655E3C">
        <w:rPr>
          <w:rFonts w:ascii="Arial" w:hAnsi="Arial" w:cs="Arial"/>
        </w:rPr>
        <w:t xml:space="preserve"> et al., 2004) (</w:t>
      </w:r>
      <w:proofErr w:type="spellStart"/>
      <w:r w:rsidR="00655E3C" w:rsidRPr="00655E3C">
        <w:rPr>
          <w:rFonts w:ascii="Arial" w:hAnsi="Arial" w:cs="Arial"/>
        </w:rPr>
        <w:t>Jayaprakasha</w:t>
      </w:r>
      <w:proofErr w:type="spellEnd"/>
      <w:r w:rsidR="00655E3C" w:rsidRPr="00655E3C">
        <w:rPr>
          <w:rFonts w:ascii="Arial" w:hAnsi="Arial" w:cs="Arial"/>
        </w:rPr>
        <w:t xml:space="preserve"> et al., 2003) (</w:t>
      </w:r>
      <w:proofErr w:type="spellStart"/>
      <w:r w:rsidR="00655E3C" w:rsidRPr="00655E3C">
        <w:rPr>
          <w:rFonts w:ascii="Arial" w:hAnsi="Arial" w:cs="Arial"/>
        </w:rPr>
        <w:t>Mockutė</w:t>
      </w:r>
      <w:proofErr w:type="spellEnd"/>
      <w:r w:rsidR="00655E3C" w:rsidRPr="00655E3C">
        <w:rPr>
          <w:rFonts w:ascii="Arial" w:hAnsi="Arial" w:cs="Arial"/>
        </w:rPr>
        <w:t xml:space="preserve"> et al., 2001) (</w:t>
      </w:r>
      <w:proofErr w:type="spellStart"/>
      <w:r w:rsidR="00655E3C" w:rsidRPr="00655E3C">
        <w:rPr>
          <w:rFonts w:ascii="Arial" w:hAnsi="Arial" w:cs="Arial"/>
        </w:rPr>
        <w:t>Sköld</w:t>
      </w:r>
      <w:proofErr w:type="spellEnd"/>
      <w:r w:rsidR="00655E3C" w:rsidRPr="00655E3C">
        <w:rPr>
          <w:rFonts w:ascii="Arial" w:hAnsi="Arial" w:cs="Arial"/>
        </w:rPr>
        <w:t xml:space="preserve"> et al., 2006)</w:t>
      </w:r>
      <w:r w:rsidRPr="00E37BEE">
        <w:rPr>
          <w:rFonts w:ascii="Arial" w:hAnsi="Arial" w:cs="Arial"/>
        </w:rPr>
        <w:t>.</w:t>
      </w:r>
    </w:p>
    <w:p w14:paraId="5E42E875" w14:textId="4486439F" w:rsidR="00FE767C" w:rsidRPr="00E37BEE" w:rsidRDefault="00FE767C" w:rsidP="00F343A8">
      <w:pPr>
        <w:pStyle w:val="Body"/>
        <w:rPr>
          <w:rFonts w:ascii="Arial" w:hAnsi="Arial" w:cs="Arial"/>
          <w:b/>
          <w:bCs/>
          <w:sz w:val="22"/>
          <w:szCs w:val="22"/>
        </w:rPr>
      </w:pPr>
      <w:r w:rsidRPr="00AC77A9">
        <w:rPr>
          <w:rFonts w:ascii="Arial" w:hAnsi="Arial" w:cs="Arial"/>
          <w:b/>
          <w:bCs/>
          <w:sz w:val="22"/>
          <w:szCs w:val="22"/>
        </w:rPr>
        <w:t>CONCLUSION:</w:t>
      </w:r>
    </w:p>
    <w:p w14:paraId="47DCC59E" w14:textId="77777777" w:rsidR="00FE767C" w:rsidRDefault="00FE767C" w:rsidP="00FE767C">
      <w:pPr>
        <w:pStyle w:val="Body"/>
        <w:rPr>
          <w:rFonts w:ascii="Arial" w:hAnsi="Arial" w:cs="Arial"/>
        </w:rPr>
      </w:pPr>
      <w:r w:rsidRPr="00E37BEE">
        <w:rPr>
          <w:rFonts w:ascii="Arial" w:hAnsi="Arial" w:cs="Arial"/>
        </w:rPr>
        <w:t>The endocannabinoid system (ECS) is an evolutionarily conserved, lipid-based signaling network that coordinates neural, immune, and metabolic activities to maintain physiological equilibrium. Composed of endogenous ligands, the enzymes responsible for their synthesis and degradation, and two primary G-protein–coupled receptors CB</w:t>
      </w:r>
      <w:r w:rsidRPr="00E37BEE">
        <w:rPr>
          <w:rFonts w:ascii="Cambria Math" w:hAnsi="Cambria Math" w:cs="Cambria Math"/>
        </w:rPr>
        <w:t>₁</w:t>
      </w:r>
      <w:r w:rsidRPr="00E37BEE">
        <w:rPr>
          <w:rFonts w:ascii="Arial" w:hAnsi="Arial" w:cs="Arial"/>
        </w:rPr>
        <w:t xml:space="preserve"> and CB</w:t>
      </w:r>
      <w:r w:rsidRPr="00E37BEE">
        <w:rPr>
          <w:rFonts w:ascii="Cambria Math" w:hAnsi="Cambria Math" w:cs="Cambria Math"/>
        </w:rPr>
        <w:t>₂</w:t>
      </w:r>
      <w:r w:rsidRPr="00E37BEE">
        <w:rPr>
          <w:rFonts w:ascii="Arial" w:hAnsi="Arial" w:cs="Arial"/>
        </w:rPr>
        <w:t xml:space="preserve">, the ECS fine-tunes processes such as synaptic transmission, pain perception, emotional responses, immune regulation, and energy homeostasis. When this system becomes dysregulated, it contributes to the development of neurological, metabolic, and inflammatory disorders, highlighting its importance as a therapeutic target. In addition to classical </w:t>
      </w:r>
      <w:proofErr w:type="spellStart"/>
      <w:r w:rsidRPr="00E37BEE">
        <w:rPr>
          <w:rFonts w:ascii="Arial" w:hAnsi="Arial" w:cs="Arial"/>
        </w:rPr>
        <w:t>phytocannabinoids</w:t>
      </w:r>
      <w:proofErr w:type="spellEnd"/>
      <w:r w:rsidRPr="00E37BEE">
        <w:rPr>
          <w:rFonts w:ascii="Arial" w:hAnsi="Arial" w:cs="Arial"/>
        </w:rPr>
        <w:t xml:space="preserve"> like Δ⁹- tetrahydrocannabinol, a growing body of research has identified non-cannabinoid, plant- derived compounds—many sourced from traditional Indian medicinal plants—that modulate ECS function via receptor agonism, enzyme inhibition, and cross-talk with nuclear receptors. Gaining deeper mechanistic insight into receptor subtype selectivity, signaling bias, and the interplay between endocannabinoid tone and other cellular networks will be essential for designing both plant-based and synthetic agents that restore homeostatic balance in complex disease settings.</w:t>
      </w:r>
    </w:p>
    <w:p w14:paraId="7B961490" w14:textId="77777777" w:rsidR="00FE767C" w:rsidRPr="00E37BEE" w:rsidRDefault="00FE767C" w:rsidP="00F343A8">
      <w:pPr>
        <w:pStyle w:val="Body"/>
        <w:rPr>
          <w:rFonts w:ascii="Arial" w:hAnsi="Arial" w:cs="Arial"/>
          <w:b/>
          <w:bCs/>
          <w:sz w:val="22"/>
          <w:szCs w:val="22"/>
        </w:rPr>
      </w:pPr>
      <w:r w:rsidRPr="00E37BEE">
        <w:rPr>
          <w:rFonts w:ascii="Arial" w:hAnsi="Arial" w:cs="Arial"/>
          <w:b/>
          <w:bCs/>
          <w:sz w:val="22"/>
          <w:szCs w:val="22"/>
        </w:rPr>
        <w:t>FUTURE PERSPECTIVE:</w:t>
      </w:r>
    </w:p>
    <w:p w14:paraId="4665B913" w14:textId="77777777" w:rsidR="00FE767C" w:rsidRDefault="00FE767C" w:rsidP="005668FD">
      <w:pPr>
        <w:pStyle w:val="Body"/>
        <w:rPr>
          <w:rFonts w:ascii="Arial" w:hAnsi="Arial" w:cs="Arial"/>
        </w:rPr>
      </w:pPr>
      <w:r w:rsidRPr="00E37BEE">
        <w:rPr>
          <w:rFonts w:ascii="Arial" w:hAnsi="Arial" w:cs="Arial"/>
        </w:rPr>
        <w:t>Despite remarkable progress in decoding the endocannabinoid system (ECS), critical gaps persist in receptor subtype specificity, biased signaling, and spatiotemporal regulation of endocannabinoid tone. Integrative structural, systems, and omics-based approaches, alongside exploration of phytochemicals from Indian medicinal plants, offer unprecedented opportunities to uncover novel ECS modulators. Translational and clinical studies bridging mechanistic insights with therapeutic outcomes are poised to enable receptor-specific, precision interventions for neurological, metabolic, and immune disorders.</w:t>
      </w:r>
    </w:p>
    <w:p w14:paraId="38FEF873" w14:textId="77777777" w:rsidR="00FE767C" w:rsidRDefault="00FE767C" w:rsidP="00FE767C">
      <w:pPr>
        <w:pStyle w:val="Body"/>
        <w:spacing w:after="0"/>
        <w:rPr>
          <w:rFonts w:ascii="Arial" w:hAnsi="Arial" w:cs="Arial"/>
          <w:b/>
          <w:sz w:val="22"/>
          <w:szCs w:val="22"/>
        </w:rPr>
      </w:pPr>
    </w:p>
    <w:p w14:paraId="288E2F57" w14:textId="77777777" w:rsidR="00FE767C" w:rsidRPr="005668FD" w:rsidRDefault="00FE767C" w:rsidP="00FE767C">
      <w:pPr>
        <w:pStyle w:val="Heading2"/>
        <w:spacing w:before="65"/>
        <w:ind w:left="383"/>
        <w:rPr>
          <w:rFonts w:ascii="Arial" w:hAnsi="Arial" w:cs="Arial"/>
          <w:b/>
          <w:bCs/>
          <w:color w:val="000000" w:themeColor="text1"/>
          <w:sz w:val="22"/>
          <w:szCs w:val="22"/>
        </w:rPr>
      </w:pPr>
      <w:r w:rsidRPr="005668FD">
        <w:rPr>
          <w:rFonts w:ascii="Arial" w:hAnsi="Arial" w:cs="Arial"/>
          <w:b/>
          <w:bCs/>
          <w:color w:val="000000" w:themeColor="text1"/>
          <w:spacing w:val="-2"/>
          <w:sz w:val="22"/>
          <w:szCs w:val="22"/>
        </w:rPr>
        <w:t>REFERENCES</w:t>
      </w:r>
    </w:p>
    <w:p w14:paraId="75B24F3F" w14:textId="77777777" w:rsidR="00FE767C" w:rsidRPr="004A4874" w:rsidRDefault="00FE767C" w:rsidP="00FE767C">
      <w:pPr>
        <w:pStyle w:val="NormalWeb"/>
        <w:numPr>
          <w:ilvl w:val="0"/>
          <w:numId w:val="45"/>
        </w:numPr>
        <w:rPr>
          <w:rFonts w:ascii="Arial" w:hAnsi="Arial" w:cs="Arial"/>
          <w:sz w:val="20"/>
          <w:szCs w:val="20"/>
        </w:rPr>
      </w:pPr>
      <w:r w:rsidRPr="004A4874">
        <w:rPr>
          <w:rFonts w:ascii="Arial" w:hAnsi="Arial" w:cs="Arial"/>
          <w:sz w:val="20"/>
          <w:szCs w:val="20"/>
        </w:rPr>
        <w:t xml:space="preserve">Siegel GJ, </w:t>
      </w:r>
      <w:proofErr w:type="spellStart"/>
      <w:r w:rsidRPr="004A4874">
        <w:rPr>
          <w:rFonts w:ascii="Arial" w:hAnsi="Arial" w:cs="Arial"/>
          <w:sz w:val="20"/>
          <w:szCs w:val="20"/>
        </w:rPr>
        <w:t>Agranoff</w:t>
      </w:r>
      <w:proofErr w:type="spellEnd"/>
      <w:r w:rsidRPr="004A4874">
        <w:rPr>
          <w:rFonts w:ascii="Arial" w:hAnsi="Arial" w:cs="Arial"/>
          <w:sz w:val="20"/>
          <w:szCs w:val="20"/>
        </w:rPr>
        <w:t xml:space="preserve"> BW, Albers RW, </w:t>
      </w:r>
      <w:proofErr w:type="spellStart"/>
      <w:r w:rsidRPr="004A4874">
        <w:rPr>
          <w:rFonts w:ascii="Arial" w:hAnsi="Arial" w:cs="Arial"/>
          <w:sz w:val="20"/>
          <w:szCs w:val="20"/>
        </w:rPr>
        <w:t>Molinoff</w:t>
      </w:r>
      <w:proofErr w:type="spellEnd"/>
      <w:r w:rsidRPr="004A4874">
        <w:rPr>
          <w:rFonts w:ascii="Arial" w:hAnsi="Arial" w:cs="Arial"/>
          <w:sz w:val="20"/>
          <w:szCs w:val="20"/>
        </w:rPr>
        <w:t xml:space="preserve"> PB. </w:t>
      </w:r>
      <w:r w:rsidRPr="004A4874">
        <w:rPr>
          <w:rStyle w:val="Strong"/>
          <w:rFonts w:ascii="Arial" w:hAnsi="Arial" w:cs="Arial"/>
          <w:b w:val="0"/>
          <w:bCs w:val="0"/>
          <w:sz w:val="20"/>
          <w:szCs w:val="20"/>
        </w:rPr>
        <w:t>Basic Neurochemistry</w:t>
      </w:r>
      <w:r w:rsidRPr="004A4874">
        <w:rPr>
          <w:rFonts w:ascii="Arial" w:hAnsi="Arial" w:cs="Arial"/>
          <w:b/>
          <w:bCs/>
          <w:sz w:val="20"/>
          <w:szCs w:val="20"/>
        </w:rPr>
        <w:t>.</w:t>
      </w:r>
      <w:r w:rsidRPr="004A4874">
        <w:rPr>
          <w:rFonts w:ascii="Arial" w:hAnsi="Arial" w:cs="Arial"/>
          <w:sz w:val="20"/>
          <w:szCs w:val="20"/>
        </w:rPr>
        <w:t xml:space="preserve"> New York: Raven Press; 1994.</w:t>
      </w:r>
    </w:p>
    <w:p w14:paraId="54972A15" w14:textId="77777777" w:rsidR="00FE767C" w:rsidRPr="00F1066D" w:rsidRDefault="00FE767C" w:rsidP="00FE767C">
      <w:pPr>
        <w:pStyle w:val="NormalWeb"/>
        <w:numPr>
          <w:ilvl w:val="0"/>
          <w:numId w:val="45"/>
        </w:numPr>
        <w:rPr>
          <w:rFonts w:ascii="Arial" w:hAnsi="Arial" w:cs="Arial"/>
          <w:sz w:val="20"/>
          <w:szCs w:val="20"/>
        </w:rPr>
      </w:pPr>
      <w:proofErr w:type="spellStart"/>
      <w:r w:rsidRPr="004A4874">
        <w:rPr>
          <w:rFonts w:ascii="Arial" w:hAnsi="Arial" w:cs="Arial"/>
          <w:sz w:val="20"/>
          <w:szCs w:val="20"/>
        </w:rPr>
        <w:t>Mechoulam</w:t>
      </w:r>
      <w:proofErr w:type="spellEnd"/>
      <w:r w:rsidRPr="004A4874">
        <w:rPr>
          <w:rFonts w:ascii="Arial" w:hAnsi="Arial" w:cs="Arial"/>
          <w:sz w:val="20"/>
          <w:szCs w:val="20"/>
        </w:rPr>
        <w:t xml:space="preserve"> R. </w:t>
      </w:r>
      <w:r w:rsidRPr="004A4874">
        <w:rPr>
          <w:rStyle w:val="Strong"/>
          <w:rFonts w:ascii="Arial" w:hAnsi="Arial" w:cs="Arial"/>
          <w:b w:val="0"/>
          <w:bCs w:val="0"/>
          <w:sz w:val="20"/>
          <w:szCs w:val="20"/>
        </w:rPr>
        <w:t xml:space="preserve">The </w:t>
      </w:r>
      <w:proofErr w:type="spellStart"/>
      <w:r w:rsidRPr="004A4874">
        <w:rPr>
          <w:rStyle w:val="Strong"/>
          <w:rFonts w:ascii="Arial" w:hAnsi="Arial" w:cs="Arial"/>
          <w:b w:val="0"/>
          <w:bCs w:val="0"/>
          <w:sz w:val="20"/>
          <w:szCs w:val="20"/>
        </w:rPr>
        <w:t>Pharmacohistory</w:t>
      </w:r>
      <w:proofErr w:type="spellEnd"/>
      <w:r w:rsidRPr="004A4874">
        <w:rPr>
          <w:rStyle w:val="Strong"/>
          <w:rFonts w:ascii="Arial" w:hAnsi="Arial" w:cs="Arial"/>
          <w:b w:val="0"/>
          <w:bCs w:val="0"/>
          <w:sz w:val="20"/>
          <w:szCs w:val="20"/>
        </w:rPr>
        <w:t xml:space="preserve"> of Cannabis sativa</w:t>
      </w:r>
      <w:r w:rsidRPr="004A4874">
        <w:rPr>
          <w:rFonts w:ascii="Arial" w:hAnsi="Arial" w:cs="Arial"/>
          <w:sz w:val="20"/>
          <w:szCs w:val="20"/>
        </w:rPr>
        <w:t>.</w:t>
      </w:r>
      <w:r w:rsidRPr="00F1066D">
        <w:rPr>
          <w:rFonts w:ascii="Arial" w:hAnsi="Arial" w:cs="Arial"/>
          <w:sz w:val="20"/>
          <w:szCs w:val="20"/>
        </w:rPr>
        <w:t xml:space="preserve"> Boca Raton (FL): CRC Press; 1986.</w:t>
      </w:r>
    </w:p>
    <w:p w14:paraId="46364DC2"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Gonsiorek</w:t>
      </w:r>
      <w:proofErr w:type="spellEnd"/>
      <w:r w:rsidRPr="00F1066D">
        <w:rPr>
          <w:rFonts w:ascii="Arial" w:hAnsi="Arial" w:cs="Arial"/>
          <w:sz w:val="20"/>
          <w:szCs w:val="20"/>
        </w:rPr>
        <w:t xml:space="preserve"> W, Lunn C, Fan X, Narula S, </w:t>
      </w:r>
      <w:proofErr w:type="spellStart"/>
      <w:r w:rsidRPr="00F1066D">
        <w:rPr>
          <w:rFonts w:ascii="Arial" w:hAnsi="Arial" w:cs="Arial"/>
          <w:sz w:val="20"/>
          <w:szCs w:val="20"/>
        </w:rPr>
        <w:t>Lundell</w:t>
      </w:r>
      <w:proofErr w:type="spellEnd"/>
      <w:r w:rsidRPr="00F1066D">
        <w:rPr>
          <w:rFonts w:ascii="Arial" w:hAnsi="Arial" w:cs="Arial"/>
          <w:sz w:val="20"/>
          <w:szCs w:val="20"/>
        </w:rPr>
        <w:t xml:space="preserve"> D, </w:t>
      </w:r>
      <w:proofErr w:type="spellStart"/>
      <w:r w:rsidRPr="00F1066D">
        <w:rPr>
          <w:rFonts w:ascii="Arial" w:hAnsi="Arial" w:cs="Arial"/>
          <w:sz w:val="20"/>
          <w:szCs w:val="20"/>
        </w:rPr>
        <w:t>Hipkin</w:t>
      </w:r>
      <w:proofErr w:type="spellEnd"/>
      <w:r w:rsidRPr="00F1066D">
        <w:rPr>
          <w:rFonts w:ascii="Arial" w:hAnsi="Arial" w:cs="Arial"/>
          <w:sz w:val="20"/>
          <w:szCs w:val="20"/>
        </w:rPr>
        <w:t xml:space="preserve"> RW. Endocannabinoid 2-arachidonyl glycerol is a full agonist through human type 2 cannabinoid receptor: antagonism by anandamide. </w:t>
      </w:r>
      <w:r w:rsidRPr="00F1066D">
        <w:rPr>
          <w:rStyle w:val="Emphasis"/>
          <w:rFonts w:ascii="Arial" w:hAnsi="Arial" w:cs="Arial"/>
          <w:sz w:val="20"/>
          <w:szCs w:val="20"/>
        </w:rPr>
        <w:t xml:space="preserve">Mol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2000;57(5):1045-1050.</w:t>
      </w:r>
    </w:p>
    <w:p w14:paraId="2C51D50F"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Mechoulam</w:t>
      </w:r>
      <w:proofErr w:type="spellEnd"/>
      <w:r w:rsidRPr="00F1066D">
        <w:rPr>
          <w:rFonts w:ascii="Arial" w:hAnsi="Arial" w:cs="Arial"/>
          <w:sz w:val="20"/>
          <w:szCs w:val="20"/>
        </w:rPr>
        <w:t xml:space="preserve"> R, Ben-</w:t>
      </w:r>
      <w:proofErr w:type="spellStart"/>
      <w:r w:rsidRPr="00F1066D">
        <w:rPr>
          <w:rFonts w:ascii="Arial" w:hAnsi="Arial" w:cs="Arial"/>
          <w:sz w:val="20"/>
          <w:szCs w:val="20"/>
        </w:rPr>
        <w:t>Shabat</w:t>
      </w:r>
      <w:proofErr w:type="spellEnd"/>
      <w:r w:rsidRPr="00F1066D">
        <w:rPr>
          <w:rFonts w:ascii="Arial" w:hAnsi="Arial" w:cs="Arial"/>
          <w:sz w:val="20"/>
          <w:szCs w:val="20"/>
        </w:rPr>
        <w:t xml:space="preserve"> S, </w:t>
      </w:r>
      <w:proofErr w:type="spellStart"/>
      <w:r w:rsidRPr="00F1066D">
        <w:rPr>
          <w:rFonts w:ascii="Arial" w:hAnsi="Arial" w:cs="Arial"/>
          <w:sz w:val="20"/>
          <w:szCs w:val="20"/>
        </w:rPr>
        <w:t>Hanus</w:t>
      </w:r>
      <w:proofErr w:type="spellEnd"/>
      <w:r w:rsidRPr="00F1066D">
        <w:rPr>
          <w:rFonts w:ascii="Arial" w:hAnsi="Arial" w:cs="Arial"/>
          <w:sz w:val="20"/>
          <w:szCs w:val="20"/>
        </w:rPr>
        <w:t xml:space="preserve"> L, </w:t>
      </w:r>
      <w:proofErr w:type="spellStart"/>
      <w:r w:rsidRPr="00F1066D">
        <w:rPr>
          <w:rFonts w:ascii="Arial" w:hAnsi="Arial" w:cs="Arial"/>
          <w:sz w:val="20"/>
          <w:szCs w:val="20"/>
        </w:rPr>
        <w:t>Ligumsky</w:t>
      </w:r>
      <w:proofErr w:type="spellEnd"/>
      <w:r w:rsidRPr="00F1066D">
        <w:rPr>
          <w:rFonts w:ascii="Arial" w:hAnsi="Arial" w:cs="Arial"/>
          <w:sz w:val="20"/>
          <w:szCs w:val="20"/>
        </w:rPr>
        <w:t xml:space="preserve"> M, Kaminski NE, Schatz AR, et al. Identification of an endogenous 2-monoglyceride present in canine gut that binds to cannabinoid receptors. </w:t>
      </w:r>
      <w:proofErr w:type="spellStart"/>
      <w:r w:rsidRPr="00F1066D">
        <w:rPr>
          <w:rStyle w:val="Emphasis"/>
          <w:rFonts w:ascii="Arial" w:hAnsi="Arial" w:cs="Arial"/>
          <w:sz w:val="20"/>
          <w:szCs w:val="20"/>
        </w:rPr>
        <w:t>Biochem</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1995;50(1):83-90. doi:10.1016/0006-2952(95)00109-d.</w:t>
      </w:r>
    </w:p>
    <w:p w14:paraId="5A676229"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Sugiura</w:t>
      </w:r>
      <w:proofErr w:type="spellEnd"/>
      <w:r w:rsidRPr="00F1066D">
        <w:rPr>
          <w:rFonts w:ascii="Arial" w:hAnsi="Arial" w:cs="Arial"/>
          <w:sz w:val="20"/>
          <w:szCs w:val="20"/>
        </w:rPr>
        <w:t xml:space="preserve"> T, Kondo S, </w:t>
      </w:r>
      <w:proofErr w:type="spellStart"/>
      <w:r w:rsidRPr="00F1066D">
        <w:rPr>
          <w:rFonts w:ascii="Arial" w:hAnsi="Arial" w:cs="Arial"/>
          <w:sz w:val="20"/>
          <w:szCs w:val="20"/>
        </w:rPr>
        <w:t>Sukagawa</w:t>
      </w:r>
      <w:proofErr w:type="spellEnd"/>
      <w:r w:rsidRPr="00F1066D">
        <w:rPr>
          <w:rFonts w:ascii="Arial" w:hAnsi="Arial" w:cs="Arial"/>
          <w:sz w:val="20"/>
          <w:szCs w:val="20"/>
        </w:rPr>
        <w:t xml:space="preserve"> A, </w:t>
      </w:r>
      <w:proofErr w:type="spellStart"/>
      <w:r w:rsidRPr="00F1066D">
        <w:rPr>
          <w:rFonts w:ascii="Arial" w:hAnsi="Arial" w:cs="Arial"/>
          <w:sz w:val="20"/>
          <w:szCs w:val="20"/>
        </w:rPr>
        <w:t>Nakane</w:t>
      </w:r>
      <w:proofErr w:type="spellEnd"/>
      <w:r w:rsidRPr="00F1066D">
        <w:rPr>
          <w:rFonts w:ascii="Arial" w:hAnsi="Arial" w:cs="Arial"/>
          <w:sz w:val="20"/>
          <w:szCs w:val="20"/>
        </w:rPr>
        <w:t xml:space="preserve"> S, Shinoda A, Itoh K, et al. 2-Arachidonoylglycerol: a possible endogenous cannabinoid receptor ligand in brain. </w:t>
      </w:r>
      <w:proofErr w:type="spellStart"/>
      <w:r w:rsidRPr="00F1066D">
        <w:rPr>
          <w:rStyle w:val="Emphasis"/>
          <w:rFonts w:ascii="Arial" w:hAnsi="Arial" w:cs="Arial"/>
          <w:sz w:val="20"/>
          <w:szCs w:val="20"/>
        </w:rPr>
        <w:t>Biochem</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Biophys</w:t>
      </w:r>
      <w:proofErr w:type="spellEnd"/>
      <w:r w:rsidRPr="00F1066D">
        <w:rPr>
          <w:rStyle w:val="Emphasis"/>
          <w:rFonts w:ascii="Arial" w:hAnsi="Arial" w:cs="Arial"/>
          <w:sz w:val="20"/>
          <w:szCs w:val="20"/>
        </w:rPr>
        <w:t xml:space="preserve"> Res </w:t>
      </w:r>
      <w:proofErr w:type="spellStart"/>
      <w:r w:rsidRPr="00F1066D">
        <w:rPr>
          <w:rStyle w:val="Emphasis"/>
          <w:rFonts w:ascii="Arial" w:hAnsi="Arial" w:cs="Arial"/>
          <w:sz w:val="20"/>
          <w:szCs w:val="20"/>
        </w:rPr>
        <w:t>Commun</w:t>
      </w:r>
      <w:proofErr w:type="spellEnd"/>
      <w:r w:rsidRPr="00F1066D">
        <w:rPr>
          <w:rStyle w:val="Emphasis"/>
          <w:rFonts w:ascii="Arial" w:hAnsi="Arial" w:cs="Arial"/>
          <w:sz w:val="20"/>
          <w:szCs w:val="20"/>
        </w:rPr>
        <w:t>.</w:t>
      </w:r>
      <w:r w:rsidRPr="00F1066D">
        <w:rPr>
          <w:rFonts w:ascii="Arial" w:hAnsi="Arial" w:cs="Arial"/>
          <w:sz w:val="20"/>
          <w:szCs w:val="20"/>
        </w:rPr>
        <w:t xml:space="preserve"> 1995;215(1):89-97. doi:10.1006/bbrc.1995.2437.</w:t>
      </w:r>
    </w:p>
    <w:p w14:paraId="4B2DA432"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Ledent</w:t>
      </w:r>
      <w:proofErr w:type="spellEnd"/>
      <w:r w:rsidRPr="00F1066D">
        <w:rPr>
          <w:rFonts w:ascii="Arial" w:hAnsi="Arial" w:cs="Arial"/>
          <w:sz w:val="20"/>
          <w:szCs w:val="20"/>
        </w:rPr>
        <w:t xml:space="preserve"> C, Valverde O, </w:t>
      </w:r>
      <w:proofErr w:type="spellStart"/>
      <w:r w:rsidRPr="00F1066D">
        <w:rPr>
          <w:rFonts w:ascii="Arial" w:hAnsi="Arial" w:cs="Arial"/>
          <w:sz w:val="20"/>
          <w:szCs w:val="20"/>
        </w:rPr>
        <w:t>Cossu</w:t>
      </w:r>
      <w:proofErr w:type="spellEnd"/>
      <w:r w:rsidRPr="00F1066D">
        <w:rPr>
          <w:rFonts w:ascii="Arial" w:hAnsi="Arial" w:cs="Arial"/>
          <w:sz w:val="20"/>
          <w:szCs w:val="20"/>
        </w:rPr>
        <w:t xml:space="preserve"> G, </w:t>
      </w:r>
      <w:proofErr w:type="spellStart"/>
      <w:r w:rsidRPr="00F1066D">
        <w:rPr>
          <w:rFonts w:ascii="Arial" w:hAnsi="Arial" w:cs="Arial"/>
          <w:sz w:val="20"/>
          <w:szCs w:val="20"/>
        </w:rPr>
        <w:t>Petitet</w:t>
      </w:r>
      <w:proofErr w:type="spellEnd"/>
      <w:r w:rsidRPr="00F1066D">
        <w:rPr>
          <w:rFonts w:ascii="Arial" w:hAnsi="Arial" w:cs="Arial"/>
          <w:sz w:val="20"/>
          <w:szCs w:val="20"/>
        </w:rPr>
        <w:t xml:space="preserve"> F, Aubert JF, </w:t>
      </w:r>
      <w:proofErr w:type="spellStart"/>
      <w:r w:rsidRPr="00F1066D">
        <w:rPr>
          <w:rFonts w:ascii="Arial" w:hAnsi="Arial" w:cs="Arial"/>
          <w:sz w:val="20"/>
          <w:szCs w:val="20"/>
        </w:rPr>
        <w:t>Beslot</w:t>
      </w:r>
      <w:proofErr w:type="spellEnd"/>
      <w:r w:rsidRPr="00F1066D">
        <w:rPr>
          <w:rFonts w:ascii="Arial" w:hAnsi="Arial" w:cs="Arial"/>
          <w:sz w:val="20"/>
          <w:szCs w:val="20"/>
        </w:rPr>
        <w:t xml:space="preserve"> F, et al. Unresponsiveness to cannabinoids and reduced addictive effects of opiates in CB1 receptor knockout mice. </w:t>
      </w:r>
      <w:r w:rsidRPr="00F1066D">
        <w:rPr>
          <w:rStyle w:val="Emphasis"/>
          <w:rFonts w:ascii="Arial" w:hAnsi="Arial" w:cs="Arial"/>
          <w:sz w:val="20"/>
          <w:szCs w:val="20"/>
        </w:rPr>
        <w:t>Science.</w:t>
      </w:r>
      <w:r w:rsidRPr="00F1066D">
        <w:rPr>
          <w:rFonts w:ascii="Arial" w:hAnsi="Arial" w:cs="Arial"/>
          <w:sz w:val="20"/>
          <w:szCs w:val="20"/>
        </w:rPr>
        <w:t xml:space="preserve"> 1999;283(5400):401-404. doi:10.1126/science.283.5400.401.</w:t>
      </w:r>
    </w:p>
    <w:p w14:paraId="3101022F"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Zimmer A, Zimmer AM, Hohmann AG, </w:t>
      </w:r>
      <w:proofErr w:type="spellStart"/>
      <w:r w:rsidRPr="00F1066D">
        <w:rPr>
          <w:rFonts w:ascii="Arial" w:hAnsi="Arial" w:cs="Arial"/>
          <w:sz w:val="20"/>
          <w:szCs w:val="20"/>
        </w:rPr>
        <w:t>Herkenham</w:t>
      </w:r>
      <w:proofErr w:type="spellEnd"/>
      <w:r w:rsidRPr="00F1066D">
        <w:rPr>
          <w:rFonts w:ascii="Arial" w:hAnsi="Arial" w:cs="Arial"/>
          <w:sz w:val="20"/>
          <w:szCs w:val="20"/>
        </w:rPr>
        <w:t xml:space="preserve"> M, Bonner TI. Increased mortality, hypoactivity, and hypoalgesia in cannabinoid CB1 receptor knockout mice. </w:t>
      </w:r>
      <w:r w:rsidRPr="00F1066D">
        <w:rPr>
          <w:rStyle w:val="Emphasis"/>
          <w:rFonts w:ascii="Arial" w:hAnsi="Arial" w:cs="Arial"/>
          <w:sz w:val="20"/>
          <w:szCs w:val="20"/>
        </w:rPr>
        <w:t xml:space="preserve">Proc Natl </w:t>
      </w:r>
      <w:proofErr w:type="spellStart"/>
      <w:r w:rsidRPr="00F1066D">
        <w:rPr>
          <w:rStyle w:val="Emphasis"/>
          <w:rFonts w:ascii="Arial" w:hAnsi="Arial" w:cs="Arial"/>
          <w:sz w:val="20"/>
          <w:szCs w:val="20"/>
        </w:rPr>
        <w:t>Acad</w:t>
      </w:r>
      <w:proofErr w:type="spellEnd"/>
      <w:r w:rsidRPr="00F1066D">
        <w:rPr>
          <w:rStyle w:val="Emphasis"/>
          <w:rFonts w:ascii="Arial" w:hAnsi="Arial" w:cs="Arial"/>
          <w:sz w:val="20"/>
          <w:szCs w:val="20"/>
        </w:rPr>
        <w:t xml:space="preserve"> Sci USA.</w:t>
      </w:r>
      <w:r w:rsidRPr="00F1066D">
        <w:rPr>
          <w:rFonts w:ascii="Arial" w:hAnsi="Arial" w:cs="Arial"/>
          <w:sz w:val="20"/>
          <w:szCs w:val="20"/>
        </w:rPr>
        <w:t xml:space="preserve"> 1999;96(10):5780-5785. doi:10.1073/pnas.96.10.5780.</w:t>
      </w:r>
    </w:p>
    <w:p w14:paraId="0EBD8DC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Lunn CA, Reich EP, </w:t>
      </w:r>
      <w:proofErr w:type="spellStart"/>
      <w:r w:rsidRPr="00F1066D">
        <w:rPr>
          <w:rFonts w:ascii="Arial" w:hAnsi="Arial" w:cs="Arial"/>
          <w:sz w:val="20"/>
          <w:szCs w:val="20"/>
        </w:rPr>
        <w:t>Bober</w:t>
      </w:r>
      <w:proofErr w:type="spellEnd"/>
      <w:r w:rsidRPr="00F1066D">
        <w:rPr>
          <w:rFonts w:ascii="Arial" w:hAnsi="Arial" w:cs="Arial"/>
          <w:sz w:val="20"/>
          <w:szCs w:val="20"/>
        </w:rPr>
        <w:t xml:space="preserve"> L. Targeting the CB2 receptor for immune modulation. </w:t>
      </w:r>
      <w:r w:rsidRPr="00F1066D">
        <w:rPr>
          <w:rStyle w:val="Emphasis"/>
          <w:rFonts w:ascii="Arial" w:hAnsi="Arial" w:cs="Arial"/>
          <w:sz w:val="20"/>
          <w:szCs w:val="20"/>
        </w:rPr>
        <w:t xml:space="preserve">Expert </w:t>
      </w:r>
      <w:proofErr w:type="spellStart"/>
      <w:r w:rsidRPr="00F1066D">
        <w:rPr>
          <w:rStyle w:val="Emphasis"/>
          <w:rFonts w:ascii="Arial" w:hAnsi="Arial" w:cs="Arial"/>
          <w:sz w:val="20"/>
          <w:szCs w:val="20"/>
        </w:rPr>
        <w:t>Opin</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Ther</w:t>
      </w:r>
      <w:proofErr w:type="spellEnd"/>
      <w:r w:rsidRPr="00F1066D">
        <w:rPr>
          <w:rStyle w:val="Emphasis"/>
          <w:rFonts w:ascii="Arial" w:hAnsi="Arial" w:cs="Arial"/>
          <w:sz w:val="20"/>
          <w:szCs w:val="20"/>
        </w:rPr>
        <w:t xml:space="preserve"> Targets.</w:t>
      </w:r>
      <w:r w:rsidRPr="00F1066D">
        <w:rPr>
          <w:rFonts w:ascii="Arial" w:hAnsi="Arial" w:cs="Arial"/>
          <w:sz w:val="20"/>
          <w:szCs w:val="20"/>
        </w:rPr>
        <w:t xml:space="preserve"> 2006;10(5):653-663. doi:10.1517/14728222.10.5.653.</w:t>
      </w:r>
    </w:p>
    <w:p w14:paraId="18F4064C"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Di </w:t>
      </w:r>
      <w:proofErr w:type="spellStart"/>
      <w:r w:rsidRPr="00F1066D">
        <w:rPr>
          <w:rFonts w:ascii="Arial" w:hAnsi="Arial" w:cs="Arial"/>
          <w:sz w:val="20"/>
          <w:szCs w:val="20"/>
        </w:rPr>
        <w:t>Marzo</w:t>
      </w:r>
      <w:proofErr w:type="spellEnd"/>
      <w:r w:rsidRPr="00F1066D">
        <w:rPr>
          <w:rFonts w:ascii="Arial" w:hAnsi="Arial" w:cs="Arial"/>
          <w:sz w:val="20"/>
          <w:szCs w:val="20"/>
        </w:rPr>
        <w:t xml:space="preserve"> V, De </w:t>
      </w:r>
      <w:proofErr w:type="spellStart"/>
      <w:r w:rsidRPr="00F1066D">
        <w:rPr>
          <w:rFonts w:ascii="Arial" w:hAnsi="Arial" w:cs="Arial"/>
          <w:sz w:val="20"/>
          <w:szCs w:val="20"/>
        </w:rPr>
        <w:t>Petrocellis</w:t>
      </w:r>
      <w:proofErr w:type="spellEnd"/>
      <w:r w:rsidRPr="00F1066D">
        <w:rPr>
          <w:rFonts w:ascii="Arial" w:hAnsi="Arial" w:cs="Arial"/>
          <w:sz w:val="20"/>
          <w:szCs w:val="20"/>
        </w:rPr>
        <w:t xml:space="preserve"> L. Plant, synthetic, and endogenous cannabinoids in medicine. </w:t>
      </w:r>
      <w:proofErr w:type="spellStart"/>
      <w:r w:rsidRPr="00F1066D">
        <w:rPr>
          <w:rStyle w:val="Emphasis"/>
          <w:rFonts w:ascii="Arial" w:hAnsi="Arial" w:cs="Arial"/>
          <w:sz w:val="20"/>
          <w:szCs w:val="20"/>
        </w:rPr>
        <w:t>Annu</w:t>
      </w:r>
      <w:proofErr w:type="spellEnd"/>
      <w:r w:rsidRPr="00F1066D">
        <w:rPr>
          <w:rStyle w:val="Emphasis"/>
          <w:rFonts w:ascii="Arial" w:hAnsi="Arial" w:cs="Arial"/>
          <w:sz w:val="20"/>
          <w:szCs w:val="20"/>
        </w:rPr>
        <w:t xml:space="preserve"> Rev Med.</w:t>
      </w:r>
      <w:r w:rsidRPr="00F1066D">
        <w:rPr>
          <w:rFonts w:ascii="Arial" w:hAnsi="Arial" w:cs="Arial"/>
          <w:sz w:val="20"/>
          <w:szCs w:val="20"/>
        </w:rPr>
        <w:t xml:space="preserve"> </w:t>
      </w:r>
      <w:proofErr w:type="gramStart"/>
      <w:r w:rsidRPr="00F1066D">
        <w:rPr>
          <w:rFonts w:ascii="Arial" w:hAnsi="Arial" w:cs="Arial"/>
          <w:sz w:val="20"/>
          <w:szCs w:val="20"/>
        </w:rPr>
        <w:t>2006;57:553</w:t>
      </w:r>
      <w:proofErr w:type="gramEnd"/>
      <w:r w:rsidRPr="00F1066D">
        <w:rPr>
          <w:rFonts w:ascii="Arial" w:hAnsi="Arial" w:cs="Arial"/>
          <w:sz w:val="20"/>
          <w:szCs w:val="20"/>
        </w:rPr>
        <w:t>-574.</w:t>
      </w:r>
    </w:p>
    <w:p w14:paraId="64A25BA3"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Saxena S, Rauch SL. Functional neuroimaging and the neuroanatomy of obsessive-compulsive disorder. </w:t>
      </w:r>
      <w:proofErr w:type="spellStart"/>
      <w:r w:rsidRPr="00F1066D">
        <w:rPr>
          <w:rStyle w:val="Emphasis"/>
          <w:rFonts w:ascii="Arial" w:hAnsi="Arial" w:cs="Arial"/>
          <w:sz w:val="20"/>
          <w:szCs w:val="20"/>
        </w:rPr>
        <w:t>Psychiatr</w:t>
      </w:r>
      <w:proofErr w:type="spellEnd"/>
      <w:r w:rsidRPr="00F1066D">
        <w:rPr>
          <w:rStyle w:val="Emphasis"/>
          <w:rFonts w:ascii="Arial" w:hAnsi="Arial" w:cs="Arial"/>
          <w:sz w:val="20"/>
          <w:szCs w:val="20"/>
        </w:rPr>
        <w:t xml:space="preserve"> Clin North Am.</w:t>
      </w:r>
      <w:r w:rsidRPr="00F1066D">
        <w:rPr>
          <w:rFonts w:ascii="Arial" w:hAnsi="Arial" w:cs="Arial"/>
          <w:sz w:val="20"/>
          <w:szCs w:val="20"/>
        </w:rPr>
        <w:t xml:space="preserve"> </w:t>
      </w:r>
      <w:proofErr w:type="gramStart"/>
      <w:r w:rsidRPr="00F1066D">
        <w:rPr>
          <w:rFonts w:ascii="Arial" w:hAnsi="Arial" w:cs="Arial"/>
          <w:sz w:val="20"/>
          <w:szCs w:val="20"/>
        </w:rPr>
        <w:t>2000;23:563</w:t>
      </w:r>
      <w:proofErr w:type="gramEnd"/>
      <w:r w:rsidRPr="00F1066D">
        <w:rPr>
          <w:rFonts w:ascii="Arial" w:hAnsi="Arial" w:cs="Arial"/>
          <w:sz w:val="20"/>
          <w:szCs w:val="20"/>
        </w:rPr>
        <w:t>-586.</w:t>
      </w:r>
    </w:p>
    <w:p w14:paraId="43A267BD"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Sköld</w:t>
      </w:r>
      <w:proofErr w:type="spellEnd"/>
      <w:r w:rsidRPr="00F1066D">
        <w:rPr>
          <w:rFonts w:ascii="Arial" w:hAnsi="Arial" w:cs="Arial"/>
          <w:sz w:val="20"/>
          <w:szCs w:val="20"/>
        </w:rPr>
        <w:t xml:space="preserve"> M, Karlberg AT, Matura M, </w:t>
      </w:r>
      <w:proofErr w:type="spellStart"/>
      <w:r w:rsidRPr="00F1066D">
        <w:rPr>
          <w:rFonts w:ascii="Arial" w:hAnsi="Arial" w:cs="Arial"/>
          <w:sz w:val="20"/>
          <w:szCs w:val="20"/>
        </w:rPr>
        <w:t>Börje</w:t>
      </w:r>
      <w:proofErr w:type="spellEnd"/>
      <w:r w:rsidRPr="00F1066D">
        <w:rPr>
          <w:rFonts w:ascii="Arial" w:hAnsi="Arial" w:cs="Arial"/>
          <w:sz w:val="20"/>
          <w:szCs w:val="20"/>
        </w:rPr>
        <w:t xml:space="preserve"> A. The fragrance chemical beta-caryophyllene—air oxidation and skin sensitization. </w:t>
      </w:r>
      <w:r w:rsidRPr="00F1066D">
        <w:rPr>
          <w:rStyle w:val="Emphasis"/>
          <w:rFonts w:ascii="Arial" w:hAnsi="Arial" w:cs="Arial"/>
          <w:sz w:val="20"/>
          <w:szCs w:val="20"/>
        </w:rPr>
        <w:t xml:space="preserve">Food Chem </w:t>
      </w:r>
      <w:proofErr w:type="spellStart"/>
      <w:r w:rsidRPr="00F1066D">
        <w:rPr>
          <w:rStyle w:val="Emphasis"/>
          <w:rFonts w:ascii="Arial" w:hAnsi="Arial" w:cs="Arial"/>
          <w:sz w:val="20"/>
          <w:szCs w:val="20"/>
        </w:rPr>
        <w:t>Toxicol</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2006;44:538</w:t>
      </w:r>
      <w:proofErr w:type="gramEnd"/>
      <w:r w:rsidRPr="00F1066D">
        <w:rPr>
          <w:rFonts w:ascii="Arial" w:hAnsi="Arial" w:cs="Arial"/>
          <w:sz w:val="20"/>
          <w:szCs w:val="20"/>
        </w:rPr>
        <w:t>-545.</w:t>
      </w:r>
    </w:p>
    <w:p w14:paraId="48728A3D"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Di </w:t>
      </w:r>
      <w:proofErr w:type="spellStart"/>
      <w:r w:rsidRPr="00F1066D">
        <w:rPr>
          <w:rFonts w:ascii="Arial" w:hAnsi="Arial" w:cs="Arial"/>
          <w:sz w:val="20"/>
          <w:szCs w:val="20"/>
        </w:rPr>
        <w:t>Marzo</w:t>
      </w:r>
      <w:proofErr w:type="spellEnd"/>
      <w:r w:rsidRPr="00F1066D">
        <w:rPr>
          <w:rFonts w:ascii="Arial" w:hAnsi="Arial" w:cs="Arial"/>
          <w:sz w:val="20"/>
          <w:szCs w:val="20"/>
        </w:rPr>
        <w:t xml:space="preserve"> V, </w:t>
      </w:r>
      <w:proofErr w:type="spellStart"/>
      <w:r w:rsidRPr="00F1066D">
        <w:rPr>
          <w:rFonts w:ascii="Arial" w:hAnsi="Arial" w:cs="Arial"/>
          <w:sz w:val="20"/>
          <w:szCs w:val="20"/>
        </w:rPr>
        <w:t>Bisogno</w:t>
      </w:r>
      <w:proofErr w:type="spellEnd"/>
      <w:r w:rsidRPr="00F1066D">
        <w:rPr>
          <w:rFonts w:ascii="Arial" w:hAnsi="Arial" w:cs="Arial"/>
          <w:sz w:val="20"/>
          <w:szCs w:val="20"/>
        </w:rPr>
        <w:t xml:space="preserve"> T, De </w:t>
      </w:r>
      <w:proofErr w:type="spellStart"/>
      <w:r w:rsidRPr="00F1066D">
        <w:rPr>
          <w:rFonts w:ascii="Arial" w:hAnsi="Arial" w:cs="Arial"/>
          <w:sz w:val="20"/>
          <w:szCs w:val="20"/>
        </w:rPr>
        <w:t>Petrocellis</w:t>
      </w:r>
      <w:proofErr w:type="spellEnd"/>
      <w:r w:rsidRPr="00F1066D">
        <w:rPr>
          <w:rFonts w:ascii="Arial" w:hAnsi="Arial" w:cs="Arial"/>
          <w:sz w:val="20"/>
          <w:szCs w:val="20"/>
        </w:rPr>
        <w:t xml:space="preserve"> L. Endocannabinoids and related compounds: walking back and forth between plant natural products and animal physiology. </w:t>
      </w:r>
      <w:r w:rsidRPr="00F1066D">
        <w:rPr>
          <w:rStyle w:val="Emphasis"/>
          <w:rFonts w:ascii="Arial" w:hAnsi="Arial" w:cs="Arial"/>
          <w:sz w:val="20"/>
          <w:szCs w:val="20"/>
        </w:rPr>
        <w:t>Chem Biol.</w:t>
      </w:r>
      <w:r w:rsidRPr="00F1066D">
        <w:rPr>
          <w:rFonts w:ascii="Arial" w:hAnsi="Arial" w:cs="Arial"/>
          <w:sz w:val="20"/>
          <w:szCs w:val="20"/>
        </w:rPr>
        <w:t xml:space="preserve"> 2007;14(7):741-756. </w:t>
      </w:r>
      <w:proofErr w:type="gramStart"/>
      <w:r w:rsidRPr="00F1066D">
        <w:rPr>
          <w:rFonts w:ascii="Arial" w:hAnsi="Arial" w:cs="Arial"/>
          <w:sz w:val="20"/>
          <w:szCs w:val="20"/>
        </w:rPr>
        <w:t>doi:10.1016/j.chembiol</w:t>
      </w:r>
      <w:proofErr w:type="gramEnd"/>
      <w:r w:rsidRPr="00F1066D">
        <w:rPr>
          <w:rFonts w:ascii="Arial" w:hAnsi="Arial" w:cs="Arial"/>
          <w:sz w:val="20"/>
          <w:szCs w:val="20"/>
        </w:rPr>
        <w:t>.2007.05.014.</w:t>
      </w:r>
    </w:p>
    <w:p w14:paraId="6D2E120F"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Patricelli MP, </w:t>
      </w:r>
      <w:proofErr w:type="spellStart"/>
      <w:r w:rsidRPr="00F1066D">
        <w:rPr>
          <w:rFonts w:ascii="Arial" w:hAnsi="Arial" w:cs="Arial"/>
          <w:sz w:val="20"/>
          <w:szCs w:val="20"/>
        </w:rPr>
        <w:t>Cravatt</w:t>
      </w:r>
      <w:proofErr w:type="spellEnd"/>
      <w:r w:rsidRPr="00F1066D">
        <w:rPr>
          <w:rFonts w:ascii="Arial" w:hAnsi="Arial" w:cs="Arial"/>
          <w:sz w:val="20"/>
          <w:szCs w:val="20"/>
        </w:rPr>
        <w:t xml:space="preserve"> BF. Fatty acid amide hydrolase competitively degrades bioactive amides. </w:t>
      </w:r>
      <w:proofErr w:type="spellStart"/>
      <w:r w:rsidRPr="00F1066D">
        <w:rPr>
          <w:rStyle w:val="Emphasis"/>
          <w:rFonts w:ascii="Arial" w:hAnsi="Arial" w:cs="Arial"/>
          <w:sz w:val="20"/>
          <w:szCs w:val="20"/>
        </w:rPr>
        <w:t>Vitam</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Horm</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2001;62:95</w:t>
      </w:r>
      <w:proofErr w:type="gramEnd"/>
      <w:r w:rsidRPr="00F1066D">
        <w:rPr>
          <w:rFonts w:ascii="Arial" w:hAnsi="Arial" w:cs="Arial"/>
          <w:sz w:val="20"/>
          <w:szCs w:val="20"/>
        </w:rPr>
        <w:t>-131. doi:10.1016/S0083-6729(01)62002-8.</w:t>
      </w:r>
    </w:p>
    <w:p w14:paraId="1B77C9BB"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Basavarajappa</w:t>
      </w:r>
      <w:proofErr w:type="spellEnd"/>
      <w:r w:rsidRPr="00F1066D">
        <w:rPr>
          <w:rFonts w:ascii="Arial" w:hAnsi="Arial" w:cs="Arial"/>
          <w:sz w:val="20"/>
          <w:szCs w:val="20"/>
        </w:rPr>
        <w:t xml:space="preserve"> BS. Critical enzymes involved in endocannabinoid metabolism. </w:t>
      </w:r>
      <w:r w:rsidRPr="00F1066D">
        <w:rPr>
          <w:rStyle w:val="Emphasis"/>
          <w:rFonts w:ascii="Arial" w:hAnsi="Arial" w:cs="Arial"/>
          <w:sz w:val="20"/>
          <w:szCs w:val="20"/>
        </w:rPr>
        <w:t xml:space="preserve">Protein </w:t>
      </w:r>
      <w:proofErr w:type="spellStart"/>
      <w:r w:rsidRPr="00F1066D">
        <w:rPr>
          <w:rStyle w:val="Emphasis"/>
          <w:rFonts w:ascii="Arial" w:hAnsi="Arial" w:cs="Arial"/>
          <w:sz w:val="20"/>
          <w:szCs w:val="20"/>
        </w:rPr>
        <w:t>Pept</w:t>
      </w:r>
      <w:proofErr w:type="spellEnd"/>
      <w:r w:rsidRPr="00F1066D">
        <w:rPr>
          <w:rStyle w:val="Emphasis"/>
          <w:rFonts w:ascii="Arial" w:hAnsi="Arial" w:cs="Arial"/>
          <w:sz w:val="20"/>
          <w:szCs w:val="20"/>
        </w:rPr>
        <w:t xml:space="preserve"> Lett.</w:t>
      </w:r>
      <w:r w:rsidRPr="00F1066D">
        <w:rPr>
          <w:rFonts w:ascii="Arial" w:hAnsi="Arial" w:cs="Arial"/>
          <w:sz w:val="20"/>
          <w:szCs w:val="20"/>
        </w:rPr>
        <w:t xml:space="preserve"> 2007;14(3):237-246. doi:10.2174/092986607780090829.</w:t>
      </w:r>
    </w:p>
    <w:p w14:paraId="5D82BD36" w14:textId="77777777" w:rsidR="00FE767C"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Devane</w:t>
      </w:r>
      <w:proofErr w:type="spellEnd"/>
      <w:r w:rsidRPr="00F1066D">
        <w:rPr>
          <w:rFonts w:ascii="Arial" w:hAnsi="Arial" w:cs="Arial"/>
          <w:sz w:val="20"/>
          <w:szCs w:val="20"/>
        </w:rPr>
        <w:t xml:space="preserve"> WA, </w:t>
      </w:r>
      <w:proofErr w:type="spellStart"/>
      <w:r w:rsidRPr="00F1066D">
        <w:rPr>
          <w:rFonts w:ascii="Arial" w:hAnsi="Arial" w:cs="Arial"/>
          <w:sz w:val="20"/>
          <w:szCs w:val="20"/>
        </w:rPr>
        <w:t>Dysarz</w:t>
      </w:r>
      <w:proofErr w:type="spellEnd"/>
      <w:r w:rsidRPr="00F1066D">
        <w:rPr>
          <w:rFonts w:ascii="Arial" w:hAnsi="Arial" w:cs="Arial"/>
          <w:sz w:val="20"/>
          <w:szCs w:val="20"/>
        </w:rPr>
        <w:t xml:space="preserve"> FA 3rd, Johnson MR, Melvin LS, Howlett AC. Determination and characterization of a cannabinoid receptor in rat brain. </w:t>
      </w:r>
      <w:r w:rsidRPr="00F1066D">
        <w:rPr>
          <w:rStyle w:val="Emphasis"/>
          <w:rFonts w:ascii="Arial" w:hAnsi="Arial" w:cs="Arial"/>
          <w:sz w:val="20"/>
          <w:szCs w:val="20"/>
        </w:rPr>
        <w:t xml:space="preserve">Mol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1988;34(5):605-613.</w:t>
      </w:r>
    </w:p>
    <w:p w14:paraId="7BA195E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Matsuda LA, </w:t>
      </w:r>
      <w:proofErr w:type="spellStart"/>
      <w:r w:rsidRPr="00F1066D">
        <w:rPr>
          <w:rFonts w:ascii="Arial" w:hAnsi="Arial" w:cs="Arial"/>
          <w:sz w:val="20"/>
          <w:szCs w:val="20"/>
        </w:rPr>
        <w:t>Lolait</w:t>
      </w:r>
      <w:proofErr w:type="spellEnd"/>
      <w:r w:rsidRPr="00F1066D">
        <w:rPr>
          <w:rFonts w:ascii="Arial" w:hAnsi="Arial" w:cs="Arial"/>
          <w:sz w:val="20"/>
          <w:szCs w:val="20"/>
        </w:rPr>
        <w:t xml:space="preserve"> SJ, Brownstein MJ, Young AC, Bonner TI. Structure of a cannabinoid receptor and functional expression of the cloned cDNA. </w:t>
      </w:r>
      <w:r w:rsidRPr="00F1066D">
        <w:rPr>
          <w:rStyle w:val="Emphasis"/>
          <w:rFonts w:ascii="Arial" w:hAnsi="Arial" w:cs="Arial"/>
          <w:sz w:val="20"/>
          <w:szCs w:val="20"/>
        </w:rPr>
        <w:t>Nature.</w:t>
      </w:r>
      <w:r w:rsidRPr="00F1066D">
        <w:rPr>
          <w:rFonts w:ascii="Arial" w:hAnsi="Arial" w:cs="Arial"/>
          <w:sz w:val="20"/>
          <w:szCs w:val="20"/>
        </w:rPr>
        <w:t xml:space="preserve"> </w:t>
      </w:r>
      <w:proofErr w:type="gramStart"/>
      <w:r w:rsidRPr="00F1066D">
        <w:rPr>
          <w:rFonts w:ascii="Arial" w:hAnsi="Arial" w:cs="Arial"/>
          <w:sz w:val="20"/>
          <w:szCs w:val="20"/>
        </w:rPr>
        <w:t>1990;346:561</w:t>
      </w:r>
      <w:proofErr w:type="gramEnd"/>
      <w:r w:rsidRPr="00F1066D">
        <w:rPr>
          <w:rFonts w:ascii="Arial" w:hAnsi="Arial" w:cs="Arial"/>
          <w:sz w:val="20"/>
          <w:szCs w:val="20"/>
        </w:rPr>
        <w:t>-564.</w:t>
      </w:r>
    </w:p>
    <w:p w14:paraId="00FFF41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Munro S, Thomas KL, Abu-</w:t>
      </w:r>
      <w:proofErr w:type="spellStart"/>
      <w:r w:rsidRPr="00F1066D">
        <w:rPr>
          <w:rFonts w:ascii="Arial" w:hAnsi="Arial" w:cs="Arial"/>
          <w:sz w:val="20"/>
          <w:szCs w:val="20"/>
        </w:rPr>
        <w:t>Shaar</w:t>
      </w:r>
      <w:proofErr w:type="spellEnd"/>
      <w:r w:rsidRPr="00F1066D">
        <w:rPr>
          <w:rFonts w:ascii="Arial" w:hAnsi="Arial" w:cs="Arial"/>
          <w:sz w:val="20"/>
          <w:szCs w:val="20"/>
        </w:rPr>
        <w:t xml:space="preserve"> M. Molecular characterization of a peripheral receptor for cannabinoids. </w:t>
      </w:r>
      <w:r w:rsidRPr="00F1066D">
        <w:rPr>
          <w:rStyle w:val="Emphasis"/>
          <w:rFonts w:ascii="Arial" w:hAnsi="Arial" w:cs="Arial"/>
          <w:sz w:val="20"/>
          <w:szCs w:val="20"/>
        </w:rPr>
        <w:t>Nature.</w:t>
      </w:r>
      <w:r w:rsidRPr="00F1066D">
        <w:rPr>
          <w:rFonts w:ascii="Arial" w:hAnsi="Arial" w:cs="Arial"/>
          <w:sz w:val="20"/>
          <w:szCs w:val="20"/>
        </w:rPr>
        <w:t xml:space="preserve"> </w:t>
      </w:r>
      <w:proofErr w:type="gramStart"/>
      <w:r w:rsidRPr="00F1066D">
        <w:rPr>
          <w:rFonts w:ascii="Arial" w:hAnsi="Arial" w:cs="Arial"/>
          <w:sz w:val="20"/>
          <w:szCs w:val="20"/>
        </w:rPr>
        <w:t>1993;365:61</w:t>
      </w:r>
      <w:proofErr w:type="gramEnd"/>
      <w:r w:rsidRPr="00F1066D">
        <w:rPr>
          <w:rFonts w:ascii="Arial" w:hAnsi="Arial" w:cs="Arial"/>
          <w:sz w:val="20"/>
          <w:szCs w:val="20"/>
        </w:rPr>
        <w:t>-65.</w:t>
      </w:r>
    </w:p>
    <w:p w14:paraId="7642F87B"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Herkenham</w:t>
      </w:r>
      <w:proofErr w:type="spellEnd"/>
      <w:r w:rsidRPr="00F1066D">
        <w:rPr>
          <w:rFonts w:ascii="Arial" w:hAnsi="Arial" w:cs="Arial"/>
          <w:sz w:val="20"/>
          <w:szCs w:val="20"/>
        </w:rPr>
        <w:t xml:space="preserve"> M. Localization of cannabinoid receptors in brain and periphery. In: Pertwee RG, editor. </w:t>
      </w:r>
      <w:r w:rsidRPr="005668FD">
        <w:rPr>
          <w:rStyle w:val="Strong"/>
          <w:rFonts w:ascii="Arial" w:hAnsi="Arial" w:cs="Arial"/>
          <w:b w:val="0"/>
          <w:bCs w:val="0"/>
          <w:sz w:val="20"/>
          <w:szCs w:val="20"/>
        </w:rPr>
        <w:t>Cannabinoid Receptors</w:t>
      </w:r>
      <w:r w:rsidRPr="005668FD">
        <w:rPr>
          <w:rFonts w:ascii="Arial" w:hAnsi="Arial" w:cs="Arial"/>
          <w:b/>
          <w:bCs/>
          <w:sz w:val="20"/>
          <w:szCs w:val="20"/>
        </w:rPr>
        <w:t>.</w:t>
      </w:r>
      <w:r w:rsidRPr="00F1066D">
        <w:rPr>
          <w:rFonts w:ascii="Arial" w:hAnsi="Arial" w:cs="Arial"/>
          <w:sz w:val="20"/>
          <w:szCs w:val="20"/>
        </w:rPr>
        <w:t xml:space="preserve"> London: Academic Press; 1995. p.145-166.</w:t>
      </w:r>
    </w:p>
    <w:p w14:paraId="02436B64"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Galiègue</w:t>
      </w:r>
      <w:proofErr w:type="spellEnd"/>
      <w:r w:rsidRPr="00F1066D">
        <w:rPr>
          <w:rFonts w:ascii="Arial" w:hAnsi="Arial" w:cs="Arial"/>
          <w:sz w:val="20"/>
          <w:szCs w:val="20"/>
        </w:rPr>
        <w:t xml:space="preserve"> S, Mary S, Marchand J, </w:t>
      </w:r>
      <w:proofErr w:type="spellStart"/>
      <w:r w:rsidRPr="00F1066D">
        <w:rPr>
          <w:rFonts w:ascii="Arial" w:hAnsi="Arial" w:cs="Arial"/>
          <w:sz w:val="20"/>
          <w:szCs w:val="20"/>
        </w:rPr>
        <w:t>Dussossoy</w:t>
      </w:r>
      <w:proofErr w:type="spellEnd"/>
      <w:r w:rsidRPr="00F1066D">
        <w:rPr>
          <w:rFonts w:ascii="Arial" w:hAnsi="Arial" w:cs="Arial"/>
          <w:sz w:val="20"/>
          <w:szCs w:val="20"/>
        </w:rPr>
        <w:t xml:space="preserve"> D, </w:t>
      </w:r>
      <w:proofErr w:type="spellStart"/>
      <w:r w:rsidRPr="00F1066D">
        <w:rPr>
          <w:rFonts w:ascii="Arial" w:hAnsi="Arial" w:cs="Arial"/>
          <w:sz w:val="20"/>
          <w:szCs w:val="20"/>
        </w:rPr>
        <w:t>Carrière</w:t>
      </w:r>
      <w:proofErr w:type="spellEnd"/>
      <w:r w:rsidRPr="00F1066D">
        <w:rPr>
          <w:rFonts w:ascii="Arial" w:hAnsi="Arial" w:cs="Arial"/>
          <w:sz w:val="20"/>
          <w:szCs w:val="20"/>
        </w:rPr>
        <w:t xml:space="preserve"> D, </w:t>
      </w:r>
      <w:proofErr w:type="spellStart"/>
      <w:r w:rsidRPr="00F1066D">
        <w:rPr>
          <w:rFonts w:ascii="Arial" w:hAnsi="Arial" w:cs="Arial"/>
          <w:sz w:val="20"/>
          <w:szCs w:val="20"/>
        </w:rPr>
        <w:t>Carayon</w:t>
      </w:r>
      <w:proofErr w:type="spellEnd"/>
      <w:r w:rsidRPr="00F1066D">
        <w:rPr>
          <w:rFonts w:ascii="Arial" w:hAnsi="Arial" w:cs="Arial"/>
          <w:sz w:val="20"/>
          <w:szCs w:val="20"/>
        </w:rPr>
        <w:t xml:space="preserve"> P, et al. Expression of central and peripheral cannabinoid receptors in human immune tissues. </w:t>
      </w:r>
      <w:r w:rsidRPr="00F1066D">
        <w:rPr>
          <w:rStyle w:val="Emphasis"/>
          <w:rFonts w:ascii="Arial" w:hAnsi="Arial" w:cs="Arial"/>
          <w:sz w:val="20"/>
          <w:szCs w:val="20"/>
        </w:rPr>
        <w:t xml:space="preserve">Eur J </w:t>
      </w:r>
      <w:proofErr w:type="spellStart"/>
      <w:r w:rsidRPr="00F1066D">
        <w:rPr>
          <w:rStyle w:val="Emphasis"/>
          <w:rFonts w:ascii="Arial" w:hAnsi="Arial" w:cs="Arial"/>
          <w:sz w:val="20"/>
          <w:szCs w:val="20"/>
        </w:rPr>
        <w:t>Biochem</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1995;232:54</w:t>
      </w:r>
      <w:proofErr w:type="gramEnd"/>
      <w:r w:rsidRPr="00F1066D">
        <w:rPr>
          <w:rFonts w:ascii="Arial" w:hAnsi="Arial" w:cs="Arial"/>
          <w:sz w:val="20"/>
          <w:szCs w:val="20"/>
        </w:rPr>
        <w:t>-61.</w:t>
      </w:r>
    </w:p>
    <w:p w14:paraId="6F7B9F23"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Howlett AC, </w:t>
      </w:r>
      <w:proofErr w:type="spellStart"/>
      <w:r w:rsidRPr="00F1066D">
        <w:rPr>
          <w:rFonts w:ascii="Arial" w:hAnsi="Arial" w:cs="Arial"/>
          <w:sz w:val="20"/>
          <w:szCs w:val="20"/>
        </w:rPr>
        <w:t>Breivogel</w:t>
      </w:r>
      <w:proofErr w:type="spellEnd"/>
      <w:r w:rsidRPr="00F1066D">
        <w:rPr>
          <w:rFonts w:ascii="Arial" w:hAnsi="Arial" w:cs="Arial"/>
          <w:sz w:val="20"/>
          <w:szCs w:val="20"/>
        </w:rPr>
        <w:t xml:space="preserve"> CS, Childers SR, </w:t>
      </w:r>
      <w:proofErr w:type="spellStart"/>
      <w:r w:rsidRPr="00F1066D">
        <w:rPr>
          <w:rFonts w:ascii="Arial" w:hAnsi="Arial" w:cs="Arial"/>
          <w:sz w:val="20"/>
          <w:szCs w:val="20"/>
        </w:rPr>
        <w:t>Deadwyler</w:t>
      </w:r>
      <w:proofErr w:type="spellEnd"/>
      <w:r w:rsidRPr="00F1066D">
        <w:rPr>
          <w:rFonts w:ascii="Arial" w:hAnsi="Arial" w:cs="Arial"/>
          <w:sz w:val="20"/>
          <w:szCs w:val="20"/>
        </w:rPr>
        <w:t xml:space="preserve"> SA, Hampson RE, </w:t>
      </w:r>
      <w:proofErr w:type="spellStart"/>
      <w:r w:rsidRPr="00F1066D">
        <w:rPr>
          <w:rFonts w:ascii="Arial" w:hAnsi="Arial" w:cs="Arial"/>
          <w:sz w:val="20"/>
          <w:szCs w:val="20"/>
        </w:rPr>
        <w:t>Porrino</w:t>
      </w:r>
      <w:proofErr w:type="spellEnd"/>
      <w:r w:rsidRPr="00F1066D">
        <w:rPr>
          <w:rFonts w:ascii="Arial" w:hAnsi="Arial" w:cs="Arial"/>
          <w:sz w:val="20"/>
          <w:szCs w:val="20"/>
        </w:rPr>
        <w:t xml:space="preserve"> LJ. Cannabinoid physiology and pharmacology: 30 years of progress. </w:t>
      </w:r>
      <w:r w:rsidRPr="00F1066D">
        <w:rPr>
          <w:rStyle w:val="Emphasis"/>
          <w:rFonts w:ascii="Arial" w:hAnsi="Arial" w:cs="Arial"/>
          <w:sz w:val="20"/>
          <w:szCs w:val="20"/>
        </w:rPr>
        <w:t>Neuropharmacology.</w:t>
      </w:r>
      <w:r w:rsidRPr="00F1066D">
        <w:rPr>
          <w:rFonts w:ascii="Arial" w:hAnsi="Arial" w:cs="Arial"/>
          <w:sz w:val="20"/>
          <w:szCs w:val="20"/>
        </w:rPr>
        <w:t xml:space="preserve"> </w:t>
      </w:r>
      <w:proofErr w:type="gramStart"/>
      <w:r w:rsidRPr="00F1066D">
        <w:rPr>
          <w:rFonts w:ascii="Arial" w:hAnsi="Arial" w:cs="Arial"/>
          <w:sz w:val="20"/>
          <w:szCs w:val="20"/>
        </w:rPr>
        <w:t>2004;47:345</w:t>
      </w:r>
      <w:proofErr w:type="gramEnd"/>
      <w:r w:rsidRPr="00F1066D">
        <w:rPr>
          <w:rFonts w:ascii="Arial" w:hAnsi="Arial" w:cs="Arial"/>
          <w:sz w:val="20"/>
          <w:szCs w:val="20"/>
        </w:rPr>
        <w:t>-358.</w:t>
      </w:r>
    </w:p>
    <w:p w14:paraId="7494EA50"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McKinney MK, </w:t>
      </w:r>
      <w:proofErr w:type="spellStart"/>
      <w:r w:rsidRPr="00F1066D">
        <w:rPr>
          <w:rFonts w:ascii="Arial" w:hAnsi="Arial" w:cs="Arial"/>
          <w:sz w:val="20"/>
          <w:szCs w:val="20"/>
        </w:rPr>
        <w:t>Cravatt</w:t>
      </w:r>
      <w:proofErr w:type="spellEnd"/>
      <w:r w:rsidRPr="00F1066D">
        <w:rPr>
          <w:rFonts w:ascii="Arial" w:hAnsi="Arial" w:cs="Arial"/>
          <w:sz w:val="20"/>
          <w:szCs w:val="20"/>
        </w:rPr>
        <w:t xml:space="preserve"> BF. Structure and function of fatty acid amide hydrolase. </w:t>
      </w:r>
      <w:proofErr w:type="spellStart"/>
      <w:r w:rsidRPr="00F1066D">
        <w:rPr>
          <w:rStyle w:val="Emphasis"/>
          <w:rFonts w:ascii="Arial" w:hAnsi="Arial" w:cs="Arial"/>
          <w:sz w:val="20"/>
          <w:szCs w:val="20"/>
        </w:rPr>
        <w:t>Annu</w:t>
      </w:r>
      <w:proofErr w:type="spellEnd"/>
      <w:r w:rsidRPr="00F1066D">
        <w:rPr>
          <w:rStyle w:val="Emphasis"/>
          <w:rFonts w:ascii="Arial" w:hAnsi="Arial" w:cs="Arial"/>
          <w:sz w:val="20"/>
          <w:szCs w:val="20"/>
        </w:rPr>
        <w:t xml:space="preserve"> Rev </w:t>
      </w:r>
      <w:proofErr w:type="spellStart"/>
      <w:r w:rsidRPr="00F1066D">
        <w:rPr>
          <w:rStyle w:val="Emphasis"/>
          <w:rFonts w:ascii="Arial" w:hAnsi="Arial" w:cs="Arial"/>
          <w:sz w:val="20"/>
          <w:szCs w:val="20"/>
        </w:rPr>
        <w:t>Biochem</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2005;74:411</w:t>
      </w:r>
      <w:proofErr w:type="gramEnd"/>
      <w:r w:rsidRPr="00F1066D">
        <w:rPr>
          <w:rFonts w:ascii="Arial" w:hAnsi="Arial" w:cs="Arial"/>
          <w:sz w:val="20"/>
          <w:szCs w:val="20"/>
        </w:rPr>
        <w:t xml:space="preserve">-432. </w:t>
      </w:r>
      <w:proofErr w:type="gramStart"/>
      <w:r w:rsidRPr="00F1066D">
        <w:rPr>
          <w:rFonts w:ascii="Arial" w:hAnsi="Arial" w:cs="Arial"/>
          <w:sz w:val="20"/>
          <w:szCs w:val="20"/>
        </w:rPr>
        <w:t>doi:10.1146/annurev.biochem</w:t>
      </w:r>
      <w:proofErr w:type="gramEnd"/>
      <w:r w:rsidRPr="00F1066D">
        <w:rPr>
          <w:rFonts w:ascii="Arial" w:hAnsi="Arial" w:cs="Arial"/>
          <w:sz w:val="20"/>
          <w:szCs w:val="20"/>
        </w:rPr>
        <w:t>.74.082803.133450.</w:t>
      </w:r>
    </w:p>
    <w:p w14:paraId="0FEE05DD" w14:textId="77777777" w:rsidR="00FE767C"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Devane</w:t>
      </w:r>
      <w:proofErr w:type="spellEnd"/>
      <w:r w:rsidRPr="00F1066D">
        <w:rPr>
          <w:rFonts w:ascii="Arial" w:hAnsi="Arial" w:cs="Arial"/>
          <w:sz w:val="20"/>
          <w:szCs w:val="20"/>
        </w:rPr>
        <w:t xml:space="preserve"> WA, </w:t>
      </w:r>
      <w:proofErr w:type="spellStart"/>
      <w:r w:rsidRPr="00F1066D">
        <w:rPr>
          <w:rFonts w:ascii="Arial" w:hAnsi="Arial" w:cs="Arial"/>
          <w:sz w:val="20"/>
          <w:szCs w:val="20"/>
        </w:rPr>
        <w:t>Hanus</w:t>
      </w:r>
      <w:proofErr w:type="spellEnd"/>
      <w:r w:rsidRPr="00F1066D">
        <w:rPr>
          <w:rFonts w:ascii="Arial" w:hAnsi="Arial" w:cs="Arial"/>
          <w:sz w:val="20"/>
          <w:szCs w:val="20"/>
        </w:rPr>
        <w:t xml:space="preserve"> L, Breuer A, Pertwee RG, Stevenson LA, Griffin G, et al. Isolation and structure of a brain constituent that binds to the cannabinoid receptor. </w:t>
      </w:r>
      <w:r w:rsidRPr="00F1066D">
        <w:rPr>
          <w:rStyle w:val="Emphasis"/>
          <w:rFonts w:ascii="Arial" w:hAnsi="Arial" w:cs="Arial"/>
          <w:sz w:val="20"/>
          <w:szCs w:val="20"/>
        </w:rPr>
        <w:t>Science.</w:t>
      </w:r>
      <w:r w:rsidRPr="00F1066D">
        <w:rPr>
          <w:rFonts w:ascii="Arial" w:hAnsi="Arial" w:cs="Arial"/>
          <w:sz w:val="20"/>
          <w:szCs w:val="20"/>
        </w:rPr>
        <w:t xml:space="preserve"> </w:t>
      </w:r>
      <w:proofErr w:type="gramStart"/>
      <w:r w:rsidRPr="00F1066D">
        <w:rPr>
          <w:rFonts w:ascii="Arial" w:hAnsi="Arial" w:cs="Arial"/>
          <w:sz w:val="20"/>
          <w:szCs w:val="20"/>
        </w:rPr>
        <w:t>1992;258:1946</w:t>
      </w:r>
      <w:proofErr w:type="gramEnd"/>
      <w:r w:rsidRPr="00F1066D">
        <w:rPr>
          <w:rFonts w:ascii="Arial" w:hAnsi="Arial" w:cs="Arial"/>
          <w:sz w:val="20"/>
          <w:szCs w:val="20"/>
        </w:rPr>
        <w:t>-1949. doi:10.1126/science.1470919.</w:t>
      </w:r>
    </w:p>
    <w:p w14:paraId="009AAA9D" w14:textId="0A4649D3" w:rsidR="00E456A5" w:rsidRPr="00E456A5" w:rsidRDefault="00E456A5" w:rsidP="00E456A5">
      <w:pPr>
        <w:pStyle w:val="NormalWeb"/>
        <w:numPr>
          <w:ilvl w:val="0"/>
          <w:numId w:val="45"/>
        </w:numPr>
        <w:rPr>
          <w:rFonts w:ascii="Arial" w:hAnsi="Arial" w:cs="Arial"/>
          <w:color w:val="000000" w:themeColor="text1"/>
          <w:sz w:val="20"/>
          <w:szCs w:val="20"/>
        </w:rPr>
      </w:pPr>
      <w:r w:rsidRPr="00E456A5">
        <w:rPr>
          <w:rFonts w:ascii="Arial" w:hAnsi="Arial" w:cs="Arial"/>
          <w:color w:val="000000" w:themeColor="text1"/>
          <w:sz w:val="20"/>
          <w:szCs w:val="20"/>
        </w:rPr>
        <w:t xml:space="preserve">World Health Organization. Chemical safety and health. WHO; </w:t>
      </w:r>
      <w:proofErr w:type="gramStart"/>
      <w:r w:rsidRPr="00E456A5">
        <w:rPr>
          <w:rFonts w:ascii="Arial" w:hAnsi="Arial" w:cs="Arial"/>
          <w:color w:val="000000" w:themeColor="text1"/>
          <w:sz w:val="20"/>
          <w:szCs w:val="20"/>
        </w:rPr>
        <w:t>2022.</w:t>
      </w:r>
      <w:proofErr w:type="gramEnd"/>
      <w:r w:rsidRPr="00E456A5">
        <w:rPr>
          <w:rFonts w:ascii="Arial" w:hAnsi="Arial" w:cs="Arial"/>
          <w:color w:val="000000" w:themeColor="text1"/>
          <w:sz w:val="20"/>
          <w:szCs w:val="20"/>
        </w:rPr>
        <w:t xml:space="preserve"> Available from: </w:t>
      </w:r>
      <w:hyperlink r:id="rId19" w:tgtFrame="_new" w:history="1">
        <w:r w:rsidRPr="00E456A5">
          <w:rPr>
            <w:rStyle w:val="Hyperlink"/>
            <w:rFonts w:ascii="Arial" w:hAnsi="Arial" w:cs="Arial"/>
            <w:color w:val="000000" w:themeColor="text1"/>
            <w:sz w:val="20"/>
            <w:szCs w:val="20"/>
            <w:u w:val="none"/>
          </w:rPr>
          <w:t>https://www.who.int/teams/environment-climate-change-and-health/chemical-safety-and-health/health-impacts/chemicals/arsenic</w:t>
        </w:r>
      </w:hyperlink>
    </w:p>
    <w:p w14:paraId="39639A1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Wang J, Ueda N. Biology of endocannabinoid synthesis system. </w:t>
      </w:r>
      <w:r w:rsidRPr="00F1066D">
        <w:rPr>
          <w:rStyle w:val="Emphasis"/>
          <w:rFonts w:ascii="Arial" w:hAnsi="Arial" w:cs="Arial"/>
          <w:sz w:val="20"/>
          <w:szCs w:val="20"/>
        </w:rPr>
        <w:t xml:space="preserve">Prostaglandins Other Lipid </w:t>
      </w:r>
      <w:proofErr w:type="spellStart"/>
      <w:r w:rsidRPr="00F1066D">
        <w:rPr>
          <w:rStyle w:val="Emphasis"/>
          <w:rFonts w:ascii="Arial" w:hAnsi="Arial" w:cs="Arial"/>
          <w:sz w:val="20"/>
          <w:szCs w:val="20"/>
        </w:rPr>
        <w:t>Mediat</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2009;89:112</w:t>
      </w:r>
      <w:proofErr w:type="gramEnd"/>
      <w:r w:rsidRPr="00F1066D">
        <w:rPr>
          <w:rFonts w:ascii="Arial" w:hAnsi="Arial" w:cs="Arial"/>
          <w:sz w:val="20"/>
          <w:szCs w:val="20"/>
        </w:rPr>
        <w:t>-119.</w:t>
      </w:r>
    </w:p>
    <w:p w14:paraId="3D1A7384"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lastRenderedPageBreak/>
        <w:t>Egertová</w:t>
      </w:r>
      <w:proofErr w:type="spellEnd"/>
      <w:r w:rsidRPr="00F1066D">
        <w:rPr>
          <w:rFonts w:ascii="Arial" w:hAnsi="Arial" w:cs="Arial"/>
          <w:sz w:val="20"/>
          <w:szCs w:val="20"/>
        </w:rPr>
        <w:t xml:space="preserve"> M, Simon GM, </w:t>
      </w:r>
      <w:proofErr w:type="spellStart"/>
      <w:r w:rsidRPr="00F1066D">
        <w:rPr>
          <w:rFonts w:ascii="Arial" w:hAnsi="Arial" w:cs="Arial"/>
          <w:sz w:val="20"/>
          <w:szCs w:val="20"/>
        </w:rPr>
        <w:t>Cravatt</w:t>
      </w:r>
      <w:proofErr w:type="spellEnd"/>
      <w:r w:rsidRPr="00F1066D">
        <w:rPr>
          <w:rFonts w:ascii="Arial" w:hAnsi="Arial" w:cs="Arial"/>
          <w:sz w:val="20"/>
          <w:szCs w:val="20"/>
        </w:rPr>
        <w:t xml:space="preserve"> BF, Elphick MR. Localization of NAPE-PLD expression in mouse brain. </w:t>
      </w:r>
      <w:r w:rsidRPr="00F1066D">
        <w:rPr>
          <w:rStyle w:val="Emphasis"/>
          <w:rFonts w:ascii="Arial" w:hAnsi="Arial" w:cs="Arial"/>
          <w:sz w:val="20"/>
          <w:szCs w:val="20"/>
        </w:rPr>
        <w:t>J Comp Neurol.</w:t>
      </w:r>
      <w:r w:rsidRPr="00F1066D">
        <w:rPr>
          <w:rFonts w:ascii="Arial" w:hAnsi="Arial" w:cs="Arial"/>
          <w:sz w:val="20"/>
          <w:szCs w:val="20"/>
        </w:rPr>
        <w:t xml:space="preserve"> </w:t>
      </w:r>
      <w:proofErr w:type="gramStart"/>
      <w:r w:rsidRPr="00F1066D">
        <w:rPr>
          <w:rFonts w:ascii="Arial" w:hAnsi="Arial" w:cs="Arial"/>
          <w:sz w:val="20"/>
          <w:szCs w:val="20"/>
        </w:rPr>
        <w:t>2008;506:604</w:t>
      </w:r>
      <w:proofErr w:type="gramEnd"/>
      <w:r w:rsidRPr="00F1066D">
        <w:rPr>
          <w:rFonts w:ascii="Arial" w:hAnsi="Arial" w:cs="Arial"/>
          <w:sz w:val="20"/>
          <w:szCs w:val="20"/>
        </w:rPr>
        <w:t>-615.</w:t>
      </w:r>
    </w:p>
    <w:p w14:paraId="3ACE53AA"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Okamoto Y, Wang J, </w:t>
      </w:r>
      <w:proofErr w:type="spellStart"/>
      <w:r w:rsidRPr="00F1066D">
        <w:rPr>
          <w:rFonts w:ascii="Arial" w:hAnsi="Arial" w:cs="Arial"/>
          <w:sz w:val="20"/>
          <w:szCs w:val="20"/>
        </w:rPr>
        <w:t>Morishita</w:t>
      </w:r>
      <w:proofErr w:type="spellEnd"/>
      <w:r w:rsidRPr="00F1066D">
        <w:rPr>
          <w:rFonts w:ascii="Arial" w:hAnsi="Arial" w:cs="Arial"/>
          <w:sz w:val="20"/>
          <w:szCs w:val="20"/>
        </w:rPr>
        <w:t xml:space="preserve"> J, Ueda N. Biosynthetic pathways of anandamide. </w:t>
      </w:r>
      <w:r w:rsidRPr="00F1066D">
        <w:rPr>
          <w:rStyle w:val="Emphasis"/>
          <w:rFonts w:ascii="Arial" w:hAnsi="Arial" w:cs="Arial"/>
          <w:sz w:val="20"/>
          <w:szCs w:val="20"/>
        </w:rPr>
        <w:t xml:space="preserve">Chem </w:t>
      </w:r>
      <w:proofErr w:type="spellStart"/>
      <w:r w:rsidRPr="00F1066D">
        <w:rPr>
          <w:rStyle w:val="Emphasis"/>
          <w:rFonts w:ascii="Arial" w:hAnsi="Arial" w:cs="Arial"/>
          <w:sz w:val="20"/>
          <w:szCs w:val="20"/>
        </w:rPr>
        <w:t>Biodivers</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2007;4:1842</w:t>
      </w:r>
      <w:proofErr w:type="gramEnd"/>
      <w:r w:rsidRPr="00F1066D">
        <w:rPr>
          <w:rFonts w:ascii="Arial" w:hAnsi="Arial" w:cs="Arial"/>
          <w:sz w:val="20"/>
          <w:szCs w:val="20"/>
        </w:rPr>
        <w:t>-1857.</w:t>
      </w:r>
    </w:p>
    <w:p w14:paraId="186C69E4"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Basavarajappa</w:t>
      </w:r>
      <w:proofErr w:type="spellEnd"/>
      <w:r w:rsidRPr="00F1066D">
        <w:rPr>
          <w:rFonts w:ascii="Arial" w:hAnsi="Arial" w:cs="Arial"/>
          <w:sz w:val="20"/>
          <w:szCs w:val="20"/>
        </w:rPr>
        <w:t xml:space="preserve"> BS. Endocannabinoid system: critical enzymes. </w:t>
      </w:r>
      <w:r w:rsidRPr="00F1066D">
        <w:rPr>
          <w:rStyle w:val="Emphasis"/>
          <w:rFonts w:ascii="Arial" w:hAnsi="Arial" w:cs="Arial"/>
          <w:sz w:val="20"/>
          <w:szCs w:val="20"/>
        </w:rPr>
        <w:t xml:space="preserve">Protein </w:t>
      </w:r>
      <w:proofErr w:type="spellStart"/>
      <w:r w:rsidRPr="00F1066D">
        <w:rPr>
          <w:rStyle w:val="Emphasis"/>
          <w:rFonts w:ascii="Arial" w:hAnsi="Arial" w:cs="Arial"/>
          <w:sz w:val="20"/>
          <w:szCs w:val="20"/>
        </w:rPr>
        <w:t>Pept</w:t>
      </w:r>
      <w:proofErr w:type="spellEnd"/>
      <w:r w:rsidRPr="00F1066D">
        <w:rPr>
          <w:rStyle w:val="Emphasis"/>
          <w:rFonts w:ascii="Arial" w:hAnsi="Arial" w:cs="Arial"/>
          <w:sz w:val="20"/>
          <w:szCs w:val="20"/>
        </w:rPr>
        <w:t xml:space="preserve"> Lett.</w:t>
      </w:r>
      <w:r w:rsidRPr="00F1066D">
        <w:rPr>
          <w:rFonts w:ascii="Arial" w:hAnsi="Arial" w:cs="Arial"/>
          <w:sz w:val="20"/>
          <w:szCs w:val="20"/>
        </w:rPr>
        <w:t xml:space="preserve"> </w:t>
      </w:r>
      <w:proofErr w:type="gramStart"/>
      <w:r w:rsidRPr="00F1066D">
        <w:rPr>
          <w:rFonts w:ascii="Arial" w:hAnsi="Arial" w:cs="Arial"/>
          <w:sz w:val="20"/>
          <w:szCs w:val="20"/>
        </w:rPr>
        <w:t>2007;14:237</w:t>
      </w:r>
      <w:proofErr w:type="gramEnd"/>
      <w:r w:rsidRPr="00F1066D">
        <w:rPr>
          <w:rFonts w:ascii="Arial" w:hAnsi="Arial" w:cs="Arial"/>
          <w:sz w:val="20"/>
          <w:szCs w:val="20"/>
        </w:rPr>
        <w:t>-246.</w:t>
      </w:r>
    </w:p>
    <w:p w14:paraId="12270E19" w14:textId="77777777" w:rsidR="00FE767C"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Cocco</w:t>
      </w:r>
      <w:proofErr w:type="spellEnd"/>
      <w:r w:rsidRPr="00F1066D">
        <w:rPr>
          <w:rFonts w:ascii="Arial" w:hAnsi="Arial" w:cs="Arial"/>
          <w:sz w:val="20"/>
          <w:szCs w:val="20"/>
        </w:rPr>
        <w:t xml:space="preserve"> L, Faenza I, Fiume R, Billi AM, Gilmour RS, </w:t>
      </w:r>
      <w:proofErr w:type="spellStart"/>
      <w:r w:rsidRPr="00F1066D">
        <w:rPr>
          <w:rFonts w:ascii="Arial" w:hAnsi="Arial" w:cs="Arial"/>
          <w:sz w:val="20"/>
          <w:szCs w:val="20"/>
        </w:rPr>
        <w:t>Manzoli</w:t>
      </w:r>
      <w:proofErr w:type="spellEnd"/>
      <w:r w:rsidRPr="00F1066D">
        <w:rPr>
          <w:rFonts w:ascii="Arial" w:hAnsi="Arial" w:cs="Arial"/>
          <w:sz w:val="20"/>
          <w:szCs w:val="20"/>
        </w:rPr>
        <w:t xml:space="preserve"> FA. Phosphoinositide-specific phospholipase C </w:t>
      </w:r>
      <w:proofErr w:type="spellStart"/>
      <w:r w:rsidRPr="00F1066D">
        <w:rPr>
          <w:rFonts w:ascii="Arial" w:hAnsi="Arial" w:cs="Arial"/>
          <w:sz w:val="20"/>
          <w:szCs w:val="20"/>
        </w:rPr>
        <w:t>signaling</w:t>
      </w:r>
      <w:proofErr w:type="spellEnd"/>
      <w:r w:rsidRPr="00F1066D">
        <w:rPr>
          <w:rFonts w:ascii="Arial" w:hAnsi="Arial" w:cs="Arial"/>
          <w:sz w:val="20"/>
          <w:szCs w:val="20"/>
        </w:rPr>
        <w:t xml:space="preserve">. </w:t>
      </w:r>
      <w:proofErr w:type="spellStart"/>
      <w:r w:rsidRPr="00F1066D">
        <w:rPr>
          <w:rStyle w:val="Emphasis"/>
          <w:rFonts w:ascii="Arial" w:hAnsi="Arial" w:cs="Arial"/>
          <w:sz w:val="20"/>
          <w:szCs w:val="20"/>
        </w:rPr>
        <w:t>Biochim</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Biophys</w:t>
      </w:r>
      <w:proofErr w:type="spellEnd"/>
      <w:r w:rsidRPr="00F1066D">
        <w:rPr>
          <w:rStyle w:val="Emphasis"/>
          <w:rFonts w:ascii="Arial" w:hAnsi="Arial" w:cs="Arial"/>
          <w:sz w:val="20"/>
          <w:szCs w:val="20"/>
        </w:rPr>
        <w:t xml:space="preserve"> Acta.</w:t>
      </w:r>
      <w:r w:rsidRPr="00F1066D">
        <w:rPr>
          <w:rFonts w:ascii="Arial" w:hAnsi="Arial" w:cs="Arial"/>
          <w:sz w:val="20"/>
          <w:szCs w:val="20"/>
        </w:rPr>
        <w:t xml:space="preserve"> </w:t>
      </w:r>
      <w:proofErr w:type="gramStart"/>
      <w:r w:rsidRPr="00F1066D">
        <w:rPr>
          <w:rFonts w:ascii="Arial" w:hAnsi="Arial" w:cs="Arial"/>
          <w:sz w:val="20"/>
          <w:szCs w:val="20"/>
        </w:rPr>
        <w:t>2006;1761:509</w:t>
      </w:r>
      <w:proofErr w:type="gramEnd"/>
      <w:r w:rsidRPr="00F1066D">
        <w:rPr>
          <w:rFonts w:ascii="Arial" w:hAnsi="Arial" w:cs="Arial"/>
          <w:sz w:val="20"/>
          <w:szCs w:val="20"/>
        </w:rPr>
        <w:t>-521.</w:t>
      </w:r>
    </w:p>
    <w:p w14:paraId="25341E4C" w14:textId="15188981" w:rsidR="00DA6103" w:rsidRDefault="00DA6103" w:rsidP="00DA6103">
      <w:pPr>
        <w:pStyle w:val="NormalWeb"/>
        <w:numPr>
          <w:ilvl w:val="0"/>
          <w:numId w:val="45"/>
        </w:numPr>
        <w:rPr>
          <w:rFonts w:ascii="Arial" w:hAnsi="Arial" w:cs="Arial"/>
          <w:sz w:val="20"/>
          <w:szCs w:val="20"/>
        </w:rPr>
      </w:pPr>
      <w:r w:rsidRPr="00F1066D">
        <w:rPr>
          <w:rFonts w:ascii="Arial" w:hAnsi="Arial" w:cs="Arial"/>
          <w:sz w:val="20"/>
          <w:szCs w:val="20"/>
        </w:rPr>
        <w:t xml:space="preserve">Guindon J, Hohmann AG. The endocannabinoid system and pain. </w:t>
      </w:r>
      <w:r w:rsidRPr="00F1066D">
        <w:rPr>
          <w:rStyle w:val="Emphasis"/>
          <w:rFonts w:ascii="Arial" w:hAnsi="Arial" w:cs="Arial"/>
          <w:sz w:val="20"/>
          <w:szCs w:val="20"/>
        </w:rPr>
        <w:t xml:space="preserve">CNS </w:t>
      </w:r>
      <w:proofErr w:type="spellStart"/>
      <w:r w:rsidRPr="00F1066D">
        <w:rPr>
          <w:rStyle w:val="Emphasis"/>
          <w:rFonts w:ascii="Arial" w:hAnsi="Arial" w:cs="Arial"/>
          <w:sz w:val="20"/>
          <w:szCs w:val="20"/>
        </w:rPr>
        <w:t>Neurol</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Disord</w:t>
      </w:r>
      <w:proofErr w:type="spellEnd"/>
      <w:r w:rsidRPr="00F1066D">
        <w:rPr>
          <w:rStyle w:val="Emphasis"/>
          <w:rFonts w:ascii="Arial" w:hAnsi="Arial" w:cs="Arial"/>
          <w:sz w:val="20"/>
          <w:szCs w:val="20"/>
        </w:rPr>
        <w:t xml:space="preserve"> Drug Targets.</w:t>
      </w:r>
      <w:r w:rsidRPr="00F1066D">
        <w:rPr>
          <w:rFonts w:ascii="Arial" w:hAnsi="Arial" w:cs="Arial"/>
          <w:sz w:val="20"/>
          <w:szCs w:val="20"/>
        </w:rPr>
        <w:t xml:space="preserve"> 2009;8(6):403-421.</w:t>
      </w:r>
    </w:p>
    <w:p w14:paraId="62A9BFFF" w14:textId="0EACEE8E" w:rsidR="00DA6103" w:rsidRDefault="00DA6103" w:rsidP="00DA6103">
      <w:pPr>
        <w:pStyle w:val="NormalWeb"/>
        <w:numPr>
          <w:ilvl w:val="0"/>
          <w:numId w:val="45"/>
        </w:numPr>
        <w:rPr>
          <w:rFonts w:ascii="Arial" w:hAnsi="Arial" w:cs="Arial"/>
          <w:sz w:val="20"/>
          <w:szCs w:val="20"/>
        </w:rPr>
      </w:pPr>
      <w:r w:rsidRPr="00F1066D">
        <w:rPr>
          <w:rFonts w:ascii="Arial" w:hAnsi="Arial" w:cs="Arial"/>
          <w:sz w:val="20"/>
          <w:szCs w:val="20"/>
        </w:rPr>
        <w:t xml:space="preserve">Hill MN, Tasker JG. Endocannabinoid </w:t>
      </w:r>
      <w:proofErr w:type="spellStart"/>
      <w:r w:rsidRPr="00F1066D">
        <w:rPr>
          <w:rFonts w:ascii="Arial" w:hAnsi="Arial" w:cs="Arial"/>
          <w:sz w:val="20"/>
          <w:szCs w:val="20"/>
        </w:rPr>
        <w:t>signaling</w:t>
      </w:r>
      <w:proofErr w:type="spellEnd"/>
      <w:r w:rsidRPr="00F1066D">
        <w:rPr>
          <w:rFonts w:ascii="Arial" w:hAnsi="Arial" w:cs="Arial"/>
          <w:sz w:val="20"/>
          <w:szCs w:val="20"/>
        </w:rPr>
        <w:t xml:space="preserve">, glucocorticoid-mediated negative feedback, and regulation of the hypothalamic-pituitary-adrenal axis. </w:t>
      </w:r>
      <w:r w:rsidRPr="00F1066D">
        <w:rPr>
          <w:rStyle w:val="Emphasis"/>
          <w:rFonts w:ascii="Arial" w:hAnsi="Arial" w:cs="Arial"/>
          <w:sz w:val="20"/>
          <w:szCs w:val="20"/>
        </w:rPr>
        <w:t>Neuroscience.</w:t>
      </w:r>
      <w:r w:rsidRPr="00F1066D">
        <w:rPr>
          <w:rFonts w:ascii="Arial" w:hAnsi="Arial" w:cs="Arial"/>
          <w:sz w:val="20"/>
          <w:szCs w:val="20"/>
        </w:rPr>
        <w:t xml:space="preserve"> </w:t>
      </w:r>
      <w:proofErr w:type="gramStart"/>
      <w:r w:rsidRPr="00F1066D">
        <w:rPr>
          <w:rFonts w:ascii="Arial" w:hAnsi="Arial" w:cs="Arial"/>
          <w:sz w:val="20"/>
          <w:szCs w:val="20"/>
        </w:rPr>
        <w:t>2012;204:5</w:t>
      </w:r>
      <w:proofErr w:type="gramEnd"/>
      <w:r w:rsidRPr="00F1066D">
        <w:rPr>
          <w:rFonts w:ascii="Arial" w:hAnsi="Arial" w:cs="Arial"/>
          <w:sz w:val="20"/>
          <w:szCs w:val="20"/>
        </w:rPr>
        <w:t>-16.</w:t>
      </w:r>
    </w:p>
    <w:p w14:paraId="7B9ECD2E" w14:textId="77777777" w:rsidR="00DA6103" w:rsidRPr="00F1066D" w:rsidRDefault="00DA6103" w:rsidP="00DA6103">
      <w:pPr>
        <w:pStyle w:val="NormalWeb"/>
        <w:numPr>
          <w:ilvl w:val="0"/>
          <w:numId w:val="45"/>
        </w:numPr>
        <w:rPr>
          <w:rFonts w:ascii="Arial" w:hAnsi="Arial" w:cs="Arial"/>
          <w:sz w:val="20"/>
          <w:szCs w:val="20"/>
        </w:rPr>
      </w:pPr>
      <w:proofErr w:type="spellStart"/>
      <w:r w:rsidRPr="00F1066D">
        <w:rPr>
          <w:rFonts w:ascii="Arial" w:hAnsi="Arial" w:cs="Arial"/>
          <w:sz w:val="20"/>
          <w:szCs w:val="20"/>
        </w:rPr>
        <w:t>Chevaleyre</w:t>
      </w:r>
      <w:proofErr w:type="spellEnd"/>
      <w:r w:rsidRPr="00F1066D">
        <w:rPr>
          <w:rFonts w:ascii="Arial" w:hAnsi="Arial" w:cs="Arial"/>
          <w:sz w:val="20"/>
          <w:szCs w:val="20"/>
        </w:rPr>
        <w:t xml:space="preserve"> V, Takahashi KA, Castillo PE. Endocannabinoid-mediated synaptic plasticity in the CNS. </w:t>
      </w:r>
      <w:proofErr w:type="spellStart"/>
      <w:r w:rsidRPr="00F1066D">
        <w:rPr>
          <w:rStyle w:val="Emphasis"/>
          <w:rFonts w:ascii="Arial" w:hAnsi="Arial" w:cs="Arial"/>
          <w:sz w:val="20"/>
          <w:szCs w:val="20"/>
        </w:rPr>
        <w:t>Annu</w:t>
      </w:r>
      <w:proofErr w:type="spellEnd"/>
      <w:r w:rsidRPr="00F1066D">
        <w:rPr>
          <w:rStyle w:val="Emphasis"/>
          <w:rFonts w:ascii="Arial" w:hAnsi="Arial" w:cs="Arial"/>
          <w:sz w:val="20"/>
          <w:szCs w:val="20"/>
        </w:rPr>
        <w:t xml:space="preserve"> Rev </w:t>
      </w:r>
      <w:proofErr w:type="spellStart"/>
      <w:r w:rsidRPr="00F1066D">
        <w:rPr>
          <w:rStyle w:val="Emphasis"/>
          <w:rFonts w:ascii="Arial" w:hAnsi="Arial" w:cs="Arial"/>
          <w:sz w:val="20"/>
          <w:szCs w:val="20"/>
        </w:rPr>
        <w:t>Neurosci</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2006;29:37</w:t>
      </w:r>
      <w:proofErr w:type="gramEnd"/>
      <w:r w:rsidRPr="00F1066D">
        <w:rPr>
          <w:rFonts w:ascii="Arial" w:hAnsi="Arial" w:cs="Arial"/>
          <w:sz w:val="20"/>
          <w:szCs w:val="20"/>
        </w:rPr>
        <w:t>-76.</w:t>
      </w:r>
    </w:p>
    <w:p w14:paraId="33FFE91D" w14:textId="16326123" w:rsidR="00DA6103" w:rsidRDefault="00DA6103" w:rsidP="00DA6103">
      <w:pPr>
        <w:pStyle w:val="NormalWeb"/>
        <w:numPr>
          <w:ilvl w:val="0"/>
          <w:numId w:val="45"/>
        </w:numPr>
        <w:rPr>
          <w:rFonts w:ascii="Arial" w:hAnsi="Arial" w:cs="Arial"/>
          <w:sz w:val="20"/>
          <w:szCs w:val="20"/>
        </w:rPr>
      </w:pPr>
      <w:r w:rsidRPr="00F1066D">
        <w:rPr>
          <w:rFonts w:ascii="Arial" w:hAnsi="Arial" w:cs="Arial"/>
          <w:sz w:val="20"/>
          <w:szCs w:val="20"/>
        </w:rPr>
        <w:t xml:space="preserve">Di </w:t>
      </w:r>
      <w:proofErr w:type="spellStart"/>
      <w:r w:rsidRPr="00F1066D">
        <w:rPr>
          <w:rFonts w:ascii="Arial" w:hAnsi="Arial" w:cs="Arial"/>
          <w:sz w:val="20"/>
          <w:szCs w:val="20"/>
        </w:rPr>
        <w:t>Marzo</w:t>
      </w:r>
      <w:proofErr w:type="spellEnd"/>
      <w:r w:rsidRPr="00F1066D">
        <w:rPr>
          <w:rFonts w:ascii="Arial" w:hAnsi="Arial" w:cs="Arial"/>
          <w:sz w:val="20"/>
          <w:szCs w:val="20"/>
        </w:rPr>
        <w:t xml:space="preserve"> V, Matias I. Endocannabinoid control of food intake and energy balance. </w:t>
      </w:r>
      <w:r w:rsidRPr="00F1066D">
        <w:rPr>
          <w:rStyle w:val="Emphasis"/>
          <w:rFonts w:ascii="Arial" w:hAnsi="Arial" w:cs="Arial"/>
          <w:sz w:val="20"/>
          <w:szCs w:val="20"/>
        </w:rPr>
        <w:t xml:space="preserve">Nat </w:t>
      </w:r>
      <w:proofErr w:type="spellStart"/>
      <w:r w:rsidRPr="00F1066D">
        <w:rPr>
          <w:rStyle w:val="Emphasis"/>
          <w:rFonts w:ascii="Arial" w:hAnsi="Arial" w:cs="Arial"/>
          <w:sz w:val="20"/>
          <w:szCs w:val="20"/>
        </w:rPr>
        <w:t>Neurosci</w:t>
      </w:r>
      <w:proofErr w:type="spellEnd"/>
      <w:r w:rsidRPr="00F1066D">
        <w:rPr>
          <w:rStyle w:val="Emphasis"/>
          <w:rFonts w:ascii="Arial" w:hAnsi="Arial" w:cs="Arial"/>
          <w:sz w:val="20"/>
          <w:szCs w:val="20"/>
        </w:rPr>
        <w:t>.</w:t>
      </w:r>
      <w:r w:rsidRPr="00F1066D">
        <w:rPr>
          <w:rFonts w:ascii="Arial" w:hAnsi="Arial" w:cs="Arial"/>
          <w:sz w:val="20"/>
          <w:szCs w:val="20"/>
        </w:rPr>
        <w:t xml:space="preserve"> 2005;8(5):585-589</w:t>
      </w:r>
    </w:p>
    <w:p w14:paraId="4918EE02" w14:textId="63D0A816" w:rsidR="00DA6103" w:rsidRDefault="00DA6103" w:rsidP="00DA6103">
      <w:pPr>
        <w:pStyle w:val="NormalWeb"/>
        <w:numPr>
          <w:ilvl w:val="0"/>
          <w:numId w:val="45"/>
        </w:numPr>
        <w:rPr>
          <w:rFonts w:ascii="Arial" w:hAnsi="Arial" w:cs="Arial"/>
          <w:sz w:val="20"/>
          <w:szCs w:val="20"/>
        </w:rPr>
      </w:pPr>
      <w:r w:rsidRPr="00F1066D">
        <w:rPr>
          <w:rFonts w:ascii="Arial" w:hAnsi="Arial" w:cs="Arial"/>
          <w:sz w:val="20"/>
          <w:szCs w:val="20"/>
        </w:rPr>
        <w:t xml:space="preserve">Hua T, </w:t>
      </w:r>
      <w:proofErr w:type="spellStart"/>
      <w:r w:rsidRPr="00F1066D">
        <w:rPr>
          <w:rFonts w:ascii="Arial" w:hAnsi="Arial" w:cs="Arial"/>
          <w:sz w:val="20"/>
          <w:szCs w:val="20"/>
        </w:rPr>
        <w:t>Vemuri</w:t>
      </w:r>
      <w:proofErr w:type="spellEnd"/>
      <w:r w:rsidRPr="00F1066D">
        <w:rPr>
          <w:rFonts w:ascii="Arial" w:hAnsi="Arial" w:cs="Arial"/>
          <w:sz w:val="20"/>
          <w:szCs w:val="20"/>
        </w:rPr>
        <w:t xml:space="preserve"> K, </w:t>
      </w:r>
      <w:proofErr w:type="spellStart"/>
      <w:r w:rsidRPr="00F1066D">
        <w:rPr>
          <w:rFonts w:ascii="Arial" w:hAnsi="Arial" w:cs="Arial"/>
          <w:sz w:val="20"/>
          <w:szCs w:val="20"/>
        </w:rPr>
        <w:t>Nikas</w:t>
      </w:r>
      <w:proofErr w:type="spellEnd"/>
      <w:r w:rsidRPr="00F1066D">
        <w:rPr>
          <w:rFonts w:ascii="Arial" w:hAnsi="Arial" w:cs="Arial"/>
          <w:sz w:val="20"/>
          <w:szCs w:val="20"/>
        </w:rPr>
        <w:t xml:space="preserve"> SP, </w:t>
      </w:r>
      <w:proofErr w:type="spellStart"/>
      <w:r w:rsidRPr="00F1066D">
        <w:rPr>
          <w:rFonts w:ascii="Arial" w:hAnsi="Arial" w:cs="Arial"/>
          <w:sz w:val="20"/>
          <w:szCs w:val="20"/>
        </w:rPr>
        <w:t>Laprairie</w:t>
      </w:r>
      <w:proofErr w:type="spellEnd"/>
      <w:r w:rsidRPr="00F1066D">
        <w:rPr>
          <w:rFonts w:ascii="Arial" w:hAnsi="Arial" w:cs="Arial"/>
          <w:sz w:val="20"/>
          <w:szCs w:val="20"/>
        </w:rPr>
        <w:t xml:space="preserve"> RB, Wu Y, Qu L, et al. Crystal structures of agonist-bound human cannabinoid receptor CB1. </w:t>
      </w:r>
      <w:r w:rsidRPr="00F1066D">
        <w:rPr>
          <w:rStyle w:val="Emphasis"/>
          <w:rFonts w:ascii="Arial" w:hAnsi="Arial" w:cs="Arial"/>
          <w:sz w:val="20"/>
          <w:szCs w:val="20"/>
        </w:rPr>
        <w:t>Nature.</w:t>
      </w:r>
      <w:r w:rsidRPr="00F1066D">
        <w:rPr>
          <w:rFonts w:ascii="Arial" w:hAnsi="Arial" w:cs="Arial"/>
          <w:sz w:val="20"/>
          <w:szCs w:val="20"/>
        </w:rPr>
        <w:t xml:space="preserve"> 2017;547(7664):468-471.</w:t>
      </w:r>
    </w:p>
    <w:p w14:paraId="6AF5CD43" w14:textId="6BDE3CF7" w:rsidR="00F704E8" w:rsidRDefault="00F704E8" w:rsidP="00F704E8">
      <w:pPr>
        <w:pStyle w:val="NormalWeb"/>
        <w:numPr>
          <w:ilvl w:val="0"/>
          <w:numId w:val="45"/>
        </w:numPr>
        <w:rPr>
          <w:rFonts w:ascii="Arial" w:hAnsi="Arial" w:cs="Arial"/>
          <w:sz w:val="20"/>
          <w:szCs w:val="20"/>
        </w:rPr>
      </w:pPr>
      <w:proofErr w:type="spellStart"/>
      <w:r w:rsidRPr="00F1066D">
        <w:rPr>
          <w:rFonts w:ascii="Arial" w:hAnsi="Arial" w:cs="Arial"/>
          <w:sz w:val="20"/>
          <w:szCs w:val="20"/>
        </w:rPr>
        <w:t>Ahn</w:t>
      </w:r>
      <w:proofErr w:type="spellEnd"/>
      <w:r w:rsidRPr="00F1066D">
        <w:rPr>
          <w:rFonts w:ascii="Arial" w:hAnsi="Arial" w:cs="Arial"/>
          <w:sz w:val="20"/>
          <w:szCs w:val="20"/>
        </w:rPr>
        <w:t xml:space="preserve"> K, McKinney MK, </w:t>
      </w:r>
      <w:proofErr w:type="spellStart"/>
      <w:r w:rsidRPr="00F1066D">
        <w:rPr>
          <w:rFonts w:ascii="Arial" w:hAnsi="Arial" w:cs="Arial"/>
          <w:sz w:val="20"/>
          <w:szCs w:val="20"/>
        </w:rPr>
        <w:t>Cravatt</w:t>
      </w:r>
      <w:proofErr w:type="spellEnd"/>
      <w:r w:rsidRPr="00F1066D">
        <w:rPr>
          <w:rFonts w:ascii="Arial" w:hAnsi="Arial" w:cs="Arial"/>
          <w:sz w:val="20"/>
          <w:szCs w:val="20"/>
        </w:rPr>
        <w:t xml:space="preserve"> BF. Enzymatic pathways that regulate endocannabinoid </w:t>
      </w:r>
      <w:proofErr w:type="spellStart"/>
      <w:r w:rsidRPr="00F1066D">
        <w:rPr>
          <w:rFonts w:ascii="Arial" w:hAnsi="Arial" w:cs="Arial"/>
          <w:sz w:val="20"/>
          <w:szCs w:val="20"/>
        </w:rPr>
        <w:t>signaling</w:t>
      </w:r>
      <w:proofErr w:type="spellEnd"/>
      <w:r w:rsidRPr="00F1066D">
        <w:rPr>
          <w:rFonts w:ascii="Arial" w:hAnsi="Arial" w:cs="Arial"/>
          <w:sz w:val="20"/>
          <w:szCs w:val="20"/>
        </w:rPr>
        <w:t xml:space="preserve"> in the nervous system. </w:t>
      </w:r>
      <w:r w:rsidRPr="00F1066D">
        <w:rPr>
          <w:rStyle w:val="Emphasis"/>
          <w:rFonts w:ascii="Arial" w:hAnsi="Arial" w:cs="Arial"/>
          <w:sz w:val="20"/>
          <w:szCs w:val="20"/>
        </w:rPr>
        <w:t>Chem Rev.</w:t>
      </w:r>
      <w:r w:rsidRPr="00F1066D">
        <w:rPr>
          <w:rFonts w:ascii="Arial" w:hAnsi="Arial" w:cs="Arial"/>
          <w:sz w:val="20"/>
          <w:szCs w:val="20"/>
        </w:rPr>
        <w:t xml:space="preserve"> 2008;108(5):1687-1707.</w:t>
      </w:r>
    </w:p>
    <w:p w14:paraId="57BFCABE" w14:textId="53C254DA" w:rsidR="009A2B3C" w:rsidRDefault="009A2B3C" w:rsidP="009A2B3C">
      <w:pPr>
        <w:pStyle w:val="NormalWeb"/>
        <w:numPr>
          <w:ilvl w:val="0"/>
          <w:numId w:val="45"/>
        </w:numPr>
        <w:rPr>
          <w:rFonts w:ascii="Arial" w:hAnsi="Arial" w:cs="Arial"/>
          <w:sz w:val="20"/>
          <w:szCs w:val="20"/>
        </w:rPr>
      </w:pPr>
      <w:r w:rsidRPr="00F1066D">
        <w:rPr>
          <w:rFonts w:ascii="Arial" w:hAnsi="Arial" w:cs="Arial"/>
          <w:sz w:val="20"/>
          <w:szCs w:val="20"/>
        </w:rPr>
        <w:t xml:space="preserve">Mackie K. Cannabinoid receptors: where they are and what they do. </w:t>
      </w:r>
      <w:r w:rsidRPr="00F1066D">
        <w:rPr>
          <w:rStyle w:val="Emphasis"/>
          <w:rFonts w:ascii="Arial" w:hAnsi="Arial" w:cs="Arial"/>
          <w:sz w:val="20"/>
          <w:szCs w:val="20"/>
        </w:rPr>
        <w:t xml:space="preserve">J </w:t>
      </w:r>
      <w:proofErr w:type="spellStart"/>
      <w:r w:rsidRPr="00F1066D">
        <w:rPr>
          <w:rStyle w:val="Emphasis"/>
          <w:rFonts w:ascii="Arial" w:hAnsi="Arial" w:cs="Arial"/>
          <w:sz w:val="20"/>
          <w:szCs w:val="20"/>
        </w:rPr>
        <w:t>Neuroendocrinol</w:t>
      </w:r>
      <w:proofErr w:type="spellEnd"/>
      <w:r w:rsidRPr="00F1066D">
        <w:rPr>
          <w:rStyle w:val="Emphasis"/>
          <w:rFonts w:ascii="Arial" w:hAnsi="Arial" w:cs="Arial"/>
          <w:sz w:val="20"/>
          <w:szCs w:val="20"/>
        </w:rPr>
        <w:t>.</w:t>
      </w:r>
      <w:r w:rsidRPr="00F1066D">
        <w:rPr>
          <w:rFonts w:ascii="Arial" w:hAnsi="Arial" w:cs="Arial"/>
          <w:sz w:val="20"/>
          <w:szCs w:val="20"/>
        </w:rPr>
        <w:t xml:space="preserve"> 2008;20(</w:t>
      </w:r>
      <w:proofErr w:type="spellStart"/>
      <w:r w:rsidRPr="00F1066D">
        <w:rPr>
          <w:rFonts w:ascii="Arial" w:hAnsi="Arial" w:cs="Arial"/>
          <w:sz w:val="20"/>
          <w:szCs w:val="20"/>
        </w:rPr>
        <w:t>Suppl</w:t>
      </w:r>
      <w:proofErr w:type="spellEnd"/>
      <w:r w:rsidRPr="00F1066D">
        <w:rPr>
          <w:rFonts w:ascii="Arial" w:hAnsi="Arial" w:cs="Arial"/>
          <w:sz w:val="20"/>
          <w:szCs w:val="20"/>
        </w:rPr>
        <w:t xml:space="preserve"> 1):10-14.</w:t>
      </w:r>
    </w:p>
    <w:p w14:paraId="11B2381E" w14:textId="77777777" w:rsidR="009A2B3C" w:rsidRPr="00F1066D" w:rsidRDefault="009A2B3C" w:rsidP="009A2B3C">
      <w:pPr>
        <w:pStyle w:val="NormalWeb"/>
        <w:numPr>
          <w:ilvl w:val="0"/>
          <w:numId w:val="45"/>
        </w:numPr>
        <w:rPr>
          <w:rFonts w:ascii="Arial" w:hAnsi="Arial" w:cs="Arial"/>
          <w:sz w:val="20"/>
          <w:szCs w:val="20"/>
        </w:rPr>
      </w:pPr>
      <w:r w:rsidRPr="00F1066D">
        <w:rPr>
          <w:rFonts w:ascii="Arial" w:hAnsi="Arial" w:cs="Arial"/>
          <w:sz w:val="20"/>
          <w:szCs w:val="20"/>
        </w:rPr>
        <w:t xml:space="preserve">Pertwee RG. The diverse CB1 and CB2 receptor pharmacology of three plant cannabinoids: delta9-tetrahydrocannabinol, cannabidiol and delta9-tetrahydrocannabivarin. </w:t>
      </w:r>
      <w:r w:rsidRPr="00F1066D">
        <w:rPr>
          <w:rStyle w:val="Emphasis"/>
          <w:rFonts w:ascii="Arial" w:hAnsi="Arial" w:cs="Arial"/>
          <w:sz w:val="20"/>
          <w:szCs w:val="20"/>
        </w:rPr>
        <w:t xml:space="preserve">Br J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2008;153(2):199-215.</w:t>
      </w:r>
    </w:p>
    <w:p w14:paraId="784888BA" w14:textId="7804838D" w:rsidR="009A2B3C" w:rsidRDefault="00113073" w:rsidP="00113073">
      <w:pPr>
        <w:pStyle w:val="NormalWeb"/>
        <w:numPr>
          <w:ilvl w:val="0"/>
          <w:numId w:val="45"/>
        </w:numPr>
        <w:rPr>
          <w:rFonts w:ascii="Arial" w:hAnsi="Arial" w:cs="Arial"/>
          <w:sz w:val="20"/>
          <w:szCs w:val="20"/>
        </w:rPr>
      </w:pPr>
      <w:proofErr w:type="spellStart"/>
      <w:r w:rsidRPr="00F1066D">
        <w:rPr>
          <w:rFonts w:ascii="Arial" w:hAnsi="Arial" w:cs="Arial"/>
          <w:sz w:val="20"/>
          <w:szCs w:val="20"/>
        </w:rPr>
        <w:t>Gertsch</w:t>
      </w:r>
      <w:proofErr w:type="spellEnd"/>
      <w:r w:rsidRPr="00F1066D">
        <w:rPr>
          <w:rFonts w:ascii="Arial" w:hAnsi="Arial" w:cs="Arial"/>
          <w:sz w:val="20"/>
          <w:szCs w:val="20"/>
        </w:rPr>
        <w:t xml:space="preserve"> J, </w:t>
      </w:r>
      <w:proofErr w:type="spellStart"/>
      <w:r w:rsidRPr="00F1066D">
        <w:rPr>
          <w:rFonts w:ascii="Arial" w:hAnsi="Arial" w:cs="Arial"/>
          <w:sz w:val="20"/>
          <w:szCs w:val="20"/>
        </w:rPr>
        <w:t>Leonti</w:t>
      </w:r>
      <w:proofErr w:type="spellEnd"/>
      <w:r w:rsidRPr="00F1066D">
        <w:rPr>
          <w:rFonts w:ascii="Arial" w:hAnsi="Arial" w:cs="Arial"/>
          <w:sz w:val="20"/>
          <w:szCs w:val="20"/>
        </w:rPr>
        <w:t xml:space="preserve"> M, </w:t>
      </w:r>
      <w:proofErr w:type="spellStart"/>
      <w:r w:rsidRPr="00F1066D">
        <w:rPr>
          <w:rFonts w:ascii="Arial" w:hAnsi="Arial" w:cs="Arial"/>
          <w:sz w:val="20"/>
          <w:szCs w:val="20"/>
        </w:rPr>
        <w:t>Raduner</w:t>
      </w:r>
      <w:proofErr w:type="spellEnd"/>
      <w:r w:rsidRPr="00F1066D">
        <w:rPr>
          <w:rFonts w:ascii="Arial" w:hAnsi="Arial" w:cs="Arial"/>
          <w:sz w:val="20"/>
          <w:szCs w:val="20"/>
        </w:rPr>
        <w:t xml:space="preserve"> S, </w:t>
      </w:r>
      <w:proofErr w:type="spellStart"/>
      <w:r w:rsidRPr="00F1066D">
        <w:rPr>
          <w:rFonts w:ascii="Arial" w:hAnsi="Arial" w:cs="Arial"/>
          <w:sz w:val="20"/>
          <w:szCs w:val="20"/>
        </w:rPr>
        <w:t>Racz</w:t>
      </w:r>
      <w:proofErr w:type="spellEnd"/>
      <w:r w:rsidRPr="00F1066D">
        <w:rPr>
          <w:rFonts w:ascii="Arial" w:hAnsi="Arial" w:cs="Arial"/>
          <w:sz w:val="20"/>
          <w:szCs w:val="20"/>
        </w:rPr>
        <w:t xml:space="preserve"> I, Chen JZ, </w:t>
      </w:r>
      <w:proofErr w:type="spellStart"/>
      <w:r w:rsidRPr="00F1066D">
        <w:rPr>
          <w:rFonts w:ascii="Arial" w:hAnsi="Arial" w:cs="Arial"/>
          <w:sz w:val="20"/>
          <w:szCs w:val="20"/>
        </w:rPr>
        <w:t>Xie</w:t>
      </w:r>
      <w:proofErr w:type="spellEnd"/>
      <w:r w:rsidRPr="00F1066D">
        <w:rPr>
          <w:rFonts w:ascii="Arial" w:hAnsi="Arial" w:cs="Arial"/>
          <w:sz w:val="20"/>
          <w:szCs w:val="20"/>
        </w:rPr>
        <w:t xml:space="preserve"> XQ, et al. Beta-caryophyllene is a dietary cannabinoid. </w:t>
      </w:r>
      <w:r w:rsidRPr="00F1066D">
        <w:rPr>
          <w:rStyle w:val="Emphasis"/>
          <w:rFonts w:ascii="Arial" w:hAnsi="Arial" w:cs="Arial"/>
          <w:sz w:val="20"/>
          <w:szCs w:val="20"/>
        </w:rPr>
        <w:t xml:space="preserve">Proc Natl </w:t>
      </w:r>
      <w:proofErr w:type="spellStart"/>
      <w:r w:rsidRPr="00F1066D">
        <w:rPr>
          <w:rStyle w:val="Emphasis"/>
          <w:rFonts w:ascii="Arial" w:hAnsi="Arial" w:cs="Arial"/>
          <w:sz w:val="20"/>
          <w:szCs w:val="20"/>
        </w:rPr>
        <w:t>Acad</w:t>
      </w:r>
      <w:proofErr w:type="spellEnd"/>
      <w:r w:rsidRPr="00F1066D">
        <w:rPr>
          <w:rStyle w:val="Emphasis"/>
          <w:rFonts w:ascii="Arial" w:hAnsi="Arial" w:cs="Arial"/>
          <w:sz w:val="20"/>
          <w:szCs w:val="20"/>
        </w:rPr>
        <w:t xml:space="preserve"> Sci </w:t>
      </w:r>
      <w:r w:rsidRPr="004A4874">
        <w:rPr>
          <w:rStyle w:val="Emphasis"/>
          <w:rFonts w:ascii="Arial" w:hAnsi="Arial" w:cs="Arial"/>
          <w:sz w:val="20"/>
          <w:szCs w:val="20"/>
        </w:rPr>
        <w:t>USA.</w:t>
      </w:r>
      <w:r w:rsidRPr="004A4874">
        <w:rPr>
          <w:rFonts w:ascii="Arial" w:hAnsi="Arial" w:cs="Arial"/>
          <w:sz w:val="20"/>
          <w:szCs w:val="20"/>
        </w:rPr>
        <w:t xml:space="preserve"> 2008;105(26):9099-9104.</w:t>
      </w:r>
    </w:p>
    <w:p w14:paraId="1750A5EA" w14:textId="11F65F9C" w:rsidR="005E0B25" w:rsidRPr="00DA6103" w:rsidRDefault="005E0B25" w:rsidP="005E0B25">
      <w:pPr>
        <w:pStyle w:val="NormalWeb"/>
        <w:numPr>
          <w:ilvl w:val="0"/>
          <w:numId w:val="45"/>
        </w:numPr>
        <w:rPr>
          <w:rFonts w:ascii="Arial" w:hAnsi="Arial" w:cs="Arial"/>
          <w:sz w:val="20"/>
          <w:szCs w:val="20"/>
        </w:rPr>
      </w:pPr>
      <w:proofErr w:type="spellStart"/>
      <w:r w:rsidRPr="00F1066D">
        <w:rPr>
          <w:rFonts w:ascii="Arial" w:hAnsi="Arial" w:cs="Arial"/>
          <w:sz w:val="20"/>
          <w:szCs w:val="20"/>
        </w:rPr>
        <w:t>Huyser</w:t>
      </w:r>
      <w:proofErr w:type="spellEnd"/>
      <w:r w:rsidRPr="00F1066D">
        <w:rPr>
          <w:rFonts w:ascii="Arial" w:hAnsi="Arial" w:cs="Arial"/>
          <w:sz w:val="20"/>
          <w:szCs w:val="20"/>
        </w:rPr>
        <w:t xml:space="preserve"> C, </w:t>
      </w:r>
      <w:proofErr w:type="spellStart"/>
      <w:r w:rsidRPr="00F1066D">
        <w:rPr>
          <w:rFonts w:ascii="Arial" w:hAnsi="Arial" w:cs="Arial"/>
          <w:sz w:val="20"/>
          <w:szCs w:val="20"/>
        </w:rPr>
        <w:t>Veltman</w:t>
      </w:r>
      <w:proofErr w:type="spellEnd"/>
      <w:r w:rsidRPr="00F1066D">
        <w:rPr>
          <w:rFonts w:ascii="Arial" w:hAnsi="Arial" w:cs="Arial"/>
          <w:sz w:val="20"/>
          <w:szCs w:val="20"/>
        </w:rPr>
        <w:t xml:space="preserve"> DJ, de </w:t>
      </w:r>
      <w:proofErr w:type="spellStart"/>
      <w:r w:rsidRPr="00F1066D">
        <w:rPr>
          <w:rFonts w:ascii="Arial" w:hAnsi="Arial" w:cs="Arial"/>
          <w:sz w:val="20"/>
          <w:szCs w:val="20"/>
        </w:rPr>
        <w:t>Haan</w:t>
      </w:r>
      <w:proofErr w:type="spellEnd"/>
      <w:r w:rsidRPr="00F1066D">
        <w:rPr>
          <w:rFonts w:ascii="Arial" w:hAnsi="Arial" w:cs="Arial"/>
          <w:sz w:val="20"/>
          <w:szCs w:val="20"/>
        </w:rPr>
        <w:t xml:space="preserve"> E, Boer F. Paediatric obsessive-compulsive disorder, a neurodevelopmental disorder? Evidence from neuroimaging. </w:t>
      </w:r>
      <w:proofErr w:type="spellStart"/>
      <w:r w:rsidRPr="00F1066D">
        <w:rPr>
          <w:rStyle w:val="Emphasis"/>
          <w:rFonts w:ascii="Arial" w:hAnsi="Arial" w:cs="Arial"/>
          <w:sz w:val="20"/>
          <w:szCs w:val="20"/>
        </w:rPr>
        <w:t>Neurosci</w:t>
      </w:r>
      <w:proofErr w:type="spellEnd"/>
      <w:r w:rsidRPr="00F1066D">
        <w:rPr>
          <w:rStyle w:val="Emphasis"/>
          <w:rFonts w:ascii="Arial" w:hAnsi="Arial" w:cs="Arial"/>
          <w:sz w:val="20"/>
          <w:szCs w:val="20"/>
        </w:rPr>
        <w:t xml:space="preserve"> </w:t>
      </w:r>
      <w:proofErr w:type="spellStart"/>
      <w:r w:rsidRPr="00F1066D">
        <w:rPr>
          <w:rStyle w:val="Emphasis"/>
          <w:rFonts w:ascii="Arial" w:hAnsi="Arial" w:cs="Arial"/>
          <w:sz w:val="20"/>
          <w:szCs w:val="20"/>
        </w:rPr>
        <w:t>Biobehav</w:t>
      </w:r>
      <w:proofErr w:type="spellEnd"/>
      <w:r w:rsidRPr="00F1066D">
        <w:rPr>
          <w:rStyle w:val="Emphasis"/>
          <w:rFonts w:ascii="Arial" w:hAnsi="Arial" w:cs="Arial"/>
          <w:sz w:val="20"/>
          <w:szCs w:val="20"/>
        </w:rPr>
        <w:t xml:space="preserve"> Rev.</w:t>
      </w:r>
      <w:r w:rsidRPr="00F1066D">
        <w:rPr>
          <w:rFonts w:ascii="Arial" w:hAnsi="Arial" w:cs="Arial"/>
          <w:sz w:val="20"/>
          <w:szCs w:val="20"/>
        </w:rPr>
        <w:t xml:space="preserve"> 2009;33(6):818-</w:t>
      </w:r>
      <w:commentRangeStart w:id="11"/>
      <w:r w:rsidRPr="00F1066D">
        <w:rPr>
          <w:rFonts w:ascii="Arial" w:hAnsi="Arial" w:cs="Arial"/>
          <w:sz w:val="20"/>
          <w:szCs w:val="20"/>
        </w:rPr>
        <w:t>830</w:t>
      </w:r>
      <w:commentRangeEnd w:id="11"/>
      <w:r w:rsidR="009457A2">
        <w:rPr>
          <w:rStyle w:val="CommentReference"/>
          <w:lang w:val="nb-NO" w:eastAsia="nb-NO"/>
        </w:rPr>
        <w:commentReference w:id="11"/>
      </w:r>
      <w:r w:rsidRPr="00F1066D">
        <w:rPr>
          <w:rFonts w:ascii="Arial" w:hAnsi="Arial" w:cs="Arial"/>
          <w:sz w:val="20"/>
          <w:szCs w:val="20"/>
        </w:rPr>
        <w:t>.</w:t>
      </w:r>
      <w:r w:rsidR="009457A2">
        <w:rPr>
          <w:rFonts w:ascii="Arial" w:hAnsi="Arial" w:cs="Arial"/>
          <w:sz w:val="20"/>
          <w:szCs w:val="20"/>
        </w:rPr>
        <w:t xml:space="preserve"> </w:t>
      </w:r>
    </w:p>
    <w:p w14:paraId="587EE629" w14:textId="599C9CFF" w:rsidR="005E0B25" w:rsidRPr="005E0B25" w:rsidRDefault="005E0B25" w:rsidP="005E0B25">
      <w:pPr>
        <w:pStyle w:val="NormalWeb"/>
        <w:numPr>
          <w:ilvl w:val="0"/>
          <w:numId w:val="45"/>
        </w:numPr>
        <w:rPr>
          <w:rFonts w:ascii="Arial" w:hAnsi="Arial" w:cs="Arial"/>
          <w:sz w:val="20"/>
          <w:szCs w:val="20"/>
        </w:rPr>
      </w:pPr>
      <w:r w:rsidRPr="00F1066D">
        <w:rPr>
          <w:rFonts w:ascii="Arial" w:hAnsi="Arial" w:cs="Arial"/>
          <w:sz w:val="20"/>
          <w:szCs w:val="20"/>
        </w:rPr>
        <w:t xml:space="preserve">Turcotte C, Blanchet MR, Laviolette M, </w:t>
      </w:r>
      <w:proofErr w:type="spellStart"/>
      <w:r w:rsidRPr="00F1066D">
        <w:rPr>
          <w:rFonts w:ascii="Arial" w:hAnsi="Arial" w:cs="Arial"/>
          <w:sz w:val="20"/>
          <w:szCs w:val="20"/>
        </w:rPr>
        <w:t>Flamand</w:t>
      </w:r>
      <w:proofErr w:type="spellEnd"/>
      <w:r w:rsidRPr="00F1066D">
        <w:rPr>
          <w:rFonts w:ascii="Arial" w:hAnsi="Arial" w:cs="Arial"/>
          <w:sz w:val="20"/>
          <w:szCs w:val="20"/>
        </w:rPr>
        <w:t xml:space="preserve"> N. The CB2 receptor and its role as a regulator of inflammation. </w:t>
      </w:r>
      <w:r w:rsidRPr="00F1066D">
        <w:rPr>
          <w:rStyle w:val="Emphasis"/>
          <w:rFonts w:ascii="Arial" w:hAnsi="Arial" w:cs="Arial"/>
          <w:sz w:val="20"/>
          <w:szCs w:val="20"/>
        </w:rPr>
        <w:t>Cell Mol Life Sci.</w:t>
      </w:r>
      <w:r w:rsidRPr="00F1066D">
        <w:rPr>
          <w:rFonts w:ascii="Arial" w:hAnsi="Arial" w:cs="Arial"/>
          <w:sz w:val="20"/>
          <w:szCs w:val="20"/>
        </w:rPr>
        <w:t xml:space="preserve"> 2016;73(23):4449-4470.</w:t>
      </w:r>
    </w:p>
    <w:p w14:paraId="7F548662"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Hashimotodani</w:t>
      </w:r>
      <w:proofErr w:type="spellEnd"/>
      <w:r w:rsidRPr="00F1066D">
        <w:rPr>
          <w:rFonts w:ascii="Arial" w:hAnsi="Arial" w:cs="Arial"/>
          <w:sz w:val="20"/>
          <w:szCs w:val="20"/>
        </w:rPr>
        <w:t xml:space="preserve"> Y, Ohno-</w:t>
      </w:r>
      <w:proofErr w:type="spellStart"/>
      <w:r w:rsidRPr="00F1066D">
        <w:rPr>
          <w:rFonts w:ascii="Arial" w:hAnsi="Arial" w:cs="Arial"/>
          <w:sz w:val="20"/>
          <w:szCs w:val="20"/>
        </w:rPr>
        <w:t>Shosaku</w:t>
      </w:r>
      <w:proofErr w:type="spellEnd"/>
      <w:r w:rsidRPr="00F1066D">
        <w:rPr>
          <w:rFonts w:ascii="Arial" w:hAnsi="Arial" w:cs="Arial"/>
          <w:sz w:val="20"/>
          <w:szCs w:val="20"/>
        </w:rPr>
        <w:t xml:space="preserve"> T, </w:t>
      </w:r>
      <w:proofErr w:type="spellStart"/>
      <w:r w:rsidRPr="00F1066D">
        <w:rPr>
          <w:rFonts w:ascii="Arial" w:hAnsi="Arial" w:cs="Arial"/>
          <w:sz w:val="20"/>
          <w:szCs w:val="20"/>
        </w:rPr>
        <w:t>Maejima</w:t>
      </w:r>
      <w:proofErr w:type="spellEnd"/>
      <w:r w:rsidRPr="00F1066D">
        <w:rPr>
          <w:rFonts w:ascii="Arial" w:hAnsi="Arial" w:cs="Arial"/>
          <w:sz w:val="20"/>
          <w:szCs w:val="20"/>
        </w:rPr>
        <w:t xml:space="preserve"> T, </w:t>
      </w:r>
      <w:proofErr w:type="spellStart"/>
      <w:r w:rsidRPr="00F1066D">
        <w:rPr>
          <w:rFonts w:ascii="Arial" w:hAnsi="Arial" w:cs="Arial"/>
          <w:sz w:val="20"/>
          <w:szCs w:val="20"/>
        </w:rPr>
        <w:t>Fukami</w:t>
      </w:r>
      <w:proofErr w:type="spellEnd"/>
      <w:r w:rsidRPr="00F1066D">
        <w:rPr>
          <w:rFonts w:ascii="Arial" w:hAnsi="Arial" w:cs="Arial"/>
          <w:sz w:val="20"/>
          <w:szCs w:val="20"/>
        </w:rPr>
        <w:t xml:space="preserve"> K, Kano M. Pharmacological evidence for the involvement of diacylglycerol lipase. </w:t>
      </w:r>
      <w:r w:rsidRPr="00F1066D">
        <w:rPr>
          <w:rStyle w:val="Emphasis"/>
          <w:rFonts w:ascii="Arial" w:hAnsi="Arial" w:cs="Arial"/>
          <w:sz w:val="20"/>
          <w:szCs w:val="20"/>
        </w:rPr>
        <w:t>Neuropharmacology.</w:t>
      </w:r>
      <w:r w:rsidRPr="00F1066D">
        <w:rPr>
          <w:rFonts w:ascii="Arial" w:hAnsi="Arial" w:cs="Arial"/>
          <w:sz w:val="20"/>
          <w:szCs w:val="20"/>
        </w:rPr>
        <w:t xml:space="preserve"> </w:t>
      </w:r>
      <w:proofErr w:type="gramStart"/>
      <w:r w:rsidRPr="00F1066D">
        <w:rPr>
          <w:rFonts w:ascii="Arial" w:hAnsi="Arial" w:cs="Arial"/>
          <w:sz w:val="20"/>
          <w:szCs w:val="20"/>
        </w:rPr>
        <w:t>2008;54:58</w:t>
      </w:r>
      <w:proofErr w:type="gramEnd"/>
      <w:r w:rsidRPr="00F1066D">
        <w:rPr>
          <w:rFonts w:ascii="Arial" w:hAnsi="Arial" w:cs="Arial"/>
          <w:sz w:val="20"/>
          <w:szCs w:val="20"/>
        </w:rPr>
        <w:t>-67.</w:t>
      </w:r>
    </w:p>
    <w:p w14:paraId="68B44B5F"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Caille</w:t>
      </w:r>
      <w:proofErr w:type="spellEnd"/>
      <w:r w:rsidRPr="00F1066D">
        <w:rPr>
          <w:rFonts w:ascii="Arial" w:hAnsi="Arial" w:cs="Arial"/>
          <w:sz w:val="20"/>
          <w:szCs w:val="20"/>
        </w:rPr>
        <w:t xml:space="preserve"> S, Alvarez-</w:t>
      </w:r>
      <w:proofErr w:type="spellStart"/>
      <w:r w:rsidRPr="00F1066D">
        <w:rPr>
          <w:rFonts w:ascii="Arial" w:hAnsi="Arial" w:cs="Arial"/>
          <w:sz w:val="20"/>
          <w:szCs w:val="20"/>
        </w:rPr>
        <w:t>Jaimes</w:t>
      </w:r>
      <w:proofErr w:type="spellEnd"/>
      <w:r w:rsidRPr="00F1066D">
        <w:rPr>
          <w:rFonts w:ascii="Arial" w:hAnsi="Arial" w:cs="Arial"/>
          <w:sz w:val="20"/>
          <w:szCs w:val="20"/>
        </w:rPr>
        <w:t xml:space="preserve"> L, Polis I, Stouffer DG, Parsons LH. Specific alterations of extracellular endocannabinoid levels. </w:t>
      </w:r>
      <w:r w:rsidRPr="00F1066D">
        <w:rPr>
          <w:rStyle w:val="Emphasis"/>
          <w:rFonts w:ascii="Arial" w:hAnsi="Arial" w:cs="Arial"/>
          <w:sz w:val="20"/>
          <w:szCs w:val="20"/>
        </w:rPr>
        <w:t xml:space="preserve">J </w:t>
      </w:r>
      <w:proofErr w:type="spellStart"/>
      <w:r w:rsidRPr="00F1066D">
        <w:rPr>
          <w:rStyle w:val="Emphasis"/>
          <w:rFonts w:ascii="Arial" w:hAnsi="Arial" w:cs="Arial"/>
          <w:sz w:val="20"/>
          <w:szCs w:val="20"/>
        </w:rPr>
        <w:t>Neurosci</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2007;27:3695</w:t>
      </w:r>
      <w:proofErr w:type="gramEnd"/>
      <w:r w:rsidRPr="00F1066D">
        <w:rPr>
          <w:rFonts w:ascii="Arial" w:hAnsi="Arial" w:cs="Arial"/>
          <w:sz w:val="20"/>
          <w:szCs w:val="20"/>
        </w:rPr>
        <w:t>-3703.</w:t>
      </w:r>
    </w:p>
    <w:p w14:paraId="67086DA2"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Drysdale AJ, Ryan D, Pertwee RG, Platt B. Cannabidiol-induced intracellular Ca2+ elevations. </w:t>
      </w:r>
      <w:r w:rsidRPr="00F1066D">
        <w:rPr>
          <w:rStyle w:val="Emphasis"/>
          <w:rFonts w:ascii="Arial" w:hAnsi="Arial" w:cs="Arial"/>
          <w:sz w:val="20"/>
          <w:szCs w:val="20"/>
        </w:rPr>
        <w:t>Neuropharmacology.</w:t>
      </w:r>
      <w:r w:rsidRPr="00F1066D">
        <w:rPr>
          <w:rFonts w:ascii="Arial" w:hAnsi="Arial" w:cs="Arial"/>
          <w:sz w:val="20"/>
          <w:szCs w:val="20"/>
        </w:rPr>
        <w:t xml:space="preserve"> </w:t>
      </w:r>
      <w:proofErr w:type="gramStart"/>
      <w:r w:rsidRPr="00F1066D">
        <w:rPr>
          <w:rFonts w:ascii="Arial" w:hAnsi="Arial" w:cs="Arial"/>
          <w:sz w:val="20"/>
          <w:szCs w:val="20"/>
        </w:rPr>
        <w:t>2006;50:621</w:t>
      </w:r>
      <w:proofErr w:type="gramEnd"/>
      <w:r w:rsidRPr="00F1066D">
        <w:rPr>
          <w:rFonts w:ascii="Arial" w:hAnsi="Arial" w:cs="Arial"/>
          <w:sz w:val="20"/>
          <w:szCs w:val="20"/>
        </w:rPr>
        <w:t>-631.</w:t>
      </w:r>
    </w:p>
    <w:p w14:paraId="4962DB1C"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Lunn CA, Fine JS, Rojas-</w:t>
      </w:r>
      <w:proofErr w:type="spellStart"/>
      <w:r w:rsidRPr="00F1066D">
        <w:rPr>
          <w:rFonts w:ascii="Arial" w:hAnsi="Arial" w:cs="Arial"/>
          <w:sz w:val="20"/>
          <w:szCs w:val="20"/>
        </w:rPr>
        <w:t>Triana</w:t>
      </w:r>
      <w:proofErr w:type="spellEnd"/>
      <w:r w:rsidRPr="00F1066D">
        <w:rPr>
          <w:rFonts w:ascii="Arial" w:hAnsi="Arial" w:cs="Arial"/>
          <w:sz w:val="20"/>
          <w:szCs w:val="20"/>
        </w:rPr>
        <w:t xml:space="preserve"> A, Jackson JV, Fan X, Kung TT, et al. CB2 selective inverse agonist blocks leukocyte recruitment. </w:t>
      </w:r>
      <w:r w:rsidRPr="00F1066D">
        <w:rPr>
          <w:rStyle w:val="Emphasis"/>
          <w:rFonts w:ascii="Arial" w:hAnsi="Arial" w:cs="Arial"/>
          <w:sz w:val="20"/>
          <w:szCs w:val="20"/>
        </w:rPr>
        <w:t xml:space="preserve">J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 xml:space="preserve"> Exp </w:t>
      </w:r>
      <w:proofErr w:type="spellStart"/>
      <w:r w:rsidRPr="00F1066D">
        <w:rPr>
          <w:rStyle w:val="Emphasis"/>
          <w:rFonts w:ascii="Arial" w:hAnsi="Arial" w:cs="Arial"/>
          <w:sz w:val="20"/>
          <w:szCs w:val="20"/>
        </w:rPr>
        <w:t>Ther</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2006;316:780</w:t>
      </w:r>
      <w:proofErr w:type="gramEnd"/>
      <w:r w:rsidRPr="00F1066D">
        <w:rPr>
          <w:rFonts w:ascii="Arial" w:hAnsi="Arial" w:cs="Arial"/>
          <w:sz w:val="20"/>
          <w:szCs w:val="20"/>
        </w:rPr>
        <w:t>-788.</w:t>
      </w:r>
    </w:p>
    <w:p w14:paraId="707C934A" w14:textId="77777777" w:rsidR="00FE767C"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Chapman RS, </w:t>
      </w:r>
      <w:proofErr w:type="spellStart"/>
      <w:r w:rsidRPr="00F1066D">
        <w:rPr>
          <w:rFonts w:ascii="Arial" w:hAnsi="Arial" w:cs="Arial"/>
          <w:sz w:val="20"/>
          <w:szCs w:val="20"/>
        </w:rPr>
        <w:t>Whetton</w:t>
      </w:r>
      <w:proofErr w:type="spellEnd"/>
      <w:r w:rsidRPr="00F1066D">
        <w:rPr>
          <w:rFonts w:ascii="Arial" w:hAnsi="Arial" w:cs="Arial"/>
          <w:sz w:val="20"/>
          <w:szCs w:val="20"/>
        </w:rPr>
        <w:t xml:space="preserve"> AD, </w:t>
      </w:r>
      <w:proofErr w:type="spellStart"/>
      <w:r w:rsidRPr="00F1066D">
        <w:rPr>
          <w:rFonts w:ascii="Arial" w:hAnsi="Arial" w:cs="Arial"/>
          <w:sz w:val="20"/>
          <w:szCs w:val="20"/>
        </w:rPr>
        <w:t>Chresta</w:t>
      </w:r>
      <w:proofErr w:type="spellEnd"/>
      <w:r w:rsidRPr="00F1066D">
        <w:rPr>
          <w:rFonts w:ascii="Arial" w:hAnsi="Arial" w:cs="Arial"/>
          <w:sz w:val="20"/>
          <w:szCs w:val="20"/>
        </w:rPr>
        <w:t xml:space="preserve"> CM, Dive C. Drug resistance mediated via suppression of apoptosis. </w:t>
      </w:r>
      <w:r w:rsidRPr="00F1066D">
        <w:rPr>
          <w:rStyle w:val="Emphasis"/>
          <w:rFonts w:ascii="Arial" w:hAnsi="Arial" w:cs="Arial"/>
          <w:sz w:val="20"/>
          <w:szCs w:val="20"/>
        </w:rPr>
        <w:t xml:space="preserve">Mol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1995;48:334</w:t>
      </w:r>
      <w:proofErr w:type="gramEnd"/>
      <w:r w:rsidRPr="00F1066D">
        <w:rPr>
          <w:rFonts w:ascii="Arial" w:hAnsi="Arial" w:cs="Arial"/>
          <w:sz w:val="20"/>
          <w:szCs w:val="20"/>
        </w:rPr>
        <w:t>-343.</w:t>
      </w:r>
    </w:p>
    <w:p w14:paraId="7A05BE56" w14:textId="2C8513DF" w:rsidR="009173DF" w:rsidRPr="009173DF" w:rsidRDefault="009173DF" w:rsidP="009173DF">
      <w:pPr>
        <w:pStyle w:val="NormalWeb"/>
        <w:numPr>
          <w:ilvl w:val="0"/>
          <w:numId w:val="45"/>
        </w:numPr>
        <w:rPr>
          <w:rFonts w:ascii="Arial" w:hAnsi="Arial" w:cs="Arial"/>
          <w:sz w:val="20"/>
          <w:szCs w:val="20"/>
        </w:rPr>
      </w:pPr>
      <w:r w:rsidRPr="00F1066D">
        <w:rPr>
          <w:rFonts w:ascii="Arial" w:hAnsi="Arial" w:cs="Arial"/>
          <w:sz w:val="20"/>
          <w:szCs w:val="20"/>
        </w:rPr>
        <w:t xml:space="preserve">Felder CC, Joyce KE, Briley EM, Mansouri J, Mackie K, Blond O, et al. Pharmacology of human CB1 and CB2 receptors. </w:t>
      </w:r>
      <w:r w:rsidRPr="00F1066D">
        <w:rPr>
          <w:rStyle w:val="Emphasis"/>
          <w:rFonts w:ascii="Arial" w:hAnsi="Arial" w:cs="Arial"/>
          <w:sz w:val="20"/>
          <w:szCs w:val="20"/>
        </w:rPr>
        <w:t xml:space="preserve">Mol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1995;48:443</w:t>
      </w:r>
      <w:proofErr w:type="gramEnd"/>
      <w:r w:rsidRPr="00F1066D">
        <w:rPr>
          <w:rFonts w:ascii="Arial" w:hAnsi="Arial" w:cs="Arial"/>
          <w:sz w:val="20"/>
          <w:szCs w:val="20"/>
        </w:rPr>
        <w:t>-450.</w:t>
      </w:r>
    </w:p>
    <w:p w14:paraId="762B8114"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Huffman JW, Liddle J, Yu S, Aung MM, </w:t>
      </w:r>
      <w:proofErr w:type="spellStart"/>
      <w:r w:rsidRPr="00F1066D">
        <w:rPr>
          <w:rFonts w:ascii="Arial" w:hAnsi="Arial" w:cs="Arial"/>
          <w:sz w:val="20"/>
          <w:szCs w:val="20"/>
        </w:rPr>
        <w:t>Abood</w:t>
      </w:r>
      <w:proofErr w:type="spellEnd"/>
      <w:r w:rsidRPr="00F1066D">
        <w:rPr>
          <w:rFonts w:ascii="Arial" w:hAnsi="Arial" w:cs="Arial"/>
          <w:sz w:val="20"/>
          <w:szCs w:val="20"/>
        </w:rPr>
        <w:t xml:space="preserve"> ME, Wiley JL, et al. Synthesis of selective ligands for CB2 receptor. </w:t>
      </w:r>
      <w:proofErr w:type="spellStart"/>
      <w:r w:rsidRPr="00F1066D">
        <w:rPr>
          <w:rStyle w:val="Emphasis"/>
          <w:rFonts w:ascii="Arial" w:hAnsi="Arial" w:cs="Arial"/>
          <w:sz w:val="20"/>
          <w:szCs w:val="20"/>
        </w:rPr>
        <w:t>Bioorg</w:t>
      </w:r>
      <w:proofErr w:type="spellEnd"/>
      <w:r w:rsidRPr="00F1066D">
        <w:rPr>
          <w:rStyle w:val="Emphasis"/>
          <w:rFonts w:ascii="Arial" w:hAnsi="Arial" w:cs="Arial"/>
          <w:sz w:val="20"/>
          <w:szCs w:val="20"/>
        </w:rPr>
        <w:t xml:space="preserve"> Med Chem.</w:t>
      </w:r>
      <w:r w:rsidRPr="00F1066D">
        <w:rPr>
          <w:rFonts w:ascii="Arial" w:hAnsi="Arial" w:cs="Arial"/>
          <w:sz w:val="20"/>
          <w:szCs w:val="20"/>
        </w:rPr>
        <w:t xml:space="preserve"> </w:t>
      </w:r>
      <w:proofErr w:type="gramStart"/>
      <w:r w:rsidRPr="00F1066D">
        <w:rPr>
          <w:rFonts w:ascii="Arial" w:hAnsi="Arial" w:cs="Arial"/>
          <w:sz w:val="20"/>
          <w:szCs w:val="20"/>
        </w:rPr>
        <w:t>1999;7:2905</w:t>
      </w:r>
      <w:proofErr w:type="gramEnd"/>
      <w:r w:rsidRPr="00F1066D">
        <w:rPr>
          <w:rFonts w:ascii="Arial" w:hAnsi="Arial" w:cs="Arial"/>
          <w:sz w:val="20"/>
          <w:szCs w:val="20"/>
        </w:rPr>
        <w:t>-2914.</w:t>
      </w:r>
    </w:p>
    <w:p w14:paraId="7E03DE90"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Rhee MH, </w:t>
      </w:r>
      <w:proofErr w:type="spellStart"/>
      <w:r w:rsidRPr="00F1066D">
        <w:rPr>
          <w:rFonts w:ascii="Arial" w:hAnsi="Arial" w:cs="Arial"/>
          <w:sz w:val="20"/>
          <w:szCs w:val="20"/>
        </w:rPr>
        <w:t>Nevo</w:t>
      </w:r>
      <w:proofErr w:type="spellEnd"/>
      <w:r w:rsidRPr="00F1066D">
        <w:rPr>
          <w:rFonts w:ascii="Arial" w:hAnsi="Arial" w:cs="Arial"/>
          <w:sz w:val="20"/>
          <w:szCs w:val="20"/>
        </w:rPr>
        <w:t xml:space="preserve"> I, Levy R, Vogel Z. Role of Asp-Arg-Tyr motif in CB2 receptor </w:t>
      </w:r>
      <w:proofErr w:type="spellStart"/>
      <w:r w:rsidRPr="00F1066D">
        <w:rPr>
          <w:rFonts w:ascii="Arial" w:hAnsi="Arial" w:cs="Arial"/>
          <w:sz w:val="20"/>
          <w:szCs w:val="20"/>
        </w:rPr>
        <w:t>signaling</w:t>
      </w:r>
      <w:proofErr w:type="spellEnd"/>
      <w:r w:rsidRPr="00F1066D">
        <w:rPr>
          <w:rFonts w:ascii="Arial" w:hAnsi="Arial" w:cs="Arial"/>
          <w:sz w:val="20"/>
          <w:szCs w:val="20"/>
        </w:rPr>
        <w:t xml:space="preserve">. </w:t>
      </w:r>
      <w:r w:rsidRPr="00F1066D">
        <w:rPr>
          <w:rStyle w:val="Emphasis"/>
          <w:rFonts w:ascii="Arial" w:hAnsi="Arial" w:cs="Arial"/>
          <w:sz w:val="20"/>
          <w:szCs w:val="20"/>
        </w:rPr>
        <w:t>FEBS Lett.</w:t>
      </w:r>
      <w:r w:rsidRPr="00F1066D">
        <w:rPr>
          <w:rFonts w:ascii="Arial" w:hAnsi="Arial" w:cs="Arial"/>
          <w:sz w:val="20"/>
          <w:szCs w:val="20"/>
        </w:rPr>
        <w:t xml:space="preserve"> </w:t>
      </w:r>
      <w:proofErr w:type="gramStart"/>
      <w:r w:rsidRPr="00F1066D">
        <w:rPr>
          <w:rFonts w:ascii="Arial" w:hAnsi="Arial" w:cs="Arial"/>
          <w:sz w:val="20"/>
          <w:szCs w:val="20"/>
        </w:rPr>
        <w:t>2000;466:300</w:t>
      </w:r>
      <w:proofErr w:type="gramEnd"/>
      <w:r w:rsidRPr="00F1066D">
        <w:rPr>
          <w:rFonts w:ascii="Arial" w:hAnsi="Arial" w:cs="Arial"/>
          <w:sz w:val="20"/>
          <w:szCs w:val="20"/>
        </w:rPr>
        <w:t>-304.</w:t>
      </w:r>
    </w:p>
    <w:p w14:paraId="757E35B7"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Bortolato</w:t>
      </w:r>
      <w:proofErr w:type="spellEnd"/>
      <w:r w:rsidRPr="00F1066D">
        <w:rPr>
          <w:rFonts w:ascii="Arial" w:hAnsi="Arial" w:cs="Arial"/>
          <w:sz w:val="20"/>
          <w:szCs w:val="20"/>
        </w:rPr>
        <w:t xml:space="preserve"> M, </w:t>
      </w:r>
      <w:proofErr w:type="spellStart"/>
      <w:r w:rsidRPr="00F1066D">
        <w:rPr>
          <w:rFonts w:ascii="Arial" w:hAnsi="Arial" w:cs="Arial"/>
          <w:sz w:val="20"/>
          <w:szCs w:val="20"/>
        </w:rPr>
        <w:t>Mangieri</w:t>
      </w:r>
      <w:proofErr w:type="spellEnd"/>
      <w:r w:rsidRPr="00F1066D">
        <w:rPr>
          <w:rFonts w:ascii="Arial" w:hAnsi="Arial" w:cs="Arial"/>
          <w:sz w:val="20"/>
          <w:szCs w:val="20"/>
        </w:rPr>
        <w:t xml:space="preserve"> RA, Fu J, Kim JH, Arguello O, </w:t>
      </w:r>
      <w:proofErr w:type="spellStart"/>
      <w:r w:rsidRPr="00F1066D">
        <w:rPr>
          <w:rFonts w:ascii="Arial" w:hAnsi="Arial" w:cs="Arial"/>
          <w:sz w:val="20"/>
          <w:szCs w:val="20"/>
        </w:rPr>
        <w:t>Duranti</w:t>
      </w:r>
      <w:proofErr w:type="spellEnd"/>
      <w:r w:rsidRPr="00F1066D">
        <w:rPr>
          <w:rFonts w:ascii="Arial" w:hAnsi="Arial" w:cs="Arial"/>
          <w:sz w:val="20"/>
          <w:szCs w:val="20"/>
        </w:rPr>
        <w:t xml:space="preserve"> A, et al. Antidepressant-like activity of FAAH inhibitors. </w:t>
      </w:r>
      <w:proofErr w:type="spellStart"/>
      <w:r w:rsidRPr="00F1066D">
        <w:rPr>
          <w:rStyle w:val="Emphasis"/>
          <w:rFonts w:ascii="Arial" w:hAnsi="Arial" w:cs="Arial"/>
          <w:sz w:val="20"/>
          <w:szCs w:val="20"/>
        </w:rPr>
        <w:t>Biol</w:t>
      </w:r>
      <w:proofErr w:type="spellEnd"/>
      <w:r w:rsidRPr="00F1066D">
        <w:rPr>
          <w:rStyle w:val="Emphasis"/>
          <w:rFonts w:ascii="Arial" w:hAnsi="Arial" w:cs="Arial"/>
          <w:sz w:val="20"/>
          <w:szCs w:val="20"/>
        </w:rPr>
        <w:t xml:space="preserve"> Psychiatry.</w:t>
      </w:r>
      <w:r w:rsidRPr="00F1066D">
        <w:rPr>
          <w:rFonts w:ascii="Arial" w:hAnsi="Arial" w:cs="Arial"/>
          <w:sz w:val="20"/>
          <w:szCs w:val="20"/>
        </w:rPr>
        <w:t xml:space="preserve"> </w:t>
      </w:r>
      <w:proofErr w:type="gramStart"/>
      <w:r w:rsidRPr="00F1066D">
        <w:rPr>
          <w:rFonts w:ascii="Arial" w:hAnsi="Arial" w:cs="Arial"/>
          <w:sz w:val="20"/>
          <w:szCs w:val="20"/>
        </w:rPr>
        <w:t>2007;62:1103</w:t>
      </w:r>
      <w:proofErr w:type="gramEnd"/>
      <w:r w:rsidRPr="00F1066D">
        <w:rPr>
          <w:rFonts w:ascii="Arial" w:hAnsi="Arial" w:cs="Arial"/>
          <w:sz w:val="20"/>
          <w:szCs w:val="20"/>
        </w:rPr>
        <w:t>-1110.</w:t>
      </w:r>
    </w:p>
    <w:p w14:paraId="05DFB3FB" w14:textId="77777777" w:rsidR="00FE767C" w:rsidRPr="00F1066D" w:rsidRDefault="00FE767C" w:rsidP="00FE767C">
      <w:pPr>
        <w:pStyle w:val="NormalWeb"/>
        <w:numPr>
          <w:ilvl w:val="0"/>
          <w:numId w:val="45"/>
        </w:numPr>
        <w:rPr>
          <w:rFonts w:ascii="Arial" w:hAnsi="Arial" w:cs="Arial"/>
          <w:sz w:val="20"/>
          <w:szCs w:val="20"/>
        </w:rPr>
      </w:pPr>
      <w:r w:rsidRPr="00F1066D">
        <w:rPr>
          <w:rFonts w:ascii="Arial" w:hAnsi="Arial" w:cs="Arial"/>
          <w:sz w:val="20"/>
          <w:szCs w:val="20"/>
        </w:rPr>
        <w:t xml:space="preserve">Howlett AC, Barth F, Bonner TI, Cabral G, </w:t>
      </w:r>
      <w:proofErr w:type="spellStart"/>
      <w:r w:rsidRPr="00F1066D">
        <w:rPr>
          <w:rFonts w:ascii="Arial" w:hAnsi="Arial" w:cs="Arial"/>
          <w:sz w:val="20"/>
          <w:szCs w:val="20"/>
        </w:rPr>
        <w:t>Casellas</w:t>
      </w:r>
      <w:proofErr w:type="spellEnd"/>
      <w:r w:rsidRPr="00F1066D">
        <w:rPr>
          <w:rFonts w:ascii="Arial" w:hAnsi="Arial" w:cs="Arial"/>
          <w:sz w:val="20"/>
          <w:szCs w:val="20"/>
        </w:rPr>
        <w:t xml:space="preserve"> P, </w:t>
      </w:r>
      <w:proofErr w:type="spellStart"/>
      <w:r w:rsidRPr="00F1066D">
        <w:rPr>
          <w:rFonts w:ascii="Arial" w:hAnsi="Arial" w:cs="Arial"/>
          <w:sz w:val="20"/>
          <w:szCs w:val="20"/>
        </w:rPr>
        <w:t>Devane</w:t>
      </w:r>
      <w:proofErr w:type="spellEnd"/>
      <w:r w:rsidRPr="00F1066D">
        <w:rPr>
          <w:rFonts w:ascii="Arial" w:hAnsi="Arial" w:cs="Arial"/>
          <w:sz w:val="20"/>
          <w:szCs w:val="20"/>
        </w:rPr>
        <w:t xml:space="preserve"> WA, et al. International Union of Pharmacology classification of cannabinoid receptors. </w:t>
      </w:r>
      <w:proofErr w:type="spellStart"/>
      <w:r w:rsidRPr="00F1066D">
        <w:rPr>
          <w:rStyle w:val="Emphasis"/>
          <w:rFonts w:ascii="Arial" w:hAnsi="Arial" w:cs="Arial"/>
          <w:sz w:val="20"/>
          <w:szCs w:val="20"/>
        </w:rPr>
        <w:t>Pharmacol</w:t>
      </w:r>
      <w:proofErr w:type="spellEnd"/>
      <w:r w:rsidRPr="00F1066D">
        <w:rPr>
          <w:rStyle w:val="Emphasis"/>
          <w:rFonts w:ascii="Arial" w:hAnsi="Arial" w:cs="Arial"/>
          <w:sz w:val="20"/>
          <w:szCs w:val="20"/>
        </w:rPr>
        <w:t xml:space="preserve"> Rev.</w:t>
      </w:r>
      <w:r w:rsidRPr="00F1066D">
        <w:rPr>
          <w:rFonts w:ascii="Arial" w:hAnsi="Arial" w:cs="Arial"/>
          <w:sz w:val="20"/>
          <w:szCs w:val="20"/>
        </w:rPr>
        <w:t xml:space="preserve"> </w:t>
      </w:r>
      <w:proofErr w:type="gramStart"/>
      <w:r w:rsidRPr="00F1066D">
        <w:rPr>
          <w:rFonts w:ascii="Arial" w:hAnsi="Arial" w:cs="Arial"/>
          <w:sz w:val="20"/>
          <w:szCs w:val="20"/>
        </w:rPr>
        <w:t>2002;54:161</w:t>
      </w:r>
      <w:proofErr w:type="gramEnd"/>
      <w:r w:rsidRPr="00F1066D">
        <w:rPr>
          <w:rFonts w:ascii="Arial" w:hAnsi="Arial" w:cs="Arial"/>
          <w:sz w:val="20"/>
          <w:szCs w:val="20"/>
        </w:rPr>
        <w:t>-202.</w:t>
      </w:r>
    </w:p>
    <w:p w14:paraId="72085974"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Goparaju</w:t>
      </w:r>
      <w:proofErr w:type="spellEnd"/>
      <w:r w:rsidRPr="00F1066D">
        <w:rPr>
          <w:rFonts w:ascii="Arial" w:hAnsi="Arial" w:cs="Arial"/>
          <w:sz w:val="20"/>
          <w:szCs w:val="20"/>
        </w:rPr>
        <w:t xml:space="preserve"> SK, Ueda N, Yamaguchi H, Yamamoto S. Anandamide amidohydrolase reacting with 2-AG. </w:t>
      </w:r>
      <w:r w:rsidRPr="00F1066D">
        <w:rPr>
          <w:rStyle w:val="Emphasis"/>
          <w:rFonts w:ascii="Arial" w:hAnsi="Arial" w:cs="Arial"/>
          <w:sz w:val="20"/>
          <w:szCs w:val="20"/>
        </w:rPr>
        <w:t>FEBS Lett.</w:t>
      </w:r>
      <w:r w:rsidRPr="00F1066D">
        <w:rPr>
          <w:rFonts w:ascii="Arial" w:hAnsi="Arial" w:cs="Arial"/>
          <w:sz w:val="20"/>
          <w:szCs w:val="20"/>
        </w:rPr>
        <w:t xml:space="preserve"> </w:t>
      </w:r>
      <w:proofErr w:type="gramStart"/>
      <w:r w:rsidRPr="00F1066D">
        <w:rPr>
          <w:rFonts w:ascii="Arial" w:hAnsi="Arial" w:cs="Arial"/>
          <w:sz w:val="20"/>
          <w:szCs w:val="20"/>
        </w:rPr>
        <w:t>1998;422:69</w:t>
      </w:r>
      <w:proofErr w:type="gramEnd"/>
      <w:r w:rsidRPr="00F1066D">
        <w:rPr>
          <w:rFonts w:ascii="Arial" w:hAnsi="Arial" w:cs="Arial"/>
          <w:sz w:val="20"/>
          <w:szCs w:val="20"/>
        </w:rPr>
        <w:t>-73.</w:t>
      </w:r>
    </w:p>
    <w:p w14:paraId="455CBCF6"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Dinh</w:t>
      </w:r>
      <w:proofErr w:type="spellEnd"/>
      <w:r w:rsidRPr="00F1066D">
        <w:rPr>
          <w:rFonts w:ascii="Arial" w:hAnsi="Arial" w:cs="Arial"/>
          <w:sz w:val="20"/>
          <w:szCs w:val="20"/>
        </w:rPr>
        <w:t xml:space="preserve"> TP, Carpenter D, Leslie FM, Freund TF, Katona I, Sensi SL, et al. Brain monoglyceride lipase inactivation pathway. </w:t>
      </w:r>
      <w:r w:rsidRPr="00F1066D">
        <w:rPr>
          <w:rStyle w:val="Emphasis"/>
          <w:rFonts w:ascii="Arial" w:hAnsi="Arial" w:cs="Arial"/>
          <w:sz w:val="20"/>
          <w:szCs w:val="20"/>
        </w:rPr>
        <w:t xml:space="preserve">Proc Natl </w:t>
      </w:r>
      <w:proofErr w:type="spellStart"/>
      <w:r w:rsidRPr="00F1066D">
        <w:rPr>
          <w:rStyle w:val="Emphasis"/>
          <w:rFonts w:ascii="Arial" w:hAnsi="Arial" w:cs="Arial"/>
          <w:sz w:val="20"/>
          <w:szCs w:val="20"/>
        </w:rPr>
        <w:t>Acad</w:t>
      </w:r>
      <w:proofErr w:type="spellEnd"/>
      <w:r w:rsidRPr="00F1066D">
        <w:rPr>
          <w:rStyle w:val="Emphasis"/>
          <w:rFonts w:ascii="Arial" w:hAnsi="Arial" w:cs="Arial"/>
          <w:sz w:val="20"/>
          <w:szCs w:val="20"/>
        </w:rPr>
        <w:t xml:space="preserve"> Sci USA.</w:t>
      </w:r>
      <w:r w:rsidRPr="00F1066D">
        <w:rPr>
          <w:rFonts w:ascii="Arial" w:hAnsi="Arial" w:cs="Arial"/>
          <w:sz w:val="20"/>
          <w:szCs w:val="20"/>
        </w:rPr>
        <w:t xml:space="preserve"> </w:t>
      </w:r>
      <w:proofErr w:type="gramStart"/>
      <w:r w:rsidRPr="00F1066D">
        <w:rPr>
          <w:rFonts w:ascii="Arial" w:hAnsi="Arial" w:cs="Arial"/>
          <w:sz w:val="20"/>
          <w:szCs w:val="20"/>
        </w:rPr>
        <w:t>2002;99:10819</w:t>
      </w:r>
      <w:proofErr w:type="gramEnd"/>
      <w:r w:rsidRPr="00F1066D">
        <w:rPr>
          <w:rFonts w:ascii="Arial" w:hAnsi="Arial" w:cs="Arial"/>
          <w:sz w:val="20"/>
          <w:szCs w:val="20"/>
        </w:rPr>
        <w:t>-10824.</w:t>
      </w:r>
    </w:p>
    <w:p w14:paraId="11CA1318"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Orav</w:t>
      </w:r>
      <w:proofErr w:type="spellEnd"/>
      <w:r w:rsidRPr="00F1066D">
        <w:rPr>
          <w:rFonts w:ascii="Arial" w:hAnsi="Arial" w:cs="Arial"/>
          <w:sz w:val="20"/>
          <w:szCs w:val="20"/>
        </w:rPr>
        <w:t xml:space="preserve"> A, </w:t>
      </w:r>
      <w:proofErr w:type="spellStart"/>
      <w:r w:rsidRPr="00F1066D">
        <w:rPr>
          <w:rFonts w:ascii="Arial" w:hAnsi="Arial" w:cs="Arial"/>
          <w:sz w:val="20"/>
          <w:szCs w:val="20"/>
        </w:rPr>
        <w:t>Stulova</w:t>
      </w:r>
      <w:proofErr w:type="spellEnd"/>
      <w:r w:rsidRPr="00F1066D">
        <w:rPr>
          <w:rFonts w:ascii="Arial" w:hAnsi="Arial" w:cs="Arial"/>
          <w:sz w:val="20"/>
          <w:szCs w:val="20"/>
        </w:rPr>
        <w:t xml:space="preserve"> I, Kailas T, </w:t>
      </w:r>
      <w:proofErr w:type="spellStart"/>
      <w:r w:rsidRPr="00F1066D">
        <w:rPr>
          <w:rFonts w:ascii="Arial" w:hAnsi="Arial" w:cs="Arial"/>
          <w:sz w:val="20"/>
          <w:szCs w:val="20"/>
        </w:rPr>
        <w:t>Mürisepp</w:t>
      </w:r>
      <w:proofErr w:type="spellEnd"/>
      <w:r w:rsidRPr="00F1066D">
        <w:rPr>
          <w:rFonts w:ascii="Arial" w:hAnsi="Arial" w:cs="Arial"/>
          <w:sz w:val="20"/>
          <w:szCs w:val="20"/>
        </w:rPr>
        <w:t xml:space="preserve"> M. Effect of storage on essential oil composition of Piper nigrum. </w:t>
      </w:r>
      <w:r w:rsidRPr="00F1066D">
        <w:rPr>
          <w:rStyle w:val="Emphasis"/>
          <w:rFonts w:ascii="Arial" w:hAnsi="Arial" w:cs="Arial"/>
          <w:sz w:val="20"/>
          <w:szCs w:val="20"/>
        </w:rPr>
        <w:t>J Agric Food Chem.</w:t>
      </w:r>
      <w:r w:rsidRPr="00F1066D">
        <w:rPr>
          <w:rFonts w:ascii="Arial" w:hAnsi="Arial" w:cs="Arial"/>
          <w:sz w:val="20"/>
          <w:szCs w:val="20"/>
        </w:rPr>
        <w:t xml:space="preserve"> </w:t>
      </w:r>
      <w:proofErr w:type="gramStart"/>
      <w:r w:rsidRPr="00F1066D">
        <w:rPr>
          <w:rFonts w:ascii="Arial" w:hAnsi="Arial" w:cs="Arial"/>
          <w:sz w:val="20"/>
          <w:szCs w:val="20"/>
        </w:rPr>
        <w:t>2004;52:2582</w:t>
      </w:r>
      <w:proofErr w:type="gramEnd"/>
      <w:r w:rsidRPr="00F1066D">
        <w:rPr>
          <w:rFonts w:ascii="Arial" w:hAnsi="Arial" w:cs="Arial"/>
          <w:sz w:val="20"/>
          <w:szCs w:val="20"/>
        </w:rPr>
        <w:t>-2586.</w:t>
      </w:r>
    </w:p>
    <w:p w14:paraId="104B3E83"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Jayaprakasha</w:t>
      </w:r>
      <w:proofErr w:type="spellEnd"/>
      <w:r w:rsidRPr="00F1066D">
        <w:rPr>
          <w:rFonts w:ascii="Arial" w:hAnsi="Arial" w:cs="Arial"/>
          <w:sz w:val="20"/>
          <w:szCs w:val="20"/>
        </w:rPr>
        <w:t xml:space="preserve"> GK, Rao LJ, </w:t>
      </w:r>
      <w:proofErr w:type="spellStart"/>
      <w:r w:rsidRPr="00F1066D">
        <w:rPr>
          <w:rFonts w:ascii="Arial" w:hAnsi="Arial" w:cs="Arial"/>
          <w:sz w:val="20"/>
          <w:szCs w:val="20"/>
        </w:rPr>
        <w:t>Sakariah</w:t>
      </w:r>
      <w:proofErr w:type="spellEnd"/>
      <w:r w:rsidRPr="00F1066D">
        <w:rPr>
          <w:rFonts w:ascii="Arial" w:hAnsi="Arial" w:cs="Arial"/>
          <w:sz w:val="20"/>
          <w:szCs w:val="20"/>
        </w:rPr>
        <w:t xml:space="preserve"> KK. Volatile constituents of Cinnamomum zeylanicum. </w:t>
      </w:r>
      <w:r w:rsidRPr="00F1066D">
        <w:rPr>
          <w:rStyle w:val="Emphasis"/>
          <w:rFonts w:ascii="Arial" w:hAnsi="Arial" w:cs="Arial"/>
          <w:sz w:val="20"/>
          <w:szCs w:val="20"/>
        </w:rPr>
        <w:t>J Agric Food Chem.</w:t>
      </w:r>
      <w:r w:rsidRPr="00F1066D">
        <w:rPr>
          <w:rFonts w:ascii="Arial" w:hAnsi="Arial" w:cs="Arial"/>
          <w:sz w:val="20"/>
          <w:szCs w:val="20"/>
        </w:rPr>
        <w:t xml:space="preserve"> </w:t>
      </w:r>
      <w:proofErr w:type="gramStart"/>
      <w:r w:rsidRPr="00F1066D">
        <w:rPr>
          <w:rFonts w:ascii="Arial" w:hAnsi="Arial" w:cs="Arial"/>
          <w:sz w:val="20"/>
          <w:szCs w:val="20"/>
        </w:rPr>
        <w:t>2003;51:4344</w:t>
      </w:r>
      <w:proofErr w:type="gramEnd"/>
      <w:r w:rsidRPr="00F1066D">
        <w:rPr>
          <w:rFonts w:ascii="Arial" w:hAnsi="Arial" w:cs="Arial"/>
          <w:sz w:val="20"/>
          <w:szCs w:val="20"/>
        </w:rPr>
        <w:t>-4348.</w:t>
      </w:r>
    </w:p>
    <w:p w14:paraId="31A9E34F" w14:textId="77777777" w:rsidR="00FE767C" w:rsidRPr="00F1066D" w:rsidRDefault="00FE767C" w:rsidP="00FE767C">
      <w:pPr>
        <w:pStyle w:val="NormalWeb"/>
        <w:numPr>
          <w:ilvl w:val="0"/>
          <w:numId w:val="45"/>
        </w:numPr>
        <w:rPr>
          <w:rFonts w:ascii="Arial" w:hAnsi="Arial" w:cs="Arial"/>
          <w:sz w:val="20"/>
          <w:szCs w:val="20"/>
        </w:rPr>
      </w:pPr>
      <w:proofErr w:type="spellStart"/>
      <w:r w:rsidRPr="00F1066D">
        <w:rPr>
          <w:rFonts w:ascii="Arial" w:hAnsi="Arial" w:cs="Arial"/>
          <w:sz w:val="20"/>
          <w:szCs w:val="20"/>
        </w:rPr>
        <w:t>Mockutė</w:t>
      </w:r>
      <w:proofErr w:type="spellEnd"/>
      <w:r w:rsidRPr="00F1066D">
        <w:rPr>
          <w:rFonts w:ascii="Arial" w:hAnsi="Arial" w:cs="Arial"/>
          <w:sz w:val="20"/>
          <w:szCs w:val="20"/>
        </w:rPr>
        <w:t xml:space="preserve"> D, </w:t>
      </w:r>
      <w:proofErr w:type="spellStart"/>
      <w:r w:rsidRPr="00F1066D">
        <w:rPr>
          <w:rFonts w:ascii="Arial" w:hAnsi="Arial" w:cs="Arial"/>
          <w:sz w:val="20"/>
          <w:szCs w:val="20"/>
        </w:rPr>
        <w:t>Bernotienė</w:t>
      </w:r>
      <w:proofErr w:type="spellEnd"/>
      <w:r w:rsidRPr="00F1066D">
        <w:rPr>
          <w:rFonts w:ascii="Arial" w:hAnsi="Arial" w:cs="Arial"/>
          <w:sz w:val="20"/>
          <w:szCs w:val="20"/>
        </w:rPr>
        <w:t xml:space="preserve"> G, </w:t>
      </w:r>
      <w:proofErr w:type="spellStart"/>
      <w:r w:rsidRPr="00F1066D">
        <w:rPr>
          <w:rFonts w:ascii="Arial" w:hAnsi="Arial" w:cs="Arial"/>
          <w:sz w:val="20"/>
          <w:szCs w:val="20"/>
        </w:rPr>
        <w:t>Judžentienė</w:t>
      </w:r>
      <w:proofErr w:type="spellEnd"/>
      <w:r w:rsidRPr="00F1066D">
        <w:rPr>
          <w:rFonts w:ascii="Arial" w:hAnsi="Arial" w:cs="Arial"/>
          <w:sz w:val="20"/>
          <w:szCs w:val="20"/>
        </w:rPr>
        <w:t xml:space="preserve"> A. Essential oil of Origanum vulgare. </w:t>
      </w:r>
      <w:r w:rsidRPr="00F1066D">
        <w:rPr>
          <w:rStyle w:val="Emphasis"/>
          <w:rFonts w:ascii="Arial" w:hAnsi="Arial" w:cs="Arial"/>
          <w:sz w:val="20"/>
          <w:szCs w:val="20"/>
        </w:rPr>
        <w:t>Phytochemistry.</w:t>
      </w:r>
      <w:r w:rsidRPr="00F1066D">
        <w:rPr>
          <w:rFonts w:ascii="Arial" w:hAnsi="Arial" w:cs="Arial"/>
          <w:sz w:val="20"/>
          <w:szCs w:val="20"/>
        </w:rPr>
        <w:t xml:space="preserve"> </w:t>
      </w:r>
      <w:proofErr w:type="gramStart"/>
      <w:r w:rsidRPr="00F1066D">
        <w:rPr>
          <w:rFonts w:ascii="Arial" w:hAnsi="Arial" w:cs="Arial"/>
          <w:sz w:val="20"/>
          <w:szCs w:val="20"/>
        </w:rPr>
        <w:t>2001;57:65</w:t>
      </w:r>
      <w:proofErr w:type="gramEnd"/>
      <w:r w:rsidRPr="00F1066D">
        <w:rPr>
          <w:rFonts w:ascii="Arial" w:hAnsi="Arial" w:cs="Arial"/>
          <w:sz w:val="20"/>
          <w:szCs w:val="20"/>
        </w:rPr>
        <w:t>-69.</w:t>
      </w:r>
    </w:p>
    <w:p w14:paraId="20852515" w14:textId="66E2A832" w:rsidR="001925DB" w:rsidRPr="001925DB" w:rsidRDefault="00FE767C" w:rsidP="001925DB">
      <w:pPr>
        <w:pStyle w:val="NormalWeb"/>
        <w:numPr>
          <w:ilvl w:val="0"/>
          <w:numId w:val="45"/>
        </w:numPr>
        <w:rPr>
          <w:rFonts w:ascii="Arial" w:hAnsi="Arial" w:cs="Arial"/>
          <w:sz w:val="20"/>
          <w:szCs w:val="20"/>
        </w:rPr>
        <w:sectPr w:rsidR="001925DB" w:rsidRPr="001925DB" w:rsidSect="00E37BEE">
          <w:type w:val="continuous"/>
          <w:pgSz w:w="11910" w:h="16840"/>
          <w:pgMar w:top="1360" w:right="1417" w:bottom="280" w:left="1417" w:header="720" w:footer="720" w:gutter="0"/>
          <w:cols w:space="720"/>
        </w:sectPr>
      </w:pPr>
      <w:proofErr w:type="spellStart"/>
      <w:r w:rsidRPr="00F1066D">
        <w:rPr>
          <w:rFonts w:ascii="Arial" w:hAnsi="Arial" w:cs="Arial"/>
          <w:sz w:val="20"/>
          <w:szCs w:val="20"/>
        </w:rPr>
        <w:lastRenderedPageBreak/>
        <w:t>Sköld</w:t>
      </w:r>
      <w:proofErr w:type="spellEnd"/>
      <w:r w:rsidRPr="00F1066D">
        <w:rPr>
          <w:rFonts w:ascii="Arial" w:hAnsi="Arial" w:cs="Arial"/>
          <w:sz w:val="20"/>
          <w:szCs w:val="20"/>
        </w:rPr>
        <w:t xml:space="preserve"> M, Karlberg AT, Matura M, </w:t>
      </w:r>
      <w:proofErr w:type="spellStart"/>
      <w:r w:rsidRPr="00F1066D">
        <w:rPr>
          <w:rFonts w:ascii="Arial" w:hAnsi="Arial" w:cs="Arial"/>
          <w:sz w:val="20"/>
          <w:szCs w:val="20"/>
        </w:rPr>
        <w:t>Börje</w:t>
      </w:r>
      <w:proofErr w:type="spellEnd"/>
      <w:r w:rsidRPr="00F1066D">
        <w:rPr>
          <w:rFonts w:ascii="Arial" w:hAnsi="Arial" w:cs="Arial"/>
          <w:sz w:val="20"/>
          <w:szCs w:val="20"/>
        </w:rPr>
        <w:t xml:space="preserve"> A. Beta-caryophyllene oxidation and sensitization. </w:t>
      </w:r>
      <w:r w:rsidRPr="00F1066D">
        <w:rPr>
          <w:rStyle w:val="Emphasis"/>
          <w:rFonts w:ascii="Arial" w:hAnsi="Arial" w:cs="Arial"/>
          <w:sz w:val="20"/>
          <w:szCs w:val="20"/>
        </w:rPr>
        <w:t xml:space="preserve">Food Chem </w:t>
      </w:r>
      <w:proofErr w:type="spellStart"/>
      <w:r w:rsidRPr="00F1066D">
        <w:rPr>
          <w:rStyle w:val="Emphasis"/>
          <w:rFonts w:ascii="Arial" w:hAnsi="Arial" w:cs="Arial"/>
          <w:sz w:val="20"/>
          <w:szCs w:val="20"/>
        </w:rPr>
        <w:t>Toxicol</w:t>
      </w:r>
      <w:proofErr w:type="spellEnd"/>
      <w:r w:rsidRPr="00F1066D">
        <w:rPr>
          <w:rStyle w:val="Emphasis"/>
          <w:rFonts w:ascii="Arial" w:hAnsi="Arial" w:cs="Arial"/>
          <w:sz w:val="20"/>
          <w:szCs w:val="20"/>
        </w:rPr>
        <w:t>.</w:t>
      </w:r>
      <w:r w:rsidRPr="00F1066D">
        <w:rPr>
          <w:rFonts w:ascii="Arial" w:hAnsi="Arial" w:cs="Arial"/>
          <w:sz w:val="20"/>
          <w:szCs w:val="20"/>
        </w:rPr>
        <w:t xml:space="preserve"> </w:t>
      </w:r>
      <w:proofErr w:type="gramStart"/>
      <w:r w:rsidRPr="00F1066D">
        <w:rPr>
          <w:rFonts w:ascii="Arial" w:hAnsi="Arial" w:cs="Arial"/>
          <w:sz w:val="20"/>
          <w:szCs w:val="20"/>
        </w:rPr>
        <w:t>2006;44:538</w:t>
      </w:r>
      <w:proofErr w:type="gramEnd"/>
      <w:r w:rsidRPr="00F1066D">
        <w:rPr>
          <w:rFonts w:ascii="Arial" w:hAnsi="Arial" w:cs="Arial"/>
          <w:sz w:val="20"/>
          <w:szCs w:val="20"/>
        </w:rPr>
        <w:t>-5</w:t>
      </w:r>
      <w:r w:rsidR="00303D66">
        <w:rPr>
          <w:rFonts w:ascii="Arial" w:hAnsi="Arial" w:cs="Arial"/>
          <w:sz w:val="20"/>
          <w:szCs w:val="20"/>
        </w:rPr>
        <w:t>45</w:t>
      </w:r>
    </w:p>
    <w:p w14:paraId="63E421C4" w14:textId="6659E51E" w:rsidR="005668FD" w:rsidRPr="005668FD" w:rsidRDefault="005668FD" w:rsidP="001925DB">
      <w:pPr>
        <w:pStyle w:val="Body"/>
        <w:rPr>
          <w:rFonts w:ascii="Arial" w:hAnsi="Arial" w:cs="Arial"/>
        </w:rPr>
      </w:pPr>
    </w:p>
    <w:sectPr w:rsidR="005668FD" w:rsidRPr="005668FD" w:rsidSect="001925DB">
      <w:pgSz w:w="11910" w:h="16840"/>
      <w:pgMar w:top="1360" w:right="1417" w:bottom="280"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6-03-01T20:05:00Z" w:initials="D">
    <w:p w14:paraId="57250BCA" w14:textId="783B9E1D" w:rsidR="00343DD5" w:rsidRDefault="00343DD5">
      <w:pPr>
        <w:pStyle w:val="CommentText"/>
      </w:pPr>
      <w:r>
        <w:rPr>
          <w:rStyle w:val="CommentReference"/>
        </w:rPr>
        <w:annotationRef/>
      </w:r>
      <w:r>
        <w:t xml:space="preserve">Please add more citation to make </w:t>
      </w:r>
      <w:r>
        <w:t xml:space="preserve">it </w:t>
      </w:r>
      <w:r>
        <w:t>more authentic</w:t>
      </w:r>
    </w:p>
  </w:comment>
  <w:comment w:id="1" w:author="DELL" w:date="2026-03-01T20:10:00Z" w:initials="D">
    <w:p w14:paraId="4BE282F0" w14:textId="6C7EB0A2" w:rsidR="00343DD5" w:rsidRDefault="00343DD5">
      <w:pPr>
        <w:pStyle w:val="CommentText"/>
      </w:pPr>
      <w:r>
        <w:rPr>
          <w:rStyle w:val="CommentReference"/>
        </w:rPr>
        <w:annotationRef/>
      </w:r>
      <w:r>
        <w:t xml:space="preserve">Please add more citation to make </w:t>
      </w:r>
      <w:r>
        <w:t xml:space="preserve">it </w:t>
      </w:r>
      <w:r>
        <w:t>more authentic</w:t>
      </w:r>
      <w:r>
        <w:t xml:space="preserve"> </w:t>
      </w:r>
    </w:p>
  </w:comment>
  <w:comment w:id="2" w:author="DELL" w:date="2026-03-01T20:41:00Z" w:initials="D">
    <w:p w14:paraId="26970D0A" w14:textId="2FD10D7C" w:rsidR="0083014A" w:rsidRDefault="0083014A">
      <w:pPr>
        <w:pStyle w:val="CommentText"/>
      </w:pPr>
      <w:r>
        <w:rPr>
          <w:rStyle w:val="CommentReference"/>
        </w:rPr>
        <w:annotationRef/>
      </w:r>
      <w:r>
        <w:t>There is no reference in this paragraph</w:t>
      </w:r>
    </w:p>
  </w:comment>
  <w:comment w:id="3" w:author="DELL" w:date="2026-03-01T20:47:00Z" w:initials="D">
    <w:p w14:paraId="342E66B3" w14:textId="6C6C559C" w:rsidR="0083014A" w:rsidRDefault="0083014A">
      <w:pPr>
        <w:pStyle w:val="CommentText"/>
      </w:pPr>
      <w:r>
        <w:rPr>
          <w:rStyle w:val="CommentReference"/>
        </w:rPr>
        <w:annotationRef/>
      </w:r>
      <w:r>
        <w:t>There is no reference in this paragraph</w:t>
      </w:r>
    </w:p>
  </w:comment>
  <w:comment w:id="4" w:author="DELL" w:date="2026-03-01T20:51:00Z" w:initials="D">
    <w:p w14:paraId="3D08C58F" w14:textId="77777777" w:rsidR="004056E9" w:rsidRDefault="004056E9" w:rsidP="004056E9">
      <w:pPr>
        <w:pStyle w:val="CommentText"/>
      </w:pPr>
      <w:r>
        <w:rPr>
          <w:rStyle w:val="CommentReference"/>
        </w:rPr>
        <w:annotationRef/>
      </w:r>
      <w:r>
        <w:rPr>
          <w:rStyle w:val="CommentReference"/>
        </w:rPr>
        <w:annotationRef/>
      </w:r>
      <w:r>
        <w:t>There is no reference in this paragraph</w:t>
      </w:r>
    </w:p>
    <w:p w14:paraId="7FEB95B7" w14:textId="148FE3EB" w:rsidR="004056E9" w:rsidRDefault="004056E9">
      <w:pPr>
        <w:pStyle w:val="CommentText"/>
      </w:pPr>
    </w:p>
  </w:comment>
  <w:comment w:id="5" w:author="DELL" w:date="2026-03-01T21:11:00Z" w:initials="D">
    <w:p w14:paraId="074D8010" w14:textId="0B27D8C8" w:rsidR="00E52CE6" w:rsidRDefault="00E52CE6">
      <w:pPr>
        <w:pStyle w:val="CommentText"/>
      </w:pPr>
      <w:r>
        <w:rPr>
          <w:rStyle w:val="CommentReference"/>
        </w:rPr>
        <w:annotationRef/>
      </w:r>
      <w:r>
        <w:t>Reference is missing</w:t>
      </w:r>
    </w:p>
  </w:comment>
  <w:comment w:id="6" w:author="DELL" w:date="2026-03-01T21:47:00Z" w:initials="D">
    <w:p w14:paraId="2FBA06CE" w14:textId="17C858E5" w:rsidR="00FA745C" w:rsidRDefault="00FA745C">
      <w:pPr>
        <w:pStyle w:val="CommentText"/>
      </w:pPr>
      <w:r>
        <w:rPr>
          <w:rStyle w:val="CommentReference"/>
        </w:rPr>
        <w:annotationRef/>
      </w:r>
      <w:r>
        <w:t>Reference missing</w:t>
      </w:r>
    </w:p>
  </w:comment>
  <w:comment w:id="7" w:author="DELL" w:date="2026-03-01T21:48:00Z" w:initials="D">
    <w:p w14:paraId="7C070235" w14:textId="2B2B114B" w:rsidR="00FA745C" w:rsidRDefault="00FA745C">
      <w:pPr>
        <w:pStyle w:val="CommentText"/>
      </w:pPr>
      <w:r>
        <w:rPr>
          <w:rStyle w:val="CommentReference"/>
        </w:rPr>
        <w:annotationRef/>
      </w:r>
      <w:r>
        <w:t>Reference missing</w:t>
      </w:r>
    </w:p>
  </w:comment>
  <w:comment w:id="8" w:author="DELL" w:date="2026-03-01T21:58:00Z" w:initials="D">
    <w:p w14:paraId="36643985" w14:textId="41D53805" w:rsidR="00D27148" w:rsidRDefault="00D27148">
      <w:pPr>
        <w:pStyle w:val="CommentText"/>
      </w:pPr>
      <w:r>
        <w:rPr>
          <w:rStyle w:val="CommentReference"/>
        </w:rPr>
        <w:annotationRef/>
      </w:r>
      <w:r>
        <w:t>Reference missing</w:t>
      </w:r>
    </w:p>
  </w:comment>
  <w:comment w:id="9" w:author="DELL" w:date="2026-03-01T23:26:00Z" w:initials="D">
    <w:p w14:paraId="2A56F77F" w14:textId="5D8449B8" w:rsidR="009457A2" w:rsidRDefault="009457A2">
      <w:pPr>
        <w:pStyle w:val="CommentText"/>
      </w:pPr>
      <w:r>
        <w:rPr>
          <w:rStyle w:val="CommentReference"/>
        </w:rPr>
        <w:annotationRef/>
      </w:r>
      <w:r>
        <w:t>Reference missing</w:t>
      </w:r>
      <w:r>
        <w:t xml:space="preserve"> for the Table</w:t>
      </w:r>
    </w:p>
  </w:comment>
  <w:comment w:id="10" w:author="DELL" w:date="2026-03-01T23:27:00Z" w:initials="D">
    <w:p w14:paraId="0AE0080D" w14:textId="595B5029" w:rsidR="009457A2" w:rsidRDefault="009457A2">
      <w:pPr>
        <w:pStyle w:val="CommentText"/>
      </w:pPr>
      <w:r>
        <w:rPr>
          <w:rStyle w:val="CommentReference"/>
        </w:rPr>
        <w:annotationRef/>
      </w:r>
      <w:r>
        <w:t>Reference missing for the Table</w:t>
      </w:r>
    </w:p>
  </w:comment>
  <w:comment w:id="11" w:author="DELL" w:date="2026-03-01T23:36:00Z" w:initials="D">
    <w:p w14:paraId="33BEAA1B" w14:textId="04A67A43" w:rsidR="009457A2" w:rsidRDefault="009457A2">
      <w:pPr>
        <w:pStyle w:val="CommentText"/>
      </w:pPr>
      <w:r>
        <w:rPr>
          <w:rStyle w:val="CommentReference"/>
        </w:rPr>
        <w:annotationRef/>
      </w:r>
      <w:r>
        <w:t xml:space="preserve">I didn’t find this reference in the text please </w:t>
      </w:r>
      <w:r w:rsidR="00F931AB">
        <w:t>do cross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250BCA" w15:done="0"/>
  <w15:commentEx w15:paraId="4BE282F0" w15:done="0"/>
  <w15:commentEx w15:paraId="26970D0A" w15:done="0"/>
  <w15:commentEx w15:paraId="342E66B3" w15:done="0"/>
  <w15:commentEx w15:paraId="7FEB95B7" w15:done="0"/>
  <w15:commentEx w15:paraId="074D8010" w15:done="0"/>
  <w15:commentEx w15:paraId="2FBA06CE" w15:done="0"/>
  <w15:commentEx w15:paraId="7C070235" w15:done="0"/>
  <w15:commentEx w15:paraId="36643985" w15:done="0"/>
  <w15:commentEx w15:paraId="2A56F77F" w15:done="0"/>
  <w15:commentEx w15:paraId="0AE0080D" w15:done="0"/>
  <w15:commentEx w15:paraId="33BEAA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F1A93" w16cex:dateUtc="2026-03-01T14:35:00Z"/>
  <w16cex:commentExtensible w16cex:durableId="2D4F1BD2" w16cex:dateUtc="2026-03-01T14:40:00Z"/>
  <w16cex:commentExtensible w16cex:durableId="2D4F2302" w16cex:dateUtc="2026-03-01T15:11:00Z"/>
  <w16cex:commentExtensible w16cex:durableId="2D4F2456" w16cex:dateUtc="2026-03-01T15:17:00Z"/>
  <w16cex:commentExtensible w16cex:durableId="2D4F256D" w16cex:dateUtc="2026-03-01T15:21:00Z"/>
  <w16cex:commentExtensible w16cex:durableId="2D4F2A19" w16cex:dateUtc="2026-03-01T15:41:00Z"/>
  <w16cex:commentExtensible w16cex:durableId="2D4F328B" w16cex:dateUtc="2026-03-01T16:17:00Z"/>
  <w16cex:commentExtensible w16cex:durableId="2D4F32A0" w16cex:dateUtc="2026-03-01T16:18:00Z"/>
  <w16cex:commentExtensible w16cex:durableId="2D4F34F9" w16cex:dateUtc="2026-03-01T16:28:00Z"/>
  <w16cex:commentExtensible w16cex:durableId="2D4F49BA" w16cex:dateUtc="2026-03-01T17:56:00Z"/>
  <w16cex:commentExtensible w16cex:durableId="2D4F49E6" w16cex:dateUtc="2026-03-01T17:57:00Z"/>
  <w16cex:commentExtensible w16cex:durableId="2D4F4BF6" w16cex:dateUtc="2026-03-01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50BCA" w16cid:durableId="2D4F1A93"/>
  <w16cid:commentId w16cid:paraId="4BE282F0" w16cid:durableId="2D4F1BD2"/>
  <w16cid:commentId w16cid:paraId="26970D0A" w16cid:durableId="2D4F2302"/>
  <w16cid:commentId w16cid:paraId="342E66B3" w16cid:durableId="2D4F2456"/>
  <w16cid:commentId w16cid:paraId="7FEB95B7" w16cid:durableId="2D4F256D"/>
  <w16cid:commentId w16cid:paraId="074D8010" w16cid:durableId="2D4F2A19"/>
  <w16cid:commentId w16cid:paraId="2FBA06CE" w16cid:durableId="2D4F328B"/>
  <w16cid:commentId w16cid:paraId="7C070235" w16cid:durableId="2D4F32A0"/>
  <w16cid:commentId w16cid:paraId="36643985" w16cid:durableId="2D4F34F9"/>
  <w16cid:commentId w16cid:paraId="2A56F77F" w16cid:durableId="2D4F49BA"/>
  <w16cid:commentId w16cid:paraId="0AE0080D" w16cid:durableId="2D4F49E6"/>
  <w16cid:commentId w16cid:paraId="33BEAA1B" w16cid:durableId="2D4F4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AD9F" w14:textId="77777777" w:rsidR="00B90CB3" w:rsidRDefault="00B90CB3" w:rsidP="00C37E61">
      <w:r>
        <w:separator/>
      </w:r>
    </w:p>
  </w:endnote>
  <w:endnote w:type="continuationSeparator" w:id="0">
    <w:p w14:paraId="006B680E" w14:textId="77777777" w:rsidR="00B90CB3" w:rsidRDefault="00B90C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A8FE" w14:textId="77777777" w:rsidR="00DA0F02" w:rsidRDefault="00DA0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24C3" w14:textId="77777777" w:rsidR="00DA0F02" w:rsidRDefault="00DA0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DB0B" w14:textId="23297F2C" w:rsidR="00754C9A" w:rsidRPr="00673B50" w:rsidRDefault="00754C9A" w:rsidP="0067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149F" w14:textId="77777777" w:rsidR="00B90CB3" w:rsidRDefault="00B90CB3" w:rsidP="00C37E61">
      <w:r>
        <w:separator/>
      </w:r>
    </w:p>
  </w:footnote>
  <w:footnote w:type="continuationSeparator" w:id="0">
    <w:p w14:paraId="4852E5E4" w14:textId="77777777" w:rsidR="00B90CB3" w:rsidRDefault="00B90C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E1E5" w14:textId="760B1828" w:rsidR="00DA0F02" w:rsidRDefault="00B90CB3">
    <w:pPr>
      <w:pStyle w:val="Header"/>
    </w:pPr>
    <w:r>
      <w:rPr>
        <w:noProof/>
      </w:rPr>
      <w:pict w14:anchorId="18C26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89" o:spid="_x0000_s2050"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DDA6" w14:textId="5CBD9118" w:rsidR="00DA0F02" w:rsidRDefault="00B90CB3">
    <w:pPr>
      <w:pStyle w:val="Header"/>
    </w:pPr>
    <w:r>
      <w:rPr>
        <w:noProof/>
      </w:rPr>
      <w:pict w14:anchorId="738F5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90" o:spid="_x0000_s2051"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1F7F" w14:textId="2C9487FC" w:rsidR="00296529" w:rsidRPr="00296529" w:rsidRDefault="00B90CB3" w:rsidP="00296529">
    <w:pPr>
      <w:ind w:left="2160"/>
      <w:jc w:val="center"/>
      <w:rPr>
        <w:rFonts w:ascii="Times New Roman" w:eastAsia="Calibri" w:hAnsi="Times New Roman"/>
        <w:i/>
        <w:sz w:val="18"/>
        <w:szCs w:val="22"/>
      </w:rPr>
    </w:pPr>
    <w:r>
      <w:rPr>
        <w:noProof/>
      </w:rPr>
      <w:pict w14:anchorId="1FEB9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88" o:spid="_x0000_s2049" type="#_x0000_t136" style="position:absolute;left:0;text-align:left;margin-left:0;margin-top:0;width:574.9pt;height:6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4FFD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C240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2CFE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31A9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4FD1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36E2C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4107A"/>
    <w:multiLevelType w:val="hybridMultilevel"/>
    <w:tmpl w:val="81367564"/>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180E3E"/>
    <w:multiLevelType w:val="hybridMultilevel"/>
    <w:tmpl w:val="18C24FCC"/>
    <w:lvl w:ilvl="0" w:tplc="D666C106">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5A6811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39B68E92">
      <w:numFmt w:val="bullet"/>
      <w:lvlText w:val="•"/>
      <w:lvlJc w:val="left"/>
      <w:pPr>
        <w:ind w:left="2305" w:hanging="360"/>
      </w:pPr>
      <w:rPr>
        <w:rFonts w:hint="default"/>
        <w:lang w:val="en-US" w:eastAsia="en-US" w:bidi="ar-SA"/>
      </w:rPr>
    </w:lvl>
    <w:lvl w:ilvl="3" w:tplc="056656A2">
      <w:numFmt w:val="bullet"/>
      <w:lvlText w:val="•"/>
      <w:lvlJc w:val="left"/>
      <w:pPr>
        <w:ind w:left="3151" w:hanging="360"/>
      </w:pPr>
      <w:rPr>
        <w:rFonts w:hint="default"/>
        <w:lang w:val="en-US" w:eastAsia="en-US" w:bidi="ar-SA"/>
      </w:rPr>
    </w:lvl>
    <w:lvl w:ilvl="4" w:tplc="D97CFC44">
      <w:numFmt w:val="bullet"/>
      <w:lvlText w:val="•"/>
      <w:lvlJc w:val="left"/>
      <w:pPr>
        <w:ind w:left="3997" w:hanging="360"/>
      </w:pPr>
      <w:rPr>
        <w:rFonts w:hint="default"/>
        <w:lang w:val="en-US" w:eastAsia="en-US" w:bidi="ar-SA"/>
      </w:rPr>
    </w:lvl>
    <w:lvl w:ilvl="5" w:tplc="748220DC">
      <w:numFmt w:val="bullet"/>
      <w:lvlText w:val="•"/>
      <w:lvlJc w:val="left"/>
      <w:pPr>
        <w:ind w:left="4843" w:hanging="360"/>
      </w:pPr>
      <w:rPr>
        <w:rFonts w:hint="default"/>
        <w:lang w:val="en-US" w:eastAsia="en-US" w:bidi="ar-SA"/>
      </w:rPr>
    </w:lvl>
    <w:lvl w:ilvl="6" w:tplc="161EDE98">
      <w:numFmt w:val="bullet"/>
      <w:lvlText w:val="•"/>
      <w:lvlJc w:val="left"/>
      <w:pPr>
        <w:ind w:left="5689" w:hanging="360"/>
      </w:pPr>
      <w:rPr>
        <w:rFonts w:hint="default"/>
        <w:lang w:val="en-US" w:eastAsia="en-US" w:bidi="ar-SA"/>
      </w:rPr>
    </w:lvl>
    <w:lvl w:ilvl="7" w:tplc="04EE839A">
      <w:numFmt w:val="bullet"/>
      <w:lvlText w:val="•"/>
      <w:lvlJc w:val="left"/>
      <w:pPr>
        <w:ind w:left="6534" w:hanging="360"/>
      </w:pPr>
      <w:rPr>
        <w:rFonts w:hint="default"/>
        <w:lang w:val="en-US" w:eastAsia="en-US" w:bidi="ar-SA"/>
      </w:rPr>
    </w:lvl>
    <w:lvl w:ilvl="8" w:tplc="21CE59EA">
      <w:numFmt w:val="bullet"/>
      <w:lvlText w:val="•"/>
      <w:lvlJc w:val="left"/>
      <w:pPr>
        <w:ind w:left="7380" w:hanging="360"/>
      </w:pPr>
      <w:rPr>
        <w:rFonts w:hint="default"/>
        <w:lang w:val="en-US" w:eastAsia="en-US" w:bidi="ar-SA"/>
      </w:rPr>
    </w:lvl>
  </w:abstractNum>
  <w:abstractNum w:abstractNumId="3" w15:restartNumberingAfterBreak="0">
    <w:nsid w:val="022A366F"/>
    <w:multiLevelType w:val="hybridMultilevel"/>
    <w:tmpl w:val="EC0E9B1E"/>
    <w:lvl w:ilvl="0" w:tplc="5A38759C">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45FE9EA0">
      <w:numFmt w:val="bullet"/>
      <w:lvlText w:val="•"/>
      <w:lvlJc w:val="left"/>
      <w:pPr>
        <w:ind w:left="1573" w:hanging="360"/>
      </w:pPr>
      <w:rPr>
        <w:rFonts w:hint="default"/>
        <w:lang w:val="en-US" w:eastAsia="en-US" w:bidi="ar-SA"/>
      </w:rPr>
    </w:lvl>
    <w:lvl w:ilvl="2" w:tplc="D16CCB74">
      <w:numFmt w:val="bullet"/>
      <w:lvlText w:val="•"/>
      <w:lvlJc w:val="left"/>
      <w:pPr>
        <w:ind w:left="2406" w:hanging="360"/>
      </w:pPr>
      <w:rPr>
        <w:rFonts w:hint="default"/>
        <w:lang w:val="en-US" w:eastAsia="en-US" w:bidi="ar-SA"/>
      </w:rPr>
    </w:lvl>
    <w:lvl w:ilvl="3" w:tplc="CBFAB920">
      <w:numFmt w:val="bullet"/>
      <w:lvlText w:val="•"/>
      <w:lvlJc w:val="left"/>
      <w:pPr>
        <w:ind w:left="3239" w:hanging="360"/>
      </w:pPr>
      <w:rPr>
        <w:rFonts w:hint="default"/>
        <w:lang w:val="en-US" w:eastAsia="en-US" w:bidi="ar-SA"/>
      </w:rPr>
    </w:lvl>
    <w:lvl w:ilvl="4" w:tplc="9AC4D04E">
      <w:numFmt w:val="bullet"/>
      <w:lvlText w:val="•"/>
      <w:lvlJc w:val="left"/>
      <w:pPr>
        <w:ind w:left="4072" w:hanging="360"/>
      </w:pPr>
      <w:rPr>
        <w:rFonts w:hint="default"/>
        <w:lang w:val="en-US" w:eastAsia="en-US" w:bidi="ar-SA"/>
      </w:rPr>
    </w:lvl>
    <w:lvl w:ilvl="5" w:tplc="F138AFA6">
      <w:numFmt w:val="bullet"/>
      <w:lvlText w:val="•"/>
      <w:lvlJc w:val="left"/>
      <w:pPr>
        <w:ind w:left="4906" w:hanging="360"/>
      </w:pPr>
      <w:rPr>
        <w:rFonts w:hint="default"/>
        <w:lang w:val="en-US" w:eastAsia="en-US" w:bidi="ar-SA"/>
      </w:rPr>
    </w:lvl>
    <w:lvl w:ilvl="6" w:tplc="20D018A2">
      <w:numFmt w:val="bullet"/>
      <w:lvlText w:val="•"/>
      <w:lvlJc w:val="left"/>
      <w:pPr>
        <w:ind w:left="5739" w:hanging="360"/>
      </w:pPr>
      <w:rPr>
        <w:rFonts w:hint="default"/>
        <w:lang w:val="en-US" w:eastAsia="en-US" w:bidi="ar-SA"/>
      </w:rPr>
    </w:lvl>
    <w:lvl w:ilvl="7" w:tplc="5A10727E">
      <w:numFmt w:val="bullet"/>
      <w:lvlText w:val="•"/>
      <w:lvlJc w:val="left"/>
      <w:pPr>
        <w:ind w:left="6572" w:hanging="360"/>
      </w:pPr>
      <w:rPr>
        <w:rFonts w:hint="default"/>
        <w:lang w:val="en-US" w:eastAsia="en-US" w:bidi="ar-SA"/>
      </w:rPr>
    </w:lvl>
    <w:lvl w:ilvl="8" w:tplc="AD007B16">
      <w:numFmt w:val="bullet"/>
      <w:lvlText w:val="•"/>
      <w:lvlJc w:val="left"/>
      <w:pPr>
        <w:ind w:left="7405" w:hanging="360"/>
      </w:pPr>
      <w:rPr>
        <w:rFonts w:hint="default"/>
        <w:lang w:val="en-US" w:eastAsia="en-US" w:bidi="ar-SA"/>
      </w:rPr>
    </w:lvl>
  </w:abstractNum>
  <w:abstractNum w:abstractNumId="4" w15:restartNumberingAfterBreak="0">
    <w:nsid w:val="03D40332"/>
    <w:multiLevelType w:val="hybridMultilevel"/>
    <w:tmpl w:val="81367564"/>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131BF9"/>
    <w:multiLevelType w:val="hybridMultilevel"/>
    <w:tmpl w:val="6AA22340"/>
    <w:lvl w:ilvl="0" w:tplc="10090011">
      <w:start w:val="1"/>
      <w:numFmt w:val="decimal"/>
      <w:lvlText w:val="%1)"/>
      <w:lvlJc w:val="left"/>
      <w:pPr>
        <w:ind w:left="720" w:hanging="360"/>
      </w:pPr>
    </w:lvl>
    <w:lvl w:ilvl="1" w:tplc="B4E8A50E">
      <w:numFmt w:val="bullet"/>
      <w:lvlText w:val=""/>
      <w:lvlJc w:val="left"/>
      <w:pPr>
        <w:ind w:left="1440" w:hanging="360"/>
      </w:pPr>
      <w:rPr>
        <w:rFonts w:ascii="Symbol" w:eastAsia="Times New Roman" w:hAnsi="Symbol"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59474FE"/>
    <w:multiLevelType w:val="hybridMultilevel"/>
    <w:tmpl w:val="F99C9190"/>
    <w:lvl w:ilvl="0" w:tplc="AE3EED14">
      <w:numFmt w:val="bullet"/>
      <w:lvlText w:val=""/>
      <w:lvlJc w:val="left"/>
      <w:pPr>
        <w:ind w:left="743" w:hanging="360"/>
      </w:pPr>
      <w:rPr>
        <w:rFonts w:ascii="Wingdings" w:eastAsia="Wingdings" w:hAnsi="Wingdings" w:cs="Wingdings" w:hint="default"/>
        <w:spacing w:val="0"/>
        <w:w w:val="100"/>
        <w:lang w:val="en-US" w:eastAsia="en-US" w:bidi="ar-SA"/>
      </w:rPr>
    </w:lvl>
    <w:lvl w:ilvl="1" w:tplc="DC7E6BB0">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2" w:tplc="D2B4D7DE">
      <w:numFmt w:val="bullet"/>
      <w:lvlText w:val="•"/>
      <w:lvlJc w:val="left"/>
      <w:pPr>
        <w:ind w:left="1460" w:hanging="360"/>
      </w:pPr>
      <w:rPr>
        <w:rFonts w:hint="default"/>
        <w:lang w:val="en-US" w:eastAsia="en-US" w:bidi="ar-SA"/>
      </w:rPr>
    </w:lvl>
    <w:lvl w:ilvl="3" w:tplc="1E749C18">
      <w:numFmt w:val="bullet"/>
      <w:lvlText w:val="•"/>
      <w:lvlJc w:val="left"/>
      <w:pPr>
        <w:ind w:left="2411" w:hanging="360"/>
      </w:pPr>
      <w:rPr>
        <w:rFonts w:hint="default"/>
        <w:lang w:val="en-US" w:eastAsia="en-US" w:bidi="ar-SA"/>
      </w:rPr>
    </w:lvl>
    <w:lvl w:ilvl="4" w:tplc="EC02B4DA">
      <w:numFmt w:val="bullet"/>
      <w:lvlText w:val="•"/>
      <w:lvlJc w:val="left"/>
      <w:pPr>
        <w:ind w:left="3363" w:hanging="360"/>
      </w:pPr>
      <w:rPr>
        <w:rFonts w:hint="default"/>
        <w:lang w:val="en-US" w:eastAsia="en-US" w:bidi="ar-SA"/>
      </w:rPr>
    </w:lvl>
    <w:lvl w:ilvl="5" w:tplc="877AC3F6">
      <w:numFmt w:val="bullet"/>
      <w:lvlText w:val="•"/>
      <w:lvlJc w:val="left"/>
      <w:pPr>
        <w:ind w:left="4314" w:hanging="360"/>
      </w:pPr>
      <w:rPr>
        <w:rFonts w:hint="default"/>
        <w:lang w:val="en-US" w:eastAsia="en-US" w:bidi="ar-SA"/>
      </w:rPr>
    </w:lvl>
    <w:lvl w:ilvl="6" w:tplc="41E45540">
      <w:numFmt w:val="bullet"/>
      <w:lvlText w:val="•"/>
      <w:lvlJc w:val="left"/>
      <w:pPr>
        <w:ind w:left="5266" w:hanging="360"/>
      </w:pPr>
      <w:rPr>
        <w:rFonts w:hint="default"/>
        <w:lang w:val="en-US" w:eastAsia="en-US" w:bidi="ar-SA"/>
      </w:rPr>
    </w:lvl>
    <w:lvl w:ilvl="7" w:tplc="0F16FDB0">
      <w:numFmt w:val="bullet"/>
      <w:lvlText w:val="•"/>
      <w:lvlJc w:val="left"/>
      <w:pPr>
        <w:ind w:left="6217" w:hanging="360"/>
      </w:pPr>
      <w:rPr>
        <w:rFonts w:hint="default"/>
        <w:lang w:val="en-US" w:eastAsia="en-US" w:bidi="ar-SA"/>
      </w:rPr>
    </w:lvl>
    <w:lvl w:ilvl="8" w:tplc="EA16F600">
      <w:numFmt w:val="bullet"/>
      <w:lvlText w:val="•"/>
      <w:lvlJc w:val="left"/>
      <w:pPr>
        <w:ind w:left="7169" w:hanging="360"/>
      </w:pPr>
      <w:rPr>
        <w:rFonts w:hint="default"/>
        <w:lang w:val="en-US" w:eastAsia="en-US" w:bidi="ar-SA"/>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A84312"/>
    <w:multiLevelType w:val="hybridMultilevel"/>
    <w:tmpl w:val="845C5D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C0C09D3"/>
    <w:multiLevelType w:val="hybridMultilevel"/>
    <w:tmpl w:val="4EB2839C"/>
    <w:lvl w:ilvl="0" w:tplc="10090011">
      <w:start w:val="1"/>
      <w:numFmt w:val="decimal"/>
      <w:lvlText w:val="%1)"/>
      <w:lvlJc w:val="left"/>
      <w:pPr>
        <w:ind w:left="23" w:hanging="720"/>
      </w:pPr>
      <w:rPr>
        <w:rFonts w:hint="default"/>
        <w:b w:val="0"/>
        <w:bCs w:val="0"/>
        <w:i w:val="0"/>
        <w:iCs w:val="0"/>
        <w:spacing w:val="0"/>
        <w:w w:val="100"/>
        <w:sz w:val="24"/>
        <w:szCs w:val="24"/>
        <w:lang w:val="en-US" w:eastAsia="en-US" w:bidi="ar-SA"/>
      </w:rPr>
    </w:lvl>
    <w:lvl w:ilvl="1" w:tplc="FFFFFFFF">
      <w:numFmt w:val="bullet"/>
      <w:lvlText w:val="•"/>
      <w:lvlJc w:val="left"/>
      <w:pPr>
        <w:ind w:left="925" w:hanging="720"/>
      </w:pPr>
      <w:rPr>
        <w:rFonts w:hint="default"/>
        <w:lang w:val="en-US" w:eastAsia="en-US" w:bidi="ar-SA"/>
      </w:rPr>
    </w:lvl>
    <w:lvl w:ilvl="2" w:tplc="FFFFFFFF">
      <w:numFmt w:val="bullet"/>
      <w:lvlText w:val="•"/>
      <w:lvlJc w:val="left"/>
      <w:pPr>
        <w:ind w:left="1830" w:hanging="720"/>
      </w:pPr>
      <w:rPr>
        <w:rFonts w:hint="default"/>
        <w:lang w:val="en-US" w:eastAsia="en-US" w:bidi="ar-SA"/>
      </w:rPr>
    </w:lvl>
    <w:lvl w:ilvl="3" w:tplc="FFFFFFFF">
      <w:numFmt w:val="bullet"/>
      <w:lvlText w:val="•"/>
      <w:lvlJc w:val="left"/>
      <w:pPr>
        <w:ind w:left="2735" w:hanging="720"/>
      </w:pPr>
      <w:rPr>
        <w:rFonts w:hint="default"/>
        <w:lang w:val="en-US" w:eastAsia="en-US" w:bidi="ar-SA"/>
      </w:rPr>
    </w:lvl>
    <w:lvl w:ilvl="4" w:tplc="FFFFFFFF">
      <w:numFmt w:val="bullet"/>
      <w:lvlText w:val="•"/>
      <w:lvlJc w:val="left"/>
      <w:pPr>
        <w:ind w:left="3640" w:hanging="720"/>
      </w:pPr>
      <w:rPr>
        <w:rFonts w:hint="default"/>
        <w:lang w:val="en-US" w:eastAsia="en-US" w:bidi="ar-SA"/>
      </w:rPr>
    </w:lvl>
    <w:lvl w:ilvl="5" w:tplc="FFFFFFFF">
      <w:numFmt w:val="bullet"/>
      <w:lvlText w:val="•"/>
      <w:lvlJc w:val="left"/>
      <w:pPr>
        <w:ind w:left="4546" w:hanging="720"/>
      </w:pPr>
      <w:rPr>
        <w:rFonts w:hint="default"/>
        <w:lang w:val="en-US" w:eastAsia="en-US" w:bidi="ar-SA"/>
      </w:rPr>
    </w:lvl>
    <w:lvl w:ilvl="6" w:tplc="FFFFFFFF">
      <w:numFmt w:val="bullet"/>
      <w:lvlText w:val="•"/>
      <w:lvlJc w:val="left"/>
      <w:pPr>
        <w:ind w:left="5451" w:hanging="720"/>
      </w:pPr>
      <w:rPr>
        <w:rFonts w:hint="default"/>
        <w:lang w:val="en-US" w:eastAsia="en-US" w:bidi="ar-SA"/>
      </w:rPr>
    </w:lvl>
    <w:lvl w:ilvl="7" w:tplc="FFFFFFFF">
      <w:numFmt w:val="bullet"/>
      <w:lvlText w:val="•"/>
      <w:lvlJc w:val="left"/>
      <w:pPr>
        <w:ind w:left="6356" w:hanging="720"/>
      </w:pPr>
      <w:rPr>
        <w:rFonts w:hint="default"/>
        <w:lang w:val="en-US" w:eastAsia="en-US" w:bidi="ar-SA"/>
      </w:rPr>
    </w:lvl>
    <w:lvl w:ilvl="8" w:tplc="FFFFFFFF">
      <w:numFmt w:val="bullet"/>
      <w:lvlText w:val="•"/>
      <w:lvlJc w:val="left"/>
      <w:pPr>
        <w:ind w:left="7261" w:hanging="720"/>
      </w:pPr>
      <w:rPr>
        <w:rFonts w:hint="default"/>
        <w:lang w:val="en-US" w:eastAsia="en-US" w:bidi="ar-SA"/>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0E4611A"/>
    <w:multiLevelType w:val="hybridMultilevel"/>
    <w:tmpl w:val="C10687DA"/>
    <w:lvl w:ilvl="0" w:tplc="4DFAEF38">
      <w:start w:val="1"/>
      <w:numFmt w:val="decimal"/>
      <w:lvlText w:val="%1."/>
      <w:lvlJc w:val="left"/>
      <w:pPr>
        <w:ind w:left="2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AF086D4">
      <w:numFmt w:val="bullet"/>
      <w:lvlText w:val="•"/>
      <w:lvlJc w:val="left"/>
      <w:pPr>
        <w:ind w:left="925" w:hanging="720"/>
      </w:pPr>
      <w:rPr>
        <w:rFonts w:hint="default"/>
        <w:lang w:val="en-US" w:eastAsia="en-US" w:bidi="ar-SA"/>
      </w:rPr>
    </w:lvl>
    <w:lvl w:ilvl="2" w:tplc="E77AC2FC">
      <w:numFmt w:val="bullet"/>
      <w:lvlText w:val="•"/>
      <w:lvlJc w:val="left"/>
      <w:pPr>
        <w:ind w:left="1830" w:hanging="720"/>
      </w:pPr>
      <w:rPr>
        <w:rFonts w:hint="default"/>
        <w:lang w:val="en-US" w:eastAsia="en-US" w:bidi="ar-SA"/>
      </w:rPr>
    </w:lvl>
    <w:lvl w:ilvl="3" w:tplc="E324923E">
      <w:numFmt w:val="bullet"/>
      <w:lvlText w:val="•"/>
      <w:lvlJc w:val="left"/>
      <w:pPr>
        <w:ind w:left="2735" w:hanging="720"/>
      </w:pPr>
      <w:rPr>
        <w:rFonts w:hint="default"/>
        <w:lang w:val="en-US" w:eastAsia="en-US" w:bidi="ar-SA"/>
      </w:rPr>
    </w:lvl>
    <w:lvl w:ilvl="4" w:tplc="01C0828A">
      <w:numFmt w:val="bullet"/>
      <w:lvlText w:val="•"/>
      <w:lvlJc w:val="left"/>
      <w:pPr>
        <w:ind w:left="3640" w:hanging="720"/>
      </w:pPr>
      <w:rPr>
        <w:rFonts w:hint="default"/>
        <w:lang w:val="en-US" w:eastAsia="en-US" w:bidi="ar-SA"/>
      </w:rPr>
    </w:lvl>
    <w:lvl w:ilvl="5" w:tplc="53D0DEB2">
      <w:numFmt w:val="bullet"/>
      <w:lvlText w:val="•"/>
      <w:lvlJc w:val="left"/>
      <w:pPr>
        <w:ind w:left="4546" w:hanging="720"/>
      </w:pPr>
      <w:rPr>
        <w:rFonts w:hint="default"/>
        <w:lang w:val="en-US" w:eastAsia="en-US" w:bidi="ar-SA"/>
      </w:rPr>
    </w:lvl>
    <w:lvl w:ilvl="6" w:tplc="033C6D38">
      <w:numFmt w:val="bullet"/>
      <w:lvlText w:val="•"/>
      <w:lvlJc w:val="left"/>
      <w:pPr>
        <w:ind w:left="5451" w:hanging="720"/>
      </w:pPr>
      <w:rPr>
        <w:rFonts w:hint="default"/>
        <w:lang w:val="en-US" w:eastAsia="en-US" w:bidi="ar-SA"/>
      </w:rPr>
    </w:lvl>
    <w:lvl w:ilvl="7" w:tplc="812CD692">
      <w:numFmt w:val="bullet"/>
      <w:lvlText w:val="•"/>
      <w:lvlJc w:val="left"/>
      <w:pPr>
        <w:ind w:left="6356" w:hanging="720"/>
      </w:pPr>
      <w:rPr>
        <w:rFonts w:hint="default"/>
        <w:lang w:val="en-US" w:eastAsia="en-US" w:bidi="ar-SA"/>
      </w:rPr>
    </w:lvl>
    <w:lvl w:ilvl="8" w:tplc="3EC6B290">
      <w:numFmt w:val="bullet"/>
      <w:lvlText w:val="•"/>
      <w:lvlJc w:val="left"/>
      <w:pPr>
        <w:ind w:left="7261" w:hanging="720"/>
      </w:pPr>
      <w:rPr>
        <w:rFonts w:hint="default"/>
        <w:lang w:val="en-US" w:eastAsia="en-US" w:bidi="ar-SA"/>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2FE08C0"/>
    <w:multiLevelType w:val="hybridMultilevel"/>
    <w:tmpl w:val="E2FA348A"/>
    <w:lvl w:ilvl="0" w:tplc="FC607B4A">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65BA1840">
      <w:numFmt w:val="bullet"/>
      <w:lvlText w:val="•"/>
      <w:lvlJc w:val="left"/>
      <w:pPr>
        <w:ind w:left="1573" w:hanging="360"/>
      </w:pPr>
      <w:rPr>
        <w:rFonts w:hint="default"/>
        <w:lang w:val="en-US" w:eastAsia="en-US" w:bidi="ar-SA"/>
      </w:rPr>
    </w:lvl>
    <w:lvl w:ilvl="2" w:tplc="CCC660D8">
      <w:numFmt w:val="bullet"/>
      <w:lvlText w:val="•"/>
      <w:lvlJc w:val="left"/>
      <w:pPr>
        <w:ind w:left="2406" w:hanging="360"/>
      </w:pPr>
      <w:rPr>
        <w:rFonts w:hint="default"/>
        <w:lang w:val="en-US" w:eastAsia="en-US" w:bidi="ar-SA"/>
      </w:rPr>
    </w:lvl>
    <w:lvl w:ilvl="3" w:tplc="A1E430C0">
      <w:numFmt w:val="bullet"/>
      <w:lvlText w:val="•"/>
      <w:lvlJc w:val="left"/>
      <w:pPr>
        <w:ind w:left="3239" w:hanging="360"/>
      </w:pPr>
      <w:rPr>
        <w:rFonts w:hint="default"/>
        <w:lang w:val="en-US" w:eastAsia="en-US" w:bidi="ar-SA"/>
      </w:rPr>
    </w:lvl>
    <w:lvl w:ilvl="4" w:tplc="7F1A6716">
      <w:numFmt w:val="bullet"/>
      <w:lvlText w:val="•"/>
      <w:lvlJc w:val="left"/>
      <w:pPr>
        <w:ind w:left="4072" w:hanging="360"/>
      </w:pPr>
      <w:rPr>
        <w:rFonts w:hint="default"/>
        <w:lang w:val="en-US" w:eastAsia="en-US" w:bidi="ar-SA"/>
      </w:rPr>
    </w:lvl>
    <w:lvl w:ilvl="5" w:tplc="1B003FD2">
      <w:numFmt w:val="bullet"/>
      <w:lvlText w:val="•"/>
      <w:lvlJc w:val="left"/>
      <w:pPr>
        <w:ind w:left="4906" w:hanging="360"/>
      </w:pPr>
      <w:rPr>
        <w:rFonts w:hint="default"/>
        <w:lang w:val="en-US" w:eastAsia="en-US" w:bidi="ar-SA"/>
      </w:rPr>
    </w:lvl>
    <w:lvl w:ilvl="6" w:tplc="D2164EA2">
      <w:numFmt w:val="bullet"/>
      <w:lvlText w:val="•"/>
      <w:lvlJc w:val="left"/>
      <w:pPr>
        <w:ind w:left="5739" w:hanging="360"/>
      </w:pPr>
      <w:rPr>
        <w:rFonts w:hint="default"/>
        <w:lang w:val="en-US" w:eastAsia="en-US" w:bidi="ar-SA"/>
      </w:rPr>
    </w:lvl>
    <w:lvl w:ilvl="7" w:tplc="1C88D114">
      <w:numFmt w:val="bullet"/>
      <w:lvlText w:val="•"/>
      <w:lvlJc w:val="left"/>
      <w:pPr>
        <w:ind w:left="6572" w:hanging="360"/>
      </w:pPr>
      <w:rPr>
        <w:rFonts w:hint="default"/>
        <w:lang w:val="en-US" w:eastAsia="en-US" w:bidi="ar-SA"/>
      </w:rPr>
    </w:lvl>
    <w:lvl w:ilvl="8" w:tplc="66287530">
      <w:numFmt w:val="bullet"/>
      <w:lvlText w:val="•"/>
      <w:lvlJc w:val="left"/>
      <w:pPr>
        <w:ind w:left="7405" w:hanging="360"/>
      </w:pPr>
      <w:rPr>
        <w:rFonts w:hint="default"/>
        <w:lang w:val="en-US" w:eastAsia="en-US" w:bidi="ar-SA"/>
      </w:rPr>
    </w:lvl>
  </w:abstractNum>
  <w:abstractNum w:abstractNumId="25" w15:restartNumberingAfterBreak="0">
    <w:nsid w:val="3CE60CA3"/>
    <w:multiLevelType w:val="hybridMultilevel"/>
    <w:tmpl w:val="0632233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78D1F88"/>
    <w:multiLevelType w:val="hybridMultilevel"/>
    <w:tmpl w:val="98DA8A54"/>
    <w:lvl w:ilvl="0" w:tplc="295CF51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7AFCAF7A">
      <w:numFmt w:val="bullet"/>
      <w:lvlText w:val="•"/>
      <w:lvlJc w:val="left"/>
      <w:pPr>
        <w:ind w:left="1573" w:hanging="360"/>
      </w:pPr>
      <w:rPr>
        <w:rFonts w:hint="default"/>
        <w:lang w:val="en-US" w:eastAsia="en-US" w:bidi="ar-SA"/>
      </w:rPr>
    </w:lvl>
    <w:lvl w:ilvl="2" w:tplc="60E6DEB8">
      <w:numFmt w:val="bullet"/>
      <w:lvlText w:val="•"/>
      <w:lvlJc w:val="left"/>
      <w:pPr>
        <w:ind w:left="2406" w:hanging="360"/>
      </w:pPr>
      <w:rPr>
        <w:rFonts w:hint="default"/>
        <w:lang w:val="en-US" w:eastAsia="en-US" w:bidi="ar-SA"/>
      </w:rPr>
    </w:lvl>
    <w:lvl w:ilvl="3" w:tplc="FDEE2712">
      <w:numFmt w:val="bullet"/>
      <w:lvlText w:val="•"/>
      <w:lvlJc w:val="left"/>
      <w:pPr>
        <w:ind w:left="3239" w:hanging="360"/>
      </w:pPr>
      <w:rPr>
        <w:rFonts w:hint="default"/>
        <w:lang w:val="en-US" w:eastAsia="en-US" w:bidi="ar-SA"/>
      </w:rPr>
    </w:lvl>
    <w:lvl w:ilvl="4" w:tplc="4ABA191E">
      <w:numFmt w:val="bullet"/>
      <w:lvlText w:val="•"/>
      <w:lvlJc w:val="left"/>
      <w:pPr>
        <w:ind w:left="4072" w:hanging="360"/>
      </w:pPr>
      <w:rPr>
        <w:rFonts w:hint="default"/>
        <w:lang w:val="en-US" w:eastAsia="en-US" w:bidi="ar-SA"/>
      </w:rPr>
    </w:lvl>
    <w:lvl w:ilvl="5" w:tplc="0C8CC6DE">
      <w:numFmt w:val="bullet"/>
      <w:lvlText w:val="•"/>
      <w:lvlJc w:val="left"/>
      <w:pPr>
        <w:ind w:left="4906" w:hanging="360"/>
      </w:pPr>
      <w:rPr>
        <w:rFonts w:hint="default"/>
        <w:lang w:val="en-US" w:eastAsia="en-US" w:bidi="ar-SA"/>
      </w:rPr>
    </w:lvl>
    <w:lvl w:ilvl="6" w:tplc="B7EC657C">
      <w:numFmt w:val="bullet"/>
      <w:lvlText w:val="•"/>
      <w:lvlJc w:val="left"/>
      <w:pPr>
        <w:ind w:left="5739" w:hanging="360"/>
      </w:pPr>
      <w:rPr>
        <w:rFonts w:hint="default"/>
        <w:lang w:val="en-US" w:eastAsia="en-US" w:bidi="ar-SA"/>
      </w:rPr>
    </w:lvl>
    <w:lvl w:ilvl="7" w:tplc="C3449406">
      <w:numFmt w:val="bullet"/>
      <w:lvlText w:val="•"/>
      <w:lvlJc w:val="left"/>
      <w:pPr>
        <w:ind w:left="6572" w:hanging="360"/>
      </w:pPr>
      <w:rPr>
        <w:rFonts w:hint="default"/>
        <w:lang w:val="en-US" w:eastAsia="en-US" w:bidi="ar-SA"/>
      </w:rPr>
    </w:lvl>
    <w:lvl w:ilvl="8" w:tplc="3B6AA2B8">
      <w:numFmt w:val="bullet"/>
      <w:lvlText w:val="•"/>
      <w:lvlJc w:val="left"/>
      <w:pPr>
        <w:ind w:left="7405" w:hanging="360"/>
      </w:pPr>
      <w:rPr>
        <w:rFonts w:hint="default"/>
        <w:lang w:val="en-US" w:eastAsia="en-US" w:bidi="ar-SA"/>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030785A"/>
    <w:multiLevelType w:val="hybridMultilevel"/>
    <w:tmpl w:val="66E27DAC"/>
    <w:lvl w:ilvl="0" w:tplc="FB7A337C">
      <w:start w:val="7"/>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9" w15:restartNumberingAfterBreak="0">
    <w:nsid w:val="50993BEC"/>
    <w:multiLevelType w:val="hybridMultilevel"/>
    <w:tmpl w:val="09B6D8E6"/>
    <w:lvl w:ilvl="0" w:tplc="EC52C30A">
      <w:start w:val="1"/>
      <w:numFmt w:val="decimal"/>
      <w:lvlText w:val="%1."/>
      <w:lvlJc w:val="left"/>
      <w:pPr>
        <w:ind w:left="383" w:hanging="360"/>
      </w:pPr>
      <w:rPr>
        <w:rFonts w:hint="default"/>
      </w:rPr>
    </w:lvl>
    <w:lvl w:ilvl="1" w:tplc="10090019" w:tentative="1">
      <w:start w:val="1"/>
      <w:numFmt w:val="lowerLetter"/>
      <w:lvlText w:val="%2."/>
      <w:lvlJc w:val="left"/>
      <w:pPr>
        <w:ind w:left="1103" w:hanging="360"/>
      </w:pPr>
    </w:lvl>
    <w:lvl w:ilvl="2" w:tplc="1009001B" w:tentative="1">
      <w:start w:val="1"/>
      <w:numFmt w:val="lowerRoman"/>
      <w:lvlText w:val="%3."/>
      <w:lvlJc w:val="right"/>
      <w:pPr>
        <w:ind w:left="1823" w:hanging="180"/>
      </w:pPr>
    </w:lvl>
    <w:lvl w:ilvl="3" w:tplc="1009000F" w:tentative="1">
      <w:start w:val="1"/>
      <w:numFmt w:val="decimal"/>
      <w:lvlText w:val="%4."/>
      <w:lvlJc w:val="left"/>
      <w:pPr>
        <w:ind w:left="2543" w:hanging="360"/>
      </w:pPr>
    </w:lvl>
    <w:lvl w:ilvl="4" w:tplc="10090019" w:tentative="1">
      <w:start w:val="1"/>
      <w:numFmt w:val="lowerLetter"/>
      <w:lvlText w:val="%5."/>
      <w:lvlJc w:val="left"/>
      <w:pPr>
        <w:ind w:left="3263" w:hanging="360"/>
      </w:pPr>
    </w:lvl>
    <w:lvl w:ilvl="5" w:tplc="1009001B" w:tentative="1">
      <w:start w:val="1"/>
      <w:numFmt w:val="lowerRoman"/>
      <w:lvlText w:val="%6."/>
      <w:lvlJc w:val="right"/>
      <w:pPr>
        <w:ind w:left="3983" w:hanging="180"/>
      </w:pPr>
    </w:lvl>
    <w:lvl w:ilvl="6" w:tplc="1009000F" w:tentative="1">
      <w:start w:val="1"/>
      <w:numFmt w:val="decimal"/>
      <w:lvlText w:val="%7."/>
      <w:lvlJc w:val="left"/>
      <w:pPr>
        <w:ind w:left="4703" w:hanging="360"/>
      </w:pPr>
    </w:lvl>
    <w:lvl w:ilvl="7" w:tplc="10090019" w:tentative="1">
      <w:start w:val="1"/>
      <w:numFmt w:val="lowerLetter"/>
      <w:lvlText w:val="%8."/>
      <w:lvlJc w:val="left"/>
      <w:pPr>
        <w:ind w:left="5423" w:hanging="360"/>
      </w:pPr>
    </w:lvl>
    <w:lvl w:ilvl="8" w:tplc="1009001B" w:tentative="1">
      <w:start w:val="1"/>
      <w:numFmt w:val="lowerRoman"/>
      <w:lvlText w:val="%9."/>
      <w:lvlJc w:val="right"/>
      <w:pPr>
        <w:ind w:left="6143" w:hanging="18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EB045"/>
    <w:multiLevelType w:val="hybridMultilevel"/>
    <w:tmpl w:val="7479FB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82D63E5"/>
    <w:multiLevelType w:val="hybridMultilevel"/>
    <w:tmpl w:val="1A162330"/>
    <w:lvl w:ilvl="0" w:tplc="5C1AE1EC">
      <w:start w:val="2"/>
      <w:numFmt w:val="decimal"/>
      <w:lvlText w:val="%1."/>
      <w:lvlJc w:val="left"/>
      <w:pPr>
        <w:ind w:left="74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CC78C220">
      <w:numFmt w:val="bullet"/>
      <w:lvlText w:val="o"/>
      <w:lvlJc w:val="left"/>
      <w:pPr>
        <w:ind w:left="952" w:hanging="360"/>
      </w:pPr>
      <w:rPr>
        <w:rFonts w:ascii="Courier New" w:eastAsia="Courier New" w:hAnsi="Courier New" w:cs="Courier New" w:hint="default"/>
        <w:b w:val="0"/>
        <w:bCs w:val="0"/>
        <w:i w:val="0"/>
        <w:iCs w:val="0"/>
        <w:spacing w:val="0"/>
        <w:w w:val="99"/>
        <w:sz w:val="20"/>
        <w:szCs w:val="20"/>
        <w:lang w:val="en-US" w:eastAsia="en-US" w:bidi="ar-SA"/>
      </w:rPr>
    </w:lvl>
    <w:lvl w:ilvl="2" w:tplc="0178BC6A">
      <w:numFmt w:val="bullet"/>
      <w:lvlText w:val="•"/>
      <w:lvlJc w:val="left"/>
      <w:pPr>
        <w:ind w:left="1861" w:hanging="360"/>
      </w:pPr>
      <w:rPr>
        <w:rFonts w:hint="default"/>
        <w:lang w:val="en-US" w:eastAsia="en-US" w:bidi="ar-SA"/>
      </w:rPr>
    </w:lvl>
    <w:lvl w:ilvl="3" w:tplc="CFAA2A34">
      <w:numFmt w:val="bullet"/>
      <w:lvlText w:val="•"/>
      <w:lvlJc w:val="left"/>
      <w:pPr>
        <w:ind w:left="2762" w:hanging="360"/>
      </w:pPr>
      <w:rPr>
        <w:rFonts w:hint="default"/>
        <w:lang w:val="en-US" w:eastAsia="en-US" w:bidi="ar-SA"/>
      </w:rPr>
    </w:lvl>
    <w:lvl w:ilvl="4" w:tplc="72161D22">
      <w:numFmt w:val="bullet"/>
      <w:lvlText w:val="•"/>
      <w:lvlJc w:val="left"/>
      <w:pPr>
        <w:ind w:left="3664" w:hanging="360"/>
      </w:pPr>
      <w:rPr>
        <w:rFonts w:hint="default"/>
        <w:lang w:val="en-US" w:eastAsia="en-US" w:bidi="ar-SA"/>
      </w:rPr>
    </w:lvl>
    <w:lvl w:ilvl="5" w:tplc="E78CA64A">
      <w:numFmt w:val="bullet"/>
      <w:lvlText w:val="•"/>
      <w:lvlJc w:val="left"/>
      <w:pPr>
        <w:ind w:left="4565" w:hanging="360"/>
      </w:pPr>
      <w:rPr>
        <w:rFonts w:hint="default"/>
        <w:lang w:val="en-US" w:eastAsia="en-US" w:bidi="ar-SA"/>
      </w:rPr>
    </w:lvl>
    <w:lvl w:ilvl="6" w:tplc="D0BC568E">
      <w:numFmt w:val="bullet"/>
      <w:lvlText w:val="•"/>
      <w:lvlJc w:val="left"/>
      <w:pPr>
        <w:ind w:left="5466" w:hanging="360"/>
      </w:pPr>
      <w:rPr>
        <w:rFonts w:hint="default"/>
        <w:lang w:val="en-US" w:eastAsia="en-US" w:bidi="ar-SA"/>
      </w:rPr>
    </w:lvl>
    <w:lvl w:ilvl="7" w:tplc="0952FD00">
      <w:numFmt w:val="bullet"/>
      <w:lvlText w:val="•"/>
      <w:lvlJc w:val="left"/>
      <w:pPr>
        <w:ind w:left="6368" w:hanging="360"/>
      </w:pPr>
      <w:rPr>
        <w:rFonts w:hint="default"/>
        <w:lang w:val="en-US" w:eastAsia="en-US" w:bidi="ar-SA"/>
      </w:rPr>
    </w:lvl>
    <w:lvl w:ilvl="8" w:tplc="895C112C">
      <w:numFmt w:val="bullet"/>
      <w:lvlText w:val="•"/>
      <w:lvlJc w:val="left"/>
      <w:pPr>
        <w:ind w:left="7269" w:hanging="360"/>
      </w:pPr>
      <w:rPr>
        <w:rFonts w:hint="default"/>
        <w:lang w:val="en-US" w:eastAsia="en-US" w:bidi="ar-SA"/>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1DA179D"/>
    <w:multiLevelType w:val="hybridMultilevel"/>
    <w:tmpl w:val="481A72C0"/>
    <w:lvl w:ilvl="0" w:tplc="9F3435D6">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9D92853C">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C0340F94">
      <w:numFmt w:val="bullet"/>
      <w:lvlText w:val="•"/>
      <w:lvlJc w:val="left"/>
      <w:pPr>
        <w:ind w:left="2305" w:hanging="360"/>
      </w:pPr>
      <w:rPr>
        <w:rFonts w:hint="default"/>
        <w:lang w:val="en-US" w:eastAsia="en-US" w:bidi="ar-SA"/>
      </w:rPr>
    </w:lvl>
    <w:lvl w:ilvl="3" w:tplc="DBD06A9C">
      <w:numFmt w:val="bullet"/>
      <w:lvlText w:val="•"/>
      <w:lvlJc w:val="left"/>
      <w:pPr>
        <w:ind w:left="3151" w:hanging="360"/>
      </w:pPr>
      <w:rPr>
        <w:rFonts w:hint="default"/>
        <w:lang w:val="en-US" w:eastAsia="en-US" w:bidi="ar-SA"/>
      </w:rPr>
    </w:lvl>
    <w:lvl w:ilvl="4" w:tplc="7D9E923A">
      <w:numFmt w:val="bullet"/>
      <w:lvlText w:val="•"/>
      <w:lvlJc w:val="left"/>
      <w:pPr>
        <w:ind w:left="3997" w:hanging="360"/>
      </w:pPr>
      <w:rPr>
        <w:rFonts w:hint="default"/>
        <w:lang w:val="en-US" w:eastAsia="en-US" w:bidi="ar-SA"/>
      </w:rPr>
    </w:lvl>
    <w:lvl w:ilvl="5" w:tplc="5C522ABE">
      <w:numFmt w:val="bullet"/>
      <w:lvlText w:val="•"/>
      <w:lvlJc w:val="left"/>
      <w:pPr>
        <w:ind w:left="4843" w:hanging="360"/>
      </w:pPr>
      <w:rPr>
        <w:rFonts w:hint="default"/>
        <w:lang w:val="en-US" w:eastAsia="en-US" w:bidi="ar-SA"/>
      </w:rPr>
    </w:lvl>
    <w:lvl w:ilvl="6" w:tplc="119833EA">
      <w:numFmt w:val="bullet"/>
      <w:lvlText w:val="•"/>
      <w:lvlJc w:val="left"/>
      <w:pPr>
        <w:ind w:left="5689" w:hanging="360"/>
      </w:pPr>
      <w:rPr>
        <w:rFonts w:hint="default"/>
        <w:lang w:val="en-US" w:eastAsia="en-US" w:bidi="ar-SA"/>
      </w:rPr>
    </w:lvl>
    <w:lvl w:ilvl="7" w:tplc="2722B024">
      <w:numFmt w:val="bullet"/>
      <w:lvlText w:val="•"/>
      <w:lvlJc w:val="left"/>
      <w:pPr>
        <w:ind w:left="6534" w:hanging="360"/>
      </w:pPr>
      <w:rPr>
        <w:rFonts w:hint="default"/>
        <w:lang w:val="en-US" w:eastAsia="en-US" w:bidi="ar-SA"/>
      </w:rPr>
    </w:lvl>
    <w:lvl w:ilvl="8" w:tplc="F7CCFC32">
      <w:numFmt w:val="bullet"/>
      <w:lvlText w:val="•"/>
      <w:lvlJc w:val="left"/>
      <w:pPr>
        <w:ind w:left="7380" w:hanging="360"/>
      </w:pPr>
      <w:rPr>
        <w:rFonts w:hint="default"/>
        <w:lang w:val="en-US" w:eastAsia="en-US" w:bidi="ar-SA"/>
      </w:r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3E31753"/>
    <w:multiLevelType w:val="hybridMultilevel"/>
    <w:tmpl w:val="DF344768"/>
    <w:lvl w:ilvl="0" w:tplc="D834F7FA">
      <w:start w:val="1"/>
      <w:numFmt w:val="decimal"/>
      <w:lvlText w:val="%1."/>
      <w:lvlJc w:val="left"/>
      <w:pPr>
        <w:ind w:left="304" w:hanging="281"/>
      </w:pPr>
      <w:rPr>
        <w:rFonts w:ascii="Times New Roman" w:eastAsia="Times New Roman" w:hAnsi="Times New Roman" w:cs="Times New Roman" w:hint="default"/>
        <w:b/>
        <w:bCs/>
        <w:i w:val="0"/>
        <w:iCs w:val="0"/>
        <w:spacing w:val="0"/>
        <w:w w:val="90"/>
        <w:sz w:val="28"/>
        <w:szCs w:val="28"/>
        <w:lang w:val="en-US" w:eastAsia="en-US" w:bidi="ar-SA"/>
      </w:rPr>
    </w:lvl>
    <w:lvl w:ilvl="1" w:tplc="EB0EF7E0">
      <w:numFmt w:val="bullet"/>
      <w:lvlText w:val="•"/>
      <w:lvlJc w:val="left"/>
      <w:pPr>
        <w:ind w:left="1177" w:hanging="281"/>
      </w:pPr>
      <w:rPr>
        <w:rFonts w:hint="default"/>
        <w:lang w:val="en-US" w:eastAsia="en-US" w:bidi="ar-SA"/>
      </w:rPr>
    </w:lvl>
    <w:lvl w:ilvl="2" w:tplc="FF109CB4">
      <w:numFmt w:val="bullet"/>
      <w:lvlText w:val="•"/>
      <w:lvlJc w:val="left"/>
      <w:pPr>
        <w:ind w:left="2054" w:hanging="281"/>
      </w:pPr>
      <w:rPr>
        <w:rFonts w:hint="default"/>
        <w:lang w:val="en-US" w:eastAsia="en-US" w:bidi="ar-SA"/>
      </w:rPr>
    </w:lvl>
    <w:lvl w:ilvl="3" w:tplc="52DC1330">
      <w:numFmt w:val="bullet"/>
      <w:lvlText w:val="•"/>
      <w:lvlJc w:val="left"/>
      <w:pPr>
        <w:ind w:left="2931" w:hanging="281"/>
      </w:pPr>
      <w:rPr>
        <w:rFonts w:hint="default"/>
        <w:lang w:val="en-US" w:eastAsia="en-US" w:bidi="ar-SA"/>
      </w:rPr>
    </w:lvl>
    <w:lvl w:ilvl="4" w:tplc="9CBC4390">
      <w:numFmt w:val="bullet"/>
      <w:lvlText w:val="•"/>
      <w:lvlJc w:val="left"/>
      <w:pPr>
        <w:ind w:left="3808" w:hanging="281"/>
      </w:pPr>
      <w:rPr>
        <w:rFonts w:hint="default"/>
        <w:lang w:val="en-US" w:eastAsia="en-US" w:bidi="ar-SA"/>
      </w:rPr>
    </w:lvl>
    <w:lvl w:ilvl="5" w:tplc="7BEA46F4">
      <w:numFmt w:val="bullet"/>
      <w:lvlText w:val="•"/>
      <w:lvlJc w:val="left"/>
      <w:pPr>
        <w:ind w:left="4686" w:hanging="281"/>
      </w:pPr>
      <w:rPr>
        <w:rFonts w:hint="default"/>
        <w:lang w:val="en-US" w:eastAsia="en-US" w:bidi="ar-SA"/>
      </w:rPr>
    </w:lvl>
    <w:lvl w:ilvl="6" w:tplc="770EE224">
      <w:numFmt w:val="bullet"/>
      <w:lvlText w:val="•"/>
      <w:lvlJc w:val="left"/>
      <w:pPr>
        <w:ind w:left="5563" w:hanging="281"/>
      </w:pPr>
      <w:rPr>
        <w:rFonts w:hint="default"/>
        <w:lang w:val="en-US" w:eastAsia="en-US" w:bidi="ar-SA"/>
      </w:rPr>
    </w:lvl>
    <w:lvl w:ilvl="7" w:tplc="0C5463D8">
      <w:numFmt w:val="bullet"/>
      <w:lvlText w:val="•"/>
      <w:lvlJc w:val="left"/>
      <w:pPr>
        <w:ind w:left="6440" w:hanging="281"/>
      </w:pPr>
      <w:rPr>
        <w:rFonts w:hint="default"/>
        <w:lang w:val="en-US" w:eastAsia="en-US" w:bidi="ar-SA"/>
      </w:rPr>
    </w:lvl>
    <w:lvl w:ilvl="8" w:tplc="EF86980C">
      <w:numFmt w:val="bullet"/>
      <w:lvlText w:val="•"/>
      <w:lvlJc w:val="left"/>
      <w:pPr>
        <w:ind w:left="7317" w:hanging="281"/>
      </w:pPr>
      <w:rPr>
        <w:rFonts w:hint="default"/>
        <w:lang w:val="en-US" w:eastAsia="en-US" w:bidi="ar-SA"/>
      </w:r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11"/>
  </w:num>
  <w:num w:numId="7">
    <w:abstractNumId w:val="5"/>
  </w:num>
  <w:num w:numId="8">
    <w:abstractNumId w:val="20"/>
  </w:num>
  <w:num w:numId="9">
    <w:abstractNumId w:val="43"/>
  </w:num>
  <w:num w:numId="10">
    <w:abstractNumId w:val="6"/>
  </w:num>
  <w:num w:numId="11">
    <w:abstractNumId w:val="34"/>
  </w:num>
  <w:num w:numId="12">
    <w:abstractNumId w:val="8"/>
  </w:num>
  <w:num w:numId="13">
    <w:abstractNumId w:val="32"/>
  </w:num>
  <w:num w:numId="14">
    <w:abstractNumId w:val="14"/>
  </w:num>
  <w:num w:numId="15">
    <w:abstractNumId w:val="38"/>
  </w:num>
  <w:num w:numId="16">
    <w:abstractNumId w:val="10"/>
  </w:num>
  <w:num w:numId="17">
    <w:abstractNumId w:val="40"/>
  </w:num>
  <w:num w:numId="18">
    <w:abstractNumId w:val="23"/>
  </w:num>
  <w:num w:numId="19">
    <w:abstractNumId w:val="46"/>
  </w:num>
  <w:num w:numId="20">
    <w:abstractNumId w:val="18"/>
  </w:num>
  <w:num w:numId="21">
    <w:abstractNumId w:val="15"/>
  </w:num>
  <w:num w:numId="22">
    <w:abstractNumId w:val="21"/>
  </w:num>
  <w:num w:numId="23">
    <w:abstractNumId w:val="35"/>
  </w:num>
  <w:num w:numId="24">
    <w:abstractNumId w:val="44"/>
  </w:num>
  <w:num w:numId="25">
    <w:abstractNumId w:val="9"/>
  </w:num>
  <w:num w:numId="26">
    <w:abstractNumId w:val="30"/>
  </w:num>
  <w:num w:numId="27">
    <w:abstractNumId w:val="37"/>
  </w:num>
  <w:num w:numId="28">
    <w:abstractNumId w:val="45"/>
  </w:num>
  <w:num w:numId="29">
    <w:abstractNumId w:val="42"/>
  </w:num>
  <w:num w:numId="30">
    <w:abstractNumId w:val="17"/>
  </w:num>
  <w:num w:numId="31">
    <w:abstractNumId w:val="22"/>
  </w:num>
  <w:num w:numId="32">
    <w:abstractNumId w:val="39"/>
  </w:num>
  <w:num w:numId="33">
    <w:abstractNumId w:val="26"/>
  </w:num>
  <w:num w:numId="34">
    <w:abstractNumId w:val="2"/>
  </w:num>
  <w:num w:numId="35">
    <w:abstractNumId w:val="36"/>
  </w:num>
  <w:num w:numId="36">
    <w:abstractNumId w:val="33"/>
  </w:num>
  <w:num w:numId="37">
    <w:abstractNumId w:val="12"/>
  </w:num>
  <w:num w:numId="38">
    <w:abstractNumId w:val="3"/>
  </w:num>
  <w:num w:numId="39">
    <w:abstractNumId w:val="24"/>
  </w:num>
  <w:num w:numId="40">
    <w:abstractNumId w:val="28"/>
  </w:num>
  <w:num w:numId="41">
    <w:abstractNumId w:val="31"/>
  </w:num>
  <w:num w:numId="42">
    <w:abstractNumId w:val="19"/>
  </w:num>
  <w:num w:numId="43">
    <w:abstractNumId w:val="16"/>
  </w:num>
  <w:num w:numId="44">
    <w:abstractNumId w:val="7"/>
  </w:num>
  <w:num w:numId="45">
    <w:abstractNumId w:val="25"/>
  </w:num>
  <w:num w:numId="46">
    <w:abstractNumId w:val="29"/>
  </w:num>
  <w:num w:numId="47">
    <w:abstractNumId w:val="1"/>
  </w:num>
  <w:num w:numId="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9B0"/>
    <w:rsid w:val="000A47FA"/>
    <w:rsid w:val="000A65D3"/>
    <w:rsid w:val="000B1E33"/>
    <w:rsid w:val="000D689F"/>
    <w:rsid w:val="000E7B7B"/>
    <w:rsid w:val="000E7D62"/>
    <w:rsid w:val="000F5184"/>
    <w:rsid w:val="00103357"/>
    <w:rsid w:val="00113073"/>
    <w:rsid w:val="00120AA9"/>
    <w:rsid w:val="00123C9F"/>
    <w:rsid w:val="00126190"/>
    <w:rsid w:val="00130F17"/>
    <w:rsid w:val="001320BF"/>
    <w:rsid w:val="00163BC4"/>
    <w:rsid w:val="00191062"/>
    <w:rsid w:val="001925DB"/>
    <w:rsid w:val="00192B72"/>
    <w:rsid w:val="001973CB"/>
    <w:rsid w:val="001A29D8"/>
    <w:rsid w:val="001A56EA"/>
    <w:rsid w:val="001A5CAA"/>
    <w:rsid w:val="001B0427"/>
    <w:rsid w:val="001D3A51"/>
    <w:rsid w:val="001E10D2"/>
    <w:rsid w:val="001E25B4"/>
    <w:rsid w:val="001E44FE"/>
    <w:rsid w:val="001F21A8"/>
    <w:rsid w:val="00200595"/>
    <w:rsid w:val="00204835"/>
    <w:rsid w:val="00231920"/>
    <w:rsid w:val="0023195C"/>
    <w:rsid w:val="0024282C"/>
    <w:rsid w:val="002460DC"/>
    <w:rsid w:val="00250985"/>
    <w:rsid w:val="002556F6"/>
    <w:rsid w:val="002636EB"/>
    <w:rsid w:val="00283105"/>
    <w:rsid w:val="00284C4C"/>
    <w:rsid w:val="00287E68"/>
    <w:rsid w:val="00296529"/>
    <w:rsid w:val="002B27FB"/>
    <w:rsid w:val="002B685A"/>
    <w:rsid w:val="002B6E2F"/>
    <w:rsid w:val="002C57D2"/>
    <w:rsid w:val="002E0D56"/>
    <w:rsid w:val="00300055"/>
    <w:rsid w:val="00303D66"/>
    <w:rsid w:val="00310947"/>
    <w:rsid w:val="00315186"/>
    <w:rsid w:val="0033343E"/>
    <w:rsid w:val="00343DD5"/>
    <w:rsid w:val="003512C2"/>
    <w:rsid w:val="00371FB6"/>
    <w:rsid w:val="003763C1"/>
    <w:rsid w:val="00376BBE"/>
    <w:rsid w:val="0039224F"/>
    <w:rsid w:val="003A43A4"/>
    <w:rsid w:val="003A7E18"/>
    <w:rsid w:val="003C4C86"/>
    <w:rsid w:val="003C6258"/>
    <w:rsid w:val="003D155D"/>
    <w:rsid w:val="003E2904"/>
    <w:rsid w:val="00401927"/>
    <w:rsid w:val="004056E9"/>
    <w:rsid w:val="0041027F"/>
    <w:rsid w:val="00412475"/>
    <w:rsid w:val="00423789"/>
    <w:rsid w:val="00434D8D"/>
    <w:rsid w:val="00440F43"/>
    <w:rsid w:val="00441B6F"/>
    <w:rsid w:val="00446221"/>
    <w:rsid w:val="00450E62"/>
    <w:rsid w:val="004539DB"/>
    <w:rsid w:val="00471A80"/>
    <w:rsid w:val="004D305E"/>
    <w:rsid w:val="004D4277"/>
    <w:rsid w:val="00502516"/>
    <w:rsid w:val="00505F06"/>
    <w:rsid w:val="00506828"/>
    <w:rsid w:val="00507751"/>
    <w:rsid w:val="0052539F"/>
    <w:rsid w:val="00527426"/>
    <w:rsid w:val="0053056E"/>
    <w:rsid w:val="00554FDA"/>
    <w:rsid w:val="005644F9"/>
    <w:rsid w:val="005646ED"/>
    <w:rsid w:val="005668FD"/>
    <w:rsid w:val="005772F5"/>
    <w:rsid w:val="005B133E"/>
    <w:rsid w:val="005C784C"/>
    <w:rsid w:val="005D17F6"/>
    <w:rsid w:val="005E0B25"/>
    <w:rsid w:val="005E5539"/>
    <w:rsid w:val="00602BF5"/>
    <w:rsid w:val="00617FDD"/>
    <w:rsid w:val="00633614"/>
    <w:rsid w:val="00633F68"/>
    <w:rsid w:val="00636EB2"/>
    <w:rsid w:val="006375B8"/>
    <w:rsid w:val="00642F8E"/>
    <w:rsid w:val="00655E3C"/>
    <w:rsid w:val="0066510A"/>
    <w:rsid w:val="00673B50"/>
    <w:rsid w:val="00673F9F"/>
    <w:rsid w:val="00686953"/>
    <w:rsid w:val="00687DEA"/>
    <w:rsid w:val="00687E67"/>
    <w:rsid w:val="006967F7"/>
    <w:rsid w:val="006A250C"/>
    <w:rsid w:val="006B21D3"/>
    <w:rsid w:val="006B57D0"/>
    <w:rsid w:val="006D30FF"/>
    <w:rsid w:val="006D6940"/>
    <w:rsid w:val="006F11EC"/>
    <w:rsid w:val="006F1F15"/>
    <w:rsid w:val="006F4CCA"/>
    <w:rsid w:val="0070082C"/>
    <w:rsid w:val="00711972"/>
    <w:rsid w:val="007369E6"/>
    <w:rsid w:val="00746E59"/>
    <w:rsid w:val="00754C9A"/>
    <w:rsid w:val="0075599A"/>
    <w:rsid w:val="00761D52"/>
    <w:rsid w:val="0077749E"/>
    <w:rsid w:val="00790ADA"/>
    <w:rsid w:val="007D2288"/>
    <w:rsid w:val="007E088F"/>
    <w:rsid w:val="007F7B32"/>
    <w:rsid w:val="00804BC2"/>
    <w:rsid w:val="0081431A"/>
    <w:rsid w:val="0083014A"/>
    <w:rsid w:val="0083216F"/>
    <w:rsid w:val="00860000"/>
    <w:rsid w:val="00863BD3"/>
    <w:rsid w:val="008641ED"/>
    <w:rsid w:val="00866D66"/>
    <w:rsid w:val="008671C6"/>
    <w:rsid w:val="00875803"/>
    <w:rsid w:val="008B0A00"/>
    <w:rsid w:val="008B459E"/>
    <w:rsid w:val="008C0A52"/>
    <w:rsid w:val="008E13AE"/>
    <w:rsid w:val="008E1506"/>
    <w:rsid w:val="008E710C"/>
    <w:rsid w:val="008F69D6"/>
    <w:rsid w:val="00902823"/>
    <w:rsid w:val="009071DA"/>
    <w:rsid w:val="00915CA6"/>
    <w:rsid w:val="009173DF"/>
    <w:rsid w:val="00927834"/>
    <w:rsid w:val="009457A2"/>
    <w:rsid w:val="009500A6"/>
    <w:rsid w:val="00957C18"/>
    <w:rsid w:val="009659BA"/>
    <w:rsid w:val="00983040"/>
    <w:rsid w:val="009A2B3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9B0"/>
    <w:rsid w:val="00A90DF4"/>
    <w:rsid w:val="00A94063"/>
    <w:rsid w:val="00AA6219"/>
    <w:rsid w:val="00AA74E0"/>
    <w:rsid w:val="00AB703F"/>
    <w:rsid w:val="00AB7826"/>
    <w:rsid w:val="00AC6BB8"/>
    <w:rsid w:val="00AC77A9"/>
    <w:rsid w:val="00AD5F1F"/>
    <w:rsid w:val="00AE008F"/>
    <w:rsid w:val="00AE4807"/>
    <w:rsid w:val="00B01FCD"/>
    <w:rsid w:val="00B1776C"/>
    <w:rsid w:val="00B52583"/>
    <w:rsid w:val="00B52896"/>
    <w:rsid w:val="00B6404F"/>
    <w:rsid w:val="00B90CB3"/>
    <w:rsid w:val="00B95236"/>
    <w:rsid w:val="00B96BD9"/>
    <w:rsid w:val="00BA1B01"/>
    <w:rsid w:val="00BA2641"/>
    <w:rsid w:val="00BB37AA"/>
    <w:rsid w:val="00BC53A0"/>
    <w:rsid w:val="00BE62AD"/>
    <w:rsid w:val="00BF121F"/>
    <w:rsid w:val="00BF1F80"/>
    <w:rsid w:val="00C0080A"/>
    <w:rsid w:val="00C166EF"/>
    <w:rsid w:val="00C17EB0"/>
    <w:rsid w:val="00C27F5F"/>
    <w:rsid w:val="00C30A0F"/>
    <w:rsid w:val="00C37E61"/>
    <w:rsid w:val="00C70F1B"/>
    <w:rsid w:val="00C71A47"/>
    <w:rsid w:val="00C7464C"/>
    <w:rsid w:val="00C80197"/>
    <w:rsid w:val="00C85588"/>
    <w:rsid w:val="00C91EC1"/>
    <w:rsid w:val="00C953D5"/>
    <w:rsid w:val="00CB5F58"/>
    <w:rsid w:val="00CD6755"/>
    <w:rsid w:val="00CD6856"/>
    <w:rsid w:val="00CE0089"/>
    <w:rsid w:val="00CE793C"/>
    <w:rsid w:val="00CF193C"/>
    <w:rsid w:val="00D0239E"/>
    <w:rsid w:val="00D03035"/>
    <w:rsid w:val="00D173F1"/>
    <w:rsid w:val="00D27148"/>
    <w:rsid w:val="00D74CB0"/>
    <w:rsid w:val="00D8295D"/>
    <w:rsid w:val="00DA0F02"/>
    <w:rsid w:val="00DA6103"/>
    <w:rsid w:val="00DB2F90"/>
    <w:rsid w:val="00DC2A65"/>
    <w:rsid w:val="00DC71DA"/>
    <w:rsid w:val="00DE15F0"/>
    <w:rsid w:val="00DE5663"/>
    <w:rsid w:val="00DE78AA"/>
    <w:rsid w:val="00E053D0"/>
    <w:rsid w:val="00E15994"/>
    <w:rsid w:val="00E3114E"/>
    <w:rsid w:val="00E31A70"/>
    <w:rsid w:val="00E35B02"/>
    <w:rsid w:val="00E37BEE"/>
    <w:rsid w:val="00E456A5"/>
    <w:rsid w:val="00E52CE6"/>
    <w:rsid w:val="00E64556"/>
    <w:rsid w:val="00E66496"/>
    <w:rsid w:val="00E66B35"/>
    <w:rsid w:val="00E66E10"/>
    <w:rsid w:val="00E769F6"/>
    <w:rsid w:val="00E82C27"/>
    <w:rsid w:val="00E8407C"/>
    <w:rsid w:val="00E84F3C"/>
    <w:rsid w:val="00EA012C"/>
    <w:rsid w:val="00EA34F0"/>
    <w:rsid w:val="00EB3BF2"/>
    <w:rsid w:val="00EC6A55"/>
    <w:rsid w:val="00ED0288"/>
    <w:rsid w:val="00EE52CB"/>
    <w:rsid w:val="00EF581D"/>
    <w:rsid w:val="00EF7FD8"/>
    <w:rsid w:val="00F06F59"/>
    <w:rsid w:val="00F17988"/>
    <w:rsid w:val="00F343A8"/>
    <w:rsid w:val="00F469F0"/>
    <w:rsid w:val="00F52FB9"/>
    <w:rsid w:val="00F53273"/>
    <w:rsid w:val="00F662FB"/>
    <w:rsid w:val="00F704E8"/>
    <w:rsid w:val="00F755E4"/>
    <w:rsid w:val="00F77D02"/>
    <w:rsid w:val="00F931AB"/>
    <w:rsid w:val="00FA745C"/>
    <w:rsid w:val="00FB3A86"/>
    <w:rsid w:val="00FD36C8"/>
    <w:rsid w:val="00FE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A396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1"/>
    <w:unhideWhenUsed/>
    <w:qFormat/>
    <w:rsid w:val="00E37B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527426"/>
    <w:pPr>
      <w:spacing w:after="120"/>
    </w:pPr>
  </w:style>
  <w:style w:type="character" w:customStyle="1" w:styleId="BodyTextChar">
    <w:name w:val="Body Text Char"/>
    <w:basedOn w:val="DefaultParagraphFont"/>
    <w:link w:val="BodyText"/>
    <w:uiPriority w:val="1"/>
    <w:rsid w:val="00527426"/>
    <w:rPr>
      <w:rFonts w:ascii="Helvetica" w:hAnsi="Helvetica"/>
    </w:rPr>
  </w:style>
  <w:style w:type="character" w:customStyle="1" w:styleId="Heading2Char">
    <w:name w:val="Heading 2 Char"/>
    <w:basedOn w:val="DefaultParagraphFont"/>
    <w:link w:val="Heading2"/>
    <w:semiHidden/>
    <w:rsid w:val="00E37BE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E37BEE"/>
    <w:pPr>
      <w:widowControl w:val="0"/>
      <w:autoSpaceDE w:val="0"/>
      <w:autoSpaceDN w:val="0"/>
      <w:ind w:left="742" w:hanging="359"/>
    </w:pPr>
    <w:rPr>
      <w:rFonts w:ascii="Times New Roman" w:hAnsi="Times New Roman"/>
      <w:sz w:val="22"/>
      <w:szCs w:val="22"/>
    </w:rPr>
  </w:style>
  <w:style w:type="paragraph" w:customStyle="1" w:styleId="TableParagraph">
    <w:name w:val="Table Paragraph"/>
    <w:basedOn w:val="Normal"/>
    <w:uiPriority w:val="1"/>
    <w:qFormat/>
    <w:rsid w:val="00E37BEE"/>
    <w:pPr>
      <w:widowControl w:val="0"/>
      <w:autoSpaceDE w:val="0"/>
      <w:autoSpaceDN w:val="0"/>
      <w:spacing w:line="275" w:lineRule="exact"/>
      <w:ind w:left="107"/>
    </w:pPr>
    <w:rPr>
      <w:rFonts w:ascii="Times New Roman" w:hAnsi="Times New Roman"/>
      <w:sz w:val="22"/>
      <w:szCs w:val="22"/>
    </w:rPr>
  </w:style>
  <w:style w:type="paragraph" w:styleId="NormalWeb">
    <w:name w:val="Normal (Web)"/>
    <w:basedOn w:val="Normal"/>
    <w:uiPriority w:val="99"/>
    <w:unhideWhenUsed/>
    <w:rsid w:val="00E37BEE"/>
    <w:pPr>
      <w:spacing w:before="100" w:beforeAutospacing="1" w:after="100" w:afterAutospacing="1"/>
    </w:pPr>
    <w:rPr>
      <w:rFonts w:ascii="Times New Roman" w:hAnsi="Times New Roman"/>
      <w:sz w:val="24"/>
      <w:szCs w:val="24"/>
      <w:lang w:val="en-IN" w:eastAsia="en-IN"/>
    </w:rPr>
  </w:style>
  <w:style w:type="paragraph" w:customStyle="1" w:styleId="Default">
    <w:name w:val="Default"/>
    <w:rsid w:val="00E37BEE"/>
    <w:pPr>
      <w:autoSpaceDE w:val="0"/>
      <w:autoSpaceDN w:val="0"/>
      <w:adjustRightInd w:val="0"/>
    </w:pPr>
    <w:rPr>
      <w:rFonts w:eastAsiaTheme="minorHAnsi"/>
      <w:color w:val="000000"/>
      <w:sz w:val="24"/>
      <w:szCs w:val="24"/>
      <w:lang w:val="en-IN"/>
    </w:rPr>
  </w:style>
  <w:style w:type="character" w:customStyle="1" w:styleId="Heading1Char">
    <w:name w:val="Heading 1 Char"/>
    <w:basedOn w:val="DefaultParagraphFont"/>
    <w:link w:val="Heading1"/>
    <w:uiPriority w:val="1"/>
    <w:rsid w:val="00E37BEE"/>
    <w:rPr>
      <w:rFonts w:ascii="Arial" w:hAnsi="Arial"/>
      <w:b/>
      <w:kern w:val="28"/>
      <w:sz w:val="28"/>
    </w:rPr>
  </w:style>
  <w:style w:type="character" w:styleId="Strong">
    <w:name w:val="Strong"/>
    <w:basedOn w:val="DefaultParagraphFont"/>
    <w:uiPriority w:val="22"/>
    <w:qFormat/>
    <w:rsid w:val="00E37BEE"/>
    <w:rPr>
      <w:b/>
      <w:bCs/>
    </w:rPr>
  </w:style>
  <w:style w:type="paragraph" w:styleId="CommentSubject">
    <w:name w:val="annotation subject"/>
    <w:basedOn w:val="CommentText"/>
    <w:next w:val="CommentText"/>
    <w:link w:val="CommentSubjectChar"/>
    <w:semiHidden/>
    <w:unhideWhenUsed/>
    <w:rsid w:val="00C953D5"/>
    <w:rPr>
      <w:rFonts w:ascii="Helvetica" w:hAnsi="Helvetica"/>
      <w:b/>
      <w:bCs/>
      <w:lang w:val="en-US" w:eastAsia="en-US"/>
    </w:rPr>
  </w:style>
  <w:style w:type="character" w:customStyle="1" w:styleId="CommentSubjectChar">
    <w:name w:val="Comment Subject Char"/>
    <w:basedOn w:val="CommentTextChar"/>
    <w:link w:val="CommentSubject"/>
    <w:semiHidden/>
    <w:rsid w:val="00C953D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www.who.int/teams/environment-climate-change-and-health/chemical-safety-and-health/health-impacts/chemicals/arsenic"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435F-C5A4-4459-BDF1-D6141A44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544</TotalTime>
  <Pages>1</Pages>
  <Words>6159</Words>
  <Characters>35108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40</cp:revision>
  <cp:lastPrinted>1999-07-06T11:00:00Z</cp:lastPrinted>
  <dcterms:created xsi:type="dcterms:W3CDTF">2014-10-25T14:34:00Z</dcterms:created>
  <dcterms:modified xsi:type="dcterms:W3CDTF">2026-03-01T18:50:00Z</dcterms:modified>
</cp:coreProperties>
</file>