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DBF50" w14:textId="7FDFEEA2" w:rsidR="00193E36" w:rsidRPr="00632779" w:rsidRDefault="00193E36" w:rsidP="00193375">
      <w:pPr>
        <w:spacing w:line="480" w:lineRule="auto"/>
        <w:jc w:val="right"/>
        <w:rPr>
          <w:rFonts w:ascii="Times New Roman" w:hAnsi="Times New Roman" w:cs="Times New Roman"/>
          <w:b/>
          <w:bCs/>
          <w:sz w:val="24"/>
          <w:szCs w:val="24"/>
          <w:lang w:val="en-US"/>
        </w:rPr>
      </w:pPr>
      <w:bookmarkStart w:id="0" w:name="_Toc191365682"/>
      <w:r w:rsidRPr="00632779">
        <w:rPr>
          <w:rFonts w:ascii="Times New Roman" w:hAnsi="Times New Roman" w:cs="Times New Roman"/>
          <w:b/>
          <w:bCs/>
          <w:sz w:val="24"/>
          <w:szCs w:val="24"/>
          <w:lang w:val="en-US"/>
        </w:rPr>
        <w:t xml:space="preserve">Inventories </w:t>
      </w:r>
      <w:r w:rsidR="003861AD" w:rsidRPr="00632779">
        <w:rPr>
          <w:rFonts w:ascii="Times New Roman" w:hAnsi="Times New Roman" w:cs="Times New Roman"/>
          <w:b/>
          <w:bCs/>
          <w:sz w:val="24"/>
          <w:szCs w:val="24"/>
          <w:lang w:val="en-US"/>
        </w:rPr>
        <w:t xml:space="preserve">of the Main Insect Pests of Stored Corn and Repellent and Insecticidal Effects of Sapwood and Heartwood Extracts </w:t>
      </w:r>
      <w:commentRangeStart w:id="1"/>
      <w:r w:rsidR="003861AD" w:rsidRPr="00632779">
        <w:rPr>
          <w:rFonts w:ascii="Times New Roman" w:hAnsi="Times New Roman" w:cs="Times New Roman"/>
          <w:b/>
          <w:bCs/>
          <w:sz w:val="24"/>
          <w:szCs w:val="24"/>
          <w:lang w:val="en-US"/>
        </w:rPr>
        <w:t>Wood</w:t>
      </w:r>
      <w:commentRangeEnd w:id="1"/>
      <w:r w:rsidR="008F05B6" w:rsidRPr="00632779">
        <w:rPr>
          <w:rStyle w:val="CommentReference"/>
          <w:rFonts w:ascii="Times New Roman" w:hAnsi="Times New Roman" w:cs="Times New Roman"/>
          <w:b/>
          <w:bCs/>
          <w:sz w:val="24"/>
          <w:szCs w:val="24"/>
          <w:lang w:val="en-US"/>
        </w:rPr>
        <w:commentReference w:id="1"/>
      </w:r>
      <w:r w:rsidR="003861AD" w:rsidRPr="00632779">
        <w:rPr>
          <w:rFonts w:ascii="Times New Roman" w:hAnsi="Times New Roman" w:cs="Times New Roman"/>
          <w:b/>
          <w:bCs/>
          <w:sz w:val="24"/>
          <w:szCs w:val="24"/>
          <w:lang w:val="en-US"/>
        </w:rPr>
        <w:t xml:space="preserve"> from </w:t>
      </w:r>
      <w:r w:rsidRPr="00632779">
        <w:rPr>
          <w:rFonts w:ascii="Times New Roman" w:hAnsi="Times New Roman" w:cs="Times New Roman"/>
          <w:b/>
          <w:bCs/>
          <w:sz w:val="24"/>
          <w:szCs w:val="24"/>
          <w:lang w:val="en-US"/>
        </w:rPr>
        <w:t xml:space="preserve">Côte d'Ivoire </w:t>
      </w:r>
      <w:r w:rsidR="003861AD" w:rsidRPr="00632779">
        <w:rPr>
          <w:rFonts w:ascii="Times New Roman" w:hAnsi="Times New Roman" w:cs="Times New Roman"/>
          <w:b/>
          <w:bCs/>
          <w:sz w:val="24"/>
          <w:szCs w:val="24"/>
          <w:lang w:val="en-US"/>
        </w:rPr>
        <w:t xml:space="preserve">Against </w:t>
      </w:r>
      <w:r w:rsidRPr="00632779">
        <w:rPr>
          <w:rFonts w:ascii="Times New Roman" w:hAnsi="Times New Roman" w:cs="Times New Roman"/>
          <w:b/>
          <w:bCs/>
          <w:i/>
          <w:iCs/>
          <w:sz w:val="24"/>
          <w:szCs w:val="24"/>
          <w:lang w:val="en-US"/>
        </w:rPr>
        <w:t xml:space="preserve">Sitophilus </w:t>
      </w:r>
      <w:r w:rsidR="00193375">
        <w:rPr>
          <w:rFonts w:ascii="Times New Roman" w:hAnsi="Times New Roman" w:cs="Times New Roman"/>
          <w:b/>
          <w:bCs/>
          <w:i/>
          <w:iCs/>
          <w:sz w:val="24"/>
          <w:szCs w:val="24"/>
          <w:lang w:val="en-US"/>
        </w:rPr>
        <w:t>z</w:t>
      </w:r>
      <w:r w:rsidR="003861AD" w:rsidRPr="00632779">
        <w:rPr>
          <w:rFonts w:ascii="Times New Roman" w:hAnsi="Times New Roman" w:cs="Times New Roman"/>
          <w:b/>
          <w:bCs/>
          <w:i/>
          <w:iCs/>
          <w:sz w:val="24"/>
          <w:szCs w:val="24"/>
          <w:lang w:val="en-US"/>
        </w:rPr>
        <w:t xml:space="preserve">eamais </w:t>
      </w:r>
      <w:r w:rsidRPr="00632779">
        <w:rPr>
          <w:rFonts w:ascii="Times New Roman" w:hAnsi="Times New Roman" w:cs="Times New Roman"/>
          <w:b/>
          <w:bCs/>
          <w:sz w:val="24"/>
          <w:szCs w:val="24"/>
          <w:lang w:val="en-US"/>
        </w:rPr>
        <w:t>Motschulsky (Coleoptera, Curculionidae)</w:t>
      </w:r>
    </w:p>
    <w:p w14:paraId="1E082B9C" w14:textId="77777777" w:rsidR="001F2A2F" w:rsidRDefault="001F2A2F" w:rsidP="00632779">
      <w:pPr>
        <w:spacing w:before="240" w:after="0" w:line="480" w:lineRule="auto"/>
        <w:jc w:val="both"/>
        <w:rPr>
          <w:rFonts w:ascii="Times New Roman" w:hAnsi="Times New Roman" w:cs="Times New Roman"/>
          <w:b/>
          <w:bCs/>
          <w:lang w:val="en-US"/>
        </w:rPr>
      </w:pPr>
      <w:bookmarkStart w:id="2" w:name="_Toc191365683"/>
      <w:bookmarkEnd w:id="0"/>
    </w:p>
    <w:p w14:paraId="02E9EF02" w14:textId="77777777" w:rsidR="001F2A2F" w:rsidRDefault="001F2A2F" w:rsidP="00632779">
      <w:pPr>
        <w:spacing w:before="240" w:after="0" w:line="480" w:lineRule="auto"/>
        <w:jc w:val="both"/>
        <w:rPr>
          <w:rFonts w:ascii="Times New Roman" w:hAnsi="Times New Roman" w:cs="Times New Roman"/>
          <w:b/>
          <w:bCs/>
          <w:lang w:val="en-US"/>
        </w:rPr>
      </w:pPr>
    </w:p>
    <w:p w14:paraId="021CECBB" w14:textId="3A7DB087" w:rsidR="00252734" w:rsidRPr="0094060F" w:rsidRDefault="00B32C5D" w:rsidP="00632779">
      <w:pPr>
        <w:spacing w:before="240" w:after="0" w:line="480" w:lineRule="auto"/>
        <w:jc w:val="both"/>
        <w:rPr>
          <w:rFonts w:ascii="Times New Roman" w:hAnsi="Times New Roman" w:cs="Times New Roman"/>
          <w:b/>
          <w:bCs/>
          <w:lang w:val="en-US"/>
        </w:rPr>
      </w:pPr>
      <w:r w:rsidRPr="0094060F">
        <w:rPr>
          <w:rFonts w:ascii="Times New Roman" w:hAnsi="Times New Roman" w:cs="Times New Roman"/>
          <w:b/>
          <w:bCs/>
          <w:lang w:val="en-US"/>
        </w:rPr>
        <w:t>ABSTRACT</w:t>
      </w:r>
    </w:p>
    <w:p w14:paraId="383F7935" w14:textId="0B360388" w:rsidR="0069640A" w:rsidRDefault="0069640A" w:rsidP="00632779">
      <w:pPr>
        <w:spacing w:after="0" w:line="480" w:lineRule="auto"/>
        <w:jc w:val="both"/>
        <w:rPr>
          <w:rFonts w:ascii="Times New Roman" w:hAnsi="Times New Roman" w:cs="Times New Roman"/>
          <w:color w:val="000000" w:themeColor="text1"/>
          <w:lang w:val="en-US"/>
        </w:rPr>
      </w:pPr>
      <w:r w:rsidRPr="0069640A">
        <w:rPr>
          <w:rFonts w:ascii="Times New Roman" w:hAnsi="Times New Roman" w:cs="Times New Roman"/>
          <w:b/>
          <w:bCs/>
          <w:lang w:val="en-US"/>
        </w:rPr>
        <w:t>Description of the subject.</w:t>
      </w:r>
      <w:r w:rsidRPr="0069640A">
        <w:rPr>
          <w:lang w:val="en-US"/>
        </w:rPr>
        <w:t xml:space="preserve"> </w:t>
      </w:r>
      <w:r w:rsidR="00C53A20" w:rsidRPr="00632779">
        <w:rPr>
          <w:rFonts w:ascii="Times New Roman" w:hAnsi="Times New Roman" w:cs="Times New Roman"/>
          <w:i/>
          <w:iCs/>
          <w:color w:val="000000" w:themeColor="text1"/>
          <w:lang w:val="en-US"/>
        </w:rPr>
        <w:t xml:space="preserve">Sitophilus zeamais </w:t>
      </w:r>
      <w:r w:rsidR="00C53A20" w:rsidRPr="00632779">
        <w:rPr>
          <w:rFonts w:ascii="Times New Roman" w:hAnsi="Times New Roman" w:cs="Times New Roman"/>
          <w:color w:val="000000" w:themeColor="text1"/>
          <w:lang w:val="en-US"/>
        </w:rPr>
        <w:t>Motschulsky is</w:t>
      </w:r>
      <w:r w:rsidR="00E66EB2">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without doubt</w:t>
      </w:r>
      <w:r w:rsidR="00E66EB2">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the most devastating insect pest of agricultural stocks and </w:t>
      </w:r>
      <w:commentRangeStart w:id="3"/>
      <w:r w:rsidR="00C53A20" w:rsidRPr="00632779">
        <w:rPr>
          <w:rFonts w:ascii="Times New Roman" w:hAnsi="Times New Roman" w:cs="Times New Roman"/>
          <w:color w:val="000000" w:themeColor="text1"/>
          <w:lang w:val="en-US"/>
        </w:rPr>
        <w:t>resistant</w:t>
      </w:r>
      <w:commentRangeEnd w:id="3"/>
      <w:r w:rsidR="008F05B6" w:rsidRPr="00632779">
        <w:rPr>
          <w:rStyle w:val="CommentReference"/>
          <w:rFonts w:ascii="Times New Roman" w:hAnsi="Times New Roman" w:cs="Times New Roman"/>
          <w:color w:val="000000" w:themeColor="text1"/>
          <w:sz w:val="22"/>
          <w:szCs w:val="22"/>
          <w:lang w:val="en-US"/>
        </w:rPr>
        <w:commentReference w:id="3"/>
      </w:r>
      <w:r w:rsidR="00C53A20" w:rsidRPr="00632779">
        <w:rPr>
          <w:rFonts w:ascii="Times New Roman" w:hAnsi="Times New Roman" w:cs="Times New Roman"/>
          <w:color w:val="000000" w:themeColor="text1"/>
          <w:lang w:val="en-US"/>
        </w:rPr>
        <w:t xml:space="preserve"> to synthetic chemical pesticides. The search for botanical products with low toxicity for the environment and for living beings has intensified considerably. </w:t>
      </w:r>
    </w:p>
    <w:p w14:paraId="787AB96C" w14:textId="59D3DA57" w:rsidR="00DB2226"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Objectives.</w:t>
      </w:r>
      <w:r>
        <w:rPr>
          <w:rFonts w:ascii="Times New Roman" w:hAnsi="Times New Roman" w:cs="Times New Roman"/>
          <w:b/>
          <w:bCs/>
          <w:lang w:val="en-US"/>
        </w:rPr>
        <w:t xml:space="preserve"> </w:t>
      </w:r>
      <w:r w:rsidR="00C53A20" w:rsidRPr="00632779">
        <w:rPr>
          <w:rFonts w:ascii="Times New Roman" w:hAnsi="Times New Roman" w:cs="Times New Roman"/>
          <w:color w:val="000000" w:themeColor="text1"/>
          <w:lang w:val="en-US"/>
        </w:rPr>
        <w:t xml:space="preserve">The aim of this study was firstly to carry out an inventory of insect pests on stored maize and secondly to assess the repellent and insecticidal activity of hydroalcoholic extracts of </w:t>
      </w:r>
      <w:r w:rsidR="00C53A20" w:rsidRPr="00632779">
        <w:rPr>
          <w:rFonts w:ascii="Times New Roman" w:hAnsi="Times New Roman" w:cs="Times New Roman"/>
          <w:i/>
          <w:iCs/>
          <w:color w:val="000000" w:themeColor="text1"/>
          <w:lang w:val="en-US"/>
        </w:rPr>
        <w:t>Nauclea diderrichii</w:t>
      </w:r>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Mansonia altissima</w:t>
      </w:r>
      <w:r w:rsidR="0063790E">
        <w:rPr>
          <w:rFonts w:ascii="Times New Roman" w:hAnsi="Times New Roman" w:cs="Times New Roman"/>
          <w:i/>
          <w:iCs/>
          <w:color w:val="000000" w:themeColor="text1"/>
          <w:lang w:val="en-US"/>
        </w:rPr>
        <w:t>,</w:t>
      </w:r>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Milicia excelsa</w:t>
      </w:r>
      <w:r w:rsidR="00C53A20" w:rsidRPr="00632779">
        <w:rPr>
          <w:rFonts w:ascii="Times New Roman" w:hAnsi="Times New Roman" w:cs="Times New Roman"/>
          <w:color w:val="000000" w:themeColor="text1"/>
          <w:lang w:val="en-US"/>
        </w:rPr>
        <w:t xml:space="preserve"> against </w:t>
      </w:r>
      <w:commentRangeStart w:id="4"/>
      <w:r w:rsidR="00C53A20" w:rsidRPr="00632779">
        <w:rPr>
          <w:rFonts w:ascii="Times New Roman" w:hAnsi="Times New Roman" w:cs="Times New Roman"/>
          <w:i/>
          <w:iCs/>
          <w:color w:val="000000" w:themeColor="text1"/>
          <w:lang w:val="en-US"/>
        </w:rPr>
        <w:t>Sitophils</w:t>
      </w:r>
      <w:commentRangeEnd w:id="4"/>
      <w:r w:rsidR="00837F69" w:rsidRPr="00632779">
        <w:rPr>
          <w:rStyle w:val="CommentReference"/>
          <w:rFonts w:ascii="Times New Roman" w:hAnsi="Times New Roman" w:cs="Times New Roman"/>
          <w:i/>
          <w:iCs/>
          <w:color w:val="000000" w:themeColor="text1"/>
          <w:sz w:val="22"/>
          <w:szCs w:val="22"/>
          <w:lang w:val="en-US"/>
        </w:rPr>
        <w:commentReference w:id="4"/>
      </w:r>
      <w:r w:rsidR="00C53A20" w:rsidRPr="00632779">
        <w:rPr>
          <w:rFonts w:ascii="Times New Roman" w:hAnsi="Times New Roman" w:cs="Times New Roman"/>
          <w:i/>
          <w:iCs/>
          <w:color w:val="000000" w:themeColor="text1"/>
          <w:lang w:val="en-US"/>
        </w:rPr>
        <w:t xml:space="preserve"> zeamais</w:t>
      </w:r>
      <w:r w:rsidR="00C53A20" w:rsidRPr="00632779">
        <w:rPr>
          <w:rFonts w:ascii="Times New Roman" w:hAnsi="Times New Roman" w:cs="Times New Roman"/>
          <w:color w:val="000000" w:themeColor="text1"/>
          <w:lang w:val="en-US"/>
        </w:rPr>
        <w:t xml:space="preserve">. </w:t>
      </w:r>
    </w:p>
    <w:p w14:paraId="4E873DF2" w14:textId="7A88EB93" w:rsidR="00A50A41" w:rsidRPr="00A50A41" w:rsidRDefault="00A50A41" w:rsidP="00632779">
      <w:pPr>
        <w:spacing w:after="0" w:line="480" w:lineRule="auto"/>
        <w:jc w:val="both"/>
        <w:rPr>
          <w:rFonts w:ascii="Times New Roman" w:hAnsi="Times New Roman" w:cs="Times New Roman"/>
          <w:color w:val="000000" w:themeColor="text1"/>
          <w:lang w:val="en-US"/>
        </w:rPr>
      </w:pPr>
      <w:r w:rsidRPr="00A50A41">
        <w:rPr>
          <w:rFonts w:ascii="Times New Roman" w:hAnsi="Times New Roman" w:cs="Times New Roman"/>
          <w:b/>
          <w:bCs/>
          <w:lang w:val="en-US"/>
        </w:rPr>
        <w:t>Method.</w:t>
      </w:r>
      <w:r w:rsidRPr="00A50A41">
        <w:rPr>
          <w:rFonts w:ascii="Times New Roman" w:hAnsi="Times New Roman" w:cs="Times New Roman"/>
          <w:lang w:val="en-US"/>
        </w:rPr>
        <w:t xml:space="preserve"> Stored maize samples were collected, insect pests were identified, and their relative abundance was calculated. Hydroalcoholic extracts of sapwood and heartwood were then tested on </w:t>
      </w:r>
      <w:r w:rsidRPr="00A50A41">
        <w:rPr>
          <w:rStyle w:val="Emphasis"/>
          <w:rFonts w:ascii="Times New Roman" w:hAnsi="Times New Roman" w:cs="Times New Roman"/>
          <w:lang w:val="en-US"/>
        </w:rPr>
        <w:t>S. zeamais</w:t>
      </w:r>
      <w:r w:rsidRPr="00A50A41">
        <w:rPr>
          <w:rFonts w:ascii="Times New Roman" w:hAnsi="Times New Roman" w:cs="Times New Roman"/>
          <w:lang w:val="en-US"/>
        </w:rPr>
        <w:t xml:space="preserve"> to evaluate their insecticidal activity (mortality, LD₅₀, TL₅₀) and repellency at different concentrations.</w:t>
      </w:r>
    </w:p>
    <w:p w14:paraId="14311BDC" w14:textId="6D522C61" w:rsidR="00D262C1"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Results.</w:t>
      </w:r>
      <w:r w:rsidRPr="00DB2226">
        <w:rPr>
          <w:lang w:val="en-US"/>
        </w:rPr>
        <w:t xml:space="preserve"> </w:t>
      </w:r>
      <w:r w:rsidR="00C53A20" w:rsidRPr="00632779">
        <w:rPr>
          <w:rFonts w:ascii="Times New Roman" w:hAnsi="Times New Roman" w:cs="Times New Roman"/>
          <w:color w:val="000000" w:themeColor="text1"/>
          <w:lang w:val="en-US"/>
        </w:rPr>
        <w:t xml:space="preserve">The inventory showed that </w:t>
      </w:r>
      <w:r w:rsidR="00C53A20" w:rsidRPr="00632779">
        <w:rPr>
          <w:rFonts w:ascii="Times New Roman" w:hAnsi="Times New Roman" w:cs="Times New Roman"/>
          <w:i/>
          <w:iCs/>
          <w:color w:val="000000" w:themeColor="text1"/>
          <w:lang w:val="en-US"/>
        </w:rPr>
        <w:t>S. zeamais</w:t>
      </w:r>
      <w:r w:rsidR="0063790E">
        <w:rPr>
          <w:rFonts w:ascii="Times New Roman" w:hAnsi="Times New Roman" w:cs="Times New Roman"/>
          <w:i/>
          <w:iCs/>
          <w:color w:val="000000" w:themeColor="text1"/>
          <w:lang w:val="en-US"/>
        </w:rPr>
        <w:t>,</w:t>
      </w:r>
      <w:r w:rsidR="00C53A20" w:rsidRPr="00632779">
        <w:rPr>
          <w:rFonts w:ascii="Times New Roman" w:hAnsi="Times New Roman" w:cs="Times New Roman"/>
          <w:color w:val="000000" w:themeColor="text1"/>
          <w:lang w:val="en-US"/>
        </w:rPr>
        <w:t xml:space="preserve"> with a Relative Abundance (Ra) of 51.06% (Ra ≥ 10%)</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 xml:space="preserve">T. </w:t>
      </w:r>
      <w:commentRangeStart w:id="5"/>
      <w:r w:rsidR="00C53A20" w:rsidRPr="00632779">
        <w:rPr>
          <w:rFonts w:ascii="Times New Roman" w:hAnsi="Times New Roman" w:cs="Times New Roman"/>
          <w:i/>
          <w:iCs/>
          <w:color w:val="000000" w:themeColor="text1"/>
          <w:lang w:val="en-US"/>
        </w:rPr>
        <w:t>castenum</w:t>
      </w:r>
      <w:commentRangeEnd w:id="5"/>
      <w:r w:rsidR="00517699" w:rsidRPr="00632779">
        <w:rPr>
          <w:rStyle w:val="CommentReference"/>
          <w:rFonts w:ascii="Times New Roman" w:hAnsi="Times New Roman" w:cs="Times New Roman"/>
          <w:color w:val="000000" w:themeColor="text1"/>
          <w:sz w:val="22"/>
          <w:szCs w:val="22"/>
          <w:lang w:val="en-US"/>
        </w:rPr>
        <w:commentReference w:id="5"/>
      </w:r>
      <w:r w:rsidR="00C53A20" w:rsidRPr="00632779">
        <w:rPr>
          <w:rFonts w:ascii="Times New Roman" w:hAnsi="Times New Roman" w:cs="Times New Roman"/>
          <w:color w:val="000000" w:themeColor="text1"/>
          <w:lang w:val="en-US"/>
        </w:rPr>
        <w:t xml:space="preserve"> with an Ra of 43.61%</w:t>
      </w:r>
      <w:r w:rsidR="00BC7B3F">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were abundant species. Hydroalcoholic extracts of sapwood from </w:t>
      </w:r>
      <w:r w:rsidR="00C53A20" w:rsidRPr="00632779">
        <w:rPr>
          <w:rFonts w:ascii="Times New Roman" w:hAnsi="Times New Roman" w:cs="Times New Roman"/>
          <w:i/>
          <w:iCs/>
          <w:color w:val="000000" w:themeColor="text1"/>
          <w:lang w:val="en-US"/>
        </w:rPr>
        <w:t>N. diderrichii</w:t>
      </w:r>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M. altissima</w:t>
      </w:r>
      <w:r w:rsidR="007A6F0B">
        <w:rPr>
          <w:rFonts w:ascii="Times New Roman" w:hAnsi="Times New Roman" w:cs="Times New Roman"/>
          <w:i/>
          <w:iCs/>
          <w:color w:val="000000" w:themeColor="text1"/>
          <w:lang w:val="en-US"/>
        </w:rPr>
        <w:t>,</w:t>
      </w:r>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M. excelsa</w:t>
      </w:r>
      <w:r w:rsidR="00C53A20" w:rsidRPr="00632779">
        <w:rPr>
          <w:rFonts w:ascii="Times New Roman" w:hAnsi="Times New Roman" w:cs="Times New Roman"/>
          <w:color w:val="000000" w:themeColor="text1"/>
          <w:lang w:val="en-US"/>
        </w:rPr>
        <w:t xml:space="preserve"> resulted in mortality rates of 80-96.67%, 76.67-88.33%</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and 66.67-81.67%</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respectively.</w:t>
      </w:r>
      <w:r w:rsidR="00C53A20" w:rsidRPr="00632779">
        <w:rPr>
          <w:rFonts w:ascii="Times New Roman" w:hAnsi="Times New Roman" w:cs="Times New Roman"/>
          <w:i/>
          <w:iCs/>
          <w:color w:val="000000" w:themeColor="text1"/>
          <w:lang w:val="en-US"/>
        </w:rPr>
        <w:t xml:space="preserve"> </w:t>
      </w:r>
      <w:r w:rsidR="00C53A20" w:rsidRPr="00632779">
        <w:rPr>
          <w:rFonts w:ascii="Times New Roman" w:hAnsi="Times New Roman" w:cs="Times New Roman"/>
          <w:color w:val="000000" w:themeColor="text1"/>
          <w:lang w:val="en-US"/>
        </w:rPr>
        <w:t>The mortality of heartwood extracts from these same woods varied respectively from 58.33 to 95%, from 66.67 to 95%</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and from 36.67 to 78.33%.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sapwood extracts was between 0.0093 and 0.0289</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and the TL</w:t>
      </w:r>
      <w:r w:rsidR="00C53A20" w:rsidRPr="00632779">
        <w:rPr>
          <w:rFonts w:ascii="Times New Roman" w:hAnsi="Times New Roman" w:cs="Times New Roman"/>
          <w:color w:val="000000" w:themeColor="text1"/>
          <w:vertAlign w:val="subscript"/>
          <w:lang w:val="en-US"/>
        </w:rPr>
        <w:t xml:space="preserve">50 </w:t>
      </w:r>
      <w:r w:rsidR="00C53A20" w:rsidRPr="00632779">
        <w:rPr>
          <w:rFonts w:ascii="Times New Roman" w:hAnsi="Times New Roman" w:cs="Times New Roman"/>
          <w:color w:val="000000" w:themeColor="text1"/>
          <w:lang w:val="en-US"/>
        </w:rPr>
        <w:t>ranged from 3.5 to 6.2 days.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heartwood extracts was between 0.050 and 0.1435 g/mL</w:t>
      </w:r>
      <w:r w:rsidR="007A6F0B">
        <w:rPr>
          <w:rFonts w:ascii="Times New Roman" w:hAnsi="Times New Roman" w:cs="Times New Roman"/>
          <w:color w:val="000000" w:themeColor="text1"/>
          <w:lang w:val="en-US"/>
        </w:rPr>
        <w:t>,</w:t>
      </w:r>
      <w:r w:rsidR="00C53A20" w:rsidRPr="00632779">
        <w:rPr>
          <w:rFonts w:ascii="Times New Roman" w:hAnsi="Times New Roman" w:cs="Times New Roman"/>
          <w:color w:val="000000" w:themeColor="text1"/>
          <w:lang w:val="en-US"/>
        </w:rPr>
        <w:t xml:space="preserve"> and the TL</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varied from 1.8 to 0.5 days. The repellency rate ranged from 26.67 to 96.67% after 1 hour and from 50 to 93.37% after 2 hours' exposure to the extracts tested. </w:t>
      </w:r>
    </w:p>
    <w:p w14:paraId="6EC0FE46" w14:textId="77777777" w:rsidR="00783410" w:rsidRDefault="00D262C1" w:rsidP="00783410">
      <w:pPr>
        <w:spacing w:after="0" w:line="480" w:lineRule="auto"/>
        <w:jc w:val="both"/>
        <w:rPr>
          <w:rFonts w:ascii="Times New Roman" w:hAnsi="Times New Roman" w:cs="Times New Roman"/>
          <w:color w:val="000000" w:themeColor="text1"/>
          <w:lang w:val="en-US"/>
        </w:rPr>
      </w:pPr>
      <w:r w:rsidRPr="00783410">
        <w:rPr>
          <w:rFonts w:ascii="Times New Roman" w:hAnsi="Times New Roman" w:cs="Times New Roman"/>
          <w:b/>
          <w:bCs/>
          <w:lang w:val="en-US"/>
        </w:rPr>
        <w:lastRenderedPageBreak/>
        <w:t>Conclusions.</w:t>
      </w:r>
      <w:r w:rsidRPr="00D262C1">
        <w:rPr>
          <w:lang w:val="en-US"/>
        </w:rPr>
        <w:t xml:space="preserve"> </w:t>
      </w:r>
      <w:r w:rsidR="00C53A20" w:rsidRPr="00632779">
        <w:rPr>
          <w:rFonts w:ascii="Times New Roman" w:hAnsi="Times New Roman" w:cs="Times New Roman"/>
          <w:color w:val="000000" w:themeColor="text1"/>
          <w:lang w:val="en-US"/>
        </w:rPr>
        <w:t xml:space="preserve">The toxicity of the extracts is due to the presence of the main secondary compounds present in hydroalcoholic wood extracts. These results demonstrate the potential of wood extracts for controlling insect pests of stored foodstuffs. </w:t>
      </w:r>
    </w:p>
    <w:p w14:paraId="516580D0" w14:textId="79AA814A" w:rsidR="00183364" w:rsidRPr="00171F74" w:rsidRDefault="00C53A20" w:rsidP="00171F74">
      <w:pPr>
        <w:spacing w:after="0" w:line="480" w:lineRule="auto"/>
        <w:jc w:val="both"/>
        <w:rPr>
          <w:rFonts w:ascii="Times New Roman" w:hAnsi="Times New Roman" w:cs="Times New Roman"/>
          <w:i/>
          <w:iCs/>
          <w:color w:val="000000" w:themeColor="text1"/>
          <w:lang w:val="en-US"/>
        </w:rPr>
      </w:pPr>
      <w:r w:rsidRPr="00632779">
        <w:rPr>
          <w:rFonts w:ascii="Times New Roman" w:hAnsi="Times New Roman" w:cs="Times New Roman"/>
          <w:b/>
          <w:bCs/>
          <w:color w:val="000000" w:themeColor="text1"/>
          <w:lang w:val="en-US"/>
        </w:rPr>
        <w:t>Keywords</w:t>
      </w:r>
      <w:r w:rsidR="00042CC2">
        <w:rPr>
          <w:rFonts w:ascii="Times New Roman" w:hAnsi="Times New Roman" w:cs="Times New Roman"/>
          <w:b/>
          <w:bCs/>
          <w:color w:val="000000" w:themeColor="text1"/>
          <w:lang w:val="en-US"/>
        </w:rPr>
        <w:t>.</w:t>
      </w:r>
      <w:r w:rsidRPr="00632779">
        <w:rPr>
          <w:rFonts w:ascii="Times New Roman" w:hAnsi="Times New Roman" w:cs="Times New Roman"/>
          <w:b/>
          <w:bCs/>
          <w:color w:val="000000" w:themeColor="text1"/>
          <w:lang w:val="en-US"/>
        </w:rPr>
        <w:t xml:space="preserve"> </w:t>
      </w:r>
      <w:r w:rsidRPr="00632779">
        <w:rPr>
          <w:rFonts w:ascii="Times New Roman" w:hAnsi="Times New Roman" w:cs="Times New Roman"/>
          <w:color w:val="000000" w:themeColor="text1"/>
          <w:lang w:val="en-US"/>
        </w:rPr>
        <w:t xml:space="preserve">Wood extracts, repellent, insecticide, </w:t>
      </w:r>
      <w:r w:rsidR="00215754">
        <w:rPr>
          <w:rFonts w:ascii="Times New Roman" w:hAnsi="Times New Roman" w:cs="Times New Roman"/>
          <w:color w:val="000000" w:themeColor="text1"/>
          <w:lang w:val="en-US"/>
        </w:rPr>
        <w:t xml:space="preserve">stock </w:t>
      </w:r>
      <w:r w:rsidRPr="00632779">
        <w:rPr>
          <w:rFonts w:ascii="Times New Roman" w:hAnsi="Times New Roman" w:cs="Times New Roman"/>
          <w:color w:val="000000" w:themeColor="text1"/>
          <w:lang w:val="en-US"/>
        </w:rPr>
        <w:t>pests</w:t>
      </w:r>
      <w:r w:rsidR="005A1353" w:rsidRPr="00632779">
        <w:rPr>
          <w:rFonts w:ascii="Times New Roman" w:hAnsi="Times New Roman" w:cs="Times New Roman"/>
          <w:color w:val="000000" w:themeColor="text1"/>
          <w:lang w:val="en-US"/>
        </w:rPr>
        <w:t xml:space="preserve">, </w:t>
      </w:r>
      <w:r w:rsidR="00215754" w:rsidRPr="00215754">
        <w:rPr>
          <w:rFonts w:ascii="Times New Roman" w:hAnsi="Times New Roman" w:cs="Times New Roman"/>
          <w:color w:val="000000" w:themeColor="text1"/>
          <w:lang w:val="en-US"/>
        </w:rPr>
        <w:t>Côte d’Ivoire</w:t>
      </w:r>
    </w:p>
    <w:p w14:paraId="18ADFFEC" w14:textId="7355523D" w:rsidR="005D5F2A" w:rsidRPr="00632779" w:rsidRDefault="003A42DF" w:rsidP="00171F74">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1</w:t>
      </w:r>
      <w:r w:rsidR="00BC37ED">
        <w:rPr>
          <w:rFonts w:ascii="Times New Roman" w:hAnsi="Times New Roman" w:cs="Times New Roman"/>
          <w:b/>
          <w:bCs/>
          <w:lang w:val="en-US"/>
        </w:rPr>
        <w:t>.</w:t>
      </w:r>
      <w:r w:rsidR="00B32C5D"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Introduction</w:t>
      </w:r>
      <w:bookmarkEnd w:id="2"/>
    </w:p>
    <w:p w14:paraId="660A4E2D" w14:textId="0DDBB6C0" w:rsidR="002D6D05" w:rsidRPr="00632779" w:rsidRDefault="00EB768A"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The increase in the world's population is leading to a high demand for food, and this is creating ever greater food insecurity. Cereal harvests represent several million tonnes and are unfortunately subject to the risk of infestation and continuous contamination by insect pests. As a result, more than 30% of losses are recorded in developing countries</w:t>
      </w:r>
      <w:r w:rsidR="00364AD9" w:rsidRPr="00632779">
        <w:rPr>
          <w:rFonts w:ascii="Times New Roman" w:hAnsi="Times New Roman" w:cs="Times New Roman"/>
          <w:lang w:val="en-US"/>
        </w:rPr>
        <w:t xml:space="preserve"> </w:t>
      </w:r>
      <w:r w:rsidR="00364AD9"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{"citationID":"iQhnQFCz","properties":{"formattedCitation":"(Throne et al., 2002)","plainCitation":"(Throne et al., 2002)","noteIndex":0},"citationItems":[{"id":3510,"uris":["http://zotero.org/users/5304766/items/QBPKSMMB"],"itemData":{"id":3510,"type":"article-journal","abstract":"One strategy that has been used to find germplasm for developing improved plant varieties is to test ancestral germplasm for the desired traits. Although the progenitors of commercial maize are not known, a hybrid (called Tripsacorn) developed from a perennial teosinte, Zea diploperennis, and eastern gamagrass, Tripsacum dactyloides, resembles the earliest known samples of primitive domesticated maize. We tested resistance of whole Tripsacorn to the primary storage pest (primary storage pests can infest intact kernels) the maize weevil, Sitophilus zeamais Motschulsky (Coleoptera: Curculionidae), and resistance of ground Tripsacorn to the secondary storage pest (secondary pests usually cannot infest intact kernels) the sawtoothed grain beetle, Oryzaephilus surinamensis (L.) (Coleoptera: Silvanidae). Tripsacorn was immune to attack by S. zeamais. The weevils were unable to lay eggs in the Tripsacorn, and we hypothesized that the hardness of the fruitcase was responsible for lack of weevil oviposition. Oryzaephilus surinamensis were able to complete immature development on ground Tripsacorn, but duration of development was longer and weight of emerged adults was less than for beetles developing on wheat. Hardness of the fruitcase may have been a primitive mechanism of defense against insects and other pests, but probably would not be an acceptable trait in commercial varieties. It remains to be determined whether the possible antibiotic effect demonstrated in ground Tripsacorn would be a useful trait in commercial maize hybrids.","container-title":"Journal of Stored Products Research","DOI":"10.1016/S0022-474X(01)00018-2","ISSN":"0022-474X","issue":"3","journalAbbreviation":"Journal of Stored Products Research","page":"239-245","source":"ScienceDirect","title":"Résistance du Tripsacorn à &lt;i&gt;Sitophilus zeamais&lt;/i&gt; et &lt;i&gt;Oryzaephilus surinamensis&lt;/i&gt;","volume":"38","author":[{"family":"Throne","given":"James E."},{"family":"Eubanks","given":"Mary W."}],"issued":{"date-parts":[["2002",1,1]]}}}],"schema":"https://github.com/citation-style-language/schema/raw/master/csl-citation.json"} </w:instrText>
      </w:r>
      <w:r w:rsidR="00364AD9" w:rsidRPr="00632779">
        <w:rPr>
          <w:rFonts w:ascii="Times New Roman" w:hAnsi="Times New Roman" w:cs="Times New Roman"/>
        </w:rPr>
        <w:fldChar w:fldCharType="separate"/>
      </w:r>
      <w:r w:rsidR="00796671" w:rsidRPr="00796671">
        <w:rPr>
          <w:rFonts w:ascii="Times New Roman" w:hAnsi="Times New Roman" w:cs="Times New Roman"/>
          <w:lang w:val="en-US"/>
        </w:rPr>
        <w:t>(Throne et al., 2002)</w:t>
      </w:r>
      <w:r w:rsidR="00364AD9" w:rsidRPr="00632779">
        <w:rPr>
          <w:rFonts w:ascii="Times New Roman" w:hAnsi="Times New Roman" w:cs="Times New Roman"/>
        </w:rPr>
        <w:fldChar w:fldCharType="end"/>
      </w:r>
      <w:r w:rsidR="00364AD9" w:rsidRPr="00632779">
        <w:rPr>
          <w:rFonts w:ascii="Times New Roman" w:hAnsi="Times New Roman" w:cs="Times New Roman"/>
          <w:lang w:val="en-US"/>
        </w:rPr>
        <w:t>.</w:t>
      </w:r>
      <w:r w:rsidR="004D61DC" w:rsidRPr="00632779">
        <w:rPr>
          <w:rFonts w:ascii="Times New Roman" w:hAnsi="Times New Roman" w:cs="Times New Roman"/>
          <w:lang w:val="en-US"/>
        </w:rPr>
        <w:t xml:space="preserve"> </w:t>
      </w:r>
      <w:r w:rsidRPr="00632779">
        <w:rPr>
          <w:rFonts w:ascii="Times New Roman" w:hAnsi="Times New Roman" w:cs="Times New Roman"/>
          <w:lang w:val="en-US"/>
        </w:rPr>
        <w:t xml:space="preserve">This risk is most acute during post-harvest transport, </w:t>
      </w:r>
      <w:r w:rsidR="00FF3D27" w:rsidRPr="00632779">
        <w:rPr>
          <w:rFonts w:ascii="Times New Roman" w:hAnsi="Times New Roman" w:cs="Times New Roman"/>
          <w:lang w:val="en-US"/>
        </w:rPr>
        <w:t>storage,</w:t>
      </w:r>
      <w:r w:rsidRPr="00632779">
        <w:rPr>
          <w:rFonts w:ascii="Times New Roman" w:hAnsi="Times New Roman" w:cs="Times New Roman"/>
          <w:lang w:val="en-US"/>
        </w:rPr>
        <w:t xml:space="preserve"> and processing in stored food production facilities. Stored foodstuffs are very important, as their purpose is to feed people and ensure the long-term survival of crops. They also ensure that future plantings and harvests are in place. That's why pests on stored products need to be carefully controlled. This control must be based on a sustainable approach to pest control </w:t>
      </w:r>
      <w:r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{"citationID":"Y4OWOZ78","properties":{"formattedCitation":"(Stejskal et al., 2015)","plainCitation":"(Stejskal et al., 2015)","noteIndex":0},"citationItems":[{"id":16,"uris":["http://zotero.org/users/5304766/items/JGRTMEHI"],"itemData":{"id":16,"type":"article-journal","container-title":"Journal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(Stejskal et al., 2015)</w:t>
      </w:r>
      <w:r w:rsidRPr="00632779">
        <w:rPr>
          <w:rFonts w:ascii="Times New Roman" w:hAnsi="Times New Roman" w:cs="Times New Roman"/>
        </w:rPr>
        <w:fldChar w:fldCharType="end"/>
      </w:r>
      <w:r w:rsidR="00A25BE3" w:rsidRPr="00632779">
        <w:rPr>
          <w:rFonts w:ascii="Times New Roman" w:hAnsi="Times New Roman" w:cs="Times New Roman"/>
          <w:lang w:val="en-US"/>
        </w:rPr>
        <w:t>.</w:t>
      </w:r>
      <w:r w:rsidR="001A1ED1" w:rsidRPr="00632779">
        <w:rPr>
          <w:rFonts w:ascii="Times New Roman" w:hAnsi="Times New Roman" w:cs="Times New Roman"/>
          <w:lang w:val="en-US"/>
        </w:rPr>
        <w:t xml:space="preserve"> </w:t>
      </w:r>
      <w:r w:rsidRPr="00632779">
        <w:rPr>
          <w:rFonts w:ascii="Times New Roman" w:hAnsi="Times New Roman" w:cs="Times New Roman"/>
          <w:lang w:val="en-US"/>
        </w:rPr>
        <w:t xml:space="preserve">The corn weevil, </w:t>
      </w:r>
      <w:r w:rsidRPr="00632779">
        <w:rPr>
          <w:rFonts w:ascii="Times New Roman" w:hAnsi="Times New Roman" w:cs="Times New Roman"/>
          <w:i/>
          <w:iCs/>
          <w:lang w:val="en-US"/>
        </w:rPr>
        <w:t>Sitophilus zeamais</w:t>
      </w:r>
      <w:r w:rsidRPr="00632779">
        <w:rPr>
          <w:rFonts w:ascii="Times New Roman" w:hAnsi="Times New Roman" w:cs="Times New Roman"/>
          <w:lang w:val="en-US"/>
        </w:rPr>
        <w:t xml:space="preserve">, is one of the most important insect pests of stocks. It can cause major weight </w:t>
      </w:r>
      <w:commentRangeStart w:id="6"/>
      <w:r w:rsidRPr="00632779">
        <w:rPr>
          <w:rFonts w:ascii="Times New Roman" w:hAnsi="Times New Roman" w:cs="Times New Roman"/>
          <w:lang w:val="en-US"/>
        </w:rPr>
        <w:t xml:space="preserve">losses </w:t>
      </w:r>
      <w:commentRangeEnd w:id="6"/>
      <w:r w:rsidR="006E0D04" w:rsidRPr="00632779">
        <w:rPr>
          <w:rStyle w:val="CommentReference"/>
          <w:rFonts w:ascii="Times New Roman" w:hAnsi="Times New Roman" w:cs="Times New Roman"/>
          <w:sz w:val="22"/>
          <w:szCs w:val="22"/>
          <w:lang w:val="en-US"/>
        </w:rPr>
        <w:commentReference w:id="6"/>
      </w:r>
      <w:r w:rsidRPr="00632779">
        <w:rPr>
          <w:rFonts w:ascii="Times New Roman" w:hAnsi="Times New Roman" w:cs="Times New Roman"/>
          <w:lang w:val="en-US"/>
        </w:rPr>
        <w:t xml:space="preserve">in stored maize (20 to 90%) if left untreated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{"citationID":"EojetoS7","properties":{"formattedCitation":"(Gariba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(Gariba et al., 2021)</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Pr="00632779">
        <w:rPr>
          <w:rFonts w:ascii="Times New Roman" w:hAnsi="Times New Roman" w:cs="Times New Roman"/>
          <w:lang w:val="en-US"/>
        </w:rPr>
        <w:t>It is a polyphagous insect, as it can also attack cereals, grains, flour</w:t>
      </w:r>
      <w:r w:rsidR="00BB7615">
        <w:rPr>
          <w:rFonts w:ascii="Times New Roman" w:hAnsi="Times New Roman" w:cs="Times New Roman"/>
          <w:lang w:val="en-US"/>
        </w:rPr>
        <w:t>,</w:t>
      </w:r>
      <w:r w:rsidRPr="00632779">
        <w:rPr>
          <w:rFonts w:ascii="Times New Roman" w:hAnsi="Times New Roman" w:cs="Times New Roman"/>
          <w:lang w:val="en-US"/>
        </w:rPr>
        <w:t xml:space="preserve"> and dry or powdered products</w:t>
      </w:r>
      <w:r w:rsidR="005D5F2A"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{"citationID":"UUUL3rT1","properties":{"formattedCitation":"(Goergen et al., 2005)","plainCitation":"(Goergen et al., 2005)","noteIndex":0},"citationItems":[{"id":3391,"uris":["http://zotero.org/users/5304766/items/GQR55IUH"],"itemData":{"id":3391,"type":"book","abstract":"A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(Goergen et al., 2005)</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Chemical control is the most widely used method of combating stored food pests. However, this method has harmful effects on the environment and on human health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{"citationID":"jQPD7r6K","properties":{"formattedCitation":"(Hamel et al., 2020)","plainCitation":"(Hamel et al., 2020)","noteIndex":0},"citationItems":[{"id":3575,"uris":["http://zotero.org/users/5304766/items/S3ARTSHG"],"itemData":{"id":3575,"type":"article-journal","abstract":"At a time when there is much talk of reducing pesticide use and the implementation of integrated pest management, mainly in fields and glass-houses, it is appropriate to consider how cereals in storage are handled and what measures are taken to protect them against insects and other pests. For decades, the use of various synthetic pesticides has been the basis for the proper and long-term storage of cereals, primarily free of insects and mites, but also fungi and their mycotoxins and rodents. However, due to the registered negative effects of synthetic pesticides, such as dichloro-diphenyl-trihloroethane (DDT) or methyl bromide, on human health and the environment, and the appearance of resistance to, e.g., malathion, researchers have been looking for new acceptable control measures. Due to the proven and published non-acceptable data regarding synthetic pesticide effects, a combination of physical, mechanical, and biological measures with the minimal use of synthetic pesticides, under the name of integrated pest management, have been promoted. These combinations include high and low temperatures; the removal of dockages; and the application of pheromones, diatomaceous earth, and natural compounds from various plants, as well as inert gases, predators, and parasites. A ban of any synthetic pesticide usage is currently being considered, which emphasizes the fact that protection should only be performed by measures that do not leave harmful residues. However, the facts show that the application of physical, mechanical, and/or biological measures, besides the fact that they are not necessarily efficient, is very demanding because more knowledge and experience is required, as well as better equipment, greater financial investment, and awareness raising not only for agricultural producers and storage keepers, but also for consumers. In order to use these measures, which are less hazardous to humans and the environment, it is necessary to adapt regulations not only to speed up the registration protocols of low-risk pesticides, but also to prescribe criteria for placing agricultural products on the market, as well as quality standards, i.e., the permitted number of present insects, in addition to their parts in certain types of food. Additionally, we should be aware of control measures for protecting novel food and other non-traditional foods. It is important to continue to combine different protection measures, namely integrated pest management, until all of the other new procedures that must be carried out during the period of storing cereals and other products are clear, in order to ensure the best quality of final products for consumers.","container-title":"Insects","DOI":"10.3390/insects11120846","ISSN":"2075-4450","issue":"12","language":"en","license":"http://creativecommons.org/licenses/by/3.0/","note":"number: 12\npublisher: Multidisciplinary Digital Publishing Institute","page":"846","source":"www.mdpi.com","title":"Storage of Cereals in Warehouses with or without Pesticides","volume":"11","author":[{"family":"Hamel","given":"Darka"},{"family":"Rozman","given":"Vlatka"},{"family":"Liška","given":"Anita"}],"issued":{"date-parts":[["2020",12]]}}}],"schema":"https://github.com/citation-style-language/schema/raw/master/csl-citation.json"}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(Hamel et al., 2020)</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w:t>
      </w:r>
      <w:r w:rsidR="004A251E" w:rsidRPr="00632779">
        <w:rPr>
          <w:rFonts w:ascii="Times New Roman" w:hAnsi="Times New Roman" w:cs="Times New Roman"/>
          <w:lang w:val="en-US"/>
        </w:rPr>
        <w:t xml:space="preserve"> That's why we urgently need to find sustainable, more environmentally-friendly alternatives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{"citationID":"b33RrXAR","properties":{"formattedCitation":"(Shaaya et al., 1998)","plainCitation":"(Shaaya et al., 1998)","noteIndex":0},"citationItems":[{"id":3577,"uris":["http://zotero.org/users/5304766/items/PILDZQLH"],"itemData":{"id":3577,"type":"chapter","abstract":"Insect damage in stored grains and pulses may amount to 10–40% in countries where modern storage technologies have not been introduced. Currently, the measures taken to control pest infestation in grain and dry food products rely heavily upon the use of insecticides, which pose possible health hazards (to warm-blooded animals) and a risk of environmental contamination.","container-title":"Insecticides with Novel Modes of Action: Mechanisms and Application","event-place":"Berlin, Heidelberg","ISBN":"978-3-662-03565-8","language":"en","note":"DOI: 10.1007/978-3-662-03565-8_10","page":"171-187","publisher":"Springer","publisher-place":"Berlin, Heidelberg","source":"Springer Link","title":"Efficacy of Phyto-Oils as Contact Insecticides and Fumigants for the Control of Stored-Product Insects","URL":"https://doi.org/10.1007/978-3-662-03565-8_10","author":[{"family":"Shaaya","given":"E."},{"family":"Kostjukovsky","given":"M."}],"editor":[{"family":"Ishaaya","given":"Isaac"},{"family":"Degheele","given":"Danny"}],"accessed":{"date-parts":[["2024",11,10]]},"issued":{"date-parts":[["1998"]]}}}],"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(Shaaya et al., 1998)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Natural insecticides made from secondary plant substances should be more widely used as alternatives to synthetic pesticides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{"citationID":"3eVMB0Mu","properties":{"formattedCitation":"(Isman et al., 2017)","plainCitation":"(Isman et al., 2017)","noteIndex":0},"citationItems":[{"id":3581,"uris":["http://zotero.org/users/5304766/items/KECTTBKH"],"itemData":{"id":3581,"type":"chapter","container-title":"Green pesticides handbook","page":"27–40","publisher":"CRC Press","source":"Google Scholar","title":"Commercialization of insecticides based on plant essential oils: Past, present, and future","title-short":"Commercialization of insecticides based on plant essential oils","URL":"https://www.taylorfrancis.com/chapters/edit/10.1201/9781315153131-2/commercialization-insecticides-based-plant-essential-oils-past-present-future-murray-isman-jun-hyung-tak","author":[{"family":"Isman","given":"Murray B."},{"family":"Tak","given":"Jun-Hyung"}],"accessed":{"date-parts":[["2024",11,10]]},"issued":{"date-parts":[["2017"]]}}}],"schema":"https://github.com/citation-style-language/schema/raw/master/csl-citation.json"}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(Isman et al., 2017)</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They have low toxicity for non-target </w:t>
      </w:r>
      <w:r w:rsidR="00966ABD" w:rsidRPr="00632779">
        <w:rPr>
          <w:rFonts w:ascii="Times New Roman" w:hAnsi="Times New Roman" w:cs="Times New Roman"/>
          <w:lang w:val="en-US"/>
        </w:rPr>
        <w:t>organisms,</w:t>
      </w:r>
      <w:r w:rsidR="004A251E" w:rsidRPr="00632779">
        <w:rPr>
          <w:rFonts w:ascii="Times New Roman" w:hAnsi="Times New Roman" w:cs="Times New Roman"/>
          <w:lang w:val="en-US"/>
        </w:rPr>
        <w:t xml:space="preserve"> and their mode of action is varied due to their phytochemical composition. The forestry industry produces over 2 million m</w:t>
      </w:r>
      <w:r w:rsidR="004A251E" w:rsidRPr="00632779">
        <w:rPr>
          <w:rFonts w:ascii="Times New Roman" w:hAnsi="Times New Roman" w:cs="Times New Roman"/>
          <w:vertAlign w:val="superscript"/>
          <w:lang w:val="en-US"/>
        </w:rPr>
        <w:t>3</w:t>
      </w:r>
      <w:r w:rsidR="004A251E" w:rsidRPr="00632779">
        <w:rPr>
          <w:rFonts w:ascii="Times New Roman" w:hAnsi="Times New Roman" w:cs="Times New Roman"/>
          <w:lang w:val="en-US"/>
        </w:rPr>
        <w:t xml:space="preserve"> of sawdust a year worldwide</w:t>
      </w:r>
      <w:r w:rsidR="005D5F2A" w:rsidRPr="00632779">
        <w:rPr>
          <w:rFonts w:ascii="Times New Roman" w:hAnsi="Times New Roman" w:cs="Times New Roman"/>
          <w:lang w:val="en-US"/>
        </w:rPr>
        <w:t xml:space="preserve"> </w:t>
      </w:r>
      <w:r w:rsidR="005D5F2A" w:rsidRPr="00632779">
        <w:rPr>
          <w:rFonts w:ascii="Times New Roman" w:hAnsi="Times New Roman" w:cs="Times New Roman"/>
          <w:u w:val="single"/>
        </w:rPr>
        <w:fldChar w:fldCharType="begin"/>
      </w:r>
      <w:r w:rsidR="00796671">
        <w:rPr>
          <w:rFonts w:ascii="Times New Roman" w:hAnsi="Times New Roman" w:cs="Times New Roman"/>
          <w:u w:val="single"/>
          <w:lang w:val="en-US"/>
        </w:rPr>
        <w:instrText xml:space="preserve"> ADDIN ZOTERO_ITEM CSL_CITATION {"citationID":"562ymdOd","properties":{"formattedCitation":"(Cheah et al., 2013; Mwango et al., 2019)","plainCitation":"(Cheah et al., 2013; Mwango et al., 2019)","noteIndex":0},"citationItems":[{"id":958,"uris":["http://zotero.org/users/5304766/items/FN9GKNIV"],"itemData":{"id":958,"type":"article-journal","abstract":"High calcium wood ash (HCWA) and densified silica fume (DSF) exhibit good cementitious properties and has a great potential as supplementary binder material for the concrete production industry. The experimental investigation was conducted to study the properties of HCWADSF cement and the mechanical behaviour of HCWA–DSF high performance mortar. A total of twelve different blended cement pastes and mortar mixes were fabricated with the use of HCWA at various cement replacement levels of 0% to 20% in combination with 7.5% densified silica fume (DSF) by total binder weight and subjected to rheological and mechanical strength tests. The rheological properties of blended cement paste studied are standard consistency, initial setting time and final setting time. The mechanical strength parameters of mortar covered in the study are compressive strength, flexural strength, static modulus of elasticity and dynamic modulus of elasticity. Experimental results indicated that the inclusion of HCWA at the content of 2–20% by binder weight does not have significant influence on the standard consistency of HCWA–DSF blended cement but significantly prolonged the setting times of the blended cement paste. The combined use of HCWA (2–6% by binder weight) and DSF (7.5% by binder weight) as supplementary binder material produced mortar mixes which exhibited compressive and flexure strengths which are 2.4–31.2% higher than equivalent ordinary Portland cement (OPC) mortar. Besides, the use of HCWA at cement replacement levels between 2% and 12% with 7.5% DSF by weight of binder was found to enhance the static and dynamic modulus of Portland cement mortar by 1.9–24.7%. The observed improvement in the mechanical properties is due to a significant densification in the microstructure of cement paste matrix in the presence of HCWA and DSF hybrid supplementary binder as observed from micrographs obtained in the study.","collection-title":"Special Section on Recycling Wastes for Use as Construction Materials","container-title":"Construction and Building Materials","DOI":"10.1016/j.conbuildmat.2012.10.010","ISSN":"0950-0618","journalAbbreviation":"Construction and Building Materials","page":"93-103","source":"ScienceDirect","title":"The engineering properties of high performance concrete with HCWA–DSF supplementary binder","volume":"40","author":[{"family":"Cheah","given":"Chee Ban"},{"family":"Ramli","given":"Mahyuddin"}],"issued":{"date-parts":[["2013",3,1]]}}},{"id":1375,"uris":["http://zotero.org/users/5304766/items/J44L72Z3"],"itemData":{"id":1375,"type":"article-journal","abstract":"Many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u w:val="single"/>
        </w:rPr>
        <w:fldChar w:fldCharType="separate"/>
      </w:r>
      <w:r w:rsidR="00796671" w:rsidRPr="00171F74">
        <w:rPr>
          <w:rFonts w:ascii="Times New Roman" w:hAnsi="Times New Roman" w:cs="Times New Roman"/>
          <w:lang w:val="en-US"/>
        </w:rPr>
        <w:t>(Cheah et al., 2013;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Sawmills generate 40 to 60% of the solid waste resulting from the processing of logs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{"citationID":"KbD8hds0","properties":{"formattedCitation":"(Souza et al., 2018)","plainCitation":"(Souza et al., 2018)","noteIndex":0},"citationItems":[{"id":959,"uris":["http://zotero.org/users/5304766/items/MMMXU38P"],"itemData":{"id":959,"type":"article-journal","abstract":"The search for materials made from renewable sources and free from toxic substances is a global trend towards a cleaner production, and this can be extended to the development of wood-based panels. World production of wood-based panels in 2014 was 388 million cubic meters, which represents an increase of 34% compared to 2010. However, the industrial sector of wood-based panels has been facing some gaps and challenges regarding the toxic emissions coming from conventional adhesives applied to the manufacture of panels. Faced with these problems, the aim of this study was to assess the technical feasibility and environmental aspects of manufacturing a particleboard made with wood waste and epoxy based ink-waste as adhesive. To this end, the particleboard reinforcement phase was made of particles of wood waste of Pinus sp. and Teak (Tectona grandis) species, while residual ink resin-based epoxy was used as alternative adhesive to reduce demand for urea formaldehyde resin. Particleboards were manufactured and tested by varying some production parameters, namely: low, medium and high-density panel classifications; 20, 30 and 40% epoxy resin content; and mixture of Pinus and Teak wood waste particles from 0, 25, 50, 75, 100%. Physical-mechanical performance of the manufactured particleboards were evaluated according to ABNT NBR 14810 (2013) and ANSI A208.1 (2009) Standard Codes. Statistical analyzes based on Analysis of variance (ANOVA) were used to test the influence of each individual factor (density, adhesive percentage and fraction of Pinus/Teak particles) and their interactions under the physical-mechanical properties. Results showed a satisfactory performance in terms of physical and mechanical properties for treatments with high density (up to 0.80 g/cm³), 30–40% epoxy based ink-waste adhesive and 50–100% Teak wood particles. In most of the cases, the evaluated properties were superior to the compared requirements available at Standard Codes. Finally, it was developed an environmental performance of the particleboards based on a simplified Life Cycle Assessment (LCA) method, and results highlighted some positive environmental aspects as well as social-economic benefits, especially for suppliers of wood waste and resin epoxy residues, and also due to minimization of air releases of free formaldehyde and energy consumption in the production of panels.","container-title":"Journal of Cleaner Production","DOI":"10.1016/j.jclepro.2018.05.087","ISSN":"0959-6526","journalAbbreviation":"Journal of Cleaner Production","page":"549-562","source":"ScienceDirect","title":"Wood-based composite made of wood waste and epoxy based ink-waste as adhesive: A cleaner production alternative","title-short":"Wood-based composite made of wood waste and epoxy based ink-waste as adhesive","volume":"193","author":[{"family":"Souza","given":"Amós M."},{"family":"Nascimento","given":"Maria F."},{"family":"Almeida","given":"Diego H."},{"family":"Lopes Silva","given":"Diogo A."},{"family":"Almeida","given":"Tiago H."},{"family":"Christoforo","given":"André L."},{"family":"Lahr","given":"Francisco A. R."}],"issued":{"date-parts":[["2018",8,20]]}}}],"schema":"https://github.com/citation-style-language/schema/raw/master/csl-citation.json"}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(Souza et al., 2018)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The failure to recover and manage this waste leads to serious health and environmental problems, such as air and water pollution, greenhouse gas emissions</w:t>
      </w:r>
      <w:r w:rsidR="00BB7615">
        <w:rPr>
          <w:rFonts w:ascii="Times New Roman" w:hAnsi="Times New Roman" w:cs="Times New Roman"/>
          <w:lang w:val="en-US"/>
        </w:rPr>
        <w:t>,</w:t>
      </w:r>
      <w:r w:rsidR="004A251E" w:rsidRPr="00632779">
        <w:rPr>
          <w:rFonts w:ascii="Times New Roman" w:hAnsi="Times New Roman" w:cs="Times New Roman"/>
          <w:lang w:val="en-US"/>
        </w:rPr>
        <w:t xml:space="preserve"> and the destruction of aquatic life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{"citationID":"6Z1Ln0Vp","properties":{"formattedCitation":"(Cetiner et al., 2018; Mwango et al., 2019)","plainCitation":"(Cetiner et al., 2018; Mwango et al., 2019)","noteIndex":0},"citationItems":[{"id":956,"uris":["http://zotero.org/users/5304766/items/MUWFH9GD"],"itemData":{"id":956,"type":"article-journal","abstract":"Current insulation materials in the construction market, which are predominantly inorganic materials, have a high performance in relation to heat transfer, i.e. high R-values, but the environmental impacts in their production processes are significant. The use of bio-based natural fibre materials such as cork, cotton, wood fibre, hemp, etc. with their lower embodied energy, moisture buffering capacity and, consequently, improved Indoor Environmental Quality have received increasing focus in both research and application, particularly amongst environmentally-conscious clients and designers. In this study a natural fibre material in the form of wood waste is examined experimentally to assess its suitability for use as a thermal insulation material, without the addition of any binder, within a timber frame wall construction. The wood waste is from primary production sources using untreated material. According to our experimental results, the thermal conductivity values of wood waste with different densities, ranged from 0.048 to 0.055 W/mK. These values are slightly higher than commonly used inorganic based insulation materials, although comparable to other natural insulation materials in the market, but have the economic advantage of being a low-cost by-product. The values relating to the material hygric performance including the water vapour diffusion resistance factor, water vapour permeability, and water absorption coefficient were also determined and presented, which will help facilitate future hygrothermal modelling.","container-title":"Energy and Buildings","DOI":"10.1016/j.enbuild.2018.03.019","ISSN":"0378-7788","journalAbbreviation":"Energy and Buildings","page":"374-384","source":"ScienceDirect","title":"Wood waste as an alternative thermal insulation for buildings","volume":"168","author":[{"family":"Cetiner","given":"Ikbal"},{"family":"Shea","given":"Andrew D."}],"issued":{"date-parts":[["2018",6,1]]}}},{"id":1375,"uris":["http://zotero.org/users/5304766/items/J44L72Z3"],"itemData":{"id":1375,"type":"article-journal","abstract":"Many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rPr>
        <w:fldChar w:fldCharType="separate"/>
      </w:r>
      <w:r w:rsidR="00796671" w:rsidRPr="00171F74">
        <w:rPr>
          <w:rFonts w:ascii="Times New Roman" w:hAnsi="Times New Roman" w:cs="Times New Roman"/>
          <w:lang w:val="en-US"/>
        </w:rPr>
        <w:t>(Cetiner et al., 2018;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In addition, several studies have revealed that sustainable tropical species synthesise </w:t>
      </w:r>
      <w:r w:rsidR="00E820D2" w:rsidRPr="00632779">
        <w:rPr>
          <w:rFonts w:ascii="Times New Roman" w:hAnsi="Times New Roman" w:cs="Times New Roman"/>
          <w:lang w:val="en-US"/>
        </w:rPr>
        <w:lastRenderedPageBreak/>
        <w:t xml:space="preserve">biomolecules in their wood that are responsible for their natural resistance, such as total phenols, tannins and flavonoids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{"citationID":"cux7MSjH","properties":{"formattedCitation":"(Niamk\\uc0\\u233{} et al., 2021)","plainCitation":"(Niamké et al., 2021)","noteIndex":0},"citationItems":[{"id":898,"uris":["http://zotero.org/users/5304766/items/YUW2E2VE"],"itemData":{"id":898,"type":"chapter","container-title":"The Teak Genome","event-place":"Cham","ISBN":"978-3-030-79310-4","language":"en","note":"collection-title: Compendium of Plant Genomes\nDOI: 10.1007/978-3-030-79311-1_7","page":"83-102","publisher":"Springer International Publishing","publisher-place":"Cham","source":"DOI.org (Crossref)","title":"Teakwood Chemistry and Natural Durability","URL":"https://link.springer.com/10.1007/978-3-030-79311-1_7","editor":[{"family":"Ramasamy","given":"Yasodha"},{"family":"Galeano","given":"Esteban"},{"family":"Win","given":"Thwe Thwe"}],"author":[{"family":"Niamké","given":"Florence Bobelé"},{"family":"Amusant","given":"Nadine"},{"family":"Augustin","given":"Adima Amissa"},{"family":"Chaix","given":"Gilles"}],"accessed":{"date-parts":[["2024",4,4]]},"issued":{"date-parts":[["2021"]]}}}],"schema":"https://github.com/citation-style-language/schema/raw/master/csl-citation.json"} </w:instrText>
      </w:r>
      <w:r w:rsidR="00646F4D" w:rsidRPr="00632779">
        <w:rPr>
          <w:rFonts w:ascii="Times New Roman" w:hAnsi="Times New Roman" w:cs="Times New Roman"/>
          <w:lang w:val="en-US"/>
        </w:rPr>
        <w:fldChar w:fldCharType="separate"/>
      </w:r>
      <w:r w:rsidR="00796671" w:rsidRPr="00796671">
        <w:rPr>
          <w:rFonts w:ascii="Times New Roman" w:hAnsi="Times New Roman" w:cs="Times New Roman"/>
          <w:kern w:val="0"/>
          <w:lang w:val="en-US"/>
        </w:rPr>
        <w:t>(Niamké et al., 2021)</w:t>
      </w:r>
      <w:r w:rsidR="00646F4D" w:rsidRPr="00632779">
        <w:rPr>
          <w:rFonts w:ascii="Times New Roman" w:hAnsi="Times New Roman" w:cs="Times New Roman"/>
          <w:lang w:val="en-US"/>
        </w:rPr>
        <w:fldChar w:fldCharType="end"/>
      </w:r>
      <w:r w:rsidR="00BB3C8A" w:rsidRPr="00632779">
        <w:rPr>
          <w:rFonts w:ascii="Times New Roman" w:hAnsi="Times New Roman" w:cs="Times New Roman"/>
          <w:lang w:val="en-US"/>
        </w:rPr>
        <w:t xml:space="preserve">. </w:t>
      </w:r>
      <w:r w:rsidR="00E820D2" w:rsidRPr="00632779">
        <w:rPr>
          <w:rFonts w:ascii="Times New Roman" w:hAnsi="Times New Roman" w:cs="Times New Roman"/>
          <w:lang w:val="en-US"/>
        </w:rPr>
        <w:t>However, a large quantity of bioactive compounds (flavonoids, terpenes, e</w:t>
      </w:r>
      <w:r w:rsidR="00052DC0" w:rsidRPr="00632779">
        <w:rPr>
          <w:rFonts w:ascii="Times New Roman" w:hAnsi="Times New Roman" w:cs="Times New Roman"/>
          <w:lang w:val="en-US"/>
        </w:rPr>
        <w:t>g</w:t>
      </w:r>
      <w:r w:rsidR="00E820D2" w:rsidRPr="00632779">
        <w:rPr>
          <w:rFonts w:ascii="Times New Roman" w:hAnsi="Times New Roman" w:cs="Times New Roman"/>
          <w:lang w:val="en-US"/>
        </w:rPr>
        <w:t>) present in certain tree branches, such as knots, are very often left behind when the wood is processed, and knots are richer in bioactive substances than the heartwood and sapwood of softwoods</w:t>
      </w:r>
      <w:r w:rsidR="008C06EC"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{"citationID":"nWgfFLbH","properties":{"formattedCitation":"(Kebbi-Benkeder, 2015)","plainCitation":"(Kebbi-Benkeder, 2015)","noteIndex":0},"citationItems":[{"id":644,"uris":["http://zotero.org/users/5304766/items/4A2VT6PG"],"itemData":{"id":644,"type":"thesis","abstract":"Le bois est un matériau renouvelable utilisé par l’Homme pour la construction, l’ameublement, la fabrication du papier, l’énergie, etc. Le bois contient des extractibles d’un grand intérêt économique appartenant à diverses familles chimiques telles que les terpènes, les flavonoïdes, les tanins, etc. Les nœuds (base de la branche englobée dans le tronc) de certaines essences sont extrêmement riches en extractibles. Ce travail a pour objectif l’analyse des variabilités interspécifiques, intraspécifiques et intra-arbre des extractibles nodaux, afin de cibler les essences, les stations et les parties de l’arbre les plus riches. Pour cela, les nœuds de vingt-trois essences, puis ceux de quinze sapins ayant poussé dans des conditions différentes ont été extraits par différents solvants et analysés. Les résultats confirment la richesse des nœuds par rapport au duramen et à l’aubier pour toutes les essences. Globalement, les nœuds des résineux contiennent plus d’extractibles que les feuillus. Les principaux composés identifiés chez les résineux sont des lignanes, des stilbènes, des flavonoïdes et des terpènes. L’acide gallique et des flavonoïdes sont présents chez les feuillus. L’étude du profil vertical montre que les concentrations diminuent de la base du houppier vers la cime de l’arbre. De plus, les résultats mettent en évidence l’influence des conditions de croissance puisque les arbres dominants, et/ou ayant poussé selon des sylvicultures dynamiques sont particulièrement riches en extractibles nodaux. Ces résultats permettent d’envisager la valorisation des coproduits des industries du bois en tant que ressource de molécules bioactives pour diverses applications. Mots clés : nœud, extractible, lignane, flavonoïde, stilbène, terpène.","event-place":"France, 206 p","genre":"PhD Thesis","number-of-pages":"206 p","publisher":"Institut des Sciences et Industries du Vivant et de l’Environnement, AgroParisTech","publisher-place":"France, 206 p","source":"Google Scholar","title":"Biodiversité interspécifique et intraspécifique des extractibles nodaux","URL":"https://sci-hub.do/https://pastel.hal.science/tel-01374613/","author":[{"family":"Kebbi-Benkeder","given":"Zineb"}],"accessed":{"date-parts":[["2023",10,31]]},"issued":{"date-parts":[["2015"]]}}}],"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(Kebbi-Benkeder, 2015)</w:t>
      </w:r>
      <w:r w:rsidR="00646F4D" w:rsidRPr="00632779">
        <w:rPr>
          <w:rFonts w:ascii="Times New Roman" w:hAnsi="Times New Roman" w:cs="Times New Roman"/>
          <w:lang w:val="en-US"/>
        </w:rPr>
        <w:fldChar w:fldCharType="end"/>
      </w:r>
      <w:r w:rsidR="00646F4D" w:rsidRPr="00632779">
        <w:rPr>
          <w:rFonts w:ascii="Times New Roman" w:hAnsi="Times New Roman" w:cs="Times New Roman"/>
          <w:lang w:val="en-US"/>
        </w:rPr>
        <w:t>.</w:t>
      </w:r>
      <w:r w:rsidR="008C06EC" w:rsidRPr="00632779">
        <w:rPr>
          <w:rFonts w:ascii="Times New Roman" w:hAnsi="Times New Roman" w:cs="Times New Roman"/>
          <w:lang w:val="en-US"/>
        </w:rPr>
        <w:t xml:space="preserve"> </w:t>
      </w:r>
    </w:p>
    <w:p w14:paraId="0F35B9E8" w14:textId="77777777" w:rsidR="00033D04" w:rsidRDefault="00E820D2" w:rsidP="00033D04">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In addition, the sapwood rejected in most cases during wood processing may also contain non-structural carbohydrates, gums, resins, </w:t>
      </w:r>
      <w:r w:rsidR="009D462A" w:rsidRPr="00632779">
        <w:rPr>
          <w:rFonts w:ascii="Times New Roman" w:hAnsi="Times New Roman" w:cs="Times New Roman"/>
          <w:lang w:val="en-US"/>
        </w:rPr>
        <w:t>silicates,</w:t>
      </w:r>
      <w:r w:rsidRPr="00632779">
        <w:rPr>
          <w:rFonts w:ascii="Times New Roman" w:hAnsi="Times New Roman" w:cs="Times New Roman"/>
          <w:lang w:val="en-US"/>
        </w:rPr>
        <w:t xml:space="preserve"> or extractives precursors. In fact, the synthesis of bioactive extractives in the sapwood, precursors of extractives stored in the heartwood during the duraminisation process, shows just how important the sapwood is in terms of molecules of interest</w:t>
      </w:r>
      <w:r w:rsidR="00646F4D"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{"citationID":"xTiqea1S","properties":{"formattedCitation":"(Taylor et al., 2002; Hillis, 2012; Lehnebach, 2015)","plainCitation":"(Taylor et al., 2002; Hillis, 2012; Lehnebach, 2015)","noteIndex":0},"citationItems":[{"id":1314,"uris":["http://zotero.org/users/5304766/items/F9WQXB7G"],"itemData":{"id":1314,"type":"book","abstract":"Why prepare a treatise on Heartwood and Tree Exudates? Why consider both topics together? What approach should be taken in their treatment? The exudates were one of the earliest items of trade between family, tribal, and racial groupings in prehistoric times. They became used extensively as items for the manufacture of implements and as commercial goods for illumination, for cosmetic, religious and magical purposes. Later heartwood from various trees entered intra and international trade for prestigious and religious buildings (when cedars were used), for the furniture (e.g., ebony, mahogany) of the nobility, for boats and vehicles. Consideration of their relevance to anthropology, and to the origin of technological developments in different primitive cultures, would satisfy a personal life-long interest. Attention to such a topic is urgently needed now that the development and destruction of land and forests is increasing and wiping out the traces of earlier people to meet the demands of the rapidly enlarging populations of today. The latter represents an even more urgent need. Increasingly, mankind will depend on renewable,resources produced at low energy cost. Forest products are one of these and the greater demands for them will require their growth and utilization with reduced loss and waste.","ISBN":"978-3-642-72534-0","language":"en","note":"Google-Books-ID: w2DwCAAAQBAJ","number-of-pages":"280","publisher":"Springer Science &amp; Business Media, 280 p","source":"Google Books","title":"Heartwood and Tree Exudates","author":[{"family":"Hillis","given":"William E."}],"issued":{"date-parts":[["2012",12,6]]}}},{"id":4607,"uris":["http://zotero.org/users/5304766/items/SN9PZYEL"],"itemData":{"id":4607,"type":"thesis","abstract":"Le bois est un tissu plurifonctionnel permettant la conduction de la sève brute, le stockage de l’eau et des sucres ainsi que le soutien mécanique de la plante. L’arbre au cours de son développement expérimente différentes contraintes liées à son environnement et à sa taille croissante. En réponse à ces contraintes, les performances fonctionnelles du bois sont ajustées par des variations de valeurs de propriétés, elles-mêmes dépendantes du produit de la xylogénèse. Cependant les extrais chimiques déposés lors du processus de duraminisation, entraine la modification des propriétés du bois. Les propriétés du duramen sont le fruit de la xylognénése et de la duraminisation ainsi que de leurs interactions. Ce travail de thèse a donné naissance au terme ‘profil ligneux’, désignant l’ensemble des variations des propriétés du bois à différentes échelles et dans une dimension ontogénique résultant des deux processus cités précédemment. La diversité de tempéraments vis-à-vis de la lumière (héliophilie à sciaphilie) des essences tropicales suggère une diversité d’expressions du profil ligneux. La description de ces différentes expressions serait gage d’une meilleure compréhension du tempérament. Comprendre et caractériser le profil ligneux et la variation de la quantité de bois de cœur dans l’arbre, représentent également un enjeu économique puisque l’industrie du bois Guyanaise a été identifiée comme une filière d’avenir. L’analyse de la diversité du profil ligneux—par une approche ascendante, de l’échelle individuelle à l’échelle interspécifique—a prouvé son efficacité dans la discrimination du degré d’affinité à la lumière. La variation de densité est particuliérment pertinente. Néanmoins, sa pertinence réside dans (1) la combinaison du gradient radial et vertical et (2) la prise en compte du duramen qui modifie parfois, l’amplitude et la direction du gradient ainsi que la forme du profil.L’effet de la duraminisation sur la variation de densité devient alors évocateur du tempérament de l’espèce au même titre que la qualité et/ou la quantité d’extraits chimique mis en jeu. La pertinence du profil ligneux dans la caractérisation du tempérament écologique est due à son aspect intégrateur  de divers processus et propriétés. En regard du changement l’allocation de croissance (i.e. du tronc vers la couronne)  observée chez Dicorynia guianensis  et de travaux précédents sur la croissance des arbres, un lien potentiel entre la diversité du profil ligneux et la stratégie d’allocation de la croissance pourrait exister.","event-place":"France","genre":"These de doctorat","language":"Français","license":"Licence Etalab","number-of-pages":"269 p","publisher":"Montpellier","publisher-place":"France","source":"theses.fr","title":"Etude de la variabilité ontogénique du profil ligneux chez quelques espèces forestières tropicales de Guyane Française","URL":"https://theses.fr/2015MONTS021","author":[{"family":"Lehnebach","given":"Romain"}],"contributor":[{"family":"Nicolini","given":"Éric"}],"accessed":{"date-parts":[["2025",8,20]]},"issued":{"date-parts":[["2015",12,11]]}}},{"id":3113,"uris":["http://zotero.org/users/5304766/items/3YF3UKGD"],"itemData":{"id":3113,"type":"article-journal","container-title":"Wood and Fiber Science","journalAbbreviation":"Society of wood science and Technologiy","language":"English","page":"587-611","source":"Google Scholar","title":"Heartwood formation and natural durability-a review","volume":"34 (4)","author":[{"family":"Taylor","given":"Adam M."},{"family":"Gartner","given":"Barbara L."},{"family":"Morrell","given":"Jeffrey J."}],"issued":{"date-parts":[["2002"]]}}}],"schema":"https://github.com/citation-style-language/schema/raw/master/csl-citation.json"}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(Taylor et al., 2002; Hillis, 2012; Lehnebach, 2015)</w:t>
      </w:r>
      <w:r w:rsidR="00646F4D" w:rsidRPr="00632779">
        <w:rPr>
          <w:rFonts w:ascii="Times New Roman" w:hAnsi="Times New Roman" w:cs="Times New Roman"/>
          <w:lang w:val="en-US"/>
        </w:rPr>
        <w:fldChar w:fldCharType="end"/>
      </w:r>
      <w:r w:rsidR="008C06EC" w:rsidRPr="00632779">
        <w:rPr>
          <w:rFonts w:ascii="Times New Roman" w:hAnsi="Times New Roman" w:cs="Times New Roman"/>
          <w:lang w:val="en-US"/>
        </w:rPr>
        <w:t xml:space="preserve">. </w:t>
      </w:r>
      <w:r w:rsidRPr="00632779">
        <w:rPr>
          <w:rFonts w:ascii="Times New Roman" w:hAnsi="Times New Roman" w:cs="Times New Roman"/>
          <w:lang w:val="en-US"/>
        </w:rPr>
        <w:t xml:space="preserve">It has also been shown that trees grown in forests are now more disturbed than trees previously studied in the literature. New bioactive defense molecules are likely to be synthesized in these trees. This bio-waste should be sufficiently recovered to solve the problem of poor waste management and the sustainable recovery of natural resources. Indeed, the recovery of forestry waste appears to be an opportunity to generate added value for forestry products in all countries, and more specifically for developing countries. Although certain biomolecules have been chemically characterized, there are few applications as biopesticides against </w:t>
      </w:r>
      <w:commentRangeStart w:id="7"/>
      <w:r w:rsidRPr="00632779">
        <w:rPr>
          <w:rFonts w:ascii="Times New Roman" w:hAnsi="Times New Roman" w:cs="Times New Roman"/>
          <w:lang w:val="en-US"/>
        </w:rPr>
        <w:t>stock</w:t>
      </w:r>
      <w:commentRangeEnd w:id="7"/>
      <w:r w:rsidR="00D77F6A" w:rsidRPr="00632779">
        <w:rPr>
          <w:rStyle w:val="CommentReference"/>
          <w:rFonts w:ascii="Times New Roman" w:hAnsi="Times New Roman" w:cs="Times New Roman"/>
          <w:sz w:val="22"/>
          <w:szCs w:val="22"/>
          <w:lang w:val="en-US"/>
        </w:rPr>
        <w:commentReference w:id="7"/>
      </w:r>
      <w:r w:rsidRPr="00632779">
        <w:rPr>
          <w:rFonts w:ascii="Times New Roman" w:hAnsi="Times New Roman" w:cs="Times New Roman"/>
          <w:lang w:val="en-US"/>
        </w:rPr>
        <w:t xml:space="preserve"> pests. Given the functional properties of biomolecules, the extractives contained in forestry waste could be used as alternatives to synthetic chemical pesticides </w:t>
      </w:r>
      <w:r w:rsidR="000C12F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{"citationID":"X1Efish1","properties":{"formattedCitation":"(Jurd et al., 2002; De Mee\\uc0\\u251{}s, 2019)","plainCitation":"(Jurd et al., 2002; De Meeûs, 2019)","noteIndex":0},"citationItems":[{"id":1269,"uris":["http://zotero.org/users/5304766/items/4Q6N85VI"],"itemData":{"id":1269,"type":"report","abstract":"La forêt dense du Bassin du Congo est le deuxième plus grand massif forestier tropicalcontinu du Monde avec ses 169 millions d’hectares. Aujourd’hui menacé, cet écosystèmeforestier est au cœur d’enjeux socio-économiques et environnementaux majeurs. Lesexploitants forestiers, dont les concessions occupent près de 50 millions d’hectares, ont unrôle d’une grande importance dans la protection de cet écosystème par le biais d’une gestiondurable des ressources forestières. Toutefois, l’industrie du bois génère une grande quantité dedéchets qui ne sont à ce jour que peu valorisés et souvent brûlés. Avec la diminution desressources pétrolières, l’attrait pour la xylochimie augmente considérablement dans lessecteurs pharmaceutiques, agro-alimentaires ou encore cosmétiques. La valorisation desmolécules phytochimiques présentes dans le bois, l’écorce et les feuilles apparaît comme unesolution idéale pour d’une part valoriser les produits connexes de l’exploitation forestière etd’autre part trouver des alternatives aux produits pétrochimiques. Dans cette optique, laprésente étude s’est penchée sur l’Iroko (Milicia excelsa), une essence tropicale à haute valeurcommerciale présente dans l’Est du Cameroun. L’Iroko fait partie de la famille des Moracéeset sécrète un latex dont la composition est proche du latex du caoutchouc naturel. Dans unpremier temps, les extraits acétoniques du duramen, de l’aubier, de l’écorce et des feuilles ontété quantifiés et caractérisés en tenant compte des effets du stockage des grumes sur parc et detrois hauteurs d’échantillonnage. Dans un deuxième temps, afin de prouver l’intérêt devaloriser le latex d’Iroko, une analyse du taux protéique et du comportement thermique a étéentreprise. Les résultats ont montré que les extraits acétoniques des différents organescontenaient en abondance des composés phénoliques et flavonoïques, par ordre croissant,dans les feuilles, l’écorce, l’aubier et le duramen présentent des teneurs en composésphénoliques importantes. Des hautes teneurs en composés flavonoïques ont été quantifiées,par ordre croissant, dans le duramen, l’aubier, l’écorce et les feuilles. Parmi les composésphénoliques présents dans les extraits, le resvératrol et l’acide rosmarinique ont été identifiés.La hauteur d’échantillonnage n’a pas d’effet ni sur la composition ni sur les teneurs de cescomposés phénoliques. Par contre, la durée de stockage du bois sur parc a des effetssignificatifs sur la composition et les teneurs des composés phénoliques de l’aubier et del’écorce. Les analyses sur le latex d’Iroko ont dévoilés la présence de protéines en grandequantité qui peuvent toutefois être extraites à raison de près de 95% à l’acétone. Lecomportement thermique du latex est caractérisé par une température de transition vitreusehaute (1 - 10°C) et une dégradation thermique rapide et nette semblable à celle du caoutchoucnaturel.Ces résultats ouvrent des perspectives de valorisation des composés phénoliques duduramen et de l’aubier après stockage des grumes sur parc ainsi que l’écorce pour sescomposés flavonoïques. L’étude du latex devrait être également poursuivie afin d’envisagerune valorisation dans le secteur cosmétique.Mots-clés : Milicia excelsa, extraction du bois, latex, screening phytochimique, flavonoïde,polyphénols totaux, effet de stockage, hauteur d’échantillonnage","event-place":"Liège Université Gembloux, Agro-Bio Tech, Belgique, 73 p","genre":"Master de Bioingénerie","language":"Français","publisher-place":"Liège Université Gembloux, Agro-Bio Tech, Belgique, 73 p","source":"Google Scholar","title":"Caractérisation des extraits phénoliques et du latex de l'Iroko (Milicia excelsa)","URL":"https://matheo.uliege.be/bitstream/2268.2/7947/4/TFE%20Thom%20Thom.pdf","author":[{"family":"De Meeûs","given":"Thomas"}],"accessed":{"date-parts":[["2023",10,28]]},"issued":{"date-parts":[["2019"]]}}},{"id":1090,"uris":["http://zotero.org/users/5304766/items/EFSQAKYI"],"itemData":{"id":1090,"type":"webpage","container-title":"ACS Publications","language":"EN","note":"archive_location: world\npublisher: American Chemical Society\nDOI: 10.1021/jf60228a009","title":"Wood extractives as models for the development of new types of pest control agents","URL":"https://pubs.acs.org/doi/pdf/10.1021/jf60228a009","author":[{"family":"Jurd","given":"Leonard"},{"family":"Manners","given":"Gary D."}],"accessed":{"date-parts":[["2024",4,4]]},"issued":{"date-parts":[["2002",5,1]]}}}],"schema":"https://github.com/citation-style-language/schema/raw/master/csl-citation.json"} </w:instrText>
      </w:r>
      <w:r w:rsidR="000C12FA" w:rsidRPr="00632779">
        <w:rPr>
          <w:rFonts w:ascii="Times New Roman" w:hAnsi="Times New Roman" w:cs="Times New Roman"/>
        </w:rPr>
        <w:fldChar w:fldCharType="separate"/>
      </w:r>
      <w:r w:rsidR="00796671" w:rsidRPr="00171F74">
        <w:rPr>
          <w:rFonts w:ascii="Times New Roman" w:hAnsi="Times New Roman" w:cs="Times New Roman"/>
          <w:kern w:val="0"/>
          <w:lang w:val="en-US"/>
        </w:rPr>
        <w:t>(Jurd et al., 2002; De Meeûs, 2019)</w:t>
      </w:r>
      <w:r w:rsidR="000C12FA" w:rsidRPr="00632779">
        <w:rPr>
          <w:rFonts w:ascii="Times New Roman" w:hAnsi="Times New Roman" w:cs="Times New Roman"/>
        </w:rPr>
        <w:fldChar w:fldCharType="end"/>
      </w:r>
      <w:r w:rsidR="000C12FA" w:rsidRPr="00632779">
        <w:rPr>
          <w:rFonts w:ascii="Times New Roman" w:hAnsi="Times New Roman" w:cs="Times New Roman"/>
          <w:lang w:val="en-US"/>
        </w:rPr>
        <w:t xml:space="preserve">. </w:t>
      </w:r>
      <w:bookmarkStart w:id="8" w:name="_Toc191365560"/>
    </w:p>
    <w:p w14:paraId="2F1CCF08" w14:textId="0AD3EA2B" w:rsidR="00033D04" w:rsidRDefault="00033D04" w:rsidP="00033D04">
      <w:pPr>
        <w:spacing w:after="0" w:line="480" w:lineRule="auto"/>
        <w:jc w:val="both"/>
        <w:rPr>
          <w:rFonts w:ascii="Times New Roman" w:hAnsi="Times New Roman" w:cs="Times New Roman"/>
          <w:lang w:val="en-US"/>
        </w:rPr>
      </w:pPr>
      <w:r w:rsidRPr="00033D04">
        <w:rPr>
          <w:rFonts w:ascii="Times New Roman" w:hAnsi="Times New Roman" w:cs="Times New Roman"/>
          <w:lang w:val="en-US"/>
        </w:rPr>
        <w:t xml:space="preserve">This study aims to develop a natural pesticide from wood waste to kill insects that destroy stored crops. This work is important because it transforms wood waste into useful agricultural products, reducing pollution and the use of chemical pesticides while better protecting stored foodstuffs and the environment. This approach is part of a circular economy, emphasising the reuse of waste. Two types of wood were </w:t>
      </w:r>
      <w:commentRangeStart w:id="9"/>
      <w:r w:rsidRPr="00033D04">
        <w:rPr>
          <w:rFonts w:ascii="Times New Roman" w:hAnsi="Times New Roman" w:cs="Times New Roman"/>
          <w:lang w:val="en-US"/>
        </w:rPr>
        <w:t>analysed</w:t>
      </w:r>
      <w:commentRangeEnd w:id="9"/>
      <w:r w:rsidR="00804150" w:rsidRPr="00033D04">
        <w:rPr>
          <w:rStyle w:val="CommentReference"/>
          <w:rFonts w:ascii="Times New Roman" w:hAnsi="Times New Roman" w:cs="Times New Roman"/>
          <w:sz w:val="22"/>
          <w:szCs w:val="22"/>
          <w:lang w:val="en-US"/>
        </w:rPr>
        <w:commentReference w:id="9"/>
      </w:r>
      <w:r w:rsidRPr="00033D04">
        <w:rPr>
          <w:rFonts w:ascii="Times New Roman" w:hAnsi="Times New Roman" w:cs="Times New Roman"/>
          <w:lang w:val="en-US"/>
        </w:rPr>
        <w:t>: sapwood, which is generally discarded by the wood processing industry, and heartwood, which is valued by these industries.</w:t>
      </w:r>
    </w:p>
    <w:p w14:paraId="3E0577DB" w14:textId="58D99B04" w:rsidR="00E820D2" w:rsidRPr="00632779" w:rsidRDefault="00E820D2" w:rsidP="00632779">
      <w:pPr>
        <w:spacing w:line="480" w:lineRule="auto"/>
        <w:jc w:val="both"/>
        <w:rPr>
          <w:rFonts w:ascii="Times New Roman" w:hAnsi="Times New Roman" w:cs="Times New Roman"/>
          <w:i/>
          <w:iCs/>
          <w:lang w:val="en-US"/>
        </w:rPr>
      </w:pPr>
      <w:r w:rsidRPr="00632779">
        <w:rPr>
          <w:rFonts w:ascii="Times New Roman" w:hAnsi="Times New Roman" w:cs="Times New Roman"/>
          <w:lang w:val="en-US"/>
        </w:rPr>
        <w:t xml:space="preserve">For this reason, the present study aims to </w:t>
      </w:r>
      <w:commentRangeStart w:id="10"/>
      <w:r w:rsidRPr="00632779">
        <w:rPr>
          <w:rFonts w:ascii="Times New Roman" w:hAnsi="Times New Roman" w:cs="Times New Roman"/>
          <w:lang w:val="en-US"/>
        </w:rPr>
        <w:t>invent</w:t>
      </w:r>
      <w:commentRangeEnd w:id="10"/>
      <w:r w:rsidR="00460CC8" w:rsidRPr="00632779">
        <w:rPr>
          <w:rStyle w:val="CommentReference"/>
          <w:rFonts w:ascii="Times New Roman" w:hAnsi="Times New Roman" w:cs="Times New Roman"/>
          <w:sz w:val="22"/>
          <w:szCs w:val="22"/>
          <w:lang w:val="en-US"/>
        </w:rPr>
        <w:commentReference w:id="10"/>
      </w:r>
      <w:r w:rsidRPr="00632779">
        <w:rPr>
          <w:rFonts w:ascii="Times New Roman" w:hAnsi="Times New Roman" w:cs="Times New Roman"/>
          <w:lang w:val="en-US"/>
        </w:rPr>
        <w:t xml:space="preserve"> the main insect pests of maize stocks and to evaluate extracts from the three durable woods studied, namely Badi (</w:t>
      </w:r>
      <w:r w:rsidRPr="00632779">
        <w:rPr>
          <w:rFonts w:ascii="Times New Roman" w:hAnsi="Times New Roman" w:cs="Times New Roman"/>
          <w:i/>
          <w:iCs/>
          <w:lang w:val="en-US"/>
        </w:rPr>
        <w:t>Nauclea diderrichii</w:t>
      </w:r>
      <w:r w:rsidRPr="00632779">
        <w:rPr>
          <w:rFonts w:ascii="Times New Roman" w:hAnsi="Times New Roman" w:cs="Times New Roman"/>
          <w:lang w:val="en-US"/>
        </w:rPr>
        <w:t>), Bete (</w:t>
      </w:r>
      <w:r w:rsidRPr="00632779">
        <w:rPr>
          <w:rFonts w:ascii="Times New Roman" w:hAnsi="Times New Roman" w:cs="Times New Roman"/>
          <w:i/>
          <w:iCs/>
          <w:lang w:val="en-US"/>
        </w:rPr>
        <w:t>Mansonia altissima</w:t>
      </w:r>
      <w:r w:rsidRPr="00632779">
        <w:rPr>
          <w:rFonts w:ascii="Times New Roman" w:hAnsi="Times New Roman" w:cs="Times New Roman"/>
          <w:lang w:val="en-US"/>
        </w:rPr>
        <w:t>) and Iroko (</w:t>
      </w:r>
      <w:r w:rsidRPr="00632779">
        <w:rPr>
          <w:rFonts w:ascii="Times New Roman" w:hAnsi="Times New Roman" w:cs="Times New Roman"/>
          <w:i/>
          <w:iCs/>
          <w:lang w:val="en-US"/>
        </w:rPr>
        <w:t>Milicia excelsa</w:t>
      </w:r>
      <w:r w:rsidRPr="00632779">
        <w:rPr>
          <w:rFonts w:ascii="Times New Roman" w:hAnsi="Times New Roman" w:cs="Times New Roman"/>
          <w:lang w:val="en-US"/>
        </w:rPr>
        <w:t xml:space="preserve">), as potential biopesticides against </w:t>
      </w:r>
      <w:r w:rsidRPr="00632779">
        <w:rPr>
          <w:rFonts w:ascii="Times New Roman" w:hAnsi="Times New Roman" w:cs="Times New Roman"/>
          <w:i/>
          <w:iCs/>
          <w:lang w:val="en-US"/>
        </w:rPr>
        <w:t>S. zeamais</w:t>
      </w:r>
      <w:r w:rsidRPr="00632779">
        <w:rPr>
          <w:rFonts w:ascii="Times New Roman" w:hAnsi="Times New Roman" w:cs="Times New Roman"/>
          <w:lang w:val="en-US"/>
        </w:rPr>
        <w:t xml:space="preserve">. This article </w:t>
      </w:r>
      <w:r w:rsidRPr="00632779">
        <w:rPr>
          <w:rFonts w:ascii="Times New Roman" w:hAnsi="Times New Roman" w:cs="Times New Roman"/>
          <w:lang w:val="en-US"/>
        </w:rPr>
        <w:lastRenderedPageBreak/>
        <w:t xml:space="preserve">describes for the first time the insecticidal and repellent activity of sapwood and heartwood extracts against one of the most important pests of maize stocks, </w:t>
      </w:r>
      <w:r w:rsidRPr="00632779">
        <w:rPr>
          <w:rFonts w:ascii="Times New Roman" w:hAnsi="Times New Roman" w:cs="Times New Roman"/>
          <w:i/>
          <w:iCs/>
          <w:lang w:val="en-US"/>
        </w:rPr>
        <w:t xml:space="preserve">S. zeamais. </w:t>
      </w:r>
    </w:p>
    <w:p w14:paraId="6C0309F3" w14:textId="6D7E0F32" w:rsidR="00326DD5"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commentRangeStart w:id="11"/>
      <w:r w:rsidR="00326DD5" w:rsidRPr="00632779">
        <w:rPr>
          <w:rFonts w:ascii="Times New Roman" w:hAnsi="Times New Roman" w:cs="Times New Roman"/>
          <w:b/>
          <w:bCs/>
          <w:lang w:val="en-US"/>
        </w:rPr>
        <w:t xml:space="preserve">Material </w:t>
      </w:r>
      <w:commentRangeEnd w:id="11"/>
      <w:r w:rsidR="00685A1F" w:rsidRPr="00632779">
        <w:rPr>
          <w:rStyle w:val="CommentReference"/>
          <w:rFonts w:ascii="Times New Roman" w:hAnsi="Times New Roman" w:cs="Times New Roman"/>
          <w:b/>
          <w:bCs/>
          <w:sz w:val="22"/>
          <w:szCs w:val="22"/>
          <w:lang w:val="en-US"/>
        </w:rPr>
        <w:commentReference w:id="11"/>
      </w:r>
      <w:r w:rsidR="00326DD5" w:rsidRPr="00632779">
        <w:rPr>
          <w:rFonts w:ascii="Times New Roman" w:hAnsi="Times New Roman" w:cs="Times New Roman"/>
          <w:b/>
          <w:bCs/>
          <w:lang w:val="en-US"/>
        </w:rPr>
        <w:t>and methods</w:t>
      </w:r>
    </w:p>
    <w:p w14:paraId="5E99CA93" w14:textId="54FF0D10" w:rsidR="00B76EAB"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7B75A5" w:rsidRPr="00632779">
        <w:rPr>
          <w:rFonts w:ascii="Times New Roman" w:hAnsi="Times New Roman" w:cs="Times New Roman"/>
          <w:b/>
          <w:bCs/>
          <w:lang w:val="en-US"/>
        </w:rPr>
        <w:t>1</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w:t>
      </w:r>
    </w:p>
    <w:bookmarkEnd w:id="8"/>
    <w:p w14:paraId="72BFA908" w14:textId="15D34C8B" w:rsidR="007B75A5" w:rsidRPr="00632779" w:rsidRDefault="002305BE"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2.1.1</w:t>
      </w:r>
      <w:r w:rsidR="00BC37ED">
        <w:rPr>
          <w:rFonts w:ascii="Times New Roman" w:hAnsi="Times New Roman" w:cs="Times New Roman"/>
          <w:b/>
          <w:bCs/>
          <w:lang w:val="en-US"/>
        </w:rPr>
        <w:t>.</w:t>
      </w:r>
      <w:r w:rsidRPr="00632779">
        <w:rPr>
          <w:rFonts w:ascii="Times New Roman" w:hAnsi="Times New Roman" w:cs="Times New Roman"/>
          <w:b/>
          <w:bCs/>
          <w:lang w:val="en-US"/>
        </w:rPr>
        <w:t xml:space="preserve"> Plant</w:t>
      </w:r>
      <w:r w:rsidR="00326DD5" w:rsidRPr="00632779">
        <w:rPr>
          <w:rFonts w:ascii="Times New Roman" w:hAnsi="Times New Roman" w:cs="Times New Roman"/>
          <w:b/>
          <w:bCs/>
          <w:lang w:val="en-US"/>
        </w:rPr>
        <w:t xml:space="preserve"> material</w:t>
      </w:r>
    </w:p>
    <w:p w14:paraId="36A07EE9" w14:textId="04FBD8AC" w:rsidR="009861EE" w:rsidRPr="00632779" w:rsidRDefault="009861EE" w:rsidP="00632779">
      <w:pPr>
        <w:spacing w:after="0" w:line="480" w:lineRule="auto"/>
        <w:jc w:val="both"/>
        <w:rPr>
          <w:rFonts w:ascii="Times New Roman" w:hAnsi="Times New Roman" w:cs="Times New Roman"/>
          <w:lang w:val="en-US"/>
        </w:rPr>
      </w:pPr>
      <w:bookmarkStart w:id="12" w:name="_Toc191365563"/>
      <w:bookmarkStart w:id="13" w:name="_Toc191365561"/>
      <w:r w:rsidRPr="00632779">
        <w:rPr>
          <w:rFonts w:ascii="Times New Roman" w:hAnsi="Times New Roman" w:cs="Times New Roman"/>
          <w:lang w:val="en-US"/>
        </w:rPr>
        <w:t xml:space="preserve">The plant material consisted of maize seed of the variety EV8728-SR from an untreated experimental field planted between September and December 2020. The seeds were stored in polystyrene bags. The material also consisted of shredded sapwood and heartwood from three tropical forest species in Côte d'Ivoire: </w:t>
      </w:r>
      <w:r w:rsidRPr="00632779">
        <w:rPr>
          <w:rFonts w:ascii="Times New Roman" w:hAnsi="Times New Roman" w:cs="Times New Roman"/>
          <w:i/>
          <w:iCs/>
          <w:lang w:val="en-US"/>
        </w:rPr>
        <w:t>N. diderrichii</w:t>
      </w:r>
      <w:r w:rsidRPr="00632779">
        <w:rPr>
          <w:rFonts w:ascii="Times New Roman" w:hAnsi="Times New Roman" w:cs="Times New Roman"/>
          <w:lang w:val="en-US"/>
        </w:rPr>
        <w:t xml:space="preserve"> (Badi), </w:t>
      </w:r>
      <w:r w:rsidRPr="00632779">
        <w:rPr>
          <w:rFonts w:ascii="Times New Roman" w:hAnsi="Times New Roman" w:cs="Times New Roman"/>
          <w:i/>
          <w:iCs/>
          <w:lang w:val="en-US"/>
        </w:rPr>
        <w:t>M. altissima</w:t>
      </w:r>
      <w:r w:rsidRPr="00632779">
        <w:rPr>
          <w:rFonts w:ascii="Times New Roman" w:hAnsi="Times New Roman" w:cs="Times New Roman"/>
          <w:lang w:val="en-US"/>
        </w:rPr>
        <w:t xml:space="preserve"> (Bete)</w:t>
      </w:r>
      <w:r w:rsidR="00476D76">
        <w:rPr>
          <w:rFonts w:ascii="Times New Roman" w:hAnsi="Times New Roman" w:cs="Times New Roman"/>
          <w:lang w:val="en-US"/>
        </w:rPr>
        <w:t>,</w:t>
      </w:r>
      <w:r w:rsidRPr="00632779">
        <w:rPr>
          <w:rFonts w:ascii="Times New Roman" w:hAnsi="Times New Roman" w:cs="Times New Roman"/>
          <w:lang w:val="en-US"/>
        </w:rPr>
        <w:t xml:space="preserve"> and </w:t>
      </w:r>
      <w:r w:rsidRPr="00632779">
        <w:rPr>
          <w:rFonts w:ascii="Times New Roman" w:hAnsi="Times New Roman" w:cs="Times New Roman"/>
          <w:i/>
          <w:iCs/>
          <w:lang w:val="en-US"/>
        </w:rPr>
        <w:t>M. excelsa</w:t>
      </w:r>
      <w:r w:rsidRPr="00632779">
        <w:rPr>
          <w:rFonts w:ascii="Times New Roman" w:hAnsi="Times New Roman" w:cs="Times New Roman"/>
          <w:lang w:val="en-US"/>
        </w:rPr>
        <w:t xml:space="preserve"> (Iroko).</w:t>
      </w:r>
    </w:p>
    <w:p w14:paraId="03D4151C" w14:textId="5B45923F" w:rsidR="00C13731"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bookmarkEnd w:id="12"/>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Chemical materiel</w:t>
      </w:r>
    </w:p>
    <w:p w14:paraId="1FDE3C91" w14:textId="77777777" w:rsidR="003F2F3F" w:rsidRPr="00632779" w:rsidRDefault="003F2F3F"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Protect DP, a registered synthetic chemical insecticide for stored grain, consisting of deltamethrin 1 g/Kg and pirimiphos-methyl 15 g/Kg for the 50 g sachet, was used. 70° alcohol was used to prepare the positive control (water and ethanol). </w:t>
      </w:r>
    </w:p>
    <w:p w14:paraId="394BA482" w14:textId="16147E9C"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3</w:t>
      </w:r>
      <w:bookmarkEnd w:id="13"/>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Animal material</w:t>
      </w:r>
    </w:p>
    <w:p w14:paraId="43DBADCB" w14:textId="16D4F120" w:rsidR="007A4216" w:rsidRPr="00632779" w:rsidRDefault="007A4216"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The animal material consisted of 800 young adult </w:t>
      </w:r>
      <w:r w:rsidRPr="00632779">
        <w:rPr>
          <w:rFonts w:ascii="Times New Roman" w:hAnsi="Times New Roman" w:cs="Times New Roman"/>
          <w:i/>
          <w:iCs/>
          <w:lang w:val="en-US"/>
        </w:rPr>
        <w:t xml:space="preserve">S. zeamais </w:t>
      </w:r>
      <w:r w:rsidRPr="00632779">
        <w:rPr>
          <w:rFonts w:ascii="Times New Roman" w:hAnsi="Times New Roman" w:cs="Times New Roman"/>
          <w:lang w:val="en-US"/>
        </w:rPr>
        <w:t>insects of approximately one week of age. They were taken from rearing stocks kept in the laboratory (temperature 27 ± 2°C; relative humidity 70 ± 5%</w:t>
      </w:r>
      <w:r w:rsidR="00376309">
        <w:rPr>
          <w:rFonts w:ascii="Times New Roman" w:hAnsi="Times New Roman" w:cs="Times New Roman"/>
          <w:lang w:val="en-US"/>
        </w:rPr>
        <w:t>,</w:t>
      </w:r>
      <w:r w:rsidRPr="00632779">
        <w:rPr>
          <w:rFonts w:ascii="Times New Roman" w:hAnsi="Times New Roman" w:cs="Times New Roman"/>
          <w:lang w:val="en-US"/>
        </w:rPr>
        <w:t xml:space="preserve"> and a photoperiod of 12h of light and 12h of darkness) </w:t>
      </w:r>
      <w:r w:rsidR="00D45A9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{"citationID":"n10AUySG","properties":{"formattedCitation":"(Niber, 1994; Weaver et al., 1997; Tapondjou et al., 2005)","plainCitation":"(Niber, 1994; Weaver et al., 1997; Tapondjou et al., 2005)","noteIndex":0},"citationItems":[{"id":3506,"uris":["http://zotero.org/users/5304766/items/D4LY66NR"],"itemData":{"id":3506,"type":"article-journal","abstract":"Powders and slurries prepared from parts of 10 different plant species indigenous to Ghana were tested under laboratory conditions for their ability to protect stored grain from damage by Sitophilus oryzae L. and Prostephanus truncatus Horn on wheat and maize, respectively. Two concentration levels 10% and 1% (wt/wt) were used. Powders and slurries of all plant species of 10% (wt/wt) significantly (P &lt; 0.001) reduced insect damage by the grains and caused mortality of both insect species. Powders of four species; Cissampelos owariensis, Azadirachta indica, Ricinus communis and Solanum nigrum, gave a significant (P &lt; 0.001) reduction in grain damage by the insect species as well as high mortality, even at the lower concentration level of 1% (wt/wt). The slurry preparations were generally better protectants than the powders especially against S. oryzae where complete control was achieved except with Chromolaena odorata and Sida acuta, which permitted some survival. The pattern of action of the slurries against P. truncatus was similar to that of S. oryzae, except that P. truncatus was relatively more tolerant.","container-title":"Journal of Stored Products Research","DOI":"10.1016/S0022-474X(94)90321-2","ISSN":"0022-474X","issue":"4","journalAbbreviation":"Journal of Stored Products Research","page":"297-301","source":"ScienceDirect","title":"La capacité des poudres et des boues de dix espèces végétales à protéger les céréales stockées contre les attaques de &lt;i&gt;Prostephanus truncatus&lt;/i&gt; horn (Coleoptera : Bostrichidae) et &lt;i&gt;Sitophilus oryzae&lt;/i&gt; L. (Coleoptera : Curculionidae)","title-short":"La capacité des poudres et des boues de dix espèces végétales à protéger les céréales stockées contre les attaques de &lt;i&gt;Prostephanus truncatus&lt;/i&gt; horn (Coleoptera","volume":"30","author":[{"family":"Niber","given":"Baba Tierto"}],"issued":{"date-parts":[["1994",10,1]]}},"label":"page"},{"id":352,"uris":["http://zotero.org/users/5304766/items/RZH2DCTX"],"itemData":{"id":352,"type":"article-journal","abstract":"The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D45A98" w:rsidRPr="00632779">
        <w:rPr>
          <w:rFonts w:ascii="Times New Roman" w:hAnsi="Times New Roman" w:cs="Times New Roman"/>
        </w:rPr>
        <w:fldChar w:fldCharType="separate"/>
      </w:r>
      <w:r w:rsidR="00796671" w:rsidRPr="00171F74">
        <w:rPr>
          <w:rFonts w:ascii="Times New Roman" w:hAnsi="Times New Roman" w:cs="Times New Roman"/>
          <w:lang w:val="en-US"/>
        </w:rPr>
        <w:t>(Niber, 1994; Weaver et al., 1997; Tapondjou et al., 2005)</w:t>
      </w:r>
      <w:r w:rsidR="00D45A98" w:rsidRPr="00632779">
        <w:rPr>
          <w:rFonts w:ascii="Times New Roman" w:hAnsi="Times New Roman" w:cs="Times New Roman"/>
        </w:rPr>
        <w:fldChar w:fldCharType="end"/>
      </w:r>
      <w:r w:rsidR="00D45A98" w:rsidRPr="00632779">
        <w:rPr>
          <w:rFonts w:ascii="Times New Roman" w:hAnsi="Times New Roman" w:cs="Times New Roman"/>
          <w:lang w:val="en-US"/>
        </w:rPr>
        <w:t xml:space="preserve">. </w:t>
      </w:r>
      <w:r w:rsidRPr="00632779">
        <w:rPr>
          <w:rFonts w:ascii="Times New Roman" w:hAnsi="Times New Roman" w:cs="Times New Roman"/>
          <w:lang w:val="en-US"/>
        </w:rPr>
        <w:t>The selected insects were starved and used for the biological tests.</w:t>
      </w:r>
    </w:p>
    <w:p w14:paraId="00D959D3" w14:textId="10E40E72" w:rsidR="00B76EAB" w:rsidRPr="00632779" w:rsidRDefault="00B76EAB"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Pr="00632779">
        <w:rPr>
          <w:rFonts w:ascii="Times New Roman" w:hAnsi="Times New Roman" w:cs="Times New Roman"/>
          <w:b/>
          <w:bCs/>
          <w:lang w:val="en-US"/>
        </w:rPr>
        <w:t>M</w:t>
      </w:r>
      <w:r w:rsidR="007A4216" w:rsidRPr="00632779">
        <w:rPr>
          <w:rFonts w:ascii="Times New Roman" w:hAnsi="Times New Roman" w:cs="Times New Roman"/>
          <w:b/>
          <w:bCs/>
          <w:lang w:val="en-US"/>
        </w:rPr>
        <w:t>e</w:t>
      </w:r>
      <w:r w:rsidRPr="00632779">
        <w:rPr>
          <w:rFonts w:ascii="Times New Roman" w:hAnsi="Times New Roman" w:cs="Times New Roman"/>
          <w:b/>
          <w:bCs/>
          <w:lang w:val="en-US"/>
        </w:rPr>
        <w:t>thods</w:t>
      </w:r>
    </w:p>
    <w:p w14:paraId="343647D2" w14:textId="59682045" w:rsidR="00FA3CA4" w:rsidRPr="00632779" w:rsidRDefault="00B76EAB" w:rsidP="00632779">
      <w:pPr>
        <w:spacing w:after="0" w:line="480" w:lineRule="auto"/>
        <w:jc w:val="both"/>
        <w:rPr>
          <w:rFonts w:ascii="Times New Roman" w:hAnsi="Times New Roman" w:cs="Times New Roman"/>
          <w:b/>
          <w:bCs/>
          <w:lang w:val="en-US"/>
        </w:rPr>
      </w:pPr>
      <w:bookmarkStart w:id="14" w:name="_Toc191365596"/>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bookmarkEnd w:id="14"/>
      <w:r w:rsidR="00BC37ED">
        <w:rPr>
          <w:rFonts w:ascii="Times New Roman" w:hAnsi="Times New Roman" w:cs="Times New Roman"/>
          <w:b/>
          <w:bCs/>
          <w:lang w:val="en-US"/>
        </w:rPr>
        <w:t>.</w:t>
      </w:r>
      <w:r w:rsidR="00FA3CA4" w:rsidRPr="00632779">
        <w:rPr>
          <w:rFonts w:ascii="Times New Roman" w:hAnsi="Times New Roman" w:cs="Times New Roman"/>
          <w:lang w:val="en-US"/>
        </w:rPr>
        <w:t xml:space="preserve"> </w:t>
      </w:r>
      <w:r w:rsidR="00FA3CA4" w:rsidRPr="00632779">
        <w:rPr>
          <w:rFonts w:ascii="Times New Roman" w:hAnsi="Times New Roman" w:cs="Times New Roman"/>
          <w:b/>
          <w:bCs/>
          <w:lang w:val="en-US"/>
        </w:rPr>
        <w:t>Insect identification and inventory</w:t>
      </w:r>
    </w:p>
    <w:p w14:paraId="068481C4" w14:textId="52BEEA93" w:rsidR="00FA3CA4" w:rsidRPr="00632779" w:rsidRDefault="00FA3CA4"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insects found on the stock were collected using sieves (25 mm and 50 mm) and containers. Identification was carried out by observing the morphological characteristics (head, abdomen, thorax, colour) of the insects using a MOTIC binocular magnifying glass (G×50) and an LCD Digital electronic microscope (500×Zoom). Online identification keys and physical keys (books) were also used </w:t>
      </w:r>
      <w:r w:rsidR="001E0C64"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{"citationID":"qMemPp1m","properties":{"formattedCitation":"(Goergen et al., 2005; Cruz et al., 2016)","plainCitation":"(Goergen et al., 2005; Cruz et al., 2016)","noteIndex":0},"citationItems":[{"id":3272,"uris":["http://zotero.org/users/5304766/items/YNVHV24D"],"itemData":{"id":3272,"type":"book","ISBN":"978-2-7592-2437-1","language":"fr","note":"DOI: 10.35690/978-2-7592-2437-1","publisher":"éditions Quae","source":"DOI.org (Crossref)","title":"La conservation des grains après récolte","URL":"https://www.quae-open.com/produit/118/9782759224388/la-conservation-des-grains-apres-recolte","author":[{"family":"Cruz","given":"Jean-François"},{"family":"Joseph Hounhouigan","given":"Djidjoho"},{"family":"Fleurat-Lessard","given":"Francis"},{"family":"Troude","given":"Francis"}],"accessed":{"date-parts":[["2024",9,9]]},"issued":{"date-parts":[["2016",6,16]]}}},{"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Yendouban"}],"accessed":{"date-parts":[["2024",10,2]]},"issued":{"date-parts":[["2005",1,1]]}},"label":"page"}],"schema":"https://github.com/citation-style-language/schema/raw/master/csl-citation.json"} </w:instrText>
      </w:r>
      <w:r w:rsidR="001E0C64" w:rsidRPr="00632779">
        <w:rPr>
          <w:rFonts w:ascii="Times New Roman" w:hAnsi="Times New Roman" w:cs="Times New Roman"/>
        </w:rPr>
        <w:fldChar w:fldCharType="separate"/>
      </w:r>
      <w:r w:rsidR="00796671" w:rsidRPr="00171F74">
        <w:rPr>
          <w:rFonts w:ascii="Times New Roman" w:hAnsi="Times New Roman" w:cs="Times New Roman"/>
          <w:lang w:val="en-US"/>
        </w:rPr>
        <w:t>(Goergen et al., 2005; Cruz et al., 2016)</w:t>
      </w:r>
      <w:r w:rsidR="001E0C64" w:rsidRPr="00632779">
        <w:rPr>
          <w:rFonts w:ascii="Times New Roman" w:hAnsi="Times New Roman" w:cs="Times New Roman"/>
        </w:rPr>
        <w:fldChar w:fldCharType="end"/>
      </w:r>
      <w:r w:rsidR="001E0C64" w:rsidRPr="00632779">
        <w:rPr>
          <w:rFonts w:ascii="Times New Roman" w:hAnsi="Times New Roman" w:cs="Times New Roman"/>
          <w:lang w:val="en-US"/>
        </w:rPr>
        <w:t xml:space="preserve">. </w:t>
      </w:r>
      <w:r w:rsidRPr="00632779">
        <w:rPr>
          <w:rFonts w:ascii="Times New Roman" w:hAnsi="Times New Roman" w:cs="Times New Roman"/>
          <w:lang w:val="en-US"/>
        </w:rPr>
        <w:t>Insects that exhibited lively, voracious</w:t>
      </w:r>
      <w:r w:rsidR="004D47FD" w:rsidRPr="00632779">
        <w:rPr>
          <w:rFonts w:ascii="Times New Roman" w:hAnsi="Times New Roman" w:cs="Times New Roman"/>
          <w:lang w:val="en-US"/>
        </w:rPr>
        <w:t>,</w:t>
      </w:r>
      <w:r w:rsidRPr="00632779">
        <w:rPr>
          <w:rFonts w:ascii="Times New Roman" w:hAnsi="Times New Roman" w:cs="Times New Roman"/>
          <w:lang w:val="en-US"/>
        </w:rPr>
        <w:t xml:space="preserve"> and agile behaviour were considered suitable for the study. Relative abundance (Ra) was calculated according to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{"citationID":"m6GiSeM8","properties":{"formattedCitation":"(Zaime et al., 1989)","plainCitation":"(Zaime et al., 1989)","dontUpdate":true,"noteIndex":0},"citationItems":[{"id":3438,"uris":["http://zotero.org/users/5304766/items/CSGQGUBW"],"itemData":{"id":3438,"type":"article-journal","abstract":"Meriones shawi a un régime alimentaire varié (42 espèces végétales) quelle que soit la saison, mais il se nourrit principalement de deux des espèces les plus abondantes, complétant ce régime de base par une variété d'autres plantes. La nature de sa nourriture végétale est également variable ; feuilles, fleurs, fruits et graines sont consommés, et quelques arthropodes s'ajoutent à la ration en été. Ce régime alimentaire permet à ce rongeur de vivre dans des habitats variés, y compris dans les zones cultivées.\nPsammomys obesus a un régime beaucoup plus spécialisé, composé essentiellement de feuilles d'une seule espèce de Chaenopodiaceae, complétées par quelques plantes annuelles. Gerbillus nanus a un régime alimentaire similaire à celui de M. shawi au printemps et à la fin de l'année, mais G. nanus devient principalement un mangeur de graines pendant l'été. Les régimes alimentaires de M. shawi et de G. nanus sont donc les plus similaires, tandis que ceux de G. nanus et de P. obesus diffèrent de manière frappante. Les espèces végétales préférées de ces rongeurs sympatriques sont différentes, de même que les parties de plantes qu'ils sélectionnent. Trois stratégies alimentaires différentes peuvent être distinguées dans cette communauté de gerbillidés : (a) une stratégie alimentaire mixte saisonnière pour G. nanus qui passe des feuilles aux graines pendant l'été ; (b) une stratégie alimentaire mixte stable pour M. shawi qui se nourrit de quelques plantes vivaces abondantes et des quelques plantes annuelles disponibles tout au long de l'année ; et (c) une stratégie alimentaire spécialisée pour P. obesus qui se limite à une seule espèce de plante résistante à la sécheresse.\nBien que l'alimentation de base des trois espèces de rongeurs étudiées soit essentiellement constituée de quelques plantes communes, ces gerbiilidés sympatriques parviennent à utiliser les ressources végétales disponibles pendant la période la plus sèche de l'année de manière à éviter la compétition. La pousse de quelques espèces de graminées en automne semble coïncider avec le début de la saison de reproduction automnale de ces trois gerbillidés.","container-title":"Revue d'Écologie","DOI":"hal-03533282","issue":"2","note":"publisher: Société nationale de protection de la nature (SNPN)","page":"153-163 pp","source":"HAL Archives Ouvertes","title":"Comparaison des régimes alimentaires de trois espèces sympatriques de Gerbillidae en milieu saharien, au Maroc","volume":"44","author":[{"family":"Zaime","given":"Abdelkader"},{"family":"Gautier","given":"Jean-Yves"}],"issued":{"date-parts":[["1989"]]}}}],"schema":"https://github.com/citation-style-language/schema/raw/master/csl-citation.json"}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 xml:space="preserve">Zaime et al. </w:t>
      </w:r>
      <w:r w:rsidR="00796671" w:rsidRPr="00171F74">
        <w:rPr>
          <w:rFonts w:ascii="Times New Roman" w:hAnsi="Times New Roman" w:cs="Times New Roman"/>
          <w:lang w:val="en-US"/>
        </w:rPr>
        <w:lastRenderedPageBreak/>
        <w:t>(1989)</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00796671">
        <w:rPr>
          <w:rFonts w:ascii="Times New Roman" w:hAnsi="Times New Roman" w:cs="Times New Roman"/>
          <w:lang w:val="en-US"/>
        </w:rPr>
        <w:t xml:space="preserve">and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{"citationID":"7Q68Q2X9","properties":{"formattedCitation":"(Tra-Bi et al., 2014)","plainCitation":"(Tra-Bi et al., 2014)","dontUpdate":true,"noteIndex":0},"citationItems":[{"id":3618,"uris":["http://zotero.org/users/5304766/items/ZSCC6AKH"],"itemData":{"id":3618,"type":"article-journal","container-title":"Pensee Journal","issue":"1","page":"138–146","source":"Google Scholar","title":"Diversity and abundance of Hypogenous termites (Insecta: Isoptera) in cocoa plantation (Theobroma cacao L.) in semi deciduous forest zone (Oume, Cote d’Ivoire)","title-short":"Diversity and abundance of Hypogenous termites (Insecta","volume":"76","author":[{"family":"Tra-Bi","given":"C. S."},{"family":"Akpesse","given":"A. A. M."},{"family":"Boga","given":"J. P."},{"family":"Yapi","given":"A."},{"family":"Kouasssi","given":"K. P."},{"family":"Konaté","given":"S."},{"family":"Tano","given":"Y."}],"issued":{"date-parts":[["2014"]]}}}],"schema":"https://github.com/citation-style-language/schema/raw/master/csl-citation.json"}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Tra-Bi et al. (2014)</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Pr="00632779">
        <w:rPr>
          <w:rFonts w:ascii="Times New Roman" w:hAnsi="Times New Roman" w:cs="Times New Roman"/>
          <w:lang w:val="en-US"/>
        </w:rPr>
        <w:t>Ra is the ratio between the number of individuals of a species (Ni) taken into consideration and the total number of individuals (N) of all species combined. Ar and Ni were determined for each species. Table 1 shows the four classes of Ra:</w:t>
      </w:r>
    </w:p>
    <w:p w14:paraId="698A9623" w14:textId="3CEA607D" w:rsidR="007B75A5" w:rsidRPr="00632779" w:rsidRDefault="003B5F6E" w:rsidP="00632779">
      <w:pPr>
        <w:spacing w:after="0" w:line="480" w:lineRule="auto"/>
        <w:jc w:val="both"/>
        <w:rPr>
          <w:rFonts w:ascii="Times New Roman" w:hAnsi="Times New Roman" w:cs="Times New Roman"/>
          <w:b/>
          <w:bCs/>
          <w:lang w:val="en-US"/>
        </w:rPr>
      </w:pPr>
      <m:oMathPara>
        <m:oMath>
          <m:r>
            <m:rPr>
              <m:sty m:val="b"/>
            </m:rPr>
            <w:rPr>
              <w:rFonts w:ascii="Cambria Math" w:hAnsi="Cambria Math" w:cs="Times New Roman"/>
            </w:rPr>
            <m:t>Ra</m:t>
          </m:r>
          <m:r>
            <m:rPr>
              <m:sty m:val="b"/>
            </m:rPr>
            <w:rPr>
              <w:rFonts w:ascii="Cambria Math" w:hAnsi="Cambria Math" w:cs="Times New Roman"/>
              <w:lang w:val="en-US"/>
            </w:rPr>
            <m:t xml:space="preserve"> (%)=</m:t>
          </m:r>
          <m:f>
            <m:fPr>
              <m:ctrlPr>
                <w:rPr>
                  <w:rFonts w:ascii="Cambria Math" w:hAnsi="Cambria Math" w:cs="Times New Roman"/>
                  <w:b/>
                  <w:bCs/>
                  <w:iCs/>
                </w:rPr>
              </m:ctrlPr>
            </m:fPr>
            <m:num>
              <m:r>
                <m:rPr>
                  <m:sty m:val="b"/>
                </m:rPr>
                <w:rPr>
                  <w:rFonts w:ascii="Cambria Math" w:hAnsi="Cambria Math" w:cs="Times New Roman"/>
                </w:rPr>
                <m:t>N</m:t>
              </m:r>
              <m:r>
                <m:rPr>
                  <m:sty m:val="bi"/>
                </m:rPr>
                <w:rPr>
                  <w:rFonts w:ascii="Cambria Math" w:hAnsi="Cambria Math" w:cs="Times New Roman"/>
                </w:rPr>
                <m:t>i</m:t>
              </m:r>
            </m:num>
            <m:den>
              <m:r>
                <m:rPr>
                  <m:sty m:val="b"/>
                </m:rPr>
                <w:rPr>
                  <w:rFonts w:ascii="Cambria Math" w:hAnsi="Cambria Math" w:cs="Times New Roman"/>
                </w:rPr>
                <m:t>N</m:t>
              </m:r>
            </m:den>
          </m:f>
          <m:r>
            <m:rPr>
              <m:sty m:val="bi"/>
            </m:rPr>
            <w:rPr>
              <w:rFonts w:ascii="Cambria Math" w:hAnsi="Cambria Math" w:cs="Times New Roman"/>
              <w:lang w:val="en-US"/>
            </w:rPr>
            <m:t>×</m:t>
          </m:r>
          <m:r>
            <m:rPr>
              <m:sty m:val="bi"/>
            </m:rPr>
            <w:rPr>
              <w:rFonts w:ascii="Cambria Math" w:hAnsi="Cambria Math" w:cs="Times New Roman"/>
            </w:rPr>
            <m:t>100</m:t>
          </m:r>
        </m:oMath>
      </m:oMathPara>
    </w:p>
    <w:p w14:paraId="4963B59E" w14:textId="4D93A00F" w:rsidR="002374C2" w:rsidRPr="00632779" w:rsidRDefault="00187A01" w:rsidP="00632779">
      <w:pPr>
        <w:spacing w:after="0" w:line="480" w:lineRule="auto"/>
        <w:jc w:val="center"/>
        <w:rPr>
          <w:rFonts w:ascii="Times New Roman" w:hAnsi="Times New Roman" w:cs="Times New Roman"/>
          <w:i/>
          <w:iCs/>
        </w:rPr>
      </w:pPr>
      <w:r w:rsidRPr="00632779">
        <w:rPr>
          <w:rFonts w:ascii="Times New Roman" w:hAnsi="Times New Roman" w:cs="Times New Roman"/>
          <w:i/>
          <w:iCs/>
        </w:rPr>
        <w:t>Ni :</w:t>
      </w:r>
      <w:r w:rsidR="002374C2" w:rsidRPr="00632779">
        <w:rPr>
          <w:rFonts w:ascii="Times New Roman" w:hAnsi="Times New Roman" w:cs="Times New Roman"/>
          <w:i/>
          <w:iCs/>
        </w:rPr>
        <w:t xml:space="preserve"> </w:t>
      </w:r>
      <w:r w:rsidRPr="00632779">
        <w:rPr>
          <w:rFonts w:ascii="Times New Roman" w:hAnsi="Times New Roman" w:cs="Times New Roman"/>
          <w:i/>
          <w:iCs/>
        </w:rPr>
        <w:t>abundance ;</w:t>
      </w:r>
      <w:r w:rsidR="002374C2" w:rsidRPr="00632779">
        <w:rPr>
          <w:rFonts w:ascii="Times New Roman" w:hAnsi="Times New Roman" w:cs="Times New Roman"/>
          <w:i/>
          <w:iCs/>
        </w:rPr>
        <w:t xml:space="preserve"> </w:t>
      </w:r>
      <w:r w:rsidRPr="00632779">
        <w:rPr>
          <w:rFonts w:ascii="Times New Roman" w:hAnsi="Times New Roman" w:cs="Times New Roman"/>
          <w:i/>
          <w:iCs/>
        </w:rPr>
        <w:t>Ra :</w:t>
      </w:r>
      <w:r w:rsidR="002374C2" w:rsidRPr="00632779">
        <w:rPr>
          <w:rFonts w:ascii="Times New Roman" w:hAnsi="Times New Roman" w:cs="Times New Roman"/>
          <w:i/>
          <w:iCs/>
        </w:rPr>
        <w:t xml:space="preserve"> </w:t>
      </w:r>
      <w:r w:rsidR="003B5F6E" w:rsidRPr="00632779">
        <w:rPr>
          <w:rFonts w:ascii="Times New Roman" w:hAnsi="Times New Roman" w:cs="Times New Roman"/>
          <w:i/>
          <w:iCs/>
        </w:rPr>
        <w:t>R</w:t>
      </w:r>
      <w:r w:rsidR="002374C2" w:rsidRPr="00632779">
        <w:rPr>
          <w:rFonts w:ascii="Times New Roman" w:hAnsi="Times New Roman" w:cs="Times New Roman"/>
          <w:i/>
          <w:iCs/>
        </w:rPr>
        <w:t>elative</w:t>
      </w:r>
      <w:r w:rsidR="003B5F6E" w:rsidRPr="00632779">
        <w:rPr>
          <w:rFonts w:ascii="Times New Roman" w:hAnsi="Times New Roman" w:cs="Times New Roman"/>
          <w:i/>
          <w:iCs/>
        </w:rPr>
        <w:t xml:space="preserve"> abundance</w:t>
      </w:r>
      <w:r w:rsidR="002374C2" w:rsidRPr="00632779">
        <w:rPr>
          <w:rFonts w:ascii="Times New Roman" w:hAnsi="Times New Roman" w:cs="Times New Roman"/>
          <w:i/>
          <w:iCs/>
        </w:rPr>
        <w:t>.</w:t>
      </w:r>
    </w:p>
    <w:p w14:paraId="210E6FE9" w14:textId="77777777" w:rsidR="00E5143A" w:rsidRPr="00C75CAB" w:rsidRDefault="00E5143A" w:rsidP="00632779">
      <w:pPr>
        <w:spacing w:before="240" w:after="0" w:line="480" w:lineRule="auto"/>
        <w:jc w:val="both"/>
        <w:rPr>
          <w:rFonts w:ascii="Times New Roman" w:hAnsi="Times New Roman" w:cs="Times New Roman"/>
          <w:b/>
          <w:bCs/>
        </w:rPr>
      </w:pPr>
      <w:bookmarkStart w:id="15" w:name="_Toc191365602"/>
    </w:p>
    <w:p w14:paraId="1D526D55" w14:textId="35481A29" w:rsidR="00E5143A" w:rsidRPr="00632779" w:rsidRDefault="00E5143A" w:rsidP="00E5143A">
      <w:pPr>
        <w:spacing w:before="240" w:after="0" w:line="480" w:lineRule="auto"/>
        <w:rPr>
          <w:rFonts w:ascii="Times New Roman" w:hAnsi="Times New Roman" w:cs="Times New Roman"/>
          <w:lang w:val="en-US"/>
        </w:rPr>
      </w:pPr>
      <w:r w:rsidRPr="00632779">
        <w:rPr>
          <w:rFonts w:ascii="Times New Roman" w:hAnsi="Times New Roman" w:cs="Times New Roman"/>
          <w:b/>
          <w:bCs/>
          <w:lang w:val="en-US"/>
        </w:rPr>
        <w:t>TABLE 1</w:t>
      </w:r>
      <w:r w:rsidR="000D0E5B">
        <w:rPr>
          <w:rFonts w:ascii="Times New Roman" w:hAnsi="Times New Roman" w:cs="Times New Roman"/>
          <w:b/>
          <w:bCs/>
          <w:lang w:val="en-US"/>
        </w:rPr>
        <w:t>.</w:t>
      </w:r>
      <w:r w:rsidRPr="00632779">
        <w:rPr>
          <w:rFonts w:ascii="Times New Roman" w:hAnsi="Times New Roman" w:cs="Times New Roman"/>
          <w:lang w:val="en-US"/>
        </w:rPr>
        <w:t xml:space="preserve"> Classification of the </w:t>
      </w:r>
      <w:r w:rsidRPr="00632779">
        <w:rPr>
          <w:rFonts w:ascii="Times New Roman" w:hAnsi="Times New Roman" w:cs="Times New Roman"/>
          <w:i/>
          <w:iCs/>
          <w:lang w:val="en-US"/>
        </w:rPr>
        <w:t xml:space="preserve">Ra </w:t>
      </w:r>
      <w:r w:rsidRPr="00632779">
        <w:rPr>
          <w:rFonts w:ascii="Times New Roman" w:hAnsi="Times New Roman" w:cs="Times New Roman"/>
          <w:lang w:val="en-US"/>
        </w:rPr>
        <w:t xml:space="preserve">according to </w:t>
      </w:r>
      <w:r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{"citationID":"FJGotFyw","properties":{"formattedCitation":"(Adja et al., 2014)","plainCitation":"(Adja et al., 2014)","dontUpdate":true,"noteIndex":0},"citationItems":[{"id":852,"uris":["http://zotero.org/users/5304766/items/AU28X8BU"],"itemData":{"id":852,"type":"paper-conference","container-title":"Annales de la Société Entomologique de France","note":"issue: 3/4","page":"301–310","publisher":"Taylor &amp; Francis","source":"Google Scholar","title":"Entomofauna associated with African oleaginous cucurbits (Lagenaria siceraria Molina (Standl. 1930) and Citrullus lanatus Thumb (Matsum &amp; Nakai 1916)) and impact of pests on production.","URL":"https://www.cabdirect.org/cabdirect/abstract/20153091389","volume":"50","author":[{"family":"Adja","given":"Nahoule Armand"},{"family":"Danho","given":"Mathias"},{"family":"Alabi","given":"Taofic Abdel Fabrice"},{"family":"Gnago","given":"Ayekpa Jean"},{"family":"Zimmer","given":"Jean-Yves"},{"family":"Francis","given":"Frederic"},{"family":"Kouassi","given":"Kouassi Philippe"},{"family":"Baudoin","given":"Jean-Pierre"},{"family":"Zoro","given":"Bi Irie Arsene"}],"accessed":{"date-parts":[["2024",1,19]]},"issued":{"date-parts":[["2014"]]}}}],"schema":"https://github.com/citation-style-language/schema/raw/master/csl-citation.json"}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Adja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2014)</w:t>
      </w:r>
      <w:r w:rsidRPr="00632779">
        <w:rPr>
          <w:rFonts w:ascii="Times New Roman" w:hAnsi="Times New Roman" w:cs="Times New Roman"/>
        </w:rPr>
        <w:fldChar w:fldCharType="end"/>
      </w:r>
    </w:p>
    <w:tbl>
      <w:tblPr>
        <w:tblStyle w:val="ListTable2"/>
        <w:tblW w:w="6663" w:type="dxa"/>
        <w:tblLook w:val="04A0" w:firstRow="1" w:lastRow="0" w:firstColumn="1" w:lastColumn="0" w:noHBand="0" w:noVBand="1"/>
      </w:tblPr>
      <w:tblGrid>
        <w:gridCol w:w="963"/>
        <w:gridCol w:w="3006"/>
        <w:gridCol w:w="2694"/>
      </w:tblGrid>
      <w:tr w:rsidR="00E5143A" w:rsidRPr="00632779" w14:paraId="11A1B4C7" w14:textId="77777777" w:rsidTr="005847D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E3927C6"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Classes</w:t>
            </w:r>
          </w:p>
        </w:tc>
        <w:tc>
          <w:tcPr>
            <w:tcW w:w="3006"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1B7C539"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color w:val="000000" w:themeColor="text1"/>
                <w:lang w:val="en-US"/>
              </w:rPr>
              <w:t xml:space="preserve">Relative Abundance </w:t>
            </w:r>
            <w:r w:rsidRPr="00632779">
              <w:rPr>
                <w:rFonts w:ascii="Times New Roman" w:hAnsi="Times New Roman" w:cs="Times New Roman"/>
              </w:rPr>
              <w:t>(Ra)</w:t>
            </w:r>
          </w:p>
        </w:tc>
        <w:tc>
          <w:tcPr>
            <w:tcW w:w="2694"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321603EF"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Interpretation</w:t>
            </w:r>
          </w:p>
        </w:tc>
      </w:tr>
      <w:tr w:rsidR="00E5143A" w:rsidRPr="00632779" w14:paraId="207E1D06" w14:textId="77777777" w:rsidTr="005847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auto"/>
              <w:left w:val="nil"/>
              <w:bottom w:val="nil"/>
              <w:right w:val="nil"/>
            </w:tcBorders>
            <w:shd w:val="clear" w:color="auto" w:fill="auto"/>
            <w:hideMark/>
          </w:tcPr>
          <w:p w14:paraId="03A0FEAD"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w:t>
            </w:r>
          </w:p>
        </w:tc>
        <w:tc>
          <w:tcPr>
            <w:tcW w:w="3006" w:type="dxa"/>
            <w:tcBorders>
              <w:top w:val="single" w:sz="4" w:space="0" w:color="auto"/>
              <w:left w:val="nil"/>
              <w:bottom w:val="nil"/>
              <w:right w:val="nil"/>
            </w:tcBorders>
            <w:shd w:val="clear" w:color="auto" w:fill="auto"/>
            <w:hideMark/>
          </w:tcPr>
          <w:p w14:paraId="5256F828"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less than 1% </w:t>
            </w:r>
          </w:p>
        </w:tc>
        <w:tc>
          <w:tcPr>
            <w:tcW w:w="2694" w:type="dxa"/>
            <w:tcBorders>
              <w:top w:val="single" w:sz="4" w:space="0" w:color="auto"/>
              <w:left w:val="nil"/>
              <w:bottom w:val="nil"/>
              <w:right w:val="nil"/>
            </w:tcBorders>
            <w:shd w:val="clear" w:color="auto" w:fill="auto"/>
            <w:hideMark/>
          </w:tcPr>
          <w:p w14:paraId="6D7AF10B"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Species not very abundant</w:t>
            </w:r>
          </w:p>
        </w:tc>
      </w:tr>
      <w:tr w:rsidR="00E5143A" w:rsidRPr="00632779" w14:paraId="0F28EB51"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hideMark/>
          </w:tcPr>
          <w:p w14:paraId="212C238F"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w:t>
            </w:r>
          </w:p>
        </w:tc>
        <w:tc>
          <w:tcPr>
            <w:tcW w:w="3006" w:type="dxa"/>
            <w:tcBorders>
              <w:top w:val="nil"/>
              <w:left w:val="nil"/>
              <w:bottom w:val="nil"/>
              <w:right w:val="nil"/>
            </w:tcBorders>
            <w:hideMark/>
          </w:tcPr>
          <w:p w14:paraId="355CD727"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Ra between 1 and 5%</w:t>
            </w:r>
          </w:p>
        </w:tc>
        <w:tc>
          <w:tcPr>
            <w:tcW w:w="2694" w:type="dxa"/>
            <w:tcBorders>
              <w:top w:val="nil"/>
              <w:left w:val="nil"/>
              <w:bottom w:val="nil"/>
              <w:right w:val="nil"/>
            </w:tcBorders>
            <w:hideMark/>
          </w:tcPr>
          <w:p w14:paraId="45B6C178"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Fairly abundant species</w:t>
            </w:r>
          </w:p>
        </w:tc>
      </w:tr>
      <w:tr w:rsidR="00E5143A" w:rsidRPr="00632779" w14:paraId="71FCF843" w14:textId="77777777" w:rsidTr="00584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shd w:val="clear" w:color="auto" w:fill="auto"/>
            <w:hideMark/>
          </w:tcPr>
          <w:p w14:paraId="2FD84A49"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III</w:t>
            </w:r>
          </w:p>
        </w:tc>
        <w:tc>
          <w:tcPr>
            <w:tcW w:w="3006" w:type="dxa"/>
            <w:tcBorders>
              <w:top w:val="nil"/>
              <w:left w:val="nil"/>
              <w:bottom w:val="nil"/>
              <w:right w:val="nil"/>
            </w:tcBorders>
            <w:shd w:val="clear" w:color="auto" w:fill="auto"/>
            <w:hideMark/>
          </w:tcPr>
          <w:p w14:paraId="17A68D6A"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Ra between 5 and 10%</w:t>
            </w:r>
          </w:p>
        </w:tc>
        <w:tc>
          <w:tcPr>
            <w:tcW w:w="2694" w:type="dxa"/>
            <w:tcBorders>
              <w:top w:val="nil"/>
              <w:left w:val="nil"/>
              <w:bottom w:val="nil"/>
              <w:right w:val="nil"/>
            </w:tcBorders>
            <w:shd w:val="clear" w:color="auto" w:fill="auto"/>
            <w:hideMark/>
          </w:tcPr>
          <w:p w14:paraId="6B8BEC81"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Abundant species</w:t>
            </w:r>
          </w:p>
        </w:tc>
      </w:tr>
      <w:tr w:rsidR="00E5143A" w:rsidRPr="00632779" w14:paraId="20BD0755" w14:textId="77777777" w:rsidTr="005847D3">
        <w:trPr>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single" w:sz="4" w:space="0" w:color="auto"/>
              <w:right w:val="nil"/>
            </w:tcBorders>
            <w:hideMark/>
          </w:tcPr>
          <w:p w14:paraId="10CD15A8"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IV</w:t>
            </w:r>
          </w:p>
        </w:tc>
        <w:tc>
          <w:tcPr>
            <w:tcW w:w="3006" w:type="dxa"/>
            <w:tcBorders>
              <w:top w:val="nil"/>
              <w:left w:val="nil"/>
              <w:bottom w:val="single" w:sz="4" w:space="0" w:color="auto"/>
              <w:right w:val="nil"/>
            </w:tcBorders>
            <w:hideMark/>
          </w:tcPr>
          <w:p w14:paraId="26C4967D"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 xml:space="preserve">Ra greater than or equal to 10%  </w:t>
            </w:r>
          </w:p>
        </w:tc>
        <w:tc>
          <w:tcPr>
            <w:tcW w:w="2694" w:type="dxa"/>
            <w:tcBorders>
              <w:top w:val="nil"/>
              <w:left w:val="nil"/>
              <w:bottom w:val="single" w:sz="4" w:space="0" w:color="auto"/>
              <w:right w:val="nil"/>
            </w:tcBorders>
            <w:hideMark/>
          </w:tcPr>
          <w:p w14:paraId="5ECE05B0"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Very abundant species</w:t>
            </w:r>
          </w:p>
        </w:tc>
      </w:tr>
    </w:tbl>
    <w:p w14:paraId="0ECF0BEB" w14:textId="77777777" w:rsidR="00E5143A" w:rsidRPr="00632779" w:rsidRDefault="00E5143A" w:rsidP="00E5143A">
      <w:pPr>
        <w:spacing w:line="480" w:lineRule="auto"/>
        <w:rPr>
          <w:rFonts w:ascii="Times New Roman" w:hAnsi="Times New Roman" w:cs="Times New Roman"/>
          <w:lang w:val="en-US"/>
        </w:rPr>
      </w:pPr>
    </w:p>
    <w:p w14:paraId="39DD5413" w14:textId="4D22957B"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623F38" w:rsidRPr="00632779">
        <w:rPr>
          <w:rFonts w:ascii="Times New Roman" w:hAnsi="Times New Roman" w:cs="Times New Roman"/>
          <w:b/>
          <w:bCs/>
          <w:lang w:val="en-US"/>
        </w:rPr>
        <w:t>2</w:t>
      </w:r>
      <w:bookmarkEnd w:id="15"/>
      <w:r w:rsidR="00BC37ED">
        <w:rPr>
          <w:rFonts w:ascii="Times New Roman" w:hAnsi="Times New Roman" w:cs="Times New Roman"/>
          <w:b/>
          <w:bCs/>
          <w:lang w:val="en-US"/>
        </w:rPr>
        <w:t>.</w:t>
      </w:r>
      <w:r w:rsidR="00176D24" w:rsidRPr="00632779">
        <w:rPr>
          <w:rFonts w:ascii="Times New Roman" w:hAnsi="Times New Roman" w:cs="Times New Roman"/>
          <w:lang w:val="en-US"/>
        </w:rPr>
        <w:t xml:space="preserve"> </w:t>
      </w:r>
      <w:r w:rsidR="00176D24" w:rsidRPr="00632779">
        <w:rPr>
          <w:rFonts w:ascii="Times New Roman" w:hAnsi="Times New Roman" w:cs="Times New Roman"/>
          <w:b/>
          <w:bCs/>
          <w:lang w:val="en-US"/>
        </w:rPr>
        <w:t xml:space="preserve">Repellent effect of hydroethanolic wood extracts on filter paper  </w:t>
      </w:r>
    </w:p>
    <w:p w14:paraId="43CDF063" w14:textId="23969BF8" w:rsidR="00E03267" w:rsidRPr="00632779" w:rsidRDefault="00533CA1" w:rsidP="00632779">
      <w:pPr>
        <w:autoSpaceDE w:val="0"/>
        <w:autoSpaceDN w:val="0"/>
        <w:adjustRightInd w:val="0"/>
        <w:spacing w:after="0" w:line="480" w:lineRule="auto"/>
        <w:ind w:firstLine="708"/>
        <w:jc w:val="both"/>
        <w:rPr>
          <w:rFonts w:ascii="Times New Roman" w:eastAsia="HelveticaNeue" w:hAnsi="Times New Roman" w:cs="Times New Roman"/>
          <w:lang w:val="en-US"/>
        </w:rPr>
      </w:pPr>
      <w:bookmarkStart w:id="16" w:name="_Toc191365603"/>
      <w:r w:rsidRPr="00632779">
        <w:rPr>
          <w:rFonts w:ascii="Times New Roman" w:eastAsia="HelveticaNeue" w:hAnsi="Times New Roman" w:cs="Times New Roman"/>
          <w:lang w:val="en-US"/>
        </w:rPr>
        <w:t xml:space="preserve">The repellent or insect repellent effect of the extracts on the insects used in the experiment was evaluated using the filter paper preference zone method. This method was described by </w:t>
      </w:r>
      <w:r w:rsidR="00E03267" w:rsidRPr="00632779">
        <w:rPr>
          <w:rFonts w:ascii="Times New Roman" w:eastAsia="HelveticaNeue" w:hAnsi="Times New Roman" w:cs="Times New Roman"/>
        </w:rPr>
        <w:fldChar w:fldCharType="begin"/>
      </w:r>
      <w:r w:rsidR="00144D89">
        <w:rPr>
          <w:rFonts w:ascii="Times New Roman" w:eastAsia="HelveticaNeue" w:hAnsi="Times New Roman" w:cs="Times New Roman"/>
          <w:lang w:val="en-US"/>
        </w:rPr>
        <w:instrText xml:space="preserve"> ADDIN ZOTERO_ITEM CSL_CITATION {"citationID":"4NuYryq2","properties":{"formattedCitation":"(McDonald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03267" w:rsidRPr="00632779">
        <w:rPr>
          <w:rFonts w:ascii="Times New Roman" w:eastAsia="HelveticaNeue" w:hAnsi="Times New Roman" w:cs="Times New Roman"/>
        </w:rPr>
        <w:fldChar w:fldCharType="separate"/>
      </w:r>
      <w:r w:rsidR="00796671" w:rsidRPr="00171F74">
        <w:rPr>
          <w:rFonts w:ascii="Times New Roman" w:hAnsi="Times New Roman" w:cs="Times New Roman"/>
          <w:lang w:val="en-US"/>
        </w:rPr>
        <w:t>McDonald et al. (1970)</w:t>
      </w:r>
      <w:r w:rsidR="00E03267" w:rsidRPr="00632779">
        <w:rPr>
          <w:rFonts w:ascii="Times New Roman" w:eastAsia="HelveticaNeue" w:hAnsi="Times New Roman" w:cs="Times New Roman"/>
        </w:rPr>
        <w:fldChar w:fldCharType="end"/>
      </w:r>
      <w:r w:rsidR="00E03267" w:rsidRPr="00632779">
        <w:rPr>
          <w:rFonts w:ascii="Times New Roman" w:eastAsia="HelveticaNeue" w:hAnsi="Times New Roman" w:cs="Times New Roman"/>
          <w:lang w:val="en-US"/>
        </w:rPr>
        <w:t xml:space="preserve">. </w:t>
      </w:r>
      <w:r w:rsidRPr="00632779">
        <w:rPr>
          <w:rFonts w:ascii="Times New Roman" w:eastAsia="HelveticaNeue" w:hAnsi="Times New Roman" w:cs="Times New Roman"/>
          <w:lang w:val="en-US"/>
        </w:rPr>
        <w:t>Filter paper discs with a diameter of 9 cm were cut into two equal parts, each with a surface area of 31.81 cm². Four doses of extracts were prepared separately (1, 2.5, 5</w:t>
      </w:r>
      <w:r w:rsidR="00376309">
        <w:rPr>
          <w:rFonts w:ascii="Times New Roman" w:eastAsia="HelveticaNeue" w:hAnsi="Times New Roman" w:cs="Times New Roman"/>
          <w:lang w:val="en-US"/>
        </w:rPr>
        <w:t>,</w:t>
      </w:r>
      <w:r w:rsidRPr="00632779">
        <w:rPr>
          <w:rFonts w:ascii="Times New Roman" w:eastAsia="HelveticaNeue" w:hAnsi="Times New Roman" w:cs="Times New Roman"/>
          <w:lang w:val="en-US"/>
        </w:rPr>
        <w:t xml:space="preserve"> and 10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 by diluting these extracts in 1 mL of hydroethanolic solvent. Each of the half-discs, with a diameter of 4.5 cm, received 0.5 mL of the prepared extract. Each extract obtained was spread evenly over half of the disc. The respective and corresponding doses were as follows: 0.031; 0.079; 0.157</w:t>
      </w:r>
      <w:r w:rsidR="00376309">
        <w:rPr>
          <w:rFonts w:ascii="Times New Roman" w:eastAsia="HelveticaNeue" w:hAnsi="Times New Roman" w:cs="Times New Roman"/>
          <w:lang w:val="en-US"/>
        </w:rPr>
        <w:t>,</w:t>
      </w:r>
      <w:r w:rsidRPr="00632779">
        <w:rPr>
          <w:rFonts w:ascii="Times New Roman" w:eastAsia="HelveticaNeue" w:hAnsi="Times New Roman" w:cs="Times New Roman"/>
          <w:lang w:val="en-US"/>
        </w:rPr>
        <w:t xml:space="preserve"> and 0.314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L/cm². In contrast, the other half received only 0.5 mL of the hydroethanolic solvent (alcohol + water). The treated half-discs were then exposed for 15 minutes to facilitate evaporation of the dilution solvent (alcohol).</w:t>
      </w:r>
    </w:p>
    <w:p w14:paraId="577FD6CD" w14:textId="6218FA12" w:rsidR="00763D13" w:rsidRPr="00632779" w:rsidRDefault="00763D13" w:rsidP="00632779">
      <w:pPr>
        <w:autoSpaceDE w:val="0"/>
        <w:autoSpaceDN w:val="0"/>
        <w:adjustRightInd w:val="0"/>
        <w:spacing w:line="480" w:lineRule="auto"/>
        <w:ind w:firstLine="708"/>
        <w:jc w:val="both"/>
        <w:rPr>
          <w:rFonts w:ascii="Times New Roman" w:eastAsia="HelveticaNeue" w:hAnsi="Times New Roman" w:cs="Times New Roman"/>
          <w:lang w:val="en-US"/>
        </w:rPr>
      </w:pPr>
      <w:r w:rsidRPr="00632779">
        <w:rPr>
          <w:rFonts w:ascii="Times New Roman" w:eastAsia="HelveticaNeue" w:hAnsi="Times New Roman" w:cs="Times New Roman"/>
          <w:lang w:val="en-US"/>
        </w:rPr>
        <w:t xml:space="preserve">Afterwards, the two halves of each disc, each with a surface area of 31.81 cm², were reattached using adhesive tape (thickness = 1.8 cm). The reconstituted filter paper disc was placed in a Petri dish. A batch of 20 adult insects, aged no more than two weeks, was placed in the </w:t>
      </w:r>
      <w:r w:rsidR="003245CE" w:rsidRPr="00632779">
        <w:rPr>
          <w:rFonts w:ascii="Times New Roman" w:eastAsia="HelveticaNeue" w:hAnsi="Times New Roman" w:cs="Times New Roman"/>
          <w:lang w:val="en-US"/>
        </w:rPr>
        <w:t>center</w:t>
      </w:r>
      <w:r w:rsidRPr="00632779">
        <w:rPr>
          <w:rFonts w:ascii="Times New Roman" w:eastAsia="HelveticaNeue" w:hAnsi="Times New Roman" w:cs="Times New Roman"/>
          <w:lang w:val="en-US"/>
        </w:rPr>
        <w:t xml:space="preserve"> of each disc, precisely </w:t>
      </w:r>
      <w:r w:rsidRPr="00632779">
        <w:rPr>
          <w:rFonts w:ascii="Times New Roman" w:eastAsia="HelveticaNeue" w:hAnsi="Times New Roman" w:cs="Times New Roman"/>
          <w:lang w:val="en-US"/>
        </w:rPr>
        <w:lastRenderedPageBreak/>
        <w:t>on the adhesive tape. Four replicates were performed for each dose (Fig</w:t>
      </w:r>
      <w:r w:rsidR="004D47FD" w:rsidRPr="00632779">
        <w:rPr>
          <w:rFonts w:ascii="Times New Roman" w:eastAsia="HelveticaNeue" w:hAnsi="Times New Roman" w:cs="Times New Roman"/>
          <w:lang w:val="en-US"/>
        </w:rPr>
        <w:t>ure</w:t>
      </w:r>
      <w:r w:rsidRPr="00632779">
        <w:rPr>
          <w:rFonts w:ascii="Times New Roman" w:eastAsia="HelveticaNeue" w:hAnsi="Times New Roman" w:cs="Times New Roman"/>
          <w:lang w:val="en-US"/>
        </w:rPr>
        <w:t xml:space="preserve"> </w:t>
      </w:r>
      <w:r w:rsidR="00940762" w:rsidRPr="00632779">
        <w:rPr>
          <w:rFonts w:ascii="Times New Roman" w:eastAsia="HelveticaNeue" w:hAnsi="Times New Roman" w:cs="Times New Roman"/>
          <w:lang w:val="en-US"/>
        </w:rPr>
        <w:t>1</w:t>
      </w:r>
      <w:r w:rsidRPr="00632779">
        <w:rPr>
          <w:rFonts w:ascii="Times New Roman" w:eastAsia="HelveticaNeue" w:hAnsi="Times New Roman" w:cs="Times New Roman"/>
          <w:lang w:val="en-US"/>
        </w:rPr>
        <w:t>). The number of insects present on the part of the paper treated with the hydroethanolic wood extract (Nex) and the number of insects present on the part treated only with the solvent (</w:t>
      </w:r>
      <w:r w:rsidR="00376309" w:rsidRPr="00632779">
        <w:rPr>
          <w:rFonts w:ascii="Times New Roman" w:eastAsia="HelveticaNeue" w:hAnsi="Times New Roman" w:cs="Times New Roman"/>
          <w:lang w:val="en-US"/>
        </w:rPr>
        <w:t>alcohol water</w:t>
      </w:r>
      <w:r w:rsidRPr="00632779">
        <w:rPr>
          <w:rFonts w:ascii="Times New Roman" w:eastAsia="HelveticaNeue" w:hAnsi="Times New Roman" w:cs="Times New Roman"/>
          <w:lang w:val="en-US"/>
        </w:rPr>
        <w:t>: Nae) were recorded after 1 hour and after 2 hours. The repellency rate (RR) was calculated using the following formula:</w:t>
      </w:r>
    </w:p>
    <w:p w14:paraId="6823E759" w14:textId="79C0D4A2" w:rsidR="00E03267" w:rsidRPr="00632779" w:rsidRDefault="00C70202" w:rsidP="00632779">
      <w:pPr>
        <w:autoSpaceDE w:val="0"/>
        <w:autoSpaceDN w:val="0"/>
        <w:adjustRightInd w:val="0"/>
        <w:spacing w:after="0" w:line="480" w:lineRule="auto"/>
        <w:jc w:val="both"/>
        <w:rPr>
          <w:rFonts w:ascii="Times New Roman" w:eastAsia="HelveticaNeue" w:hAnsi="Times New Roman" w:cs="Times New Roman"/>
          <w:b/>
          <w:bCs/>
          <w:i/>
          <w:iCs/>
        </w:rPr>
      </w:pPr>
      <m:oMathPara>
        <m:oMath>
          <m:r>
            <m:rPr>
              <m:sty m:val="bi"/>
            </m:rPr>
            <w:rPr>
              <w:rFonts w:ascii="Cambria Math" w:eastAsia="HelveticaNeue" w:hAnsi="Cambria Math" w:cs="Times New Roman"/>
            </w:rPr>
            <m:t>RR</m:t>
          </m:r>
          <m:r>
            <w:rPr>
              <w:rFonts w:ascii="Cambria Math" w:eastAsia="HelveticaNeue" w:hAnsi="Cambria Math" w:cs="Times New Roman"/>
            </w:rPr>
            <m:t>=</m:t>
          </m:r>
          <m:f>
            <m:fPr>
              <m:ctrlPr>
                <w:rPr>
                  <w:rFonts w:ascii="Cambria Math" w:eastAsia="HelveticaNeue" w:hAnsi="Cambria Math" w:cs="Times New Roman"/>
                  <w:bCs/>
                  <w:i/>
                  <w:iCs/>
                </w:rPr>
              </m:ctrlPr>
            </m:fPr>
            <m:num>
              <m:r>
                <m:rPr>
                  <m:sty m:val="bi"/>
                </m:rPr>
                <w:rPr>
                  <w:rFonts w:ascii="Cambria Math" w:eastAsia="HelveticaNeue" w:hAnsi="Cambria Math" w:cs="Times New Roman"/>
                </w:rPr>
                <m:t xml:space="preserve">(Nae-Nex) </m:t>
              </m:r>
            </m:num>
            <m:den>
              <m:r>
                <m:rPr>
                  <m:sty m:val="bi"/>
                </m:rPr>
                <w:rPr>
                  <w:rFonts w:ascii="Cambria Math" w:eastAsia="HelveticaNeue" w:hAnsi="Cambria Math" w:cs="Times New Roman"/>
                </w:rPr>
                <m:t>(Nex-Nae)</m:t>
              </m:r>
            </m:den>
          </m:f>
          <m:r>
            <w:rPr>
              <w:rFonts w:ascii="Cambria Math" w:eastAsia="HelveticaNeue" w:hAnsi="Cambria Math" w:cs="Times New Roman"/>
            </w:rPr>
            <m:t>×100</m:t>
          </m:r>
        </m:oMath>
      </m:oMathPara>
    </w:p>
    <w:p w14:paraId="643E5D1D" w14:textId="3CF6670C"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b/>
          <w:bCs/>
          <w:i/>
          <w:iCs/>
          <w:lang w:val="en-US"/>
        </w:rPr>
      </w:pPr>
      <w:r w:rsidRPr="00632779">
        <w:rPr>
          <w:rFonts w:ascii="Times New Roman" w:eastAsia="HelveticaNeue" w:hAnsi="Times New Roman" w:cs="Times New Roman"/>
          <w:b/>
          <w:bCs/>
          <w:i/>
          <w:iCs/>
          <w:lang w:val="en-US"/>
        </w:rPr>
        <w:t xml:space="preserve">Nex: </w:t>
      </w:r>
      <w:r w:rsidRPr="00632779">
        <w:rPr>
          <w:rFonts w:ascii="Times New Roman" w:eastAsia="HelveticaNeue" w:hAnsi="Times New Roman" w:cs="Times New Roman"/>
          <w:i/>
          <w:iCs/>
          <w:lang w:val="en-US"/>
        </w:rPr>
        <w:t xml:space="preserve">Number of insects present on the part of the paper treated with hydroethanol extract of </w:t>
      </w:r>
      <w:r w:rsidR="00376309" w:rsidRPr="00632779">
        <w:rPr>
          <w:rFonts w:ascii="Times New Roman" w:eastAsia="HelveticaNeue" w:hAnsi="Times New Roman" w:cs="Times New Roman"/>
          <w:i/>
          <w:iCs/>
          <w:lang w:val="en-US"/>
        </w:rPr>
        <w:t>wood;</w:t>
      </w:r>
    </w:p>
    <w:p w14:paraId="04CFFAE3" w14:textId="39B843CA"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i/>
          <w:iCs/>
          <w:lang w:val="en-US"/>
        </w:rPr>
      </w:pPr>
      <w:r w:rsidRPr="00632779">
        <w:rPr>
          <w:rFonts w:ascii="Times New Roman" w:eastAsia="HelveticaNeue" w:hAnsi="Times New Roman" w:cs="Times New Roman"/>
          <w:b/>
          <w:bCs/>
          <w:i/>
          <w:iCs/>
          <w:lang w:val="en-US"/>
        </w:rPr>
        <w:t>Na</w:t>
      </w:r>
      <w:r w:rsidR="00AD47A7" w:rsidRPr="00632779">
        <w:rPr>
          <w:rFonts w:ascii="Times New Roman" w:eastAsia="HelveticaNeue" w:hAnsi="Times New Roman" w:cs="Times New Roman"/>
          <w:b/>
          <w:bCs/>
          <w:i/>
          <w:iCs/>
          <w:lang w:val="en-US"/>
        </w:rPr>
        <w:t>w</w:t>
      </w:r>
      <w:r w:rsidRPr="00632779">
        <w:rPr>
          <w:rFonts w:ascii="Times New Roman" w:eastAsia="HelveticaNeue" w:hAnsi="Times New Roman" w:cs="Times New Roman"/>
          <w:b/>
          <w:bCs/>
          <w:i/>
          <w:iCs/>
          <w:lang w:val="en-US"/>
        </w:rPr>
        <w:t>:</w:t>
      </w:r>
      <w:r w:rsidRPr="00632779">
        <w:rPr>
          <w:rFonts w:ascii="Times New Roman" w:eastAsia="HelveticaNeue" w:hAnsi="Times New Roman" w:cs="Times New Roman"/>
          <w:i/>
          <w:iCs/>
          <w:lang w:val="en-US"/>
        </w:rPr>
        <w:t xml:space="preserve"> Number of insects present on the part treated solely with solvent (</w:t>
      </w:r>
      <w:r w:rsidR="00376309" w:rsidRPr="00632779">
        <w:rPr>
          <w:rFonts w:ascii="Times New Roman" w:eastAsia="HelveticaNeue" w:hAnsi="Times New Roman" w:cs="Times New Roman"/>
          <w:i/>
          <w:iCs/>
          <w:lang w:val="en-US"/>
        </w:rPr>
        <w:t>alcohol water</w:t>
      </w:r>
      <w:r w:rsidRPr="00632779">
        <w:rPr>
          <w:rFonts w:ascii="Times New Roman" w:eastAsia="HelveticaNeue" w:hAnsi="Times New Roman" w:cs="Times New Roman"/>
          <w:i/>
          <w:iCs/>
          <w:lang w:val="en-US"/>
        </w:rPr>
        <w:t>) ;</w:t>
      </w:r>
    </w:p>
    <w:p w14:paraId="2760FC91" w14:textId="6D0D7878" w:rsidR="00E03267" w:rsidRPr="00632779" w:rsidRDefault="00763D13" w:rsidP="00632779">
      <w:pPr>
        <w:autoSpaceDE w:val="0"/>
        <w:autoSpaceDN w:val="0"/>
        <w:adjustRightInd w:val="0"/>
        <w:spacing w:after="0" w:line="480" w:lineRule="auto"/>
        <w:jc w:val="both"/>
        <w:rPr>
          <w:rFonts w:ascii="Times New Roman" w:eastAsia="HelveticaNeue" w:hAnsi="Times New Roman" w:cs="Times New Roman"/>
          <w:i/>
          <w:iCs/>
          <w:lang w:val="en-US"/>
        </w:rPr>
      </w:pPr>
      <w:r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i/>
          <w:iCs/>
          <w:lang w:val="en-US"/>
        </w:rPr>
        <w:t xml:space="preserve"> </w:t>
      </w:r>
      <w:r w:rsidRPr="00632779">
        <w:rPr>
          <w:rFonts w:ascii="Times New Roman" w:eastAsia="HelveticaNeue" w:hAnsi="Times New Roman" w:cs="Times New Roman"/>
          <w:i/>
          <w:iCs/>
          <w:lang w:val="en-US"/>
        </w:rPr>
        <w:t>repellency rate</w:t>
      </w:r>
      <w:r w:rsidRPr="00632779">
        <w:rPr>
          <w:rFonts w:ascii="Times New Roman" w:eastAsia="HelveticaNeue" w:hAnsi="Times New Roman" w:cs="Times New Roman"/>
          <w:lang w:val="en-US"/>
        </w:rPr>
        <w:t xml:space="preserve"> </w:t>
      </w:r>
      <w:r w:rsidR="00E03267" w:rsidRPr="00632779">
        <w:rPr>
          <w:rFonts w:ascii="Times New Roman" w:eastAsia="HelveticaNeue" w:hAnsi="Times New Roman" w:cs="Times New Roman"/>
          <w:i/>
          <w:iCs/>
          <w:lang w:val="en-US"/>
        </w:rPr>
        <w:t>(%).</w:t>
      </w:r>
    </w:p>
    <w:p w14:paraId="5ADF388B" w14:textId="77777777" w:rsidR="00940762" w:rsidRPr="00632779" w:rsidRDefault="00940762" w:rsidP="00632779">
      <w:pPr>
        <w:autoSpaceDE w:val="0"/>
        <w:autoSpaceDN w:val="0"/>
        <w:adjustRightInd w:val="0"/>
        <w:spacing w:line="480" w:lineRule="auto"/>
        <w:jc w:val="both"/>
        <w:rPr>
          <w:rFonts w:ascii="Times New Roman" w:hAnsi="Times New Roman" w:cs="Times New Roman"/>
          <w:lang w:val="en-US"/>
        </w:rPr>
      </w:pPr>
    </w:p>
    <w:p w14:paraId="4EC5FFFF" w14:textId="7BFE77DF" w:rsidR="00E03267" w:rsidRDefault="00DF783D" w:rsidP="00632779">
      <w:pPr>
        <w:autoSpaceDE w:val="0"/>
        <w:autoSpaceDN w:val="0"/>
        <w:adjustRightInd w:val="0"/>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After determining the average repellency percentage of each hydroethanolic wood extract, a classification was established based on the different repellency classes defined by </w:t>
      </w:r>
      <w:r w:rsidR="00E70A71"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{"citationID":"IMEwBNZy","properties":{"formattedCitation":"(McDonald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70A71" w:rsidRPr="00632779">
        <w:rPr>
          <w:rFonts w:ascii="Times New Roman" w:hAnsi="Times New Roman" w:cs="Times New Roman"/>
        </w:rPr>
        <w:fldChar w:fldCharType="separate"/>
      </w:r>
      <w:r w:rsidR="00796671" w:rsidRPr="00796671">
        <w:rPr>
          <w:rFonts w:ascii="Times New Roman" w:hAnsi="Times New Roman" w:cs="Times New Roman"/>
          <w:lang w:val="en-US"/>
        </w:rPr>
        <w:t>McDonald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1970</w:t>
      </w:r>
      <w:r w:rsidR="00E70A71" w:rsidRPr="00632779">
        <w:rPr>
          <w:rFonts w:ascii="Times New Roman" w:hAnsi="Times New Roman" w:cs="Times New Roman"/>
        </w:rPr>
        <w:fldChar w:fldCharType="end"/>
      </w:r>
      <w:r w:rsidR="00796671" w:rsidRPr="00144D89">
        <w:rPr>
          <w:rFonts w:ascii="Times New Roman" w:hAnsi="Times New Roman" w:cs="Times New Roman"/>
          <w:lang w:val="en-US"/>
        </w:rPr>
        <w:t>)</w:t>
      </w:r>
      <w:r w:rsidR="00E03267" w:rsidRPr="00632779">
        <w:rPr>
          <w:rFonts w:ascii="Times New Roman" w:hAnsi="Times New Roman" w:cs="Times New Roman"/>
          <w:lang w:val="en-US"/>
        </w:rPr>
        <w:t xml:space="preserve">. </w:t>
      </w:r>
      <w:r w:rsidRPr="00632779">
        <w:rPr>
          <w:rFonts w:ascii="Times New Roman" w:hAnsi="Times New Roman" w:cs="Times New Roman"/>
          <w:lang w:val="en-US"/>
        </w:rPr>
        <w:t>Six classes ranging from 0 to V were defined</w:t>
      </w:r>
      <w:r w:rsidR="00E03267" w:rsidRPr="00632779">
        <w:rPr>
          <w:rFonts w:ascii="Times New Roman" w:hAnsi="Times New Roman" w:cs="Times New Roman"/>
          <w:lang w:val="en-US"/>
        </w:rPr>
        <w:t xml:space="preserve">. </w:t>
      </w:r>
      <w:r w:rsidR="00734252" w:rsidRPr="00632779">
        <w:rPr>
          <w:rFonts w:ascii="Times New Roman" w:hAnsi="Times New Roman" w:cs="Times New Roman"/>
          <w:lang w:val="en-US"/>
        </w:rPr>
        <w:t>D</w:t>
      </w:r>
      <w:r w:rsidRPr="00632779">
        <w:rPr>
          <w:rFonts w:ascii="Times New Roman" w:hAnsi="Times New Roman" w:cs="Times New Roman"/>
          <w:lang w:val="en-US"/>
        </w:rPr>
        <w:t>ifferent repellency classes are listed in Table 2.</w:t>
      </w:r>
    </w:p>
    <w:p w14:paraId="3CE79C30" w14:textId="44AE9466" w:rsidR="005169F5" w:rsidRPr="00632779" w:rsidRDefault="006B2B3E" w:rsidP="006B2B3E">
      <w:pPr>
        <w:autoSpaceDE w:val="0"/>
        <w:autoSpaceDN w:val="0"/>
        <w:adjustRightInd w:val="0"/>
        <w:spacing w:line="480" w:lineRule="auto"/>
        <w:jc w:val="center"/>
        <w:rPr>
          <w:rFonts w:ascii="Times New Roman" w:hAnsi="Times New Roman" w:cs="Times New Roman"/>
          <w:lang w:val="en-US"/>
        </w:rPr>
      </w:pPr>
      <w:r w:rsidRPr="006B2B3E">
        <w:rPr>
          <w:noProof/>
        </w:rPr>
        <w:drawing>
          <wp:inline distT="0" distB="0" distL="0" distR="0" wp14:anchorId="20FC3363" wp14:editId="353F6444">
            <wp:extent cx="5760720" cy="2743200"/>
            <wp:effectExtent l="0" t="0" r="0" b="0"/>
            <wp:docPr id="9278724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48014697" w14:textId="7C91E85E" w:rsidR="00E5143A" w:rsidRPr="00632779" w:rsidRDefault="00E5143A" w:rsidP="00E5143A">
      <w:pPr>
        <w:pStyle w:val="Caption"/>
        <w:spacing w:line="480" w:lineRule="auto"/>
        <w:rPr>
          <w:i w:val="0"/>
          <w:iCs w:val="0"/>
          <w:color w:val="auto"/>
          <w:sz w:val="22"/>
          <w:szCs w:val="22"/>
          <w:lang w:val="en-US"/>
        </w:rPr>
      </w:pPr>
      <w:bookmarkStart w:id="17" w:name="_Toc208145037"/>
      <w:bookmarkStart w:id="18" w:name="_Toc191365601"/>
      <w:r w:rsidRPr="00632779">
        <w:rPr>
          <w:b/>
          <w:bCs/>
          <w:i w:val="0"/>
          <w:iCs w:val="0"/>
          <w:color w:val="auto"/>
          <w:sz w:val="22"/>
          <w:szCs w:val="22"/>
          <w:lang w:val="en-US"/>
        </w:rPr>
        <w:t>TABLE 2</w:t>
      </w:r>
      <w:r w:rsidR="000D0E5B">
        <w:rPr>
          <w:b/>
          <w:bCs/>
          <w:i w:val="0"/>
          <w:iCs w:val="0"/>
          <w:color w:val="auto"/>
          <w:sz w:val="22"/>
          <w:szCs w:val="22"/>
          <w:lang w:val="en-US"/>
        </w:rPr>
        <w:t>.</w:t>
      </w:r>
      <w:r w:rsidRPr="00632779">
        <w:rPr>
          <w:i w:val="0"/>
          <w:iCs w:val="0"/>
          <w:color w:val="auto"/>
          <w:sz w:val="22"/>
          <w:szCs w:val="22"/>
          <w:lang w:val="en-US"/>
        </w:rPr>
        <w:t xml:space="preserve"> </w:t>
      </w:r>
      <w:bookmarkEnd w:id="17"/>
      <w:r w:rsidRPr="00632779">
        <w:rPr>
          <w:i w:val="0"/>
          <w:iCs w:val="0"/>
          <w:color w:val="auto"/>
          <w:sz w:val="22"/>
          <w:szCs w:val="22"/>
          <w:lang w:val="en-US"/>
        </w:rPr>
        <w:t xml:space="preserve">Scale or classes of repulsion rates according to McDonald </w:t>
      </w:r>
      <w:r w:rsidRPr="00796671">
        <w:rPr>
          <w:i w:val="0"/>
          <w:iCs w:val="0"/>
          <w:color w:val="auto"/>
          <w:sz w:val="22"/>
          <w:szCs w:val="22"/>
          <w:lang w:val="en-US"/>
        </w:rPr>
        <w:t>et al.</w:t>
      </w:r>
      <w:r w:rsidRPr="00632779">
        <w:rPr>
          <w:i w:val="0"/>
          <w:iCs w:val="0"/>
          <w:color w:val="auto"/>
          <w:sz w:val="22"/>
          <w:szCs w:val="22"/>
          <w:lang w:val="en-US"/>
        </w:rPr>
        <w:t xml:space="preserve"> (1970)</w:t>
      </w:r>
    </w:p>
    <w:tbl>
      <w:tblPr>
        <w:tblStyle w:val="ListTable6Colorful"/>
        <w:tblW w:w="7371" w:type="dxa"/>
        <w:tblLook w:val="04A0" w:firstRow="1" w:lastRow="0" w:firstColumn="1" w:lastColumn="0" w:noHBand="0" w:noVBand="1"/>
      </w:tblPr>
      <w:tblGrid>
        <w:gridCol w:w="963"/>
        <w:gridCol w:w="3432"/>
        <w:gridCol w:w="2976"/>
      </w:tblGrid>
      <w:tr w:rsidR="00E5143A" w:rsidRPr="00632779" w14:paraId="3C6D499F"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F2F2F2" w:themeFill="background1" w:themeFillShade="F2"/>
          </w:tcPr>
          <w:p w14:paraId="73FDDDD4"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Classes</w:t>
            </w:r>
          </w:p>
        </w:tc>
        <w:tc>
          <w:tcPr>
            <w:tcW w:w="3432" w:type="dxa"/>
            <w:shd w:val="clear" w:color="auto" w:fill="F2F2F2" w:themeFill="background1" w:themeFillShade="F2"/>
          </w:tcPr>
          <w:p w14:paraId="6D33F916"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Repulsion rate (RR)</w:t>
            </w:r>
          </w:p>
        </w:tc>
        <w:tc>
          <w:tcPr>
            <w:tcW w:w="2976" w:type="dxa"/>
            <w:shd w:val="clear" w:color="auto" w:fill="F2F2F2" w:themeFill="background1" w:themeFillShade="F2"/>
          </w:tcPr>
          <w:p w14:paraId="7DE7B08F"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Interpretation</w:t>
            </w:r>
          </w:p>
        </w:tc>
      </w:tr>
      <w:tr w:rsidR="00E5143A" w:rsidRPr="00632779" w14:paraId="6205AAA3"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47AE335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0</w:t>
            </w:r>
          </w:p>
        </w:tc>
        <w:tc>
          <w:tcPr>
            <w:tcW w:w="3432" w:type="dxa"/>
            <w:shd w:val="clear" w:color="auto" w:fill="auto"/>
          </w:tcPr>
          <w:p w14:paraId="00F4CE54"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RR less than 0.1%.</w:t>
            </w:r>
          </w:p>
        </w:tc>
        <w:tc>
          <w:tcPr>
            <w:tcW w:w="2976" w:type="dxa"/>
            <w:shd w:val="clear" w:color="auto" w:fill="auto"/>
          </w:tcPr>
          <w:p w14:paraId="4A9C1CB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No repulsion</w:t>
            </w:r>
          </w:p>
        </w:tc>
      </w:tr>
      <w:tr w:rsidR="00E5143A" w:rsidRPr="00632779" w14:paraId="5B108A4B"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0E70099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w:t>
            </w:r>
          </w:p>
        </w:tc>
        <w:tc>
          <w:tcPr>
            <w:tcW w:w="3432" w:type="dxa"/>
          </w:tcPr>
          <w:p w14:paraId="7B2C4ED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RR between 0.1 and 20%.</w:t>
            </w:r>
          </w:p>
        </w:tc>
        <w:tc>
          <w:tcPr>
            <w:tcW w:w="2976" w:type="dxa"/>
          </w:tcPr>
          <w:p w14:paraId="6DD9E41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Low repulsion</w:t>
            </w:r>
          </w:p>
        </w:tc>
      </w:tr>
      <w:tr w:rsidR="00E5143A" w:rsidRPr="00632779" w14:paraId="71A64837"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249638C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lastRenderedPageBreak/>
              <w:t>II</w:t>
            </w:r>
          </w:p>
        </w:tc>
        <w:tc>
          <w:tcPr>
            <w:tcW w:w="3432" w:type="dxa"/>
            <w:shd w:val="clear" w:color="auto" w:fill="auto"/>
          </w:tcPr>
          <w:p w14:paraId="320D532F"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RR between 20.1% and 40%.</w:t>
            </w:r>
          </w:p>
        </w:tc>
        <w:tc>
          <w:tcPr>
            <w:tcW w:w="2976" w:type="dxa"/>
            <w:shd w:val="clear" w:color="auto" w:fill="auto"/>
          </w:tcPr>
          <w:p w14:paraId="443CF596"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Low to mediocre repulsion</w:t>
            </w:r>
          </w:p>
        </w:tc>
      </w:tr>
      <w:tr w:rsidR="00E5143A" w:rsidRPr="00632779" w14:paraId="08E85C6A"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132D6630"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III</w:t>
            </w:r>
          </w:p>
        </w:tc>
        <w:tc>
          <w:tcPr>
            <w:tcW w:w="3432" w:type="dxa"/>
          </w:tcPr>
          <w:p w14:paraId="4FB5EAD2"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between 40.1% and 60%.  </w:t>
            </w:r>
          </w:p>
        </w:tc>
        <w:tc>
          <w:tcPr>
            <w:tcW w:w="2976" w:type="dxa"/>
          </w:tcPr>
          <w:p w14:paraId="10FE5AA6"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Medium to good repellency</w:t>
            </w:r>
          </w:p>
        </w:tc>
      </w:tr>
      <w:tr w:rsidR="00E5143A" w:rsidRPr="00632779" w14:paraId="08C6D06B"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552DF44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IV</w:t>
            </w:r>
          </w:p>
        </w:tc>
        <w:tc>
          <w:tcPr>
            <w:tcW w:w="3432" w:type="dxa"/>
            <w:shd w:val="clear" w:color="auto" w:fill="auto"/>
          </w:tcPr>
          <w:p w14:paraId="5F00E9E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RR between 60.1% and 80%.</w:t>
            </w:r>
          </w:p>
        </w:tc>
        <w:tc>
          <w:tcPr>
            <w:tcW w:w="2976" w:type="dxa"/>
            <w:shd w:val="clear" w:color="auto" w:fill="auto"/>
          </w:tcPr>
          <w:p w14:paraId="411975BE"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Good to strong repulsion</w:t>
            </w:r>
          </w:p>
        </w:tc>
      </w:tr>
      <w:tr w:rsidR="00E5143A" w:rsidRPr="00632779" w14:paraId="3B1E7E27"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4E365CE8"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V</w:t>
            </w:r>
          </w:p>
        </w:tc>
        <w:tc>
          <w:tcPr>
            <w:tcW w:w="3432" w:type="dxa"/>
          </w:tcPr>
          <w:p w14:paraId="1697076D"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RR between 80.1% and 100%.</w:t>
            </w:r>
          </w:p>
        </w:tc>
        <w:tc>
          <w:tcPr>
            <w:tcW w:w="2976" w:type="dxa"/>
          </w:tcPr>
          <w:p w14:paraId="3B049D97"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Strong to complete repulsion</w:t>
            </w:r>
          </w:p>
        </w:tc>
      </w:tr>
    </w:tbl>
    <w:p w14:paraId="1BDA5EE9" w14:textId="77777777" w:rsidR="00E5143A" w:rsidRPr="00632779" w:rsidRDefault="00E5143A" w:rsidP="00E5143A">
      <w:pPr>
        <w:spacing w:line="480" w:lineRule="auto"/>
        <w:rPr>
          <w:rFonts w:ascii="Times New Roman" w:hAnsi="Times New Roman" w:cs="Times New Roman"/>
          <w:lang w:val="en-US"/>
        </w:rPr>
      </w:pPr>
    </w:p>
    <w:p w14:paraId="69C60D11" w14:textId="67690608" w:rsidR="00623F38" w:rsidRPr="00632779" w:rsidRDefault="00623F38"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991206" w:rsidRPr="00632779">
        <w:rPr>
          <w:rFonts w:ascii="Times New Roman" w:hAnsi="Times New Roman" w:cs="Times New Roman"/>
          <w:b/>
          <w:bCs/>
          <w:lang w:val="en-US"/>
        </w:rPr>
        <w:t>3</w:t>
      </w:r>
      <w:bookmarkEnd w:id="18"/>
      <w:r w:rsidR="00EE38C7">
        <w:rPr>
          <w:rFonts w:ascii="Times New Roman" w:hAnsi="Times New Roman" w:cs="Times New Roman"/>
          <w:b/>
          <w:bCs/>
          <w:lang w:val="en-US"/>
        </w:rPr>
        <w:t>.</w:t>
      </w:r>
      <w:r w:rsidR="00DF783D" w:rsidRPr="00632779">
        <w:rPr>
          <w:rFonts w:ascii="Times New Roman" w:hAnsi="Times New Roman" w:cs="Times New Roman"/>
          <w:lang w:val="en-US"/>
        </w:rPr>
        <w:t xml:space="preserve"> </w:t>
      </w:r>
      <w:r w:rsidR="00DF783D" w:rsidRPr="00632779">
        <w:rPr>
          <w:rFonts w:ascii="Times New Roman" w:hAnsi="Times New Roman" w:cs="Times New Roman"/>
          <w:b/>
          <w:bCs/>
          <w:lang w:val="en-US"/>
        </w:rPr>
        <w:t xml:space="preserve">Insecticidal effect of hydroethanol extracts of wood on filter </w:t>
      </w:r>
      <w:r w:rsidR="00A70838" w:rsidRPr="00632779">
        <w:rPr>
          <w:rFonts w:ascii="Times New Roman" w:hAnsi="Times New Roman" w:cs="Times New Roman"/>
          <w:b/>
          <w:bCs/>
          <w:lang w:val="en-US"/>
        </w:rPr>
        <w:t>paper.</w:t>
      </w:r>
    </w:p>
    <w:p w14:paraId="6DF031AB" w14:textId="69EA1F30" w:rsidR="00623F38" w:rsidRPr="00632779" w:rsidRDefault="00DF783D"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Four doses were prepared. Each of the prepared solutions was spread evenly on a 9 cm diameter filter paper disc (Whatman No. 1) placed </w:t>
      </w:r>
      <w:commentRangeStart w:id="19"/>
      <w:r w:rsidRPr="00632779">
        <w:rPr>
          <w:rFonts w:ascii="Times New Roman" w:hAnsi="Times New Roman" w:cs="Times New Roman"/>
          <w:lang w:val="en-US"/>
        </w:rPr>
        <w:t>in</w:t>
      </w:r>
      <w:commentRangeEnd w:id="19"/>
      <w:r w:rsidR="00FA43AE" w:rsidRPr="00632779">
        <w:rPr>
          <w:rStyle w:val="CommentReference"/>
          <w:rFonts w:ascii="Times New Roman" w:hAnsi="Times New Roman" w:cs="Times New Roman"/>
          <w:sz w:val="22"/>
          <w:szCs w:val="22"/>
          <w:lang w:val="en-US"/>
        </w:rPr>
        <w:commentReference w:id="19"/>
      </w:r>
      <w:r w:rsidRPr="00632779">
        <w:rPr>
          <w:rFonts w:ascii="Times New Roman" w:hAnsi="Times New Roman" w:cs="Times New Roman"/>
          <w:lang w:val="en-US"/>
        </w:rPr>
        <w:t xml:space="preserve"> the bottom of a Petri dish of the same diameter. </w:t>
      </w:r>
      <w:r w:rsidRPr="00632779">
        <w:rPr>
          <w:rFonts w:ascii="Times New Roman" w:hAnsi="Times New Roman" w:cs="Times New Roman"/>
        </w:rPr>
        <w:t xml:space="preserve">This equates to a surface area of 63.617 cm² </w:t>
      </w:r>
      <w:r w:rsidR="00623F38" w:rsidRPr="00632779">
        <w:rPr>
          <w:rFonts w:ascii="Times New Roman" w:hAnsi="Times New Roman" w:cs="Times New Roman"/>
        </w:rPr>
        <w:fldChar w:fldCharType="begin"/>
      </w:r>
      <w:r w:rsidR="00796671">
        <w:rPr>
          <w:rFonts w:ascii="Times New Roman" w:hAnsi="Times New Roman" w:cs="Times New Roman"/>
        </w:rPr>
        <w:instrText xml:space="preserve"> ADDIN ZOTERO_ITEM CSL_CITATION {"citationID":"xdq4MhP3","properties":{"formattedCitation":"(Obeng\\uc0\\u8208{}Ofori et al., 1997; Ojimelukwe et al., 1999; Tapondjou et al., 2005)","plainCitation":"(Obeng‐Ofori et al., 1997; Ojimelukwe et al., 1999; Tapondjou et al., 2005)","noteIndex":0},"citationItems":[{"id":3626,"uris":["http://zotero.org/users/5304766/items/HF8K3TVK"],"itemData":{"id":3626,"type":"article-journal","abstract":"Abstract\n            \n              The efficacy of 1,8 cineole as repellent, toxicant and grain protectant against\n              Sitophilus granarius, S. zeamais, Tribolium castaneum\n              and\n              Prostephanus truncatus\n              was investiaged in the laboratory using contact toxicity, grain treatment and repellency assays. 1,8 cineole applied topically or imprenated on filter paper, whole wheat as well as maize grains was highly toxic to all the four beetle species. Beetle mortality was dose‐dependent with the highest dose of 10 μl/insect evoking 100% mortalities in the beetles after 24 h exposure. 1,8 cineole was more toxic in grain than on filter paper since the lowest dosage of 0.5 μl/kg controlled all beetles exposed. There was, however, a highly significant loss of toxicity after only 24 h following treatment, irrespective of dosage applied. Development of eggs amd immature stages within grain kernels as well as progeny emergence were completely inhibited in treated grain. 1,8 cineole evoked strong repellent action against\n              S. granarius\n              and\n              S. zeamais\n              but was moderately repellent to\n              T. castanum\n              and\n              P. truncatus.\n              The protectant potential of products derived from\n              O. kenyense\n              against insect damage in traditional grain storage in Africa is discussed.","container-title":"Journal of Applied Entomology","DOI":"10.1111/j.1439-0418.1997.tb01399.x","ISSN":"0931-2048, 1439-0418","issue":"1-5","journalAbbreviation":"J Applied Entomology","language":"en","license":"http://onlinelibrary.wiley.com/termsAndConditions#vor","page":"237-243","source":"DOI.org (Crossref)","title":"Biological activity of 1,8 cineole, a major component of essential oil of &lt;i&gt;Ocimum kenyense&lt;/i&gt; (Ayobangira) against stored product beetles","volume":"121","author":[{"family":"Obeng‐Ofori","given":"D."},{"family":"Reichmuth","given":"Ch."},{"family":"Bekele","given":"J."},{"family":"Hassanali","given":"A."}],"issued":{"date-parts":[["1997",1,12]]}}},{"id":3627,"uris":["http://zotero.org/users/5304766/items/8WXLEHE3"],"itemData":{"id":3627,"type":"article-journal","container-title":"Anzeiger für Schädlingskunde","DOI":"10.1007/BF02768913","ISSN":"1436-5693","issue":"4","journalAbbreviation":"Anz. Schadlingskde., Pflanzenschutz, Umweltschutz","language":"en","license":"https://www.springer.com/tdm","page":"81-86","source":"DOI.org (Crossref)","title":"Potential of zimtaldehyde, 4-allyl-anisol, linalool, terpineol and other phytochemicals for the control of the confused flour beetle (Tribolium confusum J. d. V.) (Col., Tenebrionidae)","volume":"72","author":[{"family":"Ojimelukwe","given":"P. C."},{"family":"Adler","given":"C."}],"issued":{"date-parts":[["1999",8]]}}},{"id":352,"uris":["http://zotero.org/users/5304766/items/RZH2DCTX"],"itemData":{"id":352,"type":"article-journal","abstract":"The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kern w:val="0"/>
        </w:rPr>
        <w:t>(Obeng‐Ofori et al., 1997; Ojimelukwe et al., 1999; Tapondjou et al., 2005)</w:t>
      </w:r>
      <w:r w:rsidR="00623F38" w:rsidRPr="00632779">
        <w:rPr>
          <w:rFonts w:ascii="Times New Roman" w:hAnsi="Times New Roman" w:cs="Times New Roman"/>
        </w:rPr>
        <w:fldChar w:fldCharType="end"/>
      </w:r>
      <w:r w:rsidR="00623F38" w:rsidRPr="00632779">
        <w:rPr>
          <w:rFonts w:ascii="Times New Roman" w:hAnsi="Times New Roman" w:cs="Times New Roman"/>
        </w:rPr>
        <w:t xml:space="preserve">. </w:t>
      </w:r>
      <w:r w:rsidRPr="00632779">
        <w:rPr>
          <w:rFonts w:ascii="Times New Roman" w:hAnsi="Times New Roman" w:cs="Times New Roman"/>
          <w:lang w:val="en-US"/>
        </w:rPr>
        <w:t xml:space="preserve">The discs were exposed to the open air for 15 minutes to facilitate evaporation of the dilution solvent. This corresponds to respective doses of 0.08 </w:t>
      </w:r>
      <w:r w:rsidRPr="00632779">
        <w:rPr>
          <w:rFonts w:ascii="Times New Roman" w:hAnsi="Times New Roman" w:cs="Times New Roman"/>
        </w:rPr>
        <w:t>μ</w:t>
      </w:r>
      <w:r w:rsidRPr="00632779">
        <w:rPr>
          <w:rFonts w:ascii="Times New Roman" w:hAnsi="Times New Roman" w:cs="Times New Roman"/>
          <w:lang w:val="en-US"/>
        </w:rPr>
        <w:t xml:space="preserve">L/cm², 0.16 </w:t>
      </w:r>
      <w:r w:rsidRPr="00632779">
        <w:rPr>
          <w:rFonts w:ascii="Times New Roman" w:hAnsi="Times New Roman" w:cs="Times New Roman"/>
        </w:rPr>
        <w:t>μ</w:t>
      </w:r>
      <w:r w:rsidRPr="00632779">
        <w:rPr>
          <w:rFonts w:ascii="Times New Roman" w:hAnsi="Times New Roman" w:cs="Times New Roman"/>
          <w:lang w:val="en-US"/>
        </w:rPr>
        <w:t xml:space="preserve">L/cm², 0.24 </w:t>
      </w:r>
      <w:r w:rsidRPr="00632779">
        <w:rPr>
          <w:rFonts w:ascii="Times New Roman" w:hAnsi="Times New Roman" w:cs="Times New Roman"/>
        </w:rPr>
        <w:t>μ</w:t>
      </w:r>
      <w:r w:rsidRPr="00632779">
        <w:rPr>
          <w:rFonts w:ascii="Times New Roman" w:hAnsi="Times New Roman" w:cs="Times New Roman"/>
          <w:lang w:val="en-US"/>
        </w:rPr>
        <w:t>L/cm²</w:t>
      </w:r>
      <w:r w:rsidR="00FA43AE">
        <w:rPr>
          <w:rFonts w:ascii="Times New Roman" w:hAnsi="Times New Roman" w:cs="Times New Roman"/>
          <w:lang w:val="en-US"/>
        </w:rPr>
        <w:t>,</w:t>
      </w:r>
      <w:r w:rsidRPr="00632779">
        <w:rPr>
          <w:rFonts w:ascii="Times New Roman" w:hAnsi="Times New Roman" w:cs="Times New Roman"/>
          <w:lang w:val="en-US"/>
        </w:rPr>
        <w:t xml:space="preserve"> and 0.31 </w:t>
      </w:r>
      <w:r w:rsidRPr="00632779">
        <w:rPr>
          <w:rFonts w:ascii="Times New Roman" w:hAnsi="Times New Roman" w:cs="Times New Roman"/>
        </w:rPr>
        <w:t>μ</w:t>
      </w:r>
      <w:r w:rsidRPr="00632779">
        <w:rPr>
          <w:rFonts w:ascii="Times New Roman" w:hAnsi="Times New Roman" w:cs="Times New Roman"/>
          <w:lang w:val="en-US"/>
        </w:rPr>
        <w:t xml:space="preserve">L/cm² per unit area of filter paper. The fifth batch received only the chemical treatment, while the sixth batch (control batch) was treated only with ethanol + water solvent (V/V: 2 mL/2 mL). A batch of 20 young adult insects freshly collected from their breeding environment was introduced into each Petri dish containing a treated disc (filter paper). The dishes were then immediately closed. Three replicates were performed for each of the respective doses and the dead insects, kept in the Petri dish, were counted every 24 hours. This counting was carried out over 10 days. Mortality in the treated boxes (Mo) was expressed as </w:t>
      </w:r>
      <w:commentRangeStart w:id="20"/>
      <w:r w:rsidR="001E3CFB" w:rsidRPr="00632779">
        <w:rPr>
          <w:rFonts w:ascii="Times New Roman" w:hAnsi="Times New Roman" w:cs="Times New Roman"/>
          <w:lang w:val="en-US"/>
        </w:rPr>
        <w:t>ajusted</w:t>
      </w:r>
      <w:r w:rsidRPr="00632779">
        <w:rPr>
          <w:rFonts w:ascii="Times New Roman" w:hAnsi="Times New Roman" w:cs="Times New Roman"/>
          <w:lang w:val="en-US"/>
        </w:rPr>
        <w:t xml:space="preserve"> </w:t>
      </w:r>
      <w:commentRangeEnd w:id="20"/>
      <w:r w:rsidR="000D56C7" w:rsidRPr="00632779">
        <w:rPr>
          <w:rStyle w:val="CommentReference"/>
          <w:rFonts w:ascii="Times New Roman" w:hAnsi="Times New Roman" w:cs="Times New Roman"/>
          <w:sz w:val="22"/>
          <w:szCs w:val="22"/>
          <w:lang w:val="en-US"/>
        </w:rPr>
        <w:commentReference w:id="20"/>
      </w:r>
      <w:r w:rsidRPr="00632779">
        <w:rPr>
          <w:rFonts w:ascii="Times New Roman" w:hAnsi="Times New Roman" w:cs="Times New Roman"/>
          <w:lang w:val="en-US"/>
        </w:rPr>
        <w:t>mortality (M</w:t>
      </w:r>
      <w:r w:rsidR="001E3CFB" w:rsidRPr="00632779">
        <w:rPr>
          <w:rFonts w:ascii="Times New Roman" w:hAnsi="Times New Roman" w:cs="Times New Roman"/>
          <w:lang w:val="en-US"/>
        </w:rPr>
        <w:t>a</w:t>
      </w:r>
      <w:r w:rsidRPr="00632779">
        <w:rPr>
          <w:rFonts w:ascii="Times New Roman" w:hAnsi="Times New Roman" w:cs="Times New Roman"/>
          <w:lang w:val="en-US"/>
        </w:rPr>
        <w:t>). This took into account the natural mortality observed in the control Petri dishes (M</w:t>
      </w:r>
      <w:r w:rsidR="001E3CFB" w:rsidRPr="00632779">
        <w:rPr>
          <w:rFonts w:ascii="Times New Roman" w:hAnsi="Times New Roman" w:cs="Times New Roman"/>
          <w:lang w:val="en-US"/>
        </w:rPr>
        <w:t>n</w:t>
      </w:r>
      <w:r w:rsidRPr="00632779">
        <w:rPr>
          <w:rFonts w:ascii="Times New Roman" w:hAnsi="Times New Roman" w:cs="Times New Roman"/>
          <w:lang w:val="en-US"/>
        </w:rPr>
        <w:t xml:space="preserve">) according to </w:t>
      </w:r>
      <w:r w:rsidR="001E3CFB"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{"citationID":"L5V4lqci","properties":{"formattedCitation":"(Abbott, 1925)","plainCitation":"(Abbott, 1925)","dontUpdate":true,"noteIndex":0},"citationItems":[{"id":1100,"uris":["http://zotero.org/users/5304766/items/QGQWBG2G"],"itemData":{"id":1100,"type":"article-journal","container-title":"J. econ. Entomol","issue":"2","note":"publisher: College Park","page":"265–267","source":"Google Scholar","title":"A method of computing the effectiveness of an insecticide","volume":"18","author":[{"family":"Abbott","given":"Walter S."}],"issued":{"date-parts":[["1925"]]}}}],"schema":"https://github.com/citation-style-language/schema/raw/master/csl-citation.json"} </w:instrText>
      </w:r>
      <w:r w:rsidR="001E3CFB" w:rsidRPr="00632779">
        <w:rPr>
          <w:rFonts w:ascii="Times New Roman" w:hAnsi="Times New Roman" w:cs="Times New Roman"/>
        </w:rPr>
        <w:fldChar w:fldCharType="separate"/>
      </w:r>
      <w:r w:rsidR="00796671" w:rsidRPr="00796671">
        <w:rPr>
          <w:rFonts w:ascii="Times New Roman" w:hAnsi="Times New Roman" w:cs="Times New Roman"/>
          <w:lang w:val="en-US"/>
        </w:rPr>
        <w:t>Abbott</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1925)</w:t>
      </w:r>
      <w:r w:rsidR="001E3CFB" w:rsidRPr="00632779">
        <w:rPr>
          <w:rFonts w:ascii="Times New Roman" w:hAnsi="Times New Roman" w:cs="Times New Roman"/>
        </w:rPr>
        <w:fldChar w:fldCharType="end"/>
      </w:r>
      <w:r w:rsidR="00623F38" w:rsidRPr="00632779">
        <w:rPr>
          <w:rFonts w:ascii="Times New Roman" w:hAnsi="Times New Roman" w:cs="Times New Roman"/>
          <w:lang w:val="en-US"/>
        </w:rPr>
        <w:t> :</w:t>
      </w:r>
    </w:p>
    <w:p w14:paraId="32AE6DED" w14:textId="078A1197" w:rsidR="00623F38" w:rsidRPr="00632779" w:rsidRDefault="00FF6177" w:rsidP="00632779">
      <w:pPr>
        <w:spacing w:after="0" w:line="480" w:lineRule="auto"/>
        <w:jc w:val="center"/>
        <w:rPr>
          <w:rFonts w:ascii="Times New Roman" w:hAnsi="Times New Roman" w:cs="Times New Roman"/>
          <w:b/>
          <w:bCs/>
          <w:i/>
          <w:iCs/>
          <w:lang w:val="en-US"/>
        </w:rPr>
      </w:pPr>
      <m:oMathPara>
        <m:oMath>
          <m:r>
            <m:rPr>
              <m:sty m:val="bi"/>
            </m:rPr>
            <w:rPr>
              <w:rFonts w:ascii="Cambria Math" w:hAnsi="Cambria Math" w:cs="Times New Roman"/>
            </w:rPr>
            <m:t>Ma</m:t>
          </m:r>
          <m:r>
            <m:rPr>
              <m:sty m:val="bi"/>
            </m:rPr>
            <w:rPr>
              <w:rFonts w:ascii="Cambria Math" w:hAnsi="Cambria Math" w:cs="Times New Roman"/>
              <w:lang w:val="en-US"/>
            </w:rPr>
            <m:t>=</m:t>
          </m:r>
          <m:f>
            <m:fPr>
              <m:ctrlPr>
                <w:rPr>
                  <w:rFonts w:ascii="Cambria Math" w:hAnsi="Cambria Math" w:cs="Times New Roman"/>
                  <w:b/>
                  <w:bCs/>
                  <w:i/>
                  <w:iCs/>
                </w:rPr>
              </m:ctrlPr>
            </m:fPr>
            <m:num>
              <m:r>
                <m:rPr>
                  <m:sty m:val="bi"/>
                </m:rPr>
                <w:rPr>
                  <w:rFonts w:ascii="Cambria Math" w:hAnsi="Cambria Math" w:cs="Times New Roman"/>
                  <w:lang w:val="en-US"/>
                </w:rPr>
                <m:t>(</m:t>
              </m:r>
              <m:r>
                <m:rPr>
                  <m:sty m:val="bi"/>
                </m:rPr>
                <w:rPr>
                  <w:rFonts w:ascii="Cambria Math" w:hAnsi="Cambria Math" w:cs="Times New Roman"/>
                </w:rPr>
                <m:t>Mo</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 xml:space="preserve">) </m:t>
              </m:r>
            </m:num>
            <m:den>
              <m:r>
                <m:rPr>
                  <m:sty m:val="bi"/>
                </m:rPr>
                <w:rPr>
                  <w:rFonts w:ascii="Cambria Math" w:hAnsi="Cambria Math" w:cs="Times New Roman"/>
                  <w:lang w:val="en-US"/>
                </w:rPr>
                <m:t>(</m:t>
              </m:r>
              <m:r>
                <m:rPr>
                  <m:sty m:val="bi"/>
                </m:rPr>
                <w:rPr>
                  <w:rFonts w:ascii="Cambria Math" w:hAnsi="Cambria Math" w:cs="Times New Roman"/>
                </w:rPr>
                <m:t>100</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m:t>
              </m:r>
            </m:den>
          </m:f>
          <m:r>
            <m:rPr>
              <m:sty m:val="bi"/>
            </m:rPr>
            <w:rPr>
              <w:rFonts w:ascii="Cambria Math" w:hAnsi="Cambria Math" w:cs="Times New Roman"/>
              <w:lang w:val="en-US"/>
            </w:rPr>
            <m:t>×100</m:t>
          </m:r>
        </m:oMath>
      </m:oMathPara>
    </w:p>
    <w:p w14:paraId="68BBD9DD" w14:textId="04BFC8CC" w:rsidR="00623F38" w:rsidRPr="00632779" w:rsidRDefault="00623F38" w:rsidP="00632779">
      <w:pPr>
        <w:spacing w:after="0" w:line="480" w:lineRule="auto"/>
        <w:jc w:val="both"/>
        <w:rPr>
          <w:rFonts w:ascii="Times New Roman" w:hAnsi="Times New Roman" w:cs="Times New Roman"/>
          <w:i/>
          <w:iCs/>
          <w:lang w:val="en-US"/>
        </w:rPr>
      </w:pPr>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a</w:t>
      </w:r>
      <w:r w:rsidRPr="00632779">
        <w:rPr>
          <w:rFonts w:ascii="Times New Roman" w:hAnsi="Times New Roman" w:cs="Times New Roman"/>
          <w:b/>
          <w:bCs/>
          <w:i/>
          <w:iCs/>
          <w:lang w:val="en-US"/>
        </w:rPr>
        <w:t xml:space="preserve"> : </w:t>
      </w:r>
      <w:r w:rsidR="001E3CFB" w:rsidRPr="00632779">
        <w:rPr>
          <w:rFonts w:ascii="Times New Roman" w:hAnsi="Times New Roman" w:cs="Times New Roman"/>
          <w:i/>
          <w:iCs/>
          <w:lang w:val="en-US"/>
        </w:rPr>
        <w:t>Adjusted mortality</w:t>
      </w:r>
    </w:p>
    <w:p w14:paraId="09A1D90B" w14:textId="4EAC1D0E" w:rsidR="00623F38" w:rsidRPr="00632779" w:rsidRDefault="00623F38" w:rsidP="00632779">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i/>
          <w:iCs/>
          <w:lang w:val="en-US"/>
        </w:rPr>
        <w:t xml:space="preserve">Mo : </w:t>
      </w:r>
      <w:r w:rsidR="001E3CFB" w:rsidRPr="00632779">
        <w:rPr>
          <w:rFonts w:ascii="Times New Roman" w:hAnsi="Times New Roman" w:cs="Times New Roman"/>
          <w:i/>
          <w:iCs/>
          <w:lang w:val="en-US"/>
        </w:rPr>
        <w:t>Mortality observed in petri dishes treated with wood extracts</w:t>
      </w:r>
    </w:p>
    <w:p w14:paraId="7E5CB1BE" w14:textId="77777777" w:rsidR="001E3CFB" w:rsidRPr="00632779" w:rsidRDefault="00623F38" w:rsidP="00632779">
      <w:pPr>
        <w:spacing w:after="0" w:line="480" w:lineRule="auto"/>
        <w:jc w:val="both"/>
        <w:rPr>
          <w:rFonts w:ascii="Times New Roman" w:hAnsi="Times New Roman" w:cs="Times New Roman"/>
          <w:i/>
          <w:iCs/>
          <w:lang w:val="en-US"/>
        </w:rPr>
      </w:pPr>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n</w:t>
      </w:r>
      <w:r w:rsidRPr="00632779">
        <w:rPr>
          <w:rFonts w:ascii="Times New Roman" w:hAnsi="Times New Roman" w:cs="Times New Roman"/>
          <w:b/>
          <w:bCs/>
          <w:i/>
          <w:iCs/>
          <w:lang w:val="en-US"/>
        </w:rPr>
        <w:t xml:space="preserve"> : </w:t>
      </w:r>
      <w:r w:rsidR="001E3CFB" w:rsidRPr="00632779">
        <w:rPr>
          <w:rFonts w:ascii="Times New Roman" w:hAnsi="Times New Roman" w:cs="Times New Roman"/>
          <w:i/>
          <w:iCs/>
          <w:lang w:val="en-US"/>
        </w:rPr>
        <w:t xml:space="preserve">Natural mortality observed in control petri dishes </w:t>
      </w:r>
    </w:p>
    <w:p w14:paraId="02EAFF9E" w14:textId="761016B3" w:rsidR="00623F38" w:rsidRDefault="001E3CF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lang w:val="en-US"/>
        </w:rPr>
        <w:t xml:space="preserve">Finney's method, based on the regression of mortality probit values against the logarithms of different extract doses, made it possible to determine two other parameters </w:t>
      </w:r>
      <w:r w:rsidR="00623F38" w:rsidRPr="00632779">
        <w:rPr>
          <w:rFonts w:ascii="Times New Roman" w:hAnsi="Times New Roman" w:cs="Times New Roman"/>
        </w:rPr>
        <w:fldChar w:fldCharType="begin"/>
      </w:r>
      <w:r w:rsidR="00623F38" w:rsidRPr="00632779">
        <w:rPr>
          <w:rFonts w:ascii="Times New Roman" w:hAnsi="Times New Roman" w:cs="Times New Roman"/>
          <w:lang w:val="en-US"/>
        </w:rPr>
        <w:instrText xml:space="preserve"> ADDIN ZOTERO_ITEM CSL_CITATION {"citationID":"a2j4dviboa","properties":{"formattedCitation":"(Finney, 1978)","plainCitation":"(Finney, 1978)","noteIndex":0},"citationItems":[{"id":4499,"uris":["http://zotero.org/users/5304766/items/238L62X8"],"itemData":{"id":4499,"type":"article-journal","abstract":"Cette édition a été réécrite afin d'inclure de nouveaux contenus et méthodes, notamment l'utilisation des ordinateurs. Elle fournit les théories et méthodes essentielles pour les bioessais, en mettant l'accent sur la conception expérimentale et l'estimation statistique.","container-title":"Charles Griffin and Co. Ltd., London","ISSN":"978-0-85264-252-8","language":"en","page":"508 pp","source":"Google Scholar","title":"Statistical Method in Biological Bioassay","author":[{"family":"Finney","given":"D. J."}],"issued":{"date-parts":[["1978"]]}}}],"schema":"https://github.com/citation-style-language/schema/raw/master/csl-citation.json"} </w:instrText>
      </w:r>
      <w:r w:rsidR="00623F38" w:rsidRPr="00632779">
        <w:rPr>
          <w:rFonts w:ascii="Times New Roman" w:hAnsi="Times New Roman" w:cs="Times New Roman"/>
        </w:rPr>
        <w:fldChar w:fldCharType="separate"/>
      </w:r>
      <w:r w:rsidR="006F5E3B" w:rsidRPr="006F5E3B">
        <w:rPr>
          <w:rFonts w:ascii="Times New Roman" w:hAnsi="Times New Roman" w:cs="Times New Roman"/>
          <w:lang w:val="en-US"/>
        </w:rPr>
        <w:t>(Finney, 1978)</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LD</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dose 50 is the dose of product capable of causing 50% mortality within 24 hours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{"citationID":"8SZStwaF","properties":{"formattedCitation":"(Kemassi et al., 2019)","plainCitation":"(Kemassi et al., 2019)","noteIndex":0},"citationItems":[{"id":687,"uris":["http://zotero.org/users/5304766/items/7GIDJVUH"],"itemData":{"id":687,"type":"article-journal","abstract":"A. Kemassi, A. Herouini, S. A. Hadj, R. Cherif, M. D. Ould Elhadj. 2019. Effet insecticide des extraits aqueux d'Euphorbia guyoniana (Euphorbiaceae) récoltée dans Oued Sebseb (Sahara Algérien) sur le Tribolium castaneum. Journal Scientifique Libanais. 20(1) : 55-70. L'étude réalisée porte sur l'effet insecticide des extraits foliaires et racinaires d'Euphorbia guyonianaB oiss. &amp; Reut. (Euphorbiaceae), récoltées dans Oued Sebseb, Sahara septentrional Est Algérien sur les imagos de Tribolium castaneum (Herbst, 1797). (Coleoptera-Tenebrionidae). L'extrait aqueux d'Euphorbia guyoniana engendre une mortalité de 100% sur la population traitée. Ce pourcentage de mortalité est atteint au bout de moins 10 jours. L'estimation de la concentration d'efficacité 50 (CE50) et 90 (CE90) montre le fort effet insecticide de ces préparations vis-à-vis des imagos de Tribolium castaneum. Pour le lot d'insectes traités par l'extrait foliaire, les valeurs de CE50 et CE90 rapportées sont de l'ordre de 0,0158 mg/ml et 0,0322 mg/ml respectivement, et de 0,0186 mg/ml et 0,0394 mg/ml pour l'extrait racinaire, respectivement. L'évaluation des temps létaux 50 (TL50) montre que les deux extraits 56 d'Euphorbia guyoniana ont une rapidité d'action particulière vis-à-vis des imagos de Tribolium castaneum. ABSTRACT A. Kemassi, A. Herouini, S. A. Hadj, R. Cherif, M. D. Ould Elhadj. 2019. Insecticidal effect of Euphorbia Guyoniana (Euphorbiaceae) aqueous extracts harvested in OuedSebseb (Algerian Sahara) on the Tribolium Castaneum. Lebanese Science Journal. 20(1): 55-70. The study was conducted to evaluate the insecticidal effect of foliar and root extracts of Euphorbia guyoniana Boiss. &amp; Reut. (Euphorbiaceae), harvested from Oued Sebseb, northern Algerian Sahara on the adults of Tribolium castaneum (Coleoptera-Tenebrionidae). The aqueous extract of Euphorbia guyoniana caused 100% mortality of the treated population after 10 days. Determination of lethal concentrations (EC50 and EC90) showed strong insecticidal effect of Euphorbia aqueous preparations in adults of Tribolium castaneum. The values of EC50 and EC90 for leaf aqueous extracts were 0.0158 mg / ml and 0.0322 mg / ml, respectively; while those of root aqueous extracts were 0.0186 mg / ml and 0.0394 mg / ml respectively. The evaluation of the lethal times 50 (TL50) showed that both leaf and root extracts of Euphorbia guyoniana had rapid mortality action against adults of Tribolium castaneum.","DOI":"10.22453/LSJ-020.1.055-070","page":"55-70","source":"ResearchGate","title":"Effet insecticide des extraits aqueux d'euphorbia guyoniana (euphorbiaceae) recoltee dans oued sebseb (sahara algerien) sur le tribolium castaneum","volume":"Vol.20,No.1,2019","author":[{"family":"Kemassi","given":"Abdellah"},{"family":"Amel","given":"Herouini"},{"family":"Abdelkader","given":"Hadj"},{"family":"Rokaia","given":"Cherif"},{"literal":"Ould"}],"issued":{"date-parts":[["2019",1,1]]}}}],"schema":"https://github.com/citation-style-language/schema/raw/master/csl-citation.json"} </w:instrText>
      </w:r>
      <w:r w:rsidR="00623F38" w:rsidRPr="00632779">
        <w:rPr>
          <w:rFonts w:ascii="Times New Roman" w:hAnsi="Times New Roman" w:cs="Times New Roman"/>
        </w:rPr>
        <w:fldChar w:fldCharType="separate"/>
      </w:r>
      <w:r w:rsidR="00796671" w:rsidRPr="00171F74">
        <w:rPr>
          <w:rFonts w:ascii="Times New Roman" w:hAnsi="Times New Roman" w:cs="Times New Roman"/>
          <w:lang w:val="en-US"/>
        </w:rPr>
        <w:t>(Kemassi et al., 2019)</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lastRenderedPageBreak/>
        <w:t>The LT</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time 50 is the time after which 50% of insects die following the application of different products</w:t>
      </w:r>
      <w:r w:rsidR="00940762" w:rsidRPr="00632779">
        <w:rPr>
          <w:rFonts w:ascii="Times New Roman" w:hAnsi="Times New Roman" w:cs="Times New Roman"/>
          <w:lang w:val="en-US"/>
        </w:rPr>
        <w:t xml:space="preserve"> (Figure 2)</w:t>
      </w:r>
      <w:r w:rsidRPr="00632779">
        <w:rPr>
          <w:rFonts w:ascii="Times New Roman" w:hAnsi="Times New Roman" w:cs="Times New Roman"/>
          <w:lang w:val="en-US"/>
        </w:rPr>
        <w:t xml:space="preserve">. These parameters were determined </w:t>
      </w:r>
      <w:commentRangeStart w:id="21"/>
      <w:r w:rsidRPr="00632779">
        <w:rPr>
          <w:rFonts w:ascii="Times New Roman" w:hAnsi="Times New Roman" w:cs="Times New Roman"/>
          <w:lang w:val="en-US"/>
        </w:rPr>
        <w:t xml:space="preserve">in order </w:t>
      </w:r>
      <w:commentRangeEnd w:id="21"/>
      <w:r w:rsidR="00F6234C" w:rsidRPr="00632779">
        <w:rPr>
          <w:rStyle w:val="CommentReference"/>
          <w:rFonts w:ascii="Times New Roman" w:hAnsi="Times New Roman" w:cs="Times New Roman"/>
          <w:sz w:val="22"/>
          <w:szCs w:val="22"/>
          <w:lang w:val="en-US"/>
        </w:rPr>
        <w:commentReference w:id="21"/>
      </w:r>
      <w:r w:rsidRPr="00632779">
        <w:rPr>
          <w:rFonts w:ascii="Times New Roman" w:hAnsi="Times New Roman" w:cs="Times New Roman"/>
          <w:lang w:val="en-US"/>
        </w:rPr>
        <w:t>to evaluate the effectiveness of the treatments applied</w:t>
      </w:r>
      <w:r w:rsidR="00623F38" w:rsidRPr="00632779">
        <w:rPr>
          <w:rFonts w:ascii="Times New Roman" w:hAnsi="Times New Roman" w:cs="Times New Roman"/>
          <w:lang w:val="en-US"/>
        </w:rPr>
        <w:t xml:space="preserve">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{"citationID":"MB8Ax0cJ","properties":{"formattedCitation":"(Johnson et al., 2006)","plainCitation":"(Johnson et al., 2006)","noteIndex":0},"citationItems":[{"id":3633,"uris":["http://zotero.org/users/5304766/items/8LM4XIP2"],"itemData":{"id":3633,"type":"article-journal","container-title":"Agronomie africaine","issue":"3","page":"221–233","source":"Google Scholar","title":"Utilisation de poudres et d\\backslash'extraits totaux issus de plantes locales des genres Ocimum sp. et Mentha sp. comme biopesticides dans la lutte contre Callosobruchus maculatus FAB","volume":"18","author":[{"family":"Johnson","given":"F."},{"family":"Seri-Kouassi","given":"B."},{"family":"Aboua","given":"L. R."},{"family":"Foua-Bi","given":"K."}],"issued":{"date-parts":[["2006"]]}}}],"schema":"https://github.com/citation-style-language/schema/raw/master/csl-citation.json"}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lang w:val="en-US"/>
        </w:rPr>
        <w:t>(Johnson et al., 2006)</w:t>
      </w:r>
      <w:r w:rsidR="00623F38" w:rsidRPr="00632779">
        <w:rPr>
          <w:rFonts w:ascii="Times New Roman" w:hAnsi="Times New Roman" w:cs="Times New Roman"/>
        </w:rPr>
        <w:fldChar w:fldCharType="end"/>
      </w:r>
      <w:r w:rsidR="00623F38" w:rsidRPr="00632779">
        <w:rPr>
          <w:rFonts w:ascii="Times New Roman" w:hAnsi="Times New Roman" w:cs="Times New Roman"/>
          <w:b/>
          <w:bCs/>
          <w:lang w:val="en-US"/>
        </w:rPr>
        <w:t xml:space="preserve">. </w:t>
      </w:r>
    </w:p>
    <w:p w14:paraId="5A29A354" w14:textId="22205745" w:rsidR="006B2B3E" w:rsidRPr="00632779" w:rsidRDefault="006B2B3E" w:rsidP="00632779">
      <w:pPr>
        <w:spacing w:before="240" w:after="0" w:line="480" w:lineRule="auto"/>
        <w:jc w:val="both"/>
        <w:rPr>
          <w:rFonts w:ascii="Times New Roman" w:hAnsi="Times New Roman" w:cs="Times New Roman"/>
          <w:b/>
          <w:bCs/>
          <w:lang w:val="en-US"/>
        </w:rPr>
      </w:pPr>
      <w:r w:rsidRPr="006B2B3E">
        <w:rPr>
          <w:noProof/>
        </w:rPr>
        <w:drawing>
          <wp:inline distT="0" distB="0" distL="0" distR="0" wp14:anchorId="3C1135F5" wp14:editId="2221B637">
            <wp:extent cx="5760720" cy="2778125"/>
            <wp:effectExtent l="0" t="0" r="0" b="0"/>
            <wp:docPr id="285748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76B136C1" w14:textId="13F0E97D"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4</w:t>
      </w:r>
      <w:bookmarkEnd w:id="16"/>
      <w:r w:rsidR="00EE38C7">
        <w:rPr>
          <w:rFonts w:ascii="Times New Roman" w:hAnsi="Times New Roman" w:cs="Times New Roman"/>
          <w:b/>
          <w:bCs/>
          <w:lang w:val="en-US"/>
        </w:rPr>
        <w:t>.</w:t>
      </w:r>
      <w:r w:rsidR="00EE294A" w:rsidRPr="00632779">
        <w:rPr>
          <w:rFonts w:ascii="Times New Roman" w:hAnsi="Times New Roman" w:cs="Times New Roman"/>
          <w:lang w:val="en-US"/>
        </w:rPr>
        <w:t xml:space="preserve"> </w:t>
      </w:r>
      <w:r w:rsidR="00EE294A" w:rsidRPr="00632779">
        <w:rPr>
          <w:rFonts w:ascii="Times New Roman" w:hAnsi="Times New Roman" w:cs="Times New Roman"/>
          <w:b/>
          <w:bCs/>
          <w:lang w:val="en-US"/>
        </w:rPr>
        <w:t>Data analysis</w:t>
      </w:r>
    </w:p>
    <w:p w14:paraId="7A1CD8B9" w14:textId="77777777" w:rsidR="00EE294A" w:rsidRPr="00632779" w:rsidRDefault="00EE294A" w:rsidP="00632779">
      <w:pPr>
        <w:spacing w:after="0" w:line="480" w:lineRule="auto"/>
        <w:jc w:val="both"/>
        <w:rPr>
          <w:rFonts w:ascii="Times New Roman" w:hAnsi="Times New Roman" w:cs="Times New Roman"/>
          <w:lang w:val="en-US"/>
        </w:rPr>
      </w:pPr>
      <w:bookmarkStart w:id="22" w:name="_Toc191365684"/>
      <w:r w:rsidRPr="00632779">
        <w:rPr>
          <w:rFonts w:ascii="Times New Roman" w:hAnsi="Times New Roman" w:cs="Times New Roman"/>
          <w:lang w:val="en-US"/>
        </w:rPr>
        <w:t xml:space="preserve">The data were </w:t>
      </w:r>
      <w:commentRangeStart w:id="23"/>
      <w:r w:rsidRPr="00632779">
        <w:rPr>
          <w:rFonts w:ascii="Times New Roman" w:hAnsi="Times New Roman" w:cs="Times New Roman"/>
          <w:lang w:val="en-US"/>
        </w:rPr>
        <w:t>analysed</w:t>
      </w:r>
      <w:commentRangeEnd w:id="23"/>
      <w:r w:rsidR="00F6234C" w:rsidRPr="00632779">
        <w:rPr>
          <w:rStyle w:val="CommentReference"/>
          <w:rFonts w:ascii="Times New Roman" w:hAnsi="Times New Roman" w:cs="Times New Roman"/>
          <w:sz w:val="22"/>
          <w:szCs w:val="22"/>
          <w:lang w:val="en-US"/>
        </w:rPr>
        <w:commentReference w:id="23"/>
      </w:r>
      <w:r w:rsidRPr="00632779">
        <w:rPr>
          <w:rFonts w:ascii="Times New Roman" w:hAnsi="Times New Roman" w:cs="Times New Roman"/>
          <w:lang w:val="en-US"/>
        </w:rPr>
        <w:t xml:space="preserve"> using XLSTAT 2023 1.2 (version 1406) for the analysis of variance (ANOVA). The non-parametric Kruskal-Wallis test was used after the normality test was negative. A multiple comparison analysis using Dunn's test was used to compare the mortality and repulsion rates at the 5% probability threshold.</w:t>
      </w:r>
    </w:p>
    <w:p w14:paraId="3904BE58" w14:textId="5419066C" w:rsidR="005D5F2A"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3</w:t>
      </w:r>
      <w:r w:rsidR="00EE38C7">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R</w:t>
      </w:r>
      <w:r w:rsidR="001779A4" w:rsidRPr="00632779">
        <w:rPr>
          <w:rFonts w:ascii="Times New Roman" w:hAnsi="Times New Roman" w:cs="Times New Roman"/>
          <w:b/>
          <w:bCs/>
          <w:lang w:val="en-US"/>
        </w:rPr>
        <w:t>esults</w:t>
      </w:r>
      <w:bookmarkEnd w:id="22"/>
    </w:p>
    <w:p w14:paraId="06070F96" w14:textId="14EE324B" w:rsidR="005D5F2A" w:rsidRPr="00632779" w:rsidRDefault="00B76EAB" w:rsidP="00632779">
      <w:pPr>
        <w:spacing w:after="0" w:line="480" w:lineRule="auto"/>
        <w:jc w:val="both"/>
        <w:rPr>
          <w:rFonts w:ascii="Times New Roman" w:hAnsi="Times New Roman" w:cs="Times New Roman"/>
          <w:b/>
          <w:bCs/>
          <w:lang w:val="en-US"/>
        </w:rPr>
      </w:pPr>
      <w:bookmarkStart w:id="24" w:name="_Toc191365685"/>
      <w:r w:rsidRPr="00632779">
        <w:rPr>
          <w:rFonts w:ascii="Times New Roman" w:hAnsi="Times New Roman" w:cs="Times New Roman"/>
          <w:b/>
          <w:bCs/>
          <w:lang w:val="en-US"/>
        </w:rPr>
        <w:t>3</w:t>
      </w:r>
      <w:r w:rsidR="002305BE" w:rsidRPr="00632779">
        <w:rPr>
          <w:rFonts w:ascii="Times New Roman" w:hAnsi="Times New Roman" w:cs="Times New Roman"/>
          <w:b/>
          <w:bCs/>
          <w:lang w:val="en-US"/>
        </w:rPr>
        <w:t>.</w:t>
      </w:r>
      <w:r w:rsidR="005D5F2A" w:rsidRPr="00632779">
        <w:rPr>
          <w:rFonts w:ascii="Times New Roman" w:hAnsi="Times New Roman" w:cs="Times New Roman"/>
          <w:b/>
          <w:bCs/>
          <w:lang w:val="en-US"/>
        </w:rPr>
        <w:t>1</w:t>
      </w:r>
      <w:bookmarkEnd w:id="24"/>
      <w:r w:rsidR="00EE38C7">
        <w:rPr>
          <w:rFonts w:ascii="Times New Roman" w:hAnsi="Times New Roman" w:cs="Times New Roman"/>
          <w:b/>
          <w:bCs/>
          <w:lang w:val="en-US"/>
        </w:rPr>
        <w:t>.</w:t>
      </w:r>
      <w:r w:rsidR="00B958B9" w:rsidRPr="00632779">
        <w:rPr>
          <w:rFonts w:ascii="Times New Roman" w:hAnsi="Times New Roman" w:cs="Times New Roman"/>
          <w:lang w:val="en-US"/>
        </w:rPr>
        <w:t xml:space="preserve"> </w:t>
      </w:r>
      <w:r w:rsidR="00B958B9" w:rsidRPr="00632779">
        <w:rPr>
          <w:rFonts w:ascii="Times New Roman" w:hAnsi="Times New Roman" w:cs="Times New Roman"/>
          <w:b/>
          <w:bCs/>
          <w:lang w:val="en-US"/>
        </w:rPr>
        <w:t>Inventory of insects collected on maize grains</w:t>
      </w:r>
    </w:p>
    <w:p w14:paraId="08EBEACD" w14:textId="6F3617AD" w:rsidR="00B958B9" w:rsidRPr="00632779" w:rsidRDefault="00B958B9"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Ten species were recorded. They belonged to two major orders: Coleoptera and Lepidoptera. Among the Coleoptera, there are primary pests such as </w:t>
      </w:r>
      <w:r w:rsidRPr="00632779">
        <w:rPr>
          <w:rFonts w:ascii="Times New Roman" w:hAnsi="Times New Roman" w:cs="Times New Roman"/>
          <w:i/>
          <w:iCs/>
          <w:lang w:val="en-US"/>
        </w:rPr>
        <w:t>Sitophilus zeamais</w:t>
      </w:r>
      <w:r w:rsidRPr="00632779">
        <w:rPr>
          <w:rFonts w:ascii="Times New Roman" w:hAnsi="Times New Roman" w:cs="Times New Roman"/>
          <w:lang w:val="en-US"/>
        </w:rPr>
        <w:t xml:space="preserve">, </w:t>
      </w:r>
      <w:r w:rsidRPr="00632779">
        <w:rPr>
          <w:rFonts w:ascii="Times New Roman" w:hAnsi="Times New Roman" w:cs="Times New Roman"/>
          <w:i/>
          <w:iCs/>
          <w:lang w:val="en-US"/>
        </w:rPr>
        <w:t>Prostephanus truncatus</w:t>
      </w:r>
      <w:r w:rsidRPr="00632779">
        <w:rPr>
          <w:rFonts w:ascii="Times New Roman" w:hAnsi="Times New Roman" w:cs="Times New Roman"/>
          <w:lang w:val="en-US"/>
        </w:rPr>
        <w:t xml:space="preserve">, </w:t>
      </w:r>
      <w:r w:rsidRPr="00632779">
        <w:rPr>
          <w:rFonts w:ascii="Times New Roman" w:hAnsi="Times New Roman" w:cs="Times New Roman"/>
          <w:i/>
          <w:iCs/>
          <w:lang w:val="en-US"/>
        </w:rPr>
        <w:t>Dinoderus bifoveolatus</w:t>
      </w:r>
      <w:r w:rsidRPr="00632779">
        <w:rPr>
          <w:rFonts w:ascii="Times New Roman" w:hAnsi="Times New Roman" w:cs="Times New Roman"/>
          <w:lang w:val="en-US"/>
        </w:rPr>
        <w:t xml:space="preserve"> and secondary pests such as </w:t>
      </w:r>
      <w:r w:rsidRPr="00632779">
        <w:rPr>
          <w:rFonts w:ascii="Times New Roman" w:hAnsi="Times New Roman" w:cs="Times New Roman"/>
          <w:i/>
          <w:iCs/>
          <w:lang w:val="en-US"/>
        </w:rPr>
        <w:t>Triboluim confusum</w:t>
      </w:r>
      <w:r w:rsidRPr="00632779">
        <w:rPr>
          <w:rFonts w:ascii="Times New Roman" w:hAnsi="Times New Roman" w:cs="Times New Roman"/>
          <w:lang w:val="en-US"/>
        </w:rPr>
        <w:t xml:space="preserve">, </w:t>
      </w:r>
      <w:r w:rsidRPr="00632779">
        <w:rPr>
          <w:rFonts w:ascii="Times New Roman" w:hAnsi="Times New Roman" w:cs="Times New Roman"/>
          <w:i/>
          <w:iCs/>
          <w:lang w:val="en-US"/>
        </w:rPr>
        <w:t>Palorus subdepressus</w:t>
      </w:r>
      <w:r w:rsidRPr="00632779">
        <w:rPr>
          <w:rFonts w:ascii="Times New Roman" w:hAnsi="Times New Roman" w:cs="Times New Roman"/>
          <w:lang w:val="en-US"/>
        </w:rPr>
        <w:t xml:space="preserve">, </w:t>
      </w:r>
      <w:r w:rsidRPr="00632779">
        <w:rPr>
          <w:rFonts w:ascii="Times New Roman" w:hAnsi="Times New Roman" w:cs="Times New Roman"/>
          <w:i/>
          <w:iCs/>
          <w:lang w:val="en-US"/>
        </w:rPr>
        <w:t>Tribolium castenum</w:t>
      </w:r>
      <w:r w:rsidRPr="00632779">
        <w:rPr>
          <w:rFonts w:ascii="Times New Roman" w:hAnsi="Times New Roman" w:cs="Times New Roman"/>
          <w:lang w:val="en-US"/>
        </w:rPr>
        <w:t xml:space="preserve">, </w:t>
      </w:r>
      <w:r w:rsidRPr="00632779">
        <w:rPr>
          <w:rFonts w:ascii="Times New Roman" w:hAnsi="Times New Roman" w:cs="Times New Roman"/>
          <w:i/>
          <w:iCs/>
          <w:lang w:val="en-US"/>
        </w:rPr>
        <w:t>Carpophilus hemipterus</w:t>
      </w:r>
      <w:r w:rsidRPr="00632779">
        <w:rPr>
          <w:rFonts w:ascii="Times New Roman" w:hAnsi="Times New Roman" w:cs="Times New Roman"/>
          <w:lang w:val="en-US"/>
        </w:rPr>
        <w:t xml:space="preserve">. Lepidopteran pests included </w:t>
      </w:r>
      <w:r w:rsidRPr="00632779">
        <w:rPr>
          <w:rFonts w:ascii="Times New Roman" w:hAnsi="Times New Roman" w:cs="Times New Roman"/>
          <w:i/>
          <w:iCs/>
          <w:lang w:val="en-US"/>
        </w:rPr>
        <w:t>Ephestia cautella</w:t>
      </w:r>
      <w:r w:rsidRPr="00632779">
        <w:rPr>
          <w:rFonts w:ascii="Times New Roman" w:hAnsi="Times New Roman" w:cs="Times New Roman"/>
          <w:lang w:val="en-US"/>
        </w:rPr>
        <w:t xml:space="preserve">, </w:t>
      </w:r>
      <w:r w:rsidRPr="00632779">
        <w:rPr>
          <w:rFonts w:ascii="Times New Roman" w:hAnsi="Times New Roman" w:cs="Times New Roman"/>
          <w:i/>
          <w:iCs/>
          <w:lang w:val="en-US"/>
        </w:rPr>
        <w:t>Plodia interpunctella</w:t>
      </w:r>
      <w:r w:rsidRPr="00632779">
        <w:rPr>
          <w:rFonts w:ascii="Times New Roman" w:hAnsi="Times New Roman" w:cs="Times New Roman"/>
          <w:lang w:val="en-US"/>
        </w:rPr>
        <w:t xml:space="preserve">, </w:t>
      </w:r>
      <w:r w:rsidRPr="00632779">
        <w:rPr>
          <w:rFonts w:ascii="Times New Roman" w:hAnsi="Times New Roman" w:cs="Times New Roman"/>
          <w:i/>
          <w:iCs/>
          <w:lang w:val="en-US"/>
        </w:rPr>
        <w:t>Sitotroga cerealella</w:t>
      </w:r>
      <w:r w:rsidRPr="00632779">
        <w:rPr>
          <w:rFonts w:ascii="Times New Roman" w:hAnsi="Times New Roman" w:cs="Times New Roman"/>
          <w:lang w:val="en-US"/>
        </w:rPr>
        <w:t xml:space="preserve"> and Gelechiidae. </w:t>
      </w:r>
      <w:r w:rsidRPr="00632779">
        <w:rPr>
          <w:rFonts w:ascii="Times New Roman" w:hAnsi="Times New Roman" w:cs="Times New Roman"/>
          <w:i/>
          <w:iCs/>
          <w:lang w:val="en-US"/>
        </w:rPr>
        <w:t>S. zeamais</w:t>
      </w:r>
      <w:r w:rsidRPr="00632779">
        <w:rPr>
          <w:rFonts w:ascii="Times New Roman" w:hAnsi="Times New Roman" w:cs="Times New Roman"/>
          <w:lang w:val="en-US"/>
        </w:rPr>
        <w:t xml:space="preserve"> caused the most damage to grain. The species </w:t>
      </w:r>
      <w:r w:rsidRPr="00632779">
        <w:rPr>
          <w:rFonts w:ascii="Times New Roman" w:hAnsi="Times New Roman" w:cs="Times New Roman"/>
          <w:i/>
          <w:iCs/>
          <w:lang w:val="en-US"/>
        </w:rPr>
        <w:t>S. zeamais</w:t>
      </w:r>
      <w:r w:rsidR="001D39BB">
        <w:rPr>
          <w:rFonts w:ascii="Times New Roman" w:hAnsi="Times New Roman" w:cs="Times New Roman"/>
          <w:i/>
          <w:iCs/>
          <w:lang w:val="en-US"/>
        </w:rPr>
        <w:t>,</w:t>
      </w:r>
      <w:r w:rsidRPr="00632779">
        <w:rPr>
          <w:rFonts w:ascii="Times New Roman" w:hAnsi="Times New Roman" w:cs="Times New Roman"/>
          <w:lang w:val="en-US"/>
        </w:rPr>
        <w:t xml:space="preserve"> with a Ra of 51.06% (Ra ≥ 10%)</w:t>
      </w:r>
      <w:r w:rsidR="001D39BB">
        <w:rPr>
          <w:rFonts w:ascii="Times New Roman" w:hAnsi="Times New Roman" w:cs="Times New Roman"/>
          <w:lang w:val="en-US"/>
        </w:rPr>
        <w:t>,</w:t>
      </w:r>
      <w:r w:rsidRPr="00632779">
        <w:rPr>
          <w:rFonts w:ascii="Times New Roman" w:hAnsi="Times New Roman" w:cs="Times New Roman"/>
          <w:lang w:val="en-US"/>
        </w:rPr>
        <w:t xml:space="preserve"> and </w:t>
      </w:r>
      <w:r w:rsidRPr="00632779">
        <w:rPr>
          <w:rFonts w:ascii="Times New Roman" w:hAnsi="Times New Roman" w:cs="Times New Roman"/>
          <w:i/>
          <w:iCs/>
          <w:lang w:val="en-US"/>
        </w:rPr>
        <w:t>T. castenum</w:t>
      </w:r>
      <w:r w:rsidR="001D39BB">
        <w:rPr>
          <w:rFonts w:ascii="Times New Roman" w:hAnsi="Times New Roman" w:cs="Times New Roman"/>
          <w:i/>
          <w:iCs/>
          <w:lang w:val="en-US"/>
        </w:rPr>
        <w:t>,</w:t>
      </w:r>
      <w:r w:rsidRPr="00632779">
        <w:rPr>
          <w:rFonts w:ascii="Times New Roman" w:hAnsi="Times New Roman" w:cs="Times New Roman"/>
          <w:lang w:val="en-US"/>
        </w:rPr>
        <w:t xml:space="preserve"> with an Ra of 43.61%</w:t>
      </w:r>
      <w:r w:rsidR="001D39BB">
        <w:rPr>
          <w:rFonts w:ascii="Times New Roman" w:hAnsi="Times New Roman" w:cs="Times New Roman"/>
          <w:lang w:val="en-US"/>
        </w:rPr>
        <w:t>,</w:t>
      </w:r>
      <w:r w:rsidRPr="00632779">
        <w:rPr>
          <w:rFonts w:ascii="Times New Roman" w:hAnsi="Times New Roman" w:cs="Times New Roman"/>
          <w:lang w:val="en-US"/>
        </w:rPr>
        <w:t xml:space="preserve"> were considered as abundant species. </w:t>
      </w:r>
      <w:r w:rsidRPr="00632779">
        <w:rPr>
          <w:rFonts w:ascii="Times New Roman" w:hAnsi="Times New Roman" w:cs="Times New Roman"/>
          <w:i/>
          <w:iCs/>
          <w:lang w:val="en-US"/>
        </w:rPr>
        <w:t xml:space="preserve">T. confusum </w:t>
      </w:r>
      <w:r w:rsidRPr="00632779">
        <w:rPr>
          <w:rFonts w:ascii="Times New Roman" w:hAnsi="Times New Roman" w:cs="Times New Roman"/>
          <w:lang w:val="en-US"/>
        </w:rPr>
        <w:t xml:space="preserve">with a Ra of 2.03 (1 ≤ Ra &lt; 5%) and </w:t>
      </w:r>
      <w:r w:rsidRPr="00632779">
        <w:rPr>
          <w:rFonts w:ascii="Times New Roman" w:hAnsi="Times New Roman" w:cs="Times New Roman"/>
          <w:i/>
          <w:iCs/>
          <w:lang w:val="en-US"/>
        </w:rPr>
        <w:t>Sitotroga cerealella</w:t>
      </w:r>
      <w:r w:rsidRPr="00632779">
        <w:rPr>
          <w:rFonts w:ascii="Times New Roman" w:hAnsi="Times New Roman" w:cs="Times New Roman"/>
          <w:lang w:val="en-US"/>
        </w:rPr>
        <w:t xml:space="preserve"> </w:t>
      </w:r>
      <w:r w:rsidRPr="00632779">
        <w:rPr>
          <w:rFonts w:ascii="Times New Roman" w:hAnsi="Times New Roman" w:cs="Times New Roman"/>
          <w:lang w:val="en-US"/>
        </w:rPr>
        <w:lastRenderedPageBreak/>
        <w:t xml:space="preserve">with an Ra of 1.32 (1 ≤ Ra &lt; 5%) were considered abundant species. Seven other species such as </w:t>
      </w:r>
      <w:r w:rsidRPr="00632779">
        <w:rPr>
          <w:rFonts w:ascii="Times New Roman" w:hAnsi="Times New Roman" w:cs="Times New Roman"/>
          <w:i/>
          <w:iCs/>
          <w:lang w:val="en-US"/>
        </w:rPr>
        <w:t>P. truncatus</w:t>
      </w:r>
      <w:r w:rsidRPr="00632779">
        <w:rPr>
          <w:rFonts w:ascii="Times New Roman" w:hAnsi="Times New Roman" w:cs="Times New Roman"/>
          <w:lang w:val="en-US"/>
        </w:rPr>
        <w:t xml:space="preserve">, </w:t>
      </w:r>
      <w:r w:rsidRPr="00632779">
        <w:rPr>
          <w:rFonts w:ascii="Times New Roman" w:hAnsi="Times New Roman" w:cs="Times New Roman"/>
          <w:i/>
          <w:iCs/>
          <w:lang w:val="en-US"/>
        </w:rPr>
        <w:t>D. bifoveolatus</w:t>
      </w:r>
      <w:r w:rsidRPr="00632779">
        <w:rPr>
          <w:rFonts w:ascii="Times New Roman" w:hAnsi="Times New Roman" w:cs="Times New Roman"/>
          <w:lang w:val="en-US"/>
        </w:rPr>
        <w:t xml:space="preserve">, </w:t>
      </w:r>
      <w:r w:rsidRPr="00632779">
        <w:rPr>
          <w:rFonts w:ascii="Times New Roman" w:hAnsi="Times New Roman" w:cs="Times New Roman"/>
          <w:i/>
          <w:iCs/>
          <w:lang w:val="en-US"/>
        </w:rPr>
        <w:t>P. subdepressus</w:t>
      </w:r>
      <w:r w:rsidRPr="00632779">
        <w:rPr>
          <w:rFonts w:ascii="Times New Roman" w:hAnsi="Times New Roman" w:cs="Times New Roman"/>
          <w:lang w:val="en-US"/>
        </w:rPr>
        <w:t xml:space="preserve">, </w:t>
      </w:r>
      <w:r w:rsidRPr="00632779">
        <w:rPr>
          <w:rFonts w:ascii="Times New Roman" w:hAnsi="Times New Roman" w:cs="Times New Roman"/>
          <w:i/>
          <w:iCs/>
          <w:lang w:val="en-US"/>
        </w:rPr>
        <w:t>C. hemipterus</w:t>
      </w:r>
      <w:r w:rsidRPr="00632779">
        <w:rPr>
          <w:rFonts w:ascii="Times New Roman" w:hAnsi="Times New Roman" w:cs="Times New Roman"/>
          <w:lang w:val="en-US"/>
        </w:rPr>
        <w:t xml:space="preserve">, </w:t>
      </w:r>
      <w:r w:rsidRPr="00632779">
        <w:rPr>
          <w:rFonts w:ascii="Times New Roman" w:hAnsi="Times New Roman" w:cs="Times New Roman"/>
          <w:i/>
          <w:iCs/>
          <w:lang w:val="en-US"/>
        </w:rPr>
        <w:t>E. cautella</w:t>
      </w:r>
      <w:r w:rsidRPr="00632779">
        <w:rPr>
          <w:rFonts w:ascii="Times New Roman" w:hAnsi="Times New Roman" w:cs="Times New Roman"/>
          <w:lang w:val="en-US"/>
        </w:rPr>
        <w:t xml:space="preserve">, </w:t>
      </w:r>
      <w:r w:rsidRPr="00632779">
        <w:rPr>
          <w:rFonts w:ascii="Times New Roman" w:hAnsi="Times New Roman" w:cs="Times New Roman"/>
          <w:i/>
          <w:iCs/>
          <w:lang w:val="en-US"/>
        </w:rPr>
        <w:t>P. interpunctella</w:t>
      </w:r>
      <w:r w:rsidRPr="00632779">
        <w:rPr>
          <w:rFonts w:ascii="Times New Roman" w:hAnsi="Times New Roman" w:cs="Times New Roman"/>
          <w:lang w:val="en-US"/>
        </w:rPr>
        <w:t xml:space="preserve"> and </w:t>
      </w:r>
      <w:r w:rsidRPr="00632779">
        <w:rPr>
          <w:rFonts w:ascii="Times New Roman" w:hAnsi="Times New Roman" w:cs="Times New Roman"/>
          <w:i/>
          <w:iCs/>
          <w:lang w:val="en-US"/>
        </w:rPr>
        <w:t>S. cerealella</w:t>
      </w:r>
      <w:r w:rsidR="001D39BB">
        <w:rPr>
          <w:rFonts w:ascii="Times New Roman" w:hAnsi="Times New Roman" w:cs="Times New Roman"/>
          <w:i/>
          <w:iCs/>
          <w:lang w:val="en-US"/>
        </w:rPr>
        <w:t>,</w:t>
      </w:r>
      <w:r w:rsidRPr="00632779">
        <w:rPr>
          <w:rFonts w:ascii="Times New Roman" w:hAnsi="Times New Roman" w:cs="Times New Roman"/>
          <w:lang w:val="en-US"/>
        </w:rPr>
        <w:t xml:space="preserve"> with an Ra of less than 1 (Ra &lt; 1%) were considered as low abundance species (table 3).</w:t>
      </w:r>
    </w:p>
    <w:p w14:paraId="07136BA2" w14:textId="4595C5B1" w:rsidR="005D5F2A" w:rsidRDefault="00580308" w:rsidP="00632779">
      <w:pPr>
        <w:spacing w:before="240" w:line="480" w:lineRule="auto"/>
        <w:jc w:val="both"/>
        <w:rPr>
          <w:rFonts w:ascii="Times New Roman" w:hAnsi="Times New Roman" w:cs="Times New Roman"/>
          <w:i/>
          <w:iCs/>
          <w:lang w:val="en-US"/>
        </w:rPr>
      </w:pPr>
      <w:r w:rsidRPr="00632779">
        <w:rPr>
          <w:rFonts w:ascii="Times New Roman" w:hAnsi="Times New Roman" w:cs="Times New Roman"/>
          <w:b/>
          <w:bCs/>
          <w:i/>
          <w:iCs/>
          <w:lang w:val="en-US"/>
        </w:rPr>
        <w:t>Legend</w:t>
      </w:r>
      <w:r w:rsidR="005D5F2A" w:rsidRPr="00632779">
        <w:rPr>
          <w:rFonts w:ascii="Times New Roman" w:hAnsi="Times New Roman" w:cs="Times New Roman"/>
          <w:b/>
          <w:bCs/>
          <w:i/>
          <w:iCs/>
          <w:lang w:val="en-US"/>
        </w:rPr>
        <w:t>:</w:t>
      </w:r>
      <w:r w:rsidR="005D5F2A" w:rsidRPr="00632779">
        <w:rPr>
          <w:rFonts w:ascii="Times New Roman" w:hAnsi="Times New Roman" w:cs="Times New Roman"/>
          <w:lang w:val="en-US"/>
        </w:rPr>
        <w:t xml:space="preserve"> </w:t>
      </w:r>
      <w:r w:rsidR="00CF30E4" w:rsidRPr="00632779">
        <w:rPr>
          <w:rFonts w:ascii="Times New Roman" w:hAnsi="Times New Roman" w:cs="Times New Roman"/>
          <w:i/>
          <w:iCs/>
          <w:lang w:val="en-US"/>
        </w:rPr>
        <w:t>Ra</w:t>
      </w:r>
      <w:r w:rsidR="005D5F2A" w:rsidRPr="00632779">
        <w:rPr>
          <w:rFonts w:ascii="Times New Roman" w:hAnsi="Times New Roman" w:cs="Times New Roman"/>
          <w:b/>
          <w:bCs/>
          <w:i/>
          <w:iCs/>
          <w:lang w:val="en-US"/>
        </w:rPr>
        <w:t> </w:t>
      </w:r>
      <w:r w:rsidR="005D5F2A" w:rsidRPr="00632779">
        <w:rPr>
          <w:rFonts w:ascii="Times New Roman" w:hAnsi="Times New Roman" w:cs="Times New Roman"/>
          <w:i/>
          <w:iCs/>
          <w:lang w:val="en-US"/>
        </w:rPr>
        <w:t xml:space="preserve">: </w:t>
      </w:r>
      <w:r w:rsidR="00CF30E4" w:rsidRPr="00632779">
        <w:rPr>
          <w:rFonts w:ascii="Times New Roman" w:hAnsi="Times New Roman" w:cs="Times New Roman"/>
          <w:i/>
          <w:iCs/>
          <w:lang w:val="en-US"/>
        </w:rPr>
        <w:t>Relative a</w:t>
      </w:r>
      <w:r w:rsidR="005D5F2A" w:rsidRPr="00632779">
        <w:rPr>
          <w:rFonts w:ascii="Times New Roman" w:hAnsi="Times New Roman" w:cs="Times New Roman"/>
          <w:i/>
          <w:iCs/>
          <w:lang w:val="en-US"/>
        </w:rPr>
        <w:t>b</w:t>
      </w:r>
      <w:r w:rsidR="00CF30E4" w:rsidRPr="00632779">
        <w:rPr>
          <w:rFonts w:ascii="Times New Roman" w:hAnsi="Times New Roman" w:cs="Times New Roman"/>
          <w:i/>
          <w:iCs/>
          <w:lang w:val="en-US"/>
        </w:rPr>
        <w:t>u</w:t>
      </w:r>
      <w:r w:rsidR="005D5F2A" w:rsidRPr="00632779">
        <w:rPr>
          <w:rFonts w:ascii="Times New Roman" w:hAnsi="Times New Roman" w:cs="Times New Roman"/>
          <w:i/>
          <w:iCs/>
          <w:lang w:val="en-US"/>
        </w:rPr>
        <w:t>ndance (%)</w:t>
      </w:r>
    </w:p>
    <w:p w14:paraId="1DEBA729" w14:textId="40D170DD" w:rsidR="00BA68A2" w:rsidRPr="00632779" w:rsidRDefault="00BA68A2" w:rsidP="00BA68A2">
      <w:pPr>
        <w:spacing w:line="480" w:lineRule="auto"/>
        <w:jc w:val="both"/>
        <w:rPr>
          <w:rFonts w:ascii="Times New Roman" w:hAnsi="Times New Roman" w:cs="Times New Roman"/>
          <w:b/>
          <w:bCs/>
          <w:iCs/>
          <w:lang w:val="en-US"/>
        </w:rPr>
      </w:pPr>
      <w:r w:rsidRPr="00632779">
        <w:rPr>
          <w:rFonts w:ascii="Times New Roman" w:hAnsi="Times New Roman" w:cs="Times New Roman"/>
          <w:b/>
          <w:bCs/>
          <w:iCs/>
          <w:lang w:val="en-US"/>
        </w:rPr>
        <w:t>TABLE 3</w:t>
      </w:r>
      <w:r w:rsidR="000D0E5B">
        <w:rPr>
          <w:rFonts w:ascii="Times New Roman" w:hAnsi="Times New Roman" w:cs="Times New Roman"/>
          <w:b/>
          <w:bCs/>
          <w:iCs/>
          <w:lang w:val="en-US"/>
        </w:rPr>
        <w:t>.</w:t>
      </w:r>
      <w:r w:rsidRPr="00632779">
        <w:rPr>
          <w:rFonts w:ascii="Times New Roman" w:hAnsi="Times New Roman" w:cs="Times New Roman"/>
          <w:b/>
          <w:bCs/>
          <w:iCs/>
          <w:lang w:val="en-US"/>
        </w:rPr>
        <w:t xml:space="preserve"> </w:t>
      </w:r>
      <w:r w:rsidRPr="00632779">
        <w:rPr>
          <w:rFonts w:ascii="Times New Roman" w:hAnsi="Times New Roman" w:cs="Times New Roman"/>
          <w:iCs/>
          <w:lang w:val="en-US"/>
        </w:rPr>
        <w:t>Inventory and abundance of insect pests observed in stocks</w:t>
      </w:r>
    </w:p>
    <w:tbl>
      <w:tblPr>
        <w:tblStyle w:val="PlainTable2"/>
        <w:tblW w:w="9498" w:type="dxa"/>
        <w:jc w:val="center"/>
        <w:tblLayout w:type="fixed"/>
        <w:tblLook w:val="04A0" w:firstRow="1" w:lastRow="0" w:firstColumn="1" w:lastColumn="0" w:noHBand="0" w:noVBand="1"/>
      </w:tblPr>
      <w:tblGrid>
        <w:gridCol w:w="1418"/>
        <w:gridCol w:w="1559"/>
        <w:gridCol w:w="2410"/>
        <w:gridCol w:w="1417"/>
        <w:gridCol w:w="1701"/>
        <w:gridCol w:w="993"/>
      </w:tblGrid>
      <w:tr w:rsidR="00BA68A2" w:rsidRPr="00632779" w14:paraId="6E6DC79D" w14:textId="77777777" w:rsidTr="005847D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2F2F2" w:themeFill="background1" w:themeFillShade="F2"/>
            <w:hideMark/>
          </w:tcPr>
          <w:p w14:paraId="7478895D" w14:textId="77777777" w:rsidR="00BA68A2" w:rsidRPr="00632779" w:rsidRDefault="00BA68A2" w:rsidP="005847D3">
            <w:pPr>
              <w:spacing w:line="480" w:lineRule="auto"/>
              <w:rPr>
                <w:rFonts w:ascii="Times New Roman" w:hAnsi="Times New Roman" w:cs="Times New Roman"/>
                <w:iCs/>
              </w:rPr>
            </w:pPr>
            <w:r w:rsidRPr="00632779">
              <w:rPr>
                <w:rFonts w:ascii="Times New Roman" w:hAnsi="Times New Roman" w:cs="Times New Roman"/>
                <w:iCs/>
              </w:rPr>
              <w:t>Orders</w:t>
            </w:r>
          </w:p>
        </w:tc>
        <w:tc>
          <w:tcPr>
            <w:tcW w:w="1559" w:type="dxa"/>
            <w:tcBorders>
              <w:top w:val="single" w:sz="4" w:space="0" w:color="auto"/>
              <w:bottom w:val="single" w:sz="4" w:space="0" w:color="auto"/>
            </w:tcBorders>
            <w:shd w:val="clear" w:color="auto" w:fill="F2F2F2" w:themeFill="background1" w:themeFillShade="F2"/>
            <w:hideMark/>
          </w:tcPr>
          <w:p w14:paraId="4F3A9AD6"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Families</w:t>
            </w:r>
          </w:p>
        </w:tc>
        <w:tc>
          <w:tcPr>
            <w:tcW w:w="2410" w:type="dxa"/>
            <w:tcBorders>
              <w:top w:val="single" w:sz="4" w:space="0" w:color="auto"/>
              <w:bottom w:val="single" w:sz="4" w:space="0" w:color="auto"/>
            </w:tcBorders>
            <w:shd w:val="clear" w:color="auto" w:fill="F2F2F2" w:themeFill="background1" w:themeFillShade="F2"/>
            <w:hideMark/>
          </w:tcPr>
          <w:p w14:paraId="1652ECD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Scientific name</w:t>
            </w:r>
          </w:p>
        </w:tc>
        <w:tc>
          <w:tcPr>
            <w:tcW w:w="1417" w:type="dxa"/>
            <w:tcBorders>
              <w:top w:val="single" w:sz="4" w:space="0" w:color="auto"/>
              <w:bottom w:val="single" w:sz="4" w:space="0" w:color="auto"/>
            </w:tcBorders>
            <w:shd w:val="clear" w:color="auto" w:fill="F2F2F2" w:themeFill="background1" w:themeFillShade="F2"/>
            <w:hideMark/>
          </w:tcPr>
          <w:p w14:paraId="0655D46C"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Pest status</w:t>
            </w:r>
          </w:p>
        </w:tc>
        <w:tc>
          <w:tcPr>
            <w:tcW w:w="1701" w:type="dxa"/>
            <w:tcBorders>
              <w:top w:val="single" w:sz="4" w:space="0" w:color="auto"/>
              <w:bottom w:val="single" w:sz="4" w:space="0" w:color="auto"/>
            </w:tcBorders>
            <w:shd w:val="clear" w:color="auto" w:fill="F2F2F2" w:themeFill="background1" w:themeFillShade="F2"/>
            <w:hideMark/>
          </w:tcPr>
          <w:p w14:paraId="25C2E98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Population (P)</w:t>
            </w:r>
          </w:p>
        </w:tc>
        <w:tc>
          <w:tcPr>
            <w:tcW w:w="993" w:type="dxa"/>
            <w:tcBorders>
              <w:top w:val="single" w:sz="4" w:space="0" w:color="auto"/>
              <w:bottom w:val="single" w:sz="4" w:space="0" w:color="auto"/>
            </w:tcBorders>
            <w:shd w:val="clear" w:color="auto" w:fill="F2F2F2" w:themeFill="background1" w:themeFillShade="F2"/>
            <w:hideMark/>
          </w:tcPr>
          <w:p w14:paraId="4186E0E0"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Ra (%)</w:t>
            </w:r>
          </w:p>
        </w:tc>
      </w:tr>
      <w:tr w:rsidR="00BA68A2" w:rsidRPr="00632779" w14:paraId="3303EB6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048FD4DD" w14:textId="77777777" w:rsidR="00BA68A2" w:rsidRPr="00632779" w:rsidRDefault="00BA68A2" w:rsidP="005847D3">
            <w:pPr>
              <w:spacing w:line="480" w:lineRule="auto"/>
              <w:jc w:val="both"/>
              <w:rPr>
                <w:rFonts w:ascii="Times New Roman" w:hAnsi="Times New Roman" w:cs="Times New Roman"/>
                <w:iCs/>
              </w:rPr>
            </w:pPr>
            <w:r w:rsidRPr="00632779">
              <w:rPr>
                <w:rFonts w:ascii="Times New Roman" w:hAnsi="Times New Roman" w:cs="Times New Roman"/>
                <w:lang w:val="en-US"/>
              </w:rPr>
              <w:t>Coleoptera</w:t>
            </w:r>
          </w:p>
        </w:tc>
        <w:tc>
          <w:tcPr>
            <w:tcW w:w="1559" w:type="dxa"/>
            <w:tcBorders>
              <w:top w:val="single" w:sz="4" w:space="0" w:color="auto"/>
            </w:tcBorders>
            <w:hideMark/>
          </w:tcPr>
          <w:p w14:paraId="1CE5DB75"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Curculionidae</w:t>
            </w:r>
          </w:p>
        </w:tc>
        <w:tc>
          <w:tcPr>
            <w:tcW w:w="2410" w:type="dxa"/>
            <w:tcBorders>
              <w:top w:val="single" w:sz="4" w:space="0" w:color="auto"/>
            </w:tcBorders>
            <w:hideMark/>
          </w:tcPr>
          <w:p w14:paraId="3920E1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Sitophilus zeamais</w:t>
            </w:r>
          </w:p>
        </w:tc>
        <w:tc>
          <w:tcPr>
            <w:tcW w:w="1417" w:type="dxa"/>
            <w:tcBorders>
              <w:top w:val="single" w:sz="4" w:space="0" w:color="auto"/>
            </w:tcBorders>
            <w:hideMark/>
          </w:tcPr>
          <w:p w14:paraId="3D7EC9A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Primary</w:t>
            </w:r>
          </w:p>
        </w:tc>
        <w:tc>
          <w:tcPr>
            <w:tcW w:w="1701" w:type="dxa"/>
            <w:tcBorders>
              <w:top w:val="single" w:sz="4" w:space="0" w:color="auto"/>
            </w:tcBorders>
            <w:hideMark/>
          </w:tcPr>
          <w:p w14:paraId="440B8FD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5539</w:t>
            </w:r>
          </w:p>
        </w:tc>
        <w:tc>
          <w:tcPr>
            <w:tcW w:w="993" w:type="dxa"/>
            <w:tcBorders>
              <w:top w:val="single" w:sz="4" w:space="0" w:color="auto"/>
            </w:tcBorders>
            <w:hideMark/>
          </w:tcPr>
          <w:p w14:paraId="0A9937F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51,060</w:t>
            </w:r>
          </w:p>
        </w:tc>
      </w:tr>
      <w:tr w:rsidR="00BA68A2" w:rsidRPr="00632779" w14:paraId="325E19C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86B6407"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0AE9399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Bostrichidae</w:t>
            </w:r>
          </w:p>
        </w:tc>
        <w:tc>
          <w:tcPr>
            <w:tcW w:w="2410" w:type="dxa"/>
            <w:hideMark/>
          </w:tcPr>
          <w:p w14:paraId="3051F4B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Prostephanus truncatus</w:t>
            </w:r>
          </w:p>
        </w:tc>
        <w:tc>
          <w:tcPr>
            <w:tcW w:w="1417" w:type="dxa"/>
            <w:hideMark/>
          </w:tcPr>
          <w:p w14:paraId="532531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Primary</w:t>
            </w:r>
          </w:p>
        </w:tc>
        <w:tc>
          <w:tcPr>
            <w:tcW w:w="1701" w:type="dxa"/>
            <w:hideMark/>
          </w:tcPr>
          <w:p w14:paraId="54D67D4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15</w:t>
            </w:r>
          </w:p>
        </w:tc>
        <w:tc>
          <w:tcPr>
            <w:tcW w:w="993" w:type="dxa"/>
            <w:hideMark/>
          </w:tcPr>
          <w:p w14:paraId="439125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0,138</w:t>
            </w:r>
          </w:p>
        </w:tc>
      </w:tr>
      <w:tr w:rsidR="00BA68A2" w:rsidRPr="00632779" w14:paraId="04456C49"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F0F1A1E"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6169C74A"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Bostrichidae</w:t>
            </w:r>
          </w:p>
        </w:tc>
        <w:tc>
          <w:tcPr>
            <w:tcW w:w="2410" w:type="dxa"/>
            <w:hideMark/>
          </w:tcPr>
          <w:p w14:paraId="320F4C4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Dinoderus bifoveolatus</w:t>
            </w:r>
          </w:p>
        </w:tc>
        <w:tc>
          <w:tcPr>
            <w:tcW w:w="1417" w:type="dxa"/>
            <w:hideMark/>
          </w:tcPr>
          <w:p w14:paraId="0FEE3D4D"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Primary</w:t>
            </w:r>
          </w:p>
        </w:tc>
        <w:tc>
          <w:tcPr>
            <w:tcW w:w="1701" w:type="dxa"/>
            <w:hideMark/>
          </w:tcPr>
          <w:p w14:paraId="41B26FF7"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80</w:t>
            </w:r>
          </w:p>
        </w:tc>
        <w:tc>
          <w:tcPr>
            <w:tcW w:w="993" w:type="dxa"/>
            <w:hideMark/>
          </w:tcPr>
          <w:p w14:paraId="757E2B0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0,737</w:t>
            </w:r>
          </w:p>
        </w:tc>
      </w:tr>
      <w:tr w:rsidR="00BA68A2" w:rsidRPr="00632779" w14:paraId="3B1B7599"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657DD98"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23DD0F7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Tenebrionidae</w:t>
            </w:r>
          </w:p>
        </w:tc>
        <w:tc>
          <w:tcPr>
            <w:tcW w:w="2410" w:type="dxa"/>
            <w:hideMark/>
          </w:tcPr>
          <w:p w14:paraId="72A672B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Tribolium castenum</w:t>
            </w:r>
          </w:p>
        </w:tc>
        <w:tc>
          <w:tcPr>
            <w:tcW w:w="1417" w:type="dxa"/>
            <w:hideMark/>
          </w:tcPr>
          <w:p w14:paraId="768C8CD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Secondary</w:t>
            </w:r>
          </w:p>
        </w:tc>
        <w:tc>
          <w:tcPr>
            <w:tcW w:w="1701" w:type="dxa"/>
            <w:hideMark/>
          </w:tcPr>
          <w:p w14:paraId="0903AF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4731</w:t>
            </w:r>
          </w:p>
        </w:tc>
        <w:tc>
          <w:tcPr>
            <w:tcW w:w="993" w:type="dxa"/>
            <w:hideMark/>
          </w:tcPr>
          <w:p w14:paraId="6D5D9B4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43,612</w:t>
            </w:r>
          </w:p>
        </w:tc>
      </w:tr>
      <w:tr w:rsidR="00BA68A2" w:rsidRPr="00632779" w14:paraId="6086AA9A"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7B310C"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3C15514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Tenebrionidae </w:t>
            </w:r>
          </w:p>
        </w:tc>
        <w:tc>
          <w:tcPr>
            <w:tcW w:w="2410" w:type="dxa"/>
            <w:hideMark/>
          </w:tcPr>
          <w:p w14:paraId="18DB17C9"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Tribolium confusum</w:t>
            </w:r>
          </w:p>
        </w:tc>
        <w:tc>
          <w:tcPr>
            <w:tcW w:w="1417" w:type="dxa"/>
            <w:hideMark/>
          </w:tcPr>
          <w:p w14:paraId="282C467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Secondary</w:t>
            </w:r>
          </w:p>
        </w:tc>
        <w:tc>
          <w:tcPr>
            <w:tcW w:w="1701" w:type="dxa"/>
            <w:hideMark/>
          </w:tcPr>
          <w:p w14:paraId="459767B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221</w:t>
            </w:r>
          </w:p>
        </w:tc>
        <w:tc>
          <w:tcPr>
            <w:tcW w:w="993" w:type="dxa"/>
            <w:hideMark/>
          </w:tcPr>
          <w:p w14:paraId="5C73C62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2,0372</w:t>
            </w:r>
          </w:p>
        </w:tc>
      </w:tr>
      <w:tr w:rsidR="00BA68A2" w:rsidRPr="00632779" w14:paraId="7E6ABD5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94BB242"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58025F6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Tenebrionidae </w:t>
            </w:r>
          </w:p>
        </w:tc>
        <w:tc>
          <w:tcPr>
            <w:tcW w:w="2410" w:type="dxa"/>
            <w:hideMark/>
          </w:tcPr>
          <w:p w14:paraId="6E139D1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Palorus subdepressus</w:t>
            </w:r>
          </w:p>
        </w:tc>
        <w:tc>
          <w:tcPr>
            <w:tcW w:w="1417" w:type="dxa"/>
            <w:hideMark/>
          </w:tcPr>
          <w:p w14:paraId="017E0939"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Secondary</w:t>
            </w:r>
          </w:p>
        </w:tc>
        <w:tc>
          <w:tcPr>
            <w:tcW w:w="1701" w:type="dxa"/>
            <w:hideMark/>
          </w:tcPr>
          <w:p w14:paraId="5B34740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23</w:t>
            </w:r>
          </w:p>
        </w:tc>
        <w:tc>
          <w:tcPr>
            <w:tcW w:w="993" w:type="dxa"/>
            <w:hideMark/>
          </w:tcPr>
          <w:p w14:paraId="0654CDE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0,2120</w:t>
            </w:r>
          </w:p>
        </w:tc>
      </w:tr>
      <w:tr w:rsidR="00BA68A2" w:rsidRPr="00632779" w14:paraId="3B408EB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5FEE06C5" w14:textId="77777777" w:rsidR="00BA68A2" w:rsidRPr="00632779" w:rsidRDefault="00BA68A2" w:rsidP="005847D3">
            <w:pPr>
              <w:spacing w:line="480" w:lineRule="auto"/>
              <w:jc w:val="both"/>
              <w:rPr>
                <w:rFonts w:ascii="Times New Roman" w:hAnsi="Times New Roman" w:cs="Times New Roman"/>
                <w:i/>
              </w:rPr>
            </w:pPr>
          </w:p>
        </w:tc>
        <w:tc>
          <w:tcPr>
            <w:tcW w:w="1559" w:type="dxa"/>
            <w:tcBorders>
              <w:bottom w:val="single" w:sz="4" w:space="0" w:color="auto"/>
            </w:tcBorders>
            <w:hideMark/>
          </w:tcPr>
          <w:p w14:paraId="4986A9E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Nitidulidae</w:t>
            </w:r>
          </w:p>
        </w:tc>
        <w:tc>
          <w:tcPr>
            <w:tcW w:w="2410" w:type="dxa"/>
            <w:tcBorders>
              <w:bottom w:val="single" w:sz="4" w:space="0" w:color="auto"/>
            </w:tcBorders>
            <w:hideMark/>
          </w:tcPr>
          <w:p w14:paraId="4E2FEF4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Carpophilus hemipterus</w:t>
            </w:r>
          </w:p>
        </w:tc>
        <w:tc>
          <w:tcPr>
            <w:tcW w:w="1417" w:type="dxa"/>
            <w:tcBorders>
              <w:bottom w:val="single" w:sz="4" w:space="0" w:color="auto"/>
            </w:tcBorders>
            <w:hideMark/>
          </w:tcPr>
          <w:p w14:paraId="1FFC89F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Secondary</w:t>
            </w:r>
          </w:p>
        </w:tc>
        <w:tc>
          <w:tcPr>
            <w:tcW w:w="1701" w:type="dxa"/>
            <w:tcBorders>
              <w:bottom w:val="single" w:sz="4" w:space="0" w:color="auto"/>
            </w:tcBorders>
            <w:hideMark/>
          </w:tcPr>
          <w:p w14:paraId="36464B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19</w:t>
            </w:r>
          </w:p>
        </w:tc>
        <w:tc>
          <w:tcPr>
            <w:tcW w:w="993" w:type="dxa"/>
            <w:tcBorders>
              <w:bottom w:val="single" w:sz="4" w:space="0" w:color="auto"/>
            </w:tcBorders>
            <w:hideMark/>
          </w:tcPr>
          <w:p w14:paraId="41D248D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0,1751</w:t>
            </w:r>
          </w:p>
        </w:tc>
      </w:tr>
      <w:tr w:rsidR="00BA68A2" w:rsidRPr="00632779" w14:paraId="174402D7"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36B09219"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Lepidoptera</w:t>
            </w:r>
          </w:p>
        </w:tc>
        <w:tc>
          <w:tcPr>
            <w:tcW w:w="1559" w:type="dxa"/>
            <w:tcBorders>
              <w:top w:val="single" w:sz="4" w:space="0" w:color="auto"/>
            </w:tcBorders>
            <w:hideMark/>
          </w:tcPr>
          <w:p w14:paraId="2EE18DB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Gelechiidae</w:t>
            </w:r>
          </w:p>
        </w:tc>
        <w:tc>
          <w:tcPr>
            <w:tcW w:w="2410" w:type="dxa"/>
            <w:tcBorders>
              <w:top w:val="single" w:sz="4" w:space="0" w:color="auto"/>
            </w:tcBorders>
            <w:hideMark/>
          </w:tcPr>
          <w:p w14:paraId="1E068E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i/>
              </w:rPr>
              <w:t>Sitotroga cerealella</w:t>
            </w:r>
          </w:p>
        </w:tc>
        <w:tc>
          <w:tcPr>
            <w:tcW w:w="1417" w:type="dxa"/>
            <w:tcBorders>
              <w:top w:val="single" w:sz="4" w:space="0" w:color="auto"/>
            </w:tcBorders>
            <w:hideMark/>
          </w:tcPr>
          <w:p w14:paraId="7C82A51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Primary</w:t>
            </w:r>
          </w:p>
        </w:tc>
        <w:tc>
          <w:tcPr>
            <w:tcW w:w="1701" w:type="dxa"/>
            <w:tcBorders>
              <w:top w:val="single" w:sz="4" w:space="0" w:color="auto"/>
            </w:tcBorders>
            <w:hideMark/>
          </w:tcPr>
          <w:p w14:paraId="3B0520D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143</w:t>
            </w:r>
          </w:p>
        </w:tc>
        <w:tc>
          <w:tcPr>
            <w:tcW w:w="993" w:type="dxa"/>
            <w:tcBorders>
              <w:top w:val="single" w:sz="4" w:space="0" w:color="auto"/>
            </w:tcBorders>
            <w:hideMark/>
          </w:tcPr>
          <w:p w14:paraId="4EC930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1,3182</w:t>
            </w:r>
          </w:p>
        </w:tc>
      </w:tr>
      <w:tr w:rsidR="00BA68A2" w:rsidRPr="00632779" w14:paraId="4EF0380E"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2DAF79" w14:textId="77777777" w:rsidR="00BA68A2" w:rsidRPr="00632779" w:rsidRDefault="00BA68A2" w:rsidP="005847D3">
            <w:pPr>
              <w:spacing w:line="480" w:lineRule="auto"/>
              <w:jc w:val="both"/>
              <w:rPr>
                <w:rFonts w:ascii="Times New Roman" w:hAnsi="Times New Roman" w:cs="Times New Roman"/>
                <w:iCs/>
              </w:rPr>
            </w:pPr>
          </w:p>
        </w:tc>
        <w:tc>
          <w:tcPr>
            <w:tcW w:w="1559" w:type="dxa"/>
            <w:hideMark/>
          </w:tcPr>
          <w:p w14:paraId="1EB185B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Lepidoptera</w:t>
            </w:r>
          </w:p>
        </w:tc>
        <w:tc>
          <w:tcPr>
            <w:tcW w:w="2410" w:type="dxa"/>
            <w:hideMark/>
          </w:tcPr>
          <w:p w14:paraId="1B64296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632779">
              <w:rPr>
                <w:rFonts w:ascii="Times New Roman" w:hAnsi="Times New Roman" w:cs="Times New Roman"/>
                <w:i/>
              </w:rPr>
              <w:t>Ephestia cautella</w:t>
            </w:r>
          </w:p>
        </w:tc>
        <w:tc>
          <w:tcPr>
            <w:tcW w:w="1417" w:type="dxa"/>
            <w:hideMark/>
          </w:tcPr>
          <w:p w14:paraId="6C963A4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Primary</w:t>
            </w:r>
          </w:p>
        </w:tc>
        <w:tc>
          <w:tcPr>
            <w:tcW w:w="1701" w:type="dxa"/>
            <w:hideMark/>
          </w:tcPr>
          <w:p w14:paraId="5A467D0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40</w:t>
            </w:r>
          </w:p>
        </w:tc>
        <w:tc>
          <w:tcPr>
            <w:tcW w:w="993" w:type="dxa"/>
            <w:hideMark/>
          </w:tcPr>
          <w:p w14:paraId="5D382BA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0,3687</w:t>
            </w:r>
          </w:p>
        </w:tc>
      </w:tr>
      <w:tr w:rsidR="00BA68A2" w:rsidRPr="00632779" w14:paraId="7ABF76AC"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70A3515E" w14:textId="77777777" w:rsidR="00BA68A2" w:rsidRPr="00632779" w:rsidRDefault="00BA68A2" w:rsidP="005847D3">
            <w:pPr>
              <w:spacing w:line="480" w:lineRule="auto"/>
              <w:jc w:val="both"/>
              <w:rPr>
                <w:rFonts w:ascii="Times New Roman" w:hAnsi="Times New Roman" w:cs="Times New Roman"/>
                <w:iCs/>
              </w:rPr>
            </w:pPr>
          </w:p>
        </w:tc>
        <w:tc>
          <w:tcPr>
            <w:tcW w:w="1559" w:type="dxa"/>
            <w:tcBorders>
              <w:bottom w:val="single" w:sz="4" w:space="0" w:color="auto"/>
            </w:tcBorders>
            <w:hideMark/>
          </w:tcPr>
          <w:p w14:paraId="44756C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Lepidoptera</w:t>
            </w:r>
          </w:p>
        </w:tc>
        <w:tc>
          <w:tcPr>
            <w:tcW w:w="2410" w:type="dxa"/>
            <w:tcBorders>
              <w:bottom w:val="single" w:sz="4" w:space="0" w:color="auto"/>
            </w:tcBorders>
            <w:hideMark/>
          </w:tcPr>
          <w:p w14:paraId="67D5EC8D"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632779">
              <w:rPr>
                <w:rFonts w:ascii="Times New Roman" w:hAnsi="Times New Roman" w:cs="Times New Roman"/>
                <w:i/>
              </w:rPr>
              <w:t>Plodia interpunctella</w:t>
            </w:r>
          </w:p>
        </w:tc>
        <w:tc>
          <w:tcPr>
            <w:tcW w:w="1417" w:type="dxa"/>
            <w:tcBorders>
              <w:bottom w:val="single" w:sz="4" w:space="0" w:color="auto"/>
            </w:tcBorders>
            <w:hideMark/>
          </w:tcPr>
          <w:p w14:paraId="14E0CBA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Secondary</w:t>
            </w:r>
          </w:p>
        </w:tc>
        <w:tc>
          <w:tcPr>
            <w:tcW w:w="1701" w:type="dxa"/>
            <w:tcBorders>
              <w:bottom w:val="single" w:sz="4" w:space="0" w:color="auto"/>
            </w:tcBorders>
            <w:hideMark/>
          </w:tcPr>
          <w:p w14:paraId="0EF22EE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37</w:t>
            </w:r>
          </w:p>
        </w:tc>
        <w:tc>
          <w:tcPr>
            <w:tcW w:w="993" w:type="dxa"/>
            <w:tcBorders>
              <w:bottom w:val="single" w:sz="4" w:space="0" w:color="auto"/>
            </w:tcBorders>
            <w:hideMark/>
          </w:tcPr>
          <w:p w14:paraId="7BFED85E"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0,3411</w:t>
            </w:r>
          </w:p>
        </w:tc>
      </w:tr>
      <w:tr w:rsidR="00BA68A2" w:rsidRPr="00632779" w14:paraId="74212733"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Borders>
              <w:top w:val="single" w:sz="4" w:space="0" w:color="auto"/>
              <w:bottom w:val="single" w:sz="4" w:space="0" w:color="auto"/>
            </w:tcBorders>
            <w:hideMark/>
          </w:tcPr>
          <w:p w14:paraId="1E388D50"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Total</w:t>
            </w:r>
          </w:p>
        </w:tc>
        <w:tc>
          <w:tcPr>
            <w:tcW w:w="1417" w:type="dxa"/>
            <w:tcBorders>
              <w:top w:val="single" w:sz="4" w:space="0" w:color="auto"/>
              <w:bottom w:val="single" w:sz="4" w:space="0" w:color="auto"/>
            </w:tcBorders>
          </w:tcPr>
          <w:p w14:paraId="7A91EE0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
        </w:tc>
        <w:tc>
          <w:tcPr>
            <w:tcW w:w="1701" w:type="dxa"/>
            <w:tcBorders>
              <w:top w:val="single" w:sz="4" w:space="0" w:color="auto"/>
              <w:bottom w:val="single" w:sz="4" w:space="0" w:color="auto"/>
            </w:tcBorders>
            <w:hideMark/>
          </w:tcPr>
          <w:p w14:paraId="4B659D0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10748</w:t>
            </w:r>
          </w:p>
        </w:tc>
        <w:tc>
          <w:tcPr>
            <w:tcW w:w="993" w:type="dxa"/>
            <w:tcBorders>
              <w:top w:val="single" w:sz="4" w:space="0" w:color="auto"/>
              <w:bottom w:val="single" w:sz="4" w:space="0" w:color="auto"/>
            </w:tcBorders>
            <w:hideMark/>
          </w:tcPr>
          <w:p w14:paraId="14469DD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100</w:t>
            </w:r>
          </w:p>
        </w:tc>
      </w:tr>
    </w:tbl>
    <w:p w14:paraId="36E9CC49" w14:textId="7BED4CAA" w:rsidR="00BA68A2" w:rsidRDefault="00BA68A2" w:rsidP="00BA68A2">
      <w:pPr>
        <w:spacing w:line="480" w:lineRule="auto"/>
        <w:rPr>
          <w:rFonts w:ascii="Times New Roman" w:hAnsi="Times New Roman" w:cs="Times New Roman"/>
          <w:lang w:val="en-US"/>
        </w:rPr>
      </w:pPr>
    </w:p>
    <w:p w14:paraId="65F6FA72" w14:textId="77777777" w:rsidR="00544125" w:rsidRPr="00632779" w:rsidRDefault="00544125" w:rsidP="00544125">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3.2</w:t>
      </w:r>
      <w:r>
        <w:rPr>
          <w:rFonts w:ascii="Times New Roman" w:hAnsi="Times New Roman" w:cs="Times New Roman"/>
          <w:b/>
          <w:bCs/>
          <w:lang w:val="en-US"/>
        </w:rPr>
        <w:t>.</w:t>
      </w:r>
      <w:r w:rsidRPr="00632779">
        <w:rPr>
          <w:rFonts w:ascii="Times New Roman" w:hAnsi="Times New Roman" w:cs="Times New Roman"/>
          <w:lang w:val="en-US"/>
        </w:rPr>
        <w:t xml:space="preserve"> </w:t>
      </w:r>
      <w:r w:rsidRPr="00632779">
        <w:rPr>
          <w:rFonts w:ascii="Times New Roman" w:hAnsi="Times New Roman" w:cs="Times New Roman"/>
          <w:b/>
          <w:bCs/>
          <w:lang w:val="en-US"/>
        </w:rPr>
        <w:t xml:space="preserve">Insecticidal effect of sapwood and </w:t>
      </w:r>
      <w:commentRangeStart w:id="25"/>
      <w:r w:rsidRPr="00632779">
        <w:rPr>
          <w:rFonts w:ascii="Times New Roman" w:hAnsi="Times New Roman" w:cs="Times New Roman"/>
          <w:b/>
          <w:bCs/>
          <w:lang w:val="en-US"/>
        </w:rPr>
        <w:t>heatwood</w:t>
      </w:r>
      <w:commentRangeEnd w:id="25"/>
      <w:r w:rsidR="00933DC2" w:rsidRPr="00632779">
        <w:rPr>
          <w:rStyle w:val="CommentReference"/>
          <w:rFonts w:ascii="Times New Roman" w:hAnsi="Times New Roman" w:cs="Times New Roman"/>
          <w:b/>
          <w:bCs/>
          <w:sz w:val="22"/>
          <w:szCs w:val="22"/>
          <w:lang w:val="en-US"/>
        </w:rPr>
        <w:commentReference w:id="25"/>
      </w:r>
      <w:r w:rsidRPr="00632779">
        <w:rPr>
          <w:rFonts w:ascii="Times New Roman" w:hAnsi="Times New Roman" w:cs="Times New Roman"/>
          <w:b/>
          <w:bCs/>
          <w:lang w:val="en-US"/>
        </w:rPr>
        <w:t xml:space="preserve"> extracts against </w:t>
      </w:r>
      <w:r w:rsidRPr="00632779">
        <w:rPr>
          <w:rFonts w:ascii="Times New Roman" w:hAnsi="Times New Roman" w:cs="Times New Roman"/>
          <w:b/>
          <w:bCs/>
          <w:i/>
          <w:iCs/>
          <w:lang w:val="en-US"/>
        </w:rPr>
        <w:t>Sitophilus zeamais</w:t>
      </w:r>
    </w:p>
    <w:p w14:paraId="4EF2D7A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mortality rate after exposure to the different wood extracts assessed is shown in Fig. 3. The mortality rate was zero in the untreated control. In contrast, the reference control, the chemical insecticide Protect DP, caused 100% insect mortality on day 2 (Figure 3a and 3a'). The alcohol control caused a very low mortality rate of 3.33% on day 8. </w:t>
      </w:r>
    </w:p>
    <w:p w14:paraId="5548259E"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concentration of 0.08µL/cm²,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The heartwood extracts recorded a more rapid mortality rate over time (from day 1) than the sapwood extracts. On the other hand, sapwood extracts had a mortality rate of between 83.33 </w:t>
      </w:r>
      <w:r w:rsidRPr="00632779">
        <w:rPr>
          <w:rFonts w:ascii="Times New Roman" w:hAnsi="Times New Roman" w:cs="Times New Roman"/>
          <w:lang w:val="en-US"/>
        </w:rPr>
        <w:lastRenderedPageBreak/>
        <w:t>and 90% from day 8. Bete heartwood (96.67 ± 1.15%) and Iroko heartwood (86.67 ± 6.65%) were the most active, followed by Badi (73.67 ± 4.04%). Mortality was estimated at over 80% for the three heartwood extracts from day 6.</w:t>
      </w:r>
    </w:p>
    <w:p w14:paraId="4BD7F33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concentrations were doubled (0.16 µL/cm²), a similar mortality was observed. In fact,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Also, the mortality rate induced by the heartwood extracts was relatively faster over time than that of the sapwood extracts. The three sapwood extracts from Bete and Badi caused mortality between 58.33 ± 2.52 and 91.67 ± 6.03% between day 6 and day 8. Heartwood extract from Badi (98.33 ± 2.89%) and Iroko (95 ± 3.46%) had the best activity, followed by Badi (86.67 ± 6.5%). The heartwood extracts had almost the same effect as the synthetic chemical Protect DP, eliminating almost all the insects (Figure 3b and 3b'). </w:t>
      </w:r>
    </w:p>
    <w:p w14:paraId="369A767F" w14:textId="2EA4167F"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heartwood extracts were significantly (p&lt;0.05) more active than the sapwood extracts once the concentrations (0.24 µL/cm²) were tripled. In addition, a relatively slower rate of mortality was observed in the sapwood than in the duramen. Sapwood extracts had a low mortality of between 6.67 ± 2.08 and 93.33% between </w:t>
      </w:r>
      <w:commentRangeStart w:id="26"/>
      <w:r w:rsidRPr="00632779">
        <w:rPr>
          <w:rFonts w:ascii="Times New Roman" w:hAnsi="Times New Roman" w:cs="Times New Roman"/>
          <w:lang w:val="en-US"/>
        </w:rPr>
        <w:t xml:space="preserve">day </w:t>
      </w:r>
      <w:commentRangeEnd w:id="26"/>
      <w:r w:rsidR="00B824D4" w:rsidRPr="00632779">
        <w:rPr>
          <w:rStyle w:val="CommentReference"/>
          <w:rFonts w:ascii="Times New Roman" w:hAnsi="Times New Roman" w:cs="Times New Roman"/>
          <w:sz w:val="22"/>
          <w:szCs w:val="22"/>
          <w:lang w:val="en-US"/>
        </w:rPr>
        <w:commentReference w:id="26"/>
      </w:r>
      <w:r w:rsidRPr="00632779">
        <w:rPr>
          <w:rFonts w:ascii="Times New Roman" w:hAnsi="Times New Roman" w:cs="Times New Roman"/>
          <w:lang w:val="en-US"/>
        </w:rPr>
        <w:t>4 and 8. In terms of sapwood, Bete and Iroko extracts had almost the same activity</w:t>
      </w:r>
      <w:r w:rsidR="001D39BB">
        <w:rPr>
          <w:rFonts w:ascii="Times New Roman" w:hAnsi="Times New Roman" w:cs="Times New Roman"/>
          <w:lang w:val="en-US"/>
        </w:rPr>
        <w:t>,</w:t>
      </w:r>
      <w:r w:rsidRPr="00632779">
        <w:rPr>
          <w:rFonts w:ascii="Times New Roman" w:hAnsi="Times New Roman" w:cs="Times New Roman"/>
          <w:lang w:val="en-US"/>
        </w:rPr>
        <w:t xml:space="preserve"> with 1.67 ± 0.58% deaths from day 1 to day 3. The mortality rate increased from day 4 to day 8 for the three sapwood extracts, with mortality rates ranging from 25 ± 3.61 and 93.33 ± 5.03% for Badi, 21.66 ± 2.08 and 93.33 ± 7.23% for Bete</w:t>
      </w:r>
      <w:r w:rsidR="001D39BB">
        <w:rPr>
          <w:rFonts w:ascii="Times New Roman" w:hAnsi="Times New Roman" w:cs="Times New Roman"/>
          <w:lang w:val="en-US"/>
        </w:rPr>
        <w:t>,</w:t>
      </w:r>
      <w:r w:rsidRPr="00632779">
        <w:rPr>
          <w:rFonts w:ascii="Times New Roman" w:hAnsi="Times New Roman" w:cs="Times New Roman"/>
          <w:lang w:val="en-US"/>
        </w:rPr>
        <w:t xml:space="preserve"> and 6.67 ± 2.31 and 80 ± 3.61% for Iroko. The mortality rate was 100 ± 0% for heartwood extracts from Badi (day 4) and Bete (day 7). The synthetic pesticide Protect DP caused similar insecticidal activity with 100 ± 0% mortality on day 2. However, the response time was shorter for Badi and Bete heartwood extracts (day 4 and 7) (Figure 3c and 3c').  </w:t>
      </w:r>
    </w:p>
    <w:p w14:paraId="5EC0C718" w14:textId="0FE0E2F9"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concentration of 0.31 µL/cm², sapwood extracts were not significantly (p&gt;0.05) more active than heartwood extracts. However, a similar insecticidal effect was observed between the synthetic chemical Protect DP and the extracts of duramen from Badi, Bété</w:t>
      </w:r>
      <w:r w:rsidR="001D39BB">
        <w:rPr>
          <w:rFonts w:ascii="Times New Roman" w:hAnsi="Times New Roman" w:cs="Times New Roman"/>
          <w:lang w:val="en-US"/>
        </w:rPr>
        <w:t>,</w:t>
      </w:r>
      <w:r w:rsidRPr="00632779">
        <w:rPr>
          <w:rFonts w:ascii="Times New Roman" w:hAnsi="Times New Roman" w:cs="Times New Roman"/>
          <w:lang w:val="en-US"/>
        </w:rPr>
        <w:t xml:space="preserve"> and Iroko. The sapwood extracts caused a mortality rate of between 5 ± 1 and 100 ± 0% between day 4 and day 8. Badi extract (21.66 ± 3.21 to 100 ± 0%) was more effective than Bete extract (5 ± 1 to 95 ± 3.46) and Iroko extract (51.67 ± 4.04 to 93.33 ± 5.03%) during the same time interval. The synthetic chemical pesticide Protect DP caused similar insecticidal activity to the Badi and Bete heartwood extracts, eliminating 100 ± 0% on day 2 (Figure 3d and 3d').</w:t>
      </w:r>
    </w:p>
    <w:p w14:paraId="24A2BF35" w14:textId="14D60191" w:rsidR="00544125" w:rsidRPr="00632779" w:rsidRDefault="00544125" w:rsidP="00544125">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lastRenderedPageBreak/>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Badi,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Iroko sapwood extracts were 0.0289, 0.0094</w:t>
      </w:r>
      <w:r w:rsidR="002924E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0.0283 µL/cm²</w:t>
      </w:r>
      <w:r w:rsidR="002924E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w:t>
      </w:r>
      <w:r w:rsidR="002924E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on day 7,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Badi,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Iroko duramen extracts were 0.0706, 0.055</w:t>
      </w:r>
      <w:r w:rsidR="002924E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0.1435 µL/cm²</w:t>
      </w:r>
      <w:r w:rsidR="000637F6">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w:t>
      </w:r>
      <w:r w:rsidR="000637F6">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on day 2.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determined for the different doses applied </w:t>
      </w:r>
      <w:commentRangeStart w:id="27"/>
      <w:r w:rsidRPr="00632779">
        <w:rPr>
          <w:rFonts w:ascii="Times New Roman" w:eastAsia="Calibri" w:hAnsi="Times New Roman" w:cs="Times New Roman"/>
          <w:kern w:val="0"/>
          <w:lang w:val="en-US"/>
          <w14:ligatures w14:val="none"/>
        </w:rPr>
        <w:t>variedly</w:t>
      </w:r>
      <w:commentRangeEnd w:id="27"/>
      <w:r w:rsidR="002924E9" w:rsidRPr="00632779">
        <w:rPr>
          <w:rStyle w:val="CommentReference"/>
          <w:rFonts w:ascii="Times New Roman" w:eastAsia="Calibri" w:hAnsi="Times New Roman" w:cs="Times New Roman"/>
          <w:kern w:val="0"/>
          <w:sz w:val="22"/>
          <w:szCs w:val="22"/>
          <w:lang w:val="en-US"/>
          <w14:ligatures w14:val="none"/>
        </w:rPr>
        <w:commentReference w:id="27"/>
      </w:r>
      <w:r w:rsidRPr="00632779">
        <w:rPr>
          <w:rFonts w:ascii="Times New Roman" w:eastAsia="Calibri" w:hAnsi="Times New Roman" w:cs="Times New Roman"/>
          <w:kern w:val="0"/>
          <w:lang w:val="en-US"/>
          <w14:ligatures w14:val="none"/>
        </w:rPr>
        <w:t>. It was longer for sapwood extracts (3.5 to 6.2 days) and shorter for heartwood extracts (0.5 to 3.4 days).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duramen extracts was almost similar to that for Protect DP, which was 0.5 days. Thus, for sapwood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5.5 days for Badi, 5.5 days for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6.2 days for Iroko.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5.4 days for Badi, 5.3 days for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6.2 days for Iroko for sapwood doses of 0.16µL/cm². In addition, for sapwood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4.6 days for Badi, 4.5 days for Bete and 5.7 days for Iroko. For sapwood doses of 0.31 µL/cm², the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4.4 days for Badi and Bete and 3.5 days for Iroko. </w:t>
      </w:r>
    </w:p>
    <w:p w14:paraId="128E25C7" w14:textId="033EAC7B" w:rsidR="00544125" w:rsidRPr="00632779" w:rsidRDefault="00544125" w:rsidP="00544125">
      <w:pPr>
        <w:spacing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For heartwood extract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1.7 days for Badi, 0.7 days for Bete and 1.8 days for Iroko. For doses of 0.16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0.9 days for Badi, 0.6 days for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1.1 days for Iroko. For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w:t>
      </w:r>
      <w:r w:rsidR="001D39B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0.6 days for Iroko.  For heartwood doses of 0.31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w:t>
      </w:r>
      <w:r w:rsidR="000A360B">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0.5 days for Iroko.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were determined from logistic regression of probit units (Tables 4 and 5).</w:t>
      </w:r>
    </w:p>
    <w:p w14:paraId="724C0EBE"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1CDAE45F" wp14:editId="1477C21E">
                <wp:simplePos x="0" y="0"/>
                <wp:positionH relativeFrom="column">
                  <wp:posOffset>-99695</wp:posOffset>
                </wp:positionH>
                <wp:positionV relativeFrom="paragraph">
                  <wp:posOffset>-118745</wp:posOffset>
                </wp:positionV>
                <wp:extent cx="5962650" cy="8848725"/>
                <wp:effectExtent l="0" t="0" r="0" b="0"/>
                <wp:wrapNone/>
                <wp:docPr id="1560629080" name="Rectangle 11"/>
                <wp:cNvGraphicFramePr/>
                <a:graphic xmlns:a="http://schemas.openxmlformats.org/drawingml/2006/main">
                  <a:graphicData uri="http://schemas.microsoft.com/office/word/2010/wordprocessingShape">
                    <wps:wsp>
                      <wps:cNvSpPr/>
                      <wps:spPr>
                        <a:xfrm>
                          <a:off x="0" y="0"/>
                          <a:ext cx="5962650" cy="88487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4FD24" id="Rectangle 1" o:spid="_x0000_s1026" style="position:absolute;margin-left:-7.85pt;margin-top:-9.35pt;width:469.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QAIAAHoEAAAOAAAAZHJzL2Uyb0RvYy54bWysVE1v2zAMvQ/YfxB0X50ESZsGdYqgQYYB&#10;RVugLXpmZSkWIImapMTpfv0o2W2CbqdhPsikSPPj8dFX1wdr2F6GqNHVfHw24kw6gY1225o/P22+&#10;zTmLCVwDBp2s+ZuM/Hr59ctV5xdygi2aRgZGQVxcdL7mbUp+UVVRtNJCPEMvHRkVBguJ1LCtmgAd&#10;RbemmoxG51WHofEBhYyRbte9kS9LfKWkSPdKRZmYqTnVlsoZyvmaz2p5BYttAN9qMZQB/1CFBe0o&#10;6UeoNSRgu6D/CGW1CBhRpTOBtkKltJClB+pmPPrUzWMLXpZeCJzoP2CK/y+suNs/+odAMHQ+LiKJ&#10;uYuDCja/qT52KGC9fYAlD4kJupxdnk/OZ4SpINt8Pp1fTGYZzur4uQ8xfZdoWRZqHmgaBSTY38bU&#10;u7675GwON9qYMhHjWEd0mlyMcgIgYigDiUTrm5pHt+UMzJYYJ1IoIU++zSHXEFu2Bxp6RKObfsxW&#10;J+Ka0ZbqHeVnKNe4nF0WtgyFHcHI0is2bw+BBezpE73YaEpyCzE9QCC+UJG0A+meDmWQKsdB4qzF&#10;8Otv99mfxkhWzjriH1X6cwdBcmZ+OBrw5Xg6zYQtynR2MSElnFpeTy1uZ2+Quh3TtnlRxOyfzLuo&#10;AtoXWpVVzkomcIJy9/gNyk3q94KWTcjVqrgRST2kW/foRQ6eccrwPh1eIPhhrIkYcYfvXIXFp+n2&#10;vv18V7uESpfRH3ElymSFCF7IMyxj3qBTvXgdfxnL3wAAAP//AwBQSwMEFAAGAAgAAAAhAD/GcB/g&#10;AAAADAEAAA8AAABkcnMvZG93bnJldi54bWxMj8tOwzAQRfdI/IM1SOxapw3QNMSpAAkh1AWi0L1j&#10;u0lEPI5s59G/Z7qC3R3N0Z0zxW62HRuND61DAatlAsygcrrFWsD31+siAxaiRC07h0bA2QTYlddX&#10;hcy1m/DTjIdYMyrBkEsBTYx9znlQjbEyLF1vkHYn562MNPqaay8nKrcdXyfJA7eyRbrQyN68NEb9&#10;HAYr4OhOz5NVFb6P5492eNt7pbK9ELc389MjsGjm+AfDRZ/UoSSnyg2oA+sELFb3G0IvIaNAxHad&#10;psAqQtPNXQa8LPj/J8pfAAAA//8DAFBLAQItABQABgAIAAAAIQC2gziS/gAAAOEBAAATAAAAAAAA&#10;AAAAAAAAAAAAAABbQ29udGVudF9UeXBlc10ueG1sUEsBAi0AFAAGAAgAAAAhADj9If/WAAAAlAEA&#10;AAsAAAAAAAAAAAAAAAAALwEAAF9yZWxzLy5yZWxzUEsBAi0AFAAGAAgAAAAhAI7H96tAAgAAegQA&#10;AA4AAAAAAAAAAAAAAAAALgIAAGRycy9lMm9Eb2MueG1sUEsBAi0AFAAGAAgAAAAhAD/GcB/gAAAA&#10;DAEAAA8AAAAAAAAAAAAAAAAAmgQAAGRycy9kb3ducmV2LnhtbFBLBQYAAAAABAAEAPMAAACnBQAA&#10;AAA=&#10;" filled="f" stroked="f" strokeweight="1pt"/>
            </w:pict>
          </mc:Fallback>
        </mc:AlternateContent>
      </w:r>
      <w:r w:rsidRPr="0084402C">
        <w:rPr>
          <w:rFonts w:ascii="Times New Roman" w:hAnsi="Times New Roman" w:cs="Times New Roman"/>
          <w:noProof/>
        </w:rPr>
        <w:drawing>
          <wp:inline distT="0" distB="0" distL="0" distR="0" wp14:anchorId="515EB5D0" wp14:editId="3971E041">
            <wp:extent cx="2863451" cy="2037159"/>
            <wp:effectExtent l="0" t="0" r="13335" b="1270"/>
            <wp:docPr id="872190896" name="Graphique 12">
              <a:extLst xmlns:a="http://schemas.openxmlformats.org/drawingml/2006/main">
                <a:ext uri="{FF2B5EF4-FFF2-40B4-BE49-F238E27FC236}">
                  <a16:creationId xmlns:a16="http://schemas.microsoft.com/office/drawing/2014/main" id="{9276AF28-AC78-3A17-15D2-2FD846551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60B4E279" wp14:editId="16611307">
            <wp:extent cx="2790825" cy="2076450"/>
            <wp:effectExtent l="0" t="0" r="9525" b="0"/>
            <wp:docPr id="1750644034" name="Graphique 13">
              <a:extLst xmlns:a="http://schemas.openxmlformats.org/drawingml/2006/main">
                <a:ext uri="{FF2B5EF4-FFF2-40B4-BE49-F238E27FC236}">
                  <a16:creationId xmlns:a16="http://schemas.microsoft.com/office/drawing/2014/main" id="{7887435C-3B77-C636-DB46-EF7CABCC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4402C">
        <w:rPr>
          <w:rFonts w:ascii="Times New Roman" w:eastAsia="Calibri" w:hAnsi="Times New Roman" w:cs="Times New Roman"/>
          <w:noProof/>
          <w:kern w:val="0"/>
          <w:lang w:val="en-US"/>
          <w14:ligatures w14:val="none"/>
        </w:rPr>
        <w:t xml:space="preserve">     </w:t>
      </w:r>
    </w:p>
    <w:p w14:paraId="6ADE8BDA"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hAnsi="Times New Roman" w:cs="Times New Roman"/>
          <w:noProof/>
        </w:rPr>
        <w:lastRenderedPageBreak/>
        <w:drawing>
          <wp:inline distT="0" distB="0" distL="0" distR="0" wp14:anchorId="2523A991" wp14:editId="642CF817">
            <wp:extent cx="2854326" cy="2063751"/>
            <wp:effectExtent l="0" t="0" r="3175" b="12700"/>
            <wp:docPr id="1953244443" name="Graphique 14">
              <a:extLst xmlns:a="http://schemas.openxmlformats.org/drawingml/2006/main">
                <a:ext uri="{FF2B5EF4-FFF2-40B4-BE49-F238E27FC236}">
                  <a16:creationId xmlns:a16="http://schemas.microsoft.com/office/drawing/2014/main" id="{8C8FE42D-B440-35EB-A68E-85D10081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2C367115" wp14:editId="3F9D0D98">
            <wp:extent cx="2854325" cy="2114550"/>
            <wp:effectExtent l="0" t="0" r="3175" b="0"/>
            <wp:docPr id="1577320224" name="Graphique 15">
              <a:extLst xmlns:a="http://schemas.openxmlformats.org/drawingml/2006/main">
                <a:ext uri="{FF2B5EF4-FFF2-40B4-BE49-F238E27FC236}">
                  <a16:creationId xmlns:a16="http://schemas.microsoft.com/office/drawing/2014/main" id="{B7D50D94-7461-B091-E754-7C225E4D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A81BB5"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hAnsi="Times New Roman" w:cs="Times New Roman"/>
          <w:noProof/>
        </w:rPr>
        <w:drawing>
          <wp:inline distT="0" distB="0" distL="0" distR="0" wp14:anchorId="071F4754" wp14:editId="56002374">
            <wp:extent cx="2844801" cy="2063749"/>
            <wp:effectExtent l="0" t="0" r="12700" b="13335"/>
            <wp:docPr id="179563995" name="Graphique 16">
              <a:extLst xmlns:a="http://schemas.openxmlformats.org/drawingml/2006/main">
                <a:ext uri="{FF2B5EF4-FFF2-40B4-BE49-F238E27FC236}">
                  <a16:creationId xmlns:a16="http://schemas.microsoft.com/office/drawing/2014/main" id="{7F0DDB22-7BC8-9AB5-2DBD-0B08E40E6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4402C">
        <w:rPr>
          <w:rFonts w:ascii="Times New Roman" w:eastAsia="Calibri" w:hAnsi="Times New Roman" w:cs="Times New Roman"/>
          <w:kern w:val="0"/>
          <w:lang w:val="en-US"/>
          <w14:ligatures w14:val="none"/>
        </w:rPr>
        <w:t xml:space="preserve"> </w:t>
      </w:r>
      <w:r w:rsidRPr="0084402C">
        <w:rPr>
          <w:rFonts w:ascii="Times New Roman" w:hAnsi="Times New Roman" w:cs="Times New Roman"/>
          <w:noProof/>
        </w:rPr>
        <w:drawing>
          <wp:inline distT="0" distB="0" distL="0" distR="0" wp14:anchorId="5E5CECFC" wp14:editId="2DFC6334">
            <wp:extent cx="2844800" cy="2114550"/>
            <wp:effectExtent l="0" t="0" r="12700" b="0"/>
            <wp:docPr id="2139386826" name="Graphique 17">
              <a:extLst xmlns:a="http://schemas.openxmlformats.org/drawingml/2006/main">
                <a:ext uri="{FF2B5EF4-FFF2-40B4-BE49-F238E27FC236}">
                  <a16:creationId xmlns:a16="http://schemas.microsoft.com/office/drawing/2014/main" id="{D1D248CF-19DB-B0D0-8E80-CE4FBE13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3BF627"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46768BB2" wp14:editId="4CDA0248">
                <wp:simplePos x="0" y="0"/>
                <wp:positionH relativeFrom="column">
                  <wp:posOffset>23495</wp:posOffset>
                </wp:positionH>
                <wp:positionV relativeFrom="paragraph">
                  <wp:posOffset>2172335</wp:posOffset>
                </wp:positionV>
                <wp:extent cx="5962650" cy="635"/>
                <wp:effectExtent l="0" t="0" r="0" b="0"/>
                <wp:wrapNone/>
                <wp:docPr id="336424905" name="Zone de texte 18"/>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28"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28"/>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68BB2" id="_x0000_t202" coordsize="21600,21600" o:spt="202" path="m,l,21600r21600,l21600,xe">
                <v:stroke joinstyle="miter"/>
                <v:path gradientshapeok="t" o:connecttype="rect"/>
              </v:shapetype>
              <v:shape id="Zone de texte 18" o:spid="_x0000_s1026" type="#_x0000_t202" style="position:absolute;left:0;text-align:left;margin-left:1.85pt;margin-top:171.05pt;width:4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t8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n7PJ/OZ5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KqO4Ft8AAAAJAQAADwAAAGRycy9kb3ducmV2LnhtbEyPMU/DMBCFdyT+g3VILIg6&#10;TaMCIU5VVTDAUhG6sLnxNQ7E5yh22vDvObrAdLr3nt59V6wm14kjDqH1pGA+S0Ag1d601CjYvT/f&#10;3oMIUZPRnSdU8I0BVuXlRaFz40/0hscqNoJLKORagY2xz6UMtUWnw8z3SOwd/OB05HVopBn0ictd&#10;J9MkWUqnW+ILVve4sVh/VaNTsM0+tvZmPDy9rrPF8LIbN8vPplLq+mpaP4KIOMW/MPziMzqUzLT3&#10;I5kgOgWLOw7yyNI5CPYfspSV/VlJQZaF/P9B+QMAAP//AwBQSwECLQAUAAYACAAAACEAtoM4kv4A&#10;AADhAQAAEwAAAAAAAAAAAAAAAAAAAAAAW0NvbnRlbnRfVHlwZXNdLnhtbFBLAQItABQABgAIAAAA&#10;IQA4/SH/1gAAAJQBAAALAAAAAAAAAAAAAAAAAC8BAABfcmVscy8ucmVsc1BLAQItABQABgAIAAAA&#10;IQAHSYt8FQIAADgEAAAOAAAAAAAAAAAAAAAAAC4CAABkcnMvZTJvRG9jLnhtbFBLAQItABQABgAI&#10;AAAAIQAqo7gW3wAAAAkBAAAPAAAAAAAAAAAAAAAAAG8EAABkcnMvZG93bnJldi54bWxQSwUGAAAA&#10;AAQABADzAAAAewUAAAAA&#10;" stroked="f">
                <v:textbox style="mso-fit-shape-to-text:t" inset="0,0,0,0">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29"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29"/>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v:textbox>
              </v:shape>
            </w:pict>
          </mc:Fallback>
        </mc:AlternateContent>
      </w:r>
      <w:r w:rsidRPr="0084402C">
        <w:rPr>
          <w:rFonts w:ascii="Times New Roman" w:hAnsi="Times New Roman" w:cs="Times New Roman"/>
          <w:noProof/>
        </w:rPr>
        <w:drawing>
          <wp:inline distT="0" distB="0" distL="0" distR="0" wp14:anchorId="62965D18" wp14:editId="3D7E52DC">
            <wp:extent cx="2867027" cy="2093514"/>
            <wp:effectExtent l="0" t="0" r="9525" b="2540"/>
            <wp:docPr id="2009084582" name="Graphique 19">
              <a:extLst xmlns:a="http://schemas.openxmlformats.org/drawingml/2006/main">
                <a:ext uri="{FF2B5EF4-FFF2-40B4-BE49-F238E27FC236}">
                  <a16:creationId xmlns:a16="http://schemas.microsoft.com/office/drawing/2014/main" id="{E426C9D0-C00C-020C-E9D7-9788BFA1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323DA667" wp14:editId="02258727">
            <wp:extent cx="2828925" cy="2114549"/>
            <wp:effectExtent l="0" t="0" r="9525" b="635"/>
            <wp:docPr id="1088927422" name="Graphique 20">
              <a:extLst xmlns:a="http://schemas.openxmlformats.org/drawingml/2006/main">
                <a:ext uri="{FF2B5EF4-FFF2-40B4-BE49-F238E27FC236}">
                  <a16:creationId xmlns:a16="http://schemas.microsoft.com/office/drawing/2014/main" id="{46876426-F448-1479-3A96-B95096B0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5EF256" w14:textId="77777777" w:rsidR="00544125" w:rsidRPr="0084402C" w:rsidRDefault="00544125" w:rsidP="00544125">
      <w:pPr>
        <w:tabs>
          <w:tab w:val="left" w:pos="1630"/>
        </w:tabs>
        <w:spacing w:line="480" w:lineRule="auto"/>
        <w:jc w:val="center"/>
        <w:rPr>
          <w:rFonts w:ascii="Times New Roman" w:hAnsi="Times New Roman" w:cs="Times New Roman"/>
          <w:b/>
          <w:bCs/>
          <w:lang w:val="en-US"/>
        </w:rPr>
      </w:pPr>
      <w:r w:rsidRPr="0084402C">
        <w:rPr>
          <w:rFonts w:ascii="Times New Roman" w:hAnsi="Times New Roman" w:cs="Times New Roman"/>
          <w:b/>
          <w:bCs/>
          <w:lang w:val="en-US"/>
        </w:rPr>
        <w:t>List of tables with legend</w:t>
      </w:r>
    </w:p>
    <w:p w14:paraId="2A83A19D" w14:textId="77777777" w:rsidR="00544125" w:rsidRDefault="00544125" w:rsidP="00544125">
      <w:pPr>
        <w:spacing w:line="480" w:lineRule="auto"/>
        <w:ind w:firstLine="708"/>
        <w:jc w:val="both"/>
        <w:rPr>
          <w:rFonts w:ascii="Times New Roman" w:eastAsia="Calibri" w:hAnsi="Times New Roman" w:cs="Times New Roman"/>
          <w:kern w:val="0"/>
          <w:lang w:val="en-US"/>
          <w14:ligatures w14:val="none"/>
        </w:rPr>
      </w:pPr>
    </w:p>
    <w:p w14:paraId="16DBCBBF" w14:textId="4E77BB7D" w:rsidR="00544125" w:rsidRPr="00632779" w:rsidRDefault="00544125" w:rsidP="00544125">
      <w:pPr>
        <w:pStyle w:val="Caption"/>
        <w:spacing w:before="240" w:line="480" w:lineRule="auto"/>
        <w:rPr>
          <w:i w:val="0"/>
          <w:iCs w:val="0"/>
          <w:color w:val="auto"/>
          <w:sz w:val="22"/>
          <w:szCs w:val="22"/>
          <w:lang w:val="en-US"/>
        </w:rPr>
      </w:pPr>
      <w:bookmarkStart w:id="30" w:name="_Toc208145052"/>
      <w:r w:rsidRPr="00632779">
        <w:rPr>
          <w:b/>
          <w:bCs/>
          <w:i w:val="0"/>
          <w:iCs w:val="0"/>
          <w:color w:val="auto"/>
          <w:sz w:val="22"/>
          <w:szCs w:val="22"/>
          <w:lang w:val="en-US"/>
        </w:rPr>
        <w:t>TABLE 4</w:t>
      </w:r>
      <w:r w:rsidR="000D0E5B">
        <w:rPr>
          <w:b/>
          <w:bCs/>
          <w:i w:val="0"/>
          <w:iCs w:val="0"/>
          <w:color w:val="auto"/>
          <w:sz w:val="22"/>
          <w:szCs w:val="22"/>
          <w:lang w:val="en-US"/>
        </w:rPr>
        <w:t>.</w:t>
      </w:r>
      <w:r w:rsidRPr="00632779">
        <w:rPr>
          <w:i w:val="0"/>
          <w:iCs w:val="0"/>
          <w:color w:val="auto"/>
          <w:sz w:val="22"/>
          <w:szCs w:val="22"/>
          <w:lang w:val="en-US"/>
        </w:rPr>
        <w:t xml:space="preserve"> </w:t>
      </w:r>
      <w:bookmarkEnd w:id="30"/>
      <w:r w:rsidRPr="00632779">
        <w:rPr>
          <w:i w:val="0"/>
          <w:iCs w:val="0"/>
          <w:color w:val="auto"/>
          <w:sz w:val="22"/>
          <w:szCs w:val="22"/>
          <w:lang w:val="en-US"/>
        </w:rPr>
        <w:t>Toxicity of sapwood extracts at day 7</w:t>
      </w:r>
    </w:p>
    <w:tbl>
      <w:tblPr>
        <w:tblStyle w:val="TableauListe6Couleur1"/>
        <w:tblW w:w="9704" w:type="dxa"/>
        <w:tblLook w:val="04A0" w:firstRow="1" w:lastRow="0" w:firstColumn="1" w:lastColumn="0" w:noHBand="0" w:noVBand="1"/>
      </w:tblPr>
      <w:tblGrid>
        <w:gridCol w:w="1072"/>
        <w:gridCol w:w="1559"/>
        <w:gridCol w:w="1574"/>
        <w:gridCol w:w="1189"/>
        <w:gridCol w:w="1521"/>
        <w:gridCol w:w="923"/>
        <w:gridCol w:w="1045"/>
        <w:gridCol w:w="821"/>
      </w:tblGrid>
      <w:tr w:rsidR="00544125" w:rsidRPr="00632779" w14:paraId="1207303F"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36" w:type="dxa"/>
            <w:shd w:val="clear" w:color="auto" w:fill="F2F2F2" w:themeFill="background1" w:themeFillShade="F2"/>
            <w:hideMark/>
          </w:tcPr>
          <w:p w14:paraId="09240B5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rPr>
              <w:t>Extract</w:t>
            </w:r>
          </w:p>
        </w:tc>
        <w:tc>
          <w:tcPr>
            <w:tcW w:w="1559" w:type="dxa"/>
            <w:shd w:val="clear" w:color="auto" w:fill="F2F2F2" w:themeFill="background1" w:themeFillShade="F2"/>
            <w:noWrap/>
            <w:hideMark/>
          </w:tcPr>
          <w:p w14:paraId="46D40835"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name </w:t>
            </w:r>
          </w:p>
        </w:tc>
        <w:tc>
          <w:tcPr>
            <w:tcW w:w="1574" w:type="dxa"/>
            <w:shd w:val="clear" w:color="auto" w:fill="F2F2F2" w:themeFill="background1" w:themeFillShade="F2"/>
            <w:hideMark/>
          </w:tcPr>
          <w:p w14:paraId="4F4BBFE8"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89" w:type="dxa"/>
            <w:shd w:val="clear" w:color="auto" w:fill="F2F2F2" w:themeFill="background1" w:themeFillShade="F2"/>
            <w:noWrap/>
            <w:hideMark/>
          </w:tcPr>
          <w:p w14:paraId="280DFB47"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Mortality (%)</w:t>
            </w:r>
          </w:p>
        </w:tc>
        <w:tc>
          <w:tcPr>
            <w:tcW w:w="1564" w:type="dxa"/>
            <w:shd w:val="clear" w:color="auto" w:fill="F2F2F2" w:themeFill="background1" w:themeFillShade="F2"/>
            <w:hideMark/>
          </w:tcPr>
          <w:p w14:paraId="3B6D9E06"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Mortality</w:t>
            </w:r>
          </w:p>
          <w:p w14:paraId="77540DBD"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(probit unit)</w:t>
            </w:r>
          </w:p>
        </w:tc>
        <w:tc>
          <w:tcPr>
            <w:tcW w:w="916" w:type="dxa"/>
            <w:shd w:val="clear" w:color="auto" w:fill="F2F2F2" w:themeFill="background1" w:themeFillShade="F2"/>
          </w:tcPr>
          <w:p w14:paraId="6EA00963"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0C95136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4E151FD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21" w:type="dxa"/>
            <w:shd w:val="clear" w:color="auto" w:fill="F2F2F2" w:themeFill="background1" w:themeFillShade="F2"/>
          </w:tcPr>
          <w:p w14:paraId="1B727BE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065834DB"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36" w:type="dxa"/>
            <w:vMerge w:val="restart"/>
            <w:shd w:val="clear" w:color="auto" w:fill="auto"/>
            <w:noWrap/>
            <w:hideMark/>
          </w:tcPr>
          <w:p w14:paraId="38D29BA2"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lastRenderedPageBreak/>
              <w:t>Badi Sapwood</w:t>
            </w:r>
          </w:p>
        </w:tc>
        <w:tc>
          <w:tcPr>
            <w:tcW w:w="1559" w:type="dxa"/>
            <w:vMerge w:val="restart"/>
            <w:shd w:val="clear" w:color="auto" w:fill="auto"/>
            <w:noWrap/>
            <w:hideMark/>
          </w:tcPr>
          <w:p w14:paraId="02A958E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35C4D24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4" w:type="dxa"/>
            <w:shd w:val="clear" w:color="auto" w:fill="auto"/>
            <w:hideMark/>
          </w:tcPr>
          <w:p w14:paraId="5AC42D1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89" w:type="dxa"/>
            <w:shd w:val="clear" w:color="auto" w:fill="auto"/>
            <w:noWrap/>
            <w:hideMark/>
          </w:tcPr>
          <w:p w14:paraId="33028B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80</w:t>
            </w:r>
          </w:p>
        </w:tc>
        <w:tc>
          <w:tcPr>
            <w:tcW w:w="1564" w:type="dxa"/>
            <w:shd w:val="clear" w:color="auto" w:fill="auto"/>
            <w:hideMark/>
          </w:tcPr>
          <w:p w14:paraId="03AB6D5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5.84</w:t>
            </w:r>
          </w:p>
        </w:tc>
        <w:tc>
          <w:tcPr>
            <w:tcW w:w="916" w:type="dxa"/>
            <w:shd w:val="clear" w:color="auto" w:fill="auto"/>
          </w:tcPr>
          <w:p w14:paraId="628DE0B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shd w:val="clear" w:color="auto" w:fill="auto"/>
            <w:noWrap/>
          </w:tcPr>
          <w:p w14:paraId="77F3BFD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12E3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0.0289</w:t>
            </w:r>
          </w:p>
        </w:tc>
        <w:tc>
          <w:tcPr>
            <w:tcW w:w="821" w:type="dxa"/>
            <w:vMerge w:val="restart"/>
            <w:shd w:val="clear" w:color="auto" w:fill="auto"/>
          </w:tcPr>
          <w:p w14:paraId="38B1B4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146874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0.8556</w:t>
            </w:r>
          </w:p>
        </w:tc>
      </w:tr>
      <w:tr w:rsidR="00544125" w:rsidRPr="00632779" w14:paraId="2B2E2F16"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00F05EA0"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206AC1EB"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A9E2B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89" w:type="dxa"/>
            <w:noWrap/>
            <w:hideMark/>
          </w:tcPr>
          <w:p w14:paraId="60E9D01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85</w:t>
            </w:r>
          </w:p>
        </w:tc>
        <w:tc>
          <w:tcPr>
            <w:tcW w:w="1564" w:type="dxa"/>
            <w:hideMark/>
          </w:tcPr>
          <w:p w14:paraId="04E0F9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6.04</w:t>
            </w:r>
          </w:p>
        </w:tc>
        <w:tc>
          <w:tcPr>
            <w:tcW w:w="916" w:type="dxa"/>
          </w:tcPr>
          <w:p w14:paraId="45E1687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w:t>
            </w:r>
          </w:p>
        </w:tc>
        <w:tc>
          <w:tcPr>
            <w:tcW w:w="1045" w:type="dxa"/>
            <w:vMerge/>
            <w:hideMark/>
          </w:tcPr>
          <w:p w14:paraId="737290B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D26F91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370ED30A"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25D1290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641F905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9F1262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89" w:type="dxa"/>
            <w:shd w:val="clear" w:color="auto" w:fill="auto"/>
            <w:noWrap/>
            <w:hideMark/>
          </w:tcPr>
          <w:p w14:paraId="2352A4F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91.67</w:t>
            </w:r>
          </w:p>
        </w:tc>
        <w:tc>
          <w:tcPr>
            <w:tcW w:w="1564" w:type="dxa"/>
            <w:shd w:val="clear" w:color="auto" w:fill="auto"/>
            <w:hideMark/>
          </w:tcPr>
          <w:p w14:paraId="348FE4B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6.41</w:t>
            </w:r>
          </w:p>
        </w:tc>
        <w:tc>
          <w:tcPr>
            <w:tcW w:w="916" w:type="dxa"/>
            <w:shd w:val="clear" w:color="auto" w:fill="auto"/>
          </w:tcPr>
          <w:p w14:paraId="0F46D8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w:t>
            </w:r>
          </w:p>
        </w:tc>
        <w:tc>
          <w:tcPr>
            <w:tcW w:w="1045" w:type="dxa"/>
            <w:vMerge/>
            <w:shd w:val="clear" w:color="auto" w:fill="auto"/>
            <w:hideMark/>
          </w:tcPr>
          <w:p w14:paraId="2BFD447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2E380B1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6502649"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4EC3045E"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A8B6CE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1DDC33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7396108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96.67</w:t>
            </w:r>
          </w:p>
        </w:tc>
        <w:tc>
          <w:tcPr>
            <w:tcW w:w="1564" w:type="dxa"/>
            <w:tcBorders>
              <w:bottom w:val="single" w:sz="4" w:space="0" w:color="auto"/>
            </w:tcBorders>
            <w:hideMark/>
          </w:tcPr>
          <w:p w14:paraId="5F041FA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6.88</w:t>
            </w:r>
          </w:p>
        </w:tc>
        <w:tc>
          <w:tcPr>
            <w:tcW w:w="916" w:type="dxa"/>
            <w:tcBorders>
              <w:bottom w:val="single" w:sz="4" w:space="0" w:color="auto"/>
            </w:tcBorders>
          </w:tcPr>
          <w:p w14:paraId="3C3FD83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78574BF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480A183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1CCF7CA4"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0BD9A7B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Bété Sapwood</w:t>
            </w:r>
          </w:p>
        </w:tc>
        <w:tc>
          <w:tcPr>
            <w:tcW w:w="1559" w:type="dxa"/>
            <w:vMerge w:val="restart"/>
            <w:tcBorders>
              <w:top w:val="single" w:sz="4" w:space="0" w:color="auto"/>
            </w:tcBorders>
            <w:shd w:val="clear" w:color="auto" w:fill="auto"/>
            <w:noWrap/>
            <w:hideMark/>
          </w:tcPr>
          <w:p w14:paraId="380418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102FE4B3"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(Malvaceae)</w:t>
            </w:r>
          </w:p>
        </w:tc>
        <w:tc>
          <w:tcPr>
            <w:tcW w:w="1574" w:type="dxa"/>
            <w:tcBorders>
              <w:top w:val="single" w:sz="4" w:space="0" w:color="auto"/>
            </w:tcBorders>
            <w:shd w:val="clear" w:color="auto" w:fill="auto"/>
            <w:hideMark/>
          </w:tcPr>
          <w:p w14:paraId="18654EF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01932C7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564" w:type="dxa"/>
            <w:tcBorders>
              <w:top w:val="single" w:sz="4" w:space="0" w:color="auto"/>
            </w:tcBorders>
            <w:shd w:val="clear" w:color="auto" w:fill="auto"/>
            <w:hideMark/>
          </w:tcPr>
          <w:p w14:paraId="061D260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16" w:type="dxa"/>
            <w:tcBorders>
              <w:top w:val="single" w:sz="4" w:space="0" w:color="auto"/>
            </w:tcBorders>
            <w:shd w:val="clear" w:color="auto" w:fill="auto"/>
          </w:tcPr>
          <w:p w14:paraId="274788E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tcBorders>
              <w:top w:val="single" w:sz="4" w:space="0" w:color="auto"/>
            </w:tcBorders>
            <w:shd w:val="clear" w:color="auto" w:fill="auto"/>
            <w:noWrap/>
          </w:tcPr>
          <w:p w14:paraId="7E5B95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1A8A48F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461EA4B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0.0093</w:t>
            </w:r>
          </w:p>
        </w:tc>
        <w:tc>
          <w:tcPr>
            <w:tcW w:w="821" w:type="dxa"/>
            <w:vMerge w:val="restart"/>
            <w:tcBorders>
              <w:top w:val="single" w:sz="4" w:space="0" w:color="auto"/>
            </w:tcBorders>
            <w:shd w:val="clear" w:color="auto" w:fill="auto"/>
          </w:tcPr>
          <w:p w14:paraId="20A1F10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FA8464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59CD620"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0.9764</w:t>
            </w:r>
          </w:p>
        </w:tc>
      </w:tr>
      <w:tr w:rsidR="00544125" w:rsidRPr="00632779" w14:paraId="69A6D351"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036" w:type="dxa"/>
            <w:vMerge/>
            <w:hideMark/>
          </w:tcPr>
          <w:p w14:paraId="5EED728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564F5B7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D73D2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1F7060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hideMark/>
          </w:tcPr>
          <w:p w14:paraId="352116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5.92</w:t>
            </w:r>
          </w:p>
        </w:tc>
        <w:tc>
          <w:tcPr>
            <w:tcW w:w="916" w:type="dxa"/>
          </w:tcPr>
          <w:p w14:paraId="5159E5A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5.3</w:t>
            </w:r>
          </w:p>
        </w:tc>
        <w:tc>
          <w:tcPr>
            <w:tcW w:w="1045" w:type="dxa"/>
            <w:vMerge/>
            <w:hideMark/>
          </w:tcPr>
          <w:p w14:paraId="00CCC57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4AC1034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004B449"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4005B5A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3616785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1714B0E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hideMark/>
          </w:tcPr>
          <w:p w14:paraId="0FD33FF9"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86.67</w:t>
            </w:r>
          </w:p>
        </w:tc>
        <w:tc>
          <w:tcPr>
            <w:tcW w:w="1564" w:type="dxa"/>
            <w:shd w:val="clear" w:color="auto" w:fill="auto"/>
            <w:hideMark/>
          </w:tcPr>
          <w:p w14:paraId="3649F3D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16" w:type="dxa"/>
            <w:shd w:val="clear" w:color="auto" w:fill="auto"/>
          </w:tcPr>
          <w:p w14:paraId="4E1B9A4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4.5</w:t>
            </w:r>
          </w:p>
        </w:tc>
        <w:tc>
          <w:tcPr>
            <w:tcW w:w="1045" w:type="dxa"/>
            <w:vMerge/>
            <w:shd w:val="clear" w:color="auto" w:fill="auto"/>
            <w:hideMark/>
          </w:tcPr>
          <w:p w14:paraId="13F976B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644C592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57B68DB0"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2F85382D"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4C8E02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94C0EC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05E00DF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88.33</w:t>
            </w:r>
          </w:p>
        </w:tc>
        <w:tc>
          <w:tcPr>
            <w:tcW w:w="1564" w:type="dxa"/>
            <w:tcBorders>
              <w:bottom w:val="single" w:sz="4" w:space="0" w:color="auto"/>
            </w:tcBorders>
            <w:hideMark/>
          </w:tcPr>
          <w:p w14:paraId="7F8461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6.18</w:t>
            </w:r>
          </w:p>
        </w:tc>
        <w:tc>
          <w:tcPr>
            <w:tcW w:w="916" w:type="dxa"/>
            <w:tcBorders>
              <w:bottom w:val="single" w:sz="4" w:space="0" w:color="auto"/>
            </w:tcBorders>
          </w:tcPr>
          <w:p w14:paraId="148FAC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66E9A38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2C33BBC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8918BB0"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11668A15"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Iroko Sapwood</w:t>
            </w:r>
          </w:p>
        </w:tc>
        <w:tc>
          <w:tcPr>
            <w:tcW w:w="1559" w:type="dxa"/>
            <w:vMerge w:val="restart"/>
            <w:tcBorders>
              <w:top w:val="single" w:sz="4" w:space="0" w:color="auto"/>
            </w:tcBorders>
            <w:shd w:val="clear" w:color="auto" w:fill="auto"/>
            <w:noWrap/>
            <w:hideMark/>
          </w:tcPr>
          <w:p w14:paraId="25CC05B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1F053A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(Moraceae)</w:t>
            </w:r>
          </w:p>
        </w:tc>
        <w:tc>
          <w:tcPr>
            <w:tcW w:w="1574" w:type="dxa"/>
            <w:tcBorders>
              <w:top w:val="single" w:sz="4" w:space="0" w:color="auto"/>
            </w:tcBorders>
            <w:shd w:val="clear" w:color="auto" w:fill="auto"/>
            <w:hideMark/>
          </w:tcPr>
          <w:p w14:paraId="2693608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7EEBB7E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66.67</w:t>
            </w:r>
          </w:p>
        </w:tc>
        <w:tc>
          <w:tcPr>
            <w:tcW w:w="1564" w:type="dxa"/>
            <w:tcBorders>
              <w:top w:val="single" w:sz="4" w:space="0" w:color="auto"/>
            </w:tcBorders>
            <w:shd w:val="clear" w:color="auto" w:fill="auto"/>
            <w:hideMark/>
          </w:tcPr>
          <w:p w14:paraId="33FBA32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16" w:type="dxa"/>
            <w:tcBorders>
              <w:top w:val="single" w:sz="4" w:space="0" w:color="auto"/>
            </w:tcBorders>
            <w:shd w:val="clear" w:color="auto" w:fill="auto"/>
          </w:tcPr>
          <w:p w14:paraId="57AE5DC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val="restart"/>
            <w:tcBorders>
              <w:top w:val="single" w:sz="4" w:space="0" w:color="auto"/>
            </w:tcBorders>
            <w:shd w:val="clear" w:color="auto" w:fill="auto"/>
            <w:noWrap/>
          </w:tcPr>
          <w:p w14:paraId="5750F3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7A1709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0.0283</w:t>
            </w:r>
          </w:p>
        </w:tc>
        <w:tc>
          <w:tcPr>
            <w:tcW w:w="821" w:type="dxa"/>
            <w:vMerge w:val="restart"/>
            <w:tcBorders>
              <w:top w:val="single" w:sz="4" w:space="0" w:color="auto"/>
            </w:tcBorders>
            <w:shd w:val="clear" w:color="auto" w:fill="auto"/>
          </w:tcPr>
          <w:p w14:paraId="67693FE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4BC53B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0.8101</w:t>
            </w:r>
          </w:p>
        </w:tc>
      </w:tr>
      <w:tr w:rsidR="00544125" w:rsidRPr="00632779" w14:paraId="71E1B9D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32A8CA7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106BDD7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151B2A5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4E333F5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68.33</w:t>
            </w:r>
          </w:p>
        </w:tc>
        <w:tc>
          <w:tcPr>
            <w:tcW w:w="1564" w:type="dxa"/>
            <w:hideMark/>
          </w:tcPr>
          <w:p w14:paraId="1F11C53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16" w:type="dxa"/>
          </w:tcPr>
          <w:p w14:paraId="07C8D72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hideMark/>
          </w:tcPr>
          <w:p w14:paraId="3EF2E82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7C0289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AE1117E"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7BA4360A"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65BA070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CAD93C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tcPr>
          <w:p w14:paraId="1A0C190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78.33</w:t>
            </w:r>
          </w:p>
        </w:tc>
        <w:tc>
          <w:tcPr>
            <w:tcW w:w="1564" w:type="dxa"/>
            <w:shd w:val="clear" w:color="auto" w:fill="auto"/>
          </w:tcPr>
          <w:p w14:paraId="5D282D0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16" w:type="dxa"/>
            <w:shd w:val="clear" w:color="auto" w:fill="auto"/>
          </w:tcPr>
          <w:p w14:paraId="6954546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w:t>
            </w:r>
          </w:p>
        </w:tc>
        <w:tc>
          <w:tcPr>
            <w:tcW w:w="1045" w:type="dxa"/>
            <w:vMerge/>
            <w:hideMark/>
          </w:tcPr>
          <w:p w14:paraId="63381FE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tcPr>
          <w:p w14:paraId="7B2DE61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28EB6E43"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1768E279"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DC4EB5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76842E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47E9BE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tcBorders>
              <w:bottom w:val="single" w:sz="4" w:space="0" w:color="auto"/>
            </w:tcBorders>
            <w:hideMark/>
          </w:tcPr>
          <w:p w14:paraId="6D2C65C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5.95</w:t>
            </w:r>
          </w:p>
        </w:tc>
        <w:tc>
          <w:tcPr>
            <w:tcW w:w="916" w:type="dxa"/>
            <w:tcBorders>
              <w:bottom w:val="single" w:sz="4" w:space="0" w:color="auto"/>
            </w:tcBorders>
          </w:tcPr>
          <w:p w14:paraId="5B48EBC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3.5</w:t>
            </w:r>
          </w:p>
        </w:tc>
        <w:tc>
          <w:tcPr>
            <w:tcW w:w="1045" w:type="dxa"/>
            <w:vMerge/>
            <w:tcBorders>
              <w:bottom w:val="single" w:sz="4" w:space="0" w:color="auto"/>
            </w:tcBorders>
            <w:hideMark/>
          </w:tcPr>
          <w:p w14:paraId="178996D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146CB1B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58A866C6" w14:textId="27D5FFFF" w:rsidR="00544125" w:rsidRPr="00632779" w:rsidRDefault="00544125" w:rsidP="00544125">
      <w:pPr>
        <w:pStyle w:val="Caption"/>
        <w:spacing w:before="240" w:line="480" w:lineRule="auto"/>
        <w:rPr>
          <w:i w:val="0"/>
          <w:iCs w:val="0"/>
          <w:color w:val="auto"/>
          <w:sz w:val="22"/>
          <w:szCs w:val="22"/>
          <w:lang w:val="en-US"/>
        </w:rPr>
      </w:pPr>
      <w:bookmarkStart w:id="31" w:name="_Toc208145053"/>
      <w:r w:rsidRPr="00632779">
        <w:rPr>
          <w:b/>
          <w:bCs/>
          <w:i w:val="0"/>
          <w:iCs w:val="0"/>
          <w:color w:val="auto"/>
          <w:sz w:val="22"/>
          <w:szCs w:val="22"/>
          <w:lang w:val="en-US"/>
        </w:rPr>
        <w:t>TABLE 5</w:t>
      </w:r>
      <w:r w:rsidR="000D0E5B">
        <w:rPr>
          <w:b/>
          <w:bCs/>
          <w:i w:val="0"/>
          <w:iCs w:val="0"/>
          <w:color w:val="auto"/>
          <w:sz w:val="22"/>
          <w:szCs w:val="22"/>
          <w:lang w:val="en-US"/>
        </w:rPr>
        <w:t>.</w:t>
      </w:r>
      <w:r w:rsidRPr="00632779">
        <w:rPr>
          <w:i w:val="0"/>
          <w:iCs w:val="0"/>
          <w:color w:val="auto"/>
          <w:sz w:val="22"/>
          <w:szCs w:val="22"/>
          <w:lang w:val="en-US"/>
        </w:rPr>
        <w:t xml:space="preserve"> </w:t>
      </w:r>
      <w:bookmarkEnd w:id="31"/>
      <w:r w:rsidRPr="00632779">
        <w:rPr>
          <w:i w:val="0"/>
          <w:iCs w:val="0"/>
          <w:color w:val="auto"/>
          <w:sz w:val="22"/>
          <w:szCs w:val="22"/>
          <w:lang w:val="en-US"/>
        </w:rPr>
        <w:t>Toxicity of heartwood extracts on day 2</w:t>
      </w:r>
    </w:p>
    <w:tbl>
      <w:tblPr>
        <w:tblStyle w:val="TableauListe6Couleur1"/>
        <w:tblW w:w="9923" w:type="dxa"/>
        <w:tblLook w:val="04A0" w:firstRow="1" w:lastRow="0" w:firstColumn="1" w:lastColumn="0" w:noHBand="0" w:noVBand="1"/>
      </w:tblPr>
      <w:tblGrid>
        <w:gridCol w:w="1267"/>
        <w:gridCol w:w="1443"/>
        <w:gridCol w:w="1573"/>
        <w:gridCol w:w="1121"/>
        <w:gridCol w:w="1675"/>
        <w:gridCol w:w="960"/>
        <w:gridCol w:w="1045"/>
        <w:gridCol w:w="839"/>
      </w:tblGrid>
      <w:tr w:rsidR="00544125" w:rsidRPr="00632779" w14:paraId="2682E4A8"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hideMark/>
          </w:tcPr>
          <w:p w14:paraId="4F7B9CC2"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rPr>
              <w:t>Extract</w:t>
            </w:r>
          </w:p>
        </w:tc>
        <w:tc>
          <w:tcPr>
            <w:tcW w:w="1443" w:type="dxa"/>
            <w:shd w:val="clear" w:color="auto" w:fill="F2F2F2" w:themeFill="background1" w:themeFillShade="F2"/>
            <w:noWrap/>
            <w:hideMark/>
          </w:tcPr>
          <w:p w14:paraId="5439AEB8"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Scientific name</w:t>
            </w:r>
          </w:p>
        </w:tc>
        <w:tc>
          <w:tcPr>
            <w:tcW w:w="1573" w:type="dxa"/>
            <w:shd w:val="clear" w:color="auto" w:fill="F2F2F2" w:themeFill="background1" w:themeFillShade="F2"/>
            <w:hideMark/>
          </w:tcPr>
          <w:p w14:paraId="43F0A66E"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21" w:type="dxa"/>
            <w:shd w:val="clear" w:color="auto" w:fill="F2F2F2" w:themeFill="background1" w:themeFillShade="F2"/>
            <w:noWrap/>
            <w:hideMark/>
          </w:tcPr>
          <w:p w14:paraId="022D9EC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Mortality (%)</w:t>
            </w:r>
          </w:p>
        </w:tc>
        <w:tc>
          <w:tcPr>
            <w:tcW w:w="1675" w:type="dxa"/>
            <w:shd w:val="clear" w:color="auto" w:fill="F2F2F2" w:themeFill="background1" w:themeFillShade="F2"/>
            <w:hideMark/>
          </w:tcPr>
          <w:p w14:paraId="2B3129D0"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Mortality</w:t>
            </w:r>
          </w:p>
          <w:p w14:paraId="181DCB2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(probit unit)</w:t>
            </w:r>
          </w:p>
        </w:tc>
        <w:tc>
          <w:tcPr>
            <w:tcW w:w="960" w:type="dxa"/>
            <w:shd w:val="clear" w:color="auto" w:fill="F2F2F2" w:themeFill="background1" w:themeFillShade="F2"/>
          </w:tcPr>
          <w:p w14:paraId="4A07B005"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23F89EA3"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13EA9F7F"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39" w:type="dxa"/>
            <w:shd w:val="clear" w:color="auto" w:fill="F2F2F2" w:themeFill="background1" w:themeFillShade="F2"/>
          </w:tcPr>
          <w:p w14:paraId="2AF57B2B"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5C3D0F02"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67" w:type="dxa"/>
            <w:vMerge w:val="restart"/>
            <w:shd w:val="clear" w:color="auto" w:fill="auto"/>
            <w:noWrap/>
            <w:hideMark/>
          </w:tcPr>
          <w:p w14:paraId="068AD82D"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Badi Heartwood</w:t>
            </w:r>
          </w:p>
          <w:p w14:paraId="1793F358"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shd w:val="clear" w:color="auto" w:fill="auto"/>
            <w:noWrap/>
            <w:hideMark/>
          </w:tcPr>
          <w:p w14:paraId="21EB24E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54F372A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3" w:type="dxa"/>
            <w:shd w:val="clear" w:color="auto" w:fill="auto"/>
            <w:hideMark/>
          </w:tcPr>
          <w:p w14:paraId="1A826E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21" w:type="dxa"/>
            <w:shd w:val="clear" w:color="auto" w:fill="auto"/>
            <w:noWrap/>
            <w:hideMark/>
          </w:tcPr>
          <w:p w14:paraId="18D4F0D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58.33</w:t>
            </w:r>
          </w:p>
        </w:tc>
        <w:tc>
          <w:tcPr>
            <w:tcW w:w="1675" w:type="dxa"/>
            <w:shd w:val="clear" w:color="auto" w:fill="auto"/>
            <w:hideMark/>
          </w:tcPr>
          <w:p w14:paraId="3C2792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shd w:val="clear" w:color="auto" w:fill="auto"/>
          </w:tcPr>
          <w:p w14:paraId="552AA1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1.7</w:t>
            </w:r>
          </w:p>
        </w:tc>
        <w:tc>
          <w:tcPr>
            <w:tcW w:w="1045" w:type="dxa"/>
            <w:vMerge w:val="restart"/>
            <w:shd w:val="clear" w:color="auto" w:fill="auto"/>
            <w:noWrap/>
          </w:tcPr>
          <w:p w14:paraId="5F8141F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7CCBDA7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0.0706</w:t>
            </w:r>
          </w:p>
        </w:tc>
        <w:tc>
          <w:tcPr>
            <w:tcW w:w="839" w:type="dxa"/>
            <w:vMerge w:val="restart"/>
            <w:shd w:val="clear" w:color="auto" w:fill="auto"/>
          </w:tcPr>
          <w:p w14:paraId="3388391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0C02A33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0.9652</w:t>
            </w:r>
          </w:p>
        </w:tc>
      </w:tr>
      <w:tr w:rsidR="00544125" w:rsidRPr="00632779" w14:paraId="122B40A5"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D75B43E"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1790734F"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1BA46DCD"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21" w:type="dxa"/>
            <w:noWrap/>
            <w:hideMark/>
          </w:tcPr>
          <w:p w14:paraId="0E150B9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675" w:type="dxa"/>
            <w:hideMark/>
          </w:tcPr>
          <w:p w14:paraId="586B847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60" w:type="dxa"/>
          </w:tcPr>
          <w:p w14:paraId="2FC4A6F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0.9</w:t>
            </w:r>
          </w:p>
        </w:tc>
        <w:tc>
          <w:tcPr>
            <w:tcW w:w="1045" w:type="dxa"/>
            <w:vMerge/>
            <w:hideMark/>
          </w:tcPr>
          <w:p w14:paraId="26450E6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4245FDE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B8F6001"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205BC1BA"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7B23B07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2336CD4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21" w:type="dxa"/>
            <w:shd w:val="clear" w:color="auto" w:fill="auto"/>
            <w:noWrap/>
            <w:hideMark/>
          </w:tcPr>
          <w:p w14:paraId="086D1DA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93.33</w:t>
            </w:r>
          </w:p>
        </w:tc>
        <w:tc>
          <w:tcPr>
            <w:tcW w:w="1675" w:type="dxa"/>
            <w:shd w:val="clear" w:color="auto" w:fill="auto"/>
            <w:hideMark/>
          </w:tcPr>
          <w:p w14:paraId="5D16ED0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6.48</w:t>
            </w:r>
          </w:p>
        </w:tc>
        <w:tc>
          <w:tcPr>
            <w:tcW w:w="960" w:type="dxa"/>
            <w:shd w:val="clear" w:color="auto" w:fill="auto"/>
          </w:tcPr>
          <w:p w14:paraId="5390E8B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0.5</w:t>
            </w:r>
          </w:p>
        </w:tc>
        <w:tc>
          <w:tcPr>
            <w:tcW w:w="1045" w:type="dxa"/>
            <w:vMerge/>
            <w:shd w:val="clear" w:color="auto" w:fill="auto"/>
            <w:hideMark/>
          </w:tcPr>
          <w:p w14:paraId="793C518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1A117A5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DDACB5F"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3662DEA1"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0A039F4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480249F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1ADDA85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44909A6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7A8038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23F56A1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8F36E4A"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A121736"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5DB8E815"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Bete</w:t>
            </w:r>
          </w:p>
          <w:p w14:paraId="19AC4F0A"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Heartwood</w:t>
            </w:r>
          </w:p>
          <w:p w14:paraId="0260EB35"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5B2C090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4364056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(Malvaceae)</w:t>
            </w:r>
          </w:p>
        </w:tc>
        <w:tc>
          <w:tcPr>
            <w:tcW w:w="1573" w:type="dxa"/>
            <w:tcBorders>
              <w:top w:val="single" w:sz="4" w:space="0" w:color="auto"/>
            </w:tcBorders>
            <w:shd w:val="clear" w:color="auto" w:fill="auto"/>
            <w:hideMark/>
          </w:tcPr>
          <w:p w14:paraId="6F30FEF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45B11CF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66.67</w:t>
            </w:r>
          </w:p>
        </w:tc>
        <w:tc>
          <w:tcPr>
            <w:tcW w:w="1675" w:type="dxa"/>
            <w:tcBorders>
              <w:top w:val="single" w:sz="4" w:space="0" w:color="auto"/>
            </w:tcBorders>
            <w:shd w:val="clear" w:color="auto" w:fill="auto"/>
            <w:hideMark/>
          </w:tcPr>
          <w:p w14:paraId="36B04F2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60" w:type="dxa"/>
            <w:tcBorders>
              <w:top w:val="single" w:sz="4" w:space="0" w:color="auto"/>
            </w:tcBorders>
            <w:shd w:val="clear" w:color="auto" w:fill="auto"/>
          </w:tcPr>
          <w:p w14:paraId="24D939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0.7</w:t>
            </w:r>
          </w:p>
        </w:tc>
        <w:tc>
          <w:tcPr>
            <w:tcW w:w="1045" w:type="dxa"/>
            <w:vMerge w:val="restart"/>
            <w:tcBorders>
              <w:top w:val="single" w:sz="4" w:space="0" w:color="auto"/>
            </w:tcBorders>
            <w:shd w:val="clear" w:color="auto" w:fill="auto"/>
            <w:noWrap/>
          </w:tcPr>
          <w:p w14:paraId="3C7EBA8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64C702F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0.0550</w:t>
            </w:r>
          </w:p>
        </w:tc>
        <w:tc>
          <w:tcPr>
            <w:tcW w:w="839" w:type="dxa"/>
            <w:vMerge w:val="restart"/>
            <w:tcBorders>
              <w:top w:val="single" w:sz="4" w:space="0" w:color="auto"/>
            </w:tcBorders>
            <w:shd w:val="clear" w:color="auto" w:fill="auto"/>
          </w:tcPr>
          <w:p w14:paraId="41C9BED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3AAC9F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0.8654</w:t>
            </w:r>
          </w:p>
        </w:tc>
      </w:tr>
      <w:tr w:rsidR="00544125" w:rsidRPr="00632779" w14:paraId="66DA766B"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3116BC7"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6E60803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0722BBE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5A8F808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75</w:t>
            </w:r>
          </w:p>
        </w:tc>
        <w:tc>
          <w:tcPr>
            <w:tcW w:w="1675" w:type="dxa"/>
            <w:hideMark/>
          </w:tcPr>
          <w:p w14:paraId="4E42C5A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5.67</w:t>
            </w:r>
          </w:p>
        </w:tc>
        <w:tc>
          <w:tcPr>
            <w:tcW w:w="960" w:type="dxa"/>
          </w:tcPr>
          <w:p w14:paraId="72A5BF9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5BB3932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320A80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CAB2564"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65FDE652"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5879D6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5534DEE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hideMark/>
          </w:tcPr>
          <w:p w14:paraId="685774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shd w:val="clear" w:color="auto" w:fill="auto"/>
            <w:hideMark/>
          </w:tcPr>
          <w:p w14:paraId="7E2E308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60" w:type="dxa"/>
            <w:shd w:val="clear" w:color="auto" w:fill="auto"/>
          </w:tcPr>
          <w:p w14:paraId="4D08388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shd w:val="clear" w:color="auto" w:fill="auto"/>
            <w:hideMark/>
          </w:tcPr>
          <w:p w14:paraId="4F6D87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37F63D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38A0D0DA"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4CC67433"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7464A09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5370C4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283F817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2756125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2C09525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7CA9A8A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3B8EE7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D722F43"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0C790694"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Iroko Heartwood</w:t>
            </w:r>
          </w:p>
          <w:p w14:paraId="19FE04E7"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410EE10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72DC35A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(Moraceae)</w:t>
            </w:r>
          </w:p>
        </w:tc>
        <w:tc>
          <w:tcPr>
            <w:tcW w:w="1573" w:type="dxa"/>
            <w:tcBorders>
              <w:top w:val="single" w:sz="4" w:space="0" w:color="auto"/>
            </w:tcBorders>
            <w:shd w:val="clear" w:color="auto" w:fill="auto"/>
            <w:hideMark/>
          </w:tcPr>
          <w:p w14:paraId="0502BBD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54EC998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36.67</w:t>
            </w:r>
          </w:p>
        </w:tc>
        <w:tc>
          <w:tcPr>
            <w:tcW w:w="1675" w:type="dxa"/>
            <w:tcBorders>
              <w:top w:val="single" w:sz="4" w:space="0" w:color="auto"/>
            </w:tcBorders>
            <w:shd w:val="clear" w:color="auto" w:fill="auto"/>
            <w:hideMark/>
          </w:tcPr>
          <w:p w14:paraId="13CB480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4.67</w:t>
            </w:r>
          </w:p>
        </w:tc>
        <w:tc>
          <w:tcPr>
            <w:tcW w:w="960" w:type="dxa"/>
            <w:tcBorders>
              <w:top w:val="single" w:sz="4" w:space="0" w:color="auto"/>
            </w:tcBorders>
            <w:shd w:val="clear" w:color="auto" w:fill="auto"/>
          </w:tcPr>
          <w:p w14:paraId="789823C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1.8</w:t>
            </w:r>
          </w:p>
        </w:tc>
        <w:tc>
          <w:tcPr>
            <w:tcW w:w="1045" w:type="dxa"/>
            <w:vMerge w:val="restart"/>
            <w:tcBorders>
              <w:top w:val="single" w:sz="4" w:space="0" w:color="auto"/>
            </w:tcBorders>
            <w:shd w:val="clear" w:color="auto" w:fill="auto"/>
            <w:noWrap/>
          </w:tcPr>
          <w:p w14:paraId="7FA0F88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6A790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0.1435</w:t>
            </w:r>
          </w:p>
        </w:tc>
        <w:tc>
          <w:tcPr>
            <w:tcW w:w="839" w:type="dxa"/>
            <w:vMerge w:val="restart"/>
            <w:tcBorders>
              <w:top w:val="single" w:sz="4" w:space="0" w:color="auto"/>
            </w:tcBorders>
            <w:shd w:val="clear" w:color="auto" w:fill="auto"/>
          </w:tcPr>
          <w:p w14:paraId="58B2E23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619DCA9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0.8478</w:t>
            </w:r>
          </w:p>
        </w:tc>
      </w:tr>
      <w:tr w:rsidR="00544125" w:rsidRPr="00632779" w14:paraId="4781F7E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08C1BD2"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A14122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2F08DA8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01B432A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58.33</w:t>
            </w:r>
          </w:p>
        </w:tc>
        <w:tc>
          <w:tcPr>
            <w:tcW w:w="1675" w:type="dxa"/>
            <w:hideMark/>
          </w:tcPr>
          <w:p w14:paraId="790800B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tcPr>
          <w:p w14:paraId="430F5FD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1.1</w:t>
            </w:r>
          </w:p>
        </w:tc>
        <w:tc>
          <w:tcPr>
            <w:tcW w:w="1045" w:type="dxa"/>
            <w:vMerge/>
            <w:hideMark/>
          </w:tcPr>
          <w:p w14:paraId="3FDCAE4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0166DE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57325753"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601118DC"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0AF3A0F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3F73E7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tcPr>
          <w:p w14:paraId="5C81E81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68.33</w:t>
            </w:r>
          </w:p>
        </w:tc>
        <w:tc>
          <w:tcPr>
            <w:tcW w:w="1675" w:type="dxa"/>
            <w:shd w:val="clear" w:color="auto" w:fill="auto"/>
          </w:tcPr>
          <w:p w14:paraId="7EB1634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60" w:type="dxa"/>
            <w:shd w:val="clear" w:color="auto" w:fill="auto"/>
          </w:tcPr>
          <w:p w14:paraId="763A084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2B5CB79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tcPr>
          <w:p w14:paraId="1EFC7C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6E4597A4"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267" w:type="dxa"/>
            <w:vMerge/>
            <w:hideMark/>
          </w:tcPr>
          <w:p w14:paraId="414CEF7B"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F8C23D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7E47C6F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noWrap/>
            <w:hideMark/>
          </w:tcPr>
          <w:p w14:paraId="22AA00F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hideMark/>
          </w:tcPr>
          <w:p w14:paraId="6EF33BB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60" w:type="dxa"/>
          </w:tcPr>
          <w:p w14:paraId="0447130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hideMark/>
          </w:tcPr>
          <w:p w14:paraId="35B2DAD3"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2981A93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7ED767A9" w14:textId="15904C01" w:rsidR="00544125" w:rsidRPr="00632779" w:rsidRDefault="00EF0DBB" w:rsidP="00544125">
      <w:pPr>
        <w:spacing w:before="240" w:after="0" w:line="480" w:lineRule="auto"/>
        <w:rPr>
          <w:rFonts w:ascii="Times New Roman" w:hAnsi="Times New Roman" w:cs="Times New Roman"/>
          <w:i/>
          <w:iCs/>
          <w:lang w:val="en-US"/>
        </w:rPr>
      </w:pPr>
      <w:r w:rsidRPr="00632779">
        <w:rPr>
          <w:rFonts w:ascii="Times New Roman" w:hAnsi="Times New Roman" w:cs="Times New Roman"/>
          <w:b/>
          <w:bCs/>
          <w:i/>
          <w:iCs/>
          <w:lang w:val="en-US"/>
        </w:rPr>
        <w:t>Legend:</w:t>
      </w:r>
      <w:r w:rsidR="00544125" w:rsidRPr="00632779">
        <w:rPr>
          <w:rFonts w:ascii="Times New Roman" w:hAnsi="Times New Roman" w:cs="Times New Roman"/>
          <w:b/>
          <w:bCs/>
          <w:i/>
          <w:iCs/>
          <w:lang w:val="en-US"/>
        </w:rPr>
        <w:t xml:space="preserve"> LT</w:t>
      </w:r>
      <w:r w:rsidR="00544125" w:rsidRPr="00632779">
        <w:rPr>
          <w:rFonts w:ascii="Times New Roman" w:hAnsi="Times New Roman" w:cs="Times New Roman"/>
          <w:b/>
          <w:bCs/>
          <w:i/>
          <w:iCs/>
          <w:vertAlign w:val="subscript"/>
          <w:lang w:val="en-US"/>
        </w:rPr>
        <w:t>50</w:t>
      </w:r>
      <w:r w:rsidR="00544125" w:rsidRPr="00632779">
        <w:rPr>
          <w:rFonts w:ascii="Times New Roman" w:hAnsi="Times New Roman" w:cs="Times New Roman"/>
          <w:b/>
          <w:bCs/>
          <w:i/>
          <w:iCs/>
          <w:lang w:val="en-US"/>
        </w:rPr>
        <w:t xml:space="preserve">: </w:t>
      </w:r>
      <w:r w:rsidR="00544125" w:rsidRPr="00632779">
        <w:rPr>
          <w:rFonts w:ascii="Times New Roman" w:hAnsi="Times New Roman" w:cs="Times New Roman"/>
          <w:i/>
          <w:iCs/>
          <w:lang w:val="en-US"/>
        </w:rPr>
        <w:t xml:space="preserve">Lethal time at witch 50% of insect mortality is observed; </w:t>
      </w:r>
      <w:r w:rsidR="00544125" w:rsidRPr="00632779">
        <w:rPr>
          <w:rFonts w:ascii="Times New Roman" w:hAnsi="Times New Roman" w:cs="Times New Roman"/>
          <w:b/>
          <w:bCs/>
          <w:i/>
          <w:iCs/>
          <w:lang w:val="en-US"/>
        </w:rPr>
        <w:t>LD</w:t>
      </w:r>
      <w:r w:rsidR="00544125" w:rsidRPr="00632779">
        <w:rPr>
          <w:rFonts w:ascii="Times New Roman" w:hAnsi="Times New Roman" w:cs="Times New Roman"/>
          <w:b/>
          <w:bCs/>
          <w:i/>
          <w:iCs/>
          <w:vertAlign w:val="subscript"/>
          <w:lang w:val="en-US"/>
        </w:rPr>
        <w:t>50 </w:t>
      </w:r>
      <w:r w:rsidR="00544125" w:rsidRPr="00632779">
        <w:rPr>
          <w:rFonts w:ascii="Times New Roman" w:hAnsi="Times New Roman" w:cs="Times New Roman"/>
          <w:i/>
          <w:iCs/>
          <w:lang w:val="en-US"/>
        </w:rPr>
        <w:t xml:space="preserve">: Lethal dose kills 50% of insects; </w:t>
      </w:r>
    </w:p>
    <w:p w14:paraId="28B0AC9E" w14:textId="77777777" w:rsidR="00544125" w:rsidRPr="00632779" w:rsidRDefault="00544125" w:rsidP="00544125">
      <w:pPr>
        <w:spacing w:line="480" w:lineRule="auto"/>
        <w:rPr>
          <w:rFonts w:ascii="Times New Roman" w:hAnsi="Times New Roman" w:cs="Times New Roman"/>
          <w:i/>
          <w:iCs/>
          <w:lang w:val="en-US"/>
        </w:rPr>
      </w:pPr>
      <w:r w:rsidRPr="00632779">
        <w:rPr>
          <w:rFonts w:ascii="Times New Roman" w:hAnsi="Times New Roman" w:cs="Times New Roman"/>
          <w:b/>
          <w:bCs/>
          <w:i/>
          <w:iCs/>
          <w:lang w:val="en-US"/>
        </w:rPr>
        <w:t>R</w:t>
      </w:r>
      <w:r w:rsidRPr="00632779">
        <w:rPr>
          <w:rFonts w:ascii="Times New Roman" w:hAnsi="Times New Roman" w:cs="Times New Roman"/>
          <w:b/>
          <w:bCs/>
          <w:i/>
          <w:iCs/>
          <w:vertAlign w:val="superscript"/>
          <w:lang w:val="en-US"/>
        </w:rPr>
        <w:t>2</w:t>
      </w:r>
      <w:r w:rsidRPr="00632779">
        <w:rPr>
          <w:rFonts w:ascii="Times New Roman" w:hAnsi="Times New Roman" w:cs="Times New Roman"/>
          <w:b/>
          <w:bCs/>
          <w:i/>
          <w:iCs/>
          <w:lang w:val="en-US"/>
        </w:rPr>
        <w:t xml:space="preserve"> : </w:t>
      </w:r>
      <w:r w:rsidRPr="00632779">
        <w:rPr>
          <w:rFonts w:ascii="Times New Roman" w:hAnsi="Times New Roman" w:cs="Times New Roman"/>
          <w:i/>
          <w:iCs/>
          <w:lang w:val="en-US"/>
        </w:rPr>
        <w:t>Coefficient of determination.</w:t>
      </w:r>
    </w:p>
    <w:p w14:paraId="7CF7D6F1" w14:textId="6300A82E" w:rsidR="00E222FC" w:rsidRPr="00632779" w:rsidRDefault="00E222FC" w:rsidP="00632779">
      <w:pPr>
        <w:pStyle w:val="Heading1"/>
        <w:spacing w:line="480" w:lineRule="auto"/>
        <w:jc w:val="both"/>
        <w:rPr>
          <w:rFonts w:ascii="Times New Roman" w:hAnsi="Times New Roman" w:cs="Times New Roman"/>
          <w:b/>
          <w:bCs/>
          <w:i/>
          <w:iCs/>
          <w:color w:val="auto"/>
          <w:sz w:val="22"/>
          <w:szCs w:val="22"/>
          <w:lang w:val="en-US"/>
        </w:rPr>
      </w:pPr>
      <w:bookmarkStart w:id="32" w:name="_Toc208685947"/>
      <w:bookmarkStart w:id="33" w:name="_Hlk204552725"/>
      <w:bookmarkStart w:id="34" w:name="_Toc191365687"/>
      <w:r w:rsidRPr="00632779">
        <w:rPr>
          <w:rFonts w:ascii="Times New Roman" w:hAnsi="Times New Roman" w:cs="Times New Roman"/>
          <w:b/>
          <w:bCs/>
          <w:color w:val="auto"/>
          <w:sz w:val="22"/>
          <w:szCs w:val="22"/>
          <w:lang w:val="en-US"/>
        </w:rPr>
        <w:t>3</w:t>
      </w:r>
      <w:r w:rsidR="002305BE" w:rsidRPr="00632779">
        <w:rPr>
          <w:rFonts w:ascii="Times New Roman" w:hAnsi="Times New Roman" w:cs="Times New Roman"/>
          <w:b/>
          <w:bCs/>
          <w:color w:val="auto"/>
          <w:sz w:val="22"/>
          <w:szCs w:val="22"/>
          <w:lang w:val="en-US"/>
        </w:rPr>
        <w:t>.</w:t>
      </w:r>
      <w:r w:rsidRPr="00632779">
        <w:rPr>
          <w:rFonts w:ascii="Times New Roman" w:hAnsi="Times New Roman" w:cs="Times New Roman"/>
          <w:b/>
          <w:bCs/>
          <w:color w:val="auto"/>
          <w:sz w:val="22"/>
          <w:szCs w:val="22"/>
          <w:lang w:val="en-US"/>
        </w:rPr>
        <w:t>3</w:t>
      </w:r>
      <w:bookmarkEnd w:id="32"/>
      <w:r w:rsidR="00EE38C7">
        <w:rPr>
          <w:rFonts w:ascii="Times New Roman" w:hAnsi="Times New Roman" w:cs="Times New Roman"/>
          <w:b/>
          <w:bCs/>
          <w:color w:val="auto"/>
          <w:sz w:val="22"/>
          <w:szCs w:val="22"/>
          <w:lang w:val="en-US"/>
        </w:rPr>
        <w:t>.</w:t>
      </w:r>
      <w:r w:rsidR="00580308" w:rsidRPr="00632779">
        <w:rPr>
          <w:rFonts w:ascii="Times New Roman" w:hAnsi="Times New Roman" w:cs="Times New Roman"/>
          <w:sz w:val="22"/>
          <w:szCs w:val="22"/>
          <w:lang w:val="en-US"/>
        </w:rPr>
        <w:t xml:space="preserve"> </w:t>
      </w:r>
      <w:r w:rsidR="00580308" w:rsidRPr="00632779">
        <w:rPr>
          <w:rFonts w:ascii="Times New Roman" w:hAnsi="Times New Roman" w:cs="Times New Roman"/>
          <w:b/>
          <w:bCs/>
          <w:color w:val="auto"/>
          <w:sz w:val="22"/>
          <w:szCs w:val="22"/>
          <w:lang w:val="en-US"/>
        </w:rPr>
        <w:t xml:space="preserve">Repellent effect of wood extracts on </w:t>
      </w:r>
      <w:r w:rsidR="00580308" w:rsidRPr="00632779">
        <w:rPr>
          <w:rFonts w:ascii="Times New Roman" w:hAnsi="Times New Roman" w:cs="Times New Roman"/>
          <w:b/>
          <w:bCs/>
          <w:i/>
          <w:iCs/>
          <w:color w:val="auto"/>
          <w:sz w:val="22"/>
          <w:szCs w:val="22"/>
          <w:lang w:val="en-US"/>
        </w:rPr>
        <w:t>Sitophilus zeamais</w:t>
      </w:r>
    </w:p>
    <w:p w14:paraId="4AFDC7BF" w14:textId="4240B6A9" w:rsidR="00E222FC" w:rsidRPr="00632779" w:rsidRDefault="00E222FC" w:rsidP="00632779">
      <w:pPr>
        <w:spacing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1</w:t>
      </w:r>
      <w:r w:rsidR="00EE38C7">
        <w:rPr>
          <w:rFonts w:ascii="Times New Roman" w:hAnsi="Times New Roman" w:cs="Times New Roman"/>
          <w:b/>
          <w:bCs/>
          <w:lang w:val="en-US"/>
        </w:rPr>
        <w:t>.</w:t>
      </w:r>
      <w:r w:rsidR="00580308" w:rsidRPr="00632779">
        <w:rPr>
          <w:rFonts w:ascii="Times New Roman" w:hAnsi="Times New Roman" w:cs="Times New Roman"/>
          <w:lang w:val="en-US"/>
        </w:rPr>
        <w:t xml:space="preserve"> </w:t>
      </w:r>
      <w:r w:rsidR="00580308" w:rsidRPr="00632779">
        <w:rPr>
          <w:rFonts w:ascii="Times New Roman" w:hAnsi="Times New Roman" w:cs="Times New Roman"/>
          <w:b/>
          <w:bCs/>
          <w:lang w:val="en-US"/>
        </w:rPr>
        <w:t xml:space="preserve">Repellent effect of sapwood extracts against </w:t>
      </w:r>
      <w:r w:rsidR="00580308" w:rsidRPr="00632779">
        <w:rPr>
          <w:rFonts w:ascii="Times New Roman" w:hAnsi="Times New Roman" w:cs="Times New Roman"/>
          <w:b/>
          <w:bCs/>
          <w:i/>
          <w:iCs/>
          <w:lang w:val="en-US"/>
        </w:rPr>
        <w:t>Sitophilus zeamais</w:t>
      </w:r>
    </w:p>
    <w:p w14:paraId="5064EABD" w14:textId="287EAD62" w:rsidR="00430CAB" w:rsidRPr="00632779" w:rsidRDefault="00430CAB"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dose of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 µL/cm², there was a significant difference after 1 hour (</w:t>
      </w:r>
      <w:r w:rsidRPr="00632779">
        <w:rPr>
          <w:rFonts w:ascii="Times New Roman" w:hAnsi="Times New Roman" w:cs="Times New Roman"/>
          <w:i/>
          <w:iCs/>
          <w:lang w:val="en-US"/>
        </w:rPr>
        <w:t>p&lt;0.05; p=0.0243</w:t>
      </w:r>
      <w:r w:rsidRPr="00632779">
        <w:rPr>
          <w:rFonts w:ascii="Times New Roman" w:hAnsi="Times New Roman" w:cs="Times New Roman"/>
          <w:lang w:val="en-US"/>
        </w:rPr>
        <w:t>) and after 2 hours of exposure to the extracts (</w:t>
      </w:r>
      <w:r w:rsidRPr="00632779">
        <w:rPr>
          <w:rFonts w:ascii="Times New Roman" w:hAnsi="Times New Roman" w:cs="Times New Roman"/>
          <w:i/>
          <w:iCs/>
          <w:lang w:val="en-US"/>
        </w:rPr>
        <w:t>p&lt;0.05; p=0.0156</w:t>
      </w:r>
      <w:r w:rsidRPr="00632779">
        <w:rPr>
          <w:rFonts w:ascii="Times New Roman" w:hAnsi="Times New Roman" w:cs="Times New Roman"/>
          <w:lang w:val="en-US"/>
        </w:rPr>
        <w:t>) between the repellency rate of the sapwood extracts studied and the Tt</w:t>
      </w:r>
      <w:r w:rsidR="00E46632" w:rsidRPr="00632779">
        <w:rPr>
          <w:rFonts w:ascii="Times New Roman" w:hAnsi="Times New Roman" w:cs="Times New Roman"/>
          <w:vertAlign w:val="subscript"/>
          <w:lang w:val="en-US"/>
        </w:rPr>
        <w:t>w</w:t>
      </w:r>
      <w:r w:rsidRPr="00632779">
        <w:rPr>
          <w:rFonts w:ascii="Times New Roman" w:hAnsi="Times New Roman" w:cs="Times New Roman"/>
          <w:vertAlign w:val="subscript"/>
          <w:lang w:val="en-US"/>
        </w:rPr>
        <w:t xml:space="preserve">a </w:t>
      </w:r>
      <w:r w:rsidRPr="00632779">
        <w:rPr>
          <w:rFonts w:ascii="Times New Roman" w:hAnsi="Times New Roman" w:cs="Times New Roman"/>
          <w:lang w:val="en-US"/>
        </w:rPr>
        <w:t>control (70° alcohol). The alcohol control showed a low repulsion rate after 1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26.67 ± 2.31%) and a high repulsion rate after 2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20 ± 3%). The repulsion rate was low for Badi sapwood extract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26.67 ± 3.06%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50 ± 2.65%. Iroko sapwood extract showed strong to moderate repellency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4%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4.58%. Bete sapwood extract had the best repulsion rate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 96.67 ± 1.52% and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80 ± 2.65% (Table 6).</w:t>
      </w:r>
    </w:p>
    <w:p w14:paraId="042D9A44" w14:textId="4B1FCFE3"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 µL/cm²), a significant difference was observed after 1 h (</w:t>
      </w:r>
      <w:r w:rsidRPr="00632779">
        <w:rPr>
          <w:rFonts w:ascii="Times New Roman" w:hAnsi="Times New Roman" w:cs="Times New Roman"/>
          <w:i/>
          <w:iCs/>
          <w:lang w:val="en-US"/>
        </w:rPr>
        <w:t>p=0.0239</w:t>
      </w:r>
      <w:r w:rsidRPr="00632779">
        <w:rPr>
          <w:rFonts w:ascii="Times New Roman" w:hAnsi="Times New Roman" w:cs="Times New Roman"/>
          <w:lang w:val="en-US"/>
        </w:rPr>
        <w:t>) and after 2 h (</w:t>
      </w:r>
      <w:r w:rsidRPr="00632779">
        <w:rPr>
          <w:rFonts w:ascii="Times New Roman" w:hAnsi="Times New Roman" w:cs="Times New Roman"/>
          <w:i/>
          <w:iCs/>
          <w:lang w:val="en-US"/>
        </w:rPr>
        <w:t>p=0.0185</w:t>
      </w:r>
      <w:r w:rsidRPr="00632779">
        <w:rPr>
          <w:rFonts w:ascii="Times New Roman" w:hAnsi="Times New Roman" w:cs="Times New Roman"/>
          <w:lang w:val="en-US"/>
        </w:rPr>
        <w:t>) between the repulsion rate of the extract of Bété, Badi</w:t>
      </w:r>
      <w:r w:rsidR="00B4689E">
        <w:rPr>
          <w:rFonts w:ascii="Times New Roman" w:hAnsi="Times New Roman" w:cs="Times New Roman"/>
          <w:lang w:val="en-US"/>
        </w:rPr>
        <w:t>,</w:t>
      </w:r>
      <w:r w:rsidRPr="00632779">
        <w:rPr>
          <w:rFonts w:ascii="Times New Roman" w:hAnsi="Times New Roman" w:cs="Times New Roman"/>
          <w:lang w:val="en-US"/>
        </w:rPr>
        <w:t xml:space="preserve"> and Iroko sapwood and the Tt</w:t>
      </w:r>
      <w:r w:rsidR="00E95107" w:rsidRPr="00632779">
        <w:rPr>
          <w:rFonts w:ascii="Times New Roman" w:hAnsi="Times New Roman" w:cs="Times New Roman"/>
          <w:vertAlign w:val="subscript"/>
          <w:lang w:val="en-US"/>
        </w:rPr>
        <w:t>wa</w:t>
      </w:r>
      <w:r w:rsidRPr="00632779">
        <w:rPr>
          <w:rFonts w:ascii="Times New Roman" w:hAnsi="Times New Roman" w:cs="Times New Roman"/>
          <w:lang w:val="en-US"/>
        </w:rPr>
        <w:t xml:space="preserve"> control (alcohol). Iroko sapwood extract caused good repellency after 1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69.33 ± 3.05%) and after 2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66.67 ± 3.06%). Bete sapwood extract gave the best repulsion rate after 1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96.67 ± 1.15%) and 2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86.67 ± 6.51%).</w:t>
      </w:r>
    </w:p>
    <w:p w14:paraId="6483E3BD" w14:textId="435AC82B"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1 h later (</w:t>
      </w:r>
      <w:r w:rsidRPr="00632779">
        <w:rPr>
          <w:rFonts w:ascii="Times New Roman" w:hAnsi="Times New Roman" w:cs="Times New Roman"/>
          <w:i/>
          <w:iCs/>
          <w:lang w:val="en-US"/>
        </w:rPr>
        <w:t>p=0.0210</w:t>
      </w:r>
      <w:r w:rsidRPr="00632779">
        <w:rPr>
          <w:rFonts w:ascii="Times New Roman" w:hAnsi="Times New Roman" w:cs="Times New Roman"/>
          <w:lang w:val="en-US"/>
        </w:rPr>
        <w:t>) and 2 h later (</w:t>
      </w:r>
      <w:r w:rsidRPr="00632779">
        <w:rPr>
          <w:rFonts w:ascii="Times New Roman" w:hAnsi="Times New Roman" w:cs="Times New Roman"/>
          <w:i/>
          <w:iCs/>
          <w:lang w:val="en-US"/>
        </w:rPr>
        <w:t>p=0.0153</w:t>
      </w:r>
      <w:r w:rsidRPr="00632779">
        <w:rPr>
          <w:rFonts w:ascii="Times New Roman" w:hAnsi="Times New Roman" w:cs="Times New Roman"/>
          <w:lang w:val="en-US"/>
        </w:rPr>
        <w:t>) between the repellency rate of Bete sapwood extract and that of Badi sapwood extract, Iroko sapwood extract</w:t>
      </w:r>
      <w:r w:rsidR="00B4689E">
        <w:rPr>
          <w:rFonts w:ascii="Times New Roman" w:hAnsi="Times New Roman" w:cs="Times New Roman"/>
          <w:lang w:val="en-US"/>
        </w:rPr>
        <w:t>,</w:t>
      </w:r>
      <w:r w:rsidRPr="00632779">
        <w:rPr>
          <w:rFonts w:ascii="Times New Roman" w:hAnsi="Times New Roman" w:cs="Times New Roman"/>
          <w:lang w:val="en-US"/>
        </w:rPr>
        <w:t xml:space="preserve"> and the control (alcohol). The repellency rate was lowest for Iroko sapwood extract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63.33 ± 3.06%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3.61%. Badi sapwood extract had a good repellency with </w:t>
      </w:r>
      <w:commentRangeStart w:id="35"/>
      <w:r w:rsidRPr="00632779">
        <w:rPr>
          <w:rFonts w:ascii="Times New Roman" w:hAnsi="Times New Roman" w:cs="Times New Roman"/>
          <w:lang w:val="en-US"/>
        </w:rPr>
        <w:t xml:space="preserve">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w:t>
      </w:r>
      <w:commentRangeEnd w:id="35"/>
      <w:r w:rsidR="00EF0DBB" w:rsidRPr="00632779">
        <w:rPr>
          <w:rStyle w:val="CommentReference"/>
          <w:rFonts w:ascii="Times New Roman" w:hAnsi="Times New Roman" w:cs="Times New Roman"/>
          <w:sz w:val="22"/>
          <w:szCs w:val="22"/>
          <w:lang w:val="en-US"/>
        </w:rPr>
        <w:commentReference w:id="35"/>
      </w:r>
      <w:r w:rsidRPr="00632779">
        <w:rPr>
          <w:rFonts w:ascii="Times New Roman" w:hAnsi="Times New Roman" w:cs="Times New Roman"/>
          <w:lang w:val="en-US"/>
        </w:rPr>
        <w:t xml:space="preserve">of 83.37 ± 2.89% and a high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80 ± 3.61%. Bete sapwood extract caused the best repulsion through a very strong repulsion</w:t>
      </w:r>
      <w:r w:rsidR="00B4689E">
        <w:rPr>
          <w:rFonts w:ascii="Times New Roman" w:hAnsi="Times New Roman" w:cs="Times New Roman"/>
          <w:lang w:val="en-US"/>
        </w:rPr>
        <w:t>,</w:t>
      </w:r>
      <w:r w:rsidRPr="00632779">
        <w:rPr>
          <w:rFonts w:ascii="Times New Roman" w:hAnsi="Times New Roman" w:cs="Times New Roman"/>
          <w:lang w:val="en-US"/>
        </w:rPr>
        <w:t xml:space="preserve">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86.67 ± 4.93%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93.37 ± 1.15% (Table 6).</w:t>
      </w:r>
    </w:p>
    <w:bookmarkEnd w:id="33"/>
    <w:p w14:paraId="7253FD83" w14:textId="385900DE" w:rsidR="00FF6177" w:rsidRDefault="00E46632" w:rsidP="00632779">
      <w:pPr>
        <w:spacing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the highest dose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0.314 µL/cm²), there was a significant difference between the repellency rate of the three sapwood extracts tested and the Tt</w:t>
      </w:r>
      <w:r w:rsidR="00D079CE" w:rsidRPr="00632779">
        <w:rPr>
          <w:rFonts w:ascii="Times New Roman" w:hAnsi="Times New Roman" w:cs="Times New Roman"/>
          <w:vertAlign w:val="subscript"/>
          <w:lang w:val="en-US"/>
        </w:rPr>
        <w:t>wa</w:t>
      </w:r>
      <w:r w:rsidRPr="00632779">
        <w:rPr>
          <w:rFonts w:ascii="Times New Roman" w:hAnsi="Times New Roman" w:cs="Times New Roman"/>
          <w:lang w:val="en-US"/>
        </w:rPr>
        <w:t xml:space="preserve"> control (alcohol control) after 1 h (</w:t>
      </w:r>
      <w:r w:rsidRPr="00632779">
        <w:rPr>
          <w:rFonts w:ascii="Times New Roman" w:hAnsi="Times New Roman" w:cs="Times New Roman"/>
          <w:i/>
          <w:iCs/>
          <w:lang w:val="en-US"/>
        </w:rPr>
        <w:t>p&lt;0.0001</w:t>
      </w:r>
      <w:r w:rsidRPr="00632779">
        <w:rPr>
          <w:rFonts w:ascii="Times New Roman" w:hAnsi="Times New Roman" w:cs="Times New Roman"/>
          <w:lang w:val="en-US"/>
        </w:rPr>
        <w:t>) and after 2 h (</w:t>
      </w:r>
      <w:r w:rsidRPr="00632779">
        <w:rPr>
          <w:rFonts w:ascii="Times New Roman" w:hAnsi="Times New Roman" w:cs="Times New Roman"/>
          <w:i/>
          <w:iCs/>
          <w:lang w:val="en-US"/>
        </w:rPr>
        <w:t>p=0.0172</w:t>
      </w:r>
      <w:r w:rsidRPr="00632779">
        <w:rPr>
          <w:rFonts w:ascii="Times New Roman" w:hAnsi="Times New Roman" w:cs="Times New Roman"/>
          <w:lang w:val="en-US"/>
        </w:rPr>
        <w:t xml:space="preserve">). There was also no significant difference between the repellent action of Badi sapwood and Iroko. Badi sapwood extract had a good repellency rate with </w:t>
      </w:r>
      <w:commentRangeStart w:id="36"/>
      <w:r w:rsidRPr="00632779">
        <w:rPr>
          <w:rFonts w:ascii="Times New Roman" w:hAnsi="Times New Roman" w:cs="Times New Roman"/>
          <w:lang w:val="en-US"/>
        </w:rPr>
        <w:t xml:space="preserve">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83.33 ± 4.16%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83.67 ± 4.16%. Bete extract had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commentRangeEnd w:id="36"/>
      <w:r w:rsidR="00921984" w:rsidRPr="00632779">
        <w:rPr>
          <w:rStyle w:val="CommentReference"/>
          <w:rFonts w:ascii="Times New Roman" w:hAnsi="Times New Roman" w:cs="Times New Roman"/>
          <w:sz w:val="22"/>
          <w:szCs w:val="22"/>
          <w:lang w:val="en-US"/>
        </w:rPr>
        <w:commentReference w:id="36"/>
      </w:r>
      <w:r w:rsidRPr="00632779">
        <w:rPr>
          <w:rFonts w:ascii="Times New Roman" w:hAnsi="Times New Roman" w:cs="Times New Roman"/>
          <w:lang w:val="en-US"/>
        </w:rPr>
        <w:t xml:space="preserve">=96.67 ± 1.15%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0% (Table 6).</w:t>
      </w:r>
    </w:p>
    <w:p w14:paraId="0737ED8D" w14:textId="34107A74" w:rsidR="00900418" w:rsidRPr="00632779" w:rsidRDefault="00900418" w:rsidP="00900418">
      <w:pPr>
        <w:spacing w:line="480" w:lineRule="auto"/>
        <w:jc w:val="both"/>
        <w:rPr>
          <w:rFonts w:ascii="Times New Roman" w:hAnsi="Times New Roman" w:cs="Times New Roman"/>
          <w:b/>
          <w:bCs/>
          <w:lang w:val="en-US"/>
        </w:rPr>
      </w:pPr>
      <w:r w:rsidRPr="00632779">
        <w:rPr>
          <w:rFonts w:ascii="Times New Roman" w:hAnsi="Times New Roman" w:cs="Times New Roman"/>
          <w:b/>
          <w:bCs/>
          <w:lang w:val="en-US"/>
        </w:rPr>
        <w:t>TABLE 6</w:t>
      </w:r>
      <w:r w:rsidR="000D0E5B">
        <w:rPr>
          <w:rFonts w:ascii="Times New Roman" w:hAnsi="Times New Roman" w:cs="Times New Roman"/>
          <w:b/>
          <w:bCs/>
          <w:lang w:val="en-US"/>
        </w:rPr>
        <w:t xml:space="preserve">. </w:t>
      </w:r>
      <w:r w:rsidRPr="00632779">
        <w:rPr>
          <w:rFonts w:ascii="Times New Roman" w:hAnsi="Times New Roman" w:cs="Times New Roman"/>
          <w:lang w:val="en-US"/>
        </w:rPr>
        <w:t>Repellent activity of sapwood extracts observed after 1 and 2 hours of exposure</w:t>
      </w:r>
    </w:p>
    <w:tbl>
      <w:tblPr>
        <w:tblStyle w:val="PlainTable2"/>
        <w:tblW w:w="9640" w:type="dxa"/>
        <w:tblInd w:w="-142" w:type="dxa"/>
        <w:tblLayout w:type="fixed"/>
        <w:tblLook w:val="04A0" w:firstRow="1" w:lastRow="0" w:firstColumn="1" w:lastColumn="0" w:noHBand="0" w:noVBand="1"/>
      </w:tblPr>
      <w:tblGrid>
        <w:gridCol w:w="1927"/>
        <w:gridCol w:w="932"/>
        <w:gridCol w:w="1009"/>
        <w:gridCol w:w="889"/>
        <w:gridCol w:w="1005"/>
        <w:gridCol w:w="901"/>
        <w:gridCol w:w="992"/>
        <w:gridCol w:w="992"/>
        <w:gridCol w:w="993"/>
      </w:tblGrid>
      <w:tr w:rsidR="00900418" w:rsidRPr="00215754" w14:paraId="1BF37C10"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4" w:space="0" w:color="auto"/>
              <w:tl2br w:val="single" w:sz="4" w:space="0" w:color="auto"/>
            </w:tcBorders>
          </w:tcPr>
          <w:p w14:paraId="07A0E4B6" w14:textId="77777777" w:rsidR="00900418" w:rsidRPr="00632779" w:rsidRDefault="00900418" w:rsidP="005847D3">
            <w:pPr>
              <w:spacing w:line="480" w:lineRule="auto"/>
              <w:rPr>
                <w:rFonts w:ascii="Times New Roman" w:hAnsi="Times New Roman" w:cs="Times New Roman"/>
                <w:b w:val="0"/>
                <w:bCs w:val="0"/>
                <w:lang w:val="en-US"/>
              </w:rPr>
            </w:pPr>
            <w:r w:rsidRPr="00632779">
              <w:rPr>
                <w:rFonts w:ascii="Times New Roman" w:hAnsi="Times New Roman" w:cs="Times New Roman"/>
                <w:b w:val="0"/>
                <w:bCs w:val="0"/>
                <w:lang w:val="en-US"/>
              </w:rPr>
              <w:t xml:space="preserve">    C</w:t>
            </w:r>
            <w:r w:rsidRPr="00632779">
              <w:rPr>
                <w:rFonts w:ascii="Times New Roman" w:hAnsi="Times New Roman" w:cs="Times New Roman"/>
                <w:lang w:val="en-US"/>
              </w:rPr>
              <w:t xml:space="preserve">oncentration      </w:t>
            </w:r>
          </w:p>
          <w:p w14:paraId="4272CD38"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4937B289" w14:textId="77777777" w:rsidR="00900418" w:rsidRPr="00632779" w:rsidRDefault="00900418" w:rsidP="005847D3">
            <w:pPr>
              <w:spacing w:line="480" w:lineRule="auto"/>
              <w:rPr>
                <w:rFonts w:ascii="Times New Roman" w:hAnsi="Times New Roman" w:cs="Times New Roman"/>
                <w:lang w:val="en-US"/>
              </w:rPr>
            </w:pPr>
          </w:p>
          <w:p w14:paraId="78C91FC3" w14:textId="77777777" w:rsidR="00900418" w:rsidRPr="00632779" w:rsidRDefault="00900418" w:rsidP="005847D3">
            <w:pPr>
              <w:spacing w:line="480" w:lineRule="auto"/>
              <w:rPr>
                <w:rFonts w:ascii="Times New Roman" w:hAnsi="Times New Roman" w:cs="Times New Roman"/>
                <w:b w:val="0"/>
                <w:bCs w:val="0"/>
                <w:lang w:val="en-US"/>
              </w:rPr>
            </w:pPr>
          </w:p>
          <w:p w14:paraId="56D46E8E"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 (Hour)</w:t>
            </w:r>
          </w:p>
        </w:tc>
        <w:tc>
          <w:tcPr>
            <w:tcW w:w="7713" w:type="dxa"/>
            <w:gridSpan w:val="8"/>
            <w:tcBorders>
              <w:top w:val="single" w:sz="4" w:space="0" w:color="auto"/>
              <w:bottom w:val="single" w:sz="4" w:space="0" w:color="auto"/>
            </w:tcBorders>
          </w:tcPr>
          <w:p w14:paraId="2EA21B06"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632779">
              <w:rPr>
                <w:rFonts w:ascii="Times New Roman" w:hAnsi="Times New Roman" w:cs="Times New Roman"/>
                <w:lang w:val="en-US"/>
              </w:rPr>
              <w:t>Repellency rate of sapwood extracts (%)</w:t>
            </w:r>
          </w:p>
        </w:tc>
      </w:tr>
      <w:tr w:rsidR="00900418" w:rsidRPr="00632779" w14:paraId="5F2D928C"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top w:val="single" w:sz="4" w:space="0" w:color="auto"/>
              <w:tl2br w:val="single" w:sz="4" w:space="0" w:color="auto"/>
            </w:tcBorders>
          </w:tcPr>
          <w:p w14:paraId="66EB4535" w14:textId="77777777" w:rsidR="00900418" w:rsidRPr="00632779" w:rsidRDefault="00900418" w:rsidP="005847D3">
            <w:pPr>
              <w:spacing w:line="480" w:lineRule="auto"/>
              <w:rPr>
                <w:rFonts w:ascii="Times New Roman" w:hAnsi="Times New Roman" w:cs="Times New Roman"/>
                <w:lang w:val="en-US"/>
              </w:rPr>
            </w:pPr>
          </w:p>
        </w:tc>
        <w:tc>
          <w:tcPr>
            <w:tcW w:w="1941" w:type="dxa"/>
            <w:gridSpan w:val="2"/>
            <w:tcBorders>
              <w:top w:val="single" w:sz="4" w:space="0" w:color="auto"/>
              <w:bottom w:val="single" w:sz="4" w:space="0" w:color="auto"/>
            </w:tcBorders>
          </w:tcPr>
          <w:p w14:paraId="6ACAE27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Alcohol control</w:t>
            </w:r>
          </w:p>
        </w:tc>
        <w:tc>
          <w:tcPr>
            <w:tcW w:w="1894" w:type="dxa"/>
            <w:gridSpan w:val="2"/>
            <w:tcBorders>
              <w:top w:val="single" w:sz="4" w:space="0" w:color="auto"/>
              <w:bottom w:val="single" w:sz="4" w:space="0" w:color="auto"/>
            </w:tcBorders>
          </w:tcPr>
          <w:p w14:paraId="045EAB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Badi sapwood</w:t>
            </w:r>
          </w:p>
        </w:tc>
        <w:tc>
          <w:tcPr>
            <w:tcW w:w="1893" w:type="dxa"/>
            <w:gridSpan w:val="2"/>
            <w:tcBorders>
              <w:top w:val="single" w:sz="4" w:space="0" w:color="auto"/>
              <w:bottom w:val="single" w:sz="4" w:space="0" w:color="auto"/>
            </w:tcBorders>
          </w:tcPr>
          <w:p w14:paraId="3EE23C8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Bete sapwood</w:t>
            </w:r>
          </w:p>
        </w:tc>
        <w:tc>
          <w:tcPr>
            <w:tcW w:w="1985" w:type="dxa"/>
            <w:gridSpan w:val="2"/>
            <w:tcBorders>
              <w:top w:val="single" w:sz="4" w:space="0" w:color="auto"/>
              <w:bottom w:val="single" w:sz="4" w:space="0" w:color="auto"/>
            </w:tcBorders>
          </w:tcPr>
          <w:p w14:paraId="0837C92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Iroko sapwood</w:t>
            </w:r>
          </w:p>
        </w:tc>
      </w:tr>
      <w:tr w:rsidR="00900418" w:rsidRPr="00632779" w14:paraId="51E2444F" w14:textId="77777777" w:rsidTr="005847D3">
        <w:trPr>
          <w:trHeight w:val="634"/>
        </w:trPr>
        <w:tc>
          <w:tcPr>
            <w:cnfStyle w:val="001000000000" w:firstRow="0" w:lastRow="0" w:firstColumn="1" w:lastColumn="0" w:oddVBand="0" w:evenVBand="0" w:oddHBand="0" w:evenHBand="0" w:firstRowFirstColumn="0" w:firstRowLastColumn="0" w:lastRowFirstColumn="0" w:lastRowLastColumn="0"/>
            <w:tcW w:w="1927" w:type="dxa"/>
            <w:vMerge/>
            <w:tcBorders>
              <w:bottom w:val="single" w:sz="4" w:space="0" w:color="auto"/>
            </w:tcBorders>
          </w:tcPr>
          <w:p w14:paraId="725BDE79" w14:textId="77777777" w:rsidR="00900418" w:rsidRPr="00632779" w:rsidRDefault="00900418" w:rsidP="005847D3">
            <w:pPr>
              <w:spacing w:line="480" w:lineRule="auto"/>
              <w:rPr>
                <w:rFonts w:ascii="Times New Roman" w:hAnsi="Times New Roman" w:cs="Times New Roman"/>
                <w:b w:val="0"/>
                <w:bCs w:val="0"/>
              </w:rPr>
            </w:pPr>
          </w:p>
        </w:tc>
        <w:tc>
          <w:tcPr>
            <w:tcW w:w="932" w:type="dxa"/>
            <w:tcBorders>
              <w:top w:val="single" w:sz="4" w:space="0" w:color="auto"/>
              <w:bottom w:val="single" w:sz="4" w:space="0" w:color="auto"/>
            </w:tcBorders>
          </w:tcPr>
          <w:p w14:paraId="4972AB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1A50D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1 hour</w:t>
            </w:r>
          </w:p>
        </w:tc>
        <w:tc>
          <w:tcPr>
            <w:tcW w:w="1009" w:type="dxa"/>
            <w:tcBorders>
              <w:top w:val="single" w:sz="4" w:space="0" w:color="auto"/>
              <w:bottom w:val="single" w:sz="4" w:space="0" w:color="auto"/>
            </w:tcBorders>
          </w:tcPr>
          <w:p w14:paraId="3F9B5C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33079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2 hours</w:t>
            </w:r>
          </w:p>
        </w:tc>
        <w:tc>
          <w:tcPr>
            <w:tcW w:w="889" w:type="dxa"/>
            <w:tcBorders>
              <w:top w:val="single" w:sz="4" w:space="0" w:color="auto"/>
              <w:bottom w:val="single" w:sz="4" w:space="0" w:color="auto"/>
            </w:tcBorders>
          </w:tcPr>
          <w:p w14:paraId="2EB81C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CEA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1 hour</w:t>
            </w:r>
          </w:p>
        </w:tc>
        <w:tc>
          <w:tcPr>
            <w:tcW w:w="1005" w:type="dxa"/>
            <w:tcBorders>
              <w:top w:val="single" w:sz="4" w:space="0" w:color="auto"/>
              <w:bottom w:val="single" w:sz="4" w:space="0" w:color="auto"/>
            </w:tcBorders>
          </w:tcPr>
          <w:p w14:paraId="00E9EB3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F1E9C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2 hours</w:t>
            </w:r>
          </w:p>
        </w:tc>
        <w:tc>
          <w:tcPr>
            <w:tcW w:w="901" w:type="dxa"/>
            <w:tcBorders>
              <w:top w:val="single" w:sz="4" w:space="0" w:color="auto"/>
              <w:bottom w:val="single" w:sz="4" w:space="0" w:color="auto"/>
            </w:tcBorders>
          </w:tcPr>
          <w:p w14:paraId="63A1A1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71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1 hour</w:t>
            </w:r>
          </w:p>
        </w:tc>
        <w:tc>
          <w:tcPr>
            <w:tcW w:w="992" w:type="dxa"/>
            <w:tcBorders>
              <w:top w:val="single" w:sz="4" w:space="0" w:color="auto"/>
              <w:bottom w:val="single" w:sz="4" w:space="0" w:color="auto"/>
            </w:tcBorders>
          </w:tcPr>
          <w:p w14:paraId="53D070E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944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2 hours</w:t>
            </w:r>
          </w:p>
        </w:tc>
        <w:tc>
          <w:tcPr>
            <w:tcW w:w="992" w:type="dxa"/>
            <w:tcBorders>
              <w:top w:val="single" w:sz="4" w:space="0" w:color="auto"/>
              <w:bottom w:val="single" w:sz="4" w:space="0" w:color="auto"/>
            </w:tcBorders>
          </w:tcPr>
          <w:p w14:paraId="730F63F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7AFAE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1 hour</w:t>
            </w:r>
          </w:p>
        </w:tc>
        <w:tc>
          <w:tcPr>
            <w:tcW w:w="993" w:type="dxa"/>
            <w:tcBorders>
              <w:top w:val="single" w:sz="4" w:space="0" w:color="auto"/>
              <w:bottom w:val="single" w:sz="4" w:space="0" w:color="auto"/>
            </w:tcBorders>
          </w:tcPr>
          <w:p w14:paraId="78F9749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9E5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2 hours</w:t>
            </w:r>
          </w:p>
        </w:tc>
      </w:tr>
      <w:tr w:rsidR="00900418" w:rsidRPr="00632779" w14:paraId="2DF07442" w14:textId="77777777" w:rsidTr="005847D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06364C3"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0,031 (µL/cm²)</w:t>
            </w:r>
          </w:p>
        </w:tc>
        <w:tc>
          <w:tcPr>
            <w:tcW w:w="932" w:type="dxa"/>
            <w:tcBorders>
              <w:top w:val="single" w:sz="4" w:space="0" w:color="auto"/>
              <w:bottom w:val="single" w:sz="4" w:space="0" w:color="auto"/>
            </w:tcBorders>
          </w:tcPr>
          <w:p w14:paraId="301D736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4E19CF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4FD2C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755D95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38079B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2C911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46B34C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786E0C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696E6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1005" w:type="dxa"/>
            <w:tcBorders>
              <w:top w:val="single" w:sz="4" w:space="0" w:color="auto"/>
              <w:bottom w:val="single" w:sz="4" w:space="0" w:color="auto"/>
            </w:tcBorders>
          </w:tcPr>
          <w:p w14:paraId="33BD764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50.0</w:t>
            </w:r>
          </w:p>
          <w:p w14:paraId="066E79B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7408D7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01" w:type="dxa"/>
            <w:tcBorders>
              <w:top w:val="single" w:sz="4" w:space="0" w:color="auto"/>
              <w:bottom w:val="single" w:sz="4" w:space="0" w:color="auto"/>
            </w:tcBorders>
          </w:tcPr>
          <w:p w14:paraId="627EFCB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3CB2026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13D2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2" w:type="dxa"/>
            <w:tcBorders>
              <w:top w:val="single" w:sz="4" w:space="0" w:color="auto"/>
              <w:bottom w:val="single" w:sz="4" w:space="0" w:color="auto"/>
            </w:tcBorders>
          </w:tcPr>
          <w:p w14:paraId="577CC71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68ED89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BC1C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92" w:type="dxa"/>
            <w:tcBorders>
              <w:top w:val="single" w:sz="4" w:space="0" w:color="auto"/>
              <w:bottom w:val="single" w:sz="4" w:space="0" w:color="auto"/>
            </w:tcBorders>
          </w:tcPr>
          <w:p w14:paraId="7A9FACD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AB7156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BD64D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w:t>
            </w:r>
          </w:p>
        </w:tc>
        <w:tc>
          <w:tcPr>
            <w:tcW w:w="993" w:type="dxa"/>
            <w:tcBorders>
              <w:top w:val="single" w:sz="4" w:space="0" w:color="auto"/>
              <w:bottom w:val="single" w:sz="4" w:space="0" w:color="auto"/>
            </w:tcBorders>
          </w:tcPr>
          <w:p w14:paraId="48D2641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4A55E9D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CF7EA9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r>
      <w:tr w:rsidR="00900418" w:rsidRPr="00632779" w14:paraId="04B72C63" w14:textId="77777777" w:rsidTr="005847D3">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CA8DF0A"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0,079 (µL/cm²)</w:t>
            </w:r>
          </w:p>
        </w:tc>
        <w:tc>
          <w:tcPr>
            <w:tcW w:w="932" w:type="dxa"/>
            <w:tcBorders>
              <w:top w:val="single" w:sz="4" w:space="0" w:color="auto"/>
              <w:bottom w:val="single" w:sz="4" w:space="0" w:color="auto"/>
            </w:tcBorders>
          </w:tcPr>
          <w:p w14:paraId="758185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04E6D91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2335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0CB9EA7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3638E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4D478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08BD4EA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17FED6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3C38F3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w:t>
            </w:r>
          </w:p>
        </w:tc>
        <w:tc>
          <w:tcPr>
            <w:tcW w:w="1005" w:type="dxa"/>
            <w:tcBorders>
              <w:top w:val="single" w:sz="4" w:space="0" w:color="auto"/>
              <w:bottom w:val="single" w:sz="4" w:space="0" w:color="auto"/>
            </w:tcBorders>
          </w:tcPr>
          <w:p w14:paraId="005A020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180D9B1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D03B08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3.46</w:t>
            </w:r>
          </w:p>
        </w:tc>
        <w:tc>
          <w:tcPr>
            <w:tcW w:w="901" w:type="dxa"/>
            <w:tcBorders>
              <w:top w:val="single" w:sz="4" w:space="0" w:color="auto"/>
              <w:bottom w:val="single" w:sz="4" w:space="0" w:color="auto"/>
            </w:tcBorders>
          </w:tcPr>
          <w:p w14:paraId="7198E8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1216633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FE825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080471E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2D92A5B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DEC9F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6.51</w:t>
            </w:r>
          </w:p>
        </w:tc>
        <w:tc>
          <w:tcPr>
            <w:tcW w:w="992" w:type="dxa"/>
            <w:tcBorders>
              <w:top w:val="single" w:sz="4" w:space="0" w:color="auto"/>
              <w:bottom w:val="single" w:sz="4" w:space="0" w:color="auto"/>
            </w:tcBorders>
          </w:tcPr>
          <w:p w14:paraId="29A603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69.33</w:t>
            </w:r>
          </w:p>
          <w:p w14:paraId="60D13CA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611C94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3.05</w:t>
            </w:r>
          </w:p>
        </w:tc>
        <w:tc>
          <w:tcPr>
            <w:tcW w:w="993" w:type="dxa"/>
            <w:tcBorders>
              <w:top w:val="single" w:sz="4" w:space="0" w:color="auto"/>
              <w:bottom w:val="single" w:sz="4" w:space="0" w:color="auto"/>
            </w:tcBorders>
          </w:tcPr>
          <w:p w14:paraId="0364BD5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4AC0335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7EFCD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r>
      <w:tr w:rsidR="00900418" w:rsidRPr="00632779" w14:paraId="72CD1C5A"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022E88BE"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0,157 (µL/cm²)</w:t>
            </w:r>
          </w:p>
          <w:p w14:paraId="4E408C08" w14:textId="77777777" w:rsidR="00900418" w:rsidRPr="00632779" w:rsidRDefault="00900418" w:rsidP="005847D3">
            <w:pPr>
              <w:spacing w:line="480" w:lineRule="auto"/>
              <w:rPr>
                <w:rFonts w:ascii="Times New Roman" w:hAnsi="Times New Roman" w:cs="Times New Roman"/>
              </w:rPr>
            </w:pPr>
          </w:p>
        </w:tc>
        <w:tc>
          <w:tcPr>
            <w:tcW w:w="932" w:type="dxa"/>
            <w:tcBorders>
              <w:top w:val="single" w:sz="4" w:space="0" w:color="auto"/>
              <w:bottom w:val="single" w:sz="4" w:space="0" w:color="auto"/>
            </w:tcBorders>
          </w:tcPr>
          <w:p w14:paraId="1D48F2C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296FEB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B7337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03EF6F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A94155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02FD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23C6C3E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83.37</w:t>
            </w:r>
          </w:p>
          <w:p w14:paraId="1B55293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19F4D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05" w:type="dxa"/>
            <w:tcBorders>
              <w:top w:val="single" w:sz="4" w:space="0" w:color="auto"/>
              <w:bottom w:val="single" w:sz="4" w:space="0" w:color="auto"/>
            </w:tcBorders>
          </w:tcPr>
          <w:p w14:paraId="57D2FD9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5456DAF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31A81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c>
          <w:tcPr>
            <w:tcW w:w="901" w:type="dxa"/>
            <w:tcBorders>
              <w:top w:val="single" w:sz="4" w:space="0" w:color="auto"/>
              <w:bottom w:val="single" w:sz="4" w:space="0" w:color="auto"/>
            </w:tcBorders>
          </w:tcPr>
          <w:p w14:paraId="4AE15B2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42737C0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369F8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c>
          <w:tcPr>
            <w:tcW w:w="992" w:type="dxa"/>
            <w:tcBorders>
              <w:top w:val="single" w:sz="4" w:space="0" w:color="auto"/>
              <w:bottom w:val="single" w:sz="4" w:space="0" w:color="auto"/>
            </w:tcBorders>
          </w:tcPr>
          <w:p w14:paraId="737300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93.37</w:t>
            </w:r>
          </w:p>
          <w:p w14:paraId="1DE88AB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1F885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3DBE725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4E35031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C560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993" w:type="dxa"/>
            <w:tcBorders>
              <w:top w:val="single" w:sz="4" w:space="0" w:color="auto"/>
              <w:bottom w:val="single" w:sz="4" w:space="0" w:color="auto"/>
            </w:tcBorders>
          </w:tcPr>
          <w:p w14:paraId="490F31D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66F805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FED8B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r>
      <w:tr w:rsidR="00900418" w:rsidRPr="00632779" w14:paraId="67C1F3E9" w14:textId="77777777" w:rsidTr="005847D3">
        <w:trPr>
          <w:trHeight w:val="756"/>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41C59F28"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0,314 (µL/cm²)</w:t>
            </w:r>
          </w:p>
        </w:tc>
        <w:tc>
          <w:tcPr>
            <w:tcW w:w="932" w:type="dxa"/>
            <w:tcBorders>
              <w:top w:val="single" w:sz="4" w:space="0" w:color="auto"/>
              <w:bottom w:val="single" w:sz="4" w:space="0" w:color="auto"/>
            </w:tcBorders>
          </w:tcPr>
          <w:p w14:paraId="5577A21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993118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14E7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1F06AE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E69177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0B6158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6464F26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0FB5084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0B78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1005" w:type="dxa"/>
            <w:tcBorders>
              <w:top w:val="single" w:sz="4" w:space="0" w:color="auto"/>
              <w:bottom w:val="single" w:sz="4" w:space="0" w:color="auto"/>
            </w:tcBorders>
          </w:tcPr>
          <w:p w14:paraId="6618491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83.67</w:t>
            </w:r>
          </w:p>
          <w:p w14:paraId="4CB7C5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1256AA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01" w:type="dxa"/>
            <w:tcBorders>
              <w:top w:val="single" w:sz="4" w:space="0" w:color="auto"/>
              <w:bottom w:val="single" w:sz="4" w:space="0" w:color="auto"/>
            </w:tcBorders>
          </w:tcPr>
          <w:p w14:paraId="53799F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BEB9D7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905FBD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59B0D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85DAE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FEA0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0.0</w:t>
            </w:r>
          </w:p>
        </w:tc>
        <w:tc>
          <w:tcPr>
            <w:tcW w:w="992" w:type="dxa"/>
            <w:tcBorders>
              <w:top w:val="single" w:sz="4" w:space="0" w:color="auto"/>
              <w:bottom w:val="single" w:sz="4" w:space="0" w:color="auto"/>
            </w:tcBorders>
          </w:tcPr>
          <w:p w14:paraId="0F5104E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3235C44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B7674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3" w:type="dxa"/>
            <w:tcBorders>
              <w:top w:val="single" w:sz="4" w:space="0" w:color="auto"/>
              <w:bottom w:val="single" w:sz="4" w:space="0" w:color="auto"/>
            </w:tcBorders>
          </w:tcPr>
          <w:p w14:paraId="3E02E5D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10374B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4597A9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r>
    </w:tbl>
    <w:p w14:paraId="16B71CCB" w14:textId="77777777" w:rsidR="00900418" w:rsidRPr="00632779" w:rsidRDefault="00900418" w:rsidP="00900418">
      <w:pPr>
        <w:spacing w:line="480" w:lineRule="auto"/>
        <w:rPr>
          <w:rFonts w:ascii="Times New Roman" w:hAnsi="Times New Roman" w:cs="Times New Roman"/>
          <w:i/>
          <w:iCs/>
          <w:lang w:val="en-US"/>
        </w:rPr>
      </w:pPr>
    </w:p>
    <w:p w14:paraId="69AF50D2" w14:textId="3A0E3819" w:rsidR="00E222FC" w:rsidRPr="00632779" w:rsidRDefault="00E222FC" w:rsidP="00632779">
      <w:pPr>
        <w:spacing w:before="24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2</w:t>
      </w:r>
      <w:r w:rsidR="00EE38C7">
        <w:rPr>
          <w:rFonts w:ascii="Times New Roman" w:hAnsi="Times New Roman" w:cs="Times New Roman"/>
          <w:b/>
          <w:bCs/>
          <w:lang w:val="en-US"/>
        </w:rPr>
        <w:t>.</w:t>
      </w:r>
      <w:r w:rsidR="003F75A4" w:rsidRPr="00632779">
        <w:rPr>
          <w:rFonts w:ascii="Times New Roman" w:hAnsi="Times New Roman" w:cs="Times New Roman"/>
          <w:lang w:val="en-US"/>
        </w:rPr>
        <w:t xml:space="preserve"> </w:t>
      </w:r>
      <w:r w:rsidR="003F75A4" w:rsidRPr="00632779">
        <w:rPr>
          <w:rFonts w:ascii="Times New Roman" w:hAnsi="Times New Roman" w:cs="Times New Roman"/>
          <w:b/>
          <w:bCs/>
          <w:lang w:val="en-US"/>
        </w:rPr>
        <w:t xml:space="preserve">Repellent effect of heartwood extracts against </w:t>
      </w:r>
      <w:r w:rsidR="003F75A4" w:rsidRPr="00632779">
        <w:rPr>
          <w:rFonts w:ascii="Times New Roman" w:hAnsi="Times New Roman" w:cs="Times New Roman"/>
          <w:b/>
          <w:bCs/>
          <w:i/>
          <w:iCs/>
          <w:lang w:val="en-US"/>
        </w:rPr>
        <w:t>Sitophilus zeamais</w:t>
      </w:r>
    </w:p>
    <w:p w14:paraId="50F3AD2C" w14:textId="73A2E540"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lastRenderedPageBreak/>
        <w:t>At the lowest dose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0.031µL/cm²), there was a significant difference between the repellency rate of the heartwood extracts and the control (alcohol) after 1 hour </w:t>
      </w:r>
      <w:r w:rsidRPr="00632779">
        <w:rPr>
          <w:rFonts w:ascii="Times New Roman" w:hAnsi="Times New Roman" w:cs="Times New Roman"/>
          <w:i/>
          <w:iCs/>
          <w:lang w:val="en-US"/>
        </w:rPr>
        <w:t>(p&lt;0.05; 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p&lt;0.05; p= 0.0166</w:t>
      </w:r>
      <w:r w:rsidRPr="00632779">
        <w:rPr>
          <w:rFonts w:ascii="Times New Roman" w:hAnsi="Times New Roman" w:cs="Times New Roman"/>
          <w:lang w:val="en-US"/>
        </w:rPr>
        <w:t xml:space="preserve">). Iroko heartwood extract caused a strong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70 ± 4.58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4.36%. Bete sapwood extract had the highest rate of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96.67 ± 0.58%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93.33 ± 2.89% (Table 7).</w:t>
      </w:r>
    </w:p>
    <w:p w14:paraId="2F47553D" w14:textId="31C5AD0C"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w:t>
      </w:r>
      <w:r w:rsidR="00810BC7" w:rsidRPr="00632779">
        <w:rPr>
          <w:rFonts w:ascii="Times New Roman" w:hAnsi="Times New Roman" w:cs="Times New Roman"/>
          <w:lang w:val="en-US"/>
        </w:rPr>
        <w:t xml:space="preserve"> </w:t>
      </w:r>
      <w:r w:rsidRPr="00632779">
        <w:rPr>
          <w:rFonts w:ascii="Times New Roman" w:hAnsi="Times New Roman" w:cs="Times New Roman"/>
          <w:lang w:val="en-US"/>
        </w:rPr>
        <w:t>µL/cm²), there was a significant difference between the repellent activity of the heartwood extracts tested and that of the control (alcohol) after 1 hour (</w:t>
      </w:r>
      <w:r w:rsidRPr="00632779">
        <w:rPr>
          <w:rFonts w:ascii="Times New Roman" w:hAnsi="Times New Roman" w:cs="Times New Roman"/>
          <w:i/>
          <w:iCs/>
          <w:lang w:val="en-US"/>
        </w:rPr>
        <w:t>p=0.0148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of exposure. The Badi heartwood extract had a high repulsion rate with </w:t>
      </w:r>
      <w:commentRangeStart w:id="37"/>
      <w:r w:rsidRPr="00632779">
        <w:rPr>
          <w:rFonts w:ascii="Times New Roman" w:hAnsi="Times New Roman" w:cs="Times New Roman"/>
          <w:lang w:val="en-US"/>
        </w:rPr>
        <w:t xml:space="preserve">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90 ± 1.73%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xml:space="preserve">of 83.33 ± 5.77%. Iroko heartwood extract had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63.33 ± 5.78%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w:t>
      </w:r>
      <w:commentRangeEnd w:id="37"/>
      <w:r w:rsidR="00C5132D" w:rsidRPr="00632779">
        <w:rPr>
          <w:rStyle w:val="CommentReference"/>
          <w:rFonts w:ascii="Times New Roman" w:hAnsi="Times New Roman" w:cs="Times New Roman"/>
          <w:sz w:val="22"/>
          <w:szCs w:val="22"/>
          <w:lang w:val="en-US"/>
        </w:rPr>
        <w:commentReference w:id="37"/>
      </w:r>
      <w:r w:rsidRPr="00632779">
        <w:rPr>
          <w:rFonts w:ascii="Times New Roman" w:hAnsi="Times New Roman" w:cs="Times New Roman"/>
          <w:lang w:val="en-US"/>
        </w:rPr>
        <w:t xml:space="preserve">of 73.33 ± 3.51%. Bete heartwood extract had the best activity with a very high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93.33 ± 1.52%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1.73% (Table 7).</w:t>
      </w:r>
    </w:p>
    <w:p w14:paraId="428D75E3" w14:textId="522B9BA7" w:rsidR="00EC1C19" w:rsidRPr="0063277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between the repulsion rate of the extracts of all the duramen tested and that of the Tt</w:t>
      </w:r>
      <w:r w:rsidR="00810BC7" w:rsidRPr="00632779">
        <w:rPr>
          <w:rFonts w:ascii="Times New Roman" w:hAnsi="Times New Roman" w:cs="Times New Roman"/>
          <w:vertAlign w:val="subscript"/>
          <w:lang w:val="en-US"/>
        </w:rPr>
        <w:t>WA</w:t>
      </w:r>
      <w:r w:rsidRPr="00632779">
        <w:rPr>
          <w:rFonts w:ascii="Times New Roman" w:hAnsi="Times New Roman" w:cs="Times New Roman"/>
          <w:lang w:val="en-US"/>
        </w:rPr>
        <w:t xml:space="preserve"> control (alcohol) after 1 hour (</w:t>
      </w:r>
      <w:r w:rsidRPr="00632779">
        <w:rPr>
          <w:rFonts w:ascii="Times New Roman" w:hAnsi="Times New Roman" w:cs="Times New Roman"/>
          <w:i/>
          <w:iCs/>
          <w:lang w:val="en-US"/>
        </w:rPr>
        <w:t>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p=0.0155</w:t>
      </w:r>
      <w:r w:rsidRPr="00632779">
        <w:rPr>
          <w:rFonts w:ascii="Times New Roman" w:hAnsi="Times New Roman" w:cs="Times New Roman"/>
          <w:lang w:val="en-US"/>
        </w:rPr>
        <w:t>). The Badi heartwood extract had a high repulsion rate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93.33 ± 2.31%;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93.33 ± 1.15%). B</w:t>
      </w:r>
      <w:r w:rsidR="00810BC7" w:rsidRPr="00632779">
        <w:rPr>
          <w:rFonts w:ascii="Times New Roman" w:hAnsi="Times New Roman" w:cs="Times New Roman"/>
          <w:lang w:val="en-US"/>
        </w:rPr>
        <w:t>ete</w:t>
      </w:r>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2.08%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of 98.33 ± 1.15% (Table 7).</w:t>
      </w:r>
    </w:p>
    <w:p w14:paraId="58423DBB" w14:textId="26EBADCD" w:rsidR="00EC1C1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concentration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0.314 µL/cm²), there was a significant difference between the repulsion rate of the duramen extracts and the Tt</w:t>
      </w:r>
      <w:r w:rsidR="00541FE7" w:rsidRPr="00632779">
        <w:rPr>
          <w:rFonts w:ascii="Times New Roman" w:hAnsi="Times New Roman" w:cs="Times New Roman"/>
          <w:vertAlign w:val="subscript"/>
          <w:lang w:val="en-US"/>
        </w:rPr>
        <w:t>wa</w:t>
      </w:r>
      <w:r w:rsidRPr="00632779">
        <w:rPr>
          <w:rFonts w:ascii="Times New Roman" w:hAnsi="Times New Roman" w:cs="Times New Roman"/>
          <w:lang w:val="en-US"/>
        </w:rPr>
        <w:t xml:space="preserve"> (alcohol) control after 1 hour (</w:t>
      </w:r>
      <w:r w:rsidRPr="00632779">
        <w:rPr>
          <w:rFonts w:ascii="Times New Roman" w:hAnsi="Times New Roman" w:cs="Times New Roman"/>
          <w:i/>
          <w:iCs/>
          <w:lang w:val="en-US"/>
        </w:rPr>
        <w:t>p=0.0218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The Badi heartwood extract had </w:t>
      </w:r>
      <w:commentRangeStart w:id="38"/>
      <w:r w:rsidRPr="00632779">
        <w:rPr>
          <w:rFonts w:ascii="Times New Roman" w:hAnsi="Times New Roman" w:cs="Times New Roman"/>
          <w:lang w:val="en-US"/>
        </w:rPr>
        <w:t xml:space="preserve">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commentRangeEnd w:id="38"/>
      <w:r w:rsidR="00AE266B" w:rsidRPr="00632779">
        <w:rPr>
          <w:rStyle w:val="CommentReference"/>
          <w:rFonts w:ascii="Times New Roman" w:hAnsi="Times New Roman" w:cs="Times New Roman"/>
          <w:sz w:val="22"/>
          <w:szCs w:val="22"/>
          <w:lang w:val="en-US"/>
        </w:rPr>
        <w:commentReference w:id="38"/>
      </w:r>
      <w:r w:rsidRPr="00632779">
        <w:rPr>
          <w:rFonts w:ascii="Times New Roman" w:hAnsi="Times New Roman" w:cs="Times New Roman"/>
          <w:lang w:val="en-US"/>
        </w:rPr>
        <w:t xml:space="preserve"> of 86.67 ± 2.89% and </w:t>
      </w:r>
      <w:commentRangeStart w:id="39"/>
      <w:r w:rsidRPr="00632779">
        <w:rPr>
          <w:rFonts w:ascii="Times New Roman" w:hAnsi="Times New Roman" w:cs="Times New Roman"/>
          <w:lang w:val="en-US"/>
        </w:rPr>
        <w:t xml:space="preserve">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86.67 ± 4.16%. Iroko heartwood extract showed good repellency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2%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w:t>
      </w:r>
      <w:commentRangeEnd w:id="39"/>
      <w:r w:rsidR="00C5132D" w:rsidRPr="00632779">
        <w:rPr>
          <w:rStyle w:val="CommentReference"/>
          <w:rFonts w:ascii="Times New Roman" w:hAnsi="Times New Roman" w:cs="Times New Roman"/>
          <w:sz w:val="22"/>
          <w:szCs w:val="22"/>
          <w:lang w:val="en-US"/>
        </w:rPr>
        <w:commentReference w:id="39"/>
      </w:r>
      <w:r w:rsidRPr="00632779">
        <w:rPr>
          <w:rFonts w:ascii="Times New Roman" w:hAnsi="Times New Roman" w:cs="Times New Roman"/>
          <w:lang w:val="en-US"/>
        </w:rPr>
        <w:t xml:space="preserve">of 73.33 ± 4.16%. Bete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5.69%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98.34 ± 0.58% (Table 7).</w:t>
      </w:r>
    </w:p>
    <w:p w14:paraId="40D626AF" w14:textId="7CE18B52" w:rsidR="00900418" w:rsidRPr="00632779" w:rsidRDefault="00900418" w:rsidP="00900418">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TABLE 7</w:t>
      </w:r>
      <w:r w:rsidR="000D0E5B">
        <w:rPr>
          <w:rFonts w:ascii="Times New Roman" w:hAnsi="Times New Roman" w:cs="Times New Roman"/>
          <w:b/>
          <w:bCs/>
          <w:lang w:val="en-US"/>
        </w:rPr>
        <w:t>.</w:t>
      </w:r>
      <w:r w:rsidRPr="00632779">
        <w:rPr>
          <w:rFonts w:ascii="Times New Roman" w:hAnsi="Times New Roman" w:cs="Times New Roman"/>
          <w:b/>
          <w:bCs/>
          <w:lang w:val="en-US"/>
        </w:rPr>
        <w:t xml:space="preserve"> </w:t>
      </w:r>
      <w:r w:rsidRPr="00632779">
        <w:rPr>
          <w:rFonts w:ascii="Times New Roman" w:hAnsi="Times New Roman" w:cs="Times New Roman"/>
          <w:lang w:val="en-US"/>
        </w:rPr>
        <w:t>Repellent activity of heartwood extracts observed after 1 and 2 hours</w:t>
      </w:r>
    </w:p>
    <w:tbl>
      <w:tblPr>
        <w:tblStyle w:val="PlainTable2"/>
        <w:tblW w:w="9781" w:type="dxa"/>
        <w:jc w:val="center"/>
        <w:tblLayout w:type="fixed"/>
        <w:tblLook w:val="04A0" w:firstRow="1" w:lastRow="0" w:firstColumn="1" w:lastColumn="0" w:noHBand="0" w:noVBand="1"/>
      </w:tblPr>
      <w:tblGrid>
        <w:gridCol w:w="1843"/>
        <w:gridCol w:w="992"/>
        <w:gridCol w:w="993"/>
        <w:gridCol w:w="992"/>
        <w:gridCol w:w="1021"/>
        <w:gridCol w:w="963"/>
        <w:gridCol w:w="993"/>
        <w:gridCol w:w="992"/>
        <w:gridCol w:w="992"/>
      </w:tblGrid>
      <w:tr w:rsidR="00900418" w:rsidRPr="00215754" w14:paraId="1D5BB4A1" w14:textId="77777777" w:rsidTr="00584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l2br w:val="single" w:sz="4" w:space="0" w:color="auto"/>
            </w:tcBorders>
          </w:tcPr>
          <w:p w14:paraId="7296E7A1"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Concentration   </w:t>
            </w:r>
          </w:p>
          <w:p w14:paraId="2241067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33A1201A" w14:textId="77777777" w:rsidR="00900418" w:rsidRPr="00632779" w:rsidRDefault="00900418" w:rsidP="005847D3">
            <w:pPr>
              <w:spacing w:line="480" w:lineRule="auto"/>
              <w:rPr>
                <w:rFonts w:ascii="Times New Roman" w:hAnsi="Times New Roman" w:cs="Times New Roman"/>
                <w:lang w:val="en-US"/>
              </w:rPr>
            </w:pPr>
          </w:p>
          <w:p w14:paraId="4759535F" w14:textId="77777777" w:rsidR="00900418" w:rsidRPr="00632779" w:rsidRDefault="00900418" w:rsidP="005847D3">
            <w:pPr>
              <w:spacing w:line="480" w:lineRule="auto"/>
              <w:rPr>
                <w:rFonts w:ascii="Times New Roman" w:hAnsi="Times New Roman" w:cs="Times New Roman"/>
                <w:lang w:val="en-US"/>
              </w:rPr>
            </w:pPr>
          </w:p>
          <w:p w14:paraId="48E039C1" w14:textId="77777777" w:rsidR="00900418" w:rsidRPr="00632779" w:rsidRDefault="00900418" w:rsidP="005847D3">
            <w:pPr>
              <w:spacing w:line="480" w:lineRule="auto"/>
              <w:rPr>
                <w:rFonts w:ascii="Times New Roman" w:hAnsi="Times New Roman" w:cs="Times New Roman"/>
                <w:b w:val="0"/>
                <w:bCs w:val="0"/>
                <w:lang w:val="en-US"/>
              </w:rPr>
            </w:pPr>
          </w:p>
          <w:p w14:paraId="5D147D9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Times (hour)</w:t>
            </w:r>
          </w:p>
        </w:tc>
        <w:tc>
          <w:tcPr>
            <w:tcW w:w="7938" w:type="dxa"/>
            <w:gridSpan w:val="8"/>
            <w:tcBorders>
              <w:top w:val="single" w:sz="4" w:space="0" w:color="auto"/>
              <w:bottom w:val="single" w:sz="4" w:space="0" w:color="auto"/>
            </w:tcBorders>
          </w:tcPr>
          <w:p w14:paraId="76224FC8"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lastRenderedPageBreak/>
              <w:t>Repellency rate of heartwood extracts (%)</w:t>
            </w:r>
          </w:p>
        </w:tc>
      </w:tr>
      <w:tr w:rsidR="00900418" w:rsidRPr="00632779" w14:paraId="4D7AAC90" w14:textId="77777777" w:rsidTr="005847D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tl2br w:val="single" w:sz="4" w:space="0" w:color="auto"/>
            </w:tcBorders>
          </w:tcPr>
          <w:p w14:paraId="622D3976" w14:textId="77777777" w:rsidR="00900418" w:rsidRPr="00632779" w:rsidRDefault="00900418" w:rsidP="005847D3">
            <w:pPr>
              <w:spacing w:line="480" w:lineRule="auto"/>
              <w:rPr>
                <w:rFonts w:ascii="Times New Roman" w:hAnsi="Times New Roman" w:cs="Times New Roman"/>
                <w:lang w:val="en-US"/>
              </w:rPr>
            </w:pPr>
          </w:p>
        </w:tc>
        <w:tc>
          <w:tcPr>
            <w:tcW w:w="1985" w:type="dxa"/>
            <w:gridSpan w:val="2"/>
            <w:tcBorders>
              <w:top w:val="single" w:sz="4" w:space="0" w:color="auto"/>
              <w:bottom w:val="single" w:sz="4" w:space="0" w:color="auto"/>
            </w:tcBorders>
          </w:tcPr>
          <w:p w14:paraId="7C024D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Alcohol control</w:t>
            </w:r>
          </w:p>
        </w:tc>
        <w:tc>
          <w:tcPr>
            <w:tcW w:w="2013" w:type="dxa"/>
            <w:gridSpan w:val="2"/>
            <w:tcBorders>
              <w:top w:val="single" w:sz="4" w:space="0" w:color="auto"/>
              <w:bottom w:val="single" w:sz="4" w:space="0" w:color="auto"/>
            </w:tcBorders>
          </w:tcPr>
          <w:p w14:paraId="7F701E9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Badi heartwood</w:t>
            </w:r>
          </w:p>
        </w:tc>
        <w:tc>
          <w:tcPr>
            <w:tcW w:w="1956" w:type="dxa"/>
            <w:gridSpan w:val="2"/>
            <w:tcBorders>
              <w:top w:val="single" w:sz="4" w:space="0" w:color="auto"/>
              <w:bottom w:val="single" w:sz="4" w:space="0" w:color="auto"/>
            </w:tcBorders>
          </w:tcPr>
          <w:p w14:paraId="0B538F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Bete heartwood</w:t>
            </w:r>
          </w:p>
        </w:tc>
        <w:tc>
          <w:tcPr>
            <w:tcW w:w="1984" w:type="dxa"/>
            <w:gridSpan w:val="2"/>
            <w:tcBorders>
              <w:top w:val="single" w:sz="4" w:space="0" w:color="auto"/>
              <w:bottom w:val="single" w:sz="4" w:space="0" w:color="auto"/>
            </w:tcBorders>
          </w:tcPr>
          <w:p w14:paraId="1FB713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Iroko heartwood</w:t>
            </w:r>
          </w:p>
        </w:tc>
      </w:tr>
      <w:tr w:rsidR="00900418" w:rsidRPr="00632779" w14:paraId="06A401D2" w14:textId="77777777" w:rsidTr="005847D3">
        <w:trPr>
          <w:trHeight w:val="521"/>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763AEC8C" w14:textId="77777777" w:rsidR="00900418" w:rsidRPr="00632779" w:rsidRDefault="00900418" w:rsidP="005847D3">
            <w:pPr>
              <w:spacing w:line="480" w:lineRule="auto"/>
              <w:rPr>
                <w:rFonts w:ascii="Times New Roman" w:hAnsi="Times New Roman" w:cs="Times New Roman"/>
              </w:rPr>
            </w:pPr>
          </w:p>
        </w:tc>
        <w:tc>
          <w:tcPr>
            <w:tcW w:w="992" w:type="dxa"/>
            <w:tcBorders>
              <w:top w:val="single" w:sz="4" w:space="0" w:color="auto"/>
              <w:bottom w:val="single" w:sz="4" w:space="0" w:color="auto"/>
            </w:tcBorders>
          </w:tcPr>
          <w:p w14:paraId="4D91A7B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DB6D2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 hour</w:t>
            </w:r>
          </w:p>
        </w:tc>
        <w:tc>
          <w:tcPr>
            <w:tcW w:w="993" w:type="dxa"/>
            <w:tcBorders>
              <w:top w:val="single" w:sz="4" w:space="0" w:color="auto"/>
              <w:bottom w:val="single" w:sz="4" w:space="0" w:color="auto"/>
            </w:tcBorders>
          </w:tcPr>
          <w:p w14:paraId="67F70C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AAE9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 hours</w:t>
            </w:r>
          </w:p>
        </w:tc>
        <w:tc>
          <w:tcPr>
            <w:tcW w:w="992" w:type="dxa"/>
            <w:tcBorders>
              <w:top w:val="single" w:sz="4" w:space="0" w:color="auto"/>
              <w:bottom w:val="single" w:sz="4" w:space="0" w:color="auto"/>
            </w:tcBorders>
          </w:tcPr>
          <w:p w14:paraId="36BE5C8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F049B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 hour</w:t>
            </w:r>
          </w:p>
        </w:tc>
        <w:tc>
          <w:tcPr>
            <w:tcW w:w="1021" w:type="dxa"/>
            <w:tcBorders>
              <w:top w:val="single" w:sz="4" w:space="0" w:color="auto"/>
              <w:bottom w:val="single" w:sz="4" w:space="0" w:color="auto"/>
            </w:tcBorders>
          </w:tcPr>
          <w:p w14:paraId="00498EF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FE28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 hours</w:t>
            </w:r>
          </w:p>
        </w:tc>
        <w:tc>
          <w:tcPr>
            <w:tcW w:w="963" w:type="dxa"/>
            <w:tcBorders>
              <w:top w:val="single" w:sz="4" w:space="0" w:color="auto"/>
              <w:bottom w:val="single" w:sz="4" w:space="0" w:color="auto"/>
            </w:tcBorders>
          </w:tcPr>
          <w:p w14:paraId="516FBAC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D540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 hour</w:t>
            </w:r>
          </w:p>
        </w:tc>
        <w:tc>
          <w:tcPr>
            <w:tcW w:w="993" w:type="dxa"/>
            <w:tcBorders>
              <w:top w:val="single" w:sz="4" w:space="0" w:color="auto"/>
              <w:bottom w:val="single" w:sz="4" w:space="0" w:color="auto"/>
            </w:tcBorders>
          </w:tcPr>
          <w:p w14:paraId="056CCA4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9837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 hours</w:t>
            </w:r>
          </w:p>
        </w:tc>
        <w:tc>
          <w:tcPr>
            <w:tcW w:w="992" w:type="dxa"/>
            <w:tcBorders>
              <w:top w:val="single" w:sz="4" w:space="0" w:color="auto"/>
              <w:bottom w:val="single" w:sz="4" w:space="0" w:color="auto"/>
            </w:tcBorders>
          </w:tcPr>
          <w:p w14:paraId="1F9B7D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295E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 hour</w:t>
            </w:r>
          </w:p>
        </w:tc>
        <w:tc>
          <w:tcPr>
            <w:tcW w:w="992" w:type="dxa"/>
            <w:tcBorders>
              <w:top w:val="single" w:sz="4" w:space="0" w:color="auto"/>
              <w:bottom w:val="single" w:sz="4" w:space="0" w:color="auto"/>
            </w:tcBorders>
          </w:tcPr>
          <w:p w14:paraId="6D0FC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EE6A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 hours</w:t>
            </w:r>
          </w:p>
        </w:tc>
      </w:tr>
      <w:tr w:rsidR="00900418" w:rsidRPr="00632779" w14:paraId="1068306B" w14:textId="77777777" w:rsidTr="005847D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CE684A4"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0,031 (µL/cm²)</w:t>
            </w:r>
          </w:p>
          <w:p w14:paraId="127B7FFE" w14:textId="77777777" w:rsidR="00900418" w:rsidRPr="00632779" w:rsidRDefault="00900418" w:rsidP="005847D3">
            <w:pPr>
              <w:spacing w:line="480" w:lineRule="auto"/>
              <w:jc w:val="center"/>
              <w:rPr>
                <w:rFonts w:ascii="Times New Roman" w:hAnsi="Times New Roman" w:cs="Times New Roman"/>
              </w:rPr>
            </w:pPr>
          </w:p>
        </w:tc>
        <w:tc>
          <w:tcPr>
            <w:tcW w:w="992" w:type="dxa"/>
            <w:tcBorders>
              <w:top w:val="single" w:sz="4" w:space="0" w:color="auto"/>
              <w:bottom w:val="single" w:sz="4" w:space="0" w:color="auto"/>
            </w:tcBorders>
          </w:tcPr>
          <w:p w14:paraId="26E9E2C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5ADCC4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828D6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5678229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9D45A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2AFBA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6A9AC8C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33.33</w:t>
            </w:r>
          </w:p>
          <w:p w14:paraId="4F168E3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5B4F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4.51</w:t>
            </w:r>
          </w:p>
        </w:tc>
        <w:tc>
          <w:tcPr>
            <w:tcW w:w="1021" w:type="dxa"/>
            <w:tcBorders>
              <w:top w:val="single" w:sz="4" w:space="0" w:color="auto"/>
              <w:bottom w:val="single" w:sz="4" w:space="0" w:color="auto"/>
            </w:tcBorders>
          </w:tcPr>
          <w:p w14:paraId="5D14AB3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53.44</w:t>
            </w:r>
          </w:p>
          <w:p w14:paraId="7CF9C24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9E574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3.21</w:t>
            </w:r>
          </w:p>
        </w:tc>
        <w:tc>
          <w:tcPr>
            <w:tcW w:w="963" w:type="dxa"/>
            <w:tcBorders>
              <w:top w:val="single" w:sz="4" w:space="0" w:color="auto"/>
              <w:bottom w:val="single" w:sz="4" w:space="0" w:color="auto"/>
            </w:tcBorders>
          </w:tcPr>
          <w:p w14:paraId="198768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ABB46E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9C99B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3" w:type="dxa"/>
            <w:tcBorders>
              <w:top w:val="single" w:sz="4" w:space="0" w:color="auto"/>
              <w:bottom w:val="single" w:sz="4" w:space="0" w:color="auto"/>
            </w:tcBorders>
          </w:tcPr>
          <w:p w14:paraId="7BC29E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44A998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CF0194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2" w:type="dxa"/>
            <w:tcBorders>
              <w:top w:val="single" w:sz="4" w:space="0" w:color="auto"/>
              <w:bottom w:val="single" w:sz="4" w:space="0" w:color="auto"/>
            </w:tcBorders>
          </w:tcPr>
          <w:p w14:paraId="52064E7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6FC584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9D3BF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c>
          <w:tcPr>
            <w:tcW w:w="992" w:type="dxa"/>
            <w:tcBorders>
              <w:top w:val="single" w:sz="4" w:space="0" w:color="auto"/>
              <w:bottom w:val="single" w:sz="4" w:space="0" w:color="auto"/>
            </w:tcBorders>
          </w:tcPr>
          <w:p w14:paraId="3B63FA2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057FF1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85BAF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4.36</w:t>
            </w:r>
          </w:p>
        </w:tc>
      </w:tr>
      <w:tr w:rsidR="00900418" w:rsidRPr="00632779" w14:paraId="30831023" w14:textId="77777777" w:rsidTr="005847D3">
        <w:trPr>
          <w:trHeight w:val="755"/>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81642D4"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0,079 (µL/cm²)</w:t>
            </w:r>
          </w:p>
        </w:tc>
        <w:tc>
          <w:tcPr>
            <w:tcW w:w="992" w:type="dxa"/>
            <w:tcBorders>
              <w:top w:val="single" w:sz="4" w:space="0" w:color="auto"/>
              <w:bottom w:val="single" w:sz="4" w:space="0" w:color="auto"/>
            </w:tcBorders>
          </w:tcPr>
          <w:p w14:paraId="590E7D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BE62AF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0A9E2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7A62B50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37C8C7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93DB6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3F55AC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54C2DF8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061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1021" w:type="dxa"/>
            <w:tcBorders>
              <w:top w:val="single" w:sz="4" w:space="0" w:color="auto"/>
              <w:bottom w:val="single" w:sz="4" w:space="0" w:color="auto"/>
            </w:tcBorders>
          </w:tcPr>
          <w:p w14:paraId="2B19F2E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1D89183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7286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5.77</w:t>
            </w:r>
          </w:p>
        </w:tc>
        <w:tc>
          <w:tcPr>
            <w:tcW w:w="963" w:type="dxa"/>
            <w:tcBorders>
              <w:top w:val="single" w:sz="4" w:space="0" w:color="auto"/>
              <w:bottom w:val="single" w:sz="4" w:space="0" w:color="auto"/>
            </w:tcBorders>
          </w:tcPr>
          <w:p w14:paraId="5794BBF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FFB921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121B39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3" w:type="dxa"/>
            <w:tcBorders>
              <w:top w:val="single" w:sz="4" w:space="0" w:color="auto"/>
              <w:bottom w:val="single" w:sz="4" w:space="0" w:color="auto"/>
            </w:tcBorders>
          </w:tcPr>
          <w:p w14:paraId="34F352F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5C1AC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1F48FB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992" w:type="dxa"/>
            <w:tcBorders>
              <w:top w:val="single" w:sz="4" w:space="0" w:color="auto"/>
              <w:bottom w:val="single" w:sz="4" w:space="0" w:color="auto"/>
            </w:tcBorders>
          </w:tcPr>
          <w:p w14:paraId="3E3ABF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ED4E8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8F0545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5.78</w:t>
            </w:r>
          </w:p>
        </w:tc>
        <w:tc>
          <w:tcPr>
            <w:tcW w:w="992" w:type="dxa"/>
            <w:tcBorders>
              <w:top w:val="single" w:sz="4" w:space="0" w:color="auto"/>
              <w:bottom w:val="single" w:sz="4" w:space="0" w:color="auto"/>
            </w:tcBorders>
          </w:tcPr>
          <w:p w14:paraId="36DFD5A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44138DD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D34E00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3.51</w:t>
            </w:r>
          </w:p>
        </w:tc>
      </w:tr>
      <w:tr w:rsidR="00900418" w:rsidRPr="00632779" w14:paraId="16CB6445" w14:textId="77777777" w:rsidTr="005847D3">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F0ECCE8"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0,157 (µL/cm²)</w:t>
            </w:r>
          </w:p>
        </w:tc>
        <w:tc>
          <w:tcPr>
            <w:tcW w:w="992" w:type="dxa"/>
            <w:tcBorders>
              <w:top w:val="single" w:sz="4" w:space="0" w:color="auto"/>
              <w:bottom w:val="single" w:sz="4" w:space="0" w:color="auto"/>
            </w:tcBorders>
          </w:tcPr>
          <w:p w14:paraId="65D7B0F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EAD58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311B8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25FADD7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40F182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21DE4D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7FE1A63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0EB23A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687054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21" w:type="dxa"/>
            <w:tcBorders>
              <w:top w:val="single" w:sz="4" w:space="0" w:color="auto"/>
              <w:bottom w:val="single" w:sz="4" w:space="0" w:color="auto"/>
            </w:tcBorders>
          </w:tcPr>
          <w:p w14:paraId="64E1FB6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4C75DE3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0DA578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63" w:type="dxa"/>
            <w:tcBorders>
              <w:top w:val="single" w:sz="4" w:space="0" w:color="auto"/>
              <w:bottom w:val="single" w:sz="4" w:space="0" w:color="auto"/>
            </w:tcBorders>
          </w:tcPr>
          <w:p w14:paraId="335D43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1BF3040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ED5BE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2.08</w:t>
            </w:r>
          </w:p>
        </w:tc>
        <w:tc>
          <w:tcPr>
            <w:tcW w:w="993" w:type="dxa"/>
            <w:tcBorders>
              <w:top w:val="single" w:sz="4" w:space="0" w:color="auto"/>
              <w:bottom w:val="single" w:sz="4" w:space="0" w:color="auto"/>
            </w:tcBorders>
          </w:tcPr>
          <w:p w14:paraId="30EC6A7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98.33</w:t>
            </w:r>
          </w:p>
          <w:p w14:paraId="78BD292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BDF9EE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CE085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6C720B7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E2E6F4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92" w:type="dxa"/>
            <w:tcBorders>
              <w:top w:val="single" w:sz="4" w:space="0" w:color="auto"/>
              <w:bottom w:val="single" w:sz="4" w:space="0" w:color="auto"/>
            </w:tcBorders>
          </w:tcPr>
          <w:p w14:paraId="066FE6A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0DF0C2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6571C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r>
      <w:tr w:rsidR="00900418" w:rsidRPr="00632779" w14:paraId="7E55B0D0" w14:textId="77777777" w:rsidTr="005847D3">
        <w:trPr>
          <w:trHeight w:val="75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3D277A5"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0,314 (µL/cm²)</w:t>
            </w:r>
          </w:p>
        </w:tc>
        <w:tc>
          <w:tcPr>
            <w:tcW w:w="992" w:type="dxa"/>
            <w:tcBorders>
              <w:top w:val="single" w:sz="4" w:space="0" w:color="auto"/>
              <w:bottom w:val="single" w:sz="4" w:space="0" w:color="auto"/>
            </w:tcBorders>
          </w:tcPr>
          <w:p w14:paraId="0C44C0D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44A6F86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93A0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3E773F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7FD71D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A8DA7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27621D0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A01383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BD579A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21" w:type="dxa"/>
            <w:tcBorders>
              <w:top w:val="single" w:sz="4" w:space="0" w:color="auto"/>
              <w:bottom w:val="single" w:sz="4" w:space="0" w:color="auto"/>
            </w:tcBorders>
          </w:tcPr>
          <w:p w14:paraId="67A9E5F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BE757A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51B246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63" w:type="dxa"/>
            <w:tcBorders>
              <w:top w:val="single" w:sz="4" w:space="0" w:color="auto"/>
              <w:bottom w:val="single" w:sz="4" w:space="0" w:color="auto"/>
            </w:tcBorders>
          </w:tcPr>
          <w:p w14:paraId="2D5018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74C7B5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88A7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5.69</w:t>
            </w:r>
          </w:p>
        </w:tc>
        <w:tc>
          <w:tcPr>
            <w:tcW w:w="993" w:type="dxa"/>
            <w:tcBorders>
              <w:top w:val="single" w:sz="4" w:space="0" w:color="auto"/>
              <w:bottom w:val="single" w:sz="4" w:space="0" w:color="auto"/>
            </w:tcBorders>
          </w:tcPr>
          <w:p w14:paraId="119F6D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98.34</w:t>
            </w:r>
          </w:p>
          <w:p w14:paraId="2C3E03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07AE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2" w:type="dxa"/>
            <w:tcBorders>
              <w:top w:val="single" w:sz="4" w:space="0" w:color="auto"/>
              <w:bottom w:val="single" w:sz="4" w:space="0" w:color="auto"/>
            </w:tcBorders>
          </w:tcPr>
          <w:p w14:paraId="5BB8F8C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622DDA9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26BD7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c>
          <w:tcPr>
            <w:tcW w:w="992" w:type="dxa"/>
            <w:tcBorders>
              <w:top w:val="single" w:sz="4" w:space="0" w:color="auto"/>
              <w:bottom w:val="single" w:sz="4" w:space="0" w:color="auto"/>
            </w:tcBorders>
          </w:tcPr>
          <w:p w14:paraId="2D3EB74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5A09D1B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C053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r>
    </w:tbl>
    <w:p w14:paraId="482D13F5" w14:textId="77777777" w:rsidR="000D0E5B" w:rsidRDefault="000D0E5B" w:rsidP="00632779">
      <w:pPr>
        <w:spacing w:line="480" w:lineRule="auto"/>
        <w:rPr>
          <w:rFonts w:ascii="Times New Roman" w:eastAsia="Times New Roman" w:hAnsi="Times New Roman" w:cs="Times New Roman"/>
          <w:b/>
          <w:bCs/>
          <w:kern w:val="0"/>
          <w:lang w:val="en-US"/>
          <w14:ligatures w14:val="none"/>
        </w:rPr>
      </w:pPr>
      <w:bookmarkStart w:id="40" w:name="_Toc208685948"/>
      <w:bookmarkEnd w:id="34"/>
    </w:p>
    <w:p w14:paraId="73E828D0" w14:textId="3B0BA105" w:rsidR="00A7022D" w:rsidRPr="00632779" w:rsidRDefault="00B76EAB" w:rsidP="00632779">
      <w:pPr>
        <w:spacing w:line="480" w:lineRule="auto"/>
        <w:rPr>
          <w:rFonts w:ascii="Times New Roman" w:eastAsia="Times New Roman" w:hAnsi="Times New Roman" w:cs="Times New Roman"/>
          <w:b/>
          <w:bCs/>
          <w:kern w:val="0"/>
          <w:lang w:val="en-US"/>
          <w14:ligatures w14:val="none"/>
        </w:rPr>
      </w:pPr>
      <w:r w:rsidRPr="00632779">
        <w:rPr>
          <w:rFonts w:ascii="Times New Roman" w:eastAsia="Times New Roman" w:hAnsi="Times New Roman" w:cs="Times New Roman"/>
          <w:b/>
          <w:bCs/>
          <w:kern w:val="0"/>
          <w:lang w:val="en-US"/>
          <w14:ligatures w14:val="none"/>
        </w:rPr>
        <w:t>4</w:t>
      </w:r>
      <w:r w:rsidR="00EE38C7">
        <w:rPr>
          <w:rFonts w:ascii="Times New Roman" w:eastAsia="Times New Roman" w:hAnsi="Times New Roman" w:cs="Times New Roman"/>
          <w:b/>
          <w:bCs/>
          <w:kern w:val="0"/>
          <w:lang w:val="en-US"/>
          <w14:ligatures w14:val="none"/>
        </w:rPr>
        <w:t>.</w:t>
      </w:r>
      <w:r w:rsidR="000F1DEB" w:rsidRPr="00632779">
        <w:rPr>
          <w:rFonts w:ascii="Times New Roman" w:eastAsia="Times New Roman" w:hAnsi="Times New Roman" w:cs="Times New Roman"/>
          <w:b/>
          <w:bCs/>
          <w:kern w:val="0"/>
          <w:lang w:val="en-US"/>
          <w14:ligatures w14:val="none"/>
        </w:rPr>
        <w:t xml:space="preserve"> </w:t>
      </w:r>
      <w:r w:rsidR="00A7022D" w:rsidRPr="00632779">
        <w:rPr>
          <w:rFonts w:ascii="Times New Roman" w:eastAsia="Times New Roman" w:hAnsi="Times New Roman" w:cs="Times New Roman"/>
          <w:b/>
          <w:bCs/>
          <w:kern w:val="0"/>
          <w:lang w:val="en-US"/>
          <w14:ligatures w14:val="none"/>
        </w:rPr>
        <w:t>D</w:t>
      </w:r>
      <w:r w:rsidR="00885A0A" w:rsidRPr="00632779">
        <w:rPr>
          <w:rFonts w:ascii="Times New Roman" w:eastAsia="Times New Roman" w:hAnsi="Times New Roman" w:cs="Times New Roman"/>
          <w:b/>
          <w:bCs/>
          <w:kern w:val="0"/>
          <w:lang w:val="en-US"/>
          <w14:ligatures w14:val="none"/>
        </w:rPr>
        <w:t>iscussion</w:t>
      </w:r>
      <w:bookmarkEnd w:id="40"/>
    </w:p>
    <w:p w14:paraId="2C72ACF3" w14:textId="7AB4B4ED" w:rsidR="00A7022D" w:rsidRPr="00632779" w:rsidRDefault="00827E3E" w:rsidP="00632779">
      <w:pPr>
        <w:spacing w:before="240"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control and management of insect pests is a major concern for food processing companies. Infestation or even contamination of products can have serious economic consequences, which can be direct. These consequences can take the form of damage through deterioration in the quality of preserved or processed foods. They can also result in intangible losses due to customer and consumer dissatisfaction </w:t>
      </w:r>
      <w:r w:rsidR="00A7022D"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{"citationID":"SxAHPpJG","properties":{"formattedCitation":"(Arthur et al., 2002)","plainCitation":"(Arthur et al., 2002)","noteIndex":0},"citationItems":[{"id":3505,"uris":["http://zotero.org/users/5304766/items/3RWANS46"],"itemData":{"id":3505,"type":"chapter","abstract":"Insect pest management and control is a serious concern for food processing and milling\nfacilities. Contamination of products can have direct economic consequences either\nthrough damage and quality deterioration or intangible losses associated with customer\ndissatisfaction. In the past, most insect control programs at food plants were heavily\ndependent upon insecticides, but in recent years the number of insecticidal compounds\nthat can be used to control insects inside and around food plants has been severely curtailed. New regulatory requirements for current insecticides, consumer preferences for reduced chemical use, and the high costs of developing and registering new replacement\ninsecticides have all contributed to this decline.","collection-title":"Food Plant Sanitation","container-title":"Food Plant Sanitation","edition":"1st Edition","ISBN":"978-0-429-22260-3","note":"number-of-pages: 20","page":"20 p.","publisher":"CRC Press","title":"Stored-Product Insect Pest Management and Control","author":[{"family":"Arthur","given":"Franklin"},{"family":"Phillips","given":"Thomas W."}],"issued":{"date-parts":[["2002"]]}}}],"schema":"https://github.com/citation-style-language/schema/raw/master/csl-citation.json"} </w:instrText>
      </w:r>
      <w:r w:rsidR="00A7022D" w:rsidRPr="00632779">
        <w:rPr>
          <w:rFonts w:ascii="Times New Roman" w:hAnsi="Times New Roman" w:cs="Times New Roman"/>
        </w:rPr>
        <w:fldChar w:fldCharType="separate"/>
      </w:r>
      <w:r w:rsidR="00796671" w:rsidRPr="00796671">
        <w:rPr>
          <w:rFonts w:ascii="Times New Roman" w:hAnsi="Times New Roman" w:cs="Times New Roman"/>
          <w:lang w:val="en-US"/>
        </w:rPr>
        <w:t>(Arthur et al., 2002)</w:t>
      </w:r>
      <w:r w:rsidR="00A7022D" w:rsidRPr="00632779">
        <w:rPr>
          <w:rFonts w:ascii="Times New Roman" w:hAnsi="Times New Roman" w:cs="Times New Roman"/>
        </w:rPr>
        <w:fldChar w:fldCharType="end"/>
      </w:r>
      <w:r w:rsidR="00A7022D" w:rsidRPr="00632779">
        <w:rPr>
          <w:rFonts w:ascii="Times New Roman" w:hAnsi="Times New Roman" w:cs="Times New Roman"/>
          <w:lang w:val="en-US"/>
        </w:rPr>
        <w:t xml:space="preserve">. </w:t>
      </w:r>
    </w:p>
    <w:p w14:paraId="49B8634E" w14:textId="2302F473" w:rsidR="00827E3E" w:rsidRPr="00632779" w:rsidRDefault="00827E3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results of this study show that the insects in stocks that attacked the stored maize belong to two orders, namely Coleoptera, which are the most numerous, and Lepidoptera. Although they were not found in this study, other orders such as Hymenoptera, Dictyoptera</w:t>
      </w:r>
      <w:r w:rsidR="00922F7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Protoptera can also be found in stored commodities such as maize. Some are known as primary </w:t>
      </w:r>
      <w:r w:rsidR="00597F3C" w:rsidRPr="00632779">
        <w:rPr>
          <w:rFonts w:ascii="Times New Roman" w:eastAsia="Calibri" w:hAnsi="Times New Roman" w:cs="Times New Roman"/>
          <w:kern w:val="0"/>
          <w:lang w:val="en-US"/>
          <w14:ligatures w14:val="none"/>
        </w:rPr>
        <w:t>pests because</w:t>
      </w:r>
      <w:r w:rsidRPr="00632779">
        <w:rPr>
          <w:rFonts w:ascii="Times New Roman" w:eastAsia="Calibri" w:hAnsi="Times New Roman" w:cs="Times New Roman"/>
          <w:kern w:val="0"/>
          <w:lang w:val="en-US"/>
          <w14:ligatures w14:val="none"/>
        </w:rPr>
        <w:t xml:space="preserve"> they attack whole seeds. These include </w:t>
      </w:r>
      <w:r w:rsidRPr="00632779">
        <w:rPr>
          <w:rFonts w:ascii="Times New Roman" w:eastAsia="Calibri" w:hAnsi="Times New Roman" w:cs="Times New Roman"/>
          <w:i/>
          <w:iCs/>
          <w:kern w:val="0"/>
          <w:lang w:val="en-US"/>
          <w14:ligatures w14:val="none"/>
        </w:rPr>
        <w:t>Sitophilus zeamais</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Prostephanus truncatus</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Sitotroga cereallela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Ephestia cautella</w:t>
      </w:r>
      <w:r w:rsidRPr="00632779">
        <w:rPr>
          <w:rFonts w:ascii="Times New Roman" w:eastAsia="Calibri" w:hAnsi="Times New Roman" w:cs="Times New Roman"/>
          <w:kern w:val="0"/>
          <w:lang w:val="en-US"/>
          <w14:ligatures w14:val="none"/>
        </w:rPr>
        <w:t xml:space="preserve">. Another group of pests were described as secondary pests, because they attacked seeds that were already </w:t>
      </w:r>
      <w:r w:rsidRPr="00632779">
        <w:rPr>
          <w:rFonts w:ascii="Times New Roman" w:eastAsia="Calibri" w:hAnsi="Times New Roman" w:cs="Times New Roman"/>
          <w:kern w:val="0"/>
          <w:lang w:val="en-US"/>
          <w14:ligatures w14:val="none"/>
        </w:rPr>
        <w:lastRenderedPageBreak/>
        <w:t xml:space="preserve">infested and damaged. In the course of this work, </w:t>
      </w:r>
      <w:r w:rsidRPr="00632779">
        <w:rPr>
          <w:rFonts w:ascii="Times New Roman" w:eastAsia="Calibri" w:hAnsi="Times New Roman" w:cs="Times New Roman"/>
          <w:i/>
          <w:iCs/>
          <w:kern w:val="0"/>
          <w:lang w:val="en-US"/>
          <w14:ligatures w14:val="none"/>
        </w:rPr>
        <w:t>Sitophilus zeamais</w:t>
      </w:r>
      <w:r w:rsidRPr="00632779">
        <w:rPr>
          <w:rFonts w:ascii="Times New Roman" w:eastAsia="Calibri" w:hAnsi="Times New Roman" w:cs="Times New Roman"/>
          <w:kern w:val="0"/>
          <w:lang w:val="en-US"/>
          <w14:ligatures w14:val="none"/>
        </w:rPr>
        <w:t xml:space="preserve"> had a high frequency and a large population (5,539 individuals, or 51.09%) compared with the other insect pests listed. It was followed by </w:t>
      </w:r>
      <w:r w:rsidRPr="00632779">
        <w:rPr>
          <w:rFonts w:ascii="Times New Roman" w:eastAsia="Calibri" w:hAnsi="Times New Roman" w:cs="Times New Roman"/>
          <w:i/>
          <w:iCs/>
          <w:kern w:val="0"/>
          <w:lang w:val="en-US"/>
          <w14:ligatures w14:val="none"/>
        </w:rPr>
        <w:t>Tribolium castaneum</w:t>
      </w:r>
      <w:r w:rsidRPr="00632779">
        <w:rPr>
          <w:rFonts w:ascii="Times New Roman" w:eastAsia="Calibri" w:hAnsi="Times New Roman" w:cs="Times New Roman"/>
          <w:kern w:val="0"/>
          <w:lang w:val="en-US"/>
          <w14:ligatures w14:val="none"/>
        </w:rPr>
        <w:t xml:space="preserve"> (43.61%). In addition, its relative abundance was the highest (51.06%). </w:t>
      </w:r>
    </w:p>
    <w:p w14:paraId="2ACFC1B7" w14:textId="69B306E6" w:rsidR="00A7022D" w:rsidRPr="00632779" w:rsidRDefault="00452BF2"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Previous research has reported that these insects can attack and infest crops from the planting stage. This study has also confirmed this, especially as </w:t>
      </w:r>
      <w:r w:rsidRPr="00632779">
        <w:rPr>
          <w:rFonts w:ascii="Times New Roman" w:eastAsia="Calibri" w:hAnsi="Times New Roman" w:cs="Times New Roman"/>
          <w:i/>
          <w:iCs/>
          <w:kern w:val="0"/>
          <w:lang w:val="en-US"/>
          <w14:ligatures w14:val="none"/>
        </w:rPr>
        <w:t>Sitophilus zeamais</w:t>
      </w:r>
      <w:r w:rsidRPr="00632779">
        <w:rPr>
          <w:rFonts w:ascii="Times New Roman" w:eastAsia="Calibri" w:hAnsi="Times New Roman" w:cs="Times New Roman"/>
          <w:kern w:val="0"/>
          <w:lang w:val="en-US"/>
          <w14:ligatures w14:val="none"/>
        </w:rPr>
        <w:t xml:space="preserve"> was found during the cob maturation phase of maize during an experiment carried out in a plantation in Yamoussoukro, Côte d'Ivoire, in 2020. These infestations can continue in the shop, at home or during transport. Most of these pests are cosmopolitan and know no borders. They can also be found in various stored products (seeds, beans, flour, dried fruit) and in food processing facilities </w:t>
      </w:r>
      <w:r w:rsidR="00A7022D" w:rsidRPr="00632779">
        <w:rPr>
          <w:rFonts w:ascii="Times New Roman" w:eastAsia="Calibri" w:hAnsi="Times New Roman" w:cs="Times New Roman"/>
          <w:kern w:val="0"/>
          <w14:ligatures w14:val="none"/>
        </w:rPr>
        <w:fldChar w:fldCharType="begin"/>
      </w:r>
      <w:r w:rsidR="00796671">
        <w:rPr>
          <w:rFonts w:ascii="Times New Roman" w:eastAsia="Calibri" w:hAnsi="Times New Roman" w:cs="Times New Roman"/>
          <w:kern w:val="0"/>
          <w:lang w:val="en-US"/>
          <w14:ligatures w14:val="none"/>
        </w:rPr>
        <w:instrText xml:space="preserve"> ADDIN ZOTERO_ITEM CSL_CITATION {"citationID":"H3gvnaXj","properties":{"formattedCitation":"(Ngamo et al., 2007; Stejskal et al., 2015)","plainCitation":"(Ngamo et al., 2007; Stejskal et al., 2015)","noteIndex":0},"citationItems":[{"id":4713,"uris":["http://zotero.org/users/5304766/items/4HA923EA"],"itemData":{"id":4713,"type":"article-journal","abstract":"Les insectes ravageurs des denrées, majoritairement des Coléoptères peuvent causer la perte totale d’un stock. Le moyen le plus courant pour limiter leurs activités est l’usage des pesticides dont les effets indésirables sont malheureusement très nombreux. L’intoxication humaine en est une principale. Au cours des deux dernières décennies, de nombreux travaux ont été menés dans le but de rechercher des méthodes de protection des denrées plus douces, respectueuses de la santé humaine et de l’environnement. La recherche des méthodes alternatives de protection des denrées issues du savoir-faire des anciens puis l’usage des phytopesticides, produits de la biodiversité locale se présente aujourd’hui comme une alternative prometteuse. Les phytopesticides formulés à partir des huiles essentielles des plantes aromatiques condimentaires constituent une piste sérieuse.","container-title":"Tropicultura","issue":"4","language":"fr","note":"publisher: Agri-overseas","page":"215–220","source":"Zotero","title":"Diversité des ravageurs des denrées et méthodes alternatives de lutte en milieu tropical","volume":"25","author":[{"family":"Ngamo","given":"L. S. T."},{"family":"Hance","given":"T. H."}],"issued":{"date-parts":[["2007"]]}}},{"id":16,"uris":["http://zotero.org/users/5304766/items/JGRTMEHI"],"itemData":{"id":16,"type":"article-journal","container-title":"Journal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796671" w:rsidRPr="00796671">
        <w:rPr>
          <w:rFonts w:ascii="Times New Roman" w:hAnsi="Times New Roman" w:cs="Times New Roman"/>
          <w:lang w:val="en-US"/>
        </w:rPr>
        <w:t>(Ngamo et al., 2007; Stejskal et al., 2015)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w:t>
      </w:r>
    </w:p>
    <w:p w14:paraId="203B05D2" w14:textId="652F58F2" w:rsidR="00A56C31" w:rsidRPr="00632779" w:rsidRDefault="00A56C31"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In general, the different concentrations of heartwood extracts evaluated (0.031 µL/cm²; 0.079 µL/cm; 0.157 µL/cm²</w:t>
      </w:r>
      <w:r w:rsidR="00922F7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0.314 µL/cm²) were more effective in terms of repellent activity than sapwood extracts. The Bete extract was the most active, followed by Badi and Iroko. The activity of the sapwood extracts was still significant with the Iroko and Bete extracts. Indeed, at the lowest dose (0.031 µL/cm²), they showed a good repellency rate after 1 hour and 2 hours with 70 ± 4% and 60 ± 4.58%, respectively. A significant difference was observed between Bete heartwood extracts and Badi and Iroko extracts (RR</w:t>
      </w:r>
      <w:r w:rsidRPr="00632779">
        <w:rPr>
          <w:rFonts w:ascii="Times New Roman" w:eastAsia="Calibri" w:hAnsi="Times New Roman" w:cs="Times New Roman"/>
          <w:kern w:val="0"/>
          <w:vertAlign w:val="subscript"/>
          <w:lang w:val="en-US"/>
          <w14:ligatures w14:val="none"/>
        </w:rPr>
        <w:t>1h</w:t>
      </w:r>
      <w:r w:rsidRPr="00632779">
        <w:rPr>
          <w:rFonts w:ascii="Times New Roman" w:eastAsia="Calibri" w:hAnsi="Times New Roman" w:cs="Times New Roman"/>
          <w:kern w:val="0"/>
          <w:lang w:val="en-US"/>
          <w14:ligatures w14:val="none"/>
        </w:rPr>
        <w:t>=76.67 ±2.08% and RR</w:t>
      </w:r>
      <w:r w:rsidRPr="00632779">
        <w:rPr>
          <w:rFonts w:ascii="Times New Roman" w:eastAsia="Calibri" w:hAnsi="Times New Roman" w:cs="Times New Roman"/>
          <w:kern w:val="0"/>
          <w:vertAlign w:val="subscript"/>
          <w:lang w:val="en-US"/>
          <w14:ligatures w14:val="none"/>
        </w:rPr>
        <w:t>2h</w:t>
      </w:r>
      <w:r w:rsidRPr="00632779">
        <w:rPr>
          <w:rFonts w:ascii="Times New Roman" w:eastAsia="Calibri" w:hAnsi="Times New Roman" w:cs="Times New Roman"/>
          <w:kern w:val="0"/>
          <w:lang w:val="en-US"/>
          <w14:ligatures w14:val="none"/>
        </w:rPr>
        <w:t xml:space="preserve">=98.33 ±2.31%). These results are thought to be due to the presence of repellent molecules in the extracts evaluated, particularly terpenes. The results showed that the repellent effect was dose-dependent, as the repellency rate (RR) increased with the dose of extract. These results are consistent with those of </w:t>
      </w:r>
      <w:r w:rsidR="00920D82">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u w:val="single"/>
          <w14:ligatures w14:val="none"/>
        </w:rPr>
        <w:fldChar w:fldCharType="begin"/>
      </w:r>
      <w:r w:rsidR="00144D89">
        <w:rPr>
          <w:rFonts w:ascii="Times New Roman" w:eastAsia="Calibri" w:hAnsi="Times New Roman" w:cs="Times New Roman"/>
          <w:kern w:val="0"/>
          <w:u w:val="single"/>
          <w:lang w:val="en-US"/>
          <w14:ligatures w14:val="none"/>
        </w:rPr>
        <w:instrText xml:space="preserve"> ADDIN ZOTERO_ITEM CSL_CITATION {"citationID":"usgKe0fZ","properties":{"formattedCitation":"(Tapondjou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ED6826" w:rsidRPr="00632779">
        <w:rPr>
          <w:rFonts w:ascii="Times New Roman" w:eastAsia="Calibri" w:hAnsi="Times New Roman" w:cs="Times New Roman"/>
          <w:kern w:val="0"/>
          <w:u w:val="single"/>
          <w14:ligatures w14:val="none"/>
        </w:rPr>
        <w:fldChar w:fldCharType="separate"/>
      </w:r>
      <w:r w:rsidR="00920D82" w:rsidRPr="00920D82">
        <w:rPr>
          <w:rFonts w:ascii="Times New Roman" w:hAnsi="Times New Roman" w:cs="Times New Roman"/>
          <w:lang w:val="en-US"/>
        </w:rPr>
        <w:t>Tapondjou et al.</w:t>
      </w:r>
      <w:r w:rsidR="00920D82">
        <w:rPr>
          <w:rFonts w:ascii="Times New Roman" w:hAnsi="Times New Roman" w:cs="Times New Roman"/>
          <w:lang w:val="en-US"/>
        </w:rPr>
        <w:t xml:space="preserve"> (</w:t>
      </w:r>
      <w:r w:rsidR="00920D82" w:rsidRPr="00920D82">
        <w:rPr>
          <w:rFonts w:ascii="Times New Roman" w:hAnsi="Times New Roman" w:cs="Times New Roman"/>
          <w:lang w:val="en-US"/>
        </w:rPr>
        <w:t>2005)</w:t>
      </w:r>
      <w:r w:rsidR="00ED6826" w:rsidRPr="00632779">
        <w:rPr>
          <w:rFonts w:ascii="Times New Roman" w:eastAsia="Calibri" w:hAnsi="Times New Roman" w:cs="Times New Roman"/>
          <w:kern w:val="0"/>
          <w:u w:val="single"/>
          <w14:ligatures w14:val="none"/>
        </w:rPr>
        <w:fldChar w:fldCharType="end"/>
      </w:r>
      <w:r w:rsidR="00ED6826" w:rsidRPr="00632779">
        <w:rPr>
          <w:rFonts w:ascii="Times New Roman" w:eastAsia="Calibri" w:hAnsi="Times New Roman" w:cs="Times New Roman"/>
          <w:kern w:val="0"/>
          <w:lang w:val="en-US"/>
          <w14:ligatures w14:val="none"/>
        </w:rPr>
        <w:t>.</w:t>
      </w:r>
      <w:r w:rsidR="00A7022D" w:rsidRPr="00632779">
        <w:rPr>
          <w:rFonts w:ascii="Times New Roman" w:eastAsia="Calibri" w:hAnsi="Times New Roman" w:cs="Times New Roman"/>
          <w:kern w:val="0"/>
          <w:lang w:val="en-US"/>
          <w14:ligatures w14:val="none"/>
        </w:rPr>
        <w:t xml:space="preserve"> </w:t>
      </w:r>
    </w:p>
    <w:p w14:paraId="4AE7E0AA" w14:textId="36549649" w:rsidR="00A7022D"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These authors showed significant repellent and toxic activity by contact with essential oils of </w:t>
      </w:r>
      <w:r w:rsidRPr="00632779">
        <w:rPr>
          <w:rFonts w:ascii="Times New Roman" w:eastAsia="Calibri" w:hAnsi="Times New Roman" w:cs="Times New Roman"/>
          <w:i/>
          <w:iCs/>
          <w:kern w:val="0"/>
          <w:lang w:val="en-US"/>
          <w14:ligatures w14:val="none"/>
        </w:rPr>
        <w:t>Eucalyptus saligna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Cupressus sempervirens</w:t>
      </w:r>
      <w:r w:rsidRPr="00632779">
        <w:rPr>
          <w:rFonts w:ascii="Times New Roman" w:eastAsia="Calibri" w:hAnsi="Times New Roman" w:cs="Times New Roman"/>
          <w:kern w:val="0"/>
          <w:lang w:val="en-US"/>
          <w14:ligatures w14:val="none"/>
        </w:rPr>
        <w:t xml:space="preserve"> leaves against </w:t>
      </w:r>
      <w:r w:rsidRPr="00632779">
        <w:rPr>
          <w:rFonts w:ascii="Times New Roman" w:eastAsia="Calibri" w:hAnsi="Times New Roman" w:cs="Times New Roman"/>
          <w:i/>
          <w:iCs/>
          <w:kern w:val="0"/>
          <w:lang w:val="en-US"/>
          <w14:ligatures w14:val="none"/>
        </w:rPr>
        <w:t>Sitophilus zeamais</w:t>
      </w:r>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0.36 mL/cm2;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=38.05 mL/40 g of kernels) and </w:t>
      </w:r>
      <w:r w:rsidRPr="00632779">
        <w:rPr>
          <w:rFonts w:ascii="Times New Roman" w:eastAsia="Calibri" w:hAnsi="Times New Roman" w:cs="Times New Roman"/>
          <w:i/>
          <w:iCs/>
          <w:kern w:val="0"/>
          <w:lang w:val="en-US"/>
          <w14:ligatures w14:val="none"/>
        </w:rPr>
        <w:t>Tribolium confusum</w:t>
      </w:r>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0.48 mL/cm²). Impregnation of the filter paper discs and coating of the maize kernels with these oils resulted in a considerable reduction in insect reproduction and a reduction in kernel weight loss </w:t>
      </w:r>
      <w:r w:rsidR="00A7022D"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{"citationID":"whgTnA12","properties":{"formattedCitation":"(Tapondjou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Tapondjou et al., 2005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p>
    <w:p w14:paraId="05811B90" w14:textId="3EE1D76C" w:rsidR="00B72611"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addition,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{"citationID":"lnDTnP3v","properties":{"formattedCitation":"(Wang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Wang et al., 2006</w:t>
      </w:r>
      <w:r w:rsidR="00ED6826" w:rsidRPr="00632779">
        <w:rPr>
          <w:rFonts w:ascii="Times New Roman" w:eastAsia="Calibri" w:hAnsi="Times New Roman" w:cs="Times New Roman"/>
          <w:kern w:val="0"/>
          <w14:ligatures w14:val="none"/>
        </w:rPr>
        <w:fldChar w:fldCharType="end"/>
      </w:r>
      <w:r w:rsidR="005A5F3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demonstrated significant repellent and toxic activity of </w:t>
      </w:r>
      <w:r w:rsidRPr="00632779">
        <w:rPr>
          <w:rFonts w:ascii="Times New Roman" w:eastAsia="Calibri" w:hAnsi="Times New Roman" w:cs="Times New Roman"/>
          <w:i/>
          <w:iCs/>
          <w:kern w:val="0"/>
          <w:lang w:val="en-US"/>
          <w14:ligatures w14:val="none"/>
        </w:rPr>
        <w:t>Artemisia vulgaris</w:t>
      </w:r>
      <w:r w:rsidRPr="00632779">
        <w:rPr>
          <w:rFonts w:ascii="Times New Roman" w:eastAsia="Calibri" w:hAnsi="Times New Roman" w:cs="Times New Roman"/>
          <w:kern w:val="0"/>
          <w:lang w:val="en-US"/>
          <w14:ligatures w14:val="none"/>
        </w:rPr>
        <w:t xml:space="preserve"> essential oil against </w:t>
      </w:r>
      <w:r w:rsidRPr="00632779">
        <w:rPr>
          <w:rFonts w:ascii="Times New Roman" w:eastAsia="Calibri" w:hAnsi="Times New Roman" w:cs="Times New Roman"/>
          <w:i/>
          <w:iCs/>
          <w:kern w:val="0"/>
          <w:lang w:val="en-US"/>
          <w14:ligatures w14:val="none"/>
        </w:rPr>
        <w:t>T. castaneum</w:t>
      </w:r>
      <w:r w:rsidRPr="00632779">
        <w:rPr>
          <w:rFonts w:ascii="Times New Roman" w:eastAsia="Calibri" w:hAnsi="Times New Roman" w:cs="Times New Roman"/>
          <w:kern w:val="0"/>
          <w:lang w:val="en-US"/>
          <w14:ligatures w14:val="none"/>
        </w:rPr>
        <w:t xml:space="preserve"> on filter paper at a dose of 0.6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 xml:space="preserve">L/mL (v/v). A mortality rate of 100% was observed after four days of exposure </w:t>
      </w:r>
      <w:r w:rsidR="00A7022D"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{"citationID":"OOuaM91c","properties":{"formattedCitation":"(Wang et al., 2006)","plainCitation":"(Wang et al., 2006)","noteIndex":0},"citationItems":[{"id":3547,"uris":["http://zotero.org/users/5304766/items/QGP6XAPD"],"itemData":{"id":3547,"type":"article-journal","abstract":"Repellent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144D89">
        <w:rPr>
          <w:rFonts w:ascii="Times New Roman" w:hAnsi="Times New Roman" w:cs="Times New Roman"/>
          <w:lang w:val="en-US"/>
        </w:rPr>
        <w:t>(Wang et al., 2006)</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The wood extracts in this study showed greater overall efficacy than the essential oils evaluated by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{"citationID":"QPx8rA4Y","properties":{"formattedCitation":"(Wang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 xml:space="preserve">Wang et al. </w:t>
      </w:r>
      <w:r w:rsidR="00920D82">
        <w:rPr>
          <w:rFonts w:ascii="Times New Roman" w:hAnsi="Times New Roman" w:cs="Times New Roman"/>
          <w:lang w:val="en-US"/>
        </w:rPr>
        <w:t>(</w:t>
      </w:r>
      <w:r w:rsidR="00920D82" w:rsidRPr="00920D82">
        <w:rPr>
          <w:rFonts w:ascii="Times New Roman" w:hAnsi="Times New Roman" w:cs="Times New Roman"/>
          <w:lang w:val="en-US"/>
        </w:rPr>
        <w:t>2006)</w:t>
      </w:r>
      <w:r w:rsidR="00ED6826" w:rsidRPr="00632779">
        <w:rPr>
          <w:rFonts w:ascii="Times New Roman" w:eastAsia="Calibri" w:hAnsi="Times New Roman" w:cs="Times New Roman"/>
          <w:kern w:val="0"/>
          <w14:ligatures w14:val="none"/>
        </w:rPr>
        <w:fldChar w:fldCharType="end"/>
      </w:r>
      <w:r w:rsidR="00ED6826"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as the efficacy </w:t>
      </w:r>
      <w:r w:rsidRPr="00632779">
        <w:rPr>
          <w:rFonts w:ascii="Times New Roman" w:eastAsia="Calibri" w:hAnsi="Times New Roman" w:cs="Times New Roman"/>
          <w:kern w:val="0"/>
          <w:lang w:val="en-US"/>
          <w14:ligatures w14:val="none"/>
        </w:rPr>
        <w:lastRenderedPageBreak/>
        <w:t xml:space="preserve">of these woods was observed after only 24 hours. In addition, Neiro </w:t>
      </w:r>
      <w:r w:rsidR="00F52A1E" w:rsidRPr="00632779">
        <w:rPr>
          <w:rFonts w:ascii="Times New Roman" w:eastAsia="Calibri" w:hAnsi="Times New Roman" w:cs="Times New Roman"/>
          <w:i/>
          <w:iCs/>
          <w:kern w:val="0"/>
          <w:lang w:val="en-US"/>
          <w14:ligatures w14:val="none"/>
        </w:rPr>
        <w:t>et al</w:t>
      </w:r>
      <w:r w:rsidR="00F52A1E" w:rsidRPr="0063277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revealed in 2009 the toxicity of oxygenated monoterpenes and phenolic compounds in eucalyptus oil against </w:t>
      </w:r>
      <w:r w:rsidRPr="00632779">
        <w:rPr>
          <w:rFonts w:ascii="Times New Roman" w:eastAsia="Calibri" w:hAnsi="Times New Roman" w:cs="Times New Roman"/>
          <w:i/>
          <w:iCs/>
          <w:kern w:val="0"/>
          <w:lang w:val="en-US"/>
          <w14:ligatures w14:val="none"/>
        </w:rPr>
        <w:t xml:space="preserve">Sitophilus zeamais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Tribolium confusum</w:t>
      </w:r>
      <w:r w:rsidRPr="00632779">
        <w:rPr>
          <w:rFonts w:ascii="Times New Roman" w:eastAsia="Calibri" w:hAnsi="Times New Roman" w:cs="Times New Roman"/>
          <w:kern w:val="0"/>
          <w:lang w:val="en-US"/>
          <w14:ligatures w14:val="none"/>
        </w:rPr>
        <w:t xml:space="preserve"> with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values of 0.36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and 0.48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Previous studies have shown that monoterpenoids, especially those derived from aromatic plants such as </w:t>
      </w:r>
      <w:r w:rsidRPr="00632779">
        <w:rPr>
          <w:rFonts w:ascii="Times New Roman" w:eastAsia="Calibri" w:hAnsi="Times New Roman" w:cs="Times New Roman"/>
          <w:i/>
          <w:iCs/>
          <w:kern w:val="0"/>
          <w:lang w:val="en-US"/>
          <w14:ligatures w14:val="none"/>
        </w:rPr>
        <w:t>Apium graveolens</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Juniperus oxycedrus</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Citrus sinensis</w:t>
      </w:r>
      <w:r w:rsidRPr="00632779">
        <w:rPr>
          <w:rFonts w:ascii="Times New Roman" w:eastAsia="Calibri" w:hAnsi="Times New Roman" w:cs="Times New Roman"/>
          <w:kern w:val="0"/>
          <w:lang w:val="en-US"/>
          <w14:ligatures w14:val="none"/>
        </w:rPr>
        <w:t xml:space="preserve">, possess ovicidal, repellent, fumigant, and contact toxicity properties </w:t>
      </w:r>
      <w:r w:rsidR="00A7022D" w:rsidRPr="00632779">
        <w:rPr>
          <w:rFonts w:ascii="Times New Roman" w:eastAsia="Calibri" w:hAnsi="Times New Roman" w:cs="Times New Roman"/>
          <w:kern w:val="0"/>
          <w14:ligatures w14:val="none"/>
        </w:rPr>
        <w:fldChar w:fldCharType="begin"/>
      </w:r>
      <w:r w:rsidR="006F5E3B">
        <w:rPr>
          <w:rFonts w:ascii="Times New Roman" w:eastAsia="Calibri" w:hAnsi="Times New Roman" w:cs="Times New Roman"/>
          <w:kern w:val="0"/>
          <w:lang w:val="en-US"/>
          <w14:ligatures w14:val="none"/>
        </w:rPr>
        <w:instrText xml:space="preserve"> ADDIN ZOTERO_ITEM CSL_CITATION {"citationID":"WsNrcsMX","properties":{"formattedCitation":"(Prates et al., 1998; Papachristos et al., 2002)","plainCitation":"(Prates et al., 1998; Papachristos et al., 2002)","noteIndex":0},"citationItems":[{"id":3553,"uris":["http://zotero.org/users/5304766/items/9MJYMZ44"],"itemData":{"id":3553,"type":"article-journal","abstract":"Thirteen essential oils (Apium graveolens, Citrus sinensis, Eucalyptus globulus, Juniperus oxycedrus, Laurus nobilis, Lavandula hybrida, Mentha microphylla, Mentha viridis, Ocimum basilicum, Origanum vulgare, Pistacia terebinthus, Rosmarinus officinalis, and Thuja orientalis) were tested in their vapour form against Acanthoscelides obtectus. Choice and no-choice tests revealed that most of them have a repellent action, reduce fecundity, decrease egg hatchability, increase neonate larval mortality and adversely influence offspring emergence. Furthermore, some oils were strongly toxic to A. obtectus, males appearing more susceptible than females. Among the essential oils tested, the most toxic for males were those of M. microphylla and M. viridis whereas the most toxic against females were those of L. hybrida and R. officinalis.","container-title":"Journal of Stored Products Research","DOI":"10.1016/S0022-474X(01)00007-8","ISSN":"0022-474X","issue":"2","journalAbbreviation":"Journal of Stored Products Research","page":"117-128","source":"ScienceDirect","title":"Repellent, toxic and reproduction inhibitory effects of essential oil vapours on &lt;i&gt;Acanthoscelides obtectus&lt;/i&gt; (Say) (Coleoptera: Bruchidae)","title-short":"Repellent, toxic and reproduction inhibitory effects of essential oil vapours on &lt;i&gt;Acanthoscelides obtectus&lt;/i&gt; (Say) (Coleoptera","volume":"38","author":[{"family":"Papachristos","given":"D. P."},{"family":"Stamopoulos","given":"D. C."}],"issued":{"date-parts":[["2002",1,1]]}}},{"id":3612,"uris":["http://zotero.org/users/5304766/items/YTFS3IWR"],"itemData":{"id":3612,"type":"article-journal","abstract":"Secondary metabolites play an important role in plant resistance to insects. The monocyclic monoterpenes 1,8-cineole (eucalyptol) and R-(+)-limonene have been considered economically important in this context. Cineole is a component of different species of Eucalyptus spp. and limonene is a constituent of Citrus spp. essential oils. These substances were bioassayed to determine possible fumigant, contact, and ingestion activity against Rhyzopertha dominica (F.), lesser grain borer, and Tribolium castaneum (Herbst), red flour beetle, which are important pests of stored grain. It was possible to show that both compounds are insecticidal against the two insects, mainly in the contact and/or ingestion action.","container-title":"Journal of Stored Products Research","DOI":"10.1016/S0022-474X(98)00005-8","ISSN":"0022-474X","issue":"4","journalAbbreviation":"Journal of Stored Products Research","page":"243-249","source":"ScienceDirect","title":"Activité insecticide des monoterpènes contre &lt;i&gt;Rhyzopertha dominica&lt;/i&gt; (F.) et &lt;i&gt;Tribolium castaneum&lt;/i&gt; (Herbst)","volume":"34","author":[{"family":"Prates","given":"H. T."},{"family":"Santos","given":"J. P."},{"family":"Waquil","given":"J. M."},{"family":"Fabris","given":"J. D."},{"family":"Oliveira","given":"A. B."},{"family":"Foster","given":"J. E."}],"issued":{"date-parts":[["1998",10,1]]}}}],"schema":"https://github.com/citation-style-language/schema/raw/master/csl-citation.json"}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6F5E3B" w:rsidRPr="006F5E3B">
        <w:rPr>
          <w:rFonts w:ascii="Times New Roman" w:hAnsi="Times New Roman" w:cs="Times New Roman"/>
        </w:rPr>
        <w:t>(Prates et al., 1998; Papachristos et al., 2002)</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14:ligatures w14:val="none"/>
        </w:rPr>
        <w:t>.</w:t>
      </w:r>
      <w:r w:rsidR="00A7022D" w:rsidRPr="00632779">
        <w:rPr>
          <w:rFonts w:ascii="Times New Roman" w:eastAsia="Calibri" w:hAnsi="Times New Roman" w:cs="Times New Roman"/>
          <w:b/>
          <w:bCs/>
          <w:kern w:val="0"/>
          <w14:ligatures w14:val="none"/>
        </w:rPr>
        <w:t xml:space="preserve">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14:ligatures w14:val="none"/>
        </w:rPr>
        <w:instrText xml:space="preserve"> ADDIN ZOTERO_ITEM CSL_CITATION {"citationID":"VV1YfXnl","properties":{"formattedCitation":"(Nerio et al., 2009)","plainCitation":"(Nerio et al., 2009)","dontUpdate":true,"noteIndex":0},"citationItems":[{"id":3551,"uris":["http://zotero.org/users/5304766/items/G47IFQGA"],"itemData":{"id":3551,"type":"article-journal","abstract":"Essential oils isolated from seven aromatic plants grown in Colombia were analyzed by gas chromatography–mass spectrometry (GC–MS) and evaluated for repellent activity against Sitophilus zeamais (Coleoptera: Curculionidae) using the area preference method. Most oil components were oxygenated monoterpenoids or phenolic compounds. Six oils were repellent, with Lippia origanoides the most active. Eucalyptus citriodora and Tagetes lucida were also repellant at doses between 0.063 and 0.503μL/cm2.","container-title":"Journal of Stored Products Research","DOI":"10.1016/j.jspr.2009.01.002","ISSN":"0022-474X","issue":"3","journalAbbreviation":"Journal of Stored Products Research","page":"212-214","source":"ScienceDirect","title":"Repellent activity of essential oils from seven aromatic plants grown in Colombia against &lt;i&gt;Sitophilus zeamais&lt;/i&gt; Motschulsky (Coleoptera)","volume":"45","author":[{"family":"Nerio","given":"Luz S."},{"family":"Olivero-Verbel","given":"Jesus"},{"family":"Stashenko","given":"Elena E."}],"issued":{"date-parts":[["2009",7,1]]}}}],"schema":"https://github.com/citation-style-language/schema/raw/master/csl-citation.json"}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Nerio et al.</w:t>
      </w:r>
      <w:r w:rsidR="00A96138">
        <w:rPr>
          <w:rFonts w:ascii="Times New Roman" w:hAnsi="Times New Roman" w:cs="Times New Roman"/>
          <w:lang w:val="en-US"/>
        </w:rPr>
        <w:t xml:space="preserve"> (</w:t>
      </w:r>
      <w:r w:rsidR="00920D82" w:rsidRPr="00920D82">
        <w:rPr>
          <w:rFonts w:ascii="Times New Roman" w:hAnsi="Times New Roman" w:cs="Times New Roman"/>
          <w:lang w:val="en-US"/>
        </w:rPr>
        <w:t>2009</w:t>
      </w:r>
      <w:r w:rsidR="00ED6826"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also demonstrated the repellent activity of oil extracted from </w:t>
      </w:r>
      <w:r w:rsidRPr="00632779">
        <w:rPr>
          <w:rFonts w:ascii="Times New Roman" w:eastAsia="Calibri" w:hAnsi="Times New Roman" w:cs="Times New Roman"/>
          <w:i/>
          <w:iCs/>
          <w:kern w:val="0"/>
          <w:lang w:val="en-US"/>
          <w14:ligatures w14:val="none"/>
        </w:rPr>
        <w:t>Eucalyptus citriodora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Tagetes lucida</w:t>
      </w:r>
      <w:r w:rsidRPr="00632779">
        <w:rPr>
          <w:rFonts w:ascii="Times New Roman" w:eastAsia="Calibri" w:hAnsi="Times New Roman" w:cs="Times New Roman"/>
          <w:kern w:val="0"/>
          <w:lang w:val="en-US"/>
          <w14:ligatures w14:val="none"/>
        </w:rPr>
        <w:t xml:space="preserve"> at doses ranging from 0.063 to 0.503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Admittedly, these researchers tested essential oils, but their active doses are much higher than the highest dose of wood extract evaluated in this study (0.314 µL/cm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kern w:val="0"/>
          <w:lang w:val="en-US"/>
          <w14:ligatures w14:val="none"/>
        </w:rPr>
        <w:t>In the case of the 70° alcohol fraction, the low insect mortality throughout the experiment also suggested that the 70° fraction was probably not toxic to insects. The low mortality caused by the 70° fraction justifies its choice as the solvent for assessing the toxicity of the extracts in this study.</w:t>
      </w:r>
    </w:p>
    <w:p w14:paraId="450B1045" w14:textId="68B98C91"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mortality rate was zero in the untreated control due to the absence of treatment. In contrast, the insecticide reference control (Protect DP) caused the death of all insects on day 2 (100%). This mortality was due to two molecules, pyrimiphos-methyl 1.5% and deltamethrin 0.1%. Pyrimiphos-methyl, a member of the organophosphate family, acts by inhibiting </w:t>
      </w:r>
      <w:commentRangeStart w:id="41"/>
      <w:r w:rsidRPr="00632779">
        <w:rPr>
          <w:rFonts w:ascii="Times New Roman" w:eastAsia="Calibri" w:hAnsi="Times New Roman" w:cs="Times New Roman"/>
          <w:kern w:val="0"/>
          <w:lang w:val="en-US"/>
          <w14:ligatures w14:val="none"/>
        </w:rPr>
        <w:t>acetylcholin esterase</w:t>
      </w:r>
      <w:commentRangeEnd w:id="41"/>
      <w:r w:rsidR="00C925F9" w:rsidRPr="00632779">
        <w:rPr>
          <w:rStyle w:val="CommentReference"/>
          <w:rFonts w:ascii="Times New Roman" w:eastAsia="Calibri" w:hAnsi="Times New Roman" w:cs="Times New Roman"/>
          <w:kern w:val="0"/>
          <w:sz w:val="22"/>
          <w:szCs w:val="22"/>
          <w:lang w:val="en-US"/>
          <w14:ligatures w14:val="none"/>
        </w:rPr>
        <w:commentReference w:id="41"/>
      </w:r>
      <w:r w:rsidRPr="00632779">
        <w:rPr>
          <w:rFonts w:ascii="Times New Roman" w:eastAsia="Calibri" w:hAnsi="Times New Roman" w:cs="Times New Roman"/>
          <w:kern w:val="0"/>
          <w:lang w:val="en-US"/>
          <w14:ligatures w14:val="none"/>
        </w:rPr>
        <w:t>. This substance is the essential enzyme that regulates nerve impulses at junctions in the insect nervous system. It acts by contact, ingestion and inhalation. Deltamethrin is a chemical compound in the pyrethroid family. It is used as an insecticide and insect repellent because of its neurotoxic properties. However, even though these products eliminate insects, we have to recognise that they are harmful to human health and the environment</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{"citationID":"DhXE3a3X","properties":{"formattedCitation":"(Gandaho et al., 2020; Sikirou et al., 2020)","plainCitation":"(Gandaho et al., 2020; Sikirou et al., 2020)","noteIndex":0},"citationItems":[{"id":3539,"uris":["http://zotero.org/users/5304766/items/YV95AKL5"],"itemData":{"id":3539,"type":"article-journal","abstract":"Le sorgho et le maïs sont des céréales alimentaires dont la conservation et la valorisation sont d’une grande importance pour la sécurité alimentaire des populations productrices. L’objectif de l’étude était d’inventorier dans cinq communes du Nord-Est du Bénin, les pratiques actuelles de stockage et de conservation du sorgho et du maïs. Une enquête a été effectuée auprès de 382 ménages représentant un taux d’échantillonnage de 30,10%. Les résultats ont montré l’existence de cinq modes de stockage du maïs et du sorgho. Le stockage en chambre était le mode de stockage le plus répandu et pratiqué par 80,70% des producteurs de Ségbana. L’utilisation des greniers en paille tressée venait en seconde position avec 38,24% des ménages à Kandi, suivi de ceux en tiges de sorgho en troisième position avec 27,27% des ménages à Gogounou. Les greniers en banco et le stockage sur toits et sur étagères étaient les moins répandus dans la zone d’étude. Les pratiques de conservation sont adoptées selon la disponibilité des matières premières locales, les quantités de céréales produites, les types d’attaques aux champs et les circuits d’écoulement des céréales. Des chambres sont dimensionnées à la taille de grands magasins pour gérer les stocks destinés aux circuits de commercialisation vers le Nigeria.\nMots clés : conservation, pratiques, sorgho, maïs, stockage.","page":"43-52","source":"ResearchGate","title":"Pratiques de stockage et de conservation de maïs et de sorgho adoptées au nord-est du Bénin","volume":"Numéro 79","author":[{"family":"Gandaho","given":"P."},{"family":"Tchobo","given":"Fidèle Paul"},{"family":"Bello","given":"Saliou"},{"family":"Soumanou","given":"M."}],"issued":{"date-parts":[["2020",6,16]]}}},{"id":3531,"uris":["http://zotero.org/users/5304766/items/Q85QM5G5"],"itemData":{"id":3531,"type":"article-journal","abstract":"Le maïs est l’une des principales cultures vivrières produit au Bénin et constitue l’aliment de base de la plupart des populations rurales et urbaines. Pour éviter les pertes post récolte liées aux déprédateurs, le maïs était traité lors de son stockage avec des produits chimiques. L’objectif de cette étude était d’évaluer l’efficacité de l’insecticide PROTECT DP à base de pyrimiphos–méthyle 1,5 % et de deltamethrine 0,1 % sur Sitophilus zeamais lors du stockage de la variété de maïs hybride DMR à grains jaunes. Un bloc aléatoire complet à quatre répétitions et cinq traitements était utilisé. Le témoin absolu (sans insecticide), le témoin de référence (Sofagrain à base de pyrimiphos–méthyl 1,6 % et permethrine 0,3 %) et trois doses de PROTECT DP ; 37,5 g/100 kg, 50 g/100 kg et 75 g/100 kg ont été les traitements testés. La mortalité et l’émergence de S. zeamais, les pertes en poids et le nombre de grains perforés étaient évalués. Les résultats ont montré que l’insecticide PROTECT DP appliqué aux doses de 50 g/100 kg et 75 g/100 kg permettait une conservation efficace du maïs en stock pendant au moins six mois. Sa persistance est limitée à trois mois avec la dose de 37,5 g/100 kg. Il n’y a pas de différence significatif entre les doses 50 g/100 kg et 75 g/100 kg de PROTECT DP et celle de 50 g/100 kg de Sofagrain (P &gt; 0,05). Une perte de poids de 27,69 % était enregistrée après trois mois de conservation du maïs non traité. La dose de 50 g/100 kg de PROTECT DP est recommandée pour la conservation du maïs contre S. zeamais.\nMots clés : denrée, insecticide, charançon, Sitophilus zeamais, conservation.","page":"187-200","source":"ResearchGate","title":"8 Bello ASA Protect DP","volume":"Volume spécial, 2015","author":[{"family":"Sikirou","given":"Rachidatou"},{"family":"Arodokou","given":"David"},{"family":"Bello","given":"Saliou"},{"family":"Hounsou","given":"C.M."},{"family":"Zannou","given":"Elisabeth"},{"family":"Afoha","given":"S.P."},{"family":"Aboe","given":"M.M."},{"family":"Zocli","given":"B."},{"family":"Bokonon-Ganta","given":"Aimé"}],"issued":{"date-parts":[["2020",6,16]]}}}],"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(Gandaho et al., 2020; Sikirou et al., 2020)</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547C004E" w14:textId="42D27731"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sapwood from Badi, Bete</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Iroko were 0.0289, 0.0093</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0.0283 µL/cm²</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for heartwood from Badi, Bete</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Iroko were 0.0706, 0.0550</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0.1435 µL/cm²</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 The heartwood extracts from Bete, Badi</w:t>
      </w:r>
      <w:r w:rsidR="00D129DE">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Iroko at the different concentrations evaluated (0.08 µL/cm²; 0.16 µL/cm²; 0.24 µL/cm²; 0.31 µL/cm²) caused a higher mortality rate and a shorter lethal time 50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than those from sapwood. These results are probably due to the dose (dose-dependent effect) and the high content of secondary metabolites in heartwood compared with sapwood. These secondary metabolites would have acted either by contact or inhalation. The most plausible action </w:t>
      </w:r>
      <w:r w:rsidRPr="00632779">
        <w:rPr>
          <w:rFonts w:ascii="Times New Roman" w:eastAsia="Calibri" w:hAnsi="Times New Roman" w:cs="Times New Roman"/>
          <w:kern w:val="0"/>
          <w:lang w:val="en-US"/>
          <w14:ligatures w14:val="none"/>
        </w:rPr>
        <w:lastRenderedPageBreak/>
        <w:t>is the neurotoxicity of the extracts. Alkaloids, polyphenols, flavonoids, tannins and terpenes have already demonstrated their insecticidal potential in scientific studies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{"citationID":"3Ixc0Ote","properties":{"formattedCitation":"(Ileke, 2014; Loko et al., 2017; Saha et al., 2024)","plainCitation":"(Ileke, 2014; Loko et al., 2017; Saha et al., 2024)","noteIndex":0},"citationItems":[{"id":3595,"uris":["http://zotero.org/users/5304766/items/S5Z9GAIT"],"itemData":{"id":3595,"type":"article-journal","abstract":"La méthode d'extraction par malaxage a été utilisée pour extraire la feuille, l'écorce de la tige et la racine d'Alstonia boonei. Les extraits ont été évalués sur\nSitophilus zeamais (Motschulsky) pour la mortalité, l'oviposition, l'émergence des adultes et la réduction du développement de la progéniture.\nLes résultats ont montré que l'extrait d'écorce de tige était le plus toxique pour S. zeamais. L'extrait le moins puissant sur S. zeamais était l'extrait de racine.\nLes extraits ont réduit de manière significative la ponte chez S. zeamais. Il n'y a pas eu de différence significative dans la capacité d'absorption d'eau des grains de maïs traités avec A. boa.\ndes grains de maïs traités avec les extraits d'A. boonei. L'extrait d'écorce de tige d'A. boonei a complètement empêché l'infestation et les dommages subséquents des grains de maïs traités.\ndes grains de maïs traités. Dans les grains traités avec les extraits de feuilles et de racines, des dommages de 4,65% et 11,11%,\nrespectivement. Les résultats obtenus révèlent que l'extrait d'écorce de tige d'A. boonei est efficace pour lutter contre S. zeamais et pourrait servir d'alternative aux insecticides synthétiques.\net pourrait servir d'alternative aux insecticides synthétiques.","container-title":"Octa Journal of Biosciences","ISSN":"2321 – 3663","issue":"2","journalAbbreviation":"Octa. J. Biosci.","note":"publisher: Scientific Planet Society","page":"64-68","source":"Google Scholar","title":"Cheese wood, Alstonia boonei De Wild a botanical entomocides for the management of maize weevil, Sitophilus zeamais (Motschulsky)[Coleoptera: Curculionidae]","title-short":"Cheese wood, Alstonia boonei De Wild a botanical entomocides for the management of maize weevil, Sitophilus zeamais (Motschulsky)[Coleoptera","volume":"2","author":[{"family":"Ileke","given":"K. D."}],"issued":{"date-parts":[["2014"]]}}},{"id":4098,"uris":["http://zotero.org/users/5304766/items/CZCNUCMU"],"itemData":{"id":4098,"type":"article-journal","abstract":"Dinoderus porcellus\n              is considered as the most important pest of stored yam chips and compounds extracted from plants can be used for its control. The present study aimed to test the insecticidal and repellent activities of powders and extracts of leaves of\n              Bridelia ferruginea\n              ,\n              Blighia sapida\n              , and\n              Khaya senegalensis\n              against\n              D. porcellus\n              . The efficacy of plant powders was compared with the synthetic pesticide Antouka (Permethrin 3 g/kg + pirimiphos 16 g/kg). The results of the experiment revealed that all plant powders were effective as repellents. Antouka was more effective as insecticidal than the plant powders and minimal weight loss was observed with\n              B. sapida\n              at 2%. Among treatments, propanol extract of\n              K. senegalensis\n              at 5% was found to elicit the highest repellent effect on\n              D. porcellus\n              . The LC\n              50\n              results revealed that the acetone extract of\n              K. senegalensis\n              is the most toxic (0.29 \n              μ\n              L/insect) to the pest, while the propanol extract of\n              B. ferruginea\n              at 5% exhibited strong fumigant toxicity against\n              D. porcellus\n              , with 88.89% of pest mortality at 160 \n              μ\n              L/L air. The findings from the current work proved that plant powders and extracts of the three plants are sources of botanical insecticides which may be used in the integrated management of\n              D. porcellus\n              .","container-title":"Psyche: A Journal of Entomology","DOI":"10.1155/2017/5468202","ISSN":"0033-2615, 1687-7438","journalAbbreviation":"Psyche: A Journal of Entomology","language":"en","license":"http://creativecommons.org/licenses/by/4.0/","page":"1-18","source":"DOI.org (Crossref)","title":"Repellent Effect and Insecticidal Activities of Bridelia ferruginea Blighia sapida , and Khaya senegalensis Leaves Powders and Extracts against Dinoderus porcellus in Infested Dried Yam Chips","volume":"2017","author":[{"family":"Loko","given":"Laura Yêyinou"},{"family":"Alagbe","given":"Obédatou"},{"family":"Dannon","given":"Elie A."},{"family":"Datinon","given":"Benjamin"},{"family":"Orobiyi","given":"Azize"},{"family":"Thomas-Odjo","given":"Agnés"},{"family":"Dansi","given":"Alexandre"},{"family":"Tamò","given":"Manuele"}],"issued":{"date-parts":[["2017"]]}}},{"id":3714,"uris":["http://zotero.org/users/5304766/items/GWANAHXE"],"itemData":{"id":3714,"type":"article-journal","abstract":"Les céréales stockées font partie intégrante de l'alimentation humaine. Cependant, toutes ces céréales stockées sont affectées par une variété d'insectes. Dans plusieurs pays du monde, les insectes nuisibles causent des dommages importants aux cultures céréalières stockées, ce qui entraîne des pertes importantes après la récolte, des détériorations et une baisse de la demande sur le marché, avec pour conséquence une catastrophe financière massive. La prévention des pertes alimentaires lors de la constitution des stocks après la récolte revêt une importance économique considérable. Bien qu'efficaces et fiables, les divers inconvénients des produits chimiques synthétiques, tels que leur impact négatif sur les êtres humains et l'environnement, ont incité les agriculteurs à explorer une stratégie alternative qui soit à la fois efficace, écologique et abordable. Par conséquent, une gestion adéquate des infestations des produits stockés est nécessaire pour protéger les céréales stockées contre les espèces nuisibles. Les capacités insecticides sont présentes dans une variété de composants phytochimiques bioactifs. Ils pourraient être utilisés comme alternative aux pesticides chimiques. D'après les études actuelles, les substances phytochimiques bioactives pourraient constituer une source potentielle de nouveaux insecticides. Par conséquent, les substances phytochimiques insecticides dérivées des plantes ont un potentiel important. Cette étude se concentre sur la phytochimie et le mode d'action des constituants phytochimiques bioactifs pour la lutte contre les insectes ravageurs des céréales stockées.","container-title":"ResearchGate","DOI":"10.55779/nsb16311939","issue":"3","journalAbbreviation":"Notulae Scientia Biologicae","language":"en","page":"1-36","source":"www.researchgate.net","title":"A review on insecticidal efficacy of phytochemicals on stored grain insect pests","volume":"16","author":[{"family":"Saha","given":"Aloke"},{"family":"Choudhuri","given":"Roy Sreya"},{"family":"Kakali","given":"Bhadra"}],"issued":{"date-parts":[["2024",10,22]]}}}],"schema":"https://github.com/citation-style-language/schema/raw/master/csl-citation.json"}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(Ileke, 2014; Loko et al., 2017; Saha et al., 2024)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37AEE7CC" w14:textId="3D04E825" w:rsidR="00CC16FD" w:rsidRPr="00632779" w:rsidRDefault="00CC16FD"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chemical analyses in the study by </w:t>
      </w:r>
      <w:r w:rsidR="00B72611"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{"citationID":"FYQIyEpp","properties":{"formattedCitation":"(Ribeiro et al., 2014)","plainCitation":"(Ribeiro et al., 2014)","dontUpdate":true,"noteIndex":0},"citationItems":[{"id":1422,"uris":["http://zotero.org/users/5304766/items/6LVG83UW"],"itemData":{"id":1422,"type":"article-journal","container-title":"Neotropical entomology","note":"publisher: Springer","page":"470–482","source":"Google Scholar","title":"Tropical plant extracts as sources of grain-protectant compounds against Sitophilus zeamais Motschulsky (Coleoptera: Curculionidae)","title-short":"Tropical plant extracts as sources of grain-protectant compounds against Sitophilus zeamais Motschulsky (Coleoptera","volume":"43","author":[{"family":"Ribeiro","given":"L. P."},{"family":"Vendramim","given":"José Djair"},{"family":"Andrade","given":"M. S."},{"family":"Bicalho","given":"K. U."},{"family":"Silva","given":"MFGF"},{"family":"Vieira","given":"P. C."},{"family":"Fernandes","given":"J. B."}],"issued":{"date-parts":[["2014"]]}}}],"schema":"https://github.com/citation-style-language/schema/raw/master/csl-citation.json"}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Ribeiro et al., 2014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showed that the alkaloids and acetogenins contained in extracts from the branches, leaves, and seeds of </w:t>
      </w:r>
      <w:r w:rsidRPr="00632779">
        <w:rPr>
          <w:rFonts w:ascii="Times New Roman" w:eastAsia="Calibri" w:hAnsi="Times New Roman" w:cs="Times New Roman"/>
          <w:i/>
          <w:iCs/>
          <w:kern w:val="0"/>
          <w:lang w:val="en-US"/>
          <w14:ligatures w14:val="none"/>
        </w:rPr>
        <w:t>Annona montana</w:t>
      </w:r>
      <w:r w:rsidRPr="00632779">
        <w:rPr>
          <w:rFonts w:ascii="Times New Roman" w:eastAsia="Calibri" w:hAnsi="Times New Roman" w:cs="Times New Roman"/>
          <w:kern w:val="0"/>
          <w:lang w:val="en-US"/>
          <w14:ligatures w14:val="none"/>
        </w:rPr>
        <w:t xml:space="preserve"> (Annonaceae), </w:t>
      </w:r>
      <w:r w:rsidRPr="00632779">
        <w:rPr>
          <w:rFonts w:ascii="Times New Roman" w:eastAsia="Calibri" w:hAnsi="Times New Roman" w:cs="Times New Roman"/>
          <w:i/>
          <w:iCs/>
          <w:kern w:val="0"/>
          <w:lang w:val="en-US"/>
          <w14:ligatures w14:val="none"/>
        </w:rPr>
        <w:t>Aristolochia paulistana</w:t>
      </w:r>
      <w:r w:rsidRPr="00632779">
        <w:rPr>
          <w:rFonts w:ascii="Times New Roman" w:eastAsia="Calibri" w:hAnsi="Times New Roman" w:cs="Times New Roman"/>
          <w:kern w:val="0"/>
          <w:lang w:val="en-US"/>
          <w14:ligatures w14:val="none"/>
        </w:rPr>
        <w:t xml:space="preserve"> (Aristolochiaceae), and </w:t>
      </w:r>
      <w:r w:rsidRPr="00632779">
        <w:rPr>
          <w:rFonts w:ascii="Times New Roman" w:eastAsia="Calibri" w:hAnsi="Times New Roman" w:cs="Times New Roman"/>
          <w:i/>
          <w:iCs/>
          <w:kern w:val="0"/>
          <w:lang w:val="en-US"/>
          <w14:ligatures w14:val="none"/>
        </w:rPr>
        <w:t>Casearia sylvestris</w:t>
      </w:r>
      <w:r w:rsidRPr="00632779">
        <w:rPr>
          <w:rFonts w:ascii="Times New Roman" w:eastAsia="Calibri" w:hAnsi="Times New Roman" w:cs="Times New Roman"/>
          <w:kern w:val="0"/>
          <w:lang w:val="en-US"/>
          <w14:ligatures w14:val="none"/>
        </w:rPr>
        <w:t xml:space="preserve"> (Salicaceae) have bioactivity against </w:t>
      </w:r>
      <w:r w:rsidRPr="00632779">
        <w:rPr>
          <w:rFonts w:ascii="Times New Roman" w:eastAsia="Calibri" w:hAnsi="Times New Roman" w:cs="Times New Roman"/>
          <w:i/>
          <w:iCs/>
          <w:kern w:val="0"/>
          <w:lang w:val="en-US"/>
          <w14:ligatures w14:val="none"/>
        </w:rPr>
        <w:t>S. zeamais</w:t>
      </w:r>
      <w:r w:rsidRPr="00632779">
        <w:rPr>
          <w:rFonts w:ascii="Times New Roman" w:eastAsia="Calibri" w:hAnsi="Times New Roman" w:cs="Times New Roman"/>
          <w:kern w:val="0"/>
          <w:lang w:val="en-US"/>
          <w14:ligatures w14:val="none"/>
        </w:rPr>
        <w:t>. In fact, extracts from these three plants caused significant mortality ranging from 37% to 41.5%. The insect mortality observed in this study could be explained by the fact that the extracts evaluated contain secondary metabolites, including alkaloids, polyphenols, flavonoids, catechin tannins, anthocyanins, polyterpenes, sterols, and anthocyanins. These compounds are likely to have biological activities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{"citationID":"g0qCEgiX","properties":{"formattedCitation":"(Bley-Atse et al., 2025)","plainCitation":"(Bley-Atse et al., 2025)","noteIndex":0},"citationItems":[{"id":4439,"uris":["http://zotero.org/users/5304766/items/K936GEDP"],"itemData":{"id":4439,"type":"article-journal","abstract":"In Africa, the forestry industry generates significant waste that remains underexploited. Studies have highlighted the presence of active biomolecules in durable wood species. This study characterised the extracts of three durable tropical woods: Nauclea diderrichii , Mansonia altissima , and Milicia excelsa . Moreover, we estimated their insecticidal potential. Once the wood powders samples were prepared, the extractions were carried out by cold maceration for 2 h in a hydroethanolic solvent in a 50/50 (v/v) ratio of ethanol and water. The yields for aqueous extractions (0.9 ± 1.2 % to 1.3 ± 0.1 %) were lower than those for hydroethanolic extractions (4.3 ± 0.7 % to 5.2 ± 0.8 %). Aqueous extracts contained alkaloids, tannins, quinones, polyterpenes, sterols, polyphenols, flavonoids, anthocyanins, and saponins, while hydroethanolic extracts contained the same compounds but in higher proportions. Total polyphenol and flavonoid contents of the aqueous extracts were 2.2 mg GA Eq/g and 0.6 mg QEq/g, respectively, compared to the hydroethanolic extracts with contents of 93.4 ± 0.1 a mg GA Eq/g and 97.0 ± 1.1 a mg QEq/g ( p  =  0.005 ). The antioxidant activity of the aqueous extracts was 8.2 ± 0 c  µmol Trolox Eq/L, while that of the hydroethanolic extracts was 60.6 ± 0.3 a  µmol Trolox Eq/L ( p  =  0.005 ). These results suggest that the wood extracts studied contain bioactive molecules with potential applications in sustainable control of crop pests.","container-title":"Holzforschung","DOI":"10.1515/hf-2024-0078","ISSN":"1437-434X","language":"en","license":"De Gruyter expressly reserves the right to use all content for commercial text and data mining within the meaning of Section 44b of the German Copyright Act.","note":"publisher: De Gruyter\nsection: Holzforschung","source":"www.degruyterbrill.com","title":"Variability in the chemical composition and antioxidant properties of sapwood and heartwood extracts of some tropical woods from Côte d’Ivoire","URL":"https://www.degruyterbrill.com/document/doi/10.1515/hf-2024-0078/html","author":[{"family":"Bley-Atse","given":"Appolinaire B."},{"family":"Niamké","given":"Florence B."},{"family":"Adja","given":"Armand N."},{"family":"Ramananantoandro","given":"Tahiana"},{"family":"Digbe","given":"Thomas"},{"family":"Yao","given":"Jean-Claude N."},{"family":"Adima","given":"Augustin A."}],"accessed":{"date-parts":[["2025",5,3]]},"issued":{"date-parts":[["2025",4,29]]}}}],"schema":"https://github.com/citation-style-language/schema/raw/master/csl-citation.json"}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(Bley-Atse et al., 2025)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The mortality elucidated by 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the extracts in the study was very significant.</w:t>
      </w:r>
    </w:p>
    <w:p w14:paraId="539D62A6" w14:textId="26A253DC" w:rsidR="00387D39" w:rsidRPr="00920D82" w:rsidRDefault="0081443C"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By comparison, extracts from Badi, Bete, and Iroko caused high mortality rates ranging from 50 to 100%.  The results of this study are consistent with those of certain authors. Indeed, a variety of chemical molecules derived from plants are toxic, repellent, or have anti-nutritional activities for pests. Examples include molecules such as cyanogenic glycosides, glucosinolates, alkaloids, and terpenoids. Others are macromolecules and include latex or proteinase inhibitors. Their modes of action include membrane disruption, inhibition of nutrient and ion transport, inhibition of signal transduction processes, inhibition of metabolism, or disruption of hormonal control of physiological processes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{"citationID":"khyk2veJ","properties":{"formattedCitation":"(Mith\\uc0\\u246{}fer et al., 2012)","plainCitation":"(Mithöfer et al., 2012)","noteIndex":0},"citationItems":[{"id":3514,"uris":["http://zotero.org/users/5304766/items/HJSIPHXK"],"itemData":{"id":3514,"type":"article-journal","abstract":"Plants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plants&amp;apos; metabolism is important so that metabolites and energy may be efficiently allocated to defensive activities.","container-title":"Annual Review of Plant Biology","DOI":"10.1146/annurev-arplant-042110-103854","ISSN":"1543-5008, 1545-2123","issue":"Volume 63, 2012","language":"fr","note":"publisher: Annual Reviews","page":"431-450","source":"www.annualreviews.org","title":"Plant Defense Against Herbivores: Chemical Aspects","title-short":"Plant Defense Against Herbivores","volume":"63","author":[{"family":"Mithöfer","given":"Axel"},{"family":"Boland","given":"Wilhelm"}],"issued":{"date-parts":[["2012",6,2]]}}}],"schema":"https://github.com/citation-style-language/schema/raw/master/csl-citation.json"}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kern w:val="0"/>
          <w:lang w:val="en-US"/>
        </w:rPr>
        <w:t>(Mithöfer et al., 2012)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920D82" w:rsidRPr="00920D82">
        <w:rPr>
          <w:rFonts w:ascii="Times New Roman" w:eastAsia="Calibri" w:hAnsi="Times New Roman" w:cs="Times New Roman"/>
          <w:kern w:val="0"/>
          <w:lang w:val="en-US"/>
          <w14:ligatures w14:val="none"/>
        </w:rPr>
        <w:t xml:space="preserve">The results of this study corroborate those of </w:t>
      </w:r>
      <w:r w:rsidR="00ED6826" w:rsidRPr="00632779">
        <w:rPr>
          <w:rFonts w:ascii="Times New Roman" w:eastAsia="Calibri" w:hAnsi="Times New Roman" w:cs="Times New Roman"/>
          <w:kern w:val="0"/>
          <w14:ligatures w14:val="none"/>
        </w:rPr>
        <w:fldChar w:fldCharType="begin"/>
      </w:r>
      <w:r w:rsidR="00920D82" w:rsidRPr="00920D82">
        <w:rPr>
          <w:rFonts w:ascii="Times New Roman" w:eastAsia="Calibri" w:hAnsi="Times New Roman" w:cs="Times New Roman"/>
          <w:kern w:val="0"/>
          <w:lang w:val="en-US"/>
          <w14:ligatures w14:val="none"/>
        </w:rPr>
        <w:instrText xml:space="preserve"> ADDIN ZOTERO_ITEM CSL_CITATION {"citationID":"0fyy2A9x","properties":{"formattedCitation":"(Gariba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(Gariba et al., 2021)</w:t>
      </w:r>
      <w:r w:rsidR="00ED6826" w:rsidRPr="00632779">
        <w:rPr>
          <w:rFonts w:ascii="Times New Roman" w:eastAsia="Calibri" w:hAnsi="Times New Roman" w:cs="Times New Roman"/>
          <w:kern w:val="0"/>
          <w14:ligatures w14:val="none"/>
        </w:rPr>
        <w:fldChar w:fldCharType="end"/>
      </w:r>
      <w:r w:rsidR="00B72611" w:rsidRPr="00920D82">
        <w:rPr>
          <w:rFonts w:ascii="Times New Roman" w:eastAsia="Calibri" w:hAnsi="Times New Roman" w:cs="Times New Roman"/>
          <w:kern w:val="0"/>
          <w:lang w:val="en-US"/>
          <w14:ligatures w14:val="none"/>
        </w:rPr>
        <w:t xml:space="preserve">. </w:t>
      </w:r>
    </w:p>
    <w:p w14:paraId="7AC13BE7" w14:textId="7B52974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These authors showed that chemical molecules such as alkaloids, saponins, tannins and phenolic compounds, steroids, flavonoids, anthraquinones, and terpenoids, etc.</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contained in aqueous extracts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0.05 and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0.1 g/mL) of </w:t>
      </w:r>
      <w:r w:rsidRPr="00632779">
        <w:rPr>
          <w:rFonts w:ascii="Times New Roman" w:eastAsia="Calibri" w:hAnsi="Times New Roman" w:cs="Times New Roman"/>
          <w:i/>
          <w:iCs/>
          <w:kern w:val="0"/>
          <w:lang w:val="en-US"/>
          <w14:ligatures w14:val="none"/>
        </w:rPr>
        <w:t>Lantana camara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Moringa oleifera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Citrus sinensis</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Hyptis suaveolens</w:t>
      </w:r>
      <w:r w:rsidRPr="00632779">
        <w:rPr>
          <w:rFonts w:ascii="Times New Roman" w:eastAsia="Calibri" w:hAnsi="Times New Roman" w:cs="Times New Roman"/>
          <w:kern w:val="0"/>
          <w:lang w:val="en-US"/>
          <w14:ligatures w14:val="none"/>
        </w:rPr>
        <w:t xml:space="preserve"> are toxic to </w:t>
      </w:r>
      <w:r w:rsidRPr="00632779">
        <w:rPr>
          <w:rFonts w:ascii="Times New Roman" w:eastAsia="Calibri" w:hAnsi="Times New Roman" w:cs="Times New Roman"/>
          <w:i/>
          <w:iCs/>
          <w:kern w:val="0"/>
          <w:lang w:val="en-US"/>
          <w14:ligatures w14:val="none"/>
        </w:rPr>
        <w:t xml:space="preserve">S. zeamais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P. truncatus</w:t>
      </w:r>
      <w:r w:rsidRPr="00632779">
        <w:rPr>
          <w:rFonts w:ascii="Times New Roman" w:eastAsia="Calibri" w:hAnsi="Times New Roman" w:cs="Times New Roman"/>
          <w:kern w:val="0"/>
          <w:lang w:val="en-US"/>
          <w14:ligatures w14:val="none"/>
        </w:rPr>
        <w:t xml:space="preserve">. These compounds caused a decrease in egg laying and insect population, low emergence of future generations, an inhibitory effect, repellent action and an anti-feeding effect against both insect pests in the treated grains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{"citationID":"Qb2CvIMY","properties":{"formattedCitation":"(Gariba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(Gariba et al., 2021)</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r w:rsidR="00B72611" w:rsidRPr="00632779">
        <w:rPr>
          <w:rFonts w:ascii="Times New Roman" w:eastAsia="Calibri" w:hAnsi="Times New Roman" w:cs="Times New Roman"/>
          <w:b/>
          <w:bCs/>
          <w:kern w:val="0"/>
          <w:lang w:val="en-US"/>
          <w14:ligatures w14:val="none"/>
        </w:rPr>
        <w:t xml:space="preserve"> </w:t>
      </w:r>
      <w:r w:rsidRPr="00632779">
        <w:rPr>
          <w:rFonts w:ascii="Times New Roman" w:eastAsia="Calibri" w:hAnsi="Times New Roman" w:cs="Times New Roman"/>
          <w:kern w:val="0"/>
          <w:lang w:val="en-US"/>
          <w14:ligatures w14:val="none"/>
        </w:rPr>
        <w:t xml:space="preserve">Few studies have been conducted on the use of wood extracts to control storage pests. However, some studies can be cited on the effectiveness of wood ash (5 to 40 g/kg), particularly that of </w:t>
      </w:r>
      <w:r w:rsidRPr="00632779">
        <w:rPr>
          <w:rFonts w:ascii="Times New Roman" w:eastAsia="Calibri" w:hAnsi="Times New Roman" w:cs="Times New Roman"/>
          <w:i/>
          <w:iCs/>
          <w:kern w:val="0"/>
          <w:lang w:val="en-US"/>
          <w14:ligatures w14:val="none"/>
        </w:rPr>
        <w:t>Acacia polyacantha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lastRenderedPageBreak/>
        <w:t>Hymenocardia acida</w:t>
      </w:r>
      <w:r w:rsidRPr="00632779">
        <w:rPr>
          <w:rFonts w:ascii="Times New Roman" w:eastAsia="Calibri" w:hAnsi="Times New Roman" w:cs="Times New Roman"/>
          <w:kern w:val="0"/>
          <w:lang w:val="en-US"/>
          <w14:ligatures w14:val="none"/>
        </w:rPr>
        <w:t xml:space="preserve"> against </w:t>
      </w:r>
      <w:r w:rsidRPr="00632779">
        <w:rPr>
          <w:rFonts w:ascii="Times New Roman" w:eastAsia="Calibri" w:hAnsi="Times New Roman" w:cs="Times New Roman"/>
          <w:i/>
          <w:iCs/>
          <w:kern w:val="0"/>
          <w:lang w:val="en-US"/>
          <w14:ligatures w14:val="none"/>
        </w:rPr>
        <w:t>S. zeamais</w:t>
      </w:r>
      <w:r w:rsidRPr="00632779">
        <w:rPr>
          <w:rFonts w:ascii="Times New Roman" w:eastAsia="Calibri" w:hAnsi="Times New Roman" w:cs="Times New Roman"/>
          <w:kern w:val="0"/>
          <w:lang w:val="en-US"/>
          <w14:ligatures w14:val="none"/>
        </w:rPr>
        <w:t>, which caused 87.11% mortality. A significant reduction in the emergence of insect offspring, a low rate of damaged grains and low weight loss were observed in the treated grains. Furthermore, the viability of the grains was not negatively affected</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{"citationID":"bqsuXQ2h","properties":{"formattedCitation":"(Jean et al., 2015)","plainCitation":"(Jean et al., 2015)","noteIndex":0},"citationItems":[{"id":3607,"uris":["http://zotero.org/users/5304766/items/2XVPNSN6"],"itemData":{"id":3607,"type":"article-journal","abstract":"The effectiveness of diatomaceous earth (FossilShield) and wood ash from Acacia polyacantha and Hymenocardia acida were assessed on Sitophilus zeamais, regarding adult mortality, progeny production, persistence, population increase, grain damage and seed viability. Maize grains were admixed with the dusts at the rates 0, 0.5, 1, 1.5 and 2 g/kg for FossilShield and 0, 5, 10, 20 and 40 g/kg for ash. FossilShield at 0.5 g/kg achieved 100% mortality of S. zeamais within 7 days of exposure and was more efficacious than the wood ash from H. acida (87.11% mortality) and A. polyacantha (4.82% mortality) at the rate of 40 g/kg for the same time-point. The three dusts caused significant reduction of progeny emergence, damaged grains and weight loss, but showed no adverse effect on the viability of the protected seeds. FossilShield and wood ash from A. polyacantha and H. acida could be of value as green stored grain protectants against S. zeamais.","container-title":"Journal of Entomology and Zoology Studies","language":"en","page":": 390-397","source":"Zotero","title":"Efficacy of diatomaceous earth and wood ash for the control of Sitophilus zeamais in stored maize","volume":"3(5)","author":[{"family":"Jean","given":"Wini Goudoungou"},{"family":"Nchiwan","given":"Nukenine Elias"},{"family":"Dieudonné","given":"Ndjonka"},{"family":"Christopher","given":"Suh"},{"family":"Adler","given":"Cornel"}],"issued":{"date-parts":[["2015"]]}}}],"schema":"https://github.com/citation-style-language/schema/raw/master/csl-citation.json"}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(Jean et al., 2015)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19E7A928" w14:textId="48562A7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During the bioassays carried out in the laboratory, light probably did not affect the efficacy of the wood extracts. The efficacy of the extracts was </w:t>
      </w:r>
      <w:r w:rsidR="000F1DEB" w:rsidRPr="00632779">
        <w:rPr>
          <w:rFonts w:ascii="Times New Roman" w:eastAsia="Calibri" w:hAnsi="Times New Roman" w:cs="Times New Roman"/>
          <w:kern w:val="0"/>
          <w:lang w:val="en-US"/>
          <w14:ligatures w14:val="none"/>
        </w:rPr>
        <w:t>dose dependent</w:t>
      </w:r>
      <w:r w:rsidRPr="00632779">
        <w:rPr>
          <w:rFonts w:ascii="Times New Roman" w:eastAsia="Calibri" w:hAnsi="Times New Roman" w:cs="Times New Roman"/>
          <w:kern w:val="0"/>
          <w:lang w:val="en-US"/>
          <w14:ligatures w14:val="none"/>
        </w:rPr>
        <w:t>. This study showed that exposure to light did not reduce the bioactivity of wood extracts. Nevertheless, the low mortality rate observed in certain concentrations of wood extracts in this study, particularly Iroko extract, could be due to the effect of light.</w:t>
      </w:r>
      <w:r w:rsidR="00EB2F6D"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Indeed,</w:t>
      </w:r>
      <w:r w:rsidR="0003588F" w:rsidRPr="00632779">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{"citationID":"rNjfB1dH","properties":{"formattedCitation":"(Tsao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(Tsao et al., 2002)</w:t>
      </w:r>
      <w:r w:rsidR="00ED6826"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showed that aqueous extracts from the leaves and stems of the </w:t>
      </w:r>
      <w:r w:rsidR="00183339" w:rsidRPr="00632779">
        <w:rPr>
          <w:rFonts w:ascii="Times New Roman" w:eastAsia="Calibri" w:hAnsi="Times New Roman" w:cs="Times New Roman"/>
          <w:i/>
          <w:iCs/>
          <w:kern w:val="0"/>
          <w:lang w:val="en-US"/>
          <w14:ligatures w14:val="none"/>
        </w:rPr>
        <w:t>Ailanthus altissima</w:t>
      </w:r>
      <w:r w:rsidR="00183339" w:rsidRPr="00632779">
        <w:rPr>
          <w:rFonts w:ascii="Times New Roman" w:eastAsia="Calibri" w:hAnsi="Times New Roman" w:cs="Times New Roman"/>
          <w:kern w:val="0"/>
          <w:lang w:val="en-US"/>
          <w14:ligatures w14:val="none"/>
        </w:rPr>
        <w:t xml:space="preserve"> tree (C= 778 ppm and 195 ppm) caused mortality of between 50 and 100% after 24 hours in larvae of mosquitoes that transmit yellow fever (</w:t>
      </w:r>
      <w:r w:rsidR="00183339" w:rsidRPr="00632779">
        <w:rPr>
          <w:rFonts w:ascii="Times New Roman" w:eastAsia="Calibri" w:hAnsi="Times New Roman" w:cs="Times New Roman"/>
          <w:i/>
          <w:iCs/>
          <w:kern w:val="0"/>
          <w:lang w:val="en-US"/>
          <w14:ligatures w14:val="none"/>
        </w:rPr>
        <w:t>Aedes aegypti</w:t>
      </w:r>
      <w:r w:rsidR="00183339" w:rsidRPr="00632779">
        <w:rPr>
          <w:rFonts w:ascii="Times New Roman" w:eastAsia="Calibri" w:hAnsi="Times New Roman" w:cs="Times New Roman"/>
          <w:kern w:val="0"/>
          <w:lang w:val="en-US"/>
          <w14:ligatures w14:val="none"/>
        </w:rPr>
        <w:t xml:space="preserve">). However, these authors also showed that the bioactivity of A. altissima extract was greater in light than in darkness. Indeed, certain natural compounds, particularly polyacetylene and thiophenic compounds, have high bioactivity in light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{"citationID":"VaaQ2yPE","properties":{"formattedCitation":"(Tsao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(Tsao et al.,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These compounds may be inactive or have low bioactivity, but when exposed to light, they exhibit strong bioactivity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{"citationID":"u7g6VFQK","properties":{"formattedCitation":"(Campbell et al., 1982; Tsao et al., 1996, 2002)","plainCitation":"(Campbell et al., 1982; Tsao et al., 1996, 2002)","noteIndex":0},"citationItems":[{"id":4508,"uris":["http://zotero.org/users/5304766/items/G3GPEHM9"],"itemData":{"id":4508,"type":"article-journal","abstract":"Alpha-terthienyl (α-T), a naturally occurring polyacetylene derivative from roots ofTagetes erecta L., and phenylheptatriyne (PHT), from leaves ofBidens pilosa L., were tested as possible allelopathic agents against four seedling species (Asclepias syriaca L.,Chenopodium album L.,Phleum pratense L.,Trifolium pratense L.).Asclepias was the most sensitive of the species. Allelopathic activity was enhanced in the presence of sunlight or sources of near-UV, with LC50s forA. syriaca of 0.15 ppm and 0.66 ppm with α-T and PHT, respectively; 0.27 and 0.85 forC. album; 0.79 and 1.43 forP. pratense, and 1.93 and 1.82 forT. pratense. Near-UV exposure was saturating but never more than found in summer sunlight at Ottawa, Canada. Growth inhibition was observed with seedlings treated with α-T and PHT but without near-UV irradiation. Germination of seedlings was also sensitive to α-T and PHT with or without near-UV treatment. α-T was extracted from soil surrounding the roots ofTagetes. Concentrations calculated for the soil (0.4 ppm) indicate that seedling growth could be significantly hindered. The activity and specificity of α-T was sufficiently high to warrant future field trials to assess its potential as a natural weed-control agent.","container-title":"Journal of Chemical Ecology","DOI":"10.1007/BF00987662","ISSN":"1573-1561","issue":"6","journalAbbreviation":"J Chem Ecol","language":"en","page":"961-972","source":"Springer Link","title":"Allelopathic properties of α-terthienyl and phenylheptatriyne, naturally occurring compounds from species of asteraceae","volume":"8","author":[{"family":"Campbell","given":"Glen"},{"family":"Lambert","given":"John D. H."},{"family":"Arnason","given":"Thor"},{"family":"Towers","given":"G. H. Neil"}],"issued":{"date-parts":[["1982",6,1]]}}},{"id":4504,"uris":["http://zotero.org/users/5304766/items/KJ4AYXF4"],"itemData":{"id":4504,"type":"article-journal","abstract":"There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R."}],"issued":{"date-parts":[["2002",2,8]]}}},{"id":4506,"uris":["http://zotero.org/users/5304766/items/RYBFD4Y6"],"itemData":{"id":4506,"type":"article-journal","abstract":"The polyacetylene allelopathic compound cis-dehydromatricaria ester (cis-DME) was extracted from the roots of goldenrod, Solidago altissima L. cis-DME strongly inhibited the growth of lettuce (Lactuca saliva L. c. v. sacramento) on its radicles and hypocotyls in the presence of light whereas less or no significantly different effects were observed in the dark. The light-activated plant growth inhibitory (PGI) activity of cis-DME was more obvious in lettuce hypocotyls than in radicals. Its PGI activity was compared with the known phototoxic compounds rose bengal and fluoren-9-one. Although the light-activated PGI of cis-DME was not as high as that of rose bengal, and the dose-response relationship was slightly different with those of rose bengal and fluoren-9-one, cis-DME showed a very typical pattern of light-enhanced PGI activity against lettuce seedlings. The inhibition on the growth of lettuce radicles and hypocotyls highly enhanced by the presence of light. A growth enhancement effect was also observed on the radicles of lettuce when treated with lower concentrations of fluoren-9-one. A photosensitization mechanism is proposed here that the PGI activity of cis-DME may involve photosensitization and active oxygen such as singlet oxygen.","container-title":"Chemosphere","DOI":"10.1016/0045-6535(96)00042-2","ISSN":"0045-6535","issue":"7","journalAbbreviation":"Chemosphere","page":"1307-1317","source":"ScienceDirect","title":"Light-activated plant growth inhibitory activity of &lt;i&gt;cis&lt;/i&gt;-dehydromatricaria ester, rose bengal and fluoren-9-one on lettuce (&lt;i&gt;Lactuca saliva&lt;/i&gt; L.)","volume":"32","author":[{"family":"Tsao","given":"Rong"},{"family":"Eto","given":"Morifusa"}],"issued":{"date-parts":[["1996",4,1]]}}}],"schema":"https://github.com/citation-style-language/schema/raw/master/csl-citation.json"}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(Campbell et al., 1982; Tsao et al., 1996,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48A010CD" w14:textId="79B28574" w:rsidR="00B72611" w:rsidRPr="00632779" w:rsidRDefault="003C3E62" w:rsidP="00632779">
      <w:pPr>
        <w:spacing w:after="0" w:line="480" w:lineRule="auto"/>
        <w:ind w:firstLine="708"/>
        <w:jc w:val="both"/>
        <w:rPr>
          <w:rFonts w:ascii="Times New Roman" w:eastAsia="Calibri" w:hAnsi="Times New Roman" w:cs="Times New Roman"/>
          <w:strike/>
          <w:kern w:val="0"/>
          <w:lang w:val="en-US"/>
          <w14:ligatures w14:val="none"/>
        </w:rPr>
      </w:pPr>
      <w:r w:rsidRPr="00632779">
        <w:rPr>
          <w:rFonts w:ascii="Times New Roman" w:eastAsia="Calibri" w:hAnsi="Times New Roman" w:cs="Times New Roman"/>
          <w:kern w:val="0"/>
          <w:lang w:val="en-US"/>
          <w14:ligatures w14:val="none"/>
        </w:rPr>
        <w:t xml:space="preserve">This information does not corroborate the findings of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{"citationID":"NkqYmgsz","properties":{"formattedCitation":"(Weaver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Pr="00632779">
        <w:rPr>
          <w:rFonts w:ascii="Times New Roman" w:eastAsia="Calibri" w:hAnsi="Times New Roman" w:cs="Times New Roman"/>
          <w:kern w:val="0"/>
          <w:lang w:val="en-US"/>
          <w14:ligatures w14:val="none"/>
        </w:rPr>
        <w:t xml:space="preserve">, who claimed that lighting, particularly photoperiodic conditions (12 hours of light and 12 hours of darkness), negatively </w:t>
      </w:r>
      <w:commentRangeStart w:id="42"/>
      <w:r w:rsidRPr="00632779">
        <w:rPr>
          <w:rFonts w:ascii="Times New Roman" w:eastAsia="Calibri" w:hAnsi="Times New Roman" w:cs="Times New Roman"/>
          <w:kern w:val="0"/>
          <w:lang w:val="en-US"/>
          <w14:ligatures w14:val="none"/>
        </w:rPr>
        <w:t>impact</w:t>
      </w:r>
      <w:commentRangeEnd w:id="42"/>
      <w:r w:rsidR="00DA065B" w:rsidRPr="00632779">
        <w:rPr>
          <w:rStyle w:val="CommentReference"/>
          <w:rFonts w:ascii="Times New Roman" w:eastAsia="Calibri" w:hAnsi="Times New Roman" w:cs="Times New Roman"/>
          <w:kern w:val="0"/>
          <w:sz w:val="22"/>
          <w:szCs w:val="22"/>
          <w:lang w:val="en-US"/>
          <w14:ligatures w14:val="none"/>
        </w:rPr>
        <w:commentReference w:id="42"/>
      </w:r>
      <w:r w:rsidRPr="00632779">
        <w:rPr>
          <w:rFonts w:ascii="Times New Roman" w:eastAsia="Calibri" w:hAnsi="Times New Roman" w:cs="Times New Roman"/>
          <w:kern w:val="0"/>
          <w:lang w:val="en-US"/>
          <w14:ligatures w14:val="none"/>
        </w:rPr>
        <w:t xml:space="preserve"> the toxicity of the floral extract of the Mexican plant </w:t>
      </w:r>
      <w:r w:rsidRPr="00632779">
        <w:rPr>
          <w:rFonts w:ascii="Times New Roman" w:eastAsia="Calibri" w:hAnsi="Times New Roman" w:cs="Times New Roman"/>
          <w:i/>
          <w:iCs/>
          <w:kern w:val="0"/>
          <w:lang w:val="en-US"/>
          <w14:ligatures w14:val="none"/>
        </w:rPr>
        <w:t>Tagetes minuta</w:t>
      </w:r>
      <w:r w:rsidRPr="00632779">
        <w:rPr>
          <w:rFonts w:ascii="Times New Roman" w:eastAsia="Calibri" w:hAnsi="Times New Roman" w:cs="Times New Roman"/>
          <w:kern w:val="0"/>
          <w:lang w:val="en-US"/>
          <w14:ligatures w14:val="none"/>
        </w:rPr>
        <w:t xml:space="preserve"> (L.). These authors correlated this fact with the presence of photoactive thiophenes, which are toxic substances against certain lepidopteran larvae. Indeed, the floral extract proved to be toxic to adult male and female corn weevils when protected from light. The toxicity was demonstrated with respective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LD99 values ranging from 35 to 47 µg and 319 to 816 µg of extract per insect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{"citationID":"lRERXvO3","properties":{"formattedCitation":"(Weaver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7CAACCBB" w14:textId="14AE3D3D" w:rsidR="00D763C6" w:rsidRPr="00632779" w:rsidRDefault="00D763C6" w:rsidP="00632779">
      <w:pPr>
        <w:spacing w:before="240"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i/>
          <w:iCs/>
          <w:kern w:val="0"/>
          <w:lang w:val="en-US"/>
          <w14:ligatures w14:val="none"/>
        </w:rPr>
        <w:t>S. zeamais</w:t>
      </w:r>
      <w:r w:rsidRPr="00632779">
        <w:rPr>
          <w:rFonts w:ascii="Times New Roman" w:eastAsia="Calibri" w:hAnsi="Times New Roman" w:cs="Times New Roman"/>
          <w:kern w:val="0"/>
          <w:lang w:val="en-US"/>
          <w14:ligatures w14:val="none"/>
        </w:rPr>
        <w:t xml:space="preserve"> was the most represented pest (Ra= 51.06%) in the maize stock studied. The sapwood and heartwood extracts tested showed a toxic and repellent effect against </w:t>
      </w:r>
      <w:r w:rsidRPr="00632779">
        <w:rPr>
          <w:rFonts w:ascii="Times New Roman" w:eastAsia="Calibri" w:hAnsi="Times New Roman" w:cs="Times New Roman"/>
          <w:i/>
          <w:iCs/>
          <w:kern w:val="0"/>
          <w:lang w:val="en-US"/>
          <w14:ligatures w14:val="none"/>
        </w:rPr>
        <w:t>S. zeamais</w:t>
      </w:r>
      <w:r w:rsidRPr="00632779">
        <w:rPr>
          <w:rFonts w:ascii="Times New Roman" w:eastAsia="Calibri" w:hAnsi="Times New Roman" w:cs="Times New Roman"/>
          <w:kern w:val="0"/>
          <w:lang w:val="en-US"/>
          <w14:ligatures w14:val="none"/>
        </w:rPr>
        <w:t>. Significant insect mortality was observed with all the doses tested. Mortality caused by sapwood extracts ranged from 66.67 to 96.67% on day 7, while mortality caused by heartwood extracts ranged from 36.67 to 95% after only two days. Furthermore, the toxicity of the heartwood extracts from Badi, Bete and Iroko was greater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0.0706, 0.055</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0.1435 µL/cm²</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on day 2) than the toxicity of the sapwood </w:t>
      </w:r>
      <w:r w:rsidRPr="00632779">
        <w:rPr>
          <w:rFonts w:ascii="Times New Roman" w:eastAsia="Calibri" w:hAnsi="Times New Roman" w:cs="Times New Roman"/>
          <w:kern w:val="0"/>
          <w:lang w:val="en-US"/>
          <w14:ligatures w14:val="none"/>
        </w:rPr>
        <w:lastRenderedPageBreak/>
        <w:t>extracts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0.0289, 0.0093</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0.0283 µL/cm²</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respectively</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on day 7). Mortality of </w:t>
      </w:r>
      <w:r w:rsidRPr="00632779">
        <w:rPr>
          <w:rFonts w:ascii="Times New Roman" w:eastAsia="Calibri" w:hAnsi="Times New Roman" w:cs="Times New Roman"/>
          <w:i/>
          <w:iCs/>
          <w:kern w:val="0"/>
          <w:lang w:val="en-US"/>
          <w14:ligatures w14:val="none"/>
        </w:rPr>
        <w:t>S. zeamais</w:t>
      </w:r>
      <w:r w:rsidRPr="00632779">
        <w:rPr>
          <w:rFonts w:ascii="Times New Roman" w:eastAsia="Calibri" w:hAnsi="Times New Roman" w:cs="Times New Roman"/>
          <w:kern w:val="0"/>
          <w:lang w:val="en-US"/>
          <w14:ligatures w14:val="none"/>
        </w:rPr>
        <w:t xml:space="preserve"> increased with the concentration, type of extract</w:t>
      </w:r>
      <w:r w:rsidR="009F6348">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and duration of exposure of insects. These results could contribute to the search for alternative methods to synthetic chemical insecticides for effective and sustainable control of insect pests of stored foodstuffs. </w:t>
      </w:r>
    </w:p>
    <w:p w14:paraId="79058EAC" w14:textId="70FBDD25" w:rsidR="000F1DEB" w:rsidRPr="00632779" w:rsidRDefault="000F1DEB" w:rsidP="00632779">
      <w:pPr>
        <w:spacing w:before="240" w:after="0" w:line="480" w:lineRule="auto"/>
        <w:jc w:val="both"/>
        <w:rPr>
          <w:rFonts w:ascii="Times New Roman" w:eastAsia="Calibri" w:hAnsi="Times New Roman" w:cs="Times New Roman"/>
          <w:b/>
          <w:bCs/>
          <w:kern w:val="0"/>
          <w:lang w:val="en-US"/>
          <w14:ligatures w14:val="none"/>
        </w:rPr>
      </w:pPr>
      <w:r w:rsidRPr="00632779">
        <w:rPr>
          <w:rFonts w:ascii="Times New Roman" w:eastAsia="Calibri" w:hAnsi="Times New Roman" w:cs="Times New Roman"/>
          <w:kern w:val="0"/>
          <w:lang w:val="en-US"/>
          <w14:ligatures w14:val="none"/>
        </w:rPr>
        <w:t>5</w:t>
      </w:r>
      <w:r w:rsidR="00EE38C7">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w:t>
      </w:r>
      <w:r w:rsidR="00C639FA" w:rsidRPr="00632779">
        <w:rPr>
          <w:rFonts w:ascii="Times New Roman" w:eastAsia="Calibri" w:hAnsi="Times New Roman" w:cs="Times New Roman"/>
          <w:b/>
          <w:bCs/>
          <w:kern w:val="0"/>
          <w:lang w:val="en-US"/>
          <w14:ligatures w14:val="none"/>
        </w:rPr>
        <w:t>Conclusion</w:t>
      </w:r>
    </w:p>
    <w:p w14:paraId="729955C0" w14:textId="13CF9E28" w:rsidR="00534D94" w:rsidRPr="00632779" w:rsidRDefault="00534D94" w:rsidP="00632779">
      <w:pPr>
        <w:spacing w:before="100" w:beforeAutospacing="1" w:after="100" w:afterAutospacing="1" w:line="480" w:lineRule="auto"/>
        <w:jc w:val="both"/>
        <w:rPr>
          <w:rFonts w:ascii="Times New Roman" w:eastAsia="Times New Roman" w:hAnsi="Times New Roman" w:cs="Times New Roman"/>
          <w:kern w:val="0"/>
          <w:lang w:val="en-US" w:eastAsia="fr-FR"/>
          <w14:ligatures w14:val="none"/>
        </w:rPr>
      </w:pPr>
      <w:r w:rsidRPr="00632779">
        <w:rPr>
          <w:rFonts w:ascii="Times New Roman" w:eastAsia="Times New Roman" w:hAnsi="Times New Roman" w:cs="Times New Roman"/>
          <w:kern w:val="0"/>
          <w:lang w:val="en-US" w:eastAsia="fr-FR"/>
          <w14:ligatures w14:val="none"/>
        </w:rPr>
        <w:t xml:space="preserve">The results of this study demonstrate that the hydroalcoholic extracts of </w:t>
      </w:r>
      <w:r w:rsidRPr="00632779">
        <w:rPr>
          <w:rFonts w:ascii="Times New Roman" w:eastAsia="Times New Roman" w:hAnsi="Times New Roman" w:cs="Times New Roman"/>
          <w:i/>
          <w:iCs/>
          <w:kern w:val="0"/>
          <w:lang w:val="en-US" w:eastAsia="fr-FR"/>
          <w14:ligatures w14:val="none"/>
        </w:rPr>
        <w:t>Nauclea diderrichii</w:t>
      </w:r>
      <w:r w:rsidRPr="00632779">
        <w:rPr>
          <w:rFonts w:ascii="Times New Roman" w:eastAsia="Times New Roman" w:hAnsi="Times New Roman" w:cs="Times New Roman"/>
          <w:kern w:val="0"/>
          <w:lang w:val="en-US" w:eastAsia="fr-FR"/>
          <w14:ligatures w14:val="none"/>
        </w:rPr>
        <w:t xml:space="preserve">, </w:t>
      </w:r>
      <w:r w:rsidRPr="00632779">
        <w:rPr>
          <w:rFonts w:ascii="Times New Roman" w:eastAsia="Times New Roman" w:hAnsi="Times New Roman" w:cs="Times New Roman"/>
          <w:i/>
          <w:iCs/>
          <w:kern w:val="0"/>
          <w:lang w:val="en-US" w:eastAsia="fr-FR"/>
          <w14:ligatures w14:val="none"/>
        </w:rPr>
        <w:t>Mansonia altissima</w:t>
      </w:r>
      <w:r w:rsidRPr="00632779">
        <w:rPr>
          <w:rFonts w:ascii="Times New Roman" w:eastAsia="Times New Roman" w:hAnsi="Times New Roman" w:cs="Times New Roman"/>
          <w:kern w:val="0"/>
          <w:lang w:val="en-US" w:eastAsia="fr-FR"/>
          <w14:ligatures w14:val="none"/>
        </w:rPr>
        <w:t xml:space="preserve">, and </w:t>
      </w:r>
      <w:r w:rsidRPr="00632779">
        <w:rPr>
          <w:rFonts w:ascii="Times New Roman" w:eastAsia="Times New Roman" w:hAnsi="Times New Roman" w:cs="Times New Roman"/>
          <w:i/>
          <w:iCs/>
          <w:kern w:val="0"/>
          <w:lang w:val="en-US" w:eastAsia="fr-FR"/>
          <w14:ligatures w14:val="none"/>
        </w:rPr>
        <w:t>Milicia excelsa</w:t>
      </w:r>
      <w:r w:rsidRPr="00632779">
        <w:rPr>
          <w:rFonts w:ascii="Times New Roman" w:eastAsia="Times New Roman" w:hAnsi="Times New Roman" w:cs="Times New Roman"/>
          <w:kern w:val="0"/>
          <w:lang w:val="en-US" w:eastAsia="fr-FR"/>
          <w14:ligatures w14:val="none"/>
        </w:rPr>
        <w:t xml:space="preserve"> exhibit significant insecticidal activity against </w:t>
      </w:r>
      <w:r w:rsidRPr="00632779">
        <w:rPr>
          <w:rFonts w:ascii="Times New Roman" w:eastAsia="Times New Roman" w:hAnsi="Times New Roman" w:cs="Times New Roman"/>
          <w:i/>
          <w:iCs/>
          <w:kern w:val="0"/>
          <w:lang w:val="en-US" w:eastAsia="fr-FR"/>
          <w14:ligatures w14:val="none"/>
        </w:rPr>
        <w:t>Sitophilus zeamais</w:t>
      </w:r>
      <w:r w:rsidRPr="00632779">
        <w:rPr>
          <w:rFonts w:ascii="Times New Roman" w:eastAsia="Times New Roman" w:hAnsi="Times New Roman" w:cs="Times New Roman"/>
          <w:kern w:val="0"/>
          <w:lang w:val="en-US" w:eastAsia="fr-FR"/>
          <w14:ligatures w14:val="none"/>
        </w:rPr>
        <w:t>, the main pest of stored maize. The sapwood extracts induced higher mortality rates than those from heartwood, confirming variability in insecticidal efficacy depending on the wood part used. The low LD₅₀ and LT₅₀ values, together with the high repellency rates, highlight the strong toxic and repellent potential of these extracts against the maize weevil. The presence of bioactive secondary metabolites in these extracts likely accounts for their insecticidal and repellent effects. These findings suggest that wood extracts from these tree species could serve as promising eco-friendly alternatives to synthetic insecticides for the protection of stored products. However, further studies focusing on the isolation of active compounds, their stability, and environmental safety are needed to support the practical and sustainable use of these natural biopesticides.</w:t>
      </w:r>
    </w:p>
    <w:p w14:paraId="78955C66" w14:textId="7777777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Conflicts of Interest</w:t>
      </w:r>
    </w:p>
    <w:p w14:paraId="693962C1" w14:textId="0B921E80" w:rsidR="00580C8E" w:rsidRPr="00632779" w:rsidRDefault="00580C8E" w:rsidP="00632779">
      <w:pPr>
        <w:spacing w:before="240"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authors declare no conflicts of interest.</w:t>
      </w:r>
    </w:p>
    <w:p w14:paraId="69F625A9" w14:textId="3BB1F39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Data Availability Statement</w:t>
      </w:r>
    </w:p>
    <w:p w14:paraId="79B536E3" w14:textId="1A02BDB8" w:rsidR="00580C8E" w:rsidRPr="00632779" w:rsidRDefault="00580C8E" w:rsidP="00632779">
      <w:pPr>
        <w:autoSpaceDE w:val="0"/>
        <w:autoSpaceDN w:val="0"/>
        <w:adjustRightInd w:val="0"/>
        <w:spacing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data that support the findings of this study are available from the</w:t>
      </w:r>
      <w:r w:rsidR="006A5ADB" w:rsidRPr="00632779">
        <w:rPr>
          <w:rFonts w:ascii="Times New Roman" w:eastAsia="STIXTwoText" w:hAnsi="Times New Roman" w:cs="Times New Roman"/>
          <w:kern w:val="0"/>
          <w:lang w:val="en-US"/>
        </w:rPr>
        <w:t xml:space="preserve"> </w:t>
      </w:r>
      <w:r w:rsidRPr="00632779">
        <w:rPr>
          <w:rFonts w:ascii="Times New Roman" w:eastAsia="STIXTwoText" w:hAnsi="Times New Roman" w:cs="Times New Roman"/>
          <w:kern w:val="0"/>
          <w:lang w:val="en-US"/>
        </w:rPr>
        <w:t>corresponding author upon reasonable request.</w:t>
      </w:r>
    </w:p>
    <w:p w14:paraId="7A249598" w14:textId="2F5F8384" w:rsidR="003C11F8" w:rsidRPr="00632779" w:rsidRDefault="00173D3C" w:rsidP="00C75CAB">
      <w:pPr>
        <w:spacing w:before="240" w:line="480" w:lineRule="auto"/>
        <w:jc w:val="both"/>
        <w:rPr>
          <w:rFonts w:ascii="Times New Roman" w:hAnsi="Times New Roman" w:cs="Times New Roman"/>
          <w:b/>
          <w:bCs/>
          <w:lang w:val="en-US"/>
        </w:rPr>
      </w:pPr>
      <w:r>
        <w:rPr>
          <w:rFonts w:ascii="Times New Roman" w:hAnsi="Times New Roman" w:cs="Times New Roman"/>
          <w:b/>
          <w:bCs/>
          <w:lang w:val="en-US"/>
        </w:rPr>
        <w:t xml:space="preserve">References </w:t>
      </w:r>
    </w:p>
    <w:p w14:paraId="32F0B522" w14:textId="77777777" w:rsidR="00173D3C" w:rsidRPr="00173D3C" w:rsidRDefault="00173D3C" w:rsidP="00173D3C">
      <w:pPr>
        <w:pStyle w:val="Bibliography"/>
        <w:jc w:val="both"/>
        <w:rPr>
          <w:b/>
          <w:bCs/>
        </w:rPr>
      </w:pPr>
      <w:r w:rsidRPr="00173D3C">
        <w:rPr>
          <w:b/>
          <w:bCs/>
        </w:rPr>
        <w:t>Abbott W.S., 1925. A method of computing the effectiveness of an insecticide. J. econ. Entomol 18(2), 265–267.</w:t>
      </w:r>
    </w:p>
    <w:p w14:paraId="5761BA02" w14:textId="77777777" w:rsidR="00173D3C" w:rsidRPr="00173D3C" w:rsidRDefault="00173D3C" w:rsidP="00173D3C">
      <w:pPr>
        <w:pStyle w:val="Bibliography"/>
        <w:jc w:val="both"/>
        <w:rPr>
          <w:b/>
          <w:bCs/>
        </w:rPr>
      </w:pPr>
      <w:r w:rsidRPr="00173D3C">
        <w:rPr>
          <w:b/>
          <w:bCs/>
        </w:rPr>
        <w:t xml:space="preserve">Adja N.A., Danho M., Alabi T.A.F., Gnago A.J., Zimmer J.-Y., Francis F., Kouassi K.P., Baudoin J.-P. &amp; Zoro B.I.A., 2014. Entomofauna associated with African oleaginous cucurbits (Lagenaria siceraria Molina (Standl. 1930) and Citrullus lanatus Thumb (Matsum &amp; </w:t>
      </w:r>
      <w:r w:rsidRPr="00173D3C">
        <w:rPr>
          <w:b/>
          <w:bCs/>
        </w:rPr>
        <w:lastRenderedPageBreak/>
        <w:t>Nakai 1916)) and impact of pests on production. In: Annals of The Entomological Society of France. Taylor &amp; Francis, 301–310.</w:t>
      </w:r>
    </w:p>
    <w:p w14:paraId="5B29C4B4" w14:textId="77777777" w:rsidR="00173D3C" w:rsidRPr="00173D3C" w:rsidRDefault="00173D3C" w:rsidP="00173D3C">
      <w:pPr>
        <w:pStyle w:val="Bibliography"/>
        <w:jc w:val="both"/>
        <w:rPr>
          <w:b/>
          <w:bCs/>
        </w:rPr>
      </w:pPr>
      <w:r w:rsidRPr="00173D3C">
        <w:rPr>
          <w:b/>
          <w:bCs/>
        </w:rPr>
        <w:t>Arthur F. &amp; Phillips T.W., 2002. Stored-Product Insect Pest Management and Control. In: Food Plant Sanitation, Food Plant Sanitation. CRC Press, 20 p.</w:t>
      </w:r>
    </w:p>
    <w:p w14:paraId="6C6C0F65" w14:textId="77777777" w:rsidR="00173D3C" w:rsidRPr="00173D3C" w:rsidRDefault="00173D3C" w:rsidP="00173D3C">
      <w:pPr>
        <w:pStyle w:val="Bibliography"/>
        <w:jc w:val="both"/>
        <w:rPr>
          <w:b/>
          <w:bCs/>
        </w:rPr>
      </w:pPr>
      <w:r w:rsidRPr="00173D3C">
        <w:rPr>
          <w:b/>
          <w:bCs/>
        </w:rPr>
        <w:t>Bley-Atse A.B., Niamké F.B., Adja A.N., Ramanantoandro T., Digbe T., Yao J.-C.N. &amp; Adima A.A., 2025. Variability in the chemical composition and antioxidant properties of sapwood and heartwood extracts of some tropical woods from Cote d'Ivoire. Holz Research DOI:10.1515/hf-2024-0078.</w:t>
      </w:r>
    </w:p>
    <w:p w14:paraId="08978603" w14:textId="77777777" w:rsidR="00173D3C" w:rsidRPr="00173D3C" w:rsidRDefault="00173D3C" w:rsidP="00173D3C">
      <w:pPr>
        <w:pStyle w:val="Bibliography"/>
        <w:jc w:val="both"/>
        <w:rPr>
          <w:b/>
          <w:bCs/>
        </w:rPr>
      </w:pPr>
      <w:r w:rsidRPr="00173D3C">
        <w:rPr>
          <w:b/>
          <w:bCs/>
        </w:rPr>
        <w:t>Campbell G., Lambert J.D.H., Arnason T. &amp; Towers G.H.N., 1982. Allelopathic properties of α-terthienyl and phenylheptatriyne, naturally occurring compounds from species of Asteraceae. J Chem Ecol 8(6), 961–972, doi:10.1007/BF00987662.</w:t>
      </w:r>
    </w:p>
    <w:p w14:paraId="37FCDF5B" w14:textId="77777777" w:rsidR="00173D3C" w:rsidRPr="00173D3C" w:rsidRDefault="00173D3C" w:rsidP="00173D3C">
      <w:pPr>
        <w:pStyle w:val="Bibliography"/>
        <w:jc w:val="both"/>
        <w:rPr>
          <w:b/>
          <w:bCs/>
        </w:rPr>
      </w:pPr>
      <w:r w:rsidRPr="00173D3C">
        <w:rPr>
          <w:b/>
          <w:bCs/>
        </w:rPr>
        <w:t>Cetiner I. &amp; Shea A.D., 2018. Wood waste as an alternative thermal insulation for buildings. Energy and Buildings 168 , 374–384 .</w:t>
      </w:r>
    </w:p>
    <w:p w14:paraId="7B117DB9" w14:textId="77777777" w:rsidR="00173D3C" w:rsidRPr="00173D3C" w:rsidRDefault="00173D3C" w:rsidP="00173D3C">
      <w:pPr>
        <w:pStyle w:val="Bibliography"/>
        <w:jc w:val="both"/>
        <w:rPr>
          <w:b/>
          <w:bCs/>
        </w:rPr>
      </w:pPr>
      <w:r w:rsidRPr="00173D3C">
        <w:rPr>
          <w:b/>
          <w:bCs/>
        </w:rPr>
        <w:t>Cheah C.B. &amp; Ramli M., 2013. The engineering properties of high performance concrete with HCWA–DSF supplementary binder. Construction and Building Materials, Special Section on Recycling Wastes for Use as Construction Materials 40, 93–103, DOI:10.1016/j.conbuildmat.2012.10.010.</w:t>
      </w:r>
    </w:p>
    <w:p w14:paraId="69110FFA" w14:textId="77777777" w:rsidR="00173D3C" w:rsidRPr="00173D3C" w:rsidRDefault="00173D3C" w:rsidP="00173D3C">
      <w:pPr>
        <w:pStyle w:val="Bibliography"/>
        <w:jc w:val="both"/>
        <w:rPr>
          <w:b/>
          <w:bCs/>
        </w:rPr>
      </w:pPr>
      <w:r w:rsidRPr="00173D3C">
        <w:rPr>
          <w:b/>
          <w:bCs/>
        </w:rPr>
        <w:t>Cruz J.-F., Joseph Hounhouigan D., Fleurat-Lessard F. &amp; Troude F., 2016. The Postharvest Grain Preservation, Quae Editions.</w:t>
      </w:r>
    </w:p>
    <w:p w14:paraId="4E9EC7B4" w14:textId="77777777" w:rsidR="00173D3C" w:rsidRPr="00173D3C" w:rsidRDefault="00173D3C" w:rsidP="00173D3C">
      <w:pPr>
        <w:pStyle w:val="Bibliography"/>
        <w:jc w:val="both"/>
        <w:rPr>
          <w:b/>
          <w:bCs/>
        </w:rPr>
      </w:pPr>
      <w:r w:rsidRPr="00173D3C">
        <w:rPr>
          <w:b/>
          <w:bCs/>
        </w:rPr>
        <w:t>De Meeûs T., 2019. Characterization of phenolic extracts and latex of the Iroko (Milicia excelsa) (Master of Bioengineering), Liège University Gembloux, Agro-Bio Tech, Belgium, 73 p.</w:t>
      </w:r>
    </w:p>
    <w:p w14:paraId="3C603515" w14:textId="77777777" w:rsidR="00173D3C" w:rsidRPr="00173D3C" w:rsidRDefault="00173D3C" w:rsidP="00173D3C">
      <w:pPr>
        <w:pStyle w:val="Bibliography"/>
        <w:jc w:val="both"/>
        <w:rPr>
          <w:b/>
          <w:bCs/>
        </w:rPr>
      </w:pPr>
      <w:r w:rsidRPr="00173D3C">
        <w:rPr>
          <w:b/>
          <w:bCs/>
        </w:rPr>
        <w:t>Finney D.J., 1978. Statistical Method in Biological Bioassay. Charles Griffin and Co. Ltd. , London 508 pp. .</w:t>
      </w:r>
    </w:p>
    <w:p w14:paraId="51E147A9" w14:textId="77777777" w:rsidR="00173D3C" w:rsidRPr="00173D3C" w:rsidRDefault="00173D3C" w:rsidP="00173D3C">
      <w:pPr>
        <w:pStyle w:val="Bibliography"/>
        <w:jc w:val="both"/>
        <w:rPr>
          <w:b/>
          <w:bCs/>
        </w:rPr>
      </w:pPr>
      <w:r w:rsidRPr="00173D3C">
        <w:rPr>
          <w:b/>
          <w:bCs/>
        </w:rPr>
        <w:t>Gandaho P., Tchobo F.P., Bello S. &amp; Soumanou M., 2020. Storage and conservation practices of maize and sorghum adopted in northeastern Benin Issue 79, 43–52.</w:t>
      </w:r>
    </w:p>
    <w:p w14:paraId="4A8700DA" w14:textId="77777777" w:rsidR="00173D3C" w:rsidRPr="00173D3C" w:rsidRDefault="00173D3C" w:rsidP="00173D3C">
      <w:pPr>
        <w:pStyle w:val="Bibliography"/>
        <w:jc w:val="both"/>
        <w:rPr>
          <w:b/>
          <w:bCs/>
        </w:rPr>
      </w:pPr>
      <w:r w:rsidRPr="00173D3C">
        <w:rPr>
          <w:b/>
          <w:bCs/>
        </w:rPr>
        <w:t>Gariba S.Y., Birthday D.K. &amp; Eziah V.Y., 2021. Assessment of four plant extracts as maize seed protectants against Sitophilus zeamais and Prostephanus truncatus in Ghana. Cogent Food &amp; Agriculture 7(1), 1918426;</w:t>
      </w:r>
    </w:p>
    <w:p w14:paraId="38387899" w14:textId="77777777" w:rsidR="00173D3C" w:rsidRPr="00173D3C" w:rsidRDefault="00173D3C" w:rsidP="00173D3C">
      <w:pPr>
        <w:pStyle w:val="Bibliography"/>
        <w:jc w:val="both"/>
        <w:rPr>
          <w:b/>
          <w:bCs/>
        </w:rPr>
      </w:pPr>
      <w:r w:rsidRPr="00173D3C">
        <w:rPr>
          <w:b/>
          <w:bCs/>
        </w:rPr>
        <w:t>Goergen G., Fandohan P., Hell K. &amp; Lamboni PhD L.Y., 2005. Small handbook of identification of the main predators of stocked deer in West Africa., Cotonou, Benin, 22 p.</w:t>
      </w:r>
    </w:p>
    <w:p w14:paraId="69775168" w14:textId="77777777" w:rsidR="00173D3C" w:rsidRPr="00173D3C" w:rsidRDefault="00173D3C" w:rsidP="00173D3C">
      <w:pPr>
        <w:pStyle w:val="Bibliography"/>
        <w:jc w:val="both"/>
        <w:rPr>
          <w:b/>
          <w:bCs/>
        </w:rPr>
      </w:pPr>
      <w:r w:rsidRPr="00173D3C">
        <w:rPr>
          <w:b/>
          <w:bCs/>
        </w:rPr>
        <w:t>Hamel D., Rozman V. &amp; Liška A., 2020. Storage of cereals in warehouses with or without pesticides. Insects 11(12), 846, DOI:10.3390/insect11120846.</w:t>
      </w:r>
    </w:p>
    <w:p w14:paraId="217AFC18" w14:textId="77777777" w:rsidR="00173D3C" w:rsidRPr="00173D3C" w:rsidRDefault="00173D3C" w:rsidP="00173D3C">
      <w:pPr>
        <w:pStyle w:val="Bibliography"/>
        <w:jc w:val="both"/>
        <w:rPr>
          <w:b/>
          <w:bCs/>
        </w:rPr>
      </w:pPr>
      <w:r w:rsidRPr="00173D3C">
        <w:rPr>
          <w:b/>
          <w:bCs/>
        </w:rPr>
        <w:t>Hillis W.E., 2012. Heartwood and Tree Exudates, Springer Science &amp; Business Media, 280 pp, 280.</w:t>
      </w:r>
    </w:p>
    <w:p w14:paraId="0625DB1F" w14:textId="77777777" w:rsidR="00173D3C" w:rsidRPr="00173D3C" w:rsidRDefault="00173D3C" w:rsidP="00173D3C">
      <w:pPr>
        <w:pStyle w:val="Bibliography"/>
        <w:jc w:val="both"/>
        <w:rPr>
          <w:b/>
          <w:bCs/>
        </w:rPr>
      </w:pPr>
      <w:r w:rsidRPr="00173D3C">
        <w:rPr>
          <w:b/>
          <w:bCs/>
        </w:rPr>
        <w:t>Ileke K.D., 2014. Cheese wood, Alstonia boonei De Wild a botanical entomocide for the management of maize weevil, Sitophilus zeamais (Motschulsky)[Coleoptera: Curculionidae]. Octa. J. Biosci. 2(2), 64–6</w:t>
      </w:r>
    </w:p>
    <w:p w14:paraId="7553E2CA" w14:textId="77777777" w:rsidR="00173D3C" w:rsidRPr="00173D3C" w:rsidRDefault="00173D3C" w:rsidP="00173D3C">
      <w:pPr>
        <w:pStyle w:val="Bibliography"/>
        <w:jc w:val="both"/>
        <w:rPr>
          <w:b/>
          <w:bCs/>
        </w:rPr>
      </w:pPr>
      <w:r w:rsidRPr="00173D3C">
        <w:rPr>
          <w:b/>
          <w:bCs/>
        </w:rPr>
        <w:t>Isman M.B. &amp; Tak J.-H., 2017. Commercialization of insecticides based on plant essential oils: Past, present, and future. In: Green Pesticides Handbook. CRC Press, 27–40.</w:t>
      </w:r>
    </w:p>
    <w:p w14:paraId="2E3057DE" w14:textId="77777777" w:rsidR="00173D3C" w:rsidRPr="00173D3C" w:rsidRDefault="00173D3C" w:rsidP="00173D3C">
      <w:pPr>
        <w:pStyle w:val="Bibliography"/>
        <w:jc w:val="both"/>
        <w:rPr>
          <w:b/>
          <w:bCs/>
        </w:rPr>
      </w:pPr>
      <w:r w:rsidRPr="00173D3C">
        <w:rPr>
          <w:b/>
          <w:bCs/>
        </w:rPr>
        <w:t>Jean W.G., Nchiwan N.E., Dieudonné N., Christopher S. &amp; Adler C., 2015. Efficacy of diatomaceous earth and wood ash for the control of Sitophilus zeamais in stored maize. Journal of Entomological and Zoological Studies 3(5), : 390-397.</w:t>
      </w:r>
    </w:p>
    <w:p w14:paraId="0FA7BC7D" w14:textId="77777777" w:rsidR="00173D3C" w:rsidRPr="00173D3C" w:rsidRDefault="00173D3C" w:rsidP="00173D3C">
      <w:pPr>
        <w:pStyle w:val="Bibliography"/>
        <w:jc w:val="both"/>
        <w:rPr>
          <w:b/>
          <w:bCs/>
        </w:rPr>
      </w:pPr>
      <w:r w:rsidRPr="00173D3C">
        <w:rPr>
          <w:b/>
          <w:bCs/>
        </w:rPr>
        <w:t>Johnson F., Seri-Kouassi B., Aboua L.R. &amp; Foua-Bi K., 2006. Utilization of powders and d\backslash’total extracts from local plants of the genera Ocimum sp. and Mentha sp. as biopesticides in the fight against Callosobruchus maculatus FAB. African Agronomy 18(3), 221–233.</w:t>
      </w:r>
    </w:p>
    <w:p w14:paraId="30F6BCE9" w14:textId="77777777" w:rsidR="00173D3C" w:rsidRPr="00173D3C" w:rsidRDefault="00173D3C" w:rsidP="00173D3C">
      <w:pPr>
        <w:pStyle w:val="Bibliography"/>
        <w:jc w:val="both"/>
        <w:rPr>
          <w:b/>
          <w:bCs/>
        </w:rPr>
      </w:pPr>
      <w:r w:rsidRPr="00173D3C">
        <w:rPr>
          <w:b/>
          <w:bCs/>
        </w:rPr>
        <w:t>Jurd L. &amp; Manners G.D., 2002. Wood extractives as models for the development of new types of pest control agents. ACS Publications. https://pubs.acs.org/doi/pdf/10.1021/jf60228a009, (04/04/2024).</w:t>
      </w:r>
    </w:p>
    <w:p w14:paraId="04BA04A6" w14:textId="77777777" w:rsidR="00173D3C" w:rsidRPr="00173D3C" w:rsidRDefault="00173D3C" w:rsidP="00173D3C">
      <w:pPr>
        <w:pStyle w:val="Bibliography"/>
        <w:jc w:val="both"/>
        <w:rPr>
          <w:b/>
          <w:bCs/>
        </w:rPr>
      </w:pPr>
      <w:r w:rsidRPr="00173D3C">
        <w:rPr>
          <w:b/>
          <w:bCs/>
        </w:rPr>
        <w:t>Kebbi-Benkeder Z., 2015. Interspecific and intraspecific biodiversity of nodal extractables (PhD Thesis).</w:t>
      </w:r>
    </w:p>
    <w:p w14:paraId="6F510B26" w14:textId="77777777" w:rsidR="00173D3C" w:rsidRPr="00173D3C" w:rsidRDefault="00173D3C" w:rsidP="00173D3C">
      <w:pPr>
        <w:pStyle w:val="Bibliography"/>
        <w:jc w:val="both"/>
        <w:rPr>
          <w:b/>
          <w:bCs/>
        </w:rPr>
      </w:pPr>
      <w:r w:rsidRPr="00173D3C">
        <w:rPr>
          <w:b/>
          <w:bCs/>
        </w:rPr>
        <w:lastRenderedPageBreak/>
        <w:t>Kemassi A., Amel H., Abdelkader H., Rokaia C., &amp; Ould, 2019. Insecticidal effect of aqueous extracts of euphorbia guyoniana (euphorbiaceae) harvested in oued sebseb (Algerian sahara) on tribolium castaneum Vol.20,No. DOI:10.22453/LSJ-020.1.055-070.</w:t>
      </w:r>
    </w:p>
    <w:p w14:paraId="1325AF83" w14:textId="77777777" w:rsidR="00173D3C" w:rsidRPr="00173D3C" w:rsidRDefault="00173D3C" w:rsidP="00173D3C">
      <w:pPr>
        <w:pStyle w:val="Bibliography"/>
        <w:jc w:val="both"/>
        <w:rPr>
          <w:b/>
          <w:bCs/>
        </w:rPr>
      </w:pPr>
      <w:r w:rsidRPr="00173D3C">
        <w:rPr>
          <w:b/>
          <w:bCs/>
        </w:rPr>
        <w:t>Lehnebach R., 2015. A study of linear profile ontogenetic variability in some tropical forest species of French Guiana (Doctoral thesis).</w:t>
      </w:r>
    </w:p>
    <w:p w14:paraId="27CAEE10" w14:textId="77777777" w:rsidR="00173D3C" w:rsidRPr="00173D3C" w:rsidRDefault="00173D3C" w:rsidP="00173D3C">
      <w:pPr>
        <w:pStyle w:val="Bibliography"/>
        <w:jc w:val="both"/>
        <w:rPr>
          <w:b/>
          <w:bCs/>
        </w:rPr>
      </w:pPr>
      <w:r w:rsidRPr="00173D3C">
        <w:rPr>
          <w:b/>
          <w:bCs/>
        </w:rPr>
        <w:t>Loko L.Y., Alagbe O., Dannon E.A., Datinon B., Orobiyi A., Thomas-Odjo A., Dansi A. &amp; Tamò M., 2017. Repellent Effect and Insecticidal Activities of Bridelia ferruginea Blighia sapida , and Khaya senegalensis Leaves Powders and Extracts against Dinoderus porcellus in Infested Dried Yam Chips. Psyche: A Journal of Entomology 2017, 1–18, DOI:10.1155/2017/5468202.</w:t>
      </w:r>
    </w:p>
    <w:p w14:paraId="5BBB5AD0" w14:textId="77777777" w:rsidR="00173D3C" w:rsidRPr="00173D3C" w:rsidRDefault="00173D3C" w:rsidP="00173D3C">
      <w:pPr>
        <w:pStyle w:val="Bibliography"/>
        <w:jc w:val="both"/>
        <w:rPr>
          <w:b/>
          <w:bCs/>
        </w:rPr>
      </w:pPr>
      <w:r w:rsidRPr="00173D3C">
        <w:rPr>
          <w:b/>
          <w:bCs/>
        </w:rPr>
        <w:t>McDonald LL, Guy RH. &amp; Speirs R.D., 1970. Preliminary Evaluation of New Candidate Materials as Toxicants, Repellents, and Attractants Against Stored-product Insects, Agricultural Research Service, United States Department of Agriculture, 12.</w:t>
      </w:r>
    </w:p>
    <w:p w14:paraId="3D97D4D9" w14:textId="77777777" w:rsidR="00173D3C" w:rsidRPr="00173D3C" w:rsidRDefault="00173D3C" w:rsidP="00173D3C">
      <w:pPr>
        <w:pStyle w:val="Bibliography"/>
        <w:jc w:val="both"/>
        <w:rPr>
          <w:b/>
          <w:bCs/>
        </w:rPr>
      </w:pPr>
      <w:r w:rsidRPr="00173D3C">
        <w:rPr>
          <w:b/>
          <w:bCs/>
        </w:rPr>
        <w:t>Mithöfer A. &amp; Boland W., 2012. Plant Defense Against Herbivores: Chemical Aspects. Annual Review of Plant Biology 63(Volume 63, 2012), 431–450, DOI:10.1146/annurev-arplant-042110-103854.</w:t>
      </w:r>
    </w:p>
    <w:p w14:paraId="04CD6945" w14:textId="77777777" w:rsidR="00173D3C" w:rsidRPr="00173D3C" w:rsidRDefault="00173D3C" w:rsidP="00173D3C">
      <w:pPr>
        <w:pStyle w:val="Bibliography"/>
        <w:jc w:val="both"/>
        <w:rPr>
          <w:b/>
          <w:bCs/>
        </w:rPr>
      </w:pPr>
      <w:r w:rsidRPr="00173D3C">
        <w:rPr>
          <w:b/>
          <w:bCs/>
        </w:rPr>
        <w:t>Mwango A. &amp; Kambole C., 2019. Engineering Characteristics and Potential Increased Utilisation of Sawdust Composites in Construction—A Review. Journal of Building Construction and Planning Research 7(3), 59–88, DOI:10.4236/jbcpr.2019.73005.</w:t>
      </w:r>
    </w:p>
    <w:p w14:paraId="574C26C6" w14:textId="77777777" w:rsidR="00173D3C" w:rsidRPr="00173D3C" w:rsidRDefault="00173D3C" w:rsidP="00173D3C">
      <w:pPr>
        <w:pStyle w:val="Bibliography"/>
        <w:jc w:val="both"/>
        <w:rPr>
          <w:b/>
          <w:bCs/>
        </w:rPr>
      </w:pPr>
      <w:r w:rsidRPr="00173D3C">
        <w:rPr>
          <w:b/>
          <w:bCs/>
        </w:rPr>
        <w:t>Nerio L.S., Olivero-Verbel J. &amp; Stashenko E.E., 2009. Repellent activity of essential oils from seven aromatic plants grown in Colombia against Sitophilus zeamais Motschulsky (Coleoptera). Journal of Stored Products Research 45(3), 212–214, DOI:10.1016/j.jspr.2009.01.002.</w:t>
      </w:r>
    </w:p>
    <w:p w14:paraId="2597AB91" w14:textId="77777777" w:rsidR="00173D3C" w:rsidRDefault="00173D3C" w:rsidP="00173D3C">
      <w:pPr>
        <w:pStyle w:val="Bibliography"/>
        <w:jc w:val="both"/>
        <w:rPr>
          <w:b/>
          <w:bCs/>
        </w:rPr>
      </w:pPr>
      <w:r w:rsidRPr="00173D3C">
        <w:rPr>
          <w:b/>
          <w:bCs/>
        </w:rPr>
        <w:t>Ngamo L.S.T. &amp; Hance T.H., 2007. Diversity of food pests and alternative control methods in tropical environments. Tropicultura 25(4), 215–220.</w:t>
      </w:r>
    </w:p>
    <w:p w14:paraId="69461ACD" w14:textId="14B958FD" w:rsidR="00173D3C" w:rsidRPr="00173D3C" w:rsidRDefault="00173D3C" w:rsidP="00173D3C">
      <w:pPr>
        <w:pStyle w:val="Bibliography"/>
        <w:jc w:val="both"/>
        <w:rPr>
          <w:b/>
          <w:bCs/>
        </w:rPr>
      </w:pPr>
      <w:r w:rsidRPr="00173D3C">
        <w:rPr>
          <w:b/>
          <w:bCs/>
        </w:rPr>
        <w:t>Niamké F.B., Amusant N., Augustin A.A. &amp; Chaix G., 2021. Teakwood Chemistry and Natural Durability. In: Ramasamy, Y., Galeano, E., Win, T.T. eds. The Teak Genome, Compendium of Plant Genomes. Springer International Publishing, Cham, 83–102.</w:t>
      </w:r>
    </w:p>
    <w:p w14:paraId="1B07A533" w14:textId="77777777" w:rsidR="00173D3C" w:rsidRDefault="00173D3C" w:rsidP="00173D3C">
      <w:pPr>
        <w:pStyle w:val="Bibliography"/>
        <w:jc w:val="both"/>
        <w:rPr>
          <w:b/>
          <w:bCs/>
        </w:rPr>
      </w:pPr>
      <w:r w:rsidRPr="00173D3C">
        <w:rPr>
          <w:b/>
          <w:bCs/>
        </w:rPr>
        <w:t>Niber B.T., 1994. The ability of powders and sludges from ten plant species to protect stored cereals against attacks by Prostephanus truncatus horn (Coleoptera: Bostrichidae) and Sitophilus oryzae L. (Coleoptera: Curculionidae). Journal of Stored Products Research 30(4), 297–301, DOI:10.1016/S0022-474X(94)90321-2.</w:t>
      </w:r>
    </w:p>
    <w:p w14:paraId="44059E02" w14:textId="7491DE3C" w:rsidR="00173D3C" w:rsidRPr="00173D3C" w:rsidRDefault="00173D3C" w:rsidP="00173D3C">
      <w:pPr>
        <w:pStyle w:val="Bibliography"/>
        <w:jc w:val="both"/>
        <w:rPr>
          <w:b/>
          <w:bCs/>
        </w:rPr>
      </w:pPr>
      <w:r w:rsidRPr="00173D3C">
        <w:rPr>
          <w:b/>
          <w:bCs/>
        </w:rPr>
        <w:t>Obeng</w:t>
      </w:r>
      <w:r w:rsidRPr="00173D3C">
        <w:rPr>
          <w:rFonts w:ascii="Cambria Math" w:hAnsi="Cambria Math" w:cs="Cambria Math"/>
          <w:b/>
          <w:bCs/>
        </w:rPr>
        <w:t>‐</w:t>
      </w:r>
      <w:r w:rsidRPr="00173D3C">
        <w:rPr>
          <w:b/>
          <w:bCs/>
        </w:rPr>
        <w:t>Ofori D., Reichmuth Ch., Bekele J. &amp; Hassanali A., 1997. Biological activity of 1,8 cineole, a major component of essential oil of Ocimum kenyense (Ayobangira) against stored product beetles. J Applied Entomology 121(1</w:t>
      </w:r>
      <w:r w:rsidRPr="00173D3C">
        <w:rPr>
          <w:rFonts w:ascii="Aptos" w:hAnsi="Aptos" w:cs="Aptos"/>
          <w:b/>
          <w:bCs/>
        </w:rPr>
        <w:t>–</w:t>
      </w:r>
      <w:r w:rsidRPr="00173D3C">
        <w:rPr>
          <w:b/>
          <w:bCs/>
        </w:rPr>
        <w:t>5), 237</w:t>
      </w:r>
      <w:r w:rsidRPr="00173D3C">
        <w:rPr>
          <w:rFonts w:ascii="Aptos" w:hAnsi="Aptos" w:cs="Aptos"/>
          <w:b/>
          <w:bCs/>
        </w:rPr>
        <w:t>–</w:t>
      </w:r>
      <w:r w:rsidRPr="00173D3C">
        <w:rPr>
          <w:b/>
          <w:bCs/>
        </w:rPr>
        <w:t>243, DOI:10.1111/j.1439-0418.1997.tb01399.x.</w:t>
      </w:r>
    </w:p>
    <w:p w14:paraId="268B78A3" w14:textId="77777777" w:rsidR="00173D3C" w:rsidRPr="00173D3C" w:rsidRDefault="00173D3C" w:rsidP="00173D3C">
      <w:pPr>
        <w:pStyle w:val="Bibliography"/>
        <w:jc w:val="both"/>
        <w:rPr>
          <w:b/>
          <w:bCs/>
        </w:rPr>
      </w:pPr>
      <w:r w:rsidRPr="00173D3C">
        <w:rPr>
          <w:b/>
          <w:bCs/>
        </w:rPr>
        <w:t>Ojimelukwe P.C. &amp; Adler C., 1999. Potential of zimtaldehyde, 4-allyl-anisol, linalool, terpineol and other phytochemicals for the control of the confused flour beetle (Tribolium confusum J. d. V.) (Col., Tenebrionidae). Anz. Schadlingskde., Pflanzenschutz, Umweltschutz 72(4), 81–86, DOI:10.1007/BF02768913.</w:t>
      </w:r>
    </w:p>
    <w:p w14:paraId="4F9FCABF" w14:textId="77777777" w:rsidR="00173D3C" w:rsidRPr="00173D3C" w:rsidRDefault="00173D3C" w:rsidP="00173D3C">
      <w:pPr>
        <w:pStyle w:val="Bibliography"/>
        <w:jc w:val="both"/>
        <w:rPr>
          <w:b/>
          <w:bCs/>
        </w:rPr>
      </w:pPr>
      <w:r w:rsidRPr="00173D3C">
        <w:rPr>
          <w:b/>
          <w:bCs/>
        </w:rPr>
        <w:t>Papachristos D.P. &amp; Stamopoulos D.C., 2002. Repellent, toxic and reproduction inhibitory effects of essential oil vapours on Acanthoscelides obtectus (Say) (Coleoptera: Bruchidae). Journal of Stored Products Research 38(2), 117–128, DOI:10.1016/S0022-474X(01)00007-8.</w:t>
      </w:r>
    </w:p>
    <w:p w14:paraId="4031F0CE" w14:textId="77777777" w:rsidR="00173D3C" w:rsidRPr="00173D3C" w:rsidRDefault="00173D3C" w:rsidP="00173D3C">
      <w:pPr>
        <w:pStyle w:val="Bibliography"/>
        <w:jc w:val="both"/>
        <w:rPr>
          <w:b/>
          <w:bCs/>
        </w:rPr>
      </w:pPr>
      <w:r w:rsidRPr="00173D3C">
        <w:rPr>
          <w:b/>
          <w:bCs/>
        </w:rPr>
        <w:t>Prates H.T., Santos J.P., Waquil J.M., Fabris J.D., Oliveira A.B. &amp; Foster J.E., 1998. Activité insecticide des monoterpènes contre Rhyzopertha dominica (F.) et Tribolium castaneum (Herbst). Journal of Stored Products Research 34(4), 243–249, DOI:10.1016/S0022-474X(98)00005-8.</w:t>
      </w:r>
    </w:p>
    <w:p w14:paraId="56EFEC7F" w14:textId="77777777" w:rsidR="00173D3C" w:rsidRPr="00173D3C" w:rsidRDefault="00173D3C" w:rsidP="00173D3C">
      <w:pPr>
        <w:pStyle w:val="Bibliography"/>
        <w:jc w:val="both"/>
        <w:rPr>
          <w:b/>
          <w:bCs/>
        </w:rPr>
      </w:pPr>
      <w:r w:rsidRPr="00173D3C">
        <w:rPr>
          <w:b/>
          <w:bCs/>
        </w:rPr>
        <w:t>Ribeiro L.P., Vendramim J.D., Andrade M.S., Bicalho K.U., Silva M., Vieira P.C. &amp; Fernandes J.B., 2014. Tropical plant extracts as sources of grain-protectant compounds against Sitophilus zeamais Motschulsky (Coleoptera: Curculionidae). Neotropical entomology 43, 470–482.</w:t>
      </w:r>
    </w:p>
    <w:p w14:paraId="4D509FEC" w14:textId="77777777" w:rsidR="00173D3C" w:rsidRPr="00173D3C" w:rsidRDefault="00173D3C" w:rsidP="00173D3C">
      <w:pPr>
        <w:pStyle w:val="Bibliography"/>
        <w:jc w:val="both"/>
        <w:rPr>
          <w:b/>
          <w:bCs/>
        </w:rPr>
      </w:pPr>
      <w:r w:rsidRPr="00173D3C">
        <w:rPr>
          <w:b/>
          <w:bCs/>
        </w:rPr>
        <w:lastRenderedPageBreak/>
        <w:t>Saha A., Choudhuri R.S. &amp; Kakali B., 2024. A review on insecticidal efficacy of phytochemicals on stored grain insect pests. Notulae Scientia Biologicae 16(3), 1–36, DOI:10.55779/nsb16311939.</w:t>
      </w:r>
    </w:p>
    <w:p w14:paraId="29140E22" w14:textId="77777777" w:rsidR="00173D3C" w:rsidRPr="00173D3C" w:rsidRDefault="00173D3C" w:rsidP="00173D3C">
      <w:pPr>
        <w:pStyle w:val="Bibliography"/>
        <w:jc w:val="both"/>
        <w:rPr>
          <w:b/>
          <w:bCs/>
        </w:rPr>
      </w:pPr>
      <w:r w:rsidRPr="00173D3C">
        <w:rPr>
          <w:b/>
          <w:bCs/>
        </w:rPr>
        <w:t>Shaaya E. &amp; Kostjukovsky M., 1998. Efficacy of Phyto-Oils as Contact Insecticides and Fumigants for the Control of Stored-Product Insects. In: Ishaaya, I., Degheele, D. eds. Insecticides with Novel Modes of Action: Mechanisms and Application. Springer, Berlin, Heidelberg, 171–187.</w:t>
      </w:r>
    </w:p>
    <w:p w14:paraId="016EE953" w14:textId="77777777" w:rsidR="00173D3C" w:rsidRPr="00173D3C" w:rsidRDefault="00173D3C" w:rsidP="00173D3C">
      <w:pPr>
        <w:pStyle w:val="Bibliography"/>
        <w:jc w:val="both"/>
        <w:rPr>
          <w:b/>
          <w:bCs/>
        </w:rPr>
      </w:pPr>
      <w:r w:rsidRPr="00173D3C">
        <w:rPr>
          <w:b/>
          <w:bCs/>
        </w:rPr>
        <w:t>Sikirou R., Arodokou D., Bello S., Hounsou C.M., Zannou E., Afoha S.P., Aboe M.M., Zocli B. &amp; Bokonon-Ganta A., 2020. 8 Bello ASA Protect DP Volume spécial, 2015, 187–200.</w:t>
      </w:r>
    </w:p>
    <w:p w14:paraId="16F9C6C2" w14:textId="77777777" w:rsidR="00173D3C" w:rsidRPr="00173D3C" w:rsidRDefault="00173D3C" w:rsidP="00173D3C">
      <w:pPr>
        <w:pStyle w:val="Bibliography"/>
        <w:jc w:val="both"/>
        <w:rPr>
          <w:b/>
          <w:bCs/>
        </w:rPr>
      </w:pPr>
      <w:r w:rsidRPr="00173D3C">
        <w:rPr>
          <w:b/>
          <w:bCs/>
        </w:rPr>
        <w:t>Souza A.M., Nascimento M.F., Almeida D.H., Lopes Silva D.A., Almeida T.H., Christoforo A.L. &amp; Lahr F.A.R., 2018. Wood-based composite made of wood waste and epoxy based ink-waste as adhesive: A cleaner production alternative. Journal of Cleaner Production 193, 549–562, DOI:10.1016/j.jclepro.2018.05.087.</w:t>
      </w:r>
    </w:p>
    <w:p w14:paraId="074ABD66" w14:textId="77777777" w:rsidR="00173D3C" w:rsidRPr="00173D3C" w:rsidRDefault="00173D3C" w:rsidP="00173D3C">
      <w:pPr>
        <w:pStyle w:val="Bibliography"/>
        <w:jc w:val="both"/>
        <w:rPr>
          <w:b/>
          <w:bCs/>
        </w:rPr>
      </w:pPr>
      <w:r w:rsidRPr="00173D3C">
        <w:rPr>
          <w:b/>
          <w:bCs/>
        </w:rPr>
        <w:t>Stejskal V., Hubert J., Aulicky R. &amp; Kucerova Z., 2015. Overview of present and past and pest-associated risks in stored food and feed products: European perspective. Journal of Stored Products Research 64, 122–132.</w:t>
      </w:r>
    </w:p>
    <w:p w14:paraId="64C31E3C" w14:textId="77777777" w:rsidR="00173D3C" w:rsidRDefault="00173D3C" w:rsidP="00173D3C">
      <w:pPr>
        <w:pStyle w:val="Bibliography"/>
        <w:jc w:val="both"/>
        <w:rPr>
          <w:b/>
          <w:bCs/>
        </w:rPr>
      </w:pPr>
      <w:r w:rsidRPr="00173D3C">
        <w:rPr>
          <w:b/>
          <w:bCs/>
        </w:rPr>
        <w:t>Tapondjou A.L., Adler C., Fontem D.A., Bouda H. &amp; Reichmuth C., 2005. Bioactivities of cymol and essential oils of Cupressus sempervirens and Eucalyptus saligna against Sitophilus zeamais Motschulsky and Tribolium confusum du Val. Journal of Stored Products Research 41(1), 91–102, DOI:10.1016/j.jspr.2004.01.004.</w:t>
      </w:r>
    </w:p>
    <w:p w14:paraId="1A4786AF" w14:textId="31DF761E" w:rsidR="00173D3C" w:rsidRPr="00173D3C" w:rsidRDefault="00173D3C" w:rsidP="00173D3C">
      <w:pPr>
        <w:pStyle w:val="Bibliography"/>
        <w:jc w:val="both"/>
        <w:rPr>
          <w:b/>
          <w:bCs/>
        </w:rPr>
      </w:pPr>
      <w:r w:rsidRPr="00173D3C">
        <w:rPr>
          <w:b/>
          <w:bCs/>
        </w:rPr>
        <w:t>Taylor A.M., Gartner B.L. &amp; Morrell J.J., 2002. Heartwood formation and natural durability-a review. Society of wood science and Technologiy 34 (4), 587–611.</w:t>
      </w:r>
    </w:p>
    <w:p w14:paraId="4E30FA55" w14:textId="77777777" w:rsidR="00173D3C" w:rsidRDefault="00173D3C" w:rsidP="00173D3C">
      <w:pPr>
        <w:pStyle w:val="Bibliography"/>
        <w:jc w:val="both"/>
        <w:rPr>
          <w:b/>
          <w:bCs/>
        </w:rPr>
      </w:pPr>
      <w:r w:rsidRPr="00173D3C">
        <w:rPr>
          <w:b/>
          <w:bCs/>
        </w:rPr>
        <w:t>Throne J.E. &amp; Eubanks M.W., 2002. Résistance du Tripsacorn à Sitophilus zeamais et Oryzaephilus surinamensis. Journal of Stored Products Research 38(3), 239–245, DOI:10.1016/S0022-474X(01)00018-2.</w:t>
      </w:r>
    </w:p>
    <w:p w14:paraId="600463FD" w14:textId="2A5D090D" w:rsidR="00173D3C" w:rsidRPr="00173D3C" w:rsidRDefault="00173D3C" w:rsidP="00173D3C">
      <w:pPr>
        <w:pStyle w:val="Bibliography"/>
        <w:jc w:val="both"/>
        <w:rPr>
          <w:b/>
          <w:bCs/>
        </w:rPr>
      </w:pPr>
      <w:r w:rsidRPr="00173D3C">
        <w:rPr>
          <w:b/>
          <w:bCs/>
        </w:rPr>
        <w:t>Tra-Bi C.S., Akpesse A.A.M., Boga J.P., Yapi A., Kouasssi K.P., Konaté S. &amp; Tano Y., 2014. Diversity and abundance of Hypogenous termites (Insecta: Isoptera) in cocoa plantation (Theobroma cacao L.) in semi deciduous forest zone (Oume, Cote d’Ivoire). Pensee Journal 76(1), 138–146.</w:t>
      </w:r>
    </w:p>
    <w:p w14:paraId="237CD9C6" w14:textId="77777777" w:rsidR="00173D3C" w:rsidRPr="00173D3C" w:rsidRDefault="00173D3C" w:rsidP="00173D3C">
      <w:pPr>
        <w:pStyle w:val="Bibliography"/>
        <w:jc w:val="both"/>
        <w:rPr>
          <w:b/>
          <w:bCs/>
        </w:rPr>
      </w:pPr>
      <w:r w:rsidRPr="00173D3C">
        <w:rPr>
          <w:b/>
          <w:bCs/>
        </w:rPr>
        <w:t>Tsao R. &amp; Eto M., 1996. Light-activated plant growth inhibitory activity of cis-dehydromatricaria ester, rose bengal and fluoren-9-one on lettuce (Lactuca saliva L.). Chemosphere 32(7), 1307–1317, DOI:10.1016/0045-6535(96)00042-2.</w:t>
      </w:r>
    </w:p>
    <w:p w14:paraId="07BB33E2" w14:textId="77777777" w:rsidR="00173D3C" w:rsidRPr="00173D3C" w:rsidRDefault="00173D3C" w:rsidP="00173D3C">
      <w:pPr>
        <w:pStyle w:val="Bibliography"/>
        <w:jc w:val="both"/>
        <w:rPr>
          <w:b/>
          <w:bCs/>
        </w:rPr>
      </w:pPr>
      <w:r w:rsidRPr="00173D3C">
        <w:rPr>
          <w:b/>
          <w:bCs/>
        </w:rPr>
        <w:t>Tsao R., Romanchuk F.E., Peterson C.J. &amp; Coats J.R., 2002. Plant growth regulatory effect and insecticidal activity of the extracts of the Tree of Heaven (Ailanthus altissima L.). BMC Ecol 2(1), 1, DOI:10.1186/1472-6785-2-1.</w:t>
      </w:r>
    </w:p>
    <w:p w14:paraId="33C22C5C" w14:textId="77777777" w:rsidR="00173D3C" w:rsidRPr="00173D3C" w:rsidRDefault="00173D3C" w:rsidP="00173D3C">
      <w:pPr>
        <w:pStyle w:val="Bibliography"/>
        <w:jc w:val="both"/>
        <w:rPr>
          <w:b/>
          <w:bCs/>
        </w:rPr>
      </w:pPr>
      <w:r w:rsidRPr="00173D3C">
        <w:rPr>
          <w:b/>
          <w:bCs/>
        </w:rPr>
        <w:t>Wang J., Zhu F., Zhou X.M., Niu C.Y. &amp; Lei C.L., 2006. Repellent and fumigant activity of essential oil from Artemisia vulgaris to Tribolium castaneum (Herbst) (Coleoptera: Tenebrionidae). Journal of Stored Products Research 42(3), 339–347, DOI:10.1016/j.jspr.2005.06.001.</w:t>
      </w:r>
    </w:p>
    <w:p w14:paraId="3B2C954C" w14:textId="77777777" w:rsidR="00173D3C" w:rsidRPr="00173D3C" w:rsidRDefault="00173D3C" w:rsidP="00173D3C">
      <w:pPr>
        <w:pStyle w:val="Bibliography"/>
        <w:jc w:val="both"/>
        <w:rPr>
          <w:b/>
          <w:bCs/>
        </w:rPr>
      </w:pPr>
      <w:r w:rsidRPr="00173D3C">
        <w:rPr>
          <w:b/>
          <w:bCs/>
        </w:rPr>
        <w:t>Weaver D.K., Zetileh L.J., Wells C.D., Baker J.E., Bertsch W. &amp; Thhone J.E., 1997. Toxicity of Fractionated and Degraded Mexican Marigold Floral Extract to Adult Sitophilus zeamais (Coleoptera: Curculionidae). Journal of Economic Entomology 90(6), 1678–1683, DOI:10.1093/jee/90.6.1678.</w:t>
      </w:r>
    </w:p>
    <w:p w14:paraId="374552D8" w14:textId="6026F64B" w:rsidR="007C5ABF" w:rsidRPr="00632779" w:rsidRDefault="00173D3C" w:rsidP="00173D3C">
      <w:pPr>
        <w:pStyle w:val="Bibliography"/>
        <w:jc w:val="both"/>
        <w:rPr>
          <w:rFonts w:ascii="Times New Roman" w:hAnsi="Times New Roman" w:cs="Times New Roman"/>
          <w:lang w:val="en-US"/>
        </w:rPr>
      </w:pPr>
      <w:r w:rsidRPr="00173D3C">
        <w:rPr>
          <w:b/>
          <w:bCs/>
        </w:rPr>
        <w:t>Zaime A. &amp; Gautier J.-Y., 1989. Comparison of the diets of three sympatric species of Gerbillidae in a Saharan environment, in Morocco. Revue d’Écologie 44(2), 153-163 pp, DOI:hal-03533282.</w:t>
      </w:r>
    </w:p>
    <w:sectPr w:rsidR="007C5ABF" w:rsidRPr="00632779" w:rsidSect="00EB4F6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an AlSalihi" w:date="2026-02-27T14:25:00Z" w:initials="MA">
    <w:p w14:paraId="47EC0978" w14:textId="64701AF3" w:rsidR="008F05B6" w:rsidRPr="008F05B6" w:rsidRDefault="008F05B6">
      <w:pPr>
        <w:pStyle w:val="CommentText"/>
        <w:rPr>
          <w:lang w:val="en-US"/>
        </w:rPr>
      </w:pPr>
      <w:r>
        <w:rPr>
          <w:rStyle w:val="CommentReference"/>
        </w:rPr>
        <w:annotationRef/>
      </w:r>
      <w:r w:rsidRPr="008F05B6">
        <w:t>Delete and replace with</w:t>
      </w:r>
      <w:r>
        <w:rPr>
          <w:lang w:val="en-US"/>
        </w:rPr>
        <w:t xml:space="preserve"> (from wood)</w:t>
      </w:r>
    </w:p>
  </w:comment>
  <w:comment w:id="3" w:author="Maan AlSalihi" w:date="2026-02-27T14:26:00Z" w:initials="MA">
    <w:p w14:paraId="3BC6C1CE" w14:textId="76F728B3" w:rsidR="008F05B6" w:rsidRDefault="008F05B6">
      <w:pPr>
        <w:pStyle w:val="CommentText"/>
      </w:pPr>
      <w:r>
        <w:rPr>
          <w:rStyle w:val="CommentReference"/>
        </w:rPr>
        <w:annotationRef/>
      </w:r>
      <w:r w:rsidRPr="008F05B6">
        <w:t>Delete and replace with</w:t>
      </w:r>
      <w:r>
        <w:t xml:space="preserve"> (is resistant)</w:t>
      </w:r>
    </w:p>
  </w:comment>
  <w:comment w:id="4" w:author="Maan AlSalihi" w:date="2026-02-27T14:27:00Z" w:initials="MA">
    <w:p w14:paraId="438835C9" w14:textId="67174CB2" w:rsidR="00837F69" w:rsidRDefault="00837F69">
      <w:pPr>
        <w:pStyle w:val="CommentText"/>
      </w:pPr>
      <w:r>
        <w:rPr>
          <w:rStyle w:val="CommentReference"/>
        </w:rPr>
        <w:annotationRef/>
      </w:r>
      <w:r w:rsidRPr="00837F69">
        <w:t>Delete and replace with</w:t>
      </w:r>
      <w:r>
        <w:t xml:space="preserve"> (Sitophilus)</w:t>
      </w:r>
    </w:p>
  </w:comment>
  <w:comment w:id="5" w:author="Maan AlSalihi" w:date="2026-02-27T14:29:00Z" w:initials="MA">
    <w:p w14:paraId="2244E040" w14:textId="4CBDA135" w:rsidR="00517699" w:rsidRDefault="00517699">
      <w:pPr>
        <w:pStyle w:val="CommentText"/>
      </w:pPr>
      <w:r>
        <w:rPr>
          <w:rStyle w:val="CommentReference"/>
        </w:rPr>
        <w:annotationRef/>
      </w:r>
      <w:r w:rsidRPr="00517699">
        <w:t>Delete and replace with</w:t>
      </w:r>
      <w:r>
        <w:t xml:space="preserve"> (castaneum)</w:t>
      </w:r>
    </w:p>
  </w:comment>
  <w:comment w:id="6" w:author="Maan AlSalihi" w:date="2026-02-27T14:31:00Z" w:initials="MA">
    <w:p w14:paraId="11E2DC6B" w14:textId="48129CA3" w:rsidR="006E0D04" w:rsidRDefault="006E0D04">
      <w:pPr>
        <w:pStyle w:val="CommentText"/>
      </w:pPr>
      <w:r>
        <w:rPr>
          <w:rStyle w:val="CommentReference"/>
        </w:rPr>
        <w:annotationRef/>
      </w:r>
      <w:r w:rsidRPr="006E0D04">
        <w:t>Delete and replace with</w:t>
      </w:r>
      <w:r>
        <w:t xml:space="preserve"> (loss)</w:t>
      </w:r>
    </w:p>
  </w:comment>
  <w:comment w:id="7" w:author="Maan AlSalihi" w:date="2026-02-27T14:32:00Z" w:initials="MA">
    <w:p w14:paraId="4C62E9CF" w14:textId="54AB8FA0" w:rsidR="00D77F6A" w:rsidRDefault="00D77F6A">
      <w:pPr>
        <w:pStyle w:val="CommentText"/>
      </w:pPr>
      <w:r>
        <w:rPr>
          <w:rStyle w:val="CommentReference"/>
        </w:rPr>
        <w:annotationRef/>
      </w:r>
      <w:r w:rsidRPr="00D77F6A">
        <w:t>Delete and replace with</w:t>
      </w:r>
      <w:r>
        <w:t xml:space="preserve"> (crop)</w:t>
      </w:r>
    </w:p>
  </w:comment>
  <w:comment w:id="9" w:author="Maan AlSalihi" w:date="2026-02-27T14:32:00Z" w:initials="MA">
    <w:p w14:paraId="6889C590" w14:textId="2337A55E" w:rsidR="00804150" w:rsidRDefault="00804150">
      <w:pPr>
        <w:pStyle w:val="CommentText"/>
      </w:pPr>
      <w:r>
        <w:rPr>
          <w:rStyle w:val="CommentReference"/>
        </w:rPr>
        <w:annotationRef/>
      </w:r>
      <w:r w:rsidRPr="00804150">
        <w:t>Delete and replace with</w:t>
      </w:r>
      <w:r>
        <w:t xml:space="preserve"> (analyses)</w:t>
      </w:r>
    </w:p>
  </w:comment>
  <w:comment w:id="10" w:author="Maan AlSalihi" w:date="2026-02-27T14:33:00Z" w:initials="MA">
    <w:p w14:paraId="0588B500" w14:textId="6033ABD3" w:rsidR="00460CC8" w:rsidRDefault="00460CC8">
      <w:pPr>
        <w:pStyle w:val="CommentText"/>
      </w:pPr>
      <w:r>
        <w:rPr>
          <w:rStyle w:val="CommentReference"/>
        </w:rPr>
        <w:annotationRef/>
      </w:r>
      <w:r w:rsidRPr="00460CC8">
        <w:t>Delete and replace with</w:t>
      </w:r>
      <w:r>
        <w:t xml:space="preserve"> (identify)</w:t>
      </w:r>
    </w:p>
  </w:comment>
  <w:comment w:id="11" w:author="Maan AlSalihi" w:date="2026-02-27T14:33:00Z" w:initials="MA">
    <w:p w14:paraId="22242DDD" w14:textId="1655955C" w:rsidR="00685A1F" w:rsidRDefault="00685A1F">
      <w:pPr>
        <w:pStyle w:val="CommentText"/>
      </w:pPr>
      <w:r>
        <w:rPr>
          <w:rStyle w:val="CommentReference"/>
        </w:rPr>
        <w:annotationRef/>
      </w:r>
      <w:r w:rsidRPr="00685A1F">
        <w:t>Delete and replace with</w:t>
      </w:r>
      <w:r>
        <w:t xml:space="preserve"> (Materials)</w:t>
      </w:r>
    </w:p>
  </w:comment>
  <w:comment w:id="19" w:author="Maan AlSalihi" w:date="2026-02-27T14:35:00Z" w:initials="MA">
    <w:p w14:paraId="3DA07A9B" w14:textId="7558C77E" w:rsidR="00FA43AE" w:rsidRDefault="00FA43AE">
      <w:pPr>
        <w:pStyle w:val="CommentText"/>
      </w:pPr>
      <w:r>
        <w:rPr>
          <w:rStyle w:val="CommentReference"/>
        </w:rPr>
        <w:annotationRef/>
      </w:r>
      <w:r w:rsidRPr="00FA43AE">
        <w:t>Delete and replace with</w:t>
      </w:r>
      <w:r>
        <w:t xml:space="preserve"> (at)</w:t>
      </w:r>
    </w:p>
  </w:comment>
  <w:comment w:id="20" w:author="Maan AlSalihi" w:date="2026-02-27T14:36:00Z" w:initials="MA">
    <w:p w14:paraId="64FFFEFE" w14:textId="667701E3" w:rsidR="000D56C7" w:rsidRDefault="000D56C7">
      <w:pPr>
        <w:pStyle w:val="CommentText"/>
      </w:pPr>
      <w:r>
        <w:rPr>
          <w:rStyle w:val="CommentReference"/>
        </w:rPr>
        <w:annotationRef/>
      </w:r>
      <w:r w:rsidRPr="000D56C7">
        <w:t>Delete and replace with</w:t>
      </w:r>
      <w:r>
        <w:t xml:space="preserve"> (adjusted)</w:t>
      </w:r>
    </w:p>
  </w:comment>
  <w:comment w:id="21" w:author="Maan AlSalihi" w:date="2026-02-27T14:37:00Z" w:initials="MA">
    <w:p w14:paraId="551BD384" w14:textId="6A623747" w:rsidR="00F6234C" w:rsidRDefault="00F6234C">
      <w:pPr>
        <w:pStyle w:val="CommentText"/>
      </w:pPr>
      <w:r>
        <w:rPr>
          <w:rStyle w:val="CommentReference"/>
        </w:rPr>
        <w:annotationRef/>
      </w:r>
      <w:r w:rsidRPr="00F6234C">
        <w:t xml:space="preserve">Delete </w:t>
      </w:r>
    </w:p>
  </w:comment>
  <w:comment w:id="23" w:author="Maan AlSalihi" w:date="2026-02-27T14:37:00Z" w:initials="MA">
    <w:p w14:paraId="54EF8286" w14:textId="2EF05A64" w:rsidR="00F6234C" w:rsidRDefault="00F6234C">
      <w:pPr>
        <w:pStyle w:val="CommentText"/>
      </w:pPr>
      <w:r>
        <w:rPr>
          <w:rStyle w:val="CommentReference"/>
        </w:rPr>
        <w:annotationRef/>
      </w:r>
      <w:r w:rsidRPr="00F6234C">
        <w:t>Delete and replace with</w:t>
      </w:r>
      <w:r>
        <w:t xml:space="preserve"> (analyzed)</w:t>
      </w:r>
    </w:p>
  </w:comment>
  <w:comment w:id="25" w:author="Maan AlSalihi" w:date="2026-02-27T14:38:00Z" w:initials="MA">
    <w:p w14:paraId="7D5F3D21" w14:textId="1F7ACA96" w:rsidR="00933DC2" w:rsidRDefault="00933DC2">
      <w:pPr>
        <w:pStyle w:val="CommentText"/>
      </w:pPr>
      <w:r>
        <w:rPr>
          <w:rStyle w:val="CommentReference"/>
        </w:rPr>
        <w:annotationRef/>
      </w:r>
      <w:r w:rsidRPr="00933DC2">
        <w:t>Delete and replace with</w:t>
      </w:r>
      <w:r>
        <w:t xml:space="preserve"> (heartwood)</w:t>
      </w:r>
    </w:p>
  </w:comment>
  <w:comment w:id="26" w:author="Maan AlSalihi" w:date="2026-02-27T14:39:00Z" w:initials="MA">
    <w:p w14:paraId="2113918D" w14:textId="3C776F75" w:rsidR="00B824D4" w:rsidRDefault="00B824D4">
      <w:pPr>
        <w:pStyle w:val="CommentText"/>
      </w:pPr>
      <w:r>
        <w:rPr>
          <w:rStyle w:val="CommentReference"/>
        </w:rPr>
        <w:annotationRef/>
      </w:r>
      <w:r w:rsidRPr="00B824D4">
        <w:t>Delete and replace with</w:t>
      </w:r>
      <w:r>
        <w:t xml:space="preserve"> (days)</w:t>
      </w:r>
    </w:p>
  </w:comment>
  <w:comment w:id="27" w:author="Maan AlSalihi" w:date="2026-02-27T14:40:00Z" w:initials="MA">
    <w:p w14:paraId="0DA4932D" w14:textId="6FB1AF3D" w:rsidR="002924E9" w:rsidRDefault="002924E9">
      <w:pPr>
        <w:pStyle w:val="CommentText"/>
      </w:pPr>
      <w:r>
        <w:rPr>
          <w:rStyle w:val="CommentReference"/>
        </w:rPr>
        <w:annotationRef/>
      </w:r>
      <w:r w:rsidRPr="002924E9">
        <w:t>Delete and replace with</w:t>
      </w:r>
      <w:r>
        <w:t xml:space="preserve"> (varied)</w:t>
      </w:r>
    </w:p>
  </w:comment>
  <w:comment w:id="35" w:author="Maan AlSalihi" w:date="2026-02-27T14:58:00Z" w:initials="MA">
    <w:p w14:paraId="7FF70462" w14:textId="2A66C4D8" w:rsidR="00EF0DBB" w:rsidRDefault="00EF0DBB">
      <w:pPr>
        <w:pStyle w:val="CommentText"/>
      </w:pPr>
      <w:r>
        <w:rPr>
          <w:rStyle w:val="CommentReference"/>
        </w:rPr>
        <w:annotationRef/>
      </w:r>
      <w:r w:rsidRPr="00EF0DBB">
        <w:t>Delete and replace with</w:t>
      </w:r>
      <w:r>
        <w:t xml:space="preserve"> (an RR)</w:t>
      </w:r>
    </w:p>
  </w:comment>
  <w:comment w:id="36" w:author="Maan AlSalihi" w:date="2026-02-27T14:57:00Z" w:initials="MA">
    <w:p w14:paraId="1CAAEA6A" w14:textId="1EBACDD7" w:rsidR="00921984" w:rsidRDefault="00921984">
      <w:pPr>
        <w:pStyle w:val="CommentText"/>
      </w:pPr>
      <w:r>
        <w:rPr>
          <w:rStyle w:val="CommentReference"/>
        </w:rPr>
        <w:annotationRef/>
      </w:r>
      <w:r w:rsidRPr="00921984">
        <w:t>Delete and replace with</w:t>
      </w:r>
      <w:r>
        <w:t xml:space="preserve"> (an RR)</w:t>
      </w:r>
    </w:p>
  </w:comment>
  <w:comment w:id="37" w:author="Maan AlSalihi" w:date="2026-02-27T14:55:00Z" w:initials="MA">
    <w:p w14:paraId="648D9EF5" w14:textId="5415D91A" w:rsidR="00C5132D" w:rsidRPr="00C5132D" w:rsidRDefault="00C5132D">
      <w:pPr>
        <w:pStyle w:val="CommentText"/>
        <w:rPr>
          <w:vertAlign w:val="subscript"/>
        </w:rPr>
      </w:pPr>
      <w:r>
        <w:rPr>
          <w:rStyle w:val="CommentReference"/>
        </w:rPr>
        <w:annotationRef/>
      </w:r>
      <w:r w:rsidRPr="00C5132D">
        <w:t>Delete and replace with</w:t>
      </w:r>
      <w:r>
        <w:t xml:space="preserve"> (an RR2)</w:t>
      </w:r>
    </w:p>
  </w:comment>
  <w:comment w:id="38" w:author="Maan AlSalihi" w:date="2026-02-27T14:49:00Z" w:initials="MA">
    <w:p w14:paraId="0BFB5B40" w14:textId="4F4C314C" w:rsidR="00AE266B" w:rsidRDefault="00AE266B">
      <w:pPr>
        <w:pStyle w:val="CommentText"/>
      </w:pPr>
      <w:r>
        <w:rPr>
          <w:rStyle w:val="CommentReference"/>
        </w:rPr>
        <w:annotationRef/>
      </w:r>
      <w:r w:rsidRPr="00AE266B">
        <w:t>Delete and replace with</w:t>
      </w:r>
      <w:r>
        <w:t xml:space="preserve"> (an RR)</w:t>
      </w:r>
    </w:p>
  </w:comment>
  <w:comment w:id="39" w:author="Maan AlSalihi" w:date="2026-02-27T14:56:00Z" w:initials="MA">
    <w:p w14:paraId="6536ACC9" w14:textId="4C419F62" w:rsidR="00C5132D" w:rsidRDefault="00C5132D">
      <w:pPr>
        <w:pStyle w:val="CommentText"/>
      </w:pPr>
      <w:r>
        <w:rPr>
          <w:rStyle w:val="CommentReference"/>
        </w:rPr>
        <w:annotationRef/>
      </w:r>
      <w:r w:rsidRPr="00C5132D">
        <w:t>Delete and replace with</w:t>
      </w:r>
      <w:r>
        <w:t xml:space="preserve"> (an RR2)</w:t>
      </w:r>
    </w:p>
  </w:comment>
  <w:comment w:id="41" w:author="Maan AlSalihi" w:date="2026-02-27T14:46:00Z" w:initials="MA">
    <w:p w14:paraId="18145488" w14:textId="4D745385" w:rsidR="00C925F9" w:rsidRDefault="00C925F9" w:rsidP="00C925F9">
      <w:pPr>
        <w:pStyle w:val="CommentText"/>
      </w:pPr>
      <w:r>
        <w:rPr>
          <w:rStyle w:val="CommentReference"/>
        </w:rPr>
        <w:annotationRef/>
      </w:r>
      <w:r w:rsidRPr="00C925F9">
        <w:t>Delete and replace with</w:t>
      </w:r>
      <w:r>
        <w:t xml:space="preserve"> (acetylcholinesterase)</w:t>
      </w:r>
    </w:p>
  </w:comment>
  <w:comment w:id="42" w:author="Maan AlSalihi" w:date="2026-02-27T14:44:00Z" w:initials="MA">
    <w:p w14:paraId="103E08AA" w14:textId="7F9B4B9C" w:rsidR="00DA065B" w:rsidRDefault="00DA065B">
      <w:pPr>
        <w:pStyle w:val="CommentText"/>
      </w:pPr>
      <w:r>
        <w:rPr>
          <w:rStyle w:val="CommentReference"/>
        </w:rPr>
        <w:annotationRef/>
      </w:r>
      <w:r w:rsidRPr="00DA065B">
        <w:t>Delete and replace with</w:t>
      </w:r>
      <w:r>
        <w:t xml:space="preserve"> (impacts)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EC0978" w15:done="0"/>
  <w15:commentEx w15:paraId="3BC6C1CE" w15:done="0"/>
  <w15:commentEx w15:paraId="438835C9" w15:done="0"/>
  <w15:commentEx w15:paraId="2244E040" w15:done="0"/>
  <w15:commentEx w15:paraId="11E2DC6B" w15:done="0"/>
  <w15:commentEx w15:paraId="4C62E9CF" w15:done="0"/>
  <w15:commentEx w15:paraId="6889C590" w15:done="0"/>
  <w15:commentEx w15:paraId="0588B500" w15:done="0"/>
  <w15:commentEx w15:paraId="22242DDD" w15:done="0"/>
  <w15:commentEx w15:paraId="3DA07A9B" w15:done="0"/>
  <w15:commentEx w15:paraId="64FFFEFE" w15:done="0"/>
  <w15:commentEx w15:paraId="551BD384" w15:done="0"/>
  <w15:commentEx w15:paraId="54EF8286" w15:done="0"/>
  <w15:commentEx w15:paraId="7D5F3D21" w15:done="0"/>
  <w15:commentEx w15:paraId="2113918D" w15:done="0"/>
  <w15:commentEx w15:paraId="0DA4932D" w15:done="0"/>
  <w15:commentEx w15:paraId="7FF70462" w15:done="0"/>
  <w15:commentEx w15:paraId="1CAAEA6A" w15:done="0"/>
  <w15:commentEx w15:paraId="648D9EF5" w15:done="0"/>
  <w15:commentEx w15:paraId="0BFB5B40" w15:done="0"/>
  <w15:commentEx w15:paraId="6536ACC9" w15:done="0"/>
  <w15:commentEx w15:paraId="18145488" w15:done="0"/>
  <w15:commentEx w15:paraId="103E08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DB8069" w16cex:dateUtc="2026-02-27T11:25:00Z"/>
  <w16cex:commentExtensible w16cex:durableId="5882AD5C" w16cex:dateUtc="2026-02-27T11:26:00Z"/>
  <w16cex:commentExtensible w16cex:durableId="722D7DF6" w16cex:dateUtc="2026-02-27T11:27:00Z"/>
  <w16cex:commentExtensible w16cex:durableId="3FF6FC0D" w16cex:dateUtc="2026-02-27T11:29:00Z"/>
  <w16cex:commentExtensible w16cex:durableId="16757DF0" w16cex:dateUtc="2026-02-27T11:31:00Z"/>
  <w16cex:commentExtensible w16cex:durableId="75543073" w16cex:dateUtc="2026-02-27T11:32:00Z"/>
  <w16cex:commentExtensible w16cex:durableId="25262BB7" w16cex:dateUtc="2026-02-27T11:32:00Z"/>
  <w16cex:commentExtensible w16cex:durableId="7530FB05" w16cex:dateUtc="2026-02-27T11:33:00Z"/>
  <w16cex:commentExtensible w16cex:durableId="11F1E236" w16cex:dateUtc="2026-02-27T11:33:00Z"/>
  <w16cex:commentExtensible w16cex:durableId="697F1F5B" w16cex:dateUtc="2026-02-27T11:35:00Z"/>
  <w16cex:commentExtensible w16cex:durableId="1BAC2499" w16cex:dateUtc="2026-02-27T11:36:00Z"/>
  <w16cex:commentExtensible w16cex:durableId="02A818EE" w16cex:dateUtc="2026-02-27T11:37:00Z"/>
  <w16cex:commentExtensible w16cex:durableId="5F0A0514" w16cex:dateUtc="2026-02-27T11:37:00Z"/>
  <w16cex:commentExtensible w16cex:durableId="19D49C96" w16cex:dateUtc="2026-02-27T11:38:00Z"/>
  <w16cex:commentExtensible w16cex:durableId="439510C5" w16cex:dateUtc="2026-02-27T11:39:00Z"/>
  <w16cex:commentExtensible w16cex:durableId="7EB6F07D" w16cex:dateUtc="2026-02-27T11:40:00Z"/>
  <w16cex:commentExtensible w16cex:durableId="7A6C21FE" w16cex:dateUtc="2026-02-27T11:58:00Z"/>
  <w16cex:commentExtensible w16cex:durableId="50D3F693" w16cex:dateUtc="2026-02-27T11:57:00Z"/>
  <w16cex:commentExtensible w16cex:durableId="39069645" w16cex:dateUtc="2026-02-27T11:55:00Z"/>
  <w16cex:commentExtensible w16cex:durableId="23977C03" w16cex:dateUtc="2026-02-27T11:49:00Z"/>
  <w16cex:commentExtensible w16cex:durableId="40E42520" w16cex:dateUtc="2026-02-27T11:56:00Z"/>
  <w16cex:commentExtensible w16cex:durableId="43AB45CE" w16cex:dateUtc="2026-02-27T11:46:00Z"/>
  <w16cex:commentExtensible w16cex:durableId="1FA5FD59" w16cex:dateUtc="2026-02-27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EC0978" w16cid:durableId="79DB8069"/>
  <w16cid:commentId w16cid:paraId="3BC6C1CE" w16cid:durableId="5882AD5C"/>
  <w16cid:commentId w16cid:paraId="438835C9" w16cid:durableId="722D7DF6"/>
  <w16cid:commentId w16cid:paraId="2244E040" w16cid:durableId="3FF6FC0D"/>
  <w16cid:commentId w16cid:paraId="11E2DC6B" w16cid:durableId="16757DF0"/>
  <w16cid:commentId w16cid:paraId="4C62E9CF" w16cid:durableId="75543073"/>
  <w16cid:commentId w16cid:paraId="6889C590" w16cid:durableId="25262BB7"/>
  <w16cid:commentId w16cid:paraId="0588B500" w16cid:durableId="7530FB05"/>
  <w16cid:commentId w16cid:paraId="22242DDD" w16cid:durableId="11F1E236"/>
  <w16cid:commentId w16cid:paraId="3DA07A9B" w16cid:durableId="697F1F5B"/>
  <w16cid:commentId w16cid:paraId="64FFFEFE" w16cid:durableId="1BAC2499"/>
  <w16cid:commentId w16cid:paraId="551BD384" w16cid:durableId="02A818EE"/>
  <w16cid:commentId w16cid:paraId="54EF8286" w16cid:durableId="5F0A0514"/>
  <w16cid:commentId w16cid:paraId="7D5F3D21" w16cid:durableId="19D49C96"/>
  <w16cid:commentId w16cid:paraId="2113918D" w16cid:durableId="439510C5"/>
  <w16cid:commentId w16cid:paraId="0DA4932D" w16cid:durableId="7EB6F07D"/>
  <w16cid:commentId w16cid:paraId="7FF70462" w16cid:durableId="7A6C21FE"/>
  <w16cid:commentId w16cid:paraId="1CAAEA6A" w16cid:durableId="50D3F693"/>
  <w16cid:commentId w16cid:paraId="648D9EF5" w16cid:durableId="39069645"/>
  <w16cid:commentId w16cid:paraId="0BFB5B40" w16cid:durableId="23977C03"/>
  <w16cid:commentId w16cid:paraId="6536ACC9" w16cid:durableId="40E42520"/>
  <w16cid:commentId w16cid:paraId="18145488" w16cid:durableId="43AB45CE"/>
  <w16cid:commentId w16cid:paraId="103E08AA" w16cid:durableId="1FA5FD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A3E8" w14:textId="77777777" w:rsidR="00E35AF1" w:rsidRDefault="00E35AF1" w:rsidP="00F8749D">
      <w:pPr>
        <w:spacing w:after="0" w:line="240" w:lineRule="auto"/>
      </w:pPr>
      <w:r>
        <w:separator/>
      </w:r>
    </w:p>
  </w:endnote>
  <w:endnote w:type="continuationSeparator" w:id="0">
    <w:p w14:paraId="1505609E" w14:textId="77777777" w:rsidR="00E35AF1" w:rsidRDefault="00E35AF1" w:rsidP="00F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Yu Gothic"/>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8FF1" w14:textId="77777777" w:rsidR="00940FE1" w:rsidRDefault="00940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8858"/>
      <w:docPartObj>
        <w:docPartGallery w:val="Page Numbers (Bottom of Page)"/>
        <w:docPartUnique/>
      </w:docPartObj>
    </w:sdtPr>
    <w:sdtContent>
      <w:p w14:paraId="74C70462" w14:textId="55B060BC" w:rsidR="00F8749D" w:rsidRDefault="00F8749D">
        <w:pPr>
          <w:pStyle w:val="Footer"/>
          <w:jc w:val="right"/>
        </w:pPr>
        <w:r>
          <w:fldChar w:fldCharType="begin"/>
        </w:r>
        <w:r>
          <w:instrText>PAGE   \* MERGEFORMAT</w:instrText>
        </w:r>
        <w:r>
          <w:fldChar w:fldCharType="separate"/>
        </w:r>
        <w:r>
          <w:t>2</w:t>
        </w:r>
        <w:r>
          <w:fldChar w:fldCharType="end"/>
        </w:r>
      </w:p>
    </w:sdtContent>
  </w:sdt>
  <w:p w14:paraId="448461E1" w14:textId="77777777" w:rsidR="00F8749D" w:rsidRDefault="00F874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98C9" w14:textId="77777777" w:rsidR="00940FE1" w:rsidRDefault="0094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E22DD" w14:textId="77777777" w:rsidR="00E35AF1" w:rsidRDefault="00E35AF1" w:rsidP="00F8749D">
      <w:pPr>
        <w:spacing w:after="0" w:line="240" w:lineRule="auto"/>
      </w:pPr>
      <w:r>
        <w:separator/>
      </w:r>
    </w:p>
  </w:footnote>
  <w:footnote w:type="continuationSeparator" w:id="0">
    <w:p w14:paraId="61885BCD" w14:textId="77777777" w:rsidR="00E35AF1" w:rsidRDefault="00E35AF1" w:rsidP="00F8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F230" w14:textId="3A7CB8F0" w:rsidR="00940FE1" w:rsidRDefault="00000000">
    <w:pPr>
      <w:pStyle w:val="Header"/>
    </w:pPr>
    <w:r>
      <w:rPr>
        <w:noProof/>
      </w:rPr>
      <w:pict w14:anchorId="2F53B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EB6F" w14:textId="6D16B54E" w:rsidR="00940FE1" w:rsidRDefault="00000000">
    <w:pPr>
      <w:pStyle w:val="Header"/>
    </w:pPr>
    <w:r>
      <w:rPr>
        <w:noProof/>
      </w:rPr>
      <w:pict w14:anchorId="366F7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9D23" w14:textId="78D63297" w:rsidR="00940FE1" w:rsidRDefault="00000000">
    <w:pPr>
      <w:pStyle w:val="Header"/>
    </w:pPr>
    <w:r>
      <w:rPr>
        <w:noProof/>
      </w:rPr>
      <w:pict w14:anchorId="42B3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D770F"/>
    <w:multiLevelType w:val="hybridMultilevel"/>
    <w:tmpl w:val="21562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F32585"/>
    <w:multiLevelType w:val="hybridMultilevel"/>
    <w:tmpl w:val="50E01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6F326E"/>
    <w:multiLevelType w:val="hybridMultilevel"/>
    <w:tmpl w:val="F0B87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9A13F0"/>
    <w:multiLevelType w:val="hybridMultilevel"/>
    <w:tmpl w:val="10A8419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B62613"/>
    <w:multiLevelType w:val="hybridMultilevel"/>
    <w:tmpl w:val="A81CAFD0"/>
    <w:lvl w:ilvl="0" w:tplc="31BEB346">
      <w:start w:val="1"/>
      <w:numFmt w:val="bullet"/>
      <w:lvlText w:val="-"/>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871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C67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86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48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E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A2B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ACF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65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9E60A8"/>
    <w:multiLevelType w:val="hybridMultilevel"/>
    <w:tmpl w:val="943686F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57511E8"/>
    <w:multiLevelType w:val="hybridMultilevel"/>
    <w:tmpl w:val="38CEC5B8"/>
    <w:lvl w:ilvl="0" w:tplc="034CB604">
      <w:start w:val="2"/>
      <w:numFmt w:val="bullet"/>
      <w:lvlText w:val="-"/>
      <w:lvlJc w:val="left"/>
      <w:pPr>
        <w:ind w:left="360" w:hanging="360"/>
      </w:pPr>
      <w:rPr>
        <w:rFonts w:ascii="Times New Roman" w:eastAsia="Times New Roman"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7A2DE7"/>
    <w:multiLevelType w:val="hybridMultilevel"/>
    <w:tmpl w:val="6470ADC6"/>
    <w:lvl w:ilvl="0" w:tplc="F5D23D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CF6651"/>
    <w:multiLevelType w:val="hybridMultilevel"/>
    <w:tmpl w:val="37F4182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E2F3145"/>
    <w:multiLevelType w:val="hybridMultilevel"/>
    <w:tmpl w:val="59C698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04080445">
    <w:abstractNumId w:val="9"/>
  </w:num>
  <w:num w:numId="2" w16cid:durableId="586353891">
    <w:abstractNumId w:val="6"/>
  </w:num>
  <w:num w:numId="3" w16cid:durableId="1539200719">
    <w:abstractNumId w:val="4"/>
  </w:num>
  <w:num w:numId="4" w16cid:durableId="1767340949">
    <w:abstractNumId w:val="1"/>
  </w:num>
  <w:num w:numId="5" w16cid:durableId="1912350484">
    <w:abstractNumId w:val="7"/>
  </w:num>
  <w:num w:numId="6" w16cid:durableId="186216689">
    <w:abstractNumId w:val="3"/>
  </w:num>
  <w:num w:numId="7" w16cid:durableId="683164294">
    <w:abstractNumId w:val="2"/>
  </w:num>
  <w:num w:numId="8" w16cid:durableId="863129169">
    <w:abstractNumId w:val="5"/>
  </w:num>
  <w:num w:numId="9" w16cid:durableId="2138643876">
    <w:abstractNumId w:val="8"/>
  </w:num>
  <w:num w:numId="10" w16cid:durableId="3005750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n AlSalihi">
    <w15:presenceInfo w15:providerId="Windows Live" w15:userId="bd09efe5d0c35f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2A"/>
    <w:rsid w:val="000020AA"/>
    <w:rsid w:val="00006401"/>
    <w:rsid w:val="00006A4C"/>
    <w:rsid w:val="00011B51"/>
    <w:rsid w:val="00014018"/>
    <w:rsid w:val="0002181F"/>
    <w:rsid w:val="00025B06"/>
    <w:rsid w:val="00026334"/>
    <w:rsid w:val="000266DC"/>
    <w:rsid w:val="00030D48"/>
    <w:rsid w:val="00033D04"/>
    <w:rsid w:val="0003588F"/>
    <w:rsid w:val="00035A6C"/>
    <w:rsid w:val="000362F0"/>
    <w:rsid w:val="00037564"/>
    <w:rsid w:val="000424BA"/>
    <w:rsid w:val="00042CC2"/>
    <w:rsid w:val="00043B93"/>
    <w:rsid w:val="00047187"/>
    <w:rsid w:val="00052DC0"/>
    <w:rsid w:val="000553C6"/>
    <w:rsid w:val="000573C7"/>
    <w:rsid w:val="000637F6"/>
    <w:rsid w:val="000645D7"/>
    <w:rsid w:val="000677F1"/>
    <w:rsid w:val="000779CE"/>
    <w:rsid w:val="00077F26"/>
    <w:rsid w:val="00081888"/>
    <w:rsid w:val="00081BF8"/>
    <w:rsid w:val="000869C1"/>
    <w:rsid w:val="00086C7E"/>
    <w:rsid w:val="00087C69"/>
    <w:rsid w:val="000911F3"/>
    <w:rsid w:val="000920F1"/>
    <w:rsid w:val="0009252E"/>
    <w:rsid w:val="000952BB"/>
    <w:rsid w:val="000A1876"/>
    <w:rsid w:val="000A22B1"/>
    <w:rsid w:val="000A360B"/>
    <w:rsid w:val="000A41C7"/>
    <w:rsid w:val="000A7705"/>
    <w:rsid w:val="000B2062"/>
    <w:rsid w:val="000B49F4"/>
    <w:rsid w:val="000B5491"/>
    <w:rsid w:val="000C12FA"/>
    <w:rsid w:val="000C2ECB"/>
    <w:rsid w:val="000C3670"/>
    <w:rsid w:val="000C378C"/>
    <w:rsid w:val="000C5197"/>
    <w:rsid w:val="000D0E5B"/>
    <w:rsid w:val="000D2059"/>
    <w:rsid w:val="000D3365"/>
    <w:rsid w:val="000D56C7"/>
    <w:rsid w:val="000D7787"/>
    <w:rsid w:val="000E0DBD"/>
    <w:rsid w:val="000E1704"/>
    <w:rsid w:val="000E32CE"/>
    <w:rsid w:val="000E7F08"/>
    <w:rsid w:val="000F0DF1"/>
    <w:rsid w:val="000F1DEB"/>
    <w:rsid w:val="000F4283"/>
    <w:rsid w:val="000F7AEE"/>
    <w:rsid w:val="001020F9"/>
    <w:rsid w:val="001053D5"/>
    <w:rsid w:val="0011218D"/>
    <w:rsid w:val="0011317C"/>
    <w:rsid w:val="00113E89"/>
    <w:rsid w:val="001233C4"/>
    <w:rsid w:val="00123688"/>
    <w:rsid w:val="001264D1"/>
    <w:rsid w:val="0014320B"/>
    <w:rsid w:val="0014432A"/>
    <w:rsid w:val="001445B2"/>
    <w:rsid w:val="00144D89"/>
    <w:rsid w:val="0014563B"/>
    <w:rsid w:val="0014675B"/>
    <w:rsid w:val="00157031"/>
    <w:rsid w:val="00162F21"/>
    <w:rsid w:val="00171B0E"/>
    <w:rsid w:val="00171F74"/>
    <w:rsid w:val="00172318"/>
    <w:rsid w:val="00173D3C"/>
    <w:rsid w:val="001763AF"/>
    <w:rsid w:val="00176D24"/>
    <w:rsid w:val="001779A4"/>
    <w:rsid w:val="0018138B"/>
    <w:rsid w:val="00182CE7"/>
    <w:rsid w:val="00182E12"/>
    <w:rsid w:val="00183339"/>
    <w:rsid w:val="00183364"/>
    <w:rsid w:val="001836FA"/>
    <w:rsid w:val="00183956"/>
    <w:rsid w:val="00185B1C"/>
    <w:rsid w:val="00186405"/>
    <w:rsid w:val="00187A01"/>
    <w:rsid w:val="0019137C"/>
    <w:rsid w:val="00192DC8"/>
    <w:rsid w:val="00193375"/>
    <w:rsid w:val="00193E36"/>
    <w:rsid w:val="00195279"/>
    <w:rsid w:val="001953DC"/>
    <w:rsid w:val="001966D7"/>
    <w:rsid w:val="001A1ED1"/>
    <w:rsid w:val="001A483E"/>
    <w:rsid w:val="001B193D"/>
    <w:rsid w:val="001B1D3F"/>
    <w:rsid w:val="001B5D5F"/>
    <w:rsid w:val="001C0F4C"/>
    <w:rsid w:val="001C540F"/>
    <w:rsid w:val="001C6A5E"/>
    <w:rsid w:val="001D1944"/>
    <w:rsid w:val="001D2C28"/>
    <w:rsid w:val="001D39BB"/>
    <w:rsid w:val="001D69EC"/>
    <w:rsid w:val="001E0128"/>
    <w:rsid w:val="001E0C64"/>
    <w:rsid w:val="001E1516"/>
    <w:rsid w:val="001E2CB4"/>
    <w:rsid w:val="001E3CFB"/>
    <w:rsid w:val="001E40EA"/>
    <w:rsid w:val="001F0836"/>
    <w:rsid w:val="001F2A2F"/>
    <w:rsid w:val="001F3208"/>
    <w:rsid w:val="001F4C53"/>
    <w:rsid w:val="001F5A93"/>
    <w:rsid w:val="001F7B48"/>
    <w:rsid w:val="002006EA"/>
    <w:rsid w:val="00200B81"/>
    <w:rsid w:val="002010BB"/>
    <w:rsid w:val="00202261"/>
    <w:rsid w:val="00204245"/>
    <w:rsid w:val="00211548"/>
    <w:rsid w:val="002136CD"/>
    <w:rsid w:val="002139E0"/>
    <w:rsid w:val="00215754"/>
    <w:rsid w:val="00216E66"/>
    <w:rsid w:val="002218C6"/>
    <w:rsid w:val="00221BE5"/>
    <w:rsid w:val="00224BF8"/>
    <w:rsid w:val="002303DB"/>
    <w:rsid w:val="002305BE"/>
    <w:rsid w:val="002328C6"/>
    <w:rsid w:val="00232A2E"/>
    <w:rsid w:val="00234B66"/>
    <w:rsid w:val="00235999"/>
    <w:rsid w:val="002374C2"/>
    <w:rsid w:val="00245C44"/>
    <w:rsid w:val="0024661A"/>
    <w:rsid w:val="00252734"/>
    <w:rsid w:val="00252EA5"/>
    <w:rsid w:val="00253B34"/>
    <w:rsid w:val="00256A53"/>
    <w:rsid w:val="002574BA"/>
    <w:rsid w:val="002608B2"/>
    <w:rsid w:val="002609A1"/>
    <w:rsid w:val="00263704"/>
    <w:rsid w:val="00264887"/>
    <w:rsid w:val="00267A94"/>
    <w:rsid w:val="0027301C"/>
    <w:rsid w:val="00274CD8"/>
    <w:rsid w:val="00277F3D"/>
    <w:rsid w:val="00280F2C"/>
    <w:rsid w:val="00282502"/>
    <w:rsid w:val="00292059"/>
    <w:rsid w:val="002924E9"/>
    <w:rsid w:val="002A1B13"/>
    <w:rsid w:val="002A50B3"/>
    <w:rsid w:val="002A77E3"/>
    <w:rsid w:val="002B0BF5"/>
    <w:rsid w:val="002B114A"/>
    <w:rsid w:val="002B1399"/>
    <w:rsid w:val="002B27FB"/>
    <w:rsid w:val="002B34FD"/>
    <w:rsid w:val="002B3C2C"/>
    <w:rsid w:val="002B56FB"/>
    <w:rsid w:val="002B5847"/>
    <w:rsid w:val="002B681E"/>
    <w:rsid w:val="002C208D"/>
    <w:rsid w:val="002C514F"/>
    <w:rsid w:val="002C547D"/>
    <w:rsid w:val="002D01A6"/>
    <w:rsid w:val="002D527D"/>
    <w:rsid w:val="002D53BD"/>
    <w:rsid w:val="002D5580"/>
    <w:rsid w:val="002D57A1"/>
    <w:rsid w:val="002D6D05"/>
    <w:rsid w:val="002D6DF9"/>
    <w:rsid w:val="002E1E35"/>
    <w:rsid w:val="002E6273"/>
    <w:rsid w:val="002E6536"/>
    <w:rsid w:val="002E65BD"/>
    <w:rsid w:val="002F0CAE"/>
    <w:rsid w:val="002F0D6C"/>
    <w:rsid w:val="002F1EC5"/>
    <w:rsid w:val="002F3818"/>
    <w:rsid w:val="002F394A"/>
    <w:rsid w:val="002F45FF"/>
    <w:rsid w:val="002F52CC"/>
    <w:rsid w:val="003022E1"/>
    <w:rsid w:val="003025F0"/>
    <w:rsid w:val="003037C4"/>
    <w:rsid w:val="00314D9C"/>
    <w:rsid w:val="003157BA"/>
    <w:rsid w:val="0032054D"/>
    <w:rsid w:val="003223A5"/>
    <w:rsid w:val="003245CE"/>
    <w:rsid w:val="00324D91"/>
    <w:rsid w:val="00326DD5"/>
    <w:rsid w:val="003311BE"/>
    <w:rsid w:val="0034203B"/>
    <w:rsid w:val="003432C3"/>
    <w:rsid w:val="003444CA"/>
    <w:rsid w:val="00346DE1"/>
    <w:rsid w:val="00350199"/>
    <w:rsid w:val="0035116B"/>
    <w:rsid w:val="00363396"/>
    <w:rsid w:val="003634B9"/>
    <w:rsid w:val="00364AD9"/>
    <w:rsid w:val="00365F0A"/>
    <w:rsid w:val="00366E41"/>
    <w:rsid w:val="00370FCD"/>
    <w:rsid w:val="00372BDC"/>
    <w:rsid w:val="00373178"/>
    <w:rsid w:val="00376309"/>
    <w:rsid w:val="00376C8A"/>
    <w:rsid w:val="00377E34"/>
    <w:rsid w:val="003810A3"/>
    <w:rsid w:val="00381734"/>
    <w:rsid w:val="003836B7"/>
    <w:rsid w:val="003845E7"/>
    <w:rsid w:val="003861AD"/>
    <w:rsid w:val="00387D39"/>
    <w:rsid w:val="003932D5"/>
    <w:rsid w:val="003A071E"/>
    <w:rsid w:val="003A42DF"/>
    <w:rsid w:val="003A500F"/>
    <w:rsid w:val="003A624A"/>
    <w:rsid w:val="003B27E4"/>
    <w:rsid w:val="003B396B"/>
    <w:rsid w:val="003B4774"/>
    <w:rsid w:val="003B5F6E"/>
    <w:rsid w:val="003B67AE"/>
    <w:rsid w:val="003C11F8"/>
    <w:rsid w:val="003C3E62"/>
    <w:rsid w:val="003D01E2"/>
    <w:rsid w:val="003D44D1"/>
    <w:rsid w:val="003D5C20"/>
    <w:rsid w:val="003D5C24"/>
    <w:rsid w:val="003E07CC"/>
    <w:rsid w:val="003E26F3"/>
    <w:rsid w:val="003E3ABC"/>
    <w:rsid w:val="003E6F44"/>
    <w:rsid w:val="003E7F90"/>
    <w:rsid w:val="003F08DE"/>
    <w:rsid w:val="003F09C4"/>
    <w:rsid w:val="003F0D7C"/>
    <w:rsid w:val="003F0D8B"/>
    <w:rsid w:val="003F126F"/>
    <w:rsid w:val="003F1287"/>
    <w:rsid w:val="003F2F3F"/>
    <w:rsid w:val="003F48A0"/>
    <w:rsid w:val="003F4E87"/>
    <w:rsid w:val="003F64E5"/>
    <w:rsid w:val="003F70AE"/>
    <w:rsid w:val="003F75A4"/>
    <w:rsid w:val="004076B0"/>
    <w:rsid w:val="00407827"/>
    <w:rsid w:val="00412EE4"/>
    <w:rsid w:val="0042125D"/>
    <w:rsid w:val="004231C7"/>
    <w:rsid w:val="00423396"/>
    <w:rsid w:val="00426E7B"/>
    <w:rsid w:val="004302CE"/>
    <w:rsid w:val="00430CAB"/>
    <w:rsid w:val="00433183"/>
    <w:rsid w:val="00441E49"/>
    <w:rsid w:val="00450612"/>
    <w:rsid w:val="0045085C"/>
    <w:rsid w:val="00452BF2"/>
    <w:rsid w:val="0045548D"/>
    <w:rsid w:val="00455BA8"/>
    <w:rsid w:val="00457503"/>
    <w:rsid w:val="00460CC8"/>
    <w:rsid w:val="0046265A"/>
    <w:rsid w:val="0046650C"/>
    <w:rsid w:val="00471818"/>
    <w:rsid w:val="00473512"/>
    <w:rsid w:val="00473BF9"/>
    <w:rsid w:val="00475ADC"/>
    <w:rsid w:val="00476D76"/>
    <w:rsid w:val="004838A4"/>
    <w:rsid w:val="0049734C"/>
    <w:rsid w:val="00497FC3"/>
    <w:rsid w:val="004A251E"/>
    <w:rsid w:val="004A6CAD"/>
    <w:rsid w:val="004B1BD7"/>
    <w:rsid w:val="004B2D7F"/>
    <w:rsid w:val="004B56DC"/>
    <w:rsid w:val="004B7D97"/>
    <w:rsid w:val="004C5A45"/>
    <w:rsid w:val="004C651E"/>
    <w:rsid w:val="004D47FD"/>
    <w:rsid w:val="004D5F9F"/>
    <w:rsid w:val="004D61DC"/>
    <w:rsid w:val="004E16F0"/>
    <w:rsid w:val="004E6B86"/>
    <w:rsid w:val="004E7041"/>
    <w:rsid w:val="004F1894"/>
    <w:rsid w:val="004F3804"/>
    <w:rsid w:val="005048DF"/>
    <w:rsid w:val="005054B0"/>
    <w:rsid w:val="00506E8B"/>
    <w:rsid w:val="00514C25"/>
    <w:rsid w:val="00514CD2"/>
    <w:rsid w:val="005169F5"/>
    <w:rsid w:val="00517699"/>
    <w:rsid w:val="0052152F"/>
    <w:rsid w:val="00522D8F"/>
    <w:rsid w:val="00525E2F"/>
    <w:rsid w:val="005266A1"/>
    <w:rsid w:val="00530CEB"/>
    <w:rsid w:val="00531ACB"/>
    <w:rsid w:val="00532E6A"/>
    <w:rsid w:val="00533CA1"/>
    <w:rsid w:val="00534C61"/>
    <w:rsid w:val="00534D94"/>
    <w:rsid w:val="00541FE7"/>
    <w:rsid w:val="00544125"/>
    <w:rsid w:val="00544EC5"/>
    <w:rsid w:val="00546C35"/>
    <w:rsid w:val="00556D13"/>
    <w:rsid w:val="0056099F"/>
    <w:rsid w:val="00560CB0"/>
    <w:rsid w:val="0056371C"/>
    <w:rsid w:val="0056580D"/>
    <w:rsid w:val="0056604C"/>
    <w:rsid w:val="00567DC6"/>
    <w:rsid w:val="00571227"/>
    <w:rsid w:val="005763D9"/>
    <w:rsid w:val="005779B3"/>
    <w:rsid w:val="00580308"/>
    <w:rsid w:val="00580C8E"/>
    <w:rsid w:val="00582D22"/>
    <w:rsid w:val="00583CB6"/>
    <w:rsid w:val="00587058"/>
    <w:rsid w:val="00593CF2"/>
    <w:rsid w:val="0059453F"/>
    <w:rsid w:val="005952CC"/>
    <w:rsid w:val="0059533F"/>
    <w:rsid w:val="00595386"/>
    <w:rsid w:val="00597F3C"/>
    <w:rsid w:val="005A1353"/>
    <w:rsid w:val="005A2F4A"/>
    <w:rsid w:val="005A46D8"/>
    <w:rsid w:val="005A5F3D"/>
    <w:rsid w:val="005B06A0"/>
    <w:rsid w:val="005B0EAF"/>
    <w:rsid w:val="005B57EB"/>
    <w:rsid w:val="005C1D46"/>
    <w:rsid w:val="005C5E46"/>
    <w:rsid w:val="005C6758"/>
    <w:rsid w:val="005C7E37"/>
    <w:rsid w:val="005D06F5"/>
    <w:rsid w:val="005D5F2A"/>
    <w:rsid w:val="005E0C58"/>
    <w:rsid w:val="005E2AF2"/>
    <w:rsid w:val="005F0E5E"/>
    <w:rsid w:val="005F7946"/>
    <w:rsid w:val="006003CB"/>
    <w:rsid w:val="0060105D"/>
    <w:rsid w:val="0061015A"/>
    <w:rsid w:val="006156A4"/>
    <w:rsid w:val="00617552"/>
    <w:rsid w:val="0062246B"/>
    <w:rsid w:val="00623F38"/>
    <w:rsid w:val="0062433A"/>
    <w:rsid w:val="006250BD"/>
    <w:rsid w:val="00625E44"/>
    <w:rsid w:val="006308BA"/>
    <w:rsid w:val="006310F5"/>
    <w:rsid w:val="00632779"/>
    <w:rsid w:val="0063790E"/>
    <w:rsid w:val="00640671"/>
    <w:rsid w:val="00643408"/>
    <w:rsid w:val="006434E3"/>
    <w:rsid w:val="0064548B"/>
    <w:rsid w:val="00646F4D"/>
    <w:rsid w:val="00664548"/>
    <w:rsid w:val="00670235"/>
    <w:rsid w:val="00680143"/>
    <w:rsid w:val="00684079"/>
    <w:rsid w:val="00685A1F"/>
    <w:rsid w:val="00686656"/>
    <w:rsid w:val="00686A67"/>
    <w:rsid w:val="00693BF9"/>
    <w:rsid w:val="00693F4A"/>
    <w:rsid w:val="006947CD"/>
    <w:rsid w:val="0069640A"/>
    <w:rsid w:val="00696967"/>
    <w:rsid w:val="00697557"/>
    <w:rsid w:val="006A0B3D"/>
    <w:rsid w:val="006A2124"/>
    <w:rsid w:val="006A5ADB"/>
    <w:rsid w:val="006A7829"/>
    <w:rsid w:val="006B12C2"/>
    <w:rsid w:val="006B21ED"/>
    <w:rsid w:val="006B2B3E"/>
    <w:rsid w:val="006B6F02"/>
    <w:rsid w:val="006B6FCB"/>
    <w:rsid w:val="006C1C7D"/>
    <w:rsid w:val="006C2043"/>
    <w:rsid w:val="006C35FA"/>
    <w:rsid w:val="006C44C1"/>
    <w:rsid w:val="006D619C"/>
    <w:rsid w:val="006D6B12"/>
    <w:rsid w:val="006D7417"/>
    <w:rsid w:val="006D7A16"/>
    <w:rsid w:val="006E0D04"/>
    <w:rsid w:val="006E457A"/>
    <w:rsid w:val="006E6F9B"/>
    <w:rsid w:val="006F3BE6"/>
    <w:rsid w:val="006F4D7A"/>
    <w:rsid w:val="006F5E3B"/>
    <w:rsid w:val="006F7EE4"/>
    <w:rsid w:val="00711798"/>
    <w:rsid w:val="00712A9B"/>
    <w:rsid w:val="0072277E"/>
    <w:rsid w:val="00722DDC"/>
    <w:rsid w:val="00724810"/>
    <w:rsid w:val="0073091F"/>
    <w:rsid w:val="00730D19"/>
    <w:rsid w:val="007336E2"/>
    <w:rsid w:val="00734252"/>
    <w:rsid w:val="00736FD2"/>
    <w:rsid w:val="007376A9"/>
    <w:rsid w:val="00741BAD"/>
    <w:rsid w:val="00742FFD"/>
    <w:rsid w:val="00744550"/>
    <w:rsid w:val="00752055"/>
    <w:rsid w:val="0075278F"/>
    <w:rsid w:val="00756355"/>
    <w:rsid w:val="007602FC"/>
    <w:rsid w:val="00763D13"/>
    <w:rsid w:val="007668E0"/>
    <w:rsid w:val="00773C8E"/>
    <w:rsid w:val="00774963"/>
    <w:rsid w:val="00782C1D"/>
    <w:rsid w:val="00783410"/>
    <w:rsid w:val="00784DF2"/>
    <w:rsid w:val="0079010A"/>
    <w:rsid w:val="007909ED"/>
    <w:rsid w:val="00792EFF"/>
    <w:rsid w:val="007961FA"/>
    <w:rsid w:val="00796671"/>
    <w:rsid w:val="007A1B3F"/>
    <w:rsid w:val="007A37F4"/>
    <w:rsid w:val="007A4216"/>
    <w:rsid w:val="007A6F0B"/>
    <w:rsid w:val="007A7AB6"/>
    <w:rsid w:val="007B75A5"/>
    <w:rsid w:val="007C2972"/>
    <w:rsid w:val="007C2D14"/>
    <w:rsid w:val="007C5ABF"/>
    <w:rsid w:val="007D16B4"/>
    <w:rsid w:val="007E117A"/>
    <w:rsid w:val="007E19CC"/>
    <w:rsid w:val="007F14E8"/>
    <w:rsid w:val="007F23CD"/>
    <w:rsid w:val="007F6DC8"/>
    <w:rsid w:val="007F6F71"/>
    <w:rsid w:val="00804150"/>
    <w:rsid w:val="00806722"/>
    <w:rsid w:val="00807CBF"/>
    <w:rsid w:val="00810BC7"/>
    <w:rsid w:val="0081443C"/>
    <w:rsid w:val="00815448"/>
    <w:rsid w:val="00816268"/>
    <w:rsid w:val="00820C65"/>
    <w:rsid w:val="00822DAC"/>
    <w:rsid w:val="0082382C"/>
    <w:rsid w:val="00823947"/>
    <w:rsid w:val="00824FFB"/>
    <w:rsid w:val="0082565F"/>
    <w:rsid w:val="00826385"/>
    <w:rsid w:val="00827E3E"/>
    <w:rsid w:val="00830D6C"/>
    <w:rsid w:val="0083137A"/>
    <w:rsid w:val="0083414A"/>
    <w:rsid w:val="0083479E"/>
    <w:rsid w:val="008370C0"/>
    <w:rsid w:val="00837F69"/>
    <w:rsid w:val="00842E12"/>
    <w:rsid w:val="0084402C"/>
    <w:rsid w:val="0085113C"/>
    <w:rsid w:val="00851EEA"/>
    <w:rsid w:val="00852BAC"/>
    <w:rsid w:val="00853EF3"/>
    <w:rsid w:val="00855B81"/>
    <w:rsid w:val="008573CD"/>
    <w:rsid w:val="00857D5E"/>
    <w:rsid w:val="00860A23"/>
    <w:rsid w:val="00861446"/>
    <w:rsid w:val="00870D09"/>
    <w:rsid w:val="00876857"/>
    <w:rsid w:val="00876860"/>
    <w:rsid w:val="00883462"/>
    <w:rsid w:val="00884480"/>
    <w:rsid w:val="00885A0A"/>
    <w:rsid w:val="00886435"/>
    <w:rsid w:val="00887F28"/>
    <w:rsid w:val="00892BD6"/>
    <w:rsid w:val="00892E1F"/>
    <w:rsid w:val="00893F5A"/>
    <w:rsid w:val="0089749F"/>
    <w:rsid w:val="008A0E3B"/>
    <w:rsid w:val="008A6773"/>
    <w:rsid w:val="008C06EC"/>
    <w:rsid w:val="008C10DC"/>
    <w:rsid w:val="008C14E8"/>
    <w:rsid w:val="008C258B"/>
    <w:rsid w:val="008C352D"/>
    <w:rsid w:val="008C4080"/>
    <w:rsid w:val="008C4BA3"/>
    <w:rsid w:val="008C7F37"/>
    <w:rsid w:val="008D3DF7"/>
    <w:rsid w:val="008D46DF"/>
    <w:rsid w:val="008D5525"/>
    <w:rsid w:val="008E5B27"/>
    <w:rsid w:val="008E7F49"/>
    <w:rsid w:val="008F05B6"/>
    <w:rsid w:val="008F10C7"/>
    <w:rsid w:val="008F2AB7"/>
    <w:rsid w:val="008F31C8"/>
    <w:rsid w:val="008F521B"/>
    <w:rsid w:val="00900416"/>
    <w:rsid w:val="00900418"/>
    <w:rsid w:val="00901CC4"/>
    <w:rsid w:val="009058D2"/>
    <w:rsid w:val="0091506D"/>
    <w:rsid w:val="00920D82"/>
    <w:rsid w:val="00921984"/>
    <w:rsid w:val="00922F7E"/>
    <w:rsid w:val="0092314C"/>
    <w:rsid w:val="00926598"/>
    <w:rsid w:val="00931A7C"/>
    <w:rsid w:val="00933DC2"/>
    <w:rsid w:val="00935216"/>
    <w:rsid w:val="00940590"/>
    <w:rsid w:val="0094060F"/>
    <w:rsid w:val="00940762"/>
    <w:rsid w:val="00940FE1"/>
    <w:rsid w:val="0094178A"/>
    <w:rsid w:val="009423BE"/>
    <w:rsid w:val="00944D0D"/>
    <w:rsid w:val="00950E44"/>
    <w:rsid w:val="00951BCE"/>
    <w:rsid w:val="009538A8"/>
    <w:rsid w:val="009558A6"/>
    <w:rsid w:val="00955CC0"/>
    <w:rsid w:val="00955DF0"/>
    <w:rsid w:val="00956198"/>
    <w:rsid w:val="00957954"/>
    <w:rsid w:val="00961975"/>
    <w:rsid w:val="00964FBE"/>
    <w:rsid w:val="00966333"/>
    <w:rsid w:val="00966ABD"/>
    <w:rsid w:val="00967555"/>
    <w:rsid w:val="00967873"/>
    <w:rsid w:val="00967C46"/>
    <w:rsid w:val="00971230"/>
    <w:rsid w:val="00976255"/>
    <w:rsid w:val="00982384"/>
    <w:rsid w:val="00985CA1"/>
    <w:rsid w:val="00985E3B"/>
    <w:rsid w:val="009861EE"/>
    <w:rsid w:val="00986A55"/>
    <w:rsid w:val="00987417"/>
    <w:rsid w:val="00991206"/>
    <w:rsid w:val="00992C5B"/>
    <w:rsid w:val="00997A44"/>
    <w:rsid w:val="009A2378"/>
    <w:rsid w:val="009A6BE6"/>
    <w:rsid w:val="009B074A"/>
    <w:rsid w:val="009B361B"/>
    <w:rsid w:val="009B429A"/>
    <w:rsid w:val="009B75E2"/>
    <w:rsid w:val="009C5780"/>
    <w:rsid w:val="009C77EA"/>
    <w:rsid w:val="009D1DC4"/>
    <w:rsid w:val="009D445F"/>
    <w:rsid w:val="009D462A"/>
    <w:rsid w:val="009D65C6"/>
    <w:rsid w:val="009E28E3"/>
    <w:rsid w:val="009E30E5"/>
    <w:rsid w:val="009E41F1"/>
    <w:rsid w:val="009E4E72"/>
    <w:rsid w:val="009E4F0F"/>
    <w:rsid w:val="009E7345"/>
    <w:rsid w:val="009F2196"/>
    <w:rsid w:val="009F315F"/>
    <w:rsid w:val="009F39B2"/>
    <w:rsid w:val="009F6348"/>
    <w:rsid w:val="00A02133"/>
    <w:rsid w:val="00A04D78"/>
    <w:rsid w:val="00A14B26"/>
    <w:rsid w:val="00A15AEF"/>
    <w:rsid w:val="00A176C2"/>
    <w:rsid w:val="00A20FDD"/>
    <w:rsid w:val="00A25BE3"/>
    <w:rsid w:val="00A33687"/>
    <w:rsid w:val="00A3421A"/>
    <w:rsid w:val="00A35AFE"/>
    <w:rsid w:val="00A35BA0"/>
    <w:rsid w:val="00A374A9"/>
    <w:rsid w:val="00A429D4"/>
    <w:rsid w:val="00A42F33"/>
    <w:rsid w:val="00A44A60"/>
    <w:rsid w:val="00A4708E"/>
    <w:rsid w:val="00A473D4"/>
    <w:rsid w:val="00A473E5"/>
    <w:rsid w:val="00A5072A"/>
    <w:rsid w:val="00A50A41"/>
    <w:rsid w:val="00A51840"/>
    <w:rsid w:val="00A549F6"/>
    <w:rsid w:val="00A54B38"/>
    <w:rsid w:val="00A56741"/>
    <w:rsid w:val="00A56C31"/>
    <w:rsid w:val="00A61113"/>
    <w:rsid w:val="00A63AF3"/>
    <w:rsid w:val="00A65A85"/>
    <w:rsid w:val="00A66BB3"/>
    <w:rsid w:val="00A6773F"/>
    <w:rsid w:val="00A7022D"/>
    <w:rsid w:val="00A70838"/>
    <w:rsid w:val="00A71D21"/>
    <w:rsid w:val="00A73806"/>
    <w:rsid w:val="00A742DC"/>
    <w:rsid w:val="00A74A99"/>
    <w:rsid w:val="00A74CFC"/>
    <w:rsid w:val="00A773F1"/>
    <w:rsid w:val="00A82A94"/>
    <w:rsid w:val="00A82E7E"/>
    <w:rsid w:val="00A9277A"/>
    <w:rsid w:val="00A96138"/>
    <w:rsid w:val="00A97782"/>
    <w:rsid w:val="00A979F5"/>
    <w:rsid w:val="00AB573C"/>
    <w:rsid w:val="00AC63D3"/>
    <w:rsid w:val="00AC7DEC"/>
    <w:rsid w:val="00AD201A"/>
    <w:rsid w:val="00AD4027"/>
    <w:rsid w:val="00AD47A7"/>
    <w:rsid w:val="00AD55D5"/>
    <w:rsid w:val="00AD644C"/>
    <w:rsid w:val="00AD6799"/>
    <w:rsid w:val="00AE190A"/>
    <w:rsid w:val="00AE1E4D"/>
    <w:rsid w:val="00AE1FD6"/>
    <w:rsid w:val="00AE266B"/>
    <w:rsid w:val="00AE4AF9"/>
    <w:rsid w:val="00AE6323"/>
    <w:rsid w:val="00AE726A"/>
    <w:rsid w:val="00AF146A"/>
    <w:rsid w:val="00AF2199"/>
    <w:rsid w:val="00AF2515"/>
    <w:rsid w:val="00AF2EEB"/>
    <w:rsid w:val="00B0058D"/>
    <w:rsid w:val="00B070B1"/>
    <w:rsid w:val="00B0753C"/>
    <w:rsid w:val="00B1039F"/>
    <w:rsid w:val="00B1481A"/>
    <w:rsid w:val="00B14D85"/>
    <w:rsid w:val="00B17956"/>
    <w:rsid w:val="00B23AC9"/>
    <w:rsid w:val="00B2469F"/>
    <w:rsid w:val="00B2559B"/>
    <w:rsid w:val="00B2678E"/>
    <w:rsid w:val="00B31F8C"/>
    <w:rsid w:val="00B32B16"/>
    <w:rsid w:val="00B32C5D"/>
    <w:rsid w:val="00B404E3"/>
    <w:rsid w:val="00B446D0"/>
    <w:rsid w:val="00B4689E"/>
    <w:rsid w:val="00B46D3B"/>
    <w:rsid w:val="00B60B32"/>
    <w:rsid w:val="00B65BA8"/>
    <w:rsid w:val="00B66197"/>
    <w:rsid w:val="00B66B5B"/>
    <w:rsid w:val="00B702EF"/>
    <w:rsid w:val="00B70CD5"/>
    <w:rsid w:val="00B72611"/>
    <w:rsid w:val="00B73B40"/>
    <w:rsid w:val="00B73CD3"/>
    <w:rsid w:val="00B76356"/>
    <w:rsid w:val="00B76EAB"/>
    <w:rsid w:val="00B822BA"/>
    <w:rsid w:val="00B824D4"/>
    <w:rsid w:val="00B82F23"/>
    <w:rsid w:val="00B86FD6"/>
    <w:rsid w:val="00B90C27"/>
    <w:rsid w:val="00B93558"/>
    <w:rsid w:val="00B93C71"/>
    <w:rsid w:val="00B958B9"/>
    <w:rsid w:val="00B978A6"/>
    <w:rsid w:val="00B97BFE"/>
    <w:rsid w:val="00BA13E8"/>
    <w:rsid w:val="00BA48F5"/>
    <w:rsid w:val="00BA51F1"/>
    <w:rsid w:val="00BA68A2"/>
    <w:rsid w:val="00BA6BBF"/>
    <w:rsid w:val="00BB1446"/>
    <w:rsid w:val="00BB26AC"/>
    <w:rsid w:val="00BB3C8A"/>
    <w:rsid w:val="00BB4A3C"/>
    <w:rsid w:val="00BB7615"/>
    <w:rsid w:val="00BC01EE"/>
    <w:rsid w:val="00BC0F67"/>
    <w:rsid w:val="00BC37ED"/>
    <w:rsid w:val="00BC51F3"/>
    <w:rsid w:val="00BC5771"/>
    <w:rsid w:val="00BC5BF6"/>
    <w:rsid w:val="00BC78EB"/>
    <w:rsid w:val="00BC7B3F"/>
    <w:rsid w:val="00BD029A"/>
    <w:rsid w:val="00BD076C"/>
    <w:rsid w:val="00BD4C22"/>
    <w:rsid w:val="00BE084E"/>
    <w:rsid w:val="00BE53C7"/>
    <w:rsid w:val="00BE775D"/>
    <w:rsid w:val="00BF02A0"/>
    <w:rsid w:val="00BF095A"/>
    <w:rsid w:val="00BF4B25"/>
    <w:rsid w:val="00BF4FDD"/>
    <w:rsid w:val="00BF66CA"/>
    <w:rsid w:val="00C0005C"/>
    <w:rsid w:val="00C01617"/>
    <w:rsid w:val="00C12D2F"/>
    <w:rsid w:val="00C13731"/>
    <w:rsid w:val="00C167DF"/>
    <w:rsid w:val="00C17D6F"/>
    <w:rsid w:val="00C25936"/>
    <w:rsid w:val="00C30D12"/>
    <w:rsid w:val="00C31B8B"/>
    <w:rsid w:val="00C35676"/>
    <w:rsid w:val="00C36FCC"/>
    <w:rsid w:val="00C41077"/>
    <w:rsid w:val="00C41B00"/>
    <w:rsid w:val="00C41B4F"/>
    <w:rsid w:val="00C450A0"/>
    <w:rsid w:val="00C5132D"/>
    <w:rsid w:val="00C53A20"/>
    <w:rsid w:val="00C572AA"/>
    <w:rsid w:val="00C639FA"/>
    <w:rsid w:val="00C63C69"/>
    <w:rsid w:val="00C66A21"/>
    <w:rsid w:val="00C70202"/>
    <w:rsid w:val="00C747EE"/>
    <w:rsid w:val="00C75CAB"/>
    <w:rsid w:val="00C75DCA"/>
    <w:rsid w:val="00C77677"/>
    <w:rsid w:val="00C77997"/>
    <w:rsid w:val="00C80F89"/>
    <w:rsid w:val="00C81338"/>
    <w:rsid w:val="00C874F2"/>
    <w:rsid w:val="00C877C7"/>
    <w:rsid w:val="00C925F9"/>
    <w:rsid w:val="00C944A7"/>
    <w:rsid w:val="00C94C20"/>
    <w:rsid w:val="00C9530C"/>
    <w:rsid w:val="00C964C5"/>
    <w:rsid w:val="00CA2C64"/>
    <w:rsid w:val="00CA5270"/>
    <w:rsid w:val="00CA6B78"/>
    <w:rsid w:val="00CA7C42"/>
    <w:rsid w:val="00CB312A"/>
    <w:rsid w:val="00CB61B5"/>
    <w:rsid w:val="00CC16FD"/>
    <w:rsid w:val="00CC4176"/>
    <w:rsid w:val="00CC509E"/>
    <w:rsid w:val="00CD1E25"/>
    <w:rsid w:val="00CD20A1"/>
    <w:rsid w:val="00CD2ED9"/>
    <w:rsid w:val="00CD3FDC"/>
    <w:rsid w:val="00CD7026"/>
    <w:rsid w:val="00CE2033"/>
    <w:rsid w:val="00CE649E"/>
    <w:rsid w:val="00CE6799"/>
    <w:rsid w:val="00CE6EBA"/>
    <w:rsid w:val="00CF30E4"/>
    <w:rsid w:val="00CF50D6"/>
    <w:rsid w:val="00CF6716"/>
    <w:rsid w:val="00D0705D"/>
    <w:rsid w:val="00D079CE"/>
    <w:rsid w:val="00D10FA2"/>
    <w:rsid w:val="00D129DE"/>
    <w:rsid w:val="00D14541"/>
    <w:rsid w:val="00D212EE"/>
    <w:rsid w:val="00D22D42"/>
    <w:rsid w:val="00D262C1"/>
    <w:rsid w:val="00D27F28"/>
    <w:rsid w:val="00D32D09"/>
    <w:rsid w:val="00D351E1"/>
    <w:rsid w:val="00D35748"/>
    <w:rsid w:val="00D36223"/>
    <w:rsid w:val="00D37B9C"/>
    <w:rsid w:val="00D45018"/>
    <w:rsid w:val="00D45A98"/>
    <w:rsid w:val="00D472F0"/>
    <w:rsid w:val="00D50426"/>
    <w:rsid w:val="00D5046B"/>
    <w:rsid w:val="00D50A03"/>
    <w:rsid w:val="00D5424F"/>
    <w:rsid w:val="00D61E64"/>
    <w:rsid w:val="00D63AE7"/>
    <w:rsid w:val="00D655FE"/>
    <w:rsid w:val="00D710E2"/>
    <w:rsid w:val="00D73068"/>
    <w:rsid w:val="00D763C6"/>
    <w:rsid w:val="00D76CA2"/>
    <w:rsid w:val="00D77F6A"/>
    <w:rsid w:val="00D83461"/>
    <w:rsid w:val="00D84DA6"/>
    <w:rsid w:val="00D85CB9"/>
    <w:rsid w:val="00D91747"/>
    <w:rsid w:val="00D93B03"/>
    <w:rsid w:val="00DA065B"/>
    <w:rsid w:val="00DB2226"/>
    <w:rsid w:val="00DB3921"/>
    <w:rsid w:val="00DD3323"/>
    <w:rsid w:val="00DE33AC"/>
    <w:rsid w:val="00DE4D9D"/>
    <w:rsid w:val="00DE4F3F"/>
    <w:rsid w:val="00DE57C6"/>
    <w:rsid w:val="00DE7F09"/>
    <w:rsid w:val="00DF3902"/>
    <w:rsid w:val="00DF783D"/>
    <w:rsid w:val="00E002E6"/>
    <w:rsid w:val="00E01D60"/>
    <w:rsid w:val="00E02C71"/>
    <w:rsid w:val="00E03267"/>
    <w:rsid w:val="00E0340A"/>
    <w:rsid w:val="00E04669"/>
    <w:rsid w:val="00E05CDC"/>
    <w:rsid w:val="00E164BA"/>
    <w:rsid w:val="00E17E99"/>
    <w:rsid w:val="00E21A9A"/>
    <w:rsid w:val="00E222FC"/>
    <w:rsid w:val="00E23900"/>
    <w:rsid w:val="00E2680B"/>
    <w:rsid w:val="00E27240"/>
    <w:rsid w:val="00E301D7"/>
    <w:rsid w:val="00E326F0"/>
    <w:rsid w:val="00E343E5"/>
    <w:rsid w:val="00E35AF1"/>
    <w:rsid w:val="00E36B31"/>
    <w:rsid w:val="00E36BF8"/>
    <w:rsid w:val="00E44A98"/>
    <w:rsid w:val="00E46632"/>
    <w:rsid w:val="00E47607"/>
    <w:rsid w:val="00E505B1"/>
    <w:rsid w:val="00E5143A"/>
    <w:rsid w:val="00E562C7"/>
    <w:rsid w:val="00E56631"/>
    <w:rsid w:val="00E57784"/>
    <w:rsid w:val="00E648D8"/>
    <w:rsid w:val="00E66EB2"/>
    <w:rsid w:val="00E70A71"/>
    <w:rsid w:val="00E80945"/>
    <w:rsid w:val="00E818E5"/>
    <w:rsid w:val="00E820D2"/>
    <w:rsid w:val="00E83D57"/>
    <w:rsid w:val="00E8702D"/>
    <w:rsid w:val="00E90C17"/>
    <w:rsid w:val="00E91792"/>
    <w:rsid w:val="00E917D0"/>
    <w:rsid w:val="00E949F3"/>
    <w:rsid w:val="00E95107"/>
    <w:rsid w:val="00EA5A24"/>
    <w:rsid w:val="00EA72A6"/>
    <w:rsid w:val="00EB27A4"/>
    <w:rsid w:val="00EB2F6D"/>
    <w:rsid w:val="00EB3956"/>
    <w:rsid w:val="00EB4F6A"/>
    <w:rsid w:val="00EB768A"/>
    <w:rsid w:val="00EC0B27"/>
    <w:rsid w:val="00EC1C19"/>
    <w:rsid w:val="00ED1697"/>
    <w:rsid w:val="00ED3991"/>
    <w:rsid w:val="00ED5887"/>
    <w:rsid w:val="00ED6826"/>
    <w:rsid w:val="00EE0AED"/>
    <w:rsid w:val="00EE294A"/>
    <w:rsid w:val="00EE3821"/>
    <w:rsid w:val="00EE38C7"/>
    <w:rsid w:val="00EE40B5"/>
    <w:rsid w:val="00EF0DBB"/>
    <w:rsid w:val="00EF4CD6"/>
    <w:rsid w:val="00EF5A13"/>
    <w:rsid w:val="00EF5EE6"/>
    <w:rsid w:val="00EF608B"/>
    <w:rsid w:val="00F05562"/>
    <w:rsid w:val="00F074B2"/>
    <w:rsid w:val="00F076AD"/>
    <w:rsid w:val="00F1046C"/>
    <w:rsid w:val="00F11275"/>
    <w:rsid w:val="00F1441A"/>
    <w:rsid w:val="00F14C26"/>
    <w:rsid w:val="00F15A71"/>
    <w:rsid w:val="00F16C73"/>
    <w:rsid w:val="00F1731F"/>
    <w:rsid w:val="00F22A71"/>
    <w:rsid w:val="00F2544F"/>
    <w:rsid w:val="00F35ED6"/>
    <w:rsid w:val="00F3789C"/>
    <w:rsid w:val="00F41507"/>
    <w:rsid w:val="00F45C89"/>
    <w:rsid w:val="00F50768"/>
    <w:rsid w:val="00F529EB"/>
    <w:rsid w:val="00F52A1E"/>
    <w:rsid w:val="00F53D61"/>
    <w:rsid w:val="00F553B7"/>
    <w:rsid w:val="00F55A23"/>
    <w:rsid w:val="00F57BA6"/>
    <w:rsid w:val="00F611DF"/>
    <w:rsid w:val="00F6234C"/>
    <w:rsid w:val="00F640EE"/>
    <w:rsid w:val="00F67ECC"/>
    <w:rsid w:val="00F72B61"/>
    <w:rsid w:val="00F74FE0"/>
    <w:rsid w:val="00F757E6"/>
    <w:rsid w:val="00F75D0F"/>
    <w:rsid w:val="00F80D0A"/>
    <w:rsid w:val="00F81073"/>
    <w:rsid w:val="00F8207D"/>
    <w:rsid w:val="00F8749D"/>
    <w:rsid w:val="00F87F37"/>
    <w:rsid w:val="00F963B0"/>
    <w:rsid w:val="00F97667"/>
    <w:rsid w:val="00F97F8C"/>
    <w:rsid w:val="00FA38E0"/>
    <w:rsid w:val="00FA3CA4"/>
    <w:rsid w:val="00FA43AE"/>
    <w:rsid w:val="00FA6AF5"/>
    <w:rsid w:val="00FB6C14"/>
    <w:rsid w:val="00FC4497"/>
    <w:rsid w:val="00FC600B"/>
    <w:rsid w:val="00FD338C"/>
    <w:rsid w:val="00FE4B50"/>
    <w:rsid w:val="00FE5274"/>
    <w:rsid w:val="00FF0936"/>
    <w:rsid w:val="00FF29CC"/>
    <w:rsid w:val="00FF3D27"/>
    <w:rsid w:val="00FF6177"/>
    <w:rsid w:val="00FF689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A1139"/>
  <w15:chartTrackingRefBased/>
  <w15:docId w15:val="{47B872DD-1280-4266-996A-4B860E92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D09"/>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styleId="PlainTable2">
    <w:name w:val="Plain Table 2"/>
    <w:basedOn w:val="TableNormal"/>
    <w:uiPriority w:val="42"/>
    <w:rsid w:val="005D5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styleId="ListTable2">
    <w:name w:val="List Table 2"/>
    <w:basedOn w:val="TableNormal"/>
    <w:uiPriority w:val="47"/>
    <w:rsid w:val="007B75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0705D"/>
  </w:style>
  <w:style w:type="table" w:styleId="PlainTable5">
    <w:name w:val="Plain Table 5"/>
    <w:basedOn w:val="TableNormal"/>
    <w:uiPriority w:val="45"/>
    <w:rsid w:val="00D0705D"/>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semiHidden/>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semiHidden/>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styleId="PlainTable4">
    <w:name w:val="Plain Table 4"/>
    <w:basedOn w:val="TableNormal"/>
    <w:uiPriority w:val="44"/>
    <w:rsid w:val="00D070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898457">
      <w:bodyDiv w:val="1"/>
      <w:marLeft w:val="0"/>
      <w:marRight w:val="0"/>
      <w:marTop w:val="0"/>
      <w:marBottom w:val="0"/>
      <w:divBdr>
        <w:top w:val="none" w:sz="0" w:space="0" w:color="auto"/>
        <w:left w:val="none" w:sz="0" w:space="0" w:color="auto"/>
        <w:bottom w:val="none" w:sz="0" w:space="0" w:color="auto"/>
        <w:right w:val="none" w:sz="0" w:space="0" w:color="auto"/>
      </w:divBdr>
    </w:div>
    <w:div w:id="252711592">
      <w:bodyDiv w:val="1"/>
      <w:marLeft w:val="0"/>
      <w:marRight w:val="0"/>
      <w:marTop w:val="0"/>
      <w:marBottom w:val="0"/>
      <w:divBdr>
        <w:top w:val="none" w:sz="0" w:space="0" w:color="auto"/>
        <w:left w:val="none" w:sz="0" w:space="0" w:color="auto"/>
        <w:bottom w:val="none" w:sz="0" w:space="0" w:color="auto"/>
        <w:right w:val="none" w:sz="0" w:space="0" w:color="auto"/>
      </w:divBdr>
    </w:div>
    <w:div w:id="520972846">
      <w:bodyDiv w:val="1"/>
      <w:marLeft w:val="0"/>
      <w:marRight w:val="0"/>
      <w:marTop w:val="0"/>
      <w:marBottom w:val="0"/>
      <w:divBdr>
        <w:top w:val="none" w:sz="0" w:space="0" w:color="auto"/>
        <w:left w:val="none" w:sz="0" w:space="0" w:color="auto"/>
        <w:bottom w:val="none" w:sz="0" w:space="0" w:color="auto"/>
        <w:right w:val="none" w:sz="0" w:space="0" w:color="auto"/>
      </w:divBdr>
      <w:divsChild>
        <w:div w:id="639263485">
          <w:marLeft w:val="0"/>
          <w:marRight w:val="0"/>
          <w:marTop w:val="0"/>
          <w:marBottom w:val="0"/>
          <w:divBdr>
            <w:top w:val="none" w:sz="0" w:space="0" w:color="auto"/>
            <w:left w:val="none" w:sz="0" w:space="0" w:color="auto"/>
            <w:bottom w:val="none" w:sz="0" w:space="0" w:color="auto"/>
            <w:right w:val="none" w:sz="0" w:space="0" w:color="auto"/>
          </w:divBdr>
          <w:divsChild>
            <w:div w:id="304241791">
              <w:marLeft w:val="0"/>
              <w:marRight w:val="0"/>
              <w:marTop w:val="0"/>
              <w:marBottom w:val="0"/>
              <w:divBdr>
                <w:top w:val="none" w:sz="0" w:space="0" w:color="auto"/>
                <w:left w:val="none" w:sz="0" w:space="0" w:color="auto"/>
                <w:bottom w:val="none" w:sz="0" w:space="0" w:color="auto"/>
                <w:right w:val="none" w:sz="0" w:space="0" w:color="auto"/>
              </w:divBdr>
              <w:divsChild>
                <w:div w:id="212085276">
                  <w:marLeft w:val="0"/>
                  <w:marRight w:val="0"/>
                  <w:marTop w:val="0"/>
                  <w:marBottom w:val="0"/>
                  <w:divBdr>
                    <w:top w:val="none" w:sz="0" w:space="0" w:color="auto"/>
                    <w:left w:val="none" w:sz="0" w:space="0" w:color="auto"/>
                    <w:bottom w:val="none" w:sz="0" w:space="0" w:color="auto"/>
                    <w:right w:val="none" w:sz="0" w:space="0" w:color="auto"/>
                  </w:divBdr>
                  <w:divsChild>
                    <w:div w:id="1882202104">
                      <w:marLeft w:val="0"/>
                      <w:marRight w:val="0"/>
                      <w:marTop w:val="0"/>
                      <w:marBottom w:val="0"/>
                      <w:divBdr>
                        <w:top w:val="none" w:sz="0" w:space="0" w:color="auto"/>
                        <w:left w:val="none" w:sz="0" w:space="0" w:color="auto"/>
                        <w:bottom w:val="none" w:sz="0" w:space="0" w:color="auto"/>
                        <w:right w:val="none" w:sz="0" w:space="0" w:color="auto"/>
                      </w:divBdr>
                      <w:divsChild>
                        <w:div w:id="2016687267">
                          <w:marLeft w:val="0"/>
                          <w:marRight w:val="0"/>
                          <w:marTop w:val="0"/>
                          <w:marBottom w:val="0"/>
                          <w:divBdr>
                            <w:top w:val="none" w:sz="0" w:space="0" w:color="auto"/>
                            <w:left w:val="none" w:sz="0" w:space="0" w:color="auto"/>
                            <w:bottom w:val="none" w:sz="0" w:space="0" w:color="auto"/>
                            <w:right w:val="none" w:sz="0" w:space="0" w:color="auto"/>
                          </w:divBdr>
                          <w:divsChild>
                            <w:div w:id="1105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6291">
      <w:bodyDiv w:val="1"/>
      <w:marLeft w:val="0"/>
      <w:marRight w:val="0"/>
      <w:marTop w:val="0"/>
      <w:marBottom w:val="0"/>
      <w:divBdr>
        <w:top w:val="none" w:sz="0" w:space="0" w:color="auto"/>
        <w:left w:val="none" w:sz="0" w:space="0" w:color="auto"/>
        <w:bottom w:val="none" w:sz="0" w:space="0" w:color="auto"/>
        <w:right w:val="none" w:sz="0" w:space="0" w:color="auto"/>
      </w:divBdr>
    </w:div>
    <w:div w:id="1082333559">
      <w:bodyDiv w:val="1"/>
      <w:marLeft w:val="0"/>
      <w:marRight w:val="0"/>
      <w:marTop w:val="0"/>
      <w:marBottom w:val="0"/>
      <w:divBdr>
        <w:top w:val="none" w:sz="0" w:space="0" w:color="auto"/>
        <w:left w:val="none" w:sz="0" w:space="0" w:color="auto"/>
        <w:bottom w:val="none" w:sz="0" w:space="0" w:color="auto"/>
        <w:right w:val="none" w:sz="0" w:space="0" w:color="auto"/>
      </w:divBdr>
    </w:div>
    <w:div w:id="1266187845">
      <w:bodyDiv w:val="1"/>
      <w:marLeft w:val="0"/>
      <w:marRight w:val="0"/>
      <w:marTop w:val="0"/>
      <w:marBottom w:val="0"/>
      <w:divBdr>
        <w:top w:val="none" w:sz="0" w:space="0" w:color="auto"/>
        <w:left w:val="none" w:sz="0" w:space="0" w:color="auto"/>
        <w:bottom w:val="none" w:sz="0" w:space="0" w:color="auto"/>
        <w:right w:val="none" w:sz="0" w:space="0" w:color="auto"/>
      </w:divBdr>
    </w:div>
    <w:div w:id="1284193184">
      <w:bodyDiv w:val="1"/>
      <w:marLeft w:val="0"/>
      <w:marRight w:val="0"/>
      <w:marTop w:val="0"/>
      <w:marBottom w:val="0"/>
      <w:divBdr>
        <w:top w:val="none" w:sz="0" w:space="0" w:color="auto"/>
        <w:left w:val="none" w:sz="0" w:space="0" w:color="auto"/>
        <w:bottom w:val="none" w:sz="0" w:space="0" w:color="auto"/>
        <w:right w:val="none" w:sz="0" w:space="0" w:color="auto"/>
      </w:divBdr>
    </w:div>
    <w:div w:id="1532457971">
      <w:bodyDiv w:val="1"/>
      <w:marLeft w:val="0"/>
      <w:marRight w:val="0"/>
      <w:marTop w:val="0"/>
      <w:marBottom w:val="0"/>
      <w:divBdr>
        <w:top w:val="none" w:sz="0" w:space="0" w:color="auto"/>
        <w:left w:val="none" w:sz="0" w:space="0" w:color="auto"/>
        <w:bottom w:val="none" w:sz="0" w:space="0" w:color="auto"/>
        <w:right w:val="none" w:sz="0" w:space="0" w:color="auto"/>
      </w:divBdr>
    </w:div>
    <w:div w:id="18398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4.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chart" Target="charts/chart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9374398236"/>
          <c:y val="0.22376063920391093"/>
          <c:w val="0.77321003098911689"/>
          <c:h val="0.62137810548906591"/>
        </c:manualLayout>
      </c:layout>
      <c:lineChart>
        <c:grouping val="standard"/>
        <c:varyColors val="0"/>
        <c:ser>
          <c:idx val="0"/>
          <c:order val="0"/>
          <c:tx>
            <c:strRef>
              <c:f>'Recap extrait aubier'!$A$28</c:f>
              <c:strCache>
                <c:ptCount val="1"/>
                <c:pt idx="0">
                  <c:v>Untreated Control</c:v>
                </c:pt>
              </c:strCache>
            </c:strRef>
          </c:tx>
          <c:spPr>
            <a:ln w="28575" cap="rnd">
              <a:solidFill>
                <a:sysClr val="windowText" lastClr="000000"/>
              </a:solidFill>
              <a:round/>
              <a:extLst>
                <a:ext uri="{C807C97D-BFC1-408E-A445-0C87EB9F89A2}">
                  <ask:lineSketchStyleProps xmlns:ask="http://schemas.microsoft.com/office/drawing/2018/sketchyshapes">
                    <ask:type>
                      <ask:lineSketchScribble/>
                    </ask:type>
                  </ask:lineSketchStyleProps>
                </a:ext>
              </a:extLst>
            </a:ln>
            <a:effectLst/>
          </c:spPr>
          <c:marker>
            <c:symbol val="circle"/>
            <c:size val="5"/>
            <c:spPr>
              <a:solidFill>
                <a:schemeClr val="tx1"/>
              </a:solidFill>
              <a:ln w="28575">
                <a:solidFill>
                  <a:sysClr val="windowText" lastClr="00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aubier'!$B$28:$J$28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DDA5-44C7-B55C-50A9AF74B24E}"/>
            </c:ext>
          </c:extLst>
        </c:ser>
        <c:ser>
          <c:idx val="1"/>
          <c:order val="1"/>
          <c:tx>
            <c:strRef>
              <c:f>'Recap extrait aubier'!$A$29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aubier'!$B$29:$J$29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DDA5-44C7-B55C-50A9AF74B24E}"/>
            </c:ext>
          </c:extLst>
        </c:ser>
        <c:ser>
          <c:idx val="2"/>
          <c:order val="2"/>
          <c:tx>
            <c:strRef>
              <c:f>'Recap extrait aubier'!$A$30</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aubier'!$B$30:$J$30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DDA5-44C7-B55C-50A9AF74B24E}"/>
            </c:ext>
          </c:extLst>
        </c:ser>
        <c:ser>
          <c:idx val="3"/>
          <c:order val="3"/>
          <c:tx>
            <c:strRef>
              <c:f>'Recap extrait aubier'!$A$31</c:f>
              <c:strCache>
                <c:ptCount val="1"/>
                <c:pt idx="0">
                  <c:v>Badi sapwood (0,08µL/cm²)</c:v>
                </c:pt>
              </c:strCache>
            </c:strRef>
          </c:tx>
          <c:spPr>
            <a:ln w="28575" cap="rnd">
              <a:solidFill>
                <a:srgbClr val="FFC000"/>
              </a:solidFill>
              <a:round/>
              <a:extLst>
                <a:ext uri="{C807C97D-BFC1-408E-A445-0C87EB9F89A2}">
                  <ask:lineSketchStyleProps xmlns:ask="http://schemas.microsoft.com/office/drawing/2018/sketchyshapes">
                    <ask:type>
                      <ask:lineSketchFreehand/>
                    </ask:type>
                  </ask:lineSketchStyleProps>
                </a:ext>
              </a:extLst>
            </a:ln>
            <a:effectLst/>
          </c:spPr>
          <c:marker>
            <c:symbol val="circle"/>
            <c:size val="5"/>
            <c:spPr>
              <a:solidFill>
                <a:srgbClr val="FFC000"/>
              </a:solidFill>
              <a:ln w="9525">
                <a:solidFill>
                  <a:srgbClr val="FFC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aubier'!$B$31:$J$31</c:f>
              <c:numCache>
                <c:formatCode>General</c:formatCode>
                <c:ptCount val="9"/>
                <c:pt idx="0">
                  <c:v>0</c:v>
                </c:pt>
                <c:pt idx="1">
                  <c:v>3.3333333333333335</c:v>
                </c:pt>
                <c:pt idx="2">
                  <c:v>5</c:v>
                </c:pt>
                <c:pt idx="3">
                  <c:v>10</c:v>
                </c:pt>
                <c:pt idx="4">
                  <c:v>15</c:v>
                </c:pt>
                <c:pt idx="5">
                  <c:v>30</c:v>
                </c:pt>
                <c:pt idx="6">
                  <c:v>56.666666666666664</c:v>
                </c:pt>
                <c:pt idx="7">
                  <c:v>80</c:v>
                </c:pt>
                <c:pt idx="8">
                  <c:v>90</c:v>
                </c:pt>
              </c:numCache>
            </c:numRef>
          </c:val>
          <c:smooth val="0"/>
          <c:extLst>
            <c:ext xmlns:c16="http://schemas.microsoft.com/office/drawing/2014/chart" uri="{C3380CC4-5D6E-409C-BE32-E72D297353CC}">
              <c16:uniqueId val="{00000003-DDA5-44C7-B55C-50A9AF74B24E}"/>
            </c:ext>
          </c:extLst>
        </c:ser>
        <c:ser>
          <c:idx val="4"/>
          <c:order val="4"/>
          <c:tx>
            <c:strRef>
              <c:f>'Recap extrait aubier'!$A$32</c:f>
              <c:strCache>
                <c:ptCount val="1"/>
                <c:pt idx="0">
                  <c:v>Bete sapwood (0,08µL/cm²)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aubier'!$B$32:$J$32</c:f>
              <c:numCache>
                <c:formatCode>General</c:formatCode>
                <c:ptCount val="9"/>
                <c:pt idx="0">
                  <c:v>0</c:v>
                </c:pt>
                <c:pt idx="1">
                  <c:v>0</c:v>
                </c:pt>
                <c:pt idx="2">
                  <c:v>0</c:v>
                </c:pt>
                <c:pt idx="3">
                  <c:v>10</c:v>
                </c:pt>
                <c:pt idx="4">
                  <c:v>26.666666666666668</c:v>
                </c:pt>
                <c:pt idx="5">
                  <c:v>51.666666666666671</c:v>
                </c:pt>
                <c:pt idx="6">
                  <c:v>68.333333333333329</c:v>
                </c:pt>
                <c:pt idx="7">
                  <c:v>76.666666666666671</c:v>
                </c:pt>
                <c:pt idx="8">
                  <c:v>88.333333350000004</c:v>
                </c:pt>
              </c:numCache>
            </c:numRef>
          </c:val>
          <c:smooth val="0"/>
          <c:extLst>
            <c:ext xmlns:c16="http://schemas.microsoft.com/office/drawing/2014/chart" uri="{C3380CC4-5D6E-409C-BE32-E72D297353CC}">
              <c16:uniqueId val="{00000004-DDA5-44C7-B55C-50A9AF74B24E}"/>
            </c:ext>
          </c:extLst>
        </c:ser>
        <c:ser>
          <c:idx val="5"/>
          <c:order val="5"/>
          <c:tx>
            <c:strRef>
              <c:f>'Recap extrait aubier'!$A$33</c:f>
              <c:strCache>
                <c:ptCount val="1"/>
                <c:pt idx="0">
                  <c:v>Iroko sapwood (0,08µL/cm²)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aubier'!$B$33:$J$33</c:f>
              <c:numCache>
                <c:formatCode>General</c:formatCode>
                <c:ptCount val="9"/>
                <c:pt idx="0">
                  <c:v>0</c:v>
                </c:pt>
                <c:pt idx="1">
                  <c:v>3.3333333333333499</c:v>
                </c:pt>
                <c:pt idx="2">
                  <c:v>3.3333333333333499</c:v>
                </c:pt>
                <c:pt idx="3">
                  <c:v>3.3333333333333499</c:v>
                </c:pt>
                <c:pt idx="4">
                  <c:v>20</c:v>
                </c:pt>
                <c:pt idx="5">
                  <c:v>31.666666666666664</c:v>
                </c:pt>
                <c:pt idx="6">
                  <c:v>48.333333333333499</c:v>
                </c:pt>
                <c:pt idx="7">
                  <c:v>66.666666666666671</c:v>
                </c:pt>
                <c:pt idx="8">
                  <c:v>80</c:v>
                </c:pt>
              </c:numCache>
            </c:numRef>
          </c:val>
          <c:smooth val="0"/>
          <c:extLst>
            <c:ext xmlns:c16="http://schemas.microsoft.com/office/drawing/2014/chart" uri="{C3380CC4-5D6E-409C-BE32-E72D297353CC}">
              <c16:uniqueId val="{00000005-DDA5-44C7-B55C-50A9AF74B24E}"/>
            </c:ext>
          </c:extLst>
        </c:ser>
        <c:dLbls>
          <c:showLegendKey val="0"/>
          <c:showVal val="0"/>
          <c:showCatName val="0"/>
          <c:showSerName val="0"/>
          <c:showPercent val="0"/>
          <c:showBubbleSize val="0"/>
        </c:dLbls>
        <c:marker val="1"/>
        <c:smooth val="0"/>
        <c:axId val="64730623"/>
        <c:axId val="208307263"/>
      </c:lineChart>
      <c:catAx>
        <c:axId val="6473062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7263"/>
        <c:crosses val="autoZero"/>
        <c:auto val="1"/>
        <c:lblAlgn val="ctr"/>
        <c:lblOffset val="100"/>
        <c:noMultiLvlLbl val="0"/>
      </c:catAx>
      <c:valAx>
        <c:axId val="208307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Mortality rate (%)</a:t>
                </a:r>
                <a:endParaRPr lang="fr-MG"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287243609197427E-3"/>
              <c:y val="0.3078206000688619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30623"/>
        <c:crosses val="autoZero"/>
        <c:crossBetween val="between"/>
      </c:valAx>
      <c:spPr>
        <a:noFill/>
        <a:ln>
          <a:noFill/>
        </a:ln>
        <a:effectLst/>
      </c:spPr>
    </c:plotArea>
    <c:legend>
      <c:legendPos val="b"/>
      <c:layout>
        <c:manualLayout>
          <c:xMode val="edge"/>
          <c:yMode val="edge"/>
          <c:x val="0"/>
          <c:y val="8.5548042526296612E-3"/>
          <c:w val="0.9965241242123577"/>
          <c:h val="0.13434837437823952"/>
        </c:manualLayout>
      </c:layout>
      <c:overlay val="0"/>
      <c:spPr>
        <a:noFill/>
        <a:ln>
          <a:noFill/>
          <a:extLst>
            <a:ext uri="{C807C97D-BFC1-408E-A445-0C87EB9F89A2}">
              <ask:lineSketchStyleProps xmlns:ask="http://schemas.microsoft.com/office/drawing/2018/sketchyshapes">
                <ask:type>
                  <ask:lineSketchCurved/>
                </ask:type>
              </ask:lineSketchStyleProps>
            </a:ext>
          </a:extLst>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0038294393528"/>
          <c:y val="0.19449557045577387"/>
          <c:w val="0.83392693946043628"/>
          <c:h val="0.64326897982470521"/>
        </c:manualLayout>
      </c:layout>
      <c:lineChart>
        <c:grouping val="standard"/>
        <c:varyColors val="0"/>
        <c:ser>
          <c:idx val="0"/>
          <c:order val="0"/>
          <c:tx>
            <c:strRef>
              <c:f>'Recapitulatif toxicité'!$A$27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toxicité'!$B$27:$J$27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B4A9-43E4-AE66-262378AF1079}"/>
            </c:ext>
          </c:extLst>
        </c:ser>
        <c:ser>
          <c:idx val="1"/>
          <c:order val="1"/>
          <c:tx>
            <c:strRef>
              <c:f>'Recapitulatif toxicité'!$A$28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toxicité'!$B$28:$J$28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3.3333333299999999</c:v>
                </c:pt>
              </c:numCache>
            </c:numRef>
          </c:val>
          <c:smooth val="0"/>
          <c:extLst>
            <c:ext xmlns:c16="http://schemas.microsoft.com/office/drawing/2014/chart" uri="{C3380CC4-5D6E-409C-BE32-E72D297353CC}">
              <c16:uniqueId val="{00000001-B4A9-43E4-AE66-262378AF1079}"/>
            </c:ext>
          </c:extLst>
        </c:ser>
        <c:ser>
          <c:idx val="2"/>
          <c:order val="2"/>
          <c:tx>
            <c:strRef>
              <c:f>'Recapitulatif toxicité'!$A$29</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toxicité'!$B$29:$J$29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B4A9-43E4-AE66-262378AF1079}"/>
            </c:ext>
          </c:extLst>
        </c:ser>
        <c:ser>
          <c:idx val="3"/>
          <c:order val="3"/>
          <c:tx>
            <c:strRef>
              <c:f>'Recapitulatif toxicité'!$A$30</c:f>
              <c:strCache>
                <c:ptCount val="1"/>
                <c:pt idx="0">
                  <c:v>Badi heartwood (0,08µL/cm²)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toxicité'!$B$30:$J$30</c:f>
              <c:numCache>
                <c:formatCode>General</c:formatCode>
                <c:ptCount val="9"/>
                <c:pt idx="0">
                  <c:v>0</c:v>
                </c:pt>
                <c:pt idx="1">
                  <c:v>0</c:v>
                </c:pt>
                <c:pt idx="2">
                  <c:v>58.333333333333329</c:v>
                </c:pt>
                <c:pt idx="3">
                  <c:v>63.333333333333329</c:v>
                </c:pt>
                <c:pt idx="4">
                  <c:v>65</c:v>
                </c:pt>
                <c:pt idx="5">
                  <c:v>68.333333333333329</c:v>
                </c:pt>
                <c:pt idx="6">
                  <c:v>73.900000000000006</c:v>
                </c:pt>
                <c:pt idx="7">
                  <c:v>73.900000000000006</c:v>
                </c:pt>
                <c:pt idx="8">
                  <c:v>73.900000000000006</c:v>
                </c:pt>
              </c:numCache>
            </c:numRef>
          </c:val>
          <c:smooth val="0"/>
          <c:extLst>
            <c:ext xmlns:c16="http://schemas.microsoft.com/office/drawing/2014/chart" uri="{C3380CC4-5D6E-409C-BE32-E72D297353CC}">
              <c16:uniqueId val="{00000003-B4A9-43E4-AE66-262378AF1079}"/>
            </c:ext>
          </c:extLst>
        </c:ser>
        <c:ser>
          <c:idx val="4"/>
          <c:order val="4"/>
          <c:tx>
            <c:strRef>
              <c:f>'Recapitulatif toxicité'!$A$31</c:f>
              <c:strCache>
                <c:ptCount val="1"/>
                <c:pt idx="0">
                  <c:v>Bete heartwood (0,08µL/cm²)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toxicité'!$B$31:$J$31</c:f>
              <c:numCache>
                <c:formatCode>General</c:formatCode>
                <c:ptCount val="9"/>
                <c:pt idx="0">
                  <c:v>0</c:v>
                </c:pt>
                <c:pt idx="1">
                  <c:v>60</c:v>
                </c:pt>
                <c:pt idx="2">
                  <c:v>66.666666666666671</c:v>
                </c:pt>
                <c:pt idx="3">
                  <c:v>73.900000000000006</c:v>
                </c:pt>
                <c:pt idx="4">
                  <c:v>76.666666666666501</c:v>
                </c:pt>
                <c:pt idx="5">
                  <c:v>86.666666666666657</c:v>
                </c:pt>
                <c:pt idx="6">
                  <c:v>95</c:v>
                </c:pt>
                <c:pt idx="7">
                  <c:v>96.666666666666657</c:v>
                </c:pt>
                <c:pt idx="8">
                  <c:v>96.666666699999993</c:v>
                </c:pt>
              </c:numCache>
            </c:numRef>
          </c:val>
          <c:smooth val="0"/>
          <c:extLst>
            <c:ext xmlns:c16="http://schemas.microsoft.com/office/drawing/2014/chart" uri="{C3380CC4-5D6E-409C-BE32-E72D297353CC}">
              <c16:uniqueId val="{00000004-B4A9-43E4-AE66-262378AF1079}"/>
            </c:ext>
          </c:extLst>
        </c:ser>
        <c:ser>
          <c:idx val="5"/>
          <c:order val="5"/>
          <c:tx>
            <c:strRef>
              <c:f>'Recapitulatif toxicité'!$A$32</c:f>
              <c:strCache>
                <c:ptCount val="1"/>
                <c:pt idx="0">
                  <c:v>Iroko heartwood (0,08µL/cm²)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toxicité'!$B$32:$J$32</c:f>
              <c:numCache>
                <c:formatCode>General</c:formatCode>
                <c:ptCount val="9"/>
                <c:pt idx="0">
                  <c:v>0</c:v>
                </c:pt>
                <c:pt idx="1">
                  <c:v>25</c:v>
                </c:pt>
                <c:pt idx="2">
                  <c:v>36.666666666666664</c:v>
                </c:pt>
                <c:pt idx="3">
                  <c:v>43.333333349999997</c:v>
                </c:pt>
                <c:pt idx="4">
                  <c:v>68.333333333333329</c:v>
                </c:pt>
                <c:pt idx="5">
                  <c:v>78.333333333333329</c:v>
                </c:pt>
                <c:pt idx="6">
                  <c:v>86.666664999999995</c:v>
                </c:pt>
                <c:pt idx="7">
                  <c:v>86.666664999999995</c:v>
                </c:pt>
                <c:pt idx="8">
                  <c:v>86.666664999999995</c:v>
                </c:pt>
              </c:numCache>
            </c:numRef>
          </c:val>
          <c:smooth val="0"/>
          <c:extLst>
            <c:ext xmlns:c16="http://schemas.microsoft.com/office/drawing/2014/chart" uri="{C3380CC4-5D6E-409C-BE32-E72D297353CC}">
              <c16:uniqueId val="{00000005-B4A9-43E4-AE66-262378AF1079}"/>
            </c:ext>
          </c:extLst>
        </c:ser>
        <c:dLbls>
          <c:showLegendKey val="0"/>
          <c:showVal val="0"/>
          <c:showCatName val="0"/>
          <c:showSerName val="0"/>
          <c:showPercent val="0"/>
          <c:showBubbleSize val="0"/>
        </c:dLbls>
        <c:marker val="1"/>
        <c:smooth val="0"/>
        <c:axId val="64772863"/>
        <c:axId val="208270063"/>
      </c:lineChart>
      <c:catAx>
        <c:axId val="6477286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16993591710127143"/>
              <c:y val="0.925382262996941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70063"/>
        <c:crosses val="autoZero"/>
        <c:auto val="1"/>
        <c:lblAlgn val="ctr"/>
        <c:lblOffset val="100"/>
        <c:noMultiLvlLbl val="0"/>
      </c:catAx>
      <c:valAx>
        <c:axId val="20827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715846994535519E-3"/>
              <c:y val="0.305916768657850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72863"/>
        <c:crosses val="autoZero"/>
        <c:crossBetween val="between"/>
      </c:valAx>
      <c:spPr>
        <a:noFill/>
        <a:ln>
          <a:noFill/>
        </a:ln>
        <a:effectLst/>
      </c:spPr>
    </c:plotArea>
    <c:legend>
      <c:legendPos val="b"/>
      <c:layout>
        <c:manualLayout>
          <c:xMode val="edge"/>
          <c:yMode val="edge"/>
          <c:x val="0"/>
          <c:y val="4.6647690042664024E-3"/>
          <c:w val="1"/>
          <c:h val="0.1294703546672050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3237548899461"/>
          <c:y val="0.16548653398593147"/>
          <c:w val="0.85766757464549415"/>
          <c:h val="0.66222911581872035"/>
        </c:manualLayout>
      </c:layout>
      <c:lineChart>
        <c:grouping val="standard"/>
        <c:varyColors val="0"/>
        <c:ser>
          <c:idx val="0"/>
          <c:order val="0"/>
          <c:tx>
            <c:strRef>
              <c:f>'Recap extrait aubier'!$M$28</c:f>
              <c:strCache>
                <c:ptCount val="1"/>
                <c:pt idx="0">
                  <c:v>Untreated Control</c:v>
                </c:pt>
              </c:strCache>
            </c:strRef>
          </c:tx>
          <c:spPr>
            <a:ln w="28575" cap="rnd">
              <a:solidFill>
                <a:sysClr val="windowText" lastClr="000000"/>
              </a:solidFill>
              <a:round/>
              <a:extLst>
                <a:ext uri="{C807C97D-BFC1-408E-A445-0C87EB9F89A2}">
                  <ask:lineSketchStyleProps xmlns:ask="http://schemas.microsoft.com/office/drawing/2018/sketchyshapes">
                    <ask:type>
                      <ask:lineSketchFreehand/>
                    </ask:type>
                  </ask:lineSketchStyleProps>
                </a:ext>
              </a:extLst>
            </a:ln>
            <a:effectLst/>
          </c:spPr>
          <c:marker>
            <c:symbol val="circle"/>
            <c:size val="5"/>
            <c:spPr>
              <a:solidFill>
                <a:schemeClr val="tx1"/>
              </a:solidFill>
              <a:ln w="28575">
                <a:solidFill>
                  <a:sysClr val="windowText" lastClr="000000"/>
                </a:solidFill>
                <a:extLst>
                  <a:ext uri="{C807C97D-BFC1-408E-A445-0C87EB9F89A2}">
                    <ask:lineSketchStyleProps xmlns:ask="http://schemas.microsoft.com/office/drawing/2018/sketchyshapes">
                      <ask:type>
                        <ask:lineSketchFreehan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aubier'!$N$28:$V$28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3608-4994-A215-924480161C31}"/>
            </c:ext>
          </c:extLst>
        </c:ser>
        <c:ser>
          <c:idx val="1"/>
          <c:order val="1"/>
          <c:tx>
            <c:strRef>
              <c:f>'Recap extrait aubier'!$M$29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aubier'!$N$29:$V$29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3608-4994-A215-924480161C31}"/>
            </c:ext>
          </c:extLst>
        </c:ser>
        <c:ser>
          <c:idx val="2"/>
          <c:order val="2"/>
          <c:tx>
            <c:strRef>
              <c:f>'Recap extrait aubier'!$M$30</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aubier'!$N$30:$V$30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3608-4994-A215-924480161C31}"/>
            </c:ext>
          </c:extLst>
        </c:ser>
        <c:ser>
          <c:idx val="3"/>
          <c:order val="3"/>
          <c:tx>
            <c:strRef>
              <c:f>'Recap extrait aubier'!$M$31</c:f>
              <c:strCache>
                <c:ptCount val="1"/>
                <c:pt idx="0">
                  <c:v>Badi sapwood (0,16µL/cm²)</c:v>
                </c:pt>
              </c:strCache>
            </c:strRef>
          </c:tx>
          <c:spPr>
            <a:ln w="38100" cap="rnd">
              <a:solidFill>
                <a:schemeClr val="accent4"/>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chemeClr val="accent4"/>
              </a:solidFill>
              <a:ln w="38100">
                <a:solidFill>
                  <a:schemeClr val="accent4"/>
                </a:solidFill>
                <a:extLst>
                  <a:ext uri="{C807C97D-BFC1-408E-A445-0C87EB9F89A2}">
                    <ask:lineSketchStyleProps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aubier'!$N$31:$V$31</c:f>
              <c:numCache>
                <c:formatCode>General</c:formatCode>
                <c:ptCount val="9"/>
                <c:pt idx="0">
                  <c:v>0</c:v>
                </c:pt>
                <c:pt idx="1">
                  <c:v>3.3333333333333335</c:v>
                </c:pt>
                <c:pt idx="2">
                  <c:v>8.3333333333333339</c:v>
                </c:pt>
                <c:pt idx="3">
                  <c:v>13.333333333333334</c:v>
                </c:pt>
                <c:pt idx="4">
                  <c:v>25</c:v>
                </c:pt>
                <c:pt idx="5">
                  <c:v>45</c:v>
                </c:pt>
                <c:pt idx="6">
                  <c:v>58.333333333333329</c:v>
                </c:pt>
                <c:pt idx="7">
                  <c:v>85</c:v>
                </c:pt>
                <c:pt idx="8">
                  <c:v>91.666666666666657</c:v>
                </c:pt>
              </c:numCache>
            </c:numRef>
          </c:val>
          <c:smooth val="0"/>
          <c:extLst>
            <c:ext xmlns:c16="http://schemas.microsoft.com/office/drawing/2014/chart" uri="{C3380CC4-5D6E-409C-BE32-E72D297353CC}">
              <c16:uniqueId val="{00000003-3608-4994-A215-924480161C31}"/>
            </c:ext>
          </c:extLst>
        </c:ser>
        <c:ser>
          <c:idx val="4"/>
          <c:order val="4"/>
          <c:tx>
            <c:strRef>
              <c:f>'Recap extrait aubier'!$M$32</c:f>
              <c:strCache>
                <c:ptCount val="1"/>
                <c:pt idx="0">
                  <c:v>Bete sapwood (0,16µL/cm²)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aubier'!$N$32:$V$32</c:f>
              <c:numCache>
                <c:formatCode>General</c:formatCode>
                <c:ptCount val="9"/>
                <c:pt idx="0">
                  <c:v>0</c:v>
                </c:pt>
                <c:pt idx="1">
                  <c:v>0</c:v>
                </c:pt>
                <c:pt idx="2">
                  <c:v>0</c:v>
                </c:pt>
                <c:pt idx="3">
                  <c:v>5</c:v>
                </c:pt>
                <c:pt idx="4">
                  <c:v>21.666666666666664</c:v>
                </c:pt>
                <c:pt idx="5">
                  <c:v>45</c:v>
                </c:pt>
                <c:pt idx="6">
                  <c:v>61.666666666666671</c:v>
                </c:pt>
                <c:pt idx="7">
                  <c:v>81.666666666666501</c:v>
                </c:pt>
                <c:pt idx="8">
                  <c:v>91.666666649999996</c:v>
                </c:pt>
              </c:numCache>
            </c:numRef>
          </c:val>
          <c:smooth val="0"/>
          <c:extLst>
            <c:ext xmlns:c16="http://schemas.microsoft.com/office/drawing/2014/chart" uri="{C3380CC4-5D6E-409C-BE32-E72D297353CC}">
              <c16:uniqueId val="{00000004-3608-4994-A215-924480161C31}"/>
            </c:ext>
          </c:extLst>
        </c:ser>
        <c:ser>
          <c:idx val="5"/>
          <c:order val="5"/>
          <c:tx>
            <c:strRef>
              <c:f>'Recap extrait aubier'!$M$33</c:f>
              <c:strCache>
                <c:ptCount val="1"/>
                <c:pt idx="0">
                  <c:v>Iroko Sapwood (0,16µL/cm²)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aubier'!$N$33:$V$33</c:f>
              <c:numCache>
                <c:formatCode>General</c:formatCode>
                <c:ptCount val="9"/>
                <c:pt idx="0">
                  <c:v>0</c:v>
                </c:pt>
                <c:pt idx="1">
                  <c:v>3.3333333333333335</c:v>
                </c:pt>
                <c:pt idx="2">
                  <c:v>3.3333333333333335</c:v>
                </c:pt>
                <c:pt idx="3">
                  <c:v>3.3333333333333335</c:v>
                </c:pt>
                <c:pt idx="4">
                  <c:v>6.666666666666667</c:v>
                </c:pt>
                <c:pt idx="5">
                  <c:v>21.666666666666664</c:v>
                </c:pt>
                <c:pt idx="6">
                  <c:v>48.33333333333335</c:v>
                </c:pt>
                <c:pt idx="7">
                  <c:v>68.333333333333329</c:v>
                </c:pt>
                <c:pt idx="8">
                  <c:v>80</c:v>
                </c:pt>
              </c:numCache>
            </c:numRef>
          </c:val>
          <c:smooth val="0"/>
          <c:extLst>
            <c:ext xmlns:c16="http://schemas.microsoft.com/office/drawing/2014/chart" uri="{C3380CC4-5D6E-409C-BE32-E72D297353CC}">
              <c16:uniqueId val="{00000005-3608-4994-A215-924480161C31}"/>
            </c:ext>
          </c:extLst>
        </c:ser>
        <c:dLbls>
          <c:showLegendKey val="0"/>
          <c:showVal val="0"/>
          <c:showCatName val="0"/>
          <c:showSerName val="0"/>
          <c:showPercent val="0"/>
          <c:showBubbleSize val="0"/>
        </c:dLbls>
        <c:marker val="1"/>
        <c:smooth val="0"/>
        <c:axId val="64772383"/>
        <c:axId val="208309743"/>
      </c:lineChart>
      <c:catAx>
        <c:axId val="6477238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9743"/>
        <c:crosses val="autoZero"/>
        <c:auto val="1"/>
        <c:lblAlgn val="ctr"/>
        <c:lblOffset val="100"/>
        <c:noMultiLvlLbl val="0"/>
      </c:catAx>
      <c:valAx>
        <c:axId val="20830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493866502985291E-3"/>
              <c:y val="0.26712244942035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72383"/>
        <c:crosses val="autoZero"/>
        <c:crossBetween val="between"/>
      </c:valAx>
      <c:spPr>
        <a:noFill/>
        <a:ln>
          <a:noFill/>
        </a:ln>
        <a:effectLst/>
      </c:spPr>
    </c:plotArea>
    <c:legend>
      <c:legendPos val="b"/>
      <c:layout>
        <c:manualLayout>
          <c:xMode val="edge"/>
          <c:yMode val="edge"/>
          <c:x val="0"/>
          <c:y val="1.4424988221479418E-2"/>
          <c:w val="0.99314969388559471"/>
          <c:h val="0.1293101735626051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6925235830671"/>
          <c:y val="0.17236291409519755"/>
          <c:w val="0.79762722728965829"/>
          <c:h val="0.67742356529758108"/>
        </c:manualLayout>
      </c:layout>
      <c:lineChart>
        <c:grouping val="standard"/>
        <c:varyColors val="0"/>
        <c:ser>
          <c:idx val="0"/>
          <c:order val="0"/>
          <c:tx>
            <c:strRef>
              <c:f>'Recapitulatif toxicité'!$M$27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toxicité'!$N$27:$V$27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8844-4DA0-842E-A91BCD3EEE6A}"/>
            </c:ext>
          </c:extLst>
        </c:ser>
        <c:ser>
          <c:idx val="1"/>
          <c:order val="1"/>
          <c:tx>
            <c:strRef>
              <c:f>'Recapitulatif toxicité'!$M$28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toxicité'!$N$28:$V$28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8844-4DA0-842E-A91BCD3EEE6A}"/>
            </c:ext>
          </c:extLst>
        </c:ser>
        <c:ser>
          <c:idx val="2"/>
          <c:order val="2"/>
          <c:tx>
            <c:strRef>
              <c:f>'Recapitulatif toxicité'!$M$29</c:f>
              <c:strCache>
                <c:ptCount val="1"/>
                <c:pt idx="0">
                  <c:v>Reference (Protect DP)</c:v>
                </c:pt>
              </c:strCache>
            </c:strRef>
          </c:tx>
          <c:spPr>
            <a:ln w="38100"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38100">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toxicité'!$N$29:$V$29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8844-4DA0-842E-A91BCD3EEE6A}"/>
            </c:ext>
          </c:extLst>
        </c:ser>
        <c:ser>
          <c:idx val="3"/>
          <c:order val="3"/>
          <c:tx>
            <c:strRef>
              <c:f>'Recapitulatif toxicité'!$M$30</c:f>
              <c:strCache>
                <c:ptCount val="1"/>
                <c:pt idx="0">
                  <c:v>Badi heartwood (0,16µL/cm²)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toxicité'!$N$30:$V$30</c:f>
              <c:numCache>
                <c:formatCode>General</c:formatCode>
                <c:ptCount val="9"/>
                <c:pt idx="0">
                  <c:v>0</c:v>
                </c:pt>
                <c:pt idx="1">
                  <c:v>51.666666666666671</c:v>
                </c:pt>
                <c:pt idx="2">
                  <c:v>76.666666666666671</c:v>
                </c:pt>
                <c:pt idx="3">
                  <c:v>85</c:v>
                </c:pt>
                <c:pt idx="4">
                  <c:v>88.333333333333343</c:v>
                </c:pt>
                <c:pt idx="5">
                  <c:v>90</c:v>
                </c:pt>
                <c:pt idx="6">
                  <c:v>90</c:v>
                </c:pt>
                <c:pt idx="7">
                  <c:v>92.2</c:v>
                </c:pt>
                <c:pt idx="8">
                  <c:v>92.2</c:v>
                </c:pt>
              </c:numCache>
            </c:numRef>
          </c:val>
          <c:smooth val="0"/>
          <c:extLst>
            <c:ext xmlns:c16="http://schemas.microsoft.com/office/drawing/2014/chart" uri="{C3380CC4-5D6E-409C-BE32-E72D297353CC}">
              <c16:uniqueId val="{00000003-8844-4DA0-842E-A91BCD3EEE6A}"/>
            </c:ext>
          </c:extLst>
        </c:ser>
        <c:ser>
          <c:idx val="4"/>
          <c:order val="4"/>
          <c:tx>
            <c:strRef>
              <c:f>'Recapitulatif toxicité'!$M$31</c:f>
              <c:strCache>
                <c:ptCount val="1"/>
                <c:pt idx="0">
                  <c:v>Bete heartwood  (0,16µL/cm²)</c:v>
                </c:pt>
              </c:strCache>
            </c:strRef>
          </c:tx>
          <c:spPr>
            <a:ln w="28575" cap="rnd">
              <a:solidFill>
                <a:srgbClr val="0070C0"/>
              </a:solidFill>
              <a:round/>
            </a:ln>
            <a:effectLst/>
          </c:spPr>
          <c:marker>
            <c:symbol val="circle"/>
            <c:size val="5"/>
            <c:spPr>
              <a:solidFill>
                <a:schemeClr val="accent5"/>
              </a:solidFill>
              <a:ln w="9525">
                <a:solidFill>
                  <a:srgbClr val="0070C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toxicité'!$N$31:$V$31</c:f>
              <c:numCache>
                <c:formatCode>General</c:formatCode>
                <c:ptCount val="9"/>
                <c:pt idx="0">
                  <c:v>0</c:v>
                </c:pt>
                <c:pt idx="1">
                  <c:v>68.333333333333329</c:v>
                </c:pt>
                <c:pt idx="2">
                  <c:v>75</c:v>
                </c:pt>
                <c:pt idx="3">
                  <c:v>80</c:v>
                </c:pt>
                <c:pt idx="4">
                  <c:v>83.333333333333343</c:v>
                </c:pt>
                <c:pt idx="5">
                  <c:v>85</c:v>
                </c:pt>
                <c:pt idx="6">
                  <c:v>90</c:v>
                </c:pt>
                <c:pt idx="7">
                  <c:v>98.333333333333343</c:v>
                </c:pt>
                <c:pt idx="8">
                  <c:v>98.333333333333343</c:v>
                </c:pt>
              </c:numCache>
            </c:numRef>
          </c:val>
          <c:smooth val="0"/>
          <c:extLst>
            <c:ext xmlns:c16="http://schemas.microsoft.com/office/drawing/2014/chart" uri="{C3380CC4-5D6E-409C-BE32-E72D297353CC}">
              <c16:uniqueId val="{00000004-8844-4DA0-842E-A91BCD3EEE6A}"/>
            </c:ext>
          </c:extLst>
        </c:ser>
        <c:ser>
          <c:idx val="5"/>
          <c:order val="5"/>
          <c:tx>
            <c:strRef>
              <c:f>'Recapitulatif toxicité'!$M$32</c:f>
              <c:strCache>
                <c:ptCount val="1"/>
                <c:pt idx="0">
                  <c:v>Iroko heartwood  (0,16µL/cm²)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toxicité'!$N$32:$V$32</c:f>
              <c:numCache>
                <c:formatCode>General</c:formatCode>
                <c:ptCount val="9"/>
                <c:pt idx="0">
                  <c:v>0</c:v>
                </c:pt>
                <c:pt idx="1">
                  <c:v>31.666666666666664</c:v>
                </c:pt>
                <c:pt idx="2">
                  <c:v>58.333333333333002</c:v>
                </c:pt>
                <c:pt idx="3">
                  <c:v>60</c:v>
                </c:pt>
                <c:pt idx="4">
                  <c:v>60</c:v>
                </c:pt>
                <c:pt idx="5">
                  <c:v>73.900000000000006</c:v>
                </c:pt>
                <c:pt idx="6">
                  <c:v>80</c:v>
                </c:pt>
                <c:pt idx="7">
                  <c:v>95</c:v>
                </c:pt>
                <c:pt idx="8">
                  <c:v>95</c:v>
                </c:pt>
              </c:numCache>
            </c:numRef>
          </c:val>
          <c:smooth val="0"/>
          <c:extLst>
            <c:ext xmlns:c16="http://schemas.microsoft.com/office/drawing/2014/chart" uri="{C3380CC4-5D6E-409C-BE32-E72D297353CC}">
              <c16:uniqueId val="{00000005-8844-4DA0-842E-A91BCD3EEE6A}"/>
            </c:ext>
          </c:extLst>
        </c:ser>
        <c:dLbls>
          <c:showLegendKey val="0"/>
          <c:showVal val="0"/>
          <c:showCatName val="0"/>
          <c:showSerName val="0"/>
          <c:showPercent val="0"/>
          <c:showBubbleSize val="0"/>
        </c:dLbls>
        <c:marker val="1"/>
        <c:smooth val="0"/>
        <c:axId val="64760863"/>
        <c:axId val="208266095"/>
      </c:lineChart>
      <c:catAx>
        <c:axId val="6476086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5433183928931963"/>
              <c:y val="0.9238012815965570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6095"/>
        <c:crosses val="autoZero"/>
        <c:auto val="1"/>
        <c:lblAlgn val="ctr"/>
        <c:lblOffset val="100"/>
        <c:noMultiLvlLbl val="0"/>
      </c:catAx>
      <c:valAx>
        <c:axId val="20826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008800880088004E-3"/>
              <c:y val="0.262286581993342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0863"/>
        <c:crosses val="autoZero"/>
        <c:crossBetween val="between"/>
      </c:valAx>
      <c:spPr>
        <a:noFill/>
        <a:ln>
          <a:noFill/>
        </a:ln>
        <a:effectLst/>
      </c:spPr>
    </c:plotArea>
    <c:legend>
      <c:legendPos val="b"/>
      <c:layout>
        <c:manualLayout>
          <c:xMode val="edge"/>
          <c:yMode val="edge"/>
          <c:x val="5.9949932001074121E-3"/>
          <c:y val="1.8529982602749379E-2"/>
          <c:w val="0.99400500679989257"/>
          <c:h val="0.1361419687403939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160602094839"/>
          <c:y val="0.19138519267604734"/>
          <c:w val="0.75897672947131611"/>
          <c:h val="0.6479833545649204"/>
        </c:manualLayout>
      </c:layout>
      <c:lineChart>
        <c:grouping val="standard"/>
        <c:varyColors val="0"/>
        <c:ser>
          <c:idx val="0"/>
          <c:order val="0"/>
          <c:tx>
            <c:strRef>
              <c:f>'Recap extrait aubier'!$Y$28</c:f>
              <c:strCache>
                <c:ptCount val="1"/>
                <c:pt idx="0">
                  <c:v>Untreated Control</c:v>
                </c:pt>
              </c:strCache>
            </c:strRef>
          </c:tx>
          <c:spPr>
            <a:ln w="19050" cap="rnd">
              <a:solidFill>
                <a:sysClr val="windowText" lastClr="000000"/>
              </a:solidFill>
              <a:round/>
              <a:extLst>
                <a:ext uri="{C807C97D-BFC1-408E-A445-0C87EB9F89A2}">
                  <ask:lineSketchStyleProps xmlns:ask="http://schemas.microsoft.com/office/drawing/2018/sketchyshapes">
                    <ask:type>
                      <ask:lineSketchScribble/>
                    </ask:type>
                  </ask:lineSketchStyleProps>
                </a:ext>
              </a:extLst>
            </a:ln>
            <a:effectLst/>
          </c:spPr>
          <c:marker>
            <c:symbol val="circle"/>
            <c:size val="5"/>
            <c:spPr>
              <a:solidFill>
                <a:schemeClr val="tx1"/>
              </a:solidFill>
              <a:ln w="19050">
                <a:solidFill>
                  <a:sysClr val="windowText" lastClr="000000"/>
                </a:solidFill>
                <a:extLst>
                  <a:ext uri="{C807C97D-BFC1-408E-A445-0C87EB9F89A2}">
                    <ask:lineSketchStyleProps xmlns:ask="http://schemas.microsoft.com/office/drawing/2018/sketchyshapes">
                      <ask:type>
                        <ask:lineSketchScribble/>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aubier'!$Z$28:$AH$28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CADD-4F32-B8C4-98D22A72258B}"/>
            </c:ext>
          </c:extLst>
        </c:ser>
        <c:ser>
          <c:idx val="1"/>
          <c:order val="1"/>
          <c:tx>
            <c:strRef>
              <c:f>'Recap extrait aubier'!$Y$29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aubier'!$Z$29:$AH$29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CADD-4F32-B8C4-98D22A72258B}"/>
            </c:ext>
          </c:extLst>
        </c:ser>
        <c:ser>
          <c:idx val="2"/>
          <c:order val="2"/>
          <c:tx>
            <c:strRef>
              <c:f>'Recap extrait aubier'!$Y$30</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aubier'!$Z$30:$AH$30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CADD-4F32-B8C4-98D22A72258B}"/>
            </c:ext>
          </c:extLst>
        </c:ser>
        <c:ser>
          <c:idx val="3"/>
          <c:order val="3"/>
          <c:tx>
            <c:strRef>
              <c:f>'Recap extrait aubier'!$Y$31</c:f>
              <c:strCache>
                <c:ptCount val="1"/>
                <c:pt idx="0">
                  <c:v>Badi sapwood (0,24µL/cm²)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aubier'!$Z$31:$AH$31</c:f>
              <c:numCache>
                <c:formatCode>General</c:formatCode>
                <c:ptCount val="9"/>
                <c:pt idx="0">
                  <c:v>0</c:v>
                </c:pt>
                <c:pt idx="1">
                  <c:v>11.666666666666666</c:v>
                </c:pt>
                <c:pt idx="2">
                  <c:v>16.666666666666668</c:v>
                </c:pt>
                <c:pt idx="3">
                  <c:v>18.333333333333332</c:v>
                </c:pt>
                <c:pt idx="4">
                  <c:v>25</c:v>
                </c:pt>
                <c:pt idx="5">
                  <c:v>56.666666666666664</c:v>
                </c:pt>
                <c:pt idx="6">
                  <c:v>65</c:v>
                </c:pt>
                <c:pt idx="7">
                  <c:v>91.666666666666657</c:v>
                </c:pt>
                <c:pt idx="8">
                  <c:v>95</c:v>
                </c:pt>
              </c:numCache>
            </c:numRef>
          </c:val>
          <c:smooth val="0"/>
          <c:extLst>
            <c:ext xmlns:c16="http://schemas.microsoft.com/office/drawing/2014/chart" uri="{C3380CC4-5D6E-409C-BE32-E72D297353CC}">
              <c16:uniqueId val="{00000003-CADD-4F32-B8C4-98D22A72258B}"/>
            </c:ext>
          </c:extLst>
        </c:ser>
        <c:ser>
          <c:idx val="4"/>
          <c:order val="4"/>
          <c:tx>
            <c:strRef>
              <c:f>'Recap extrait aubier'!$Y$32</c:f>
              <c:strCache>
                <c:ptCount val="1"/>
                <c:pt idx="0">
                  <c:v>Bete sapwood (0,24µL/cm²)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aubier'!$Z$32:$AH$32</c:f>
              <c:numCache>
                <c:formatCode>General</c:formatCode>
                <c:ptCount val="9"/>
                <c:pt idx="0">
                  <c:v>0</c:v>
                </c:pt>
                <c:pt idx="1">
                  <c:v>0</c:v>
                </c:pt>
                <c:pt idx="2">
                  <c:v>1.6666666666666667</c:v>
                </c:pt>
                <c:pt idx="3">
                  <c:v>1.6666666666666667</c:v>
                </c:pt>
                <c:pt idx="4">
                  <c:v>10</c:v>
                </c:pt>
                <c:pt idx="5">
                  <c:v>53.333333333333336</c:v>
                </c:pt>
                <c:pt idx="6">
                  <c:v>61.666666666666671</c:v>
                </c:pt>
                <c:pt idx="7">
                  <c:v>86.666666666666501</c:v>
                </c:pt>
                <c:pt idx="8">
                  <c:v>93.333333335000006</c:v>
                </c:pt>
              </c:numCache>
            </c:numRef>
          </c:val>
          <c:smooth val="0"/>
          <c:extLst>
            <c:ext xmlns:c16="http://schemas.microsoft.com/office/drawing/2014/chart" uri="{C3380CC4-5D6E-409C-BE32-E72D297353CC}">
              <c16:uniqueId val="{00000004-CADD-4F32-B8C4-98D22A72258B}"/>
            </c:ext>
          </c:extLst>
        </c:ser>
        <c:ser>
          <c:idx val="5"/>
          <c:order val="5"/>
          <c:tx>
            <c:strRef>
              <c:f>'Recap extrait aubier'!$Y$33</c:f>
              <c:strCache>
                <c:ptCount val="1"/>
                <c:pt idx="0">
                  <c:v>Iroko sapwood (0,24µL/cm²)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aubier'!$Z$33:$AH$33</c:f>
              <c:numCache>
                <c:formatCode>General</c:formatCode>
                <c:ptCount val="9"/>
                <c:pt idx="0">
                  <c:v>0</c:v>
                </c:pt>
                <c:pt idx="1">
                  <c:v>1.6666666666666667</c:v>
                </c:pt>
                <c:pt idx="2">
                  <c:v>1.6666666666666667</c:v>
                </c:pt>
                <c:pt idx="3">
                  <c:v>1.6666666666666667</c:v>
                </c:pt>
                <c:pt idx="4">
                  <c:v>5</c:v>
                </c:pt>
                <c:pt idx="5">
                  <c:v>36.666666666666664</c:v>
                </c:pt>
                <c:pt idx="6">
                  <c:v>51.666666666664995</c:v>
                </c:pt>
                <c:pt idx="7">
                  <c:v>78.333333333333329</c:v>
                </c:pt>
                <c:pt idx="8">
                  <c:v>83.333333333333343</c:v>
                </c:pt>
              </c:numCache>
            </c:numRef>
          </c:val>
          <c:smooth val="0"/>
          <c:extLst>
            <c:ext xmlns:c16="http://schemas.microsoft.com/office/drawing/2014/chart" uri="{C3380CC4-5D6E-409C-BE32-E72D297353CC}">
              <c16:uniqueId val="{00000005-CADD-4F32-B8C4-98D22A72258B}"/>
            </c:ext>
          </c:extLst>
        </c:ser>
        <c:dLbls>
          <c:showLegendKey val="0"/>
          <c:showVal val="0"/>
          <c:showCatName val="0"/>
          <c:showSerName val="0"/>
          <c:showPercent val="0"/>
          <c:showBubbleSize val="0"/>
        </c:dLbls>
        <c:marker val="1"/>
        <c:smooth val="0"/>
        <c:axId val="64753183"/>
        <c:axId val="208301311"/>
      </c:lineChart>
      <c:catAx>
        <c:axId val="6475318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2877030765948128"/>
              <c:y val="0.9241654641500740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1311"/>
        <c:crosses val="autoZero"/>
        <c:auto val="1"/>
        <c:lblAlgn val="ctr"/>
        <c:lblOffset val="100"/>
        <c:noMultiLvlLbl val="0"/>
      </c:catAx>
      <c:valAx>
        <c:axId val="208301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857136580027917E-2"/>
              <c:y val="0.3052331069082577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53183"/>
        <c:crosses val="autoZero"/>
        <c:crossBetween val="between"/>
      </c:valAx>
      <c:spPr>
        <a:noFill/>
        <a:ln>
          <a:noFill/>
        </a:ln>
        <a:effectLst/>
      </c:spPr>
    </c:plotArea>
    <c:legend>
      <c:legendPos val="b"/>
      <c:layout>
        <c:manualLayout>
          <c:xMode val="edge"/>
          <c:yMode val="edge"/>
          <c:x val="0"/>
          <c:y val="1.1569756094439476E-2"/>
          <c:w val="1"/>
          <c:h val="0.1290326488347177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4094488188978"/>
          <c:y val="0.20592020592020591"/>
          <c:w val="0.82227016622922133"/>
          <c:h val="0.63402790867357794"/>
        </c:manualLayout>
      </c:layout>
      <c:lineChart>
        <c:grouping val="standard"/>
        <c:varyColors val="0"/>
        <c:ser>
          <c:idx val="0"/>
          <c:order val="0"/>
          <c:tx>
            <c:strRef>
              <c:f>'Recapitulatif toxicité'!$Y$27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toxicité'!$Z$27:$AH$27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5EE9-4356-91CD-3BEC75C0F0FB}"/>
            </c:ext>
          </c:extLst>
        </c:ser>
        <c:ser>
          <c:idx val="1"/>
          <c:order val="1"/>
          <c:tx>
            <c:strRef>
              <c:f>'Recapitulatif toxicité'!$Y$28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toxicité'!$Z$28:$AH$28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5EE9-4356-91CD-3BEC75C0F0FB}"/>
            </c:ext>
          </c:extLst>
        </c:ser>
        <c:ser>
          <c:idx val="2"/>
          <c:order val="2"/>
          <c:tx>
            <c:strRef>
              <c:f>'Recapitulatif toxicité'!$Y$29</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toxicité'!$Z$29:$AH$29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5EE9-4356-91CD-3BEC75C0F0FB}"/>
            </c:ext>
          </c:extLst>
        </c:ser>
        <c:ser>
          <c:idx val="3"/>
          <c:order val="3"/>
          <c:tx>
            <c:strRef>
              <c:f>'Recapitulatif toxicité'!$Y$30</c:f>
              <c:strCache>
                <c:ptCount val="1"/>
                <c:pt idx="0">
                  <c:v>Badi heartwood (0,24µL/cm²)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toxicité'!$Z$30:$AH$30</c:f>
              <c:numCache>
                <c:formatCode>General</c:formatCode>
                <c:ptCount val="9"/>
                <c:pt idx="0">
                  <c:v>0</c:v>
                </c:pt>
                <c:pt idx="1">
                  <c:v>91.666666666666657</c:v>
                </c:pt>
                <c:pt idx="2">
                  <c:v>93.333333333333329</c:v>
                </c:pt>
                <c:pt idx="3">
                  <c:v>96.666666666666657</c:v>
                </c:pt>
                <c:pt idx="4">
                  <c:v>100</c:v>
                </c:pt>
              </c:numCache>
            </c:numRef>
          </c:val>
          <c:smooth val="0"/>
          <c:extLst>
            <c:ext xmlns:c16="http://schemas.microsoft.com/office/drawing/2014/chart" uri="{C3380CC4-5D6E-409C-BE32-E72D297353CC}">
              <c16:uniqueId val="{00000003-5EE9-4356-91CD-3BEC75C0F0FB}"/>
            </c:ext>
          </c:extLst>
        </c:ser>
        <c:ser>
          <c:idx val="4"/>
          <c:order val="4"/>
          <c:tx>
            <c:strRef>
              <c:f>'Recapitulatif toxicité'!$Y$31</c:f>
              <c:strCache>
                <c:ptCount val="1"/>
                <c:pt idx="0">
                  <c:v>Bete heartwood (0,24µL/cm²)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toxicité'!$Z$31:$AH$31</c:f>
              <c:numCache>
                <c:formatCode>General</c:formatCode>
                <c:ptCount val="9"/>
                <c:pt idx="0">
                  <c:v>0</c:v>
                </c:pt>
                <c:pt idx="1">
                  <c:v>78.333333333499994</c:v>
                </c:pt>
                <c:pt idx="2">
                  <c:v>86.666666666666657</c:v>
                </c:pt>
                <c:pt idx="3">
                  <c:v>86.666666666666501</c:v>
                </c:pt>
                <c:pt idx="4">
                  <c:v>88.333333333333002</c:v>
                </c:pt>
                <c:pt idx="5">
                  <c:v>88.333333333333343</c:v>
                </c:pt>
                <c:pt idx="6">
                  <c:v>93.333333333333329</c:v>
                </c:pt>
                <c:pt idx="7">
                  <c:v>100</c:v>
                </c:pt>
              </c:numCache>
            </c:numRef>
          </c:val>
          <c:smooth val="0"/>
          <c:extLst>
            <c:ext xmlns:c16="http://schemas.microsoft.com/office/drawing/2014/chart" uri="{C3380CC4-5D6E-409C-BE32-E72D297353CC}">
              <c16:uniqueId val="{00000004-5EE9-4356-91CD-3BEC75C0F0FB}"/>
            </c:ext>
          </c:extLst>
        </c:ser>
        <c:ser>
          <c:idx val="5"/>
          <c:order val="5"/>
          <c:tx>
            <c:strRef>
              <c:f>'Recapitulatif toxicité'!$Y$32</c:f>
              <c:strCache>
                <c:ptCount val="1"/>
                <c:pt idx="0">
                  <c:v>Iroko heartwood (0,24µL/cm²)</c:v>
                </c:pt>
              </c:strCache>
            </c:strRef>
          </c:tx>
          <c:spPr>
            <a:ln w="28575" cap="rnd">
              <a:solidFill>
                <a:srgbClr val="00B05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00B050"/>
              </a:solidFill>
              <a:ln w="9525">
                <a:solidFill>
                  <a:srgbClr val="00B050"/>
                </a:solidFill>
                <a:extLst>
                  <a:ext uri="{C807C97D-BFC1-408E-A445-0C87EB9F89A2}">
                    <ask:lineSketchStyleProps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toxicité'!$Z$32:$AH$32</c:f>
              <c:numCache>
                <c:formatCode>General</c:formatCode>
                <c:ptCount val="9"/>
                <c:pt idx="0">
                  <c:v>0</c:v>
                </c:pt>
                <c:pt idx="1">
                  <c:v>56.666666666666501</c:v>
                </c:pt>
                <c:pt idx="2">
                  <c:v>63.333333333332995</c:v>
                </c:pt>
                <c:pt idx="3">
                  <c:v>63.333333333333499</c:v>
                </c:pt>
                <c:pt idx="4">
                  <c:v>78.333333333333329</c:v>
                </c:pt>
                <c:pt idx="5">
                  <c:v>81.666666666666671</c:v>
                </c:pt>
                <c:pt idx="6">
                  <c:v>86.666666666666657</c:v>
                </c:pt>
                <c:pt idx="7">
                  <c:v>96.666664999999995</c:v>
                </c:pt>
                <c:pt idx="8">
                  <c:v>96.666664999999995</c:v>
                </c:pt>
              </c:numCache>
            </c:numRef>
          </c:val>
          <c:smooth val="0"/>
          <c:extLst>
            <c:ext xmlns:c16="http://schemas.microsoft.com/office/drawing/2014/chart" uri="{C3380CC4-5D6E-409C-BE32-E72D297353CC}">
              <c16:uniqueId val="{00000005-5EE9-4356-91CD-3BEC75C0F0FB}"/>
            </c:ext>
          </c:extLst>
        </c:ser>
        <c:dLbls>
          <c:showLegendKey val="0"/>
          <c:showVal val="0"/>
          <c:showCatName val="0"/>
          <c:showSerName val="0"/>
          <c:showPercent val="0"/>
          <c:showBubbleSize val="0"/>
        </c:dLbls>
        <c:marker val="1"/>
        <c:smooth val="0"/>
        <c:axId val="64763263"/>
        <c:axId val="1122491087"/>
      </c:lineChart>
      <c:catAx>
        <c:axId val="64763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7176846137476057"/>
              <c:y val="0.92672672672672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22491087"/>
        <c:crosses val="autoZero"/>
        <c:auto val="1"/>
        <c:lblAlgn val="ctr"/>
        <c:lblOffset val="100"/>
        <c:noMultiLvlLbl val="0"/>
      </c:catAx>
      <c:valAx>
        <c:axId val="112249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666666666666668E-2"/>
              <c:y val="0.2958428845043018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3263"/>
        <c:crosses val="autoZero"/>
        <c:crossBetween val="between"/>
      </c:valAx>
      <c:spPr>
        <a:noFill/>
        <a:ln>
          <a:noFill/>
        </a:ln>
        <a:effectLst/>
      </c:spPr>
    </c:plotArea>
    <c:legend>
      <c:legendPos val="b"/>
      <c:layout>
        <c:manualLayout>
          <c:xMode val="edge"/>
          <c:yMode val="edge"/>
          <c:x val="2.6143132108486438E-2"/>
          <c:y val="1.7594016964095731E-2"/>
          <c:w val="0.96993560804899392"/>
          <c:h val="0.1355593388664254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4697594407028"/>
          <c:y val="0.19654800493333222"/>
          <c:w val="0.76084521033293728"/>
          <c:h val="0.6044244347033807"/>
        </c:manualLayout>
      </c:layout>
      <c:lineChart>
        <c:grouping val="standard"/>
        <c:varyColors val="0"/>
        <c:ser>
          <c:idx val="0"/>
          <c:order val="0"/>
          <c:tx>
            <c:strRef>
              <c:f>'Recap extrait aubier'!$AK$28</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aubier'!$AL$28:$AT$28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9E22-40F5-A758-01C6511A3D33}"/>
            </c:ext>
          </c:extLst>
        </c:ser>
        <c:ser>
          <c:idx val="1"/>
          <c:order val="1"/>
          <c:tx>
            <c:strRef>
              <c:f>'Recap extrait aubier'!$AK$29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aubier'!$AL$29:$AT$29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9E22-40F5-A758-01C6511A3D33}"/>
            </c:ext>
          </c:extLst>
        </c:ser>
        <c:ser>
          <c:idx val="2"/>
          <c:order val="2"/>
          <c:tx>
            <c:strRef>
              <c:f>'Recap extrait aubier'!$AK$30</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aubier'!$AL$30:$AT$30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9E22-40F5-A758-01C6511A3D33}"/>
            </c:ext>
          </c:extLst>
        </c:ser>
        <c:ser>
          <c:idx val="3"/>
          <c:order val="3"/>
          <c:tx>
            <c:strRef>
              <c:f>'Recap extrait aubier'!$AK$31</c:f>
              <c:strCache>
                <c:ptCount val="1"/>
                <c:pt idx="0">
                  <c:v>Badi sapwood (0,31µL/cm²)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aubier'!$AL$31:$AT$31</c:f>
              <c:numCache>
                <c:formatCode>General</c:formatCode>
                <c:ptCount val="9"/>
                <c:pt idx="0">
                  <c:v>0</c:v>
                </c:pt>
                <c:pt idx="1">
                  <c:v>6.666666666666667</c:v>
                </c:pt>
                <c:pt idx="2">
                  <c:v>10</c:v>
                </c:pt>
                <c:pt idx="3">
                  <c:v>13.333333333333334</c:v>
                </c:pt>
                <c:pt idx="4">
                  <c:v>21.666666666666664</c:v>
                </c:pt>
                <c:pt idx="5">
                  <c:v>51.666666666666671</c:v>
                </c:pt>
                <c:pt idx="6">
                  <c:v>70</c:v>
                </c:pt>
                <c:pt idx="7">
                  <c:v>96.666666666666657</c:v>
                </c:pt>
                <c:pt idx="8">
                  <c:v>100</c:v>
                </c:pt>
              </c:numCache>
            </c:numRef>
          </c:val>
          <c:smooth val="0"/>
          <c:extLst>
            <c:ext xmlns:c16="http://schemas.microsoft.com/office/drawing/2014/chart" uri="{C3380CC4-5D6E-409C-BE32-E72D297353CC}">
              <c16:uniqueId val="{00000003-9E22-40F5-A758-01C6511A3D33}"/>
            </c:ext>
          </c:extLst>
        </c:ser>
        <c:ser>
          <c:idx val="4"/>
          <c:order val="4"/>
          <c:tx>
            <c:strRef>
              <c:f>'Recap extrait aubier'!$AK$32</c:f>
              <c:strCache>
                <c:ptCount val="1"/>
                <c:pt idx="0">
                  <c:v>Bete sapwood (0,31µL/cm²)</c:v>
                </c:pt>
              </c:strCache>
            </c:strRef>
          </c:tx>
          <c:spPr>
            <a:ln w="38100" cap="rnd">
              <a:solidFill>
                <a:srgbClr val="00B0F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00B0F0"/>
              </a:solidFill>
              <a:ln w="38100">
                <a:solidFill>
                  <a:srgbClr val="00B0F0"/>
                </a:solidFill>
                <a:extLst>
                  <a:ext uri="{C807C97D-BFC1-408E-A445-0C87EB9F89A2}">
                    <ask:lineSketchStyleProps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aubier'!$AL$32:$AT$32</c:f>
              <c:numCache>
                <c:formatCode>General</c:formatCode>
                <c:ptCount val="9"/>
                <c:pt idx="0">
                  <c:v>0</c:v>
                </c:pt>
                <c:pt idx="1">
                  <c:v>3.3333333333333335</c:v>
                </c:pt>
                <c:pt idx="2">
                  <c:v>5</c:v>
                </c:pt>
                <c:pt idx="3">
                  <c:v>8.3333333333333517</c:v>
                </c:pt>
                <c:pt idx="4">
                  <c:v>16.66666666666665</c:v>
                </c:pt>
                <c:pt idx="5">
                  <c:v>51.666666650000003</c:v>
                </c:pt>
                <c:pt idx="6">
                  <c:v>68.333333333333499</c:v>
                </c:pt>
                <c:pt idx="7">
                  <c:v>88.333333333333499</c:v>
                </c:pt>
                <c:pt idx="8">
                  <c:v>95</c:v>
                </c:pt>
              </c:numCache>
            </c:numRef>
          </c:val>
          <c:smooth val="0"/>
          <c:extLst>
            <c:ext xmlns:c16="http://schemas.microsoft.com/office/drawing/2014/chart" uri="{C3380CC4-5D6E-409C-BE32-E72D297353CC}">
              <c16:uniqueId val="{00000004-9E22-40F5-A758-01C6511A3D33}"/>
            </c:ext>
          </c:extLst>
        </c:ser>
        <c:ser>
          <c:idx val="5"/>
          <c:order val="5"/>
          <c:tx>
            <c:strRef>
              <c:f>'Recap extrait aubier'!$AK$33</c:f>
              <c:strCache>
                <c:ptCount val="1"/>
                <c:pt idx="0">
                  <c:v>Iroko sapwood (0,31µL/cm²)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aubier'!$AL$33:$AT$33</c:f>
              <c:numCache>
                <c:formatCode>General</c:formatCode>
                <c:ptCount val="9"/>
                <c:pt idx="0">
                  <c:v>0</c:v>
                </c:pt>
                <c:pt idx="1">
                  <c:v>26.666666666666668</c:v>
                </c:pt>
                <c:pt idx="2">
                  <c:v>30</c:v>
                </c:pt>
                <c:pt idx="3">
                  <c:v>35</c:v>
                </c:pt>
                <c:pt idx="4">
                  <c:v>51.666666666666671</c:v>
                </c:pt>
                <c:pt idx="5">
                  <c:v>60</c:v>
                </c:pt>
                <c:pt idx="6">
                  <c:v>66.666666666666671</c:v>
                </c:pt>
                <c:pt idx="7">
                  <c:v>81.666666666666671</c:v>
                </c:pt>
                <c:pt idx="8">
                  <c:v>93.333333333333329</c:v>
                </c:pt>
              </c:numCache>
            </c:numRef>
          </c:val>
          <c:smooth val="0"/>
          <c:extLst>
            <c:ext xmlns:c16="http://schemas.microsoft.com/office/drawing/2014/chart" uri="{C3380CC4-5D6E-409C-BE32-E72D297353CC}">
              <c16:uniqueId val="{00000005-9E22-40F5-A758-01C6511A3D33}"/>
            </c:ext>
          </c:extLst>
        </c:ser>
        <c:dLbls>
          <c:showLegendKey val="0"/>
          <c:showVal val="0"/>
          <c:showCatName val="0"/>
          <c:showSerName val="0"/>
          <c:showPercent val="0"/>
          <c:showBubbleSize val="0"/>
        </c:dLbls>
        <c:marker val="1"/>
        <c:smooth val="0"/>
        <c:axId val="64749343"/>
        <c:axId val="208264607"/>
      </c:lineChart>
      <c:catAx>
        <c:axId val="647493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7517006292581131"/>
              <c:y val="0.89842193391396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4607"/>
        <c:crosses val="autoZero"/>
        <c:auto val="1"/>
        <c:lblAlgn val="ctr"/>
        <c:lblOffset val="100"/>
        <c:noMultiLvlLbl val="0"/>
      </c:catAx>
      <c:valAx>
        <c:axId val="20826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148378790991505E-2"/>
              <c:y val="0.302468288099454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49343"/>
        <c:crosses val="autoZero"/>
        <c:crossBetween val="between"/>
      </c:valAx>
      <c:spPr>
        <a:noFill/>
        <a:ln>
          <a:noFill/>
        </a:ln>
        <a:effectLst/>
      </c:spPr>
    </c:plotArea>
    <c:legend>
      <c:legendPos val="b"/>
      <c:layout>
        <c:manualLayout>
          <c:xMode val="edge"/>
          <c:yMode val="edge"/>
          <c:x val="0"/>
          <c:y val="1.152229168925342E-2"/>
          <c:w val="1"/>
          <c:h val="0.127809418098395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1958517811537"/>
          <c:y val="0.22136446116878822"/>
          <c:w val="0.81311240135387119"/>
          <c:h val="0.61014116478683411"/>
        </c:manualLayout>
      </c:layout>
      <c:lineChart>
        <c:grouping val="standard"/>
        <c:varyColors val="0"/>
        <c:ser>
          <c:idx val="0"/>
          <c:order val="0"/>
          <c:tx>
            <c:strRef>
              <c:f>'Recapitulatif toxicité'!$AK$27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toxicité'!$AL$27:$AT$27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6B0-408A-9B4D-EC33BF2B1F72}"/>
            </c:ext>
          </c:extLst>
        </c:ser>
        <c:ser>
          <c:idx val="1"/>
          <c:order val="1"/>
          <c:tx>
            <c:strRef>
              <c:f>'Recapitulatif toxicité'!$AK$28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toxicité'!$AL$28:$AT$28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06B0-408A-9B4D-EC33BF2B1F72}"/>
            </c:ext>
          </c:extLst>
        </c:ser>
        <c:ser>
          <c:idx val="2"/>
          <c:order val="2"/>
          <c:tx>
            <c:strRef>
              <c:f>'Recapitulatif toxicité'!$AK$29</c:f>
              <c:strCache>
                <c:ptCount val="1"/>
                <c:pt idx="0">
                  <c:v>Reference (Protect DP)</c:v>
                </c:pt>
              </c:strCache>
            </c:strRef>
          </c:tx>
          <c:spPr>
            <a:ln w="28575" cap="rnd">
              <a:solidFill>
                <a:srgbClr val="FF0000"/>
              </a:solidFill>
              <a:round/>
              <a:extLst>
                <a:ext uri="{C807C97D-BFC1-408E-A445-0C87EB9F89A2}">
                  <ask:lineSketchStyleProps xmlns:ask="http://schemas.microsoft.com/office/drawing/2018/sketchyshapes">
                    <ask:type>
                      <ask:lineSketchCurved/>
                    </ask:type>
                  </ask:lineSketchStyleProps>
                </a:ext>
              </a:extLst>
            </a:ln>
            <a:effectLst/>
          </c:spPr>
          <c:marker>
            <c:symbol val="circle"/>
            <c:size val="5"/>
            <c:spPr>
              <a:solidFill>
                <a:srgbClr val="FF0000"/>
              </a:solidFill>
              <a:ln w="28575">
                <a:solidFill>
                  <a:srgbClr val="FF0000"/>
                </a:solidFill>
                <a:extLst>
                  <a:ext uri="{C807C97D-BFC1-408E-A445-0C87EB9F89A2}">
                    <ask:lineSketchStyleProps xmlns:ask="http://schemas.microsoft.com/office/drawing/2018/sketchyshapes">
                      <ask:type>
                        <ask:lineSketchCurved/>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toxicité'!$AL$29:$AT$29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06B0-408A-9B4D-EC33BF2B1F72}"/>
            </c:ext>
          </c:extLst>
        </c:ser>
        <c:ser>
          <c:idx val="3"/>
          <c:order val="3"/>
          <c:tx>
            <c:strRef>
              <c:f>'Recapitulatif toxicité'!$AK$30</c:f>
              <c:strCache>
                <c:ptCount val="1"/>
                <c:pt idx="0">
                  <c:v>Badi heartwood (0,31µL/cm²)</c:v>
                </c:pt>
              </c:strCache>
            </c:strRef>
          </c:tx>
          <c:spPr>
            <a:ln w="57150" cap="rnd">
              <a:solidFill>
                <a:schemeClr val="accent4">
                  <a:lumMod val="75000"/>
                </a:schemeClr>
              </a:solidFill>
              <a:round/>
              <a:extLst>
                <a:ext uri="{C807C97D-BFC1-408E-A445-0C87EB9F89A2}">
                  <ask:lineSketchStyleProps xmlns:ask="http://schemas.microsoft.com/office/drawing/2018/sketchyshapes">
                    <ask:type>
                      <ask:lineSketchScribble/>
                    </ask:type>
                  </ask:lineSketchStyleProps>
                </a:ext>
              </a:extLst>
            </a:ln>
            <a:effectLst/>
          </c:spPr>
          <c:marker>
            <c:symbol val="circle"/>
            <c:size val="5"/>
            <c:spPr>
              <a:solidFill>
                <a:schemeClr val="accent4">
                  <a:lumMod val="75000"/>
                </a:schemeClr>
              </a:solidFill>
              <a:ln w="57150">
                <a:solidFill>
                  <a:schemeClr val="accent4">
                    <a:lumMod val="75000"/>
                  </a:schemeClr>
                </a:solidFill>
                <a:extLst>
                  <a:ext uri="{C807C97D-BFC1-408E-A445-0C87EB9F89A2}">
                    <ask:lineSketchStyleProps xmlns:ask="http://schemas.microsoft.com/office/drawing/2018/sketchyshapes">
                      <ask:type>
                        <ask:lineSketchScribble/>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toxicité'!$AL$30:$AT$30</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3-06B0-408A-9B4D-EC33BF2B1F72}"/>
            </c:ext>
          </c:extLst>
        </c:ser>
        <c:ser>
          <c:idx val="4"/>
          <c:order val="4"/>
          <c:tx>
            <c:strRef>
              <c:f>'Recapitulatif toxicité'!$AK$31</c:f>
              <c:strCache>
                <c:ptCount val="1"/>
                <c:pt idx="0">
                  <c:v>Bete heartwood (0,31µL/cm²)</c:v>
                </c:pt>
              </c:strCache>
            </c:strRef>
          </c:tx>
          <c:spPr>
            <a:ln w="19050" cap="rnd">
              <a:solidFill>
                <a:srgbClr val="0070C0"/>
              </a:solidFill>
              <a:round/>
            </a:ln>
            <a:effectLst/>
          </c:spPr>
          <c:marker>
            <c:symbol val="circle"/>
            <c:size val="5"/>
            <c:spPr>
              <a:solidFill>
                <a:srgbClr val="0070C0"/>
              </a:solidFill>
              <a:ln w="19050">
                <a:solidFill>
                  <a:srgbClr val="0070C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toxicité'!$AL$31:$AT$31</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4-06B0-408A-9B4D-EC33BF2B1F72}"/>
            </c:ext>
          </c:extLst>
        </c:ser>
        <c:ser>
          <c:idx val="5"/>
          <c:order val="5"/>
          <c:tx>
            <c:strRef>
              <c:f>'Recapitulatif toxicité'!$AK$32</c:f>
              <c:strCache>
                <c:ptCount val="1"/>
                <c:pt idx="0">
                  <c:v>Iroko heartwood (0,31µL/cm²)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toxicité'!$AL$32:$AT$32</c:f>
              <c:numCache>
                <c:formatCode>General</c:formatCode>
                <c:ptCount val="9"/>
                <c:pt idx="0">
                  <c:v>0</c:v>
                </c:pt>
                <c:pt idx="1">
                  <c:v>45</c:v>
                </c:pt>
                <c:pt idx="2">
                  <c:v>78.333333333333329</c:v>
                </c:pt>
                <c:pt idx="3">
                  <c:v>88.333333333333343</c:v>
                </c:pt>
                <c:pt idx="4">
                  <c:v>91.666666666666657</c:v>
                </c:pt>
                <c:pt idx="5">
                  <c:v>91.666666666666657</c:v>
                </c:pt>
                <c:pt idx="6">
                  <c:v>93.333333333333329</c:v>
                </c:pt>
                <c:pt idx="7">
                  <c:v>100</c:v>
                </c:pt>
              </c:numCache>
            </c:numRef>
          </c:val>
          <c:smooth val="0"/>
          <c:extLst>
            <c:ext xmlns:c16="http://schemas.microsoft.com/office/drawing/2014/chart" uri="{C3380CC4-5D6E-409C-BE32-E72D297353CC}">
              <c16:uniqueId val="{00000005-06B0-408A-9B4D-EC33BF2B1F72}"/>
            </c:ext>
          </c:extLst>
        </c:ser>
        <c:dLbls>
          <c:showLegendKey val="0"/>
          <c:showVal val="0"/>
          <c:showCatName val="0"/>
          <c:showSerName val="0"/>
          <c:showPercent val="0"/>
          <c:showBubbleSize val="0"/>
        </c:dLbls>
        <c:marker val="1"/>
        <c:smooth val="0"/>
        <c:axId val="64751263"/>
        <c:axId val="59966895"/>
      </c:lineChart>
      <c:catAx>
        <c:axId val="64751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1645324637450622"/>
              <c:y val="0.921535634119631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9966895"/>
        <c:crosses val="autoZero"/>
        <c:auto val="1"/>
        <c:lblAlgn val="ctr"/>
        <c:lblOffset val="100"/>
        <c:noMultiLvlLbl val="0"/>
      </c:catAx>
      <c:valAx>
        <c:axId val="5996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93378226711564E-3"/>
              <c:y val="0.260038306022558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M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51263"/>
        <c:crosses val="autoZero"/>
        <c:crossBetween val="between"/>
      </c:valAx>
      <c:spPr>
        <a:noFill/>
        <a:ln>
          <a:noFill/>
        </a:ln>
        <a:effectLst/>
      </c:spPr>
    </c:plotArea>
    <c:legend>
      <c:legendPos val="b"/>
      <c:layout>
        <c:manualLayout>
          <c:xMode val="edge"/>
          <c:yMode val="edge"/>
          <c:x val="7.8888623770513536E-3"/>
          <c:y val="1.6349983279117193E-2"/>
          <c:w val="0.99211113762294867"/>
          <c:h val="0.1428091758573577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0.13812</cdr:y>
    </cdr:from>
    <cdr:to>
      <cdr:x>0.12809</cdr:x>
      <cdr:y>0.20763</cdr:y>
    </cdr:to>
    <cdr:sp macro="" textlink="">
      <cdr:nvSpPr>
        <cdr:cNvPr id="2" name="Rectangle 1"/>
        <cdr:cNvSpPr/>
      </cdr:nvSpPr>
      <cdr:spPr>
        <a:xfrm xmlns:a="http://schemas.openxmlformats.org/drawingml/2006/main">
          <a:off x="23854" y="281368"/>
          <a:ext cx="342899" cy="141597"/>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0.21444</cdr:y>
    </cdr:from>
    <cdr:to>
      <cdr:x>0.13961</cdr:x>
      <cdr:y>0.29158</cdr:y>
    </cdr:to>
    <cdr:sp macro="" textlink="">
      <cdr:nvSpPr>
        <cdr:cNvPr id="2" name="Rectangle 1"/>
        <cdr:cNvSpPr/>
      </cdr:nvSpPr>
      <cdr:spPr>
        <a:xfrm xmlns:a="http://schemas.openxmlformats.org/drawingml/2006/main">
          <a:off x="0" y="445273"/>
          <a:ext cx="389614" cy="160186"/>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0.18778</cdr:y>
    </cdr:from>
    <cdr:to>
      <cdr:x>0.12013</cdr:x>
      <cdr:y>0.2564</cdr:y>
    </cdr:to>
    <cdr:sp macro="" textlink="">
      <cdr:nvSpPr>
        <cdr:cNvPr id="2" name="Rectangle 1"/>
        <cdr:cNvSpPr/>
      </cdr:nvSpPr>
      <cdr:spPr>
        <a:xfrm xmlns:a="http://schemas.openxmlformats.org/drawingml/2006/main">
          <a:off x="0" y="387533"/>
          <a:ext cx="342890" cy="141615"/>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0.00836</cdr:x>
      <cdr:y>0.18849</cdr:y>
    </cdr:from>
    <cdr:to>
      <cdr:x>0.12849</cdr:x>
      <cdr:y>0.25546</cdr:y>
    </cdr:to>
    <cdr:sp macro="" textlink="">
      <cdr:nvSpPr>
        <cdr:cNvPr id="2" name="Rectangle 1"/>
        <cdr:cNvSpPr/>
      </cdr:nvSpPr>
      <cdr:spPr>
        <a:xfrm xmlns:a="http://schemas.openxmlformats.org/drawingml/2006/main">
          <a:off x="23854" y="398581"/>
          <a:ext cx="342890" cy="14161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0.00839</cdr:x>
      <cdr:y>0.13275</cdr:y>
    </cdr:from>
    <cdr:to>
      <cdr:x>0.10883</cdr:x>
      <cdr:y>0.20607</cdr:y>
    </cdr:to>
    <cdr:sp macro="" textlink="">
      <cdr:nvSpPr>
        <cdr:cNvPr id="2" name="Rectangle 1"/>
        <cdr:cNvSpPr/>
      </cdr:nvSpPr>
      <cdr:spPr>
        <a:xfrm xmlns:a="http://schemas.openxmlformats.org/drawingml/2006/main">
          <a:off x="23854" y="273879"/>
          <a:ext cx="285732" cy="15126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6.xml><?xml version="1.0" encoding="utf-8"?>
<c:userShapes xmlns:c="http://schemas.openxmlformats.org/drawingml/2006/chart">
  <cdr:relSizeAnchor xmlns:cdr="http://schemas.openxmlformats.org/drawingml/2006/chartDrawing">
    <cdr:from>
      <cdr:x>0.00839</cdr:x>
      <cdr:y>0.15355</cdr:y>
    </cdr:from>
    <cdr:to>
      <cdr:x>0.10883</cdr:x>
      <cdr:y>0.22508</cdr:y>
    </cdr:to>
    <cdr:sp macro="" textlink="">
      <cdr:nvSpPr>
        <cdr:cNvPr id="2" name="Rectangle 1"/>
        <cdr:cNvSpPr/>
      </cdr:nvSpPr>
      <cdr:spPr>
        <a:xfrm xmlns:a="http://schemas.openxmlformats.org/drawingml/2006/main">
          <a:off x="23854" y="324693"/>
          <a:ext cx="285732" cy="151254"/>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7.xml><?xml version="1.0" encoding="utf-8"?>
<c:userShapes xmlns:c="http://schemas.openxmlformats.org/drawingml/2006/chart">
  <cdr:relSizeAnchor xmlns:cdr="http://schemas.openxmlformats.org/drawingml/2006/chartDrawing">
    <cdr:from>
      <cdr:x>0.00832</cdr:x>
      <cdr:y>0.16412</cdr:y>
    </cdr:from>
    <cdr:to>
      <cdr:x>0.10798</cdr:x>
      <cdr:y>0.23639</cdr:y>
    </cdr:to>
    <cdr:sp macro="" textlink="">
      <cdr:nvSpPr>
        <cdr:cNvPr id="2" name="Rectangle 1"/>
        <cdr:cNvSpPr/>
      </cdr:nvSpPr>
      <cdr:spPr>
        <a:xfrm xmlns:a="http://schemas.openxmlformats.org/drawingml/2006/main">
          <a:off x="23854" y="343490"/>
          <a:ext cx="285728" cy="15125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0.16488</cdr:y>
    </cdr:from>
    <cdr:to>
      <cdr:x>0.101</cdr:x>
      <cdr:y>0.23643</cdr:y>
    </cdr:to>
    <cdr:sp macro="" textlink="">
      <cdr:nvSpPr>
        <cdr:cNvPr id="2" name="Rectangle 1"/>
        <cdr:cNvSpPr/>
      </cdr:nvSpPr>
      <cdr:spPr>
        <a:xfrm xmlns:a="http://schemas.openxmlformats.org/drawingml/2006/main">
          <a:off x="0" y="348549"/>
          <a:ext cx="285721" cy="15125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6CE3-8F11-4184-A067-957C608B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Pages>
  <Words>27409</Words>
  <Characters>156232</Characters>
  <Application>Microsoft Office Word</Application>
  <DocSecurity>0</DocSecurity>
  <Lines>1301</Lines>
  <Paragraphs>366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BLEY-ATSE BLEY APPOLINAIRE</dc:creator>
  <cp:keywords/>
  <dc:description/>
  <cp:lastModifiedBy>Maan AlSalihi</cp:lastModifiedBy>
  <cp:revision>46</cp:revision>
  <dcterms:created xsi:type="dcterms:W3CDTF">2026-02-27T11:11:00Z</dcterms:created>
  <dcterms:modified xsi:type="dcterms:W3CDTF">2026-02-27T11:59:00Z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id="7SiTU8oX"/&gt;&lt;style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y fmtid="{D5CDD505-2E9C-101B-9397-08002B2CF9AE}" pid="4" name="GrammarlyDocumentId">
    <vt:lpwstr>5815c9a0-d87b-48ab-a676-54f89bd26c01</vt:lpwstr>
  </property>
</Properties>
</file>