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09D21" w14:textId="77777777" w:rsidR="00F90B0B" w:rsidRDefault="00F90B0B" w:rsidP="00C25BA5">
      <w:pPr>
        <w:spacing w:after="0" w:line="360" w:lineRule="auto"/>
        <w:jc w:val="right"/>
        <w:rPr>
          <w:rFonts w:ascii="Arial" w:hAnsi="Arial" w:cs="Arial"/>
          <w:b/>
          <w:bCs/>
        </w:rPr>
      </w:pPr>
      <w:r w:rsidRPr="00F90B0B">
        <w:rPr>
          <w:rFonts w:ascii="Arial" w:hAnsi="Arial" w:cs="Arial"/>
          <w:b/>
          <w:bCs/>
        </w:rPr>
        <w:t>Challenges and Strategic Interventions for Sustainable Farmer Producer Organizations in Tamil Nadu</w:t>
      </w:r>
    </w:p>
    <w:p w14:paraId="4B0551E1" w14:textId="7DDFEE12" w:rsidR="00CC1764" w:rsidRDefault="00CC1764" w:rsidP="00C25BA5">
      <w:pPr>
        <w:spacing w:after="0" w:line="360" w:lineRule="auto"/>
        <w:jc w:val="right"/>
        <w:rPr>
          <w:rFonts w:ascii="Arial" w:hAnsi="Arial" w:cs="Arial"/>
        </w:rPr>
      </w:pPr>
    </w:p>
    <w:p w14:paraId="12BD33AF" w14:textId="77777777" w:rsidR="00081232" w:rsidRPr="009C304D" w:rsidRDefault="00081232" w:rsidP="00C25BA5">
      <w:pPr>
        <w:spacing w:after="0" w:line="360" w:lineRule="auto"/>
        <w:jc w:val="right"/>
        <w:rPr>
          <w:rFonts w:ascii="Arial" w:hAnsi="Arial" w:cs="Arial"/>
        </w:rPr>
      </w:pPr>
    </w:p>
    <w:p w14:paraId="09978274" w14:textId="77777777" w:rsidR="00C25BA5" w:rsidRPr="003554D8" w:rsidRDefault="00C25BA5" w:rsidP="00C25BA5">
      <w:pPr>
        <w:spacing w:line="360" w:lineRule="auto"/>
        <w:jc w:val="both"/>
        <w:rPr>
          <w:rFonts w:ascii="Arial" w:hAnsi="Arial" w:cs="Arial"/>
          <w:b/>
          <w:bCs/>
          <w:lang w:val="en-US"/>
        </w:rPr>
      </w:pPr>
      <w:r w:rsidRPr="003554D8">
        <w:rPr>
          <w:rFonts w:ascii="Arial" w:hAnsi="Arial" w:cs="Arial"/>
          <w:b/>
          <w:bCs/>
          <w:lang w:val="en-US"/>
        </w:rPr>
        <w:t>ABSTRACT</w:t>
      </w:r>
    </w:p>
    <w:p w14:paraId="278D1B46" w14:textId="0B099645" w:rsidR="00335F24" w:rsidRPr="003554D8" w:rsidRDefault="00335F24" w:rsidP="00335F2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lang w:val="en-US"/>
        </w:rPr>
      </w:pPr>
      <w:r w:rsidRPr="003554D8">
        <w:rPr>
          <w:rFonts w:ascii="Arial" w:hAnsi="Arial" w:cs="Arial"/>
          <w:b/>
          <w:bCs/>
          <w:sz w:val="20"/>
          <w:szCs w:val="20"/>
          <w:lang w:val="en-US"/>
        </w:rPr>
        <w:t xml:space="preserve">Aim: </w:t>
      </w:r>
      <w:r w:rsidR="005C49DD" w:rsidRPr="003554D8">
        <w:rPr>
          <w:rFonts w:ascii="Arial" w:hAnsi="Arial" w:cs="Arial"/>
          <w:sz w:val="20"/>
          <w:szCs w:val="20"/>
          <w:lang w:val="en-US"/>
        </w:rPr>
        <w:t>The study aims to examine the major challenges faced by Farmer Producer Organizations (FPOs) in Tamil Nadu and to prioritize strategic interventions that can strengthen their sustainability and long-term viability</w:t>
      </w:r>
    </w:p>
    <w:p w14:paraId="490F986B" w14:textId="02B77719" w:rsidR="00335F24" w:rsidRPr="003554D8" w:rsidRDefault="00335F24" w:rsidP="00335F2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lang w:val="en-US"/>
        </w:rPr>
      </w:pPr>
      <w:r w:rsidRPr="003554D8">
        <w:rPr>
          <w:rFonts w:ascii="Arial" w:hAnsi="Arial" w:cs="Arial"/>
          <w:b/>
          <w:bCs/>
          <w:sz w:val="20"/>
          <w:szCs w:val="20"/>
          <w:lang w:val="en-US"/>
        </w:rPr>
        <w:t xml:space="preserve">Research Gap: </w:t>
      </w:r>
      <w:r w:rsidR="005C49DD" w:rsidRPr="003554D8">
        <w:rPr>
          <w:rFonts w:ascii="Arial" w:hAnsi="Arial" w:cs="Arial"/>
          <w:sz w:val="20"/>
          <w:szCs w:val="20"/>
          <w:lang w:val="en-US"/>
        </w:rPr>
        <w:t>While FPOs are widely recognized for enhancing farmers’ bargaining power and market access, empirical studies that systematically prioritize constraints in capitalization, governance, and marketing remain limited, especially in the context of newly established FPOs in Tamil Nadu.</w:t>
      </w:r>
    </w:p>
    <w:p w14:paraId="4BC6F94D" w14:textId="5DCDFCF2" w:rsidR="00335F24" w:rsidRPr="003554D8" w:rsidRDefault="00335F24" w:rsidP="00335F2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lang w:val="en-US"/>
        </w:rPr>
      </w:pPr>
      <w:r w:rsidRPr="003554D8">
        <w:rPr>
          <w:rFonts w:ascii="Arial" w:hAnsi="Arial" w:cs="Arial"/>
          <w:b/>
          <w:bCs/>
          <w:sz w:val="20"/>
          <w:szCs w:val="20"/>
          <w:lang w:val="en-US"/>
        </w:rPr>
        <w:t xml:space="preserve">Study Location: </w:t>
      </w:r>
      <w:r w:rsidR="005C49DD" w:rsidRPr="003554D8">
        <w:rPr>
          <w:rFonts w:ascii="Arial" w:hAnsi="Arial" w:cs="Arial"/>
          <w:sz w:val="20"/>
          <w:szCs w:val="20"/>
          <w:lang w:val="en-US"/>
        </w:rPr>
        <w:t>The research was conducted across two agro-climatic zones of Tamil Nadu, capturing the diversity of farming systems and socio-economic conditions where FPOs operate.</w:t>
      </w:r>
    </w:p>
    <w:p w14:paraId="406916F9" w14:textId="16E16F79" w:rsidR="00335F24" w:rsidRPr="003554D8" w:rsidRDefault="00335F24" w:rsidP="00335F2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lang w:val="en-US"/>
        </w:rPr>
      </w:pPr>
      <w:r w:rsidRPr="003554D8">
        <w:rPr>
          <w:rFonts w:ascii="Arial" w:hAnsi="Arial" w:cs="Arial"/>
          <w:b/>
          <w:bCs/>
          <w:sz w:val="20"/>
          <w:szCs w:val="20"/>
          <w:lang w:val="en-US"/>
        </w:rPr>
        <w:t xml:space="preserve">Sample Size: </w:t>
      </w:r>
      <w:r w:rsidR="005C49DD" w:rsidRPr="003554D8">
        <w:rPr>
          <w:rFonts w:ascii="Arial" w:hAnsi="Arial" w:cs="Arial"/>
          <w:sz w:val="20"/>
          <w:szCs w:val="20"/>
          <w:lang w:val="en-US"/>
        </w:rPr>
        <w:t>A total of 30 FPOs were selected as the study sample.</w:t>
      </w:r>
    </w:p>
    <w:p w14:paraId="047BDCDC" w14:textId="5965863C" w:rsidR="00335F24" w:rsidRPr="003554D8" w:rsidRDefault="00335F24" w:rsidP="00335F2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lang w:val="en-US"/>
        </w:rPr>
      </w:pPr>
      <w:r w:rsidRPr="003554D8">
        <w:rPr>
          <w:rFonts w:ascii="Arial" w:hAnsi="Arial" w:cs="Arial"/>
          <w:b/>
          <w:bCs/>
          <w:sz w:val="20"/>
          <w:szCs w:val="20"/>
          <w:lang w:val="en-US"/>
        </w:rPr>
        <w:t xml:space="preserve">Data Collection: </w:t>
      </w:r>
      <w:r w:rsidR="005C49DD" w:rsidRPr="003554D8">
        <w:rPr>
          <w:rFonts w:ascii="Arial" w:hAnsi="Arial" w:cs="Arial"/>
          <w:sz w:val="20"/>
          <w:szCs w:val="20"/>
          <w:lang w:val="en-US"/>
        </w:rPr>
        <w:t>The collected data were analyzed using Garrett’s ranking technique to identify and prioritize the key challenges faced by the sampled FPOs in capitalization, governance, and marketing.</w:t>
      </w:r>
    </w:p>
    <w:p w14:paraId="167E206A" w14:textId="10226416" w:rsidR="00335F24" w:rsidRPr="003554D8" w:rsidRDefault="00335F24" w:rsidP="00335F2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lang w:val="en-US"/>
        </w:rPr>
      </w:pPr>
      <w:r w:rsidRPr="003554D8">
        <w:rPr>
          <w:rFonts w:ascii="Arial" w:hAnsi="Arial" w:cs="Arial"/>
          <w:b/>
          <w:bCs/>
          <w:sz w:val="20"/>
          <w:szCs w:val="20"/>
          <w:lang w:val="en-US"/>
        </w:rPr>
        <w:t xml:space="preserve">Conclusion: </w:t>
      </w:r>
      <w:r w:rsidR="005C49DD" w:rsidRPr="003554D8">
        <w:rPr>
          <w:rFonts w:ascii="Arial" w:hAnsi="Arial" w:cs="Arial"/>
          <w:sz w:val="20"/>
          <w:szCs w:val="20"/>
          <w:lang w:val="en-US"/>
        </w:rPr>
        <w:t>The study finds that most FPOs in their formative years struggle with delayed and complex grant processes, inadequate capitalization, cash flow problems, governance bottlenecks such as licensing delays and frequent CEO turnover, and weak marketing strategies. These constraints collectively undermine organizational stability and growth. To address these issues, the study recommends tailored policy and managerial interventions, including strengthening financial support mechanisms, streamlining governance processes, and adopting innovative marketing approaches, to enhance the sustainability and viability of FPOs in Tamil Nadu.</w:t>
      </w:r>
    </w:p>
    <w:p w14:paraId="5ADEEFB0" w14:textId="77777777" w:rsidR="00E76386" w:rsidRDefault="00E76386" w:rsidP="006238B9">
      <w:pPr>
        <w:spacing w:line="360" w:lineRule="auto"/>
        <w:jc w:val="both"/>
        <w:rPr>
          <w:rFonts w:ascii="Arial" w:hAnsi="Arial" w:cs="Arial"/>
          <w:i/>
          <w:iCs/>
          <w:sz w:val="20"/>
          <w:szCs w:val="20"/>
          <w:lang w:val="en-US"/>
        </w:rPr>
      </w:pPr>
      <w:r w:rsidRPr="003554D8">
        <w:rPr>
          <w:rFonts w:ascii="Arial" w:hAnsi="Arial" w:cs="Arial"/>
          <w:i/>
          <w:iCs/>
          <w:sz w:val="20"/>
          <w:szCs w:val="20"/>
          <w:lang w:val="en-US"/>
        </w:rPr>
        <w:t xml:space="preserve">Keywords: FPO, Performance, Functional, Financial and Tamil Nadu </w:t>
      </w:r>
    </w:p>
    <w:p w14:paraId="1128F96C" w14:textId="77777777" w:rsidR="00B34786" w:rsidRDefault="00B34786" w:rsidP="006238B9">
      <w:pPr>
        <w:spacing w:line="360" w:lineRule="auto"/>
        <w:jc w:val="both"/>
        <w:rPr>
          <w:rFonts w:ascii="Arial" w:hAnsi="Arial" w:cs="Arial"/>
          <w:i/>
          <w:iCs/>
          <w:sz w:val="20"/>
          <w:szCs w:val="20"/>
          <w:lang w:val="en-US"/>
        </w:rPr>
      </w:pPr>
    </w:p>
    <w:p w14:paraId="3C9D6506" w14:textId="77777777" w:rsidR="00B34786" w:rsidRPr="003554D8" w:rsidRDefault="00B34786" w:rsidP="006238B9">
      <w:pPr>
        <w:spacing w:line="360" w:lineRule="auto"/>
        <w:jc w:val="both"/>
        <w:rPr>
          <w:rFonts w:ascii="Arial" w:hAnsi="Arial" w:cs="Arial"/>
          <w:i/>
          <w:iCs/>
          <w:sz w:val="20"/>
          <w:szCs w:val="20"/>
          <w:lang w:val="en-US"/>
        </w:rPr>
      </w:pPr>
    </w:p>
    <w:p w14:paraId="782E0807" w14:textId="6596E747" w:rsidR="00E76386" w:rsidRPr="003554D8" w:rsidRDefault="00E76386" w:rsidP="00E76386">
      <w:pPr>
        <w:pStyle w:val="ListParagraph"/>
        <w:numPr>
          <w:ilvl w:val="0"/>
          <w:numId w:val="3"/>
        </w:numPr>
        <w:spacing w:after="0" w:line="360" w:lineRule="auto"/>
        <w:jc w:val="both"/>
        <w:rPr>
          <w:rFonts w:ascii="Arial" w:hAnsi="Arial" w:cs="Arial"/>
          <w:b/>
          <w:bCs/>
          <w:lang w:val="en-US"/>
        </w:rPr>
      </w:pPr>
      <w:r w:rsidRPr="003554D8">
        <w:rPr>
          <w:rFonts w:ascii="Arial" w:hAnsi="Arial" w:cs="Arial"/>
          <w:b/>
          <w:bCs/>
          <w:lang w:val="en-US"/>
        </w:rPr>
        <w:t>INTRODUCTION</w:t>
      </w:r>
    </w:p>
    <w:p w14:paraId="18F6D9B3" w14:textId="6068066C" w:rsidR="00E76386" w:rsidRPr="003554D8" w:rsidRDefault="00E76386" w:rsidP="00E76386">
      <w:pPr>
        <w:spacing w:after="0" w:line="360" w:lineRule="auto"/>
        <w:jc w:val="both"/>
        <w:rPr>
          <w:rFonts w:ascii="Arial" w:hAnsi="Arial" w:cs="Arial"/>
          <w:sz w:val="20"/>
          <w:szCs w:val="20"/>
          <w:lang w:val="en-US"/>
        </w:rPr>
      </w:pPr>
      <w:r w:rsidRPr="003554D8">
        <w:rPr>
          <w:rFonts w:ascii="Arial" w:hAnsi="Arial" w:cs="Arial"/>
          <w:b/>
          <w:bCs/>
          <w:sz w:val="20"/>
          <w:szCs w:val="20"/>
          <w:lang w:val="en-US"/>
        </w:rPr>
        <w:t>1.1 Farmer Producer Organization:</w:t>
      </w:r>
      <w:r w:rsidRPr="003554D8">
        <w:rPr>
          <w:rFonts w:ascii="Arial" w:hAnsi="Arial" w:cs="Arial"/>
          <w:sz w:val="20"/>
          <w:szCs w:val="20"/>
          <w:lang w:val="en-US"/>
        </w:rPr>
        <w:t xml:space="preserve"> </w:t>
      </w:r>
      <w:r w:rsidR="0007265F" w:rsidRPr="0007265F">
        <w:rPr>
          <w:rFonts w:ascii="Arial" w:hAnsi="Arial" w:cs="Arial"/>
          <w:sz w:val="20"/>
          <w:szCs w:val="20"/>
          <w:lang w:val="en-US"/>
        </w:rPr>
        <w:t>Farmer Producer Organizations (FPOs) have, in recent years, gained prominence as important institutional platforms for improving the economic agency of small and marginal farmers</w:t>
      </w:r>
      <w:r w:rsidR="00A056EA">
        <w:rPr>
          <w:rFonts w:ascii="Arial" w:hAnsi="Arial" w:cs="Arial"/>
          <w:sz w:val="20"/>
          <w:szCs w:val="20"/>
          <w:lang w:val="en-US"/>
        </w:rPr>
        <w:t>[1]</w:t>
      </w:r>
      <w:r w:rsidR="0007265F" w:rsidRPr="0007265F">
        <w:rPr>
          <w:rFonts w:ascii="Arial" w:hAnsi="Arial" w:cs="Arial"/>
          <w:sz w:val="20"/>
          <w:szCs w:val="20"/>
          <w:lang w:val="en-US"/>
        </w:rPr>
        <w:t>. By enabling collective action in areas such as input procurement</w:t>
      </w:r>
      <w:r w:rsidR="0059577D">
        <w:rPr>
          <w:rFonts w:ascii="Arial" w:hAnsi="Arial" w:cs="Arial"/>
          <w:sz w:val="20"/>
          <w:szCs w:val="20"/>
          <w:lang w:val="en-US"/>
        </w:rPr>
        <w:t xml:space="preserve"> [2]</w:t>
      </w:r>
      <w:r w:rsidR="0007265F" w:rsidRPr="0007265F">
        <w:rPr>
          <w:rFonts w:ascii="Arial" w:hAnsi="Arial" w:cs="Arial"/>
          <w:sz w:val="20"/>
          <w:szCs w:val="20"/>
          <w:lang w:val="en-US"/>
        </w:rPr>
        <w:t>, production planning</w:t>
      </w:r>
      <w:r w:rsidR="0059577D">
        <w:rPr>
          <w:rFonts w:ascii="Arial" w:hAnsi="Arial" w:cs="Arial"/>
          <w:sz w:val="20"/>
          <w:szCs w:val="20"/>
          <w:lang w:val="en-US"/>
        </w:rPr>
        <w:t xml:space="preserve"> [3]</w:t>
      </w:r>
      <w:r w:rsidR="0007265F" w:rsidRPr="0007265F">
        <w:rPr>
          <w:rFonts w:ascii="Arial" w:hAnsi="Arial" w:cs="Arial"/>
          <w:sz w:val="20"/>
          <w:szCs w:val="20"/>
          <w:lang w:val="en-US"/>
        </w:rPr>
        <w:t>, value addition</w:t>
      </w:r>
      <w:r w:rsidR="0059577D">
        <w:rPr>
          <w:rFonts w:ascii="Arial" w:hAnsi="Arial" w:cs="Arial"/>
          <w:sz w:val="20"/>
          <w:szCs w:val="20"/>
          <w:lang w:val="en-US"/>
        </w:rPr>
        <w:t xml:space="preserve"> [2] </w:t>
      </w:r>
      <w:r w:rsidR="0007265F" w:rsidRPr="0007265F">
        <w:rPr>
          <w:rFonts w:ascii="Arial" w:hAnsi="Arial" w:cs="Arial"/>
          <w:sz w:val="20"/>
          <w:szCs w:val="20"/>
          <w:lang w:val="en-US"/>
        </w:rPr>
        <w:t>and market linkage</w:t>
      </w:r>
      <w:r w:rsidR="0059577D">
        <w:rPr>
          <w:rFonts w:ascii="Arial" w:hAnsi="Arial" w:cs="Arial"/>
          <w:sz w:val="20"/>
          <w:szCs w:val="20"/>
          <w:lang w:val="en-US"/>
        </w:rPr>
        <w:t xml:space="preserve"> [4]</w:t>
      </w:r>
      <w:r w:rsidR="0007265F" w:rsidRPr="0007265F">
        <w:rPr>
          <w:rFonts w:ascii="Arial" w:hAnsi="Arial" w:cs="Arial"/>
          <w:sz w:val="20"/>
          <w:szCs w:val="20"/>
          <w:lang w:val="en-US"/>
        </w:rPr>
        <w:t>, FPOs are intended to bridge the persistent gaps that individual farmers face in competitive agri-markets</w:t>
      </w:r>
      <w:r w:rsidR="0059577D">
        <w:rPr>
          <w:rFonts w:ascii="Arial" w:hAnsi="Arial" w:cs="Arial"/>
          <w:sz w:val="20"/>
          <w:szCs w:val="20"/>
          <w:lang w:val="en-US"/>
        </w:rPr>
        <w:t xml:space="preserve"> [1]</w:t>
      </w:r>
      <w:r w:rsidR="0007265F" w:rsidRPr="0007265F">
        <w:rPr>
          <w:rFonts w:ascii="Arial" w:hAnsi="Arial" w:cs="Arial"/>
          <w:sz w:val="20"/>
          <w:szCs w:val="20"/>
          <w:lang w:val="en-US"/>
        </w:rPr>
        <w:t xml:space="preserve">. They also play a significant role in strengthening rural </w:t>
      </w:r>
      <w:r w:rsidR="0007265F" w:rsidRPr="0007265F">
        <w:rPr>
          <w:rFonts w:ascii="Arial" w:hAnsi="Arial" w:cs="Arial"/>
          <w:sz w:val="20"/>
          <w:szCs w:val="20"/>
          <w:lang w:val="en-US"/>
        </w:rPr>
        <w:lastRenderedPageBreak/>
        <w:t>livelihoods by promoting risk-sharing</w:t>
      </w:r>
      <w:r w:rsidR="0059577D">
        <w:rPr>
          <w:rFonts w:ascii="Arial" w:hAnsi="Arial" w:cs="Arial"/>
          <w:sz w:val="20"/>
          <w:szCs w:val="20"/>
          <w:lang w:val="en-US"/>
        </w:rPr>
        <w:t xml:space="preserve"> [5]</w:t>
      </w:r>
      <w:r w:rsidR="0007265F" w:rsidRPr="0007265F">
        <w:rPr>
          <w:rFonts w:ascii="Arial" w:hAnsi="Arial" w:cs="Arial"/>
          <w:sz w:val="20"/>
          <w:szCs w:val="20"/>
          <w:lang w:val="en-US"/>
        </w:rPr>
        <w:t>, enhancing bargaining power</w:t>
      </w:r>
      <w:r w:rsidR="0059577D">
        <w:rPr>
          <w:rFonts w:ascii="Arial" w:hAnsi="Arial" w:cs="Arial"/>
          <w:sz w:val="20"/>
          <w:szCs w:val="20"/>
          <w:lang w:val="en-US"/>
        </w:rPr>
        <w:t xml:space="preserve"> [6] </w:t>
      </w:r>
      <w:r w:rsidR="0007265F" w:rsidRPr="0007265F">
        <w:rPr>
          <w:rFonts w:ascii="Arial" w:hAnsi="Arial" w:cs="Arial"/>
          <w:sz w:val="20"/>
          <w:szCs w:val="20"/>
          <w:lang w:val="en-US"/>
        </w:rPr>
        <w:t>and encouraging local entrepreneurship</w:t>
      </w:r>
      <w:r w:rsidR="0059577D">
        <w:rPr>
          <w:rFonts w:ascii="Arial" w:hAnsi="Arial" w:cs="Arial"/>
          <w:sz w:val="20"/>
          <w:szCs w:val="20"/>
          <w:lang w:val="en-US"/>
        </w:rPr>
        <w:t xml:space="preserve"> [7]</w:t>
      </w:r>
      <w:r w:rsidR="0007265F" w:rsidRPr="0007265F">
        <w:rPr>
          <w:rFonts w:ascii="Arial" w:hAnsi="Arial" w:cs="Arial"/>
          <w:sz w:val="20"/>
          <w:szCs w:val="20"/>
          <w:lang w:val="en-US"/>
        </w:rPr>
        <w:t>. However, despite sustained policy support and multiple government-led promotion programs, many FPOs struggle to evolve into robust</w:t>
      </w:r>
      <w:r w:rsidR="0059577D">
        <w:rPr>
          <w:rFonts w:ascii="Arial" w:hAnsi="Arial" w:cs="Arial"/>
          <w:sz w:val="20"/>
          <w:szCs w:val="20"/>
          <w:lang w:val="en-US"/>
        </w:rPr>
        <w:t xml:space="preserve"> [8]</w:t>
      </w:r>
      <w:r w:rsidR="0007265F" w:rsidRPr="0007265F">
        <w:rPr>
          <w:rFonts w:ascii="Arial" w:hAnsi="Arial" w:cs="Arial"/>
          <w:sz w:val="20"/>
          <w:szCs w:val="20"/>
          <w:lang w:val="en-US"/>
        </w:rPr>
        <w:t>, self-sustaining enterprises</w:t>
      </w:r>
      <w:r w:rsidR="004B2919">
        <w:rPr>
          <w:rFonts w:ascii="Arial" w:hAnsi="Arial" w:cs="Arial"/>
          <w:sz w:val="20"/>
          <w:szCs w:val="20"/>
          <w:lang w:val="en-US"/>
        </w:rPr>
        <w:t xml:space="preserve"> [9]</w:t>
      </w:r>
      <w:r w:rsidR="0007265F" w:rsidRPr="0007265F">
        <w:rPr>
          <w:rFonts w:ascii="Arial" w:hAnsi="Arial" w:cs="Arial"/>
          <w:sz w:val="20"/>
          <w:szCs w:val="20"/>
          <w:lang w:val="en-US"/>
        </w:rPr>
        <w:t>. Their growth is often constrained by limited capitalization</w:t>
      </w:r>
      <w:r w:rsidR="004B2919">
        <w:rPr>
          <w:rFonts w:ascii="Arial" w:hAnsi="Arial" w:cs="Arial"/>
          <w:sz w:val="20"/>
          <w:szCs w:val="20"/>
          <w:lang w:val="en-US"/>
        </w:rPr>
        <w:t xml:space="preserve"> [10]</w:t>
      </w:r>
      <w:r w:rsidR="0007265F" w:rsidRPr="0007265F">
        <w:rPr>
          <w:rFonts w:ascii="Arial" w:hAnsi="Arial" w:cs="Arial"/>
          <w:sz w:val="20"/>
          <w:szCs w:val="20"/>
          <w:lang w:val="en-US"/>
        </w:rPr>
        <w:t>, weak governance structures</w:t>
      </w:r>
      <w:r w:rsidR="004B2919">
        <w:rPr>
          <w:rFonts w:ascii="Arial" w:hAnsi="Arial" w:cs="Arial"/>
          <w:sz w:val="20"/>
          <w:szCs w:val="20"/>
          <w:lang w:val="en-US"/>
        </w:rPr>
        <w:t xml:space="preserve"> [11]</w:t>
      </w:r>
      <w:r w:rsidR="0007265F" w:rsidRPr="0007265F">
        <w:rPr>
          <w:rFonts w:ascii="Arial" w:hAnsi="Arial" w:cs="Arial"/>
          <w:sz w:val="20"/>
          <w:szCs w:val="20"/>
          <w:lang w:val="en-US"/>
        </w:rPr>
        <w:t>, inadequate managerial skills</w:t>
      </w:r>
      <w:r w:rsidR="004B2919">
        <w:rPr>
          <w:rFonts w:ascii="Arial" w:hAnsi="Arial" w:cs="Arial"/>
          <w:sz w:val="20"/>
          <w:szCs w:val="20"/>
          <w:lang w:val="en-US"/>
        </w:rPr>
        <w:t xml:space="preserve"> [12] </w:t>
      </w:r>
      <w:r w:rsidR="0007265F" w:rsidRPr="0007265F">
        <w:rPr>
          <w:rFonts w:ascii="Arial" w:hAnsi="Arial" w:cs="Arial"/>
          <w:sz w:val="20"/>
          <w:szCs w:val="20"/>
          <w:lang w:val="en-US"/>
        </w:rPr>
        <w:t>and challenges in securing stable and profitable market access</w:t>
      </w:r>
      <w:r w:rsidR="004B2919">
        <w:rPr>
          <w:rFonts w:ascii="Arial" w:hAnsi="Arial" w:cs="Arial"/>
          <w:sz w:val="20"/>
          <w:szCs w:val="20"/>
          <w:lang w:val="en-US"/>
        </w:rPr>
        <w:t xml:space="preserve"> [13]</w:t>
      </w:r>
      <w:r w:rsidR="0007265F" w:rsidRPr="0007265F">
        <w:rPr>
          <w:rFonts w:ascii="Arial" w:hAnsi="Arial" w:cs="Arial"/>
          <w:sz w:val="20"/>
          <w:szCs w:val="20"/>
          <w:lang w:val="en-US"/>
        </w:rPr>
        <w:t>.</w:t>
      </w:r>
    </w:p>
    <w:p w14:paraId="510A63E5" w14:textId="69CC9F4E" w:rsidR="00E76386" w:rsidRPr="003554D8" w:rsidRDefault="00E76386" w:rsidP="00E76386">
      <w:pPr>
        <w:spacing w:after="0" w:line="360" w:lineRule="auto"/>
        <w:jc w:val="both"/>
        <w:rPr>
          <w:rFonts w:ascii="Arial" w:hAnsi="Arial" w:cs="Arial"/>
          <w:sz w:val="20"/>
          <w:szCs w:val="20"/>
          <w:lang w:val="en-US"/>
        </w:rPr>
      </w:pPr>
      <w:r w:rsidRPr="003554D8">
        <w:rPr>
          <w:rFonts w:ascii="Arial" w:hAnsi="Arial" w:cs="Arial"/>
          <w:b/>
          <w:bCs/>
          <w:sz w:val="20"/>
          <w:szCs w:val="20"/>
          <w:lang w:val="en-US"/>
        </w:rPr>
        <w:t>1.2 Research gap:</w:t>
      </w:r>
      <w:r w:rsidRPr="003554D8">
        <w:rPr>
          <w:rFonts w:ascii="Arial" w:hAnsi="Arial" w:cs="Arial"/>
          <w:sz w:val="20"/>
          <w:szCs w:val="20"/>
          <w:lang w:val="en-US"/>
        </w:rPr>
        <w:t xml:space="preserve"> </w:t>
      </w:r>
      <w:r w:rsidR="0007265F" w:rsidRPr="0007265F">
        <w:rPr>
          <w:rFonts w:ascii="Arial" w:hAnsi="Arial" w:cs="Arial"/>
          <w:sz w:val="20"/>
          <w:szCs w:val="20"/>
          <w:lang w:val="en-US"/>
        </w:rPr>
        <w:t>Although a substantial body of literature discusses the promise and potential of FPOs, systematic evidence on the lived operational challenges of newly formed FPOs remains limited</w:t>
      </w:r>
      <w:r w:rsidR="0086724A">
        <w:rPr>
          <w:rFonts w:ascii="Arial" w:hAnsi="Arial" w:cs="Arial"/>
          <w:sz w:val="20"/>
          <w:szCs w:val="20"/>
          <w:lang w:val="en-US"/>
        </w:rPr>
        <w:t xml:space="preserve"> [14]</w:t>
      </w:r>
      <w:r w:rsidR="0007265F" w:rsidRPr="0007265F">
        <w:rPr>
          <w:rFonts w:ascii="Arial" w:hAnsi="Arial" w:cs="Arial"/>
          <w:sz w:val="20"/>
          <w:szCs w:val="20"/>
          <w:lang w:val="en-US"/>
        </w:rPr>
        <w:t>. In the context of Tamil Nadu, in particular, very few empirical studies explore the specific constraints that early-stage FPOs encounter as they attempt to transition from formation to functional business entities</w:t>
      </w:r>
      <w:r w:rsidR="002A4B04">
        <w:rPr>
          <w:rFonts w:ascii="Arial" w:hAnsi="Arial" w:cs="Arial"/>
          <w:sz w:val="20"/>
          <w:szCs w:val="20"/>
          <w:lang w:val="en-US"/>
        </w:rPr>
        <w:t xml:space="preserve"> [15]</w:t>
      </w:r>
      <w:r w:rsidR="0007265F" w:rsidRPr="0007265F">
        <w:rPr>
          <w:rFonts w:ascii="Arial" w:hAnsi="Arial" w:cs="Arial"/>
          <w:sz w:val="20"/>
          <w:szCs w:val="20"/>
          <w:lang w:val="en-US"/>
        </w:rPr>
        <w:t xml:space="preserve">. Existing </w:t>
      </w:r>
      <w:r w:rsidR="002A4B04">
        <w:rPr>
          <w:rFonts w:ascii="Arial" w:hAnsi="Arial" w:cs="Arial"/>
          <w:sz w:val="20"/>
          <w:szCs w:val="20"/>
          <w:lang w:val="en-US"/>
        </w:rPr>
        <w:t>studies</w:t>
      </w:r>
      <w:r w:rsidR="0007265F" w:rsidRPr="0007265F">
        <w:rPr>
          <w:rFonts w:ascii="Arial" w:hAnsi="Arial" w:cs="Arial"/>
          <w:sz w:val="20"/>
          <w:szCs w:val="20"/>
          <w:lang w:val="en-US"/>
        </w:rPr>
        <w:t xml:space="preserve"> tends to focus on broad success factors or policy frameworks, leaving a gap in understanding the relative severity of financial barriers</w:t>
      </w:r>
      <w:r w:rsidR="00394CD5">
        <w:rPr>
          <w:rFonts w:ascii="Arial" w:hAnsi="Arial" w:cs="Arial"/>
          <w:sz w:val="20"/>
          <w:szCs w:val="20"/>
          <w:lang w:val="en-US"/>
        </w:rPr>
        <w:t xml:space="preserve"> [16]</w:t>
      </w:r>
      <w:r w:rsidR="0007265F" w:rsidRPr="0007265F">
        <w:rPr>
          <w:rFonts w:ascii="Arial" w:hAnsi="Arial" w:cs="Arial"/>
          <w:sz w:val="20"/>
          <w:szCs w:val="20"/>
          <w:lang w:val="en-US"/>
        </w:rPr>
        <w:t>, managerial limitations</w:t>
      </w:r>
      <w:r w:rsidR="00394CD5">
        <w:rPr>
          <w:rFonts w:ascii="Arial" w:hAnsi="Arial" w:cs="Arial"/>
          <w:sz w:val="20"/>
          <w:szCs w:val="20"/>
          <w:lang w:val="en-US"/>
        </w:rPr>
        <w:t xml:space="preserve"> [17]</w:t>
      </w:r>
      <w:r w:rsidR="0007265F" w:rsidRPr="0007265F">
        <w:rPr>
          <w:rFonts w:ascii="Arial" w:hAnsi="Arial" w:cs="Arial"/>
          <w:sz w:val="20"/>
          <w:szCs w:val="20"/>
          <w:lang w:val="en-US"/>
        </w:rPr>
        <w:t xml:space="preserve"> and marketing-related hurdles that shape their early performance</w:t>
      </w:r>
      <w:r w:rsidR="00394CD5">
        <w:rPr>
          <w:rFonts w:ascii="Arial" w:hAnsi="Arial" w:cs="Arial"/>
          <w:sz w:val="20"/>
          <w:szCs w:val="20"/>
          <w:lang w:val="en-US"/>
        </w:rPr>
        <w:t xml:space="preserve"> [18]</w:t>
      </w:r>
      <w:r w:rsidR="0007265F" w:rsidRPr="0007265F">
        <w:rPr>
          <w:rFonts w:ascii="Arial" w:hAnsi="Arial" w:cs="Arial"/>
          <w:sz w:val="20"/>
          <w:szCs w:val="20"/>
          <w:lang w:val="en-US"/>
        </w:rPr>
        <w:t>. This lack of granular, field-based insights creates an important gap in both academic knowledge and practitioner-oriented strategies</w:t>
      </w:r>
      <w:r w:rsidR="00394CD5">
        <w:rPr>
          <w:rFonts w:ascii="Arial" w:hAnsi="Arial" w:cs="Arial"/>
          <w:sz w:val="20"/>
          <w:szCs w:val="20"/>
          <w:lang w:val="en-US"/>
        </w:rPr>
        <w:t xml:space="preserve"> [19]</w:t>
      </w:r>
      <w:r w:rsidR="0007265F" w:rsidRPr="0007265F">
        <w:rPr>
          <w:rFonts w:ascii="Arial" w:hAnsi="Arial" w:cs="Arial"/>
          <w:sz w:val="20"/>
          <w:szCs w:val="20"/>
          <w:lang w:val="en-US"/>
        </w:rPr>
        <w:t>.</w:t>
      </w:r>
    </w:p>
    <w:p w14:paraId="4B901C61" w14:textId="480DF75C" w:rsidR="00475ABA" w:rsidRPr="003554D8" w:rsidRDefault="00E76386" w:rsidP="00E76386">
      <w:pPr>
        <w:spacing w:after="0" w:line="360" w:lineRule="auto"/>
        <w:jc w:val="both"/>
        <w:rPr>
          <w:rFonts w:ascii="Arial" w:hAnsi="Arial" w:cs="Arial"/>
          <w:sz w:val="20"/>
          <w:szCs w:val="20"/>
          <w:lang w:val="en-US"/>
        </w:rPr>
      </w:pPr>
      <w:r w:rsidRPr="003554D8">
        <w:rPr>
          <w:rFonts w:ascii="Arial" w:hAnsi="Arial" w:cs="Arial"/>
          <w:b/>
          <w:bCs/>
          <w:sz w:val="20"/>
          <w:szCs w:val="20"/>
          <w:lang w:val="en-US"/>
        </w:rPr>
        <w:t>1.3 Purpose of the study:</w:t>
      </w:r>
      <w:r w:rsidRPr="003554D8">
        <w:rPr>
          <w:rFonts w:ascii="Arial" w:hAnsi="Arial" w:cs="Arial"/>
          <w:sz w:val="20"/>
          <w:szCs w:val="20"/>
          <w:lang w:val="en-US"/>
        </w:rPr>
        <w:t xml:space="preserve"> </w:t>
      </w:r>
      <w:r w:rsidR="0007265F" w:rsidRPr="0007265F">
        <w:rPr>
          <w:rFonts w:ascii="Arial" w:hAnsi="Arial" w:cs="Arial"/>
          <w:sz w:val="20"/>
          <w:szCs w:val="20"/>
          <w:lang w:val="en-US"/>
        </w:rPr>
        <w:t>The objective of this study is to systematically examine the principal challenges faced by nascent FPOs and to prioritize these constraints based on their perceived impact on organizational growth and sustainability. By identifying which issues</w:t>
      </w:r>
      <w:r w:rsidR="00394CD5">
        <w:rPr>
          <w:rFonts w:ascii="Arial" w:hAnsi="Arial" w:cs="Arial"/>
          <w:sz w:val="20"/>
          <w:szCs w:val="20"/>
          <w:lang w:val="en-US"/>
        </w:rPr>
        <w:t xml:space="preserve"> </w:t>
      </w:r>
      <w:r w:rsidR="0007265F" w:rsidRPr="0007265F">
        <w:rPr>
          <w:rFonts w:ascii="Arial" w:hAnsi="Arial" w:cs="Arial"/>
          <w:sz w:val="20"/>
          <w:szCs w:val="20"/>
          <w:lang w:val="en-US"/>
        </w:rPr>
        <w:t>from capital adequacy and governance mechanisms to market integration and managerial capacity</w:t>
      </w:r>
      <w:r w:rsidR="00394CD5">
        <w:rPr>
          <w:rFonts w:ascii="Arial" w:hAnsi="Arial" w:cs="Arial"/>
          <w:sz w:val="20"/>
          <w:szCs w:val="20"/>
          <w:lang w:val="en-US"/>
        </w:rPr>
        <w:t xml:space="preserve"> </w:t>
      </w:r>
      <w:r w:rsidR="0007265F" w:rsidRPr="0007265F">
        <w:rPr>
          <w:rFonts w:ascii="Arial" w:hAnsi="Arial" w:cs="Arial"/>
          <w:sz w:val="20"/>
          <w:szCs w:val="20"/>
          <w:lang w:val="en-US"/>
        </w:rPr>
        <w:t>pose the most significant bottlenecks, the study aims to provide actionable insights for policymakers, promoting agencies, and FPO leaders. Ultimately, the research seeks to contribute to the development of targeted interventions that can strengthen early-stage FPOs and enhance their long-term contribution to rural economic development.</w:t>
      </w:r>
    </w:p>
    <w:p w14:paraId="7DC9040A" w14:textId="10818BBD" w:rsidR="003C1385" w:rsidRPr="003554D8" w:rsidRDefault="00475ABA" w:rsidP="00E76386">
      <w:pPr>
        <w:spacing w:after="0" w:line="360" w:lineRule="auto"/>
        <w:jc w:val="both"/>
        <w:rPr>
          <w:rFonts w:ascii="Arial" w:hAnsi="Arial" w:cs="Arial"/>
          <w:b/>
          <w:bCs/>
          <w:sz w:val="20"/>
          <w:szCs w:val="20"/>
          <w:lang w:val="en-US"/>
        </w:rPr>
      </w:pPr>
      <w:r w:rsidRPr="003554D8">
        <w:rPr>
          <w:rFonts w:ascii="Arial" w:hAnsi="Arial" w:cs="Arial"/>
          <w:b/>
          <w:bCs/>
          <w:sz w:val="20"/>
          <w:szCs w:val="20"/>
          <w:lang w:val="en-US"/>
        </w:rPr>
        <w:t xml:space="preserve">2. </w:t>
      </w:r>
      <w:r w:rsidR="00DA1C9F" w:rsidRPr="003554D8">
        <w:rPr>
          <w:rFonts w:ascii="Arial" w:eastAsiaTheme="minorHAnsi" w:hAnsi="Arial" w:cs="Arial"/>
          <w:b/>
          <w:bCs/>
          <w:sz w:val="20"/>
          <w:szCs w:val="20"/>
          <w:lang w:val="en-US" w:bidi="ta-IN"/>
          <w14:ligatures w14:val="standardContextual"/>
        </w:rPr>
        <w:t>MATERIALS AND METHODS</w:t>
      </w:r>
    </w:p>
    <w:p w14:paraId="5B80A71D" w14:textId="695AF4FF" w:rsidR="00D220CF" w:rsidRPr="003554D8" w:rsidRDefault="00D220CF" w:rsidP="00D220CF">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2.1 Study location:</w:t>
      </w:r>
      <w:r w:rsidRPr="003554D8">
        <w:rPr>
          <w:rFonts w:ascii="Arial" w:eastAsiaTheme="minorHAnsi" w:hAnsi="Arial" w:cs="Arial"/>
          <w:sz w:val="20"/>
          <w:szCs w:val="20"/>
          <w:lang w:val="en-US" w:bidi="ta-IN"/>
          <w14:ligatures w14:val="standardContextual"/>
        </w:rPr>
        <w:t xml:space="preserve"> </w:t>
      </w:r>
      <w:r w:rsidR="00917B53" w:rsidRPr="003554D8">
        <w:rPr>
          <w:rFonts w:ascii="Arial" w:eastAsiaTheme="minorHAnsi" w:hAnsi="Arial" w:cs="Arial"/>
          <w:sz w:val="20"/>
          <w:szCs w:val="20"/>
          <w:lang w:val="en-US" w:bidi="ta-IN"/>
          <w14:ligatures w14:val="standardContextual"/>
        </w:rPr>
        <w:t>Tamil Nadu was purposively selected due to its significant agricultural output and prevalence of FPOs. Out of seven agro-climatic zones, North-Western Zone (Zone I) and North-Eastern Zone (Zone II) were chosen for their largest area under millets and oilseeds, respectively.</w:t>
      </w:r>
    </w:p>
    <w:p w14:paraId="21B4E5FF" w14:textId="33E82BD3" w:rsidR="008A1C51" w:rsidRPr="003554D8" w:rsidRDefault="00D220CF" w:rsidP="00D220CF">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 xml:space="preserve">2.2 </w:t>
      </w:r>
      <w:r w:rsidR="00917B53" w:rsidRPr="003554D8">
        <w:rPr>
          <w:rFonts w:ascii="Arial" w:eastAsiaTheme="minorHAnsi" w:hAnsi="Arial" w:cs="Arial"/>
          <w:b/>
          <w:bCs/>
          <w:sz w:val="20"/>
          <w:szCs w:val="20"/>
          <w:lang w:val="en-US" w:bidi="ta-IN"/>
          <w14:ligatures w14:val="standardContextual"/>
        </w:rPr>
        <w:t>Sample Selection Criteria</w:t>
      </w:r>
      <w:r w:rsidRPr="003554D8">
        <w:rPr>
          <w:rFonts w:ascii="Arial" w:eastAsiaTheme="minorHAnsi" w:hAnsi="Arial" w:cs="Arial"/>
          <w:b/>
          <w:bCs/>
          <w:sz w:val="20"/>
          <w:szCs w:val="20"/>
          <w:lang w:val="en-US" w:bidi="ta-IN"/>
          <w14:ligatures w14:val="standardContextual"/>
        </w:rPr>
        <w:t>:</w:t>
      </w:r>
      <w:r w:rsidRPr="003554D8">
        <w:rPr>
          <w:rFonts w:ascii="Arial" w:eastAsiaTheme="minorHAnsi" w:hAnsi="Arial" w:cs="Arial"/>
          <w:sz w:val="20"/>
          <w:szCs w:val="20"/>
          <w:lang w:val="en-US" w:bidi="ta-IN"/>
          <w14:ligatures w14:val="standardContextual"/>
        </w:rPr>
        <w:t xml:space="preserve"> </w:t>
      </w:r>
      <w:r w:rsidR="00917B53" w:rsidRPr="003554D8">
        <w:rPr>
          <w:rFonts w:ascii="Arial" w:eastAsiaTheme="minorHAnsi" w:hAnsi="Arial" w:cs="Arial"/>
          <w:sz w:val="20"/>
          <w:szCs w:val="20"/>
          <w:lang w:val="en-US" w:bidi="ta-IN"/>
          <w14:ligatures w14:val="standardContextual"/>
        </w:rPr>
        <w:t>A probability proportional method was used to select FPOs, ensuring representation across both zones and commodity clusters. 15 FPOs per zone were chosen, reflecting diversity in operational size, membership, market linkages, and financial structures.</w:t>
      </w:r>
    </w:p>
    <w:p w14:paraId="61776D3A" w14:textId="77777777" w:rsidR="008A1C51" w:rsidRDefault="00D220CF" w:rsidP="00917B53">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2.3</w:t>
      </w:r>
      <w:r w:rsidR="00917B53" w:rsidRPr="003554D8">
        <w:rPr>
          <w:rFonts w:ascii="Arial" w:eastAsiaTheme="minorHAnsi" w:hAnsi="Arial" w:cs="Arial"/>
          <w:b/>
          <w:bCs/>
          <w:sz w:val="20"/>
          <w:szCs w:val="20"/>
          <w:lang w:val="en-US" w:bidi="ta-IN"/>
          <w14:ligatures w14:val="standardContextual"/>
        </w:rPr>
        <w:t xml:space="preserve"> Data </w:t>
      </w:r>
      <w:r w:rsidRPr="003554D8">
        <w:rPr>
          <w:rFonts w:ascii="Arial" w:eastAsiaTheme="minorHAnsi" w:hAnsi="Arial" w:cs="Arial"/>
          <w:b/>
          <w:bCs/>
          <w:sz w:val="20"/>
          <w:szCs w:val="20"/>
          <w:lang w:val="en-US" w:bidi="ta-IN"/>
          <w14:ligatures w14:val="standardContextual"/>
        </w:rPr>
        <w:t>collection:</w:t>
      </w:r>
      <w:r w:rsidRPr="003554D8">
        <w:rPr>
          <w:rFonts w:ascii="Arial" w:eastAsiaTheme="minorHAnsi" w:hAnsi="Arial" w:cs="Arial"/>
          <w:sz w:val="20"/>
          <w:szCs w:val="20"/>
          <w:lang w:val="en-US" w:bidi="ta-IN"/>
          <w14:ligatures w14:val="standardContextual"/>
        </w:rPr>
        <w:t xml:space="preserve"> </w:t>
      </w:r>
      <w:r w:rsidR="00917B53" w:rsidRPr="003554D8">
        <w:rPr>
          <w:rFonts w:ascii="Arial" w:eastAsiaTheme="minorHAnsi" w:hAnsi="Arial" w:cs="Arial"/>
          <w:sz w:val="20"/>
          <w:szCs w:val="20"/>
          <w:lang w:val="en-US" w:bidi="ta-IN"/>
          <w14:ligatures w14:val="standardContextual"/>
        </w:rPr>
        <w:t>Primary data were collected from the 30 FPOs through structured interviews. Key personnel from each FPO were asked to rank the challenges and constraints they face in areas such as capitalization, governance, and marketing.</w:t>
      </w:r>
    </w:p>
    <w:p w14:paraId="267BD927" w14:textId="77777777" w:rsidR="003835EF" w:rsidRDefault="003835EF" w:rsidP="00917B53">
      <w:pPr>
        <w:spacing w:after="0" w:line="360" w:lineRule="auto"/>
        <w:jc w:val="both"/>
        <w:rPr>
          <w:rFonts w:ascii="Arial" w:eastAsiaTheme="minorHAnsi" w:hAnsi="Arial" w:cs="Arial"/>
          <w:sz w:val="20"/>
          <w:szCs w:val="20"/>
          <w:lang w:val="en-US" w:bidi="ta-IN"/>
          <w14:ligatures w14:val="standardContextual"/>
        </w:rPr>
      </w:pPr>
    </w:p>
    <w:p w14:paraId="3E33850E" w14:textId="16B66525" w:rsidR="003509A3" w:rsidRPr="003509A3" w:rsidRDefault="003509A3" w:rsidP="003509A3">
      <w:pPr>
        <w:pStyle w:val="Caption"/>
        <w:jc w:val="center"/>
        <w:rPr>
          <w:rFonts w:ascii="Arial" w:eastAsiaTheme="minorHAnsi" w:hAnsi="Arial" w:cs="Arial"/>
          <w:b/>
          <w:bCs/>
          <w:i w:val="0"/>
          <w:iCs w:val="0"/>
          <w:color w:val="000000" w:themeColor="text1"/>
          <w:sz w:val="20"/>
          <w:szCs w:val="20"/>
          <w:lang w:val="en-US" w:bidi="ta-IN"/>
          <w14:ligatures w14:val="standardContextual"/>
        </w:rPr>
      </w:pPr>
      <w:r w:rsidRPr="003509A3">
        <w:rPr>
          <w:rFonts w:ascii="Arial" w:hAnsi="Arial" w:cs="Arial"/>
          <w:b/>
          <w:bCs/>
          <w:i w:val="0"/>
          <w:iCs w:val="0"/>
          <w:color w:val="000000" w:themeColor="text1"/>
          <w:sz w:val="20"/>
          <w:szCs w:val="20"/>
        </w:rPr>
        <w:t xml:space="preserve">Figure </w:t>
      </w:r>
      <w:r w:rsidRPr="003509A3">
        <w:rPr>
          <w:rFonts w:ascii="Arial" w:hAnsi="Arial" w:cs="Arial"/>
          <w:b/>
          <w:bCs/>
          <w:i w:val="0"/>
          <w:iCs w:val="0"/>
          <w:color w:val="000000" w:themeColor="text1"/>
          <w:sz w:val="20"/>
          <w:szCs w:val="20"/>
        </w:rPr>
        <w:fldChar w:fldCharType="begin"/>
      </w:r>
      <w:r w:rsidRPr="003509A3">
        <w:rPr>
          <w:rFonts w:ascii="Arial" w:hAnsi="Arial" w:cs="Arial"/>
          <w:b/>
          <w:bCs/>
          <w:i w:val="0"/>
          <w:iCs w:val="0"/>
          <w:color w:val="000000" w:themeColor="text1"/>
          <w:sz w:val="20"/>
          <w:szCs w:val="20"/>
        </w:rPr>
        <w:instrText xml:space="preserve"> SEQ Figure \* ARABIC </w:instrText>
      </w:r>
      <w:r w:rsidRPr="003509A3">
        <w:rPr>
          <w:rFonts w:ascii="Arial" w:hAnsi="Arial" w:cs="Arial"/>
          <w:b/>
          <w:bCs/>
          <w:i w:val="0"/>
          <w:iCs w:val="0"/>
          <w:color w:val="000000" w:themeColor="text1"/>
          <w:sz w:val="20"/>
          <w:szCs w:val="20"/>
        </w:rPr>
        <w:fldChar w:fldCharType="separate"/>
      </w:r>
      <w:r w:rsidRPr="003509A3">
        <w:rPr>
          <w:rFonts w:ascii="Arial" w:hAnsi="Arial" w:cs="Arial"/>
          <w:b/>
          <w:bCs/>
          <w:i w:val="0"/>
          <w:iCs w:val="0"/>
          <w:noProof/>
          <w:color w:val="000000" w:themeColor="text1"/>
          <w:sz w:val="20"/>
          <w:szCs w:val="20"/>
        </w:rPr>
        <w:t>1</w:t>
      </w:r>
      <w:r w:rsidRPr="003509A3">
        <w:rPr>
          <w:rFonts w:ascii="Arial" w:hAnsi="Arial" w:cs="Arial"/>
          <w:b/>
          <w:bCs/>
          <w:i w:val="0"/>
          <w:iCs w:val="0"/>
          <w:color w:val="000000" w:themeColor="text1"/>
          <w:sz w:val="20"/>
          <w:szCs w:val="20"/>
        </w:rPr>
        <w:fldChar w:fldCharType="end"/>
      </w:r>
      <w:r w:rsidRPr="003509A3">
        <w:rPr>
          <w:rFonts w:ascii="Arial" w:hAnsi="Arial" w:cs="Arial"/>
          <w:b/>
          <w:bCs/>
          <w:i w:val="0"/>
          <w:iCs w:val="0"/>
          <w:color w:val="000000" w:themeColor="text1"/>
          <w:sz w:val="20"/>
          <w:szCs w:val="20"/>
        </w:rPr>
        <w:t>:</w:t>
      </w:r>
      <w:r w:rsidRPr="003509A3">
        <w:rPr>
          <w:rFonts w:ascii="Arial" w:eastAsiaTheme="minorHAnsi" w:hAnsi="Arial" w:cs="Arial"/>
          <w:b/>
          <w:bCs/>
          <w:i w:val="0"/>
          <w:iCs w:val="0"/>
          <w:color w:val="000000" w:themeColor="text1"/>
          <w:sz w:val="20"/>
          <w:szCs w:val="20"/>
          <w:lang w:bidi="ta-IN"/>
          <w14:ligatures w14:val="standardContextual"/>
        </w:rPr>
        <w:t>Sampling Distribution of Farmers</w:t>
      </w:r>
    </w:p>
    <w:p w14:paraId="42A50731" w14:textId="42EE0E71" w:rsidR="008A1C51" w:rsidRDefault="003509A3" w:rsidP="003509A3">
      <w:pPr>
        <w:spacing w:after="0" w:line="360" w:lineRule="auto"/>
        <w:jc w:val="center"/>
        <w:rPr>
          <w:rFonts w:ascii="Arial" w:eastAsiaTheme="minorHAnsi" w:hAnsi="Arial" w:cs="Arial"/>
          <w:sz w:val="20"/>
          <w:szCs w:val="20"/>
          <w:lang w:val="en-US" w:bidi="ta-IN"/>
          <w14:ligatures w14:val="standardContextual"/>
        </w:rPr>
      </w:pPr>
      <w:r w:rsidRPr="003509A3">
        <w:rPr>
          <w:rFonts w:ascii="Arial" w:eastAsiaTheme="minorHAnsi" w:hAnsi="Arial" w:cs="Arial"/>
          <w:noProof/>
          <w:sz w:val="20"/>
          <w:szCs w:val="20"/>
          <w:lang w:bidi="ta-IN"/>
          <w14:ligatures w14:val="standardContextual"/>
        </w:rPr>
        <w:lastRenderedPageBreak/>
        <w:drawing>
          <wp:inline distT="0" distB="0" distL="0" distR="0" wp14:anchorId="41ACD0BB" wp14:editId="65A06A04">
            <wp:extent cx="4621169" cy="2328874"/>
            <wp:effectExtent l="19050" t="19050" r="27305" b="14605"/>
            <wp:docPr id="44" name="Picture 43" descr="A screenshot of a computer">
              <a:extLst xmlns:a="http://schemas.openxmlformats.org/drawingml/2006/main">
                <a:ext uri="{FF2B5EF4-FFF2-40B4-BE49-F238E27FC236}">
                  <a16:creationId xmlns:a16="http://schemas.microsoft.com/office/drawing/2014/main" id="{D058E33B-B303-A990-7A42-1FAB0AD749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descr="A screenshot of a computer">
                      <a:extLst>
                        <a:ext uri="{FF2B5EF4-FFF2-40B4-BE49-F238E27FC236}">
                          <a16:creationId xmlns:a16="http://schemas.microsoft.com/office/drawing/2014/main" id="{D058E33B-B303-A990-7A42-1FAB0AD7496E}"/>
                        </a:ext>
                      </a:extLst>
                    </pic:cNvPr>
                    <pic:cNvPicPr>
                      <a:picLocks noChangeAspect="1"/>
                    </pic:cNvPicPr>
                  </pic:nvPicPr>
                  <pic:blipFill>
                    <a:blip r:embed="rId8"/>
                    <a:stretch>
                      <a:fillRect/>
                    </a:stretch>
                  </pic:blipFill>
                  <pic:spPr>
                    <a:xfrm>
                      <a:off x="0" y="0"/>
                      <a:ext cx="4621169" cy="2328874"/>
                    </a:xfrm>
                    <a:prstGeom prst="rect">
                      <a:avLst/>
                    </a:prstGeom>
                    <a:ln w="12700">
                      <a:solidFill>
                        <a:schemeClr val="tx1"/>
                      </a:solidFill>
                    </a:ln>
                  </pic:spPr>
                </pic:pic>
              </a:graphicData>
            </a:graphic>
          </wp:inline>
        </w:drawing>
      </w:r>
    </w:p>
    <w:p w14:paraId="1B61A5F9" w14:textId="46E93D22" w:rsidR="00D220CF" w:rsidRPr="003554D8" w:rsidRDefault="00D220CF" w:rsidP="00D220CF">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2.4 Data Analysis:</w:t>
      </w:r>
      <w:r w:rsidRPr="003554D8">
        <w:rPr>
          <w:rFonts w:ascii="Arial" w:eastAsiaTheme="minorHAnsi" w:hAnsi="Arial" w:cs="Arial"/>
          <w:sz w:val="20"/>
          <w:szCs w:val="20"/>
          <w:lang w:val="en-US" w:bidi="ta-IN"/>
          <w14:ligatures w14:val="standardContextual"/>
        </w:rPr>
        <w:t xml:space="preserve"> </w:t>
      </w:r>
    </w:p>
    <w:p w14:paraId="0C28F490" w14:textId="3417336F" w:rsidR="00D220CF" w:rsidRPr="003554D8" w:rsidRDefault="00D220CF" w:rsidP="00D220CF">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 xml:space="preserve">2.4.1 </w:t>
      </w:r>
      <w:r w:rsidR="00917B53" w:rsidRPr="003554D8">
        <w:rPr>
          <w:rFonts w:ascii="Arial" w:eastAsiaTheme="minorHAnsi" w:hAnsi="Arial" w:cs="Arial"/>
          <w:b/>
          <w:bCs/>
          <w:sz w:val="20"/>
          <w:szCs w:val="20"/>
          <w:lang w:val="en-US" w:bidi="ta-IN"/>
          <w14:ligatures w14:val="standardContextual"/>
        </w:rPr>
        <w:t>Henry Garrett Ranking Technique</w:t>
      </w:r>
      <w:r w:rsidRPr="003554D8">
        <w:rPr>
          <w:rFonts w:ascii="Arial" w:eastAsiaTheme="minorHAnsi" w:hAnsi="Arial" w:cs="Arial"/>
          <w:b/>
          <w:bCs/>
          <w:sz w:val="20"/>
          <w:szCs w:val="20"/>
          <w:lang w:val="en-US" w:bidi="ta-IN"/>
          <w14:ligatures w14:val="standardContextual"/>
        </w:rPr>
        <w:t>:</w:t>
      </w:r>
      <w:r w:rsidRPr="003554D8">
        <w:rPr>
          <w:rFonts w:ascii="Arial" w:eastAsiaTheme="minorHAnsi" w:hAnsi="Arial" w:cs="Arial"/>
          <w:sz w:val="20"/>
          <w:szCs w:val="20"/>
          <w:lang w:val="en-US" w:bidi="ta-IN"/>
          <w14:ligatures w14:val="standardContextual"/>
        </w:rPr>
        <w:t xml:space="preserve"> </w:t>
      </w:r>
      <w:r w:rsidR="00917B53" w:rsidRPr="003554D8">
        <w:rPr>
          <w:rFonts w:ascii="Arial" w:eastAsiaTheme="minorHAnsi" w:hAnsi="Arial" w:cs="Arial"/>
          <w:sz w:val="20"/>
          <w:szCs w:val="20"/>
          <w:lang w:val="en-US" w:bidi="ta-IN"/>
          <w14:ligatures w14:val="standardContextual"/>
        </w:rPr>
        <w:t>The Henry Garrett Ranking Technique was used to prioritize constraints and recommendations affecting FPO viability</w:t>
      </w:r>
      <w:r w:rsidR="005E686C">
        <w:rPr>
          <w:rFonts w:ascii="Arial" w:eastAsiaTheme="minorHAnsi" w:hAnsi="Arial" w:cs="Arial"/>
          <w:sz w:val="20"/>
          <w:szCs w:val="20"/>
          <w:lang w:val="en-US" w:bidi="ta-IN"/>
          <w14:ligatures w14:val="standardContextual"/>
        </w:rPr>
        <w:t xml:space="preserve"> [20]</w:t>
      </w:r>
      <w:r w:rsidR="00917B53" w:rsidRPr="003554D8">
        <w:rPr>
          <w:rFonts w:ascii="Arial" w:eastAsiaTheme="minorHAnsi" w:hAnsi="Arial" w:cs="Arial"/>
          <w:sz w:val="20"/>
          <w:szCs w:val="20"/>
          <w:lang w:val="en-US" w:bidi="ta-IN"/>
          <w14:ligatures w14:val="standardContextual"/>
        </w:rPr>
        <w:t>. FPO officials ranked challenges and suggested interventions in order of importance. Each rank was converted into a percentage position and corresponding Garrett score, and the mean scores were calculated to determine the final ranking. This approach provided a clear, systematic assessment of key obstacles and strategic actions for enhancing FPO performance.</w:t>
      </w:r>
    </w:p>
    <w:p w14:paraId="6B31816F" w14:textId="77777777" w:rsidR="00C31CE3" w:rsidRPr="003554D8" w:rsidRDefault="00C31CE3" w:rsidP="00C31CE3">
      <w:pPr>
        <w:spacing w:before="120" w:after="120" w:line="360" w:lineRule="auto"/>
        <w:jc w:val="both"/>
        <w:rPr>
          <w:rFonts w:ascii="Arial" w:eastAsiaTheme="minorEastAsia" w:hAnsi="Arial" w:cs="Arial"/>
          <w:sz w:val="26"/>
          <w:szCs w:val="26"/>
        </w:rPr>
      </w:pPr>
      <m:oMathPara>
        <m:oMath>
          <m:r>
            <w:rPr>
              <w:rFonts w:ascii="Cambria Math" w:hAnsi="Cambria Math" w:cs="Arial"/>
              <w:sz w:val="20"/>
              <w:szCs w:val="20"/>
            </w:rPr>
            <m:t xml:space="preserve">Per cent position= </m:t>
          </m:r>
          <m:f>
            <m:fPr>
              <m:ctrlPr>
                <w:rPr>
                  <w:rFonts w:ascii="Cambria Math" w:hAnsi="Cambria Math" w:cs="Arial"/>
                  <w:i/>
                  <w:sz w:val="20"/>
                  <w:szCs w:val="20"/>
                </w:rPr>
              </m:ctrlPr>
            </m:fPr>
            <m:num>
              <m:r>
                <w:rPr>
                  <w:rFonts w:ascii="Cambria Math" w:hAnsi="Cambria Math" w:cs="Arial"/>
                  <w:sz w:val="20"/>
                  <w:szCs w:val="20"/>
                </w:rPr>
                <m:t>100 (Rij-0.50)</m:t>
              </m:r>
            </m:num>
            <m:den>
              <m:r>
                <w:rPr>
                  <w:rFonts w:ascii="Cambria Math" w:hAnsi="Cambria Math" w:cs="Arial"/>
                  <w:sz w:val="20"/>
                  <w:szCs w:val="20"/>
                </w:rPr>
                <m:t>Nj</m:t>
              </m:r>
            </m:den>
          </m:f>
        </m:oMath>
      </m:oMathPara>
    </w:p>
    <w:p w14:paraId="6F354C98" w14:textId="77777777" w:rsidR="00C31CE3" w:rsidRPr="003554D8" w:rsidRDefault="00C31CE3" w:rsidP="00C31CE3">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sz w:val="20"/>
          <w:szCs w:val="20"/>
          <w:lang w:val="en-US" w:bidi="ta-IN"/>
          <w14:ligatures w14:val="standardContextual"/>
        </w:rPr>
        <w:t xml:space="preserve">Where, </w:t>
      </w:r>
    </w:p>
    <w:p w14:paraId="6AC8558F" w14:textId="77777777" w:rsidR="00C31CE3" w:rsidRPr="003554D8" w:rsidRDefault="00C31CE3" w:rsidP="00C31CE3">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sz w:val="20"/>
          <w:szCs w:val="20"/>
          <w:lang w:val="en-US" w:bidi="ta-IN"/>
          <w14:ligatures w14:val="standardContextual"/>
        </w:rPr>
        <w:tab/>
        <w:t xml:space="preserve">Rij = Rank given for the ith item by the jth individual </w:t>
      </w:r>
    </w:p>
    <w:p w14:paraId="4A8EEA73" w14:textId="22872FFC" w:rsidR="00C31CE3" w:rsidRPr="003554D8" w:rsidRDefault="00C31CE3" w:rsidP="00C31CE3">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sz w:val="20"/>
          <w:szCs w:val="20"/>
          <w:lang w:val="en-US" w:bidi="ta-IN"/>
          <w14:ligatures w14:val="standardContextual"/>
        </w:rPr>
        <w:tab/>
        <w:t>Nj = Number of items ranked by the jth individual</w:t>
      </w:r>
    </w:p>
    <w:p w14:paraId="0D4AAF8B" w14:textId="77777777" w:rsidR="00C31CE3" w:rsidRPr="003554D8" w:rsidRDefault="00C31CE3" w:rsidP="00D220CF">
      <w:pPr>
        <w:spacing w:after="0" w:line="360" w:lineRule="auto"/>
        <w:jc w:val="both"/>
        <w:rPr>
          <w:rFonts w:ascii="Arial" w:eastAsiaTheme="minorHAnsi" w:hAnsi="Arial" w:cs="Arial"/>
          <w:sz w:val="20"/>
          <w:szCs w:val="20"/>
          <w:lang w:val="en-US" w:bidi="ta-IN"/>
          <w14:ligatures w14:val="standardContextual"/>
        </w:rPr>
      </w:pPr>
    </w:p>
    <w:p w14:paraId="1D466B1D" w14:textId="1B9DF99A" w:rsidR="00475ABA" w:rsidRPr="003554D8" w:rsidRDefault="00475ABA" w:rsidP="003277E2">
      <w:pPr>
        <w:pStyle w:val="ListParagraph"/>
        <w:numPr>
          <w:ilvl w:val="0"/>
          <w:numId w:val="4"/>
        </w:numPr>
        <w:spacing w:after="0" w:line="360" w:lineRule="auto"/>
        <w:jc w:val="both"/>
        <w:rPr>
          <w:rFonts w:ascii="Arial" w:eastAsiaTheme="minorHAnsi" w:hAnsi="Arial" w:cs="Arial"/>
          <w:b/>
          <w:bCs/>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Results and Discussion</w:t>
      </w:r>
    </w:p>
    <w:p w14:paraId="0581D083" w14:textId="339AAA93" w:rsidR="00C31CE3" w:rsidRPr="003554D8" w:rsidRDefault="003277E2" w:rsidP="00C31CE3">
      <w:pPr>
        <w:spacing w:after="0" w:line="360" w:lineRule="auto"/>
        <w:jc w:val="both"/>
        <w:rPr>
          <w:rFonts w:ascii="Arial" w:eastAsiaTheme="minorHAnsi" w:hAnsi="Arial" w:cs="Arial"/>
          <w:sz w:val="20"/>
          <w:szCs w:val="20"/>
          <w:lang w:val="en-US" w:bidi="ta-IN"/>
          <w14:ligatures w14:val="standardContextual"/>
        </w:rPr>
      </w:pPr>
      <w:bookmarkStart w:id="0" w:name="_Hlk154310111"/>
      <w:r w:rsidRPr="003554D8">
        <w:rPr>
          <w:rFonts w:ascii="Arial" w:eastAsiaTheme="minorHAnsi" w:hAnsi="Arial" w:cs="Arial"/>
          <w:b/>
          <w:bCs/>
          <w:sz w:val="20"/>
          <w:szCs w:val="20"/>
          <w:lang w:val="en-US" w:bidi="ta-IN"/>
          <w14:ligatures w14:val="standardContextual"/>
        </w:rPr>
        <w:t xml:space="preserve">3.1 </w:t>
      </w:r>
      <w:bookmarkEnd w:id="0"/>
      <w:commentRangeStart w:id="1"/>
      <w:r w:rsidR="00C31CE3" w:rsidRPr="003554D8">
        <w:rPr>
          <w:rFonts w:ascii="Arial" w:eastAsiaTheme="minorHAnsi" w:hAnsi="Arial" w:cs="Arial"/>
          <w:b/>
          <w:bCs/>
          <w:sz w:val="20"/>
          <w:szCs w:val="20"/>
          <w:lang w:val="en-US" w:bidi="ta-IN"/>
          <w14:ligatures w14:val="standardContextual"/>
        </w:rPr>
        <w:t>Overview of Sample FPOs</w:t>
      </w:r>
      <w:commentRangeEnd w:id="1"/>
      <w:r w:rsidR="009A3BAE" w:rsidRPr="003554D8">
        <w:rPr>
          <w:rStyle w:val="CommentReference"/>
          <w:rFonts w:ascii="Arial" w:eastAsiaTheme="minorHAnsi" w:hAnsi="Arial" w:cs="Arial"/>
          <w:b/>
          <w:bCs/>
          <w:sz w:val="20"/>
          <w:szCs w:val="20"/>
          <w:lang w:val="en-US" w:bidi="ta-IN"/>
          <w14:ligatures w14:val="standardContextual"/>
        </w:rPr>
        <w:commentReference w:id="1"/>
      </w:r>
      <w:r w:rsidR="00475ABA" w:rsidRPr="003554D8">
        <w:rPr>
          <w:rFonts w:ascii="Arial" w:eastAsiaTheme="minorHAnsi" w:hAnsi="Arial" w:cs="Arial"/>
          <w:b/>
          <w:bCs/>
          <w:sz w:val="20"/>
          <w:szCs w:val="20"/>
          <w:lang w:val="en-US" w:bidi="ta-IN"/>
          <w14:ligatures w14:val="standardContextual"/>
        </w:rPr>
        <w:t>:</w:t>
      </w:r>
      <w:bookmarkStart w:id="2" w:name="_Toc154403364"/>
      <w:bookmarkStart w:id="3" w:name="_Hlk158210775"/>
      <w:r w:rsidR="00C31CE3" w:rsidRPr="003554D8">
        <w:rPr>
          <w:rFonts w:ascii="Arial" w:eastAsiaTheme="minorHAnsi" w:hAnsi="Arial" w:cs="Arial"/>
          <w:b/>
          <w:bCs/>
          <w:sz w:val="20"/>
          <w:szCs w:val="20"/>
          <w:lang w:val="en-US" w:bidi="ta-IN"/>
          <w14:ligatures w14:val="standardContextual"/>
        </w:rPr>
        <w:t xml:space="preserve"> </w:t>
      </w:r>
      <w:bookmarkEnd w:id="2"/>
      <w:bookmarkEnd w:id="3"/>
      <w:r w:rsidR="00195759" w:rsidRPr="00195759">
        <w:rPr>
          <w:rFonts w:ascii="Arial" w:eastAsiaTheme="minorHAnsi" w:hAnsi="Arial" w:cs="Arial"/>
          <w:sz w:val="20"/>
          <w:szCs w:val="20"/>
          <w:lang w:val="en-US" w:bidi="ta-IN"/>
          <w14:ligatures w14:val="standardContextual"/>
        </w:rPr>
        <w:t>The research encompassed 30 FPOs from Tamil Nadu, representing both millet and oilseed commodity clusters</w:t>
      </w:r>
      <w:commentRangeStart w:id="4"/>
      <w:r w:rsidR="00195759" w:rsidRPr="00195759">
        <w:rPr>
          <w:rFonts w:ascii="Arial" w:eastAsiaTheme="minorHAnsi" w:hAnsi="Arial" w:cs="Arial"/>
          <w:sz w:val="20"/>
          <w:szCs w:val="20"/>
          <w:lang w:val="en-US" w:bidi="ta-IN"/>
          <w14:ligatures w14:val="standardContextual"/>
        </w:rPr>
        <w:t xml:space="preserve">. Of these, 15 FPOs were millet-focused and the remaining 15 were dedicated to oilseed cultivation. </w:t>
      </w:r>
      <w:commentRangeEnd w:id="4"/>
      <w:r w:rsidR="00042A38" w:rsidRPr="00195759">
        <w:rPr>
          <w:rStyle w:val="CommentReference"/>
          <w:rFonts w:ascii="Arial" w:eastAsiaTheme="minorHAnsi" w:hAnsi="Arial" w:cs="Arial"/>
          <w:sz w:val="20"/>
          <w:szCs w:val="20"/>
          <w:lang w:val="en-US" w:bidi="ta-IN"/>
          <w14:ligatures w14:val="standardContextual"/>
        </w:rPr>
        <w:commentReference w:id="4"/>
      </w:r>
      <w:r w:rsidR="00195759" w:rsidRPr="00195759">
        <w:rPr>
          <w:rFonts w:ascii="Arial" w:eastAsiaTheme="minorHAnsi" w:hAnsi="Arial" w:cs="Arial"/>
          <w:sz w:val="20"/>
          <w:szCs w:val="20"/>
          <w:lang w:val="en-US" w:bidi="ta-IN"/>
          <w14:ligatures w14:val="standardContextual"/>
        </w:rPr>
        <w:t>The promoting agencies included TNSFAC (17 FPOs), NABARD (9 FPOs), NAFED (3 FPOs), and SFAC (1 FPO). Institutional and financial support extended through these agencies to Resource Institutions (RIs) and Community-Based Organizations (CBOs) played a pivotal role in mobilizing farmers and facilitating FPO membership. With operational tenures spanning 2 to 7 years, the majority of FPOs remain in the formative stages of organizational development.</w:t>
      </w:r>
    </w:p>
    <w:p w14:paraId="326DA60B" w14:textId="25A6C804" w:rsidR="005C784E" w:rsidRPr="005C784E" w:rsidRDefault="00AC3F8B" w:rsidP="005C784E">
      <w:pPr>
        <w:spacing w:after="0" w:line="360" w:lineRule="auto"/>
        <w:jc w:val="both"/>
        <w:rPr>
          <w:rFonts w:ascii="Arial" w:eastAsiaTheme="minorHAnsi" w:hAnsi="Arial" w:cs="Arial"/>
          <w:sz w:val="20"/>
          <w:szCs w:val="20"/>
          <w:lang w:val="en-US" w:bidi="ta-IN"/>
          <w14:ligatures w14:val="standardContextual"/>
        </w:rPr>
      </w:pPr>
      <w:commentRangeStart w:id="5"/>
      <w:r w:rsidRPr="003554D8">
        <w:rPr>
          <w:rFonts w:ascii="Arial" w:eastAsiaTheme="minorHAnsi" w:hAnsi="Arial" w:cs="Arial"/>
          <w:b/>
          <w:bCs/>
          <w:sz w:val="20"/>
          <w:szCs w:val="20"/>
          <w:lang w:val="en-US" w:bidi="ta-IN"/>
          <w14:ligatures w14:val="standardContextual"/>
        </w:rPr>
        <w:t xml:space="preserve">3.2 </w:t>
      </w:r>
      <w:r w:rsidR="005C784E" w:rsidRPr="005C784E">
        <w:rPr>
          <w:rFonts w:ascii="Arial" w:eastAsiaTheme="minorHAnsi" w:hAnsi="Arial" w:cs="Arial"/>
          <w:b/>
          <w:bCs/>
          <w:sz w:val="20"/>
          <w:szCs w:val="20"/>
          <w:lang w:val="en-US" w:bidi="ta-IN"/>
          <w14:ligatures w14:val="standardContextual"/>
        </w:rPr>
        <w:t>Challenges faced by the FPO on capitalization</w:t>
      </w:r>
      <w:commentRangeEnd w:id="5"/>
      <w:r w:rsidR="003528E6" w:rsidRPr="003554D8">
        <w:rPr>
          <w:rStyle w:val="CommentReference"/>
          <w:rFonts w:ascii="Arial" w:eastAsiaTheme="minorHAnsi" w:hAnsi="Arial" w:cs="Arial"/>
          <w:b/>
          <w:bCs/>
          <w:sz w:val="20"/>
          <w:szCs w:val="20"/>
          <w:lang w:val="en-US" w:bidi="ta-IN"/>
          <w14:ligatures w14:val="standardContextual"/>
        </w:rPr>
        <w:commentReference w:id="5"/>
      </w:r>
      <w:r w:rsidR="00475ABA" w:rsidRPr="003554D8">
        <w:rPr>
          <w:rFonts w:ascii="Arial" w:eastAsiaTheme="minorHAnsi" w:hAnsi="Arial" w:cs="Arial"/>
          <w:b/>
          <w:bCs/>
          <w:sz w:val="20"/>
          <w:szCs w:val="20"/>
          <w:lang w:val="en-US" w:bidi="ta-IN"/>
          <w14:ligatures w14:val="standardContextual"/>
        </w:rPr>
        <w:t>:</w:t>
      </w:r>
      <w:r w:rsidR="009F6CC9">
        <w:rPr>
          <w:rFonts w:ascii="Arial" w:eastAsiaTheme="minorHAnsi" w:hAnsi="Arial" w:cs="Arial"/>
          <w:sz w:val="20"/>
          <w:szCs w:val="20"/>
          <w:lang w:val="en-US" w:bidi="ta-IN"/>
          <w14:ligatures w14:val="standardContextual"/>
        </w:rPr>
        <w:t xml:space="preserve"> </w:t>
      </w:r>
      <w:r w:rsidR="005C784E" w:rsidRPr="005C784E">
        <w:rPr>
          <w:rFonts w:ascii="Arial" w:eastAsiaTheme="minorHAnsi" w:hAnsi="Arial" w:cs="Arial"/>
          <w:sz w:val="20"/>
          <w:szCs w:val="20"/>
          <w:lang w:val="en-US" w:bidi="ta-IN"/>
          <w14:ligatures w14:val="standardContextual"/>
        </w:rPr>
        <w:t>Capitalization remains a critical challenge for Farmer Producer Organizations (FPOs), and addressing these financial bottlenecks is essential for ensuring sustained growth and operational effectiveness</w:t>
      </w:r>
      <w:r w:rsidR="002763B2">
        <w:rPr>
          <w:rFonts w:ascii="Arial" w:eastAsiaTheme="minorHAnsi" w:hAnsi="Arial" w:cs="Arial"/>
          <w:sz w:val="20"/>
          <w:szCs w:val="20"/>
          <w:lang w:val="en-US" w:bidi="ta-IN"/>
          <w14:ligatures w14:val="standardContextual"/>
        </w:rPr>
        <w:t xml:space="preserve"> [21]</w:t>
      </w:r>
      <w:r w:rsidR="005C784E" w:rsidRPr="005C784E">
        <w:rPr>
          <w:rFonts w:ascii="Arial" w:eastAsiaTheme="minorHAnsi" w:hAnsi="Arial" w:cs="Arial"/>
          <w:sz w:val="20"/>
          <w:szCs w:val="20"/>
          <w:lang w:val="en-US" w:bidi="ta-IN"/>
          <w14:ligatures w14:val="standardContextual"/>
        </w:rPr>
        <w:t xml:space="preserve">. Among the most pressing issues, as reflected by Garrett scores, are delays in government grant disbursement (67.30), complex and cumbersome grant </w:t>
      </w:r>
      <w:r w:rsidR="005C784E" w:rsidRPr="005C784E">
        <w:rPr>
          <w:rFonts w:ascii="Arial" w:eastAsiaTheme="minorHAnsi" w:hAnsi="Arial" w:cs="Arial"/>
          <w:sz w:val="20"/>
          <w:szCs w:val="20"/>
          <w:lang w:val="en-US" w:bidi="ta-IN"/>
          <w14:ligatures w14:val="standardContextual"/>
        </w:rPr>
        <w:lastRenderedPageBreak/>
        <w:t>application procedures (62.50), limited availability of funding sources (58.50), insufficient cash flow (49.60), and restricted initial capital (40.70).</w:t>
      </w:r>
    </w:p>
    <w:p w14:paraId="3387B7BB" w14:textId="77777777" w:rsidR="005C784E" w:rsidRPr="005C784E" w:rsidRDefault="005C784E" w:rsidP="005C784E">
      <w:pPr>
        <w:spacing w:after="0" w:line="360" w:lineRule="auto"/>
        <w:jc w:val="both"/>
        <w:rPr>
          <w:rFonts w:ascii="Arial" w:eastAsiaTheme="minorHAnsi" w:hAnsi="Arial" w:cs="Arial"/>
          <w:sz w:val="20"/>
          <w:szCs w:val="20"/>
          <w:lang w:val="en-US" w:bidi="ta-IN"/>
          <w14:ligatures w14:val="standardContextual"/>
        </w:rPr>
      </w:pPr>
    </w:p>
    <w:p w14:paraId="242EF7CB" w14:textId="48511DD4" w:rsidR="006467C1" w:rsidRPr="006467C1" w:rsidRDefault="006467C1" w:rsidP="006467C1">
      <w:pPr>
        <w:spacing w:after="0" w:line="360" w:lineRule="auto"/>
        <w:jc w:val="center"/>
        <w:rPr>
          <w:rFonts w:ascii="Arial" w:eastAsiaTheme="minorHAnsi" w:hAnsi="Arial" w:cs="Arial"/>
          <w:b/>
          <w:bCs/>
          <w:sz w:val="20"/>
          <w:szCs w:val="20"/>
          <w:lang w:val="en-US" w:bidi="ta-IN"/>
          <w14:ligatures w14:val="standardContextual"/>
        </w:rPr>
      </w:pPr>
      <w:r w:rsidRPr="006467C1">
        <w:rPr>
          <w:rFonts w:ascii="Arial" w:eastAsiaTheme="minorHAnsi" w:hAnsi="Arial" w:cs="Arial"/>
          <w:b/>
          <w:bCs/>
          <w:sz w:val="20"/>
          <w:szCs w:val="20"/>
          <w:lang w:val="en-US" w:bidi="ta-IN"/>
          <w14:ligatures w14:val="standardContextual"/>
        </w:rPr>
        <w:t>Table 2. Challenges faced by the FPO on capitalization</w:t>
      </w:r>
    </w:p>
    <w:tbl>
      <w:tblPr>
        <w:tblW w:w="5000" w:type="pct"/>
        <w:tblLook w:val="04A0" w:firstRow="1" w:lastRow="0" w:firstColumn="1" w:lastColumn="0" w:noHBand="0" w:noVBand="1"/>
      </w:tblPr>
      <w:tblGrid>
        <w:gridCol w:w="836"/>
        <w:gridCol w:w="5932"/>
        <w:gridCol w:w="1724"/>
        <w:gridCol w:w="858"/>
      </w:tblGrid>
      <w:tr w:rsidR="006467C1" w:rsidRPr="006467C1" w14:paraId="51B88104" w14:textId="77777777" w:rsidTr="001C09C7">
        <w:trPr>
          <w:trHeight w:val="330"/>
        </w:trPr>
        <w:tc>
          <w:tcPr>
            <w:tcW w:w="447" w:type="pct"/>
            <w:tcBorders>
              <w:top w:val="single" w:sz="4" w:space="0" w:color="auto"/>
              <w:left w:val="single" w:sz="4" w:space="0" w:color="auto"/>
              <w:bottom w:val="single" w:sz="4" w:space="0" w:color="auto"/>
              <w:right w:val="single" w:sz="4" w:space="0" w:color="auto"/>
            </w:tcBorders>
            <w:noWrap/>
            <w:vAlign w:val="center"/>
            <w:hideMark/>
          </w:tcPr>
          <w:p w14:paraId="454A0CD9" w14:textId="77777777" w:rsidR="006467C1" w:rsidRPr="006467C1" w:rsidRDefault="006467C1" w:rsidP="006467C1">
            <w:pPr>
              <w:spacing w:after="0" w:line="360" w:lineRule="auto"/>
              <w:jc w:val="both"/>
              <w:rPr>
                <w:rFonts w:ascii="Arial" w:eastAsiaTheme="minorHAnsi" w:hAnsi="Arial" w:cs="Arial"/>
                <w:b/>
                <w:bCs/>
                <w:sz w:val="20"/>
                <w:szCs w:val="20"/>
                <w:lang w:val="en-US" w:bidi="ta-IN"/>
                <w14:ligatures w14:val="standardContextual"/>
              </w:rPr>
            </w:pPr>
            <w:r w:rsidRPr="006467C1">
              <w:rPr>
                <w:rFonts w:ascii="Arial" w:eastAsiaTheme="minorHAnsi" w:hAnsi="Arial" w:cs="Arial"/>
                <w:b/>
                <w:bCs/>
                <w:sz w:val="20"/>
                <w:szCs w:val="20"/>
                <w:lang w:val="en-US" w:bidi="ta-IN"/>
                <w14:ligatures w14:val="standardContextual"/>
              </w:rPr>
              <w:t>S. No</w:t>
            </w:r>
          </w:p>
        </w:tc>
        <w:tc>
          <w:tcPr>
            <w:tcW w:w="3172" w:type="pct"/>
            <w:tcBorders>
              <w:top w:val="single" w:sz="4" w:space="0" w:color="auto"/>
              <w:left w:val="nil"/>
              <w:bottom w:val="single" w:sz="4" w:space="0" w:color="auto"/>
              <w:right w:val="single" w:sz="4" w:space="0" w:color="auto"/>
            </w:tcBorders>
            <w:noWrap/>
            <w:vAlign w:val="center"/>
            <w:hideMark/>
          </w:tcPr>
          <w:p w14:paraId="44DBCC6E" w14:textId="77777777" w:rsidR="006467C1" w:rsidRPr="006467C1" w:rsidRDefault="006467C1" w:rsidP="006467C1">
            <w:pPr>
              <w:spacing w:after="0" w:line="360" w:lineRule="auto"/>
              <w:jc w:val="both"/>
              <w:rPr>
                <w:rFonts w:ascii="Arial" w:eastAsiaTheme="minorHAnsi" w:hAnsi="Arial" w:cs="Arial"/>
                <w:b/>
                <w:bCs/>
                <w:sz w:val="20"/>
                <w:szCs w:val="20"/>
                <w:lang w:val="en-US" w:bidi="ta-IN"/>
                <w14:ligatures w14:val="standardContextual"/>
              </w:rPr>
            </w:pPr>
            <w:r w:rsidRPr="006467C1">
              <w:rPr>
                <w:rFonts w:ascii="Arial" w:eastAsiaTheme="minorHAnsi" w:hAnsi="Arial" w:cs="Arial"/>
                <w:b/>
                <w:bCs/>
                <w:sz w:val="20"/>
                <w:szCs w:val="20"/>
                <w:lang w:val="en-US" w:bidi="ta-IN"/>
                <w14:ligatures w14:val="standardContextual"/>
              </w:rPr>
              <w:t>Particulars</w:t>
            </w:r>
          </w:p>
        </w:tc>
        <w:tc>
          <w:tcPr>
            <w:tcW w:w="922" w:type="pct"/>
            <w:tcBorders>
              <w:top w:val="single" w:sz="4" w:space="0" w:color="auto"/>
              <w:left w:val="nil"/>
              <w:bottom w:val="single" w:sz="4" w:space="0" w:color="auto"/>
              <w:right w:val="single" w:sz="4" w:space="0" w:color="auto"/>
            </w:tcBorders>
            <w:noWrap/>
            <w:vAlign w:val="center"/>
            <w:hideMark/>
          </w:tcPr>
          <w:p w14:paraId="3F3E6B82" w14:textId="77777777" w:rsidR="006467C1" w:rsidRPr="006467C1" w:rsidRDefault="006467C1" w:rsidP="006467C1">
            <w:pPr>
              <w:spacing w:after="0" w:line="360" w:lineRule="auto"/>
              <w:jc w:val="both"/>
              <w:rPr>
                <w:rFonts w:ascii="Arial" w:eastAsiaTheme="minorHAnsi" w:hAnsi="Arial" w:cs="Arial"/>
                <w:b/>
                <w:bCs/>
                <w:sz w:val="20"/>
                <w:szCs w:val="20"/>
                <w:lang w:val="en-US" w:bidi="ta-IN"/>
                <w14:ligatures w14:val="standardContextual"/>
              </w:rPr>
            </w:pPr>
            <w:r w:rsidRPr="006467C1">
              <w:rPr>
                <w:rFonts w:ascii="Arial" w:eastAsiaTheme="minorHAnsi" w:hAnsi="Arial" w:cs="Arial"/>
                <w:b/>
                <w:bCs/>
                <w:sz w:val="20"/>
                <w:szCs w:val="20"/>
                <w:lang w:val="en-US" w:bidi="ta-IN"/>
                <w14:ligatures w14:val="standardContextual"/>
              </w:rPr>
              <w:t>Mean score</w:t>
            </w:r>
          </w:p>
        </w:tc>
        <w:tc>
          <w:tcPr>
            <w:tcW w:w="459" w:type="pct"/>
            <w:tcBorders>
              <w:top w:val="single" w:sz="4" w:space="0" w:color="auto"/>
              <w:left w:val="nil"/>
              <w:bottom w:val="single" w:sz="4" w:space="0" w:color="auto"/>
              <w:right w:val="single" w:sz="4" w:space="0" w:color="auto"/>
            </w:tcBorders>
            <w:noWrap/>
            <w:vAlign w:val="center"/>
            <w:hideMark/>
          </w:tcPr>
          <w:p w14:paraId="58AF2202" w14:textId="77777777" w:rsidR="006467C1" w:rsidRPr="006467C1" w:rsidRDefault="006467C1" w:rsidP="006467C1">
            <w:pPr>
              <w:spacing w:after="0" w:line="360" w:lineRule="auto"/>
              <w:jc w:val="both"/>
              <w:rPr>
                <w:rFonts w:ascii="Arial" w:eastAsiaTheme="minorHAnsi" w:hAnsi="Arial" w:cs="Arial"/>
                <w:b/>
                <w:bCs/>
                <w:sz w:val="20"/>
                <w:szCs w:val="20"/>
                <w:lang w:val="en-US" w:bidi="ta-IN"/>
                <w14:ligatures w14:val="standardContextual"/>
              </w:rPr>
            </w:pPr>
            <w:r w:rsidRPr="006467C1">
              <w:rPr>
                <w:rFonts w:ascii="Arial" w:eastAsiaTheme="minorHAnsi" w:hAnsi="Arial" w:cs="Arial"/>
                <w:b/>
                <w:bCs/>
                <w:sz w:val="20"/>
                <w:szCs w:val="20"/>
                <w:lang w:val="en-US" w:bidi="ta-IN"/>
                <w14:ligatures w14:val="standardContextual"/>
              </w:rPr>
              <w:t>Rank</w:t>
            </w:r>
          </w:p>
        </w:tc>
      </w:tr>
      <w:tr w:rsidR="006467C1" w:rsidRPr="006467C1" w14:paraId="698908AE" w14:textId="77777777" w:rsidTr="001C09C7">
        <w:trPr>
          <w:trHeight w:val="233"/>
        </w:trPr>
        <w:tc>
          <w:tcPr>
            <w:tcW w:w="447" w:type="pct"/>
            <w:tcBorders>
              <w:top w:val="nil"/>
              <w:left w:val="single" w:sz="4" w:space="0" w:color="auto"/>
              <w:bottom w:val="single" w:sz="4" w:space="0" w:color="auto"/>
              <w:right w:val="single" w:sz="4" w:space="0" w:color="auto"/>
            </w:tcBorders>
            <w:noWrap/>
            <w:vAlign w:val="center"/>
            <w:hideMark/>
          </w:tcPr>
          <w:p w14:paraId="2E3A4B93"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1</w:t>
            </w:r>
          </w:p>
        </w:tc>
        <w:tc>
          <w:tcPr>
            <w:tcW w:w="3172" w:type="pct"/>
            <w:tcBorders>
              <w:top w:val="nil"/>
              <w:left w:val="nil"/>
              <w:bottom w:val="single" w:sz="4" w:space="0" w:color="auto"/>
              <w:right w:val="single" w:sz="4" w:space="0" w:color="auto"/>
            </w:tcBorders>
            <w:noWrap/>
            <w:vAlign w:val="bottom"/>
            <w:hideMark/>
          </w:tcPr>
          <w:p w14:paraId="0D720712"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Grants provided by the government are untimely</w:t>
            </w:r>
          </w:p>
        </w:tc>
        <w:tc>
          <w:tcPr>
            <w:tcW w:w="922" w:type="pct"/>
            <w:tcBorders>
              <w:top w:val="nil"/>
              <w:left w:val="nil"/>
              <w:bottom w:val="single" w:sz="4" w:space="0" w:color="auto"/>
              <w:right w:val="single" w:sz="4" w:space="0" w:color="auto"/>
            </w:tcBorders>
            <w:noWrap/>
            <w:vAlign w:val="center"/>
            <w:hideMark/>
          </w:tcPr>
          <w:p w14:paraId="6A85E7A6"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67.30</w:t>
            </w:r>
          </w:p>
        </w:tc>
        <w:tc>
          <w:tcPr>
            <w:tcW w:w="459" w:type="pct"/>
            <w:tcBorders>
              <w:top w:val="nil"/>
              <w:left w:val="nil"/>
              <w:bottom w:val="single" w:sz="4" w:space="0" w:color="auto"/>
              <w:right w:val="single" w:sz="4" w:space="0" w:color="auto"/>
            </w:tcBorders>
            <w:noWrap/>
            <w:vAlign w:val="center"/>
            <w:hideMark/>
          </w:tcPr>
          <w:p w14:paraId="2E14A84B"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commentRangeStart w:id="6"/>
            <w:r w:rsidRPr="006467C1">
              <w:rPr>
                <w:rFonts w:ascii="Arial" w:eastAsiaTheme="minorHAnsi" w:hAnsi="Arial" w:cs="Arial"/>
                <w:sz w:val="20"/>
                <w:szCs w:val="20"/>
                <w:lang w:val="en-US" w:bidi="ta-IN"/>
                <w14:ligatures w14:val="standardContextual"/>
              </w:rPr>
              <w:t>1</w:t>
            </w:r>
            <w:commentRangeEnd w:id="6"/>
            <w:r w:rsidR="00751E5E" w:rsidRPr="006467C1">
              <w:rPr>
                <w:rStyle w:val="CommentReference"/>
                <w:rFonts w:ascii="Arial" w:eastAsiaTheme="minorHAnsi" w:hAnsi="Arial" w:cs="Arial"/>
                <w:sz w:val="20"/>
                <w:szCs w:val="20"/>
                <w:lang w:val="en-US" w:bidi="ta-IN"/>
                <w14:ligatures w14:val="standardContextual"/>
              </w:rPr>
              <w:commentReference w:id="6"/>
            </w:r>
          </w:p>
        </w:tc>
      </w:tr>
      <w:tr w:rsidR="006467C1" w:rsidRPr="006467C1" w14:paraId="6BA5BF58" w14:textId="77777777" w:rsidTr="001C09C7">
        <w:trPr>
          <w:trHeight w:val="330"/>
        </w:trPr>
        <w:tc>
          <w:tcPr>
            <w:tcW w:w="447" w:type="pct"/>
            <w:tcBorders>
              <w:top w:val="nil"/>
              <w:left w:val="single" w:sz="4" w:space="0" w:color="auto"/>
              <w:bottom w:val="single" w:sz="4" w:space="0" w:color="auto"/>
              <w:right w:val="single" w:sz="4" w:space="0" w:color="auto"/>
            </w:tcBorders>
            <w:noWrap/>
            <w:vAlign w:val="center"/>
            <w:hideMark/>
          </w:tcPr>
          <w:p w14:paraId="491EE755"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2</w:t>
            </w:r>
          </w:p>
        </w:tc>
        <w:tc>
          <w:tcPr>
            <w:tcW w:w="3172" w:type="pct"/>
            <w:tcBorders>
              <w:top w:val="nil"/>
              <w:left w:val="nil"/>
              <w:bottom w:val="single" w:sz="4" w:space="0" w:color="auto"/>
              <w:right w:val="single" w:sz="4" w:space="0" w:color="auto"/>
            </w:tcBorders>
            <w:noWrap/>
            <w:vAlign w:val="bottom"/>
            <w:hideMark/>
          </w:tcPr>
          <w:p w14:paraId="419D85D7"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Complex grant application processes</w:t>
            </w:r>
          </w:p>
        </w:tc>
        <w:tc>
          <w:tcPr>
            <w:tcW w:w="922" w:type="pct"/>
            <w:tcBorders>
              <w:top w:val="nil"/>
              <w:left w:val="nil"/>
              <w:bottom w:val="single" w:sz="4" w:space="0" w:color="auto"/>
              <w:right w:val="single" w:sz="4" w:space="0" w:color="auto"/>
            </w:tcBorders>
            <w:noWrap/>
            <w:vAlign w:val="center"/>
            <w:hideMark/>
          </w:tcPr>
          <w:p w14:paraId="53245A67"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62.50</w:t>
            </w:r>
          </w:p>
        </w:tc>
        <w:tc>
          <w:tcPr>
            <w:tcW w:w="459" w:type="pct"/>
            <w:tcBorders>
              <w:top w:val="nil"/>
              <w:left w:val="nil"/>
              <w:bottom w:val="single" w:sz="4" w:space="0" w:color="auto"/>
              <w:right w:val="single" w:sz="4" w:space="0" w:color="auto"/>
            </w:tcBorders>
            <w:noWrap/>
            <w:vAlign w:val="center"/>
            <w:hideMark/>
          </w:tcPr>
          <w:p w14:paraId="34ACFE54"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2</w:t>
            </w:r>
          </w:p>
        </w:tc>
      </w:tr>
      <w:tr w:rsidR="006467C1" w:rsidRPr="006467C1" w14:paraId="3B12986E" w14:textId="77777777" w:rsidTr="001C09C7">
        <w:trPr>
          <w:trHeight w:val="330"/>
        </w:trPr>
        <w:tc>
          <w:tcPr>
            <w:tcW w:w="447" w:type="pct"/>
            <w:tcBorders>
              <w:top w:val="nil"/>
              <w:left w:val="single" w:sz="4" w:space="0" w:color="auto"/>
              <w:bottom w:val="single" w:sz="4" w:space="0" w:color="auto"/>
              <w:right w:val="single" w:sz="4" w:space="0" w:color="auto"/>
            </w:tcBorders>
            <w:noWrap/>
            <w:vAlign w:val="center"/>
            <w:hideMark/>
          </w:tcPr>
          <w:p w14:paraId="50AA8336"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3</w:t>
            </w:r>
          </w:p>
        </w:tc>
        <w:tc>
          <w:tcPr>
            <w:tcW w:w="3172" w:type="pct"/>
            <w:tcBorders>
              <w:top w:val="nil"/>
              <w:left w:val="nil"/>
              <w:bottom w:val="single" w:sz="4" w:space="0" w:color="auto"/>
              <w:right w:val="single" w:sz="4" w:space="0" w:color="auto"/>
            </w:tcBorders>
            <w:noWrap/>
            <w:vAlign w:val="bottom"/>
            <w:hideMark/>
          </w:tcPr>
          <w:p w14:paraId="38788C5A"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Scarce sources of funding</w:t>
            </w:r>
          </w:p>
        </w:tc>
        <w:tc>
          <w:tcPr>
            <w:tcW w:w="922" w:type="pct"/>
            <w:tcBorders>
              <w:top w:val="nil"/>
              <w:left w:val="nil"/>
              <w:bottom w:val="single" w:sz="4" w:space="0" w:color="auto"/>
              <w:right w:val="single" w:sz="4" w:space="0" w:color="auto"/>
            </w:tcBorders>
            <w:noWrap/>
            <w:vAlign w:val="center"/>
            <w:hideMark/>
          </w:tcPr>
          <w:p w14:paraId="03AD3B74"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58.50</w:t>
            </w:r>
          </w:p>
        </w:tc>
        <w:tc>
          <w:tcPr>
            <w:tcW w:w="459" w:type="pct"/>
            <w:tcBorders>
              <w:top w:val="nil"/>
              <w:left w:val="nil"/>
              <w:bottom w:val="single" w:sz="4" w:space="0" w:color="auto"/>
              <w:right w:val="single" w:sz="4" w:space="0" w:color="auto"/>
            </w:tcBorders>
            <w:noWrap/>
            <w:vAlign w:val="center"/>
            <w:hideMark/>
          </w:tcPr>
          <w:p w14:paraId="27CE940E"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3</w:t>
            </w:r>
          </w:p>
        </w:tc>
      </w:tr>
      <w:tr w:rsidR="006467C1" w:rsidRPr="006467C1" w14:paraId="3386FB7F" w14:textId="77777777" w:rsidTr="001C09C7">
        <w:trPr>
          <w:trHeight w:val="330"/>
        </w:trPr>
        <w:tc>
          <w:tcPr>
            <w:tcW w:w="447" w:type="pct"/>
            <w:tcBorders>
              <w:top w:val="nil"/>
              <w:left w:val="single" w:sz="4" w:space="0" w:color="auto"/>
              <w:bottom w:val="single" w:sz="4" w:space="0" w:color="auto"/>
              <w:right w:val="single" w:sz="4" w:space="0" w:color="auto"/>
            </w:tcBorders>
            <w:noWrap/>
            <w:vAlign w:val="center"/>
            <w:hideMark/>
          </w:tcPr>
          <w:p w14:paraId="536E8867"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4</w:t>
            </w:r>
          </w:p>
        </w:tc>
        <w:tc>
          <w:tcPr>
            <w:tcW w:w="3172" w:type="pct"/>
            <w:tcBorders>
              <w:top w:val="nil"/>
              <w:left w:val="nil"/>
              <w:bottom w:val="single" w:sz="4" w:space="0" w:color="auto"/>
              <w:right w:val="single" w:sz="4" w:space="0" w:color="auto"/>
            </w:tcBorders>
            <w:noWrap/>
            <w:vAlign w:val="bottom"/>
            <w:hideMark/>
          </w:tcPr>
          <w:p w14:paraId="5273CC75"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Inadequate cash flow</w:t>
            </w:r>
          </w:p>
        </w:tc>
        <w:tc>
          <w:tcPr>
            <w:tcW w:w="922" w:type="pct"/>
            <w:tcBorders>
              <w:top w:val="nil"/>
              <w:left w:val="nil"/>
              <w:bottom w:val="single" w:sz="4" w:space="0" w:color="auto"/>
              <w:right w:val="single" w:sz="4" w:space="0" w:color="auto"/>
            </w:tcBorders>
            <w:noWrap/>
            <w:vAlign w:val="center"/>
            <w:hideMark/>
          </w:tcPr>
          <w:p w14:paraId="3F7773B4"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49.60</w:t>
            </w:r>
          </w:p>
        </w:tc>
        <w:tc>
          <w:tcPr>
            <w:tcW w:w="459" w:type="pct"/>
            <w:tcBorders>
              <w:top w:val="nil"/>
              <w:left w:val="nil"/>
              <w:bottom w:val="single" w:sz="4" w:space="0" w:color="auto"/>
              <w:right w:val="single" w:sz="4" w:space="0" w:color="auto"/>
            </w:tcBorders>
            <w:noWrap/>
            <w:vAlign w:val="center"/>
            <w:hideMark/>
          </w:tcPr>
          <w:p w14:paraId="649E9A01"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4</w:t>
            </w:r>
          </w:p>
        </w:tc>
      </w:tr>
      <w:tr w:rsidR="006467C1" w:rsidRPr="006467C1" w14:paraId="1008C79F" w14:textId="77777777" w:rsidTr="001C09C7">
        <w:trPr>
          <w:trHeight w:val="330"/>
        </w:trPr>
        <w:tc>
          <w:tcPr>
            <w:tcW w:w="447" w:type="pct"/>
            <w:tcBorders>
              <w:top w:val="nil"/>
              <w:left w:val="single" w:sz="4" w:space="0" w:color="auto"/>
              <w:bottom w:val="single" w:sz="4" w:space="0" w:color="auto"/>
              <w:right w:val="single" w:sz="4" w:space="0" w:color="auto"/>
            </w:tcBorders>
            <w:noWrap/>
            <w:vAlign w:val="center"/>
            <w:hideMark/>
          </w:tcPr>
          <w:p w14:paraId="5C6AF686"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5</w:t>
            </w:r>
          </w:p>
        </w:tc>
        <w:tc>
          <w:tcPr>
            <w:tcW w:w="3172" w:type="pct"/>
            <w:tcBorders>
              <w:top w:val="nil"/>
              <w:left w:val="nil"/>
              <w:bottom w:val="single" w:sz="4" w:space="0" w:color="auto"/>
              <w:right w:val="single" w:sz="4" w:space="0" w:color="auto"/>
            </w:tcBorders>
            <w:noWrap/>
            <w:vAlign w:val="bottom"/>
            <w:hideMark/>
          </w:tcPr>
          <w:p w14:paraId="0E806626"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Limited initial capital</w:t>
            </w:r>
          </w:p>
        </w:tc>
        <w:tc>
          <w:tcPr>
            <w:tcW w:w="922" w:type="pct"/>
            <w:tcBorders>
              <w:top w:val="nil"/>
              <w:left w:val="nil"/>
              <w:bottom w:val="single" w:sz="4" w:space="0" w:color="auto"/>
              <w:right w:val="single" w:sz="4" w:space="0" w:color="auto"/>
            </w:tcBorders>
            <w:noWrap/>
            <w:vAlign w:val="center"/>
            <w:hideMark/>
          </w:tcPr>
          <w:p w14:paraId="6EDB6FC2"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40.70</w:t>
            </w:r>
          </w:p>
        </w:tc>
        <w:tc>
          <w:tcPr>
            <w:tcW w:w="459" w:type="pct"/>
            <w:tcBorders>
              <w:top w:val="nil"/>
              <w:left w:val="nil"/>
              <w:bottom w:val="single" w:sz="4" w:space="0" w:color="auto"/>
              <w:right w:val="single" w:sz="4" w:space="0" w:color="auto"/>
            </w:tcBorders>
            <w:noWrap/>
            <w:vAlign w:val="center"/>
            <w:hideMark/>
          </w:tcPr>
          <w:p w14:paraId="735B48E7"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commentRangeStart w:id="7"/>
            <w:r w:rsidRPr="006467C1">
              <w:rPr>
                <w:rFonts w:ascii="Arial" w:eastAsiaTheme="minorHAnsi" w:hAnsi="Arial" w:cs="Arial"/>
                <w:sz w:val="20"/>
                <w:szCs w:val="20"/>
                <w:lang w:val="en-US" w:bidi="ta-IN"/>
                <w14:ligatures w14:val="standardContextual"/>
              </w:rPr>
              <w:t>5</w:t>
            </w:r>
            <w:commentRangeEnd w:id="7"/>
            <w:r w:rsidR="00751E5E" w:rsidRPr="006467C1">
              <w:rPr>
                <w:rStyle w:val="CommentReference"/>
                <w:rFonts w:ascii="Arial" w:eastAsiaTheme="minorHAnsi" w:hAnsi="Arial" w:cs="Arial"/>
                <w:sz w:val="20"/>
                <w:szCs w:val="20"/>
                <w:lang w:val="en-US" w:bidi="ta-IN"/>
                <w14:ligatures w14:val="standardContextual"/>
              </w:rPr>
              <w:commentReference w:id="7"/>
            </w:r>
          </w:p>
        </w:tc>
      </w:tr>
    </w:tbl>
    <w:p w14:paraId="511665B8" w14:textId="3305DD12" w:rsid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5C784E">
        <w:rPr>
          <w:rFonts w:ascii="Arial" w:eastAsiaTheme="minorHAnsi" w:hAnsi="Arial" w:cs="Arial"/>
          <w:sz w:val="20"/>
          <w:szCs w:val="20"/>
          <w:lang w:val="en-US" w:bidi="ta-IN"/>
          <w14:ligatures w14:val="standardContextual"/>
        </w:rPr>
        <w:t>To mitigate these constraints, it is imperative to streamline the grant disbursement process, simplify application requirements, and diversify funding channels. Additionally, strengthening financial management and exploring innovative avenues for initial capital</w:t>
      </w:r>
      <w:r>
        <w:rPr>
          <w:rFonts w:ascii="Arial" w:eastAsiaTheme="minorHAnsi" w:hAnsi="Arial" w:cs="Arial"/>
          <w:sz w:val="20"/>
          <w:szCs w:val="20"/>
          <w:lang w:val="en-US" w:bidi="ta-IN"/>
          <w14:ligatures w14:val="standardContextual"/>
        </w:rPr>
        <w:t xml:space="preserve"> </w:t>
      </w:r>
      <w:r w:rsidRPr="005C784E">
        <w:rPr>
          <w:rFonts w:ascii="Arial" w:eastAsiaTheme="minorHAnsi" w:hAnsi="Arial" w:cs="Arial"/>
          <w:sz w:val="20"/>
          <w:szCs w:val="20"/>
          <w:lang w:val="en-US" w:bidi="ta-IN"/>
          <w14:ligatures w14:val="standardContextual"/>
        </w:rPr>
        <w:t>such as seed funding schemes, strategic partnerships with financial institutions, and alliances with agribusiness stakeholders</w:t>
      </w:r>
      <w:r>
        <w:rPr>
          <w:rFonts w:ascii="Arial" w:eastAsiaTheme="minorHAnsi" w:hAnsi="Arial" w:cs="Arial"/>
          <w:sz w:val="20"/>
          <w:szCs w:val="20"/>
          <w:lang w:val="en-US" w:bidi="ta-IN"/>
          <w14:ligatures w14:val="standardContextual"/>
        </w:rPr>
        <w:t xml:space="preserve"> </w:t>
      </w:r>
      <w:r w:rsidRPr="005C784E">
        <w:rPr>
          <w:rFonts w:ascii="Arial" w:eastAsiaTheme="minorHAnsi" w:hAnsi="Arial" w:cs="Arial"/>
          <w:sz w:val="20"/>
          <w:szCs w:val="20"/>
          <w:lang w:val="en-US" w:bidi="ta-IN"/>
          <w14:ligatures w14:val="standardContextual"/>
        </w:rPr>
        <w:t>can substantially enhance the financial stability and resilience of FPOs</w:t>
      </w:r>
      <w:r w:rsidR="00921839">
        <w:rPr>
          <w:rFonts w:ascii="Arial" w:eastAsiaTheme="minorHAnsi" w:hAnsi="Arial" w:cs="Arial"/>
          <w:sz w:val="20"/>
          <w:szCs w:val="20"/>
          <w:lang w:val="en-US" w:bidi="ta-IN"/>
          <w14:ligatures w14:val="standardContextual"/>
        </w:rPr>
        <w:t xml:space="preserve"> [22]</w:t>
      </w:r>
      <w:r w:rsidRPr="005C784E">
        <w:rPr>
          <w:rFonts w:ascii="Arial" w:eastAsiaTheme="minorHAnsi" w:hAnsi="Arial" w:cs="Arial"/>
          <w:sz w:val="20"/>
          <w:szCs w:val="20"/>
          <w:lang w:val="en-US" w:bidi="ta-IN"/>
          <w14:ligatures w14:val="standardContextual"/>
        </w:rPr>
        <w:t>.</w:t>
      </w:r>
    </w:p>
    <w:p w14:paraId="1C0EECCB" w14:textId="4604A40A" w:rsidR="006467C1" w:rsidRDefault="006467C1" w:rsidP="005C784E">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3.</w:t>
      </w:r>
      <w:r>
        <w:rPr>
          <w:rFonts w:ascii="Arial" w:eastAsiaTheme="minorHAnsi" w:hAnsi="Arial" w:cs="Arial"/>
          <w:b/>
          <w:bCs/>
          <w:sz w:val="20"/>
          <w:szCs w:val="20"/>
          <w:lang w:val="en-US" w:bidi="ta-IN"/>
          <w14:ligatures w14:val="standardContextual"/>
        </w:rPr>
        <w:t xml:space="preserve">3 </w:t>
      </w:r>
      <w:r w:rsidRPr="006467C1">
        <w:rPr>
          <w:rFonts w:ascii="Arial" w:eastAsiaTheme="minorHAnsi" w:hAnsi="Arial" w:cs="Arial"/>
          <w:b/>
          <w:bCs/>
          <w:sz w:val="20"/>
          <w:szCs w:val="20"/>
          <w:lang w:val="en-US" w:bidi="ta-IN"/>
          <w14:ligatures w14:val="standardContextual"/>
        </w:rPr>
        <w:t>Challenges faced by the FPO on internal governance</w:t>
      </w:r>
      <w:r w:rsidRPr="003554D8">
        <w:rPr>
          <w:rFonts w:ascii="Arial" w:eastAsiaTheme="minorHAnsi" w:hAnsi="Arial" w:cs="Arial"/>
          <w:b/>
          <w:bCs/>
          <w:sz w:val="20"/>
          <w:szCs w:val="20"/>
          <w:lang w:val="en-US" w:bidi="ta-IN"/>
          <w14:ligatures w14:val="standardContextual"/>
        </w:rPr>
        <w:t>:</w:t>
      </w:r>
      <w:r>
        <w:rPr>
          <w:rFonts w:ascii="Arial" w:eastAsiaTheme="minorHAnsi" w:hAnsi="Arial" w:cs="Arial"/>
          <w:b/>
          <w:bCs/>
          <w:sz w:val="20"/>
          <w:szCs w:val="20"/>
          <w:lang w:val="en-US" w:bidi="ta-IN"/>
          <w14:ligatures w14:val="standardContextual"/>
        </w:rPr>
        <w:t xml:space="preserve"> </w:t>
      </w:r>
      <w:r w:rsidRPr="006467C1">
        <w:rPr>
          <w:rFonts w:ascii="Arial" w:eastAsiaTheme="minorHAnsi" w:hAnsi="Arial" w:cs="Arial"/>
          <w:sz w:val="20"/>
          <w:szCs w:val="20"/>
          <w:lang w:val="en-US" w:bidi="ta-IN"/>
          <w14:ligatures w14:val="standardContextual"/>
        </w:rPr>
        <w:t>Internal governance remains a critical dimension for the effective functioning and long-term growth of Farmer Producer Organizations (FPOs). The foremost challenge, as indicated by a Garrett mean score of 78.57, is the delay in obtaining licenses and permits, which impedes seamless operations. This is followed by frequent resignations or temporary appointments of the Chief Executive Officer (CEO), scoring 52.80, highlighting the instability in leadership. Other significant challenges include ineffective business planning (52.20), inadequate succession planning for leadership roles (45.87), and a communication gap between leadership and members (41.70). Additional issues involve limited training and capacity-building programs for the governing body (41.37) and suboptimal participation of farmers (40.50).</w:t>
      </w:r>
    </w:p>
    <w:p w14:paraId="33509E99" w14:textId="0F192607" w:rsidR="00446815" w:rsidRPr="00446815" w:rsidRDefault="00446815" w:rsidP="00446815">
      <w:pPr>
        <w:spacing w:after="0" w:line="360" w:lineRule="auto"/>
        <w:jc w:val="center"/>
        <w:rPr>
          <w:rFonts w:ascii="Arial" w:eastAsiaTheme="minorHAnsi" w:hAnsi="Arial" w:cs="Arial"/>
          <w:b/>
          <w:bCs/>
          <w:sz w:val="20"/>
          <w:szCs w:val="20"/>
          <w:lang w:val="en-US" w:bidi="ta-IN"/>
          <w14:ligatures w14:val="standardContextual"/>
        </w:rPr>
      </w:pPr>
      <w:r w:rsidRPr="006467C1">
        <w:rPr>
          <w:rFonts w:ascii="Arial" w:eastAsiaTheme="minorHAnsi" w:hAnsi="Arial" w:cs="Arial"/>
          <w:b/>
          <w:bCs/>
          <w:sz w:val="20"/>
          <w:szCs w:val="20"/>
          <w:lang w:val="en-US" w:bidi="ta-IN"/>
          <w14:ligatures w14:val="standardContextual"/>
        </w:rPr>
        <w:t xml:space="preserve">Table </w:t>
      </w:r>
      <w:r>
        <w:rPr>
          <w:rFonts w:ascii="Arial" w:eastAsiaTheme="minorHAnsi" w:hAnsi="Arial" w:cs="Arial"/>
          <w:b/>
          <w:bCs/>
          <w:sz w:val="20"/>
          <w:szCs w:val="20"/>
          <w:lang w:val="en-US" w:bidi="ta-IN"/>
          <w14:ligatures w14:val="standardContextual"/>
        </w:rPr>
        <w:t>3</w:t>
      </w:r>
      <w:r w:rsidRPr="006467C1">
        <w:rPr>
          <w:rFonts w:ascii="Arial" w:eastAsiaTheme="minorHAnsi" w:hAnsi="Arial" w:cs="Arial"/>
          <w:b/>
          <w:bCs/>
          <w:sz w:val="20"/>
          <w:szCs w:val="20"/>
          <w:lang w:val="en-US" w:bidi="ta-IN"/>
          <w14:ligatures w14:val="standardContextual"/>
        </w:rPr>
        <w:t xml:space="preserve">. </w:t>
      </w:r>
      <w:r w:rsidRPr="00446815">
        <w:rPr>
          <w:rFonts w:ascii="Arial" w:eastAsiaTheme="minorHAnsi" w:hAnsi="Arial" w:cs="Arial"/>
          <w:b/>
          <w:bCs/>
          <w:sz w:val="20"/>
          <w:szCs w:val="20"/>
          <w:lang w:val="en-US" w:bidi="ta-IN"/>
          <w14:ligatures w14:val="standardContextual"/>
        </w:rPr>
        <w:t>Challenges faced by the FPO on internal governance</w:t>
      </w:r>
    </w:p>
    <w:tbl>
      <w:tblPr>
        <w:tblW w:w="5000" w:type="pct"/>
        <w:tblLook w:val="04A0" w:firstRow="1" w:lastRow="0" w:firstColumn="1" w:lastColumn="0" w:noHBand="0" w:noVBand="1"/>
      </w:tblPr>
      <w:tblGrid>
        <w:gridCol w:w="728"/>
        <w:gridCol w:w="6477"/>
        <w:gridCol w:w="1317"/>
        <w:gridCol w:w="828"/>
      </w:tblGrid>
      <w:tr w:rsidR="00446815" w:rsidRPr="00446815" w14:paraId="3AAE7F8F" w14:textId="77777777" w:rsidTr="005E6C5C">
        <w:trPr>
          <w:trHeight w:val="330"/>
        </w:trPr>
        <w:tc>
          <w:tcPr>
            <w:tcW w:w="398" w:type="pct"/>
            <w:tcBorders>
              <w:top w:val="single" w:sz="4" w:space="0" w:color="auto"/>
              <w:left w:val="single" w:sz="4" w:space="0" w:color="auto"/>
              <w:bottom w:val="single" w:sz="4" w:space="0" w:color="auto"/>
              <w:right w:val="single" w:sz="4" w:space="0" w:color="auto"/>
            </w:tcBorders>
            <w:noWrap/>
            <w:vAlign w:val="center"/>
            <w:hideMark/>
          </w:tcPr>
          <w:p w14:paraId="214DD5CF" w14:textId="77777777" w:rsidR="00446815" w:rsidRPr="00446815" w:rsidRDefault="00446815" w:rsidP="00446815">
            <w:pPr>
              <w:spacing w:after="0" w:line="360" w:lineRule="auto"/>
              <w:jc w:val="both"/>
              <w:rPr>
                <w:rFonts w:ascii="Arial" w:eastAsiaTheme="minorHAnsi" w:hAnsi="Arial" w:cs="Arial"/>
                <w:b/>
                <w:bCs/>
                <w:sz w:val="20"/>
                <w:szCs w:val="20"/>
                <w:lang w:val="en-US" w:bidi="ta-IN"/>
                <w14:ligatures w14:val="standardContextual"/>
              </w:rPr>
            </w:pPr>
            <w:r w:rsidRPr="00446815">
              <w:rPr>
                <w:rFonts w:ascii="Arial" w:eastAsiaTheme="minorHAnsi" w:hAnsi="Arial" w:cs="Arial"/>
                <w:b/>
                <w:bCs/>
                <w:sz w:val="20"/>
                <w:szCs w:val="20"/>
                <w:lang w:val="en-US" w:bidi="ta-IN"/>
                <w14:ligatures w14:val="standardContextual"/>
              </w:rPr>
              <w:t>S. No</w:t>
            </w:r>
          </w:p>
        </w:tc>
        <w:tc>
          <w:tcPr>
            <w:tcW w:w="3491" w:type="pct"/>
            <w:tcBorders>
              <w:top w:val="single" w:sz="4" w:space="0" w:color="auto"/>
              <w:left w:val="nil"/>
              <w:bottom w:val="single" w:sz="4" w:space="0" w:color="auto"/>
              <w:right w:val="single" w:sz="4" w:space="0" w:color="auto"/>
            </w:tcBorders>
            <w:noWrap/>
            <w:vAlign w:val="center"/>
            <w:hideMark/>
          </w:tcPr>
          <w:p w14:paraId="421023DE" w14:textId="77777777" w:rsidR="00446815" w:rsidRPr="00446815" w:rsidRDefault="00446815" w:rsidP="00446815">
            <w:pPr>
              <w:spacing w:after="0" w:line="360" w:lineRule="auto"/>
              <w:jc w:val="both"/>
              <w:rPr>
                <w:rFonts w:ascii="Arial" w:eastAsiaTheme="minorHAnsi" w:hAnsi="Arial" w:cs="Arial"/>
                <w:b/>
                <w:bCs/>
                <w:sz w:val="20"/>
                <w:szCs w:val="20"/>
                <w:lang w:val="en-US" w:bidi="ta-IN"/>
                <w14:ligatures w14:val="standardContextual"/>
              </w:rPr>
            </w:pPr>
            <w:r w:rsidRPr="00446815">
              <w:rPr>
                <w:rFonts w:ascii="Arial" w:eastAsiaTheme="minorHAnsi" w:hAnsi="Arial" w:cs="Arial"/>
                <w:b/>
                <w:bCs/>
                <w:sz w:val="20"/>
                <w:szCs w:val="20"/>
                <w:lang w:val="en-US" w:bidi="ta-IN"/>
                <w14:ligatures w14:val="standardContextual"/>
              </w:rPr>
              <w:t>Particulars</w:t>
            </w:r>
          </w:p>
        </w:tc>
        <w:tc>
          <w:tcPr>
            <w:tcW w:w="704" w:type="pct"/>
            <w:tcBorders>
              <w:top w:val="single" w:sz="4" w:space="0" w:color="auto"/>
              <w:left w:val="nil"/>
              <w:bottom w:val="single" w:sz="4" w:space="0" w:color="auto"/>
              <w:right w:val="single" w:sz="4" w:space="0" w:color="auto"/>
            </w:tcBorders>
            <w:noWrap/>
            <w:vAlign w:val="center"/>
            <w:hideMark/>
          </w:tcPr>
          <w:p w14:paraId="003CC1EF" w14:textId="77777777" w:rsidR="00446815" w:rsidRPr="00446815" w:rsidRDefault="00446815" w:rsidP="00446815">
            <w:pPr>
              <w:spacing w:after="0" w:line="360" w:lineRule="auto"/>
              <w:jc w:val="both"/>
              <w:rPr>
                <w:rFonts w:ascii="Arial" w:eastAsiaTheme="minorHAnsi" w:hAnsi="Arial" w:cs="Arial"/>
                <w:b/>
                <w:bCs/>
                <w:sz w:val="20"/>
                <w:szCs w:val="20"/>
                <w:lang w:val="en-US" w:bidi="ta-IN"/>
                <w14:ligatures w14:val="standardContextual"/>
              </w:rPr>
            </w:pPr>
            <w:r w:rsidRPr="00446815">
              <w:rPr>
                <w:rFonts w:ascii="Arial" w:eastAsiaTheme="minorHAnsi" w:hAnsi="Arial" w:cs="Arial"/>
                <w:b/>
                <w:bCs/>
                <w:sz w:val="20"/>
                <w:szCs w:val="20"/>
                <w:lang w:val="en-US" w:bidi="ta-IN"/>
                <w14:ligatures w14:val="standardContextual"/>
              </w:rPr>
              <w:t>Mean score</w:t>
            </w:r>
          </w:p>
        </w:tc>
        <w:tc>
          <w:tcPr>
            <w:tcW w:w="406" w:type="pct"/>
            <w:tcBorders>
              <w:top w:val="single" w:sz="4" w:space="0" w:color="auto"/>
              <w:left w:val="nil"/>
              <w:bottom w:val="single" w:sz="4" w:space="0" w:color="auto"/>
              <w:right w:val="single" w:sz="4" w:space="0" w:color="auto"/>
            </w:tcBorders>
            <w:noWrap/>
            <w:vAlign w:val="center"/>
            <w:hideMark/>
          </w:tcPr>
          <w:p w14:paraId="35E8AFD6" w14:textId="77777777" w:rsidR="00446815" w:rsidRPr="00446815" w:rsidRDefault="00446815" w:rsidP="00446815">
            <w:pPr>
              <w:spacing w:after="0" w:line="360" w:lineRule="auto"/>
              <w:jc w:val="both"/>
              <w:rPr>
                <w:rFonts w:ascii="Arial" w:eastAsiaTheme="minorHAnsi" w:hAnsi="Arial" w:cs="Arial"/>
                <w:b/>
                <w:bCs/>
                <w:sz w:val="20"/>
                <w:szCs w:val="20"/>
                <w:lang w:val="en-US" w:bidi="ta-IN"/>
                <w14:ligatures w14:val="standardContextual"/>
              </w:rPr>
            </w:pPr>
            <w:r w:rsidRPr="00446815">
              <w:rPr>
                <w:rFonts w:ascii="Arial" w:eastAsiaTheme="minorHAnsi" w:hAnsi="Arial" w:cs="Arial"/>
                <w:b/>
                <w:bCs/>
                <w:sz w:val="20"/>
                <w:szCs w:val="20"/>
                <w:lang w:val="en-US" w:bidi="ta-IN"/>
                <w14:ligatures w14:val="standardContextual"/>
              </w:rPr>
              <w:t>Rank</w:t>
            </w:r>
          </w:p>
        </w:tc>
      </w:tr>
      <w:tr w:rsidR="00446815" w:rsidRPr="00446815" w14:paraId="59F57D93" w14:textId="77777777" w:rsidTr="005E6C5C">
        <w:trPr>
          <w:trHeight w:val="83"/>
        </w:trPr>
        <w:tc>
          <w:tcPr>
            <w:tcW w:w="398" w:type="pct"/>
            <w:tcBorders>
              <w:top w:val="nil"/>
              <w:left w:val="single" w:sz="4" w:space="0" w:color="auto"/>
              <w:bottom w:val="single" w:sz="4" w:space="0" w:color="auto"/>
              <w:right w:val="single" w:sz="4" w:space="0" w:color="auto"/>
            </w:tcBorders>
            <w:noWrap/>
            <w:vAlign w:val="center"/>
            <w:hideMark/>
          </w:tcPr>
          <w:p w14:paraId="53605881"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1</w:t>
            </w:r>
          </w:p>
        </w:tc>
        <w:tc>
          <w:tcPr>
            <w:tcW w:w="3491" w:type="pct"/>
            <w:tcBorders>
              <w:top w:val="nil"/>
              <w:left w:val="nil"/>
              <w:bottom w:val="single" w:sz="4" w:space="0" w:color="auto"/>
              <w:right w:val="single" w:sz="4" w:space="0" w:color="auto"/>
            </w:tcBorders>
            <w:vAlign w:val="center"/>
            <w:hideMark/>
          </w:tcPr>
          <w:p w14:paraId="3230389D"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Delays in obtaining licenses and permits impede</w:t>
            </w:r>
          </w:p>
        </w:tc>
        <w:tc>
          <w:tcPr>
            <w:tcW w:w="704" w:type="pct"/>
            <w:tcBorders>
              <w:top w:val="nil"/>
              <w:left w:val="nil"/>
              <w:bottom w:val="single" w:sz="4" w:space="0" w:color="auto"/>
              <w:right w:val="single" w:sz="4" w:space="0" w:color="auto"/>
            </w:tcBorders>
            <w:noWrap/>
            <w:vAlign w:val="center"/>
            <w:hideMark/>
          </w:tcPr>
          <w:p w14:paraId="7EF89A26"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78.57</w:t>
            </w:r>
          </w:p>
        </w:tc>
        <w:tc>
          <w:tcPr>
            <w:tcW w:w="406" w:type="pct"/>
            <w:tcBorders>
              <w:top w:val="nil"/>
              <w:left w:val="nil"/>
              <w:bottom w:val="single" w:sz="4" w:space="0" w:color="auto"/>
              <w:right w:val="single" w:sz="4" w:space="0" w:color="auto"/>
            </w:tcBorders>
            <w:noWrap/>
            <w:vAlign w:val="center"/>
            <w:hideMark/>
          </w:tcPr>
          <w:p w14:paraId="223EB013"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commentRangeStart w:id="8"/>
            <w:r w:rsidRPr="00446815">
              <w:rPr>
                <w:rFonts w:ascii="Arial" w:eastAsiaTheme="minorHAnsi" w:hAnsi="Arial" w:cs="Arial"/>
                <w:sz w:val="20"/>
                <w:szCs w:val="20"/>
                <w:lang w:val="en-US" w:bidi="ta-IN"/>
                <w14:ligatures w14:val="standardContextual"/>
              </w:rPr>
              <w:t>1</w:t>
            </w:r>
            <w:commentRangeEnd w:id="8"/>
            <w:r w:rsidR="00750B2D" w:rsidRPr="00446815">
              <w:rPr>
                <w:rStyle w:val="CommentReference"/>
                <w:rFonts w:ascii="Arial" w:eastAsiaTheme="minorHAnsi" w:hAnsi="Arial" w:cs="Arial"/>
                <w:sz w:val="20"/>
                <w:szCs w:val="20"/>
                <w:lang w:val="en-US" w:bidi="ta-IN"/>
                <w14:ligatures w14:val="standardContextual"/>
              </w:rPr>
              <w:commentReference w:id="8"/>
            </w:r>
          </w:p>
        </w:tc>
      </w:tr>
      <w:tr w:rsidR="00446815" w:rsidRPr="00446815" w14:paraId="1E498550" w14:textId="77777777" w:rsidTr="005E6C5C">
        <w:trPr>
          <w:trHeight w:val="265"/>
        </w:trPr>
        <w:tc>
          <w:tcPr>
            <w:tcW w:w="398" w:type="pct"/>
            <w:tcBorders>
              <w:top w:val="nil"/>
              <w:left w:val="single" w:sz="4" w:space="0" w:color="auto"/>
              <w:bottom w:val="single" w:sz="4" w:space="0" w:color="auto"/>
              <w:right w:val="single" w:sz="4" w:space="0" w:color="auto"/>
            </w:tcBorders>
            <w:noWrap/>
            <w:vAlign w:val="center"/>
            <w:hideMark/>
          </w:tcPr>
          <w:p w14:paraId="39DF64D7"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2</w:t>
            </w:r>
          </w:p>
        </w:tc>
        <w:tc>
          <w:tcPr>
            <w:tcW w:w="3491" w:type="pct"/>
            <w:tcBorders>
              <w:top w:val="nil"/>
              <w:left w:val="nil"/>
              <w:bottom w:val="single" w:sz="4" w:space="0" w:color="auto"/>
              <w:right w:val="single" w:sz="4" w:space="0" w:color="auto"/>
            </w:tcBorders>
            <w:vAlign w:val="center"/>
            <w:hideMark/>
          </w:tcPr>
          <w:p w14:paraId="4A2C7049"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Frequent resignations or transfers of the chief executive officer (CEO)</w:t>
            </w:r>
          </w:p>
        </w:tc>
        <w:tc>
          <w:tcPr>
            <w:tcW w:w="704" w:type="pct"/>
            <w:tcBorders>
              <w:top w:val="nil"/>
              <w:left w:val="nil"/>
              <w:bottom w:val="single" w:sz="4" w:space="0" w:color="auto"/>
              <w:right w:val="single" w:sz="4" w:space="0" w:color="auto"/>
            </w:tcBorders>
            <w:noWrap/>
            <w:vAlign w:val="center"/>
            <w:hideMark/>
          </w:tcPr>
          <w:p w14:paraId="25DC74BE"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52.80</w:t>
            </w:r>
          </w:p>
        </w:tc>
        <w:tc>
          <w:tcPr>
            <w:tcW w:w="406" w:type="pct"/>
            <w:tcBorders>
              <w:top w:val="nil"/>
              <w:left w:val="nil"/>
              <w:bottom w:val="single" w:sz="4" w:space="0" w:color="auto"/>
              <w:right w:val="single" w:sz="4" w:space="0" w:color="auto"/>
            </w:tcBorders>
            <w:noWrap/>
            <w:vAlign w:val="center"/>
            <w:hideMark/>
          </w:tcPr>
          <w:p w14:paraId="157756CC"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2</w:t>
            </w:r>
          </w:p>
        </w:tc>
      </w:tr>
      <w:tr w:rsidR="00446815" w:rsidRPr="00446815" w14:paraId="6B30F1B8" w14:textId="77777777" w:rsidTr="005E6C5C">
        <w:trPr>
          <w:trHeight w:val="330"/>
        </w:trPr>
        <w:tc>
          <w:tcPr>
            <w:tcW w:w="398" w:type="pct"/>
            <w:tcBorders>
              <w:top w:val="nil"/>
              <w:left w:val="single" w:sz="4" w:space="0" w:color="auto"/>
              <w:bottom w:val="single" w:sz="4" w:space="0" w:color="auto"/>
              <w:right w:val="single" w:sz="4" w:space="0" w:color="auto"/>
            </w:tcBorders>
            <w:noWrap/>
            <w:vAlign w:val="center"/>
            <w:hideMark/>
          </w:tcPr>
          <w:p w14:paraId="058C0032"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3</w:t>
            </w:r>
          </w:p>
        </w:tc>
        <w:tc>
          <w:tcPr>
            <w:tcW w:w="3491" w:type="pct"/>
            <w:tcBorders>
              <w:top w:val="nil"/>
              <w:left w:val="nil"/>
              <w:bottom w:val="single" w:sz="4" w:space="0" w:color="auto"/>
              <w:right w:val="single" w:sz="4" w:space="0" w:color="auto"/>
            </w:tcBorders>
            <w:vAlign w:val="center"/>
            <w:hideMark/>
          </w:tcPr>
          <w:p w14:paraId="66F01F21"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Poor business planning</w:t>
            </w:r>
          </w:p>
        </w:tc>
        <w:tc>
          <w:tcPr>
            <w:tcW w:w="704" w:type="pct"/>
            <w:tcBorders>
              <w:top w:val="nil"/>
              <w:left w:val="nil"/>
              <w:bottom w:val="single" w:sz="4" w:space="0" w:color="auto"/>
              <w:right w:val="single" w:sz="4" w:space="0" w:color="auto"/>
            </w:tcBorders>
            <w:noWrap/>
            <w:vAlign w:val="center"/>
            <w:hideMark/>
          </w:tcPr>
          <w:p w14:paraId="24E73232"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52.20</w:t>
            </w:r>
          </w:p>
        </w:tc>
        <w:tc>
          <w:tcPr>
            <w:tcW w:w="406" w:type="pct"/>
            <w:tcBorders>
              <w:top w:val="nil"/>
              <w:left w:val="nil"/>
              <w:bottom w:val="single" w:sz="4" w:space="0" w:color="auto"/>
              <w:right w:val="single" w:sz="4" w:space="0" w:color="auto"/>
            </w:tcBorders>
            <w:noWrap/>
            <w:vAlign w:val="center"/>
            <w:hideMark/>
          </w:tcPr>
          <w:p w14:paraId="547D6FA5"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3</w:t>
            </w:r>
          </w:p>
        </w:tc>
      </w:tr>
      <w:tr w:rsidR="00446815" w:rsidRPr="00446815" w14:paraId="715EA480" w14:textId="77777777" w:rsidTr="005E6C5C">
        <w:trPr>
          <w:trHeight w:val="83"/>
        </w:trPr>
        <w:tc>
          <w:tcPr>
            <w:tcW w:w="398" w:type="pct"/>
            <w:tcBorders>
              <w:top w:val="nil"/>
              <w:left w:val="single" w:sz="4" w:space="0" w:color="auto"/>
              <w:bottom w:val="single" w:sz="4" w:space="0" w:color="auto"/>
              <w:right w:val="single" w:sz="4" w:space="0" w:color="auto"/>
            </w:tcBorders>
            <w:noWrap/>
            <w:vAlign w:val="center"/>
            <w:hideMark/>
          </w:tcPr>
          <w:p w14:paraId="4FB60572"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4</w:t>
            </w:r>
          </w:p>
        </w:tc>
        <w:tc>
          <w:tcPr>
            <w:tcW w:w="3491" w:type="pct"/>
            <w:tcBorders>
              <w:top w:val="nil"/>
              <w:left w:val="nil"/>
              <w:bottom w:val="single" w:sz="4" w:space="0" w:color="auto"/>
              <w:right w:val="single" w:sz="4" w:space="0" w:color="auto"/>
            </w:tcBorders>
            <w:vAlign w:val="center"/>
            <w:hideMark/>
          </w:tcPr>
          <w:p w14:paraId="14FBCBF2"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Inadequate succession planning for leadership roles</w:t>
            </w:r>
          </w:p>
        </w:tc>
        <w:tc>
          <w:tcPr>
            <w:tcW w:w="704" w:type="pct"/>
            <w:tcBorders>
              <w:top w:val="nil"/>
              <w:left w:val="nil"/>
              <w:bottom w:val="single" w:sz="4" w:space="0" w:color="auto"/>
              <w:right w:val="single" w:sz="4" w:space="0" w:color="auto"/>
            </w:tcBorders>
            <w:noWrap/>
            <w:vAlign w:val="center"/>
            <w:hideMark/>
          </w:tcPr>
          <w:p w14:paraId="1ACBBB1D"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45.87</w:t>
            </w:r>
          </w:p>
        </w:tc>
        <w:tc>
          <w:tcPr>
            <w:tcW w:w="406" w:type="pct"/>
            <w:tcBorders>
              <w:top w:val="nil"/>
              <w:left w:val="nil"/>
              <w:bottom w:val="single" w:sz="4" w:space="0" w:color="auto"/>
              <w:right w:val="single" w:sz="4" w:space="0" w:color="auto"/>
            </w:tcBorders>
            <w:noWrap/>
            <w:vAlign w:val="center"/>
            <w:hideMark/>
          </w:tcPr>
          <w:p w14:paraId="14D603DB"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4</w:t>
            </w:r>
          </w:p>
        </w:tc>
      </w:tr>
      <w:tr w:rsidR="00446815" w:rsidRPr="00446815" w14:paraId="1C1C9DC9" w14:textId="77777777" w:rsidTr="005E6C5C">
        <w:trPr>
          <w:trHeight w:val="83"/>
        </w:trPr>
        <w:tc>
          <w:tcPr>
            <w:tcW w:w="398" w:type="pct"/>
            <w:tcBorders>
              <w:top w:val="nil"/>
              <w:left w:val="single" w:sz="4" w:space="0" w:color="auto"/>
              <w:bottom w:val="single" w:sz="4" w:space="0" w:color="auto"/>
              <w:right w:val="single" w:sz="4" w:space="0" w:color="auto"/>
            </w:tcBorders>
            <w:noWrap/>
            <w:vAlign w:val="center"/>
            <w:hideMark/>
          </w:tcPr>
          <w:p w14:paraId="56D9A854"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5</w:t>
            </w:r>
          </w:p>
        </w:tc>
        <w:tc>
          <w:tcPr>
            <w:tcW w:w="3491" w:type="pct"/>
            <w:tcBorders>
              <w:top w:val="nil"/>
              <w:left w:val="nil"/>
              <w:bottom w:val="single" w:sz="4" w:space="0" w:color="auto"/>
              <w:right w:val="single" w:sz="4" w:space="0" w:color="auto"/>
            </w:tcBorders>
            <w:vAlign w:val="center"/>
            <w:hideMark/>
          </w:tcPr>
          <w:p w14:paraId="771B72A8"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Communication gap between leadership and members</w:t>
            </w:r>
          </w:p>
        </w:tc>
        <w:tc>
          <w:tcPr>
            <w:tcW w:w="704" w:type="pct"/>
            <w:tcBorders>
              <w:top w:val="nil"/>
              <w:left w:val="nil"/>
              <w:bottom w:val="single" w:sz="4" w:space="0" w:color="auto"/>
              <w:right w:val="single" w:sz="4" w:space="0" w:color="auto"/>
            </w:tcBorders>
            <w:noWrap/>
            <w:vAlign w:val="center"/>
            <w:hideMark/>
          </w:tcPr>
          <w:p w14:paraId="730A968E"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41.70</w:t>
            </w:r>
          </w:p>
        </w:tc>
        <w:tc>
          <w:tcPr>
            <w:tcW w:w="406" w:type="pct"/>
            <w:tcBorders>
              <w:top w:val="nil"/>
              <w:left w:val="nil"/>
              <w:bottom w:val="single" w:sz="4" w:space="0" w:color="auto"/>
              <w:right w:val="single" w:sz="4" w:space="0" w:color="auto"/>
            </w:tcBorders>
            <w:noWrap/>
            <w:vAlign w:val="center"/>
            <w:hideMark/>
          </w:tcPr>
          <w:p w14:paraId="783ECBC8"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5</w:t>
            </w:r>
          </w:p>
        </w:tc>
      </w:tr>
      <w:tr w:rsidR="00446815" w:rsidRPr="00446815" w14:paraId="6A1D9F9A" w14:textId="77777777" w:rsidTr="005E6C5C">
        <w:trPr>
          <w:trHeight w:val="271"/>
        </w:trPr>
        <w:tc>
          <w:tcPr>
            <w:tcW w:w="398" w:type="pct"/>
            <w:tcBorders>
              <w:top w:val="nil"/>
              <w:left w:val="single" w:sz="4" w:space="0" w:color="auto"/>
              <w:bottom w:val="single" w:sz="4" w:space="0" w:color="auto"/>
              <w:right w:val="single" w:sz="4" w:space="0" w:color="auto"/>
            </w:tcBorders>
            <w:noWrap/>
            <w:vAlign w:val="center"/>
            <w:hideMark/>
          </w:tcPr>
          <w:p w14:paraId="10DDF1AD"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6</w:t>
            </w:r>
          </w:p>
        </w:tc>
        <w:tc>
          <w:tcPr>
            <w:tcW w:w="3491" w:type="pct"/>
            <w:tcBorders>
              <w:top w:val="nil"/>
              <w:left w:val="nil"/>
              <w:bottom w:val="single" w:sz="4" w:space="0" w:color="auto"/>
              <w:right w:val="single" w:sz="4" w:space="0" w:color="auto"/>
            </w:tcBorders>
            <w:vAlign w:val="center"/>
            <w:hideMark/>
          </w:tcPr>
          <w:p w14:paraId="2D8D4288"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Limited training and capacity-building programs for governing body</w:t>
            </w:r>
          </w:p>
        </w:tc>
        <w:tc>
          <w:tcPr>
            <w:tcW w:w="704" w:type="pct"/>
            <w:tcBorders>
              <w:top w:val="nil"/>
              <w:left w:val="nil"/>
              <w:bottom w:val="single" w:sz="4" w:space="0" w:color="auto"/>
              <w:right w:val="single" w:sz="4" w:space="0" w:color="auto"/>
            </w:tcBorders>
            <w:noWrap/>
            <w:vAlign w:val="center"/>
            <w:hideMark/>
          </w:tcPr>
          <w:p w14:paraId="1F3E163A"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41.37</w:t>
            </w:r>
          </w:p>
        </w:tc>
        <w:tc>
          <w:tcPr>
            <w:tcW w:w="406" w:type="pct"/>
            <w:tcBorders>
              <w:top w:val="nil"/>
              <w:left w:val="nil"/>
              <w:bottom w:val="single" w:sz="4" w:space="0" w:color="auto"/>
              <w:right w:val="single" w:sz="4" w:space="0" w:color="auto"/>
            </w:tcBorders>
            <w:noWrap/>
            <w:vAlign w:val="center"/>
            <w:hideMark/>
          </w:tcPr>
          <w:p w14:paraId="2BE7791A"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6</w:t>
            </w:r>
          </w:p>
        </w:tc>
      </w:tr>
      <w:tr w:rsidR="00446815" w:rsidRPr="00446815" w14:paraId="6F9F5668" w14:textId="77777777" w:rsidTr="005E6C5C">
        <w:trPr>
          <w:trHeight w:val="330"/>
        </w:trPr>
        <w:tc>
          <w:tcPr>
            <w:tcW w:w="398" w:type="pct"/>
            <w:tcBorders>
              <w:top w:val="nil"/>
              <w:left w:val="single" w:sz="4" w:space="0" w:color="auto"/>
              <w:bottom w:val="single" w:sz="4" w:space="0" w:color="auto"/>
              <w:right w:val="single" w:sz="4" w:space="0" w:color="auto"/>
            </w:tcBorders>
            <w:noWrap/>
            <w:vAlign w:val="center"/>
            <w:hideMark/>
          </w:tcPr>
          <w:p w14:paraId="0D80C9E4"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7</w:t>
            </w:r>
          </w:p>
        </w:tc>
        <w:tc>
          <w:tcPr>
            <w:tcW w:w="3491" w:type="pct"/>
            <w:tcBorders>
              <w:top w:val="nil"/>
              <w:left w:val="nil"/>
              <w:bottom w:val="single" w:sz="4" w:space="0" w:color="auto"/>
              <w:right w:val="single" w:sz="4" w:space="0" w:color="auto"/>
            </w:tcBorders>
            <w:vAlign w:val="center"/>
            <w:hideMark/>
          </w:tcPr>
          <w:p w14:paraId="20CDD55F"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Poor participation of farmers</w:t>
            </w:r>
          </w:p>
        </w:tc>
        <w:tc>
          <w:tcPr>
            <w:tcW w:w="704" w:type="pct"/>
            <w:tcBorders>
              <w:top w:val="nil"/>
              <w:left w:val="nil"/>
              <w:bottom w:val="single" w:sz="4" w:space="0" w:color="auto"/>
              <w:right w:val="single" w:sz="4" w:space="0" w:color="auto"/>
            </w:tcBorders>
            <w:noWrap/>
            <w:vAlign w:val="center"/>
            <w:hideMark/>
          </w:tcPr>
          <w:p w14:paraId="137F5111"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40.50</w:t>
            </w:r>
          </w:p>
        </w:tc>
        <w:tc>
          <w:tcPr>
            <w:tcW w:w="406" w:type="pct"/>
            <w:tcBorders>
              <w:top w:val="nil"/>
              <w:left w:val="nil"/>
              <w:bottom w:val="single" w:sz="4" w:space="0" w:color="auto"/>
              <w:right w:val="single" w:sz="4" w:space="0" w:color="auto"/>
            </w:tcBorders>
            <w:noWrap/>
            <w:vAlign w:val="center"/>
            <w:hideMark/>
          </w:tcPr>
          <w:p w14:paraId="1655AB75"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7</w:t>
            </w:r>
          </w:p>
        </w:tc>
      </w:tr>
    </w:tbl>
    <w:p w14:paraId="06079FA1" w14:textId="3FAB4456" w:rsidR="006467C1" w:rsidRDefault="005E6C5C" w:rsidP="005C784E">
      <w:pPr>
        <w:spacing w:after="0" w:line="360" w:lineRule="auto"/>
        <w:jc w:val="both"/>
        <w:rPr>
          <w:rFonts w:ascii="Arial" w:eastAsiaTheme="minorHAnsi" w:hAnsi="Arial" w:cs="Arial"/>
          <w:sz w:val="20"/>
          <w:szCs w:val="20"/>
          <w:lang w:val="en-US" w:bidi="ta-IN"/>
          <w14:ligatures w14:val="standardContextual"/>
        </w:rPr>
      </w:pPr>
      <w:r w:rsidRPr="005E6C5C">
        <w:rPr>
          <w:rFonts w:ascii="Arial" w:eastAsiaTheme="minorHAnsi" w:hAnsi="Arial" w:cs="Arial"/>
          <w:sz w:val="20"/>
          <w:szCs w:val="20"/>
          <w:lang w:val="en-US" w:bidi="ta-IN"/>
          <w14:ligatures w14:val="standardContextual"/>
        </w:rPr>
        <w:t>Addressing these internal governance challenges is essential to strengthen organizational resilience and operational effectiveness</w:t>
      </w:r>
      <w:r w:rsidR="0062460F">
        <w:rPr>
          <w:rFonts w:ascii="Arial" w:eastAsiaTheme="minorHAnsi" w:hAnsi="Arial" w:cs="Arial"/>
          <w:sz w:val="20"/>
          <w:szCs w:val="20"/>
          <w:lang w:val="en-US" w:bidi="ta-IN"/>
          <w14:ligatures w14:val="standardContextual"/>
        </w:rPr>
        <w:t xml:space="preserve"> [23]</w:t>
      </w:r>
      <w:r w:rsidRPr="005E6C5C">
        <w:rPr>
          <w:rFonts w:ascii="Arial" w:eastAsiaTheme="minorHAnsi" w:hAnsi="Arial" w:cs="Arial"/>
          <w:sz w:val="20"/>
          <w:szCs w:val="20"/>
          <w:lang w:val="en-US" w:bidi="ta-IN"/>
          <w14:ligatures w14:val="standardContextual"/>
        </w:rPr>
        <w:t xml:space="preserve">. Recommended interventions include expediting licensing processes, implementing CEO retention and stability strategies, enhancing strategic business planning, establishing robust succession frameworks, bridging communication gaps to foster trust, providing targeted training for </w:t>
      </w:r>
      <w:r w:rsidRPr="005E6C5C">
        <w:rPr>
          <w:rFonts w:ascii="Arial" w:eastAsiaTheme="minorHAnsi" w:hAnsi="Arial" w:cs="Arial"/>
          <w:sz w:val="20"/>
          <w:szCs w:val="20"/>
          <w:lang w:val="en-US" w:bidi="ta-IN"/>
          <w14:ligatures w14:val="standardContextual"/>
        </w:rPr>
        <w:lastRenderedPageBreak/>
        <w:t>governing bodies, and promoting active farmer participation to ensure alignment with community needs and aspirations.</w:t>
      </w:r>
    </w:p>
    <w:p w14:paraId="677AD547" w14:textId="77DA87E0" w:rsidR="005E6C5C" w:rsidRDefault="00D446C1" w:rsidP="005C784E">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3.</w:t>
      </w:r>
      <w:r>
        <w:rPr>
          <w:rFonts w:ascii="Arial" w:eastAsiaTheme="minorHAnsi" w:hAnsi="Arial" w:cs="Arial"/>
          <w:b/>
          <w:bCs/>
          <w:sz w:val="20"/>
          <w:szCs w:val="20"/>
          <w:lang w:val="en-US" w:bidi="ta-IN"/>
          <w14:ligatures w14:val="standardContextual"/>
        </w:rPr>
        <w:t xml:space="preserve">3 </w:t>
      </w:r>
      <w:r w:rsidRPr="00D446C1">
        <w:rPr>
          <w:rFonts w:ascii="Arial" w:eastAsiaTheme="minorHAnsi" w:hAnsi="Arial" w:cs="Arial"/>
          <w:b/>
          <w:bCs/>
          <w:sz w:val="20"/>
          <w:szCs w:val="20"/>
          <w:lang w:val="en-US" w:bidi="ta-IN"/>
          <w14:ligatures w14:val="standardContextual"/>
        </w:rPr>
        <w:t>Challenges faced by the FPO on exploring new market avenue</w:t>
      </w:r>
      <w:r w:rsidRPr="003554D8">
        <w:rPr>
          <w:rFonts w:ascii="Arial" w:eastAsiaTheme="minorHAnsi" w:hAnsi="Arial" w:cs="Arial"/>
          <w:b/>
          <w:bCs/>
          <w:sz w:val="20"/>
          <w:szCs w:val="20"/>
          <w:lang w:val="en-US" w:bidi="ta-IN"/>
          <w14:ligatures w14:val="standardContextual"/>
        </w:rPr>
        <w:t>:</w:t>
      </w:r>
      <w:r>
        <w:rPr>
          <w:rFonts w:ascii="Arial" w:eastAsiaTheme="minorHAnsi" w:hAnsi="Arial" w:cs="Arial"/>
          <w:b/>
          <w:bCs/>
          <w:sz w:val="20"/>
          <w:szCs w:val="20"/>
          <w:lang w:val="en-US" w:bidi="ta-IN"/>
          <w14:ligatures w14:val="standardContextual"/>
        </w:rPr>
        <w:t xml:space="preserve"> </w:t>
      </w:r>
      <w:r w:rsidRPr="00D446C1">
        <w:rPr>
          <w:rFonts w:ascii="Arial" w:eastAsiaTheme="minorHAnsi" w:hAnsi="Arial" w:cs="Arial"/>
          <w:sz w:val="20"/>
          <w:szCs w:val="20"/>
          <w:lang w:val="en-US" w:bidi="ta-IN"/>
          <w14:ligatures w14:val="standardContextual"/>
        </w:rPr>
        <w:t>Exploring new market avenues poses significant challenges for Farmer Producer Organizations (FPOs), which are critical for their growth and competitiveness. The highest-ranked challenge (66.20) is the formulation of effective marketing strategies, followed closely by the identification of profitable market segments (64.10). Procurement difficulties arising from limited funds and stringent quality standards (57.63) further constrain market expansion. Additional hurdles include the inability to match or undercut competitors’ pricing (50.97), restricted access to distribution networks (50.30), and the lack of cold storage and processing infrastructure (45.43). FPOs also face challenges in meeting export standards (40.17) and weak value chain integration (29.20), which collectively complicate efforts to penetrate new markets</w:t>
      </w:r>
      <w:r>
        <w:rPr>
          <w:rFonts w:ascii="Arial" w:eastAsiaTheme="minorHAnsi" w:hAnsi="Arial" w:cs="Arial"/>
          <w:sz w:val="20"/>
          <w:szCs w:val="20"/>
          <w:lang w:val="en-US" w:bidi="ta-IN"/>
          <w14:ligatures w14:val="standardContextual"/>
        </w:rPr>
        <w:t>.</w:t>
      </w:r>
    </w:p>
    <w:p w14:paraId="77BF1D70" w14:textId="77777777" w:rsidR="0062460F" w:rsidRDefault="0062460F" w:rsidP="005C784E">
      <w:pPr>
        <w:spacing w:after="0" w:line="360" w:lineRule="auto"/>
        <w:jc w:val="both"/>
        <w:rPr>
          <w:rFonts w:ascii="Arial" w:eastAsiaTheme="minorHAnsi" w:hAnsi="Arial" w:cs="Arial"/>
          <w:sz w:val="20"/>
          <w:szCs w:val="20"/>
          <w:lang w:val="en-US" w:bidi="ta-IN"/>
          <w14:ligatures w14:val="standardContextual"/>
        </w:rPr>
      </w:pPr>
    </w:p>
    <w:p w14:paraId="72F9615A" w14:textId="67DC0234" w:rsidR="00431755" w:rsidRPr="00431755" w:rsidRDefault="00431755" w:rsidP="00431755">
      <w:pPr>
        <w:spacing w:after="0" w:line="360" w:lineRule="auto"/>
        <w:jc w:val="center"/>
        <w:rPr>
          <w:rFonts w:ascii="Arial" w:eastAsiaTheme="minorHAnsi" w:hAnsi="Arial" w:cs="Arial"/>
          <w:b/>
          <w:bCs/>
          <w:sz w:val="20"/>
          <w:szCs w:val="20"/>
          <w:lang w:val="en-US" w:bidi="ta-IN"/>
          <w14:ligatures w14:val="standardContextual"/>
        </w:rPr>
      </w:pPr>
      <w:bookmarkStart w:id="9" w:name="_Hlk209881751"/>
      <w:r w:rsidRPr="006467C1">
        <w:rPr>
          <w:rFonts w:ascii="Arial" w:eastAsiaTheme="minorHAnsi" w:hAnsi="Arial" w:cs="Arial"/>
          <w:b/>
          <w:bCs/>
          <w:sz w:val="20"/>
          <w:szCs w:val="20"/>
          <w:lang w:val="en-US" w:bidi="ta-IN"/>
          <w14:ligatures w14:val="standardContextual"/>
        </w:rPr>
        <w:t xml:space="preserve">Table </w:t>
      </w:r>
      <w:r>
        <w:rPr>
          <w:rFonts w:ascii="Arial" w:eastAsiaTheme="minorHAnsi" w:hAnsi="Arial" w:cs="Arial"/>
          <w:b/>
          <w:bCs/>
          <w:sz w:val="20"/>
          <w:szCs w:val="20"/>
          <w:lang w:val="en-US" w:bidi="ta-IN"/>
          <w14:ligatures w14:val="standardContextual"/>
        </w:rPr>
        <w:t>4</w:t>
      </w:r>
      <w:r w:rsidRPr="006467C1">
        <w:rPr>
          <w:rFonts w:ascii="Arial" w:eastAsiaTheme="minorHAnsi" w:hAnsi="Arial" w:cs="Arial"/>
          <w:b/>
          <w:bCs/>
          <w:sz w:val="20"/>
          <w:szCs w:val="20"/>
          <w:lang w:val="en-US" w:bidi="ta-IN"/>
          <w14:ligatures w14:val="standardContextual"/>
        </w:rPr>
        <w:t xml:space="preserve">. </w:t>
      </w:r>
      <w:r w:rsidRPr="00431755">
        <w:rPr>
          <w:rFonts w:ascii="Arial" w:eastAsiaTheme="minorHAnsi" w:hAnsi="Arial" w:cs="Arial"/>
          <w:b/>
          <w:bCs/>
          <w:sz w:val="20"/>
          <w:szCs w:val="20"/>
          <w:lang w:val="en-US" w:bidi="ta-IN"/>
          <w14:ligatures w14:val="standardContextual"/>
        </w:rPr>
        <w:t>Challenges faced by the FPO on exploring new market avenue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6462"/>
        <w:gridCol w:w="1299"/>
        <w:gridCol w:w="861"/>
      </w:tblGrid>
      <w:tr w:rsidR="00AB7BE5" w:rsidRPr="00AB7BE5" w14:paraId="3617CBA5" w14:textId="77777777" w:rsidTr="00AB7BE5">
        <w:trPr>
          <w:trHeight w:val="20"/>
        </w:trPr>
        <w:tc>
          <w:tcPr>
            <w:tcW w:w="0" w:type="auto"/>
            <w:noWrap/>
            <w:vAlign w:val="center"/>
            <w:hideMark/>
          </w:tcPr>
          <w:bookmarkEnd w:id="9"/>
          <w:p w14:paraId="7CD7A02B"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S. No</w:t>
            </w:r>
          </w:p>
        </w:tc>
        <w:tc>
          <w:tcPr>
            <w:tcW w:w="0" w:type="auto"/>
            <w:noWrap/>
            <w:vAlign w:val="center"/>
            <w:hideMark/>
          </w:tcPr>
          <w:p w14:paraId="7728999D"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Particulars</w:t>
            </w:r>
          </w:p>
        </w:tc>
        <w:tc>
          <w:tcPr>
            <w:tcW w:w="0" w:type="auto"/>
            <w:vAlign w:val="center"/>
            <w:hideMark/>
          </w:tcPr>
          <w:p w14:paraId="6B9A0FF2"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Mean score</w:t>
            </w:r>
          </w:p>
        </w:tc>
        <w:tc>
          <w:tcPr>
            <w:tcW w:w="0" w:type="auto"/>
            <w:noWrap/>
            <w:vAlign w:val="center"/>
            <w:hideMark/>
          </w:tcPr>
          <w:p w14:paraId="1062B71F"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Rank</w:t>
            </w:r>
          </w:p>
        </w:tc>
      </w:tr>
      <w:tr w:rsidR="00AB7BE5" w:rsidRPr="00AB7BE5" w14:paraId="4D3B8D28" w14:textId="77777777" w:rsidTr="00AB7BE5">
        <w:trPr>
          <w:trHeight w:val="20"/>
        </w:trPr>
        <w:tc>
          <w:tcPr>
            <w:tcW w:w="0" w:type="auto"/>
            <w:noWrap/>
            <w:vAlign w:val="center"/>
            <w:hideMark/>
          </w:tcPr>
          <w:p w14:paraId="49EC594D"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1</w:t>
            </w:r>
          </w:p>
        </w:tc>
        <w:tc>
          <w:tcPr>
            <w:tcW w:w="0" w:type="auto"/>
            <w:vAlign w:val="center"/>
            <w:hideMark/>
          </w:tcPr>
          <w:p w14:paraId="0B2AA915"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Developing marketing strategies</w:t>
            </w:r>
          </w:p>
        </w:tc>
        <w:tc>
          <w:tcPr>
            <w:tcW w:w="0" w:type="auto"/>
            <w:noWrap/>
            <w:vAlign w:val="center"/>
            <w:hideMark/>
          </w:tcPr>
          <w:p w14:paraId="7EA53064"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66.20</w:t>
            </w:r>
          </w:p>
        </w:tc>
        <w:tc>
          <w:tcPr>
            <w:tcW w:w="0" w:type="auto"/>
            <w:noWrap/>
            <w:vAlign w:val="center"/>
            <w:hideMark/>
          </w:tcPr>
          <w:p w14:paraId="223E5B26"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commentRangeStart w:id="10"/>
            <w:r w:rsidRPr="00AB7BE5">
              <w:rPr>
                <w:rFonts w:ascii="Arial" w:eastAsiaTheme="minorHAnsi" w:hAnsi="Arial" w:cs="Arial"/>
                <w:b/>
                <w:bCs/>
                <w:sz w:val="20"/>
                <w:szCs w:val="20"/>
                <w:lang w:val="en-US" w:bidi="ta-IN"/>
                <w14:ligatures w14:val="standardContextual"/>
              </w:rPr>
              <w:t>1</w:t>
            </w:r>
            <w:commentRangeEnd w:id="10"/>
            <w:r w:rsidR="00750B2D" w:rsidRPr="00AB7BE5">
              <w:rPr>
                <w:rStyle w:val="CommentReference"/>
                <w:rFonts w:ascii="Arial" w:eastAsiaTheme="minorHAnsi" w:hAnsi="Arial" w:cs="Arial"/>
                <w:b/>
                <w:bCs/>
                <w:sz w:val="20"/>
                <w:szCs w:val="20"/>
                <w:lang w:val="en-US" w:bidi="ta-IN"/>
                <w14:ligatures w14:val="standardContextual"/>
              </w:rPr>
              <w:commentReference w:id="10"/>
            </w:r>
          </w:p>
        </w:tc>
      </w:tr>
      <w:tr w:rsidR="00AB7BE5" w:rsidRPr="00AB7BE5" w14:paraId="3E137CC9" w14:textId="77777777" w:rsidTr="00AB7BE5">
        <w:trPr>
          <w:trHeight w:val="20"/>
        </w:trPr>
        <w:tc>
          <w:tcPr>
            <w:tcW w:w="0" w:type="auto"/>
            <w:noWrap/>
            <w:vAlign w:val="center"/>
            <w:hideMark/>
          </w:tcPr>
          <w:p w14:paraId="00A314E5"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2</w:t>
            </w:r>
          </w:p>
        </w:tc>
        <w:tc>
          <w:tcPr>
            <w:tcW w:w="0" w:type="auto"/>
            <w:vAlign w:val="center"/>
            <w:hideMark/>
          </w:tcPr>
          <w:p w14:paraId="0B65551C"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Identification profitable market segments</w:t>
            </w:r>
          </w:p>
        </w:tc>
        <w:tc>
          <w:tcPr>
            <w:tcW w:w="0" w:type="auto"/>
            <w:noWrap/>
            <w:vAlign w:val="center"/>
            <w:hideMark/>
          </w:tcPr>
          <w:p w14:paraId="497EC453"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64.10</w:t>
            </w:r>
          </w:p>
        </w:tc>
        <w:tc>
          <w:tcPr>
            <w:tcW w:w="0" w:type="auto"/>
            <w:noWrap/>
            <w:vAlign w:val="center"/>
            <w:hideMark/>
          </w:tcPr>
          <w:p w14:paraId="1F3E8F7D"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2</w:t>
            </w:r>
          </w:p>
        </w:tc>
      </w:tr>
      <w:tr w:rsidR="00AB7BE5" w:rsidRPr="00AB7BE5" w14:paraId="43E4FB71" w14:textId="77777777" w:rsidTr="00AB7BE5">
        <w:trPr>
          <w:trHeight w:val="20"/>
        </w:trPr>
        <w:tc>
          <w:tcPr>
            <w:tcW w:w="0" w:type="auto"/>
            <w:noWrap/>
            <w:vAlign w:val="center"/>
            <w:hideMark/>
          </w:tcPr>
          <w:p w14:paraId="0CA704B6"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3</w:t>
            </w:r>
          </w:p>
        </w:tc>
        <w:tc>
          <w:tcPr>
            <w:tcW w:w="0" w:type="auto"/>
            <w:vAlign w:val="center"/>
            <w:hideMark/>
          </w:tcPr>
          <w:p w14:paraId="7E6C7DD9"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 xml:space="preserve">Limited funds and strict quality standards posed procurement challenges </w:t>
            </w:r>
          </w:p>
        </w:tc>
        <w:tc>
          <w:tcPr>
            <w:tcW w:w="0" w:type="auto"/>
            <w:noWrap/>
            <w:vAlign w:val="center"/>
            <w:hideMark/>
          </w:tcPr>
          <w:p w14:paraId="2324F5D4"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57.63</w:t>
            </w:r>
          </w:p>
        </w:tc>
        <w:tc>
          <w:tcPr>
            <w:tcW w:w="0" w:type="auto"/>
            <w:noWrap/>
            <w:vAlign w:val="center"/>
            <w:hideMark/>
          </w:tcPr>
          <w:p w14:paraId="5BF79391"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3</w:t>
            </w:r>
          </w:p>
        </w:tc>
      </w:tr>
      <w:tr w:rsidR="00AB7BE5" w:rsidRPr="00AB7BE5" w14:paraId="10625B2D" w14:textId="77777777" w:rsidTr="00AB7BE5">
        <w:trPr>
          <w:trHeight w:val="20"/>
        </w:trPr>
        <w:tc>
          <w:tcPr>
            <w:tcW w:w="0" w:type="auto"/>
            <w:noWrap/>
            <w:vAlign w:val="center"/>
            <w:hideMark/>
          </w:tcPr>
          <w:p w14:paraId="428EE8C1"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4</w:t>
            </w:r>
          </w:p>
        </w:tc>
        <w:tc>
          <w:tcPr>
            <w:tcW w:w="0" w:type="auto"/>
            <w:vAlign w:val="center"/>
            <w:hideMark/>
          </w:tcPr>
          <w:p w14:paraId="7F84119F"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Inability to match or undercut competitors' pricing</w:t>
            </w:r>
          </w:p>
        </w:tc>
        <w:tc>
          <w:tcPr>
            <w:tcW w:w="0" w:type="auto"/>
            <w:noWrap/>
            <w:vAlign w:val="center"/>
            <w:hideMark/>
          </w:tcPr>
          <w:p w14:paraId="08A4F4FB"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50.97</w:t>
            </w:r>
          </w:p>
        </w:tc>
        <w:tc>
          <w:tcPr>
            <w:tcW w:w="0" w:type="auto"/>
            <w:noWrap/>
            <w:vAlign w:val="center"/>
            <w:hideMark/>
          </w:tcPr>
          <w:p w14:paraId="3B56EA2C"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4</w:t>
            </w:r>
          </w:p>
        </w:tc>
      </w:tr>
      <w:tr w:rsidR="00AB7BE5" w:rsidRPr="00AB7BE5" w14:paraId="168E2721" w14:textId="77777777" w:rsidTr="00AB7BE5">
        <w:trPr>
          <w:trHeight w:val="20"/>
        </w:trPr>
        <w:tc>
          <w:tcPr>
            <w:tcW w:w="0" w:type="auto"/>
            <w:noWrap/>
            <w:vAlign w:val="center"/>
            <w:hideMark/>
          </w:tcPr>
          <w:p w14:paraId="285081E0"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5</w:t>
            </w:r>
          </w:p>
        </w:tc>
        <w:tc>
          <w:tcPr>
            <w:tcW w:w="0" w:type="auto"/>
            <w:vAlign w:val="center"/>
            <w:hideMark/>
          </w:tcPr>
          <w:p w14:paraId="33932E84"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Limited access to distribution networks</w:t>
            </w:r>
          </w:p>
        </w:tc>
        <w:tc>
          <w:tcPr>
            <w:tcW w:w="0" w:type="auto"/>
            <w:noWrap/>
            <w:vAlign w:val="center"/>
            <w:hideMark/>
          </w:tcPr>
          <w:p w14:paraId="306C4403"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50.30</w:t>
            </w:r>
          </w:p>
        </w:tc>
        <w:tc>
          <w:tcPr>
            <w:tcW w:w="0" w:type="auto"/>
            <w:noWrap/>
            <w:vAlign w:val="center"/>
            <w:hideMark/>
          </w:tcPr>
          <w:p w14:paraId="4479FA8F"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5</w:t>
            </w:r>
          </w:p>
        </w:tc>
      </w:tr>
      <w:tr w:rsidR="00AB7BE5" w:rsidRPr="00AB7BE5" w14:paraId="4240B25C" w14:textId="77777777" w:rsidTr="00AB7BE5">
        <w:trPr>
          <w:trHeight w:val="20"/>
        </w:trPr>
        <w:tc>
          <w:tcPr>
            <w:tcW w:w="0" w:type="auto"/>
            <w:noWrap/>
            <w:vAlign w:val="center"/>
            <w:hideMark/>
          </w:tcPr>
          <w:p w14:paraId="667FD508"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6</w:t>
            </w:r>
          </w:p>
        </w:tc>
        <w:tc>
          <w:tcPr>
            <w:tcW w:w="0" w:type="auto"/>
            <w:vAlign w:val="center"/>
            <w:hideMark/>
          </w:tcPr>
          <w:p w14:paraId="511C8F03"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Access to cold storage and processing facilities</w:t>
            </w:r>
          </w:p>
        </w:tc>
        <w:tc>
          <w:tcPr>
            <w:tcW w:w="0" w:type="auto"/>
            <w:noWrap/>
            <w:vAlign w:val="center"/>
            <w:hideMark/>
          </w:tcPr>
          <w:p w14:paraId="4FA750A3"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45.43</w:t>
            </w:r>
          </w:p>
        </w:tc>
        <w:tc>
          <w:tcPr>
            <w:tcW w:w="0" w:type="auto"/>
            <w:noWrap/>
            <w:vAlign w:val="center"/>
            <w:hideMark/>
          </w:tcPr>
          <w:p w14:paraId="60CD624B"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6</w:t>
            </w:r>
          </w:p>
        </w:tc>
      </w:tr>
      <w:tr w:rsidR="00AB7BE5" w:rsidRPr="00AB7BE5" w14:paraId="770D5FA6" w14:textId="77777777" w:rsidTr="00AB7BE5">
        <w:trPr>
          <w:trHeight w:val="20"/>
        </w:trPr>
        <w:tc>
          <w:tcPr>
            <w:tcW w:w="0" w:type="auto"/>
            <w:noWrap/>
            <w:vAlign w:val="center"/>
            <w:hideMark/>
          </w:tcPr>
          <w:p w14:paraId="47074877"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7</w:t>
            </w:r>
          </w:p>
        </w:tc>
        <w:tc>
          <w:tcPr>
            <w:tcW w:w="0" w:type="auto"/>
            <w:vAlign w:val="center"/>
            <w:hideMark/>
          </w:tcPr>
          <w:p w14:paraId="7D73DD49"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Difficulty to meet export standards</w:t>
            </w:r>
          </w:p>
        </w:tc>
        <w:tc>
          <w:tcPr>
            <w:tcW w:w="0" w:type="auto"/>
            <w:noWrap/>
            <w:vAlign w:val="center"/>
            <w:hideMark/>
          </w:tcPr>
          <w:p w14:paraId="60FD347A"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40.17</w:t>
            </w:r>
          </w:p>
        </w:tc>
        <w:tc>
          <w:tcPr>
            <w:tcW w:w="0" w:type="auto"/>
            <w:noWrap/>
            <w:vAlign w:val="center"/>
            <w:hideMark/>
          </w:tcPr>
          <w:p w14:paraId="6CD30901"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7</w:t>
            </w:r>
          </w:p>
        </w:tc>
      </w:tr>
      <w:tr w:rsidR="00AB7BE5" w:rsidRPr="00AB7BE5" w14:paraId="691DC852" w14:textId="77777777" w:rsidTr="00AB7BE5">
        <w:trPr>
          <w:trHeight w:val="20"/>
        </w:trPr>
        <w:tc>
          <w:tcPr>
            <w:tcW w:w="0" w:type="auto"/>
            <w:noWrap/>
            <w:vAlign w:val="center"/>
            <w:hideMark/>
          </w:tcPr>
          <w:p w14:paraId="571B5FE9"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8</w:t>
            </w:r>
          </w:p>
        </w:tc>
        <w:tc>
          <w:tcPr>
            <w:tcW w:w="0" w:type="auto"/>
            <w:vAlign w:val="center"/>
            <w:hideMark/>
          </w:tcPr>
          <w:p w14:paraId="503B4A2E"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Weaker value chain integration</w:t>
            </w:r>
          </w:p>
        </w:tc>
        <w:tc>
          <w:tcPr>
            <w:tcW w:w="0" w:type="auto"/>
            <w:noWrap/>
            <w:vAlign w:val="center"/>
            <w:hideMark/>
          </w:tcPr>
          <w:p w14:paraId="0D99AD11"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29.20</w:t>
            </w:r>
          </w:p>
        </w:tc>
        <w:tc>
          <w:tcPr>
            <w:tcW w:w="0" w:type="auto"/>
            <w:noWrap/>
            <w:vAlign w:val="center"/>
            <w:hideMark/>
          </w:tcPr>
          <w:p w14:paraId="5B911D4C"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8</w:t>
            </w:r>
          </w:p>
        </w:tc>
      </w:tr>
    </w:tbl>
    <w:p w14:paraId="0D5FB0B0" w14:textId="02FBE80E" w:rsidR="00D446C1" w:rsidRDefault="00431755" w:rsidP="00431755">
      <w:pPr>
        <w:spacing w:after="0" w:line="360" w:lineRule="auto"/>
        <w:jc w:val="both"/>
        <w:rPr>
          <w:rFonts w:ascii="Arial" w:eastAsiaTheme="minorHAnsi" w:hAnsi="Arial" w:cs="Arial"/>
          <w:sz w:val="20"/>
          <w:szCs w:val="20"/>
          <w:lang w:val="en-US" w:bidi="ta-IN"/>
          <w14:ligatures w14:val="standardContextual"/>
        </w:rPr>
      </w:pPr>
      <w:r w:rsidRPr="00431755">
        <w:rPr>
          <w:rFonts w:ascii="Arial" w:eastAsiaTheme="minorHAnsi" w:hAnsi="Arial" w:cs="Arial"/>
          <w:sz w:val="20"/>
          <w:szCs w:val="20"/>
          <w:lang w:val="en-US" w:bidi="ta-IN"/>
          <w14:ligatures w14:val="standardContextual"/>
        </w:rPr>
        <w:t>To overcome these multifaceted obstacles, FPOs must adopt a comprehensive and strategic approach to market development. This includes formulating well-structured marketing plans that clearly define objectives, identify target audiences, and leverage both traditional and digital marketing channels. They should focus on identifying and prioritizing profitable market segments, ensuring resources are allocated efficiently to the most promising opportunities. Optimal utilization of available funds is critical to sustain procurement, production, and marketing operations while maintaining financial stability.</w:t>
      </w:r>
      <w:r>
        <w:rPr>
          <w:rFonts w:ascii="Arial" w:eastAsiaTheme="minorHAnsi" w:hAnsi="Arial" w:cs="Arial"/>
          <w:sz w:val="20"/>
          <w:szCs w:val="20"/>
          <w:lang w:val="en-US" w:bidi="ta-IN"/>
          <w14:ligatures w14:val="standardContextual"/>
        </w:rPr>
        <w:t xml:space="preserve"> </w:t>
      </w:r>
      <w:r w:rsidRPr="00431755">
        <w:rPr>
          <w:rFonts w:ascii="Arial" w:eastAsiaTheme="minorHAnsi" w:hAnsi="Arial" w:cs="Arial"/>
          <w:sz w:val="20"/>
          <w:szCs w:val="20"/>
          <w:lang w:val="en-US" w:bidi="ta-IN"/>
          <w14:ligatures w14:val="standardContextual"/>
        </w:rPr>
        <w:t>In addition, FPOs must adopt competitive pricing strategies to remain viable against rival producers and traders, while simultaneously enhancing the reach and efficiency of distribution networks to ensure products can access a wider consumer base. Investments in cold storage, processing units, and other post-harvest infrastructure are essential to reduce losses, maintain quality standards, and meet market demands. Finally, strengthening value chain linkages</w:t>
      </w:r>
      <w:r>
        <w:rPr>
          <w:rFonts w:ascii="Arial" w:eastAsiaTheme="minorHAnsi" w:hAnsi="Arial" w:cs="Arial"/>
          <w:sz w:val="20"/>
          <w:szCs w:val="20"/>
          <w:lang w:val="en-US" w:bidi="ta-IN"/>
          <w14:ligatures w14:val="standardContextual"/>
        </w:rPr>
        <w:t xml:space="preserve"> </w:t>
      </w:r>
      <w:r w:rsidRPr="00431755">
        <w:rPr>
          <w:rFonts w:ascii="Arial" w:eastAsiaTheme="minorHAnsi" w:hAnsi="Arial" w:cs="Arial"/>
          <w:sz w:val="20"/>
          <w:szCs w:val="20"/>
          <w:lang w:val="en-US" w:bidi="ta-IN"/>
          <w14:ligatures w14:val="standardContextual"/>
        </w:rPr>
        <w:t>including partnerships with input suppliers, processors, and retail channels</w:t>
      </w:r>
      <w:r>
        <w:rPr>
          <w:rFonts w:ascii="Arial" w:eastAsiaTheme="minorHAnsi" w:hAnsi="Arial" w:cs="Arial"/>
          <w:sz w:val="20"/>
          <w:szCs w:val="20"/>
          <w:lang w:val="en-US" w:bidi="ta-IN"/>
          <w14:ligatures w14:val="standardContextual"/>
        </w:rPr>
        <w:t xml:space="preserve"> </w:t>
      </w:r>
      <w:r w:rsidRPr="00431755">
        <w:rPr>
          <w:rFonts w:ascii="Arial" w:eastAsiaTheme="minorHAnsi" w:hAnsi="Arial" w:cs="Arial"/>
          <w:sz w:val="20"/>
          <w:szCs w:val="20"/>
          <w:lang w:val="en-US" w:bidi="ta-IN"/>
          <w14:ligatures w14:val="standardContextual"/>
        </w:rPr>
        <w:t>will allow FPOs to integrate more effectively into broader supply chains, improve bargaining power, and ultimately capitalize on emerging market opportunities in a sustainable and resilient manner</w:t>
      </w:r>
      <w:r w:rsidR="0062460F">
        <w:rPr>
          <w:rFonts w:ascii="Arial" w:eastAsiaTheme="minorHAnsi" w:hAnsi="Arial" w:cs="Arial"/>
          <w:sz w:val="20"/>
          <w:szCs w:val="20"/>
          <w:lang w:val="en-US" w:bidi="ta-IN"/>
          <w14:ligatures w14:val="standardContextual"/>
        </w:rPr>
        <w:t xml:space="preserve"> [24]</w:t>
      </w:r>
      <w:r w:rsidRPr="00431755">
        <w:rPr>
          <w:rFonts w:ascii="Arial" w:eastAsiaTheme="minorHAnsi" w:hAnsi="Arial" w:cs="Arial"/>
          <w:sz w:val="20"/>
          <w:szCs w:val="20"/>
          <w:lang w:val="en-US" w:bidi="ta-IN"/>
          <w14:ligatures w14:val="standardContextual"/>
        </w:rPr>
        <w:t>.</w:t>
      </w:r>
    </w:p>
    <w:p w14:paraId="0E7A8A07" w14:textId="2FA65BD3" w:rsidR="006467C1" w:rsidRDefault="00EE64E1" w:rsidP="005C784E">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lastRenderedPageBreak/>
        <w:t>3.</w:t>
      </w:r>
      <w:r>
        <w:rPr>
          <w:rFonts w:ascii="Arial" w:eastAsiaTheme="minorHAnsi" w:hAnsi="Arial" w:cs="Arial"/>
          <w:b/>
          <w:bCs/>
          <w:sz w:val="20"/>
          <w:szCs w:val="20"/>
          <w:lang w:val="en-US" w:bidi="ta-IN"/>
          <w14:ligatures w14:val="standardContextual"/>
        </w:rPr>
        <w:t xml:space="preserve">4 </w:t>
      </w:r>
      <w:r w:rsidRPr="00EE64E1">
        <w:rPr>
          <w:rFonts w:ascii="Arial" w:eastAsiaTheme="minorHAnsi" w:hAnsi="Arial" w:cs="Arial"/>
          <w:b/>
          <w:bCs/>
          <w:sz w:val="20"/>
          <w:szCs w:val="20"/>
          <w:lang w:val="en-US" w:bidi="ta-IN"/>
          <w14:ligatures w14:val="standardContextual"/>
        </w:rPr>
        <w:t>Recommendations to enhance FPO performance</w:t>
      </w:r>
      <w:r w:rsidRPr="003554D8">
        <w:rPr>
          <w:rFonts w:ascii="Arial" w:eastAsiaTheme="minorHAnsi" w:hAnsi="Arial" w:cs="Arial"/>
          <w:b/>
          <w:bCs/>
          <w:sz w:val="20"/>
          <w:szCs w:val="20"/>
          <w:lang w:val="en-US" w:bidi="ta-IN"/>
          <w14:ligatures w14:val="standardContextual"/>
        </w:rPr>
        <w:t>:</w:t>
      </w:r>
      <w:r>
        <w:rPr>
          <w:rFonts w:ascii="Arial" w:eastAsiaTheme="minorHAnsi" w:hAnsi="Arial" w:cs="Arial"/>
          <w:b/>
          <w:bCs/>
          <w:sz w:val="20"/>
          <w:szCs w:val="20"/>
          <w:lang w:val="en-US" w:bidi="ta-IN"/>
          <w14:ligatures w14:val="standardContextual"/>
        </w:rPr>
        <w:t xml:space="preserve"> </w:t>
      </w:r>
      <w:r w:rsidR="00583DD4" w:rsidRPr="00583DD4">
        <w:rPr>
          <w:rFonts w:ascii="Arial" w:eastAsiaTheme="minorHAnsi" w:hAnsi="Arial" w:cs="Arial"/>
          <w:sz w:val="20"/>
          <w:szCs w:val="20"/>
          <w:lang w:val="en-US" w:bidi="ta-IN"/>
          <w14:ligatures w14:val="standardContextual"/>
        </w:rPr>
        <w:t>The strategic recommendations derived from consultations with officials of the sample FPOs provide valuable insights for enhancing organizational performance and sustainability. The highest-priority recommendation emphasizes the streamlining of subsidy distribution (67.60) to ensure timely and efficient financial support to members. Closely following is the prompt release of grants (63.80), which is essential for sustaining operational activities and fostering growth. Facilitating licenses for farm input services and trading during FPO registration (61.73) highlights the importance of easing regulatory procedures to enable smooth functioning.</w:t>
      </w:r>
    </w:p>
    <w:p w14:paraId="46EE5E9B" w14:textId="285A05DA" w:rsidR="00583DD4" w:rsidRPr="00583DD4" w:rsidRDefault="00583DD4" w:rsidP="00583DD4">
      <w:pPr>
        <w:spacing w:after="0" w:line="360" w:lineRule="auto"/>
        <w:jc w:val="center"/>
        <w:rPr>
          <w:rFonts w:ascii="Arial" w:eastAsiaTheme="minorHAnsi" w:hAnsi="Arial" w:cs="Arial"/>
          <w:b/>
          <w:bCs/>
          <w:sz w:val="20"/>
          <w:szCs w:val="20"/>
          <w:lang w:val="en-US" w:bidi="ta-IN"/>
          <w14:ligatures w14:val="standardContextual"/>
        </w:rPr>
      </w:pPr>
      <w:r w:rsidRPr="00583DD4">
        <w:rPr>
          <w:rFonts w:ascii="Arial" w:eastAsiaTheme="minorHAnsi" w:hAnsi="Arial" w:cs="Arial"/>
          <w:b/>
          <w:bCs/>
          <w:sz w:val="20"/>
          <w:szCs w:val="20"/>
          <w:lang w:val="en-US" w:bidi="ta-IN"/>
          <w14:ligatures w14:val="standardContextual"/>
        </w:rPr>
        <w:t xml:space="preserve">Table </w:t>
      </w:r>
      <w:r>
        <w:rPr>
          <w:rFonts w:ascii="Arial" w:eastAsiaTheme="minorHAnsi" w:hAnsi="Arial" w:cs="Arial"/>
          <w:b/>
          <w:bCs/>
          <w:sz w:val="20"/>
          <w:szCs w:val="20"/>
          <w:lang w:val="en-US" w:bidi="ta-IN"/>
          <w14:ligatures w14:val="standardContextual"/>
        </w:rPr>
        <w:t>5</w:t>
      </w:r>
      <w:r w:rsidRPr="00583DD4">
        <w:rPr>
          <w:rFonts w:ascii="Arial" w:eastAsiaTheme="minorHAnsi" w:hAnsi="Arial" w:cs="Arial"/>
          <w:b/>
          <w:bCs/>
          <w:sz w:val="20"/>
          <w:szCs w:val="20"/>
          <w:lang w:val="en-US" w:bidi="ta-IN"/>
          <w14:ligatures w14:val="standardContextual"/>
        </w:rPr>
        <w:t>. Recommendations to enhance FPO performance</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6225"/>
        <w:gridCol w:w="1511"/>
        <w:gridCol w:w="1099"/>
      </w:tblGrid>
      <w:tr w:rsidR="00583DD4" w:rsidRPr="00583DD4" w14:paraId="369875BC" w14:textId="77777777" w:rsidTr="00583DD4">
        <w:trPr>
          <w:trHeight w:val="174"/>
        </w:trPr>
        <w:tc>
          <w:tcPr>
            <w:tcW w:w="940" w:type="dxa"/>
            <w:noWrap/>
            <w:vAlign w:val="center"/>
            <w:hideMark/>
          </w:tcPr>
          <w:p w14:paraId="41701CA6" w14:textId="77777777" w:rsidR="00583DD4" w:rsidRPr="00583DD4" w:rsidRDefault="00583DD4" w:rsidP="00583DD4">
            <w:pPr>
              <w:spacing w:after="0" w:line="360" w:lineRule="auto"/>
              <w:jc w:val="both"/>
              <w:rPr>
                <w:rFonts w:ascii="Arial" w:eastAsiaTheme="minorHAnsi" w:hAnsi="Arial" w:cs="Arial"/>
                <w:b/>
                <w:bCs/>
                <w:sz w:val="20"/>
                <w:szCs w:val="20"/>
                <w:lang w:val="en-US" w:bidi="ta-IN"/>
                <w14:ligatures w14:val="standardContextual"/>
              </w:rPr>
            </w:pPr>
            <w:r w:rsidRPr="00583DD4">
              <w:rPr>
                <w:rFonts w:ascii="Arial" w:eastAsiaTheme="minorHAnsi" w:hAnsi="Arial" w:cs="Arial"/>
                <w:b/>
                <w:bCs/>
                <w:sz w:val="20"/>
                <w:szCs w:val="20"/>
                <w:lang w:val="en-US" w:bidi="ta-IN"/>
                <w14:ligatures w14:val="standardContextual"/>
              </w:rPr>
              <w:t>S. No</w:t>
            </w:r>
          </w:p>
        </w:tc>
        <w:tc>
          <w:tcPr>
            <w:tcW w:w="6225" w:type="dxa"/>
            <w:noWrap/>
            <w:vAlign w:val="center"/>
            <w:hideMark/>
          </w:tcPr>
          <w:p w14:paraId="0507DB95" w14:textId="77777777" w:rsidR="00583DD4" w:rsidRPr="00583DD4" w:rsidRDefault="00583DD4" w:rsidP="00583DD4">
            <w:pPr>
              <w:spacing w:after="0" w:line="360" w:lineRule="auto"/>
              <w:jc w:val="both"/>
              <w:rPr>
                <w:rFonts w:ascii="Arial" w:eastAsiaTheme="minorHAnsi" w:hAnsi="Arial" w:cs="Arial"/>
                <w:b/>
                <w:bCs/>
                <w:sz w:val="20"/>
                <w:szCs w:val="20"/>
                <w:lang w:val="en-US" w:bidi="ta-IN"/>
                <w14:ligatures w14:val="standardContextual"/>
              </w:rPr>
            </w:pPr>
            <w:r w:rsidRPr="00583DD4">
              <w:rPr>
                <w:rFonts w:ascii="Arial" w:eastAsiaTheme="minorHAnsi" w:hAnsi="Arial" w:cs="Arial"/>
                <w:b/>
                <w:bCs/>
                <w:sz w:val="20"/>
                <w:szCs w:val="20"/>
                <w:lang w:val="en-US" w:bidi="ta-IN"/>
                <w14:ligatures w14:val="standardContextual"/>
              </w:rPr>
              <w:t>Particulars</w:t>
            </w:r>
          </w:p>
        </w:tc>
        <w:tc>
          <w:tcPr>
            <w:tcW w:w="1511" w:type="dxa"/>
            <w:noWrap/>
            <w:vAlign w:val="center"/>
            <w:hideMark/>
          </w:tcPr>
          <w:p w14:paraId="197F9D5A" w14:textId="77777777" w:rsidR="00583DD4" w:rsidRPr="00583DD4" w:rsidRDefault="00583DD4" w:rsidP="00583DD4">
            <w:pPr>
              <w:spacing w:after="0" w:line="360" w:lineRule="auto"/>
              <w:jc w:val="both"/>
              <w:rPr>
                <w:rFonts w:ascii="Arial" w:eastAsiaTheme="minorHAnsi" w:hAnsi="Arial" w:cs="Arial"/>
                <w:b/>
                <w:bCs/>
                <w:sz w:val="20"/>
                <w:szCs w:val="20"/>
                <w:lang w:val="en-US" w:bidi="ta-IN"/>
                <w14:ligatures w14:val="standardContextual"/>
              </w:rPr>
            </w:pPr>
            <w:r w:rsidRPr="00583DD4">
              <w:rPr>
                <w:rFonts w:ascii="Arial" w:eastAsiaTheme="minorHAnsi" w:hAnsi="Arial" w:cs="Arial"/>
                <w:b/>
                <w:bCs/>
                <w:sz w:val="20"/>
                <w:szCs w:val="20"/>
                <w:lang w:val="en-US" w:bidi="ta-IN"/>
                <w14:ligatures w14:val="standardContextual"/>
              </w:rPr>
              <w:t>Garret Score</w:t>
            </w:r>
          </w:p>
        </w:tc>
        <w:tc>
          <w:tcPr>
            <w:tcW w:w="1099" w:type="dxa"/>
            <w:noWrap/>
            <w:vAlign w:val="center"/>
            <w:hideMark/>
          </w:tcPr>
          <w:p w14:paraId="4FC43E57" w14:textId="77777777" w:rsidR="00583DD4" w:rsidRPr="00583DD4" w:rsidRDefault="00583DD4" w:rsidP="00583DD4">
            <w:pPr>
              <w:spacing w:after="0" w:line="360" w:lineRule="auto"/>
              <w:jc w:val="both"/>
              <w:rPr>
                <w:rFonts w:ascii="Arial" w:eastAsiaTheme="minorHAnsi" w:hAnsi="Arial" w:cs="Arial"/>
                <w:b/>
                <w:bCs/>
                <w:sz w:val="20"/>
                <w:szCs w:val="20"/>
                <w:lang w:val="en-US" w:bidi="ta-IN"/>
                <w14:ligatures w14:val="standardContextual"/>
              </w:rPr>
            </w:pPr>
            <w:r w:rsidRPr="00583DD4">
              <w:rPr>
                <w:rFonts w:ascii="Arial" w:eastAsiaTheme="minorHAnsi" w:hAnsi="Arial" w:cs="Arial"/>
                <w:b/>
                <w:bCs/>
                <w:sz w:val="20"/>
                <w:szCs w:val="20"/>
                <w:lang w:val="en-US" w:bidi="ta-IN"/>
                <w14:ligatures w14:val="standardContextual"/>
              </w:rPr>
              <w:t>Rank</w:t>
            </w:r>
          </w:p>
        </w:tc>
      </w:tr>
      <w:tr w:rsidR="00583DD4" w:rsidRPr="00583DD4" w14:paraId="54E42833" w14:textId="77777777" w:rsidTr="00583DD4">
        <w:trPr>
          <w:trHeight w:val="174"/>
        </w:trPr>
        <w:tc>
          <w:tcPr>
            <w:tcW w:w="940" w:type="dxa"/>
            <w:noWrap/>
            <w:vAlign w:val="center"/>
            <w:hideMark/>
          </w:tcPr>
          <w:p w14:paraId="11E976E1"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1</w:t>
            </w:r>
          </w:p>
        </w:tc>
        <w:tc>
          <w:tcPr>
            <w:tcW w:w="6225" w:type="dxa"/>
            <w:noWrap/>
            <w:vAlign w:val="bottom"/>
            <w:hideMark/>
          </w:tcPr>
          <w:p w14:paraId="44825773"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 xml:space="preserve">Streamlining subsidy distribution </w:t>
            </w:r>
          </w:p>
        </w:tc>
        <w:tc>
          <w:tcPr>
            <w:tcW w:w="1511" w:type="dxa"/>
            <w:noWrap/>
            <w:vAlign w:val="center"/>
            <w:hideMark/>
          </w:tcPr>
          <w:p w14:paraId="5761BC14"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67.60</w:t>
            </w:r>
          </w:p>
        </w:tc>
        <w:tc>
          <w:tcPr>
            <w:tcW w:w="1099" w:type="dxa"/>
            <w:noWrap/>
            <w:vAlign w:val="center"/>
            <w:hideMark/>
          </w:tcPr>
          <w:p w14:paraId="5B793B48"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commentRangeStart w:id="11"/>
            <w:r w:rsidRPr="00583DD4">
              <w:rPr>
                <w:rFonts w:ascii="Arial" w:eastAsiaTheme="minorHAnsi" w:hAnsi="Arial" w:cs="Arial"/>
                <w:sz w:val="20"/>
                <w:szCs w:val="20"/>
                <w:lang w:val="en-US" w:bidi="ta-IN"/>
                <w14:ligatures w14:val="standardContextual"/>
              </w:rPr>
              <w:t>1</w:t>
            </w:r>
            <w:commentRangeEnd w:id="11"/>
            <w:r w:rsidR="00750B2D" w:rsidRPr="00583DD4">
              <w:rPr>
                <w:rStyle w:val="CommentReference"/>
                <w:rFonts w:ascii="Arial" w:eastAsiaTheme="minorHAnsi" w:hAnsi="Arial" w:cs="Arial"/>
                <w:sz w:val="20"/>
                <w:szCs w:val="20"/>
                <w:lang w:val="en-US" w:bidi="ta-IN"/>
                <w14:ligatures w14:val="standardContextual"/>
              </w:rPr>
              <w:commentReference w:id="11"/>
            </w:r>
          </w:p>
        </w:tc>
      </w:tr>
      <w:tr w:rsidR="00583DD4" w:rsidRPr="00583DD4" w14:paraId="23D5A58D" w14:textId="77777777" w:rsidTr="00583DD4">
        <w:trPr>
          <w:trHeight w:val="174"/>
        </w:trPr>
        <w:tc>
          <w:tcPr>
            <w:tcW w:w="940" w:type="dxa"/>
            <w:noWrap/>
            <w:vAlign w:val="center"/>
            <w:hideMark/>
          </w:tcPr>
          <w:p w14:paraId="4FE70DB5"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2</w:t>
            </w:r>
          </w:p>
        </w:tc>
        <w:tc>
          <w:tcPr>
            <w:tcW w:w="6225" w:type="dxa"/>
            <w:noWrap/>
            <w:vAlign w:val="bottom"/>
            <w:hideMark/>
          </w:tcPr>
          <w:p w14:paraId="6E05C925"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Timely release of grants</w:t>
            </w:r>
          </w:p>
        </w:tc>
        <w:tc>
          <w:tcPr>
            <w:tcW w:w="1511" w:type="dxa"/>
            <w:noWrap/>
            <w:vAlign w:val="center"/>
            <w:hideMark/>
          </w:tcPr>
          <w:p w14:paraId="6F027BF6"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63.80</w:t>
            </w:r>
          </w:p>
        </w:tc>
        <w:tc>
          <w:tcPr>
            <w:tcW w:w="1099" w:type="dxa"/>
            <w:noWrap/>
            <w:vAlign w:val="center"/>
            <w:hideMark/>
          </w:tcPr>
          <w:p w14:paraId="4D5A7F62"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2</w:t>
            </w:r>
          </w:p>
        </w:tc>
      </w:tr>
      <w:tr w:rsidR="00583DD4" w:rsidRPr="00583DD4" w14:paraId="55DD8A39" w14:textId="77777777" w:rsidTr="00583DD4">
        <w:trPr>
          <w:trHeight w:val="174"/>
        </w:trPr>
        <w:tc>
          <w:tcPr>
            <w:tcW w:w="940" w:type="dxa"/>
            <w:noWrap/>
            <w:vAlign w:val="center"/>
            <w:hideMark/>
          </w:tcPr>
          <w:p w14:paraId="563CC89F"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3</w:t>
            </w:r>
          </w:p>
        </w:tc>
        <w:tc>
          <w:tcPr>
            <w:tcW w:w="6225" w:type="dxa"/>
            <w:noWrap/>
            <w:vAlign w:val="bottom"/>
            <w:hideMark/>
          </w:tcPr>
          <w:p w14:paraId="74E950A7"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Licenses for farm inputs service and trading during FPO registration</w:t>
            </w:r>
          </w:p>
        </w:tc>
        <w:tc>
          <w:tcPr>
            <w:tcW w:w="1511" w:type="dxa"/>
            <w:noWrap/>
            <w:vAlign w:val="center"/>
            <w:hideMark/>
          </w:tcPr>
          <w:p w14:paraId="35C80F27"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61.73</w:t>
            </w:r>
          </w:p>
        </w:tc>
        <w:tc>
          <w:tcPr>
            <w:tcW w:w="1099" w:type="dxa"/>
            <w:noWrap/>
            <w:vAlign w:val="center"/>
            <w:hideMark/>
          </w:tcPr>
          <w:p w14:paraId="56FA2801"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3</w:t>
            </w:r>
          </w:p>
        </w:tc>
      </w:tr>
      <w:tr w:rsidR="00583DD4" w:rsidRPr="00583DD4" w14:paraId="759A4B9E" w14:textId="77777777" w:rsidTr="00583DD4">
        <w:trPr>
          <w:trHeight w:val="174"/>
        </w:trPr>
        <w:tc>
          <w:tcPr>
            <w:tcW w:w="940" w:type="dxa"/>
            <w:noWrap/>
            <w:vAlign w:val="center"/>
            <w:hideMark/>
          </w:tcPr>
          <w:p w14:paraId="2F0CA112"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4</w:t>
            </w:r>
          </w:p>
        </w:tc>
        <w:tc>
          <w:tcPr>
            <w:tcW w:w="6225" w:type="dxa"/>
            <w:noWrap/>
            <w:vAlign w:val="bottom"/>
            <w:hideMark/>
          </w:tcPr>
          <w:p w14:paraId="128C0CC1"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Government endorsement for sales</w:t>
            </w:r>
          </w:p>
        </w:tc>
        <w:tc>
          <w:tcPr>
            <w:tcW w:w="1511" w:type="dxa"/>
            <w:noWrap/>
            <w:vAlign w:val="center"/>
            <w:hideMark/>
          </w:tcPr>
          <w:p w14:paraId="21D1FA18"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54.20</w:t>
            </w:r>
          </w:p>
        </w:tc>
        <w:tc>
          <w:tcPr>
            <w:tcW w:w="1099" w:type="dxa"/>
            <w:noWrap/>
            <w:vAlign w:val="center"/>
            <w:hideMark/>
          </w:tcPr>
          <w:p w14:paraId="0F74241E"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4</w:t>
            </w:r>
          </w:p>
        </w:tc>
      </w:tr>
      <w:tr w:rsidR="00583DD4" w:rsidRPr="00583DD4" w14:paraId="0A13E756" w14:textId="77777777" w:rsidTr="00583DD4">
        <w:trPr>
          <w:trHeight w:val="174"/>
        </w:trPr>
        <w:tc>
          <w:tcPr>
            <w:tcW w:w="940" w:type="dxa"/>
            <w:noWrap/>
            <w:vAlign w:val="center"/>
            <w:hideMark/>
          </w:tcPr>
          <w:p w14:paraId="3B53D97F"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5</w:t>
            </w:r>
          </w:p>
        </w:tc>
        <w:tc>
          <w:tcPr>
            <w:tcW w:w="6225" w:type="dxa"/>
            <w:noWrap/>
            <w:vAlign w:val="bottom"/>
            <w:hideMark/>
          </w:tcPr>
          <w:p w14:paraId="1ACBA299"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Government-led advertising initiatives</w:t>
            </w:r>
          </w:p>
        </w:tc>
        <w:tc>
          <w:tcPr>
            <w:tcW w:w="1511" w:type="dxa"/>
            <w:noWrap/>
            <w:vAlign w:val="center"/>
            <w:hideMark/>
          </w:tcPr>
          <w:p w14:paraId="112989AC"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48.37</w:t>
            </w:r>
          </w:p>
        </w:tc>
        <w:tc>
          <w:tcPr>
            <w:tcW w:w="1099" w:type="dxa"/>
            <w:noWrap/>
            <w:vAlign w:val="center"/>
            <w:hideMark/>
          </w:tcPr>
          <w:p w14:paraId="019346E8"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5</w:t>
            </w:r>
          </w:p>
        </w:tc>
      </w:tr>
      <w:tr w:rsidR="00583DD4" w:rsidRPr="00583DD4" w14:paraId="2DE080D2" w14:textId="77777777" w:rsidTr="00583DD4">
        <w:trPr>
          <w:trHeight w:val="174"/>
        </w:trPr>
        <w:tc>
          <w:tcPr>
            <w:tcW w:w="940" w:type="dxa"/>
            <w:noWrap/>
            <w:vAlign w:val="center"/>
            <w:hideMark/>
          </w:tcPr>
          <w:p w14:paraId="389E726F"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6</w:t>
            </w:r>
          </w:p>
        </w:tc>
        <w:tc>
          <w:tcPr>
            <w:tcW w:w="6225" w:type="dxa"/>
            <w:noWrap/>
            <w:vAlign w:val="bottom"/>
            <w:hideMark/>
          </w:tcPr>
          <w:p w14:paraId="3198E767"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Collaborate with other FPOs.</w:t>
            </w:r>
          </w:p>
        </w:tc>
        <w:tc>
          <w:tcPr>
            <w:tcW w:w="1511" w:type="dxa"/>
            <w:noWrap/>
            <w:vAlign w:val="center"/>
            <w:hideMark/>
          </w:tcPr>
          <w:p w14:paraId="51F218C2"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47.80</w:t>
            </w:r>
          </w:p>
        </w:tc>
        <w:tc>
          <w:tcPr>
            <w:tcW w:w="1099" w:type="dxa"/>
            <w:noWrap/>
            <w:vAlign w:val="center"/>
            <w:hideMark/>
          </w:tcPr>
          <w:p w14:paraId="4FACA91C"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6</w:t>
            </w:r>
          </w:p>
        </w:tc>
      </w:tr>
      <w:tr w:rsidR="00583DD4" w:rsidRPr="00583DD4" w14:paraId="6875EE0A" w14:textId="77777777" w:rsidTr="00583DD4">
        <w:trPr>
          <w:trHeight w:val="174"/>
        </w:trPr>
        <w:tc>
          <w:tcPr>
            <w:tcW w:w="940" w:type="dxa"/>
            <w:noWrap/>
            <w:vAlign w:val="center"/>
            <w:hideMark/>
          </w:tcPr>
          <w:p w14:paraId="18BAD67A"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7</w:t>
            </w:r>
          </w:p>
        </w:tc>
        <w:tc>
          <w:tcPr>
            <w:tcW w:w="6225" w:type="dxa"/>
            <w:noWrap/>
            <w:vAlign w:val="bottom"/>
            <w:hideMark/>
          </w:tcPr>
          <w:p w14:paraId="52C2C629"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Extended support for management costs</w:t>
            </w:r>
          </w:p>
        </w:tc>
        <w:tc>
          <w:tcPr>
            <w:tcW w:w="1511" w:type="dxa"/>
            <w:noWrap/>
            <w:vAlign w:val="center"/>
            <w:hideMark/>
          </w:tcPr>
          <w:p w14:paraId="1538E372"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44.77</w:t>
            </w:r>
          </w:p>
        </w:tc>
        <w:tc>
          <w:tcPr>
            <w:tcW w:w="1099" w:type="dxa"/>
            <w:noWrap/>
            <w:vAlign w:val="center"/>
            <w:hideMark/>
          </w:tcPr>
          <w:p w14:paraId="427A4A01"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7</w:t>
            </w:r>
          </w:p>
        </w:tc>
      </w:tr>
      <w:tr w:rsidR="00583DD4" w:rsidRPr="00583DD4" w14:paraId="4711DA5D" w14:textId="77777777" w:rsidTr="00583DD4">
        <w:trPr>
          <w:trHeight w:val="174"/>
        </w:trPr>
        <w:tc>
          <w:tcPr>
            <w:tcW w:w="940" w:type="dxa"/>
            <w:noWrap/>
            <w:vAlign w:val="center"/>
            <w:hideMark/>
          </w:tcPr>
          <w:p w14:paraId="0F39E222"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8</w:t>
            </w:r>
          </w:p>
        </w:tc>
        <w:tc>
          <w:tcPr>
            <w:tcW w:w="6225" w:type="dxa"/>
            <w:noWrap/>
            <w:vAlign w:val="bottom"/>
            <w:hideMark/>
          </w:tcPr>
          <w:p w14:paraId="3AA4E66D"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Warehouse development</w:t>
            </w:r>
          </w:p>
        </w:tc>
        <w:tc>
          <w:tcPr>
            <w:tcW w:w="1511" w:type="dxa"/>
            <w:noWrap/>
            <w:vAlign w:val="center"/>
            <w:hideMark/>
          </w:tcPr>
          <w:p w14:paraId="6328C6A7"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42.80</w:t>
            </w:r>
          </w:p>
        </w:tc>
        <w:tc>
          <w:tcPr>
            <w:tcW w:w="1099" w:type="dxa"/>
            <w:noWrap/>
            <w:vAlign w:val="center"/>
            <w:hideMark/>
          </w:tcPr>
          <w:p w14:paraId="2E59D374"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8</w:t>
            </w:r>
          </w:p>
        </w:tc>
      </w:tr>
      <w:tr w:rsidR="00583DD4" w:rsidRPr="00583DD4" w14:paraId="47455D23" w14:textId="77777777" w:rsidTr="00583DD4">
        <w:trPr>
          <w:trHeight w:val="174"/>
        </w:trPr>
        <w:tc>
          <w:tcPr>
            <w:tcW w:w="940" w:type="dxa"/>
            <w:noWrap/>
            <w:vAlign w:val="center"/>
            <w:hideMark/>
          </w:tcPr>
          <w:p w14:paraId="12F2F7BB"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9</w:t>
            </w:r>
          </w:p>
        </w:tc>
        <w:tc>
          <w:tcPr>
            <w:tcW w:w="6225" w:type="dxa"/>
            <w:noWrap/>
            <w:vAlign w:val="bottom"/>
            <w:hideMark/>
          </w:tcPr>
          <w:p w14:paraId="0E168186"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Encouraging custom hiring centres</w:t>
            </w:r>
          </w:p>
        </w:tc>
        <w:tc>
          <w:tcPr>
            <w:tcW w:w="1511" w:type="dxa"/>
            <w:noWrap/>
            <w:vAlign w:val="center"/>
            <w:hideMark/>
          </w:tcPr>
          <w:p w14:paraId="1073BB30"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37.63</w:t>
            </w:r>
          </w:p>
        </w:tc>
        <w:tc>
          <w:tcPr>
            <w:tcW w:w="1099" w:type="dxa"/>
            <w:noWrap/>
            <w:vAlign w:val="center"/>
            <w:hideMark/>
          </w:tcPr>
          <w:p w14:paraId="42E0DB2E"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9</w:t>
            </w:r>
          </w:p>
        </w:tc>
      </w:tr>
      <w:tr w:rsidR="00583DD4" w:rsidRPr="00583DD4" w14:paraId="1364A915" w14:textId="77777777" w:rsidTr="00583DD4">
        <w:trPr>
          <w:trHeight w:val="174"/>
        </w:trPr>
        <w:tc>
          <w:tcPr>
            <w:tcW w:w="940" w:type="dxa"/>
            <w:noWrap/>
            <w:vAlign w:val="center"/>
            <w:hideMark/>
          </w:tcPr>
          <w:p w14:paraId="4B12D0FF"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10</w:t>
            </w:r>
          </w:p>
        </w:tc>
        <w:tc>
          <w:tcPr>
            <w:tcW w:w="6225" w:type="dxa"/>
            <w:noWrap/>
            <w:vAlign w:val="bottom"/>
            <w:hideMark/>
          </w:tcPr>
          <w:p w14:paraId="2BE892D7"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Skill development training centers at FPO level</w:t>
            </w:r>
          </w:p>
        </w:tc>
        <w:tc>
          <w:tcPr>
            <w:tcW w:w="1511" w:type="dxa"/>
            <w:noWrap/>
            <w:vAlign w:val="center"/>
            <w:hideMark/>
          </w:tcPr>
          <w:p w14:paraId="14561188"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36.30</w:t>
            </w:r>
          </w:p>
        </w:tc>
        <w:tc>
          <w:tcPr>
            <w:tcW w:w="1099" w:type="dxa"/>
            <w:noWrap/>
            <w:vAlign w:val="center"/>
            <w:hideMark/>
          </w:tcPr>
          <w:p w14:paraId="44EB5690"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commentRangeStart w:id="12"/>
            <w:r w:rsidRPr="00583DD4">
              <w:rPr>
                <w:rFonts w:ascii="Arial" w:eastAsiaTheme="minorHAnsi" w:hAnsi="Arial" w:cs="Arial"/>
                <w:sz w:val="20"/>
                <w:szCs w:val="20"/>
                <w:lang w:val="en-US" w:bidi="ta-IN"/>
                <w14:ligatures w14:val="standardContextual"/>
              </w:rPr>
              <w:t>10</w:t>
            </w:r>
            <w:commentRangeEnd w:id="12"/>
            <w:r w:rsidR="00750B2D" w:rsidRPr="00583DD4">
              <w:rPr>
                <w:rStyle w:val="CommentReference"/>
                <w:rFonts w:ascii="Arial" w:eastAsiaTheme="minorHAnsi" w:hAnsi="Arial" w:cs="Arial"/>
                <w:sz w:val="20"/>
                <w:szCs w:val="20"/>
                <w:lang w:val="en-US" w:bidi="ta-IN"/>
                <w14:ligatures w14:val="standardContextual"/>
              </w:rPr>
              <w:commentReference w:id="12"/>
            </w:r>
          </w:p>
        </w:tc>
      </w:tr>
    </w:tbl>
    <w:p w14:paraId="79686680" w14:textId="517BBF8C" w:rsidR="005C784E" w:rsidRPr="003554D8" w:rsidRDefault="007E5400" w:rsidP="005C784E">
      <w:pPr>
        <w:spacing w:after="0" w:line="360" w:lineRule="auto"/>
        <w:jc w:val="both"/>
        <w:rPr>
          <w:rFonts w:ascii="Arial" w:eastAsiaTheme="minorHAnsi" w:hAnsi="Arial" w:cs="Arial"/>
          <w:sz w:val="20"/>
          <w:szCs w:val="20"/>
          <w:lang w:val="en-US" w:bidi="ta-IN"/>
          <w14:ligatures w14:val="standardContextual"/>
        </w:rPr>
      </w:pPr>
      <w:r w:rsidRPr="007E5400">
        <w:rPr>
          <w:rFonts w:ascii="Arial" w:eastAsiaTheme="minorHAnsi" w:hAnsi="Arial" w:cs="Arial"/>
          <w:sz w:val="20"/>
          <w:szCs w:val="20"/>
          <w:lang w:val="en-US" w:bidi="ta-IN"/>
          <w14:ligatures w14:val="standardContextual"/>
        </w:rPr>
        <w:t>Further recommendations include securing government endorsement for sales (54.20) to promote FPO products through institutional channels, and implementing government-led promotional campaigns (48.37) to enhance market visibility. Collaboration with other FPOs (47.80) is suggested to leverage collective resources and strengthen impact on farmer livelihoods. Additional measures such as extended support for management costs (44.77), development of warehouses (42.80), and the establishment of custom hiring centers (37.63) are critical for operational efficiency and modernization of agricultural practices. Finally, the creation of skill development and training centers at the FPO level (36.30) is recommended to empower members, improve capacity, and contribute to sustainable rural development.</w:t>
      </w:r>
    </w:p>
    <w:p w14:paraId="679F185E" w14:textId="544D85C2" w:rsidR="001E1EF3" w:rsidRPr="007E5400" w:rsidRDefault="001E1EF3" w:rsidP="007E5400">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 xml:space="preserve">4. </w:t>
      </w:r>
      <w:r w:rsidR="00682556" w:rsidRPr="003554D8">
        <w:rPr>
          <w:rFonts w:ascii="Arial" w:eastAsiaTheme="minorHAnsi" w:hAnsi="Arial" w:cs="Arial"/>
          <w:b/>
          <w:bCs/>
          <w:sz w:val="20"/>
          <w:szCs w:val="20"/>
          <w:lang w:val="en-US" w:bidi="ta-IN"/>
          <w14:ligatures w14:val="standardContextual"/>
        </w:rPr>
        <w:t>Conclusion</w:t>
      </w:r>
      <w:r w:rsidR="007E5400">
        <w:rPr>
          <w:rFonts w:ascii="Arial" w:eastAsiaTheme="minorHAnsi" w:hAnsi="Arial" w:cs="Arial"/>
          <w:b/>
          <w:bCs/>
          <w:sz w:val="20"/>
          <w:szCs w:val="20"/>
          <w:lang w:val="en-US" w:bidi="ta-IN"/>
          <w14:ligatures w14:val="standardContextual"/>
        </w:rPr>
        <w:t xml:space="preserve">: </w:t>
      </w:r>
      <w:r w:rsidR="007E5400" w:rsidRPr="007E5400">
        <w:rPr>
          <w:rFonts w:ascii="Arial" w:eastAsiaTheme="minorHAnsi" w:hAnsi="Arial" w:cs="Arial"/>
          <w:sz w:val="20"/>
          <w:szCs w:val="20"/>
          <w:lang w:val="en-US" w:bidi="ta-IN"/>
          <w14:ligatures w14:val="standardContextual"/>
        </w:rPr>
        <w:t>FPOs</w:t>
      </w:r>
      <w:r w:rsidR="007E5400">
        <w:rPr>
          <w:rFonts w:ascii="Arial" w:eastAsiaTheme="minorHAnsi" w:hAnsi="Arial" w:cs="Arial"/>
          <w:sz w:val="20"/>
          <w:szCs w:val="20"/>
          <w:lang w:val="en-US" w:bidi="ta-IN"/>
          <w14:ligatures w14:val="standardContextual"/>
        </w:rPr>
        <w:t xml:space="preserve"> </w:t>
      </w:r>
      <w:r w:rsidR="007E5400" w:rsidRPr="007E5400">
        <w:rPr>
          <w:rFonts w:ascii="Arial" w:eastAsiaTheme="minorHAnsi" w:hAnsi="Arial" w:cs="Arial"/>
          <w:sz w:val="20"/>
          <w:szCs w:val="20"/>
          <w:lang w:val="en-US" w:bidi="ta-IN"/>
          <w14:ligatures w14:val="standardContextual"/>
        </w:rPr>
        <w:t>in Tamil Nadu play a pivotal role in enhancing smallholder farmers’ market access, bargaining power, and overall livelihoods. However, the study reveals that these organizations, particularly in their formative years, face significant challenges across capitalization, internal governance, and market expansion. Key constraints include delayed and complex government grants, limited funding, cash flow issues, leadership instability, licensing delays, weak communication, and restricted access to distribution networks and infrastructure. Gender disparities in membership and leadership, although improving, remain an area requiring attention.</w:t>
      </w:r>
      <w:r w:rsidR="00A1404C">
        <w:rPr>
          <w:rFonts w:ascii="Arial" w:eastAsiaTheme="minorHAnsi" w:hAnsi="Arial" w:cs="Arial"/>
          <w:sz w:val="20"/>
          <w:szCs w:val="20"/>
          <w:lang w:val="en-US" w:bidi="ta-IN"/>
          <w14:ligatures w14:val="standardContextual"/>
        </w:rPr>
        <w:t xml:space="preserve"> </w:t>
      </w:r>
      <w:r w:rsidR="007E5400" w:rsidRPr="007E5400">
        <w:rPr>
          <w:rFonts w:ascii="Arial" w:eastAsiaTheme="minorHAnsi" w:hAnsi="Arial" w:cs="Arial"/>
          <w:sz w:val="20"/>
          <w:szCs w:val="20"/>
          <w:lang w:val="en-US" w:bidi="ta-IN"/>
          <w14:ligatures w14:val="standardContextual"/>
        </w:rPr>
        <w:t xml:space="preserve">The analysis underscores the necessity of strategic interventions to strengthen FPO performance. Streamlining financial support mechanisms, simplifying regulatory and licensing processes, enhancing business planning, and fostering leadership stability are critical for effective governance. Simultaneously, adopting innovative marketing strategies, identifying profitable market </w:t>
      </w:r>
      <w:r w:rsidR="007E5400" w:rsidRPr="007E5400">
        <w:rPr>
          <w:rFonts w:ascii="Arial" w:eastAsiaTheme="minorHAnsi" w:hAnsi="Arial" w:cs="Arial"/>
          <w:sz w:val="20"/>
          <w:szCs w:val="20"/>
          <w:lang w:val="en-US" w:bidi="ta-IN"/>
          <w14:ligatures w14:val="standardContextual"/>
        </w:rPr>
        <w:lastRenderedPageBreak/>
        <w:t>segments, expanding distribution networks, investing in storage and processing facilities, and strengthening value chain linkages can enable FPOs to explore new market opportunities successfully. Collaboration among FPOs, targeted skill development programs, and active farmer participation further contribute to operational efficiency and sustainability.</w:t>
      </w:r>
      <w:r w:rsidR="00A1404C">
        <w:rPr>
          <w:rFonts w:ascii="Arial" w:eastAsiaTheme="minorHAnsi" w:hAnsi="Arial" w:cs="Arial"/>
          <w:sz w:val="20"/>
          <w:szCs w:val="20"/>
          <w:lang w:val="en-US" w:bidi="ta-IN"/>
          <w14:ligatures w14:val="standardContextual"/>
        </w:rPr>
        <w:t xml:space="preserve"> </w:t>
      </w:r>
      <w:r w:rsidR="007E5400" w:rsidRPr="007E5400">
        <w:rPr>
          <w:rFonts w:ascii="Arial" w:eastAsiaTheme="minorHAnsi" w:hAnsi="Arial" w:cs="Arial"/>
          <w:sz w:val="20"/>
          <w:szCs w:val="20"/>
          <w:lang w:val="en-US" w:bidi="ta-IN"/>
          <w14:ligatures w14:val="standardContextual"/>
        </w:rPr>
        <w:t>Overall, addressing these multifaceted challenges through holistic, well-coordinated policy, institutional, and managerial interventions can significantly enhance the viability, resilience, and long-term sustainability of FPOs in Tamil Nadu, ensuring that they continue to empower smallholder farmers and contribute meaningfully to rural development.</w:t>
      </w:r>
    </w:p>
    <w:p w14:paraId="14C57773" w14:textId="77777777" w:rsidR="004F7DD2" w:rsidRPr="003554D8" w:rsidRDefault="004F7DD2" w:rsidP="003F7456">
      <w:pPr>
        <w:spacing w:after="0" w:line="360" w:lineRule="auto"/>
        <w:jc w:val="both"/>
        <w:rPr>
          <w:rFonts w:ascii="Arial" w:eastAsiaTheme="minorHAnsi" w:hAnsi="Arial" w:cs="Arial"/>
          <w:b/>
          <w:bCs/>
          <w:sz w:val="20"/>
          <w:szCs w:val="20"/>
          <w:lang w:val="en-US" w:bidi="ta-IN"/>
          <w14:ligatures w14:val="standardContextual"/>
        </w:rPr>
      </w:pPr>
    </w:p>
    <w:p w14:paraId="4FB55735" w14:textId="36953D24" w:rsidR="003F7456" w:rsidRPr="003554D8" w:rsidRDefault="003F7456" w:rsidP="003F7456">
      <w:pPr>
        <w:spacing w:after="0" w:line="360" w:lineRule="auto"/>
        <w:jc w:val="both"/>
        <w:rPr>
          <w:rFonts w:ascii="Arial" w:eastAsiaTheme="minorHAnsi" w:hAnsi="Arial" w:cs="Arial"/>
          <w:b/>
          <w:bCs/>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Reference</w:t>
      </w:r>
    </w:p>
    <w:p w14:paraId="496A8E32"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Jose, A. M., &amp; Chathukulam, J. (2025). Farmer Producer Organisations and Institutional Economics: Institutional Economic Thought for Strengthening Sustainable Agriculture. Indian Public Policy Review, 6(3), 27-84.</w:t>
      </w:r>
    </w:p>
    <w:p w14:paraId="17DDEEC1"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Pasupuleti, S., Nikam, V., Veesam, H., &amp; V, P. K. (2025). Farmer Producer Organization–based Value Chain to Leverage the Income of Small Farmers: An Empirical Evidence from India. Journal of Asian and African Studies, 00219096251376665.</w:t>
      </w:r>
    </w:p>
    <w:p w14:paraId="381D2CBE"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Suresh, V., Sreejith, S. S., Vivek, S., &amp; Bonin, S. (2025). Can farmer’s producers organisations be a sustainable livelihood program for farmer’s wellbeing, in Kerala, India?. Development in Practice, 1-15.</w:t>
      </w:r>
    </w:p>
    <w:p w14:paraId="524A4B91"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Suresh, V., &amp; SS, S. (2024). Enabling and inhibiting factors of sustainability of Farmer's Producers Organisations in India. Discover Sustainability, 5(1), 333.</w:t>
      </w:r>
    </w:p>
    <w:p w14:paraId="0741CBA7"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Biswas, P., Kumar, A., Kumari, S. S., Pathak, S., &amp; Ahmad, N. (2025). The Role of Farmer Producer Organizations (FPOs) in Revamping Indian Agriculture Landscape. Journal of Scientific Research and Reports, 31(3), 490-506.</w:t>
      </w:r>
    </w:p>
    <w:p w14:paraId="022E6E35"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Nikam, V. (2023). Improving the Effectiveness of Farmer Producer Organisations. Agricultural Development Report, 59.</w:t>
      </w:r>
    </w:p>
    <w:p w14:paraId="4A46A4FF"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Venkatesan, P., S Sontakki, B., Shenoy, N. S., Sivaramane, N., &amp; Sivakumar, P. S. (2020). Impact of farmer producer organizations in fostering community entrepreneurship. Indian Journal of Extension Education, 56(2), 111-117.</w:t>
      </w:r>
    </w:p>
    <w:p w14:paraId="133497E5"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Ramappa, K. B., &amp; Yashashwini, M. A. (2018). Evolution of farmer producer organizations: Challenges and opportunities. Research Journal of Agricultural Sciences, 9(4), 709-715.</w:t>
      </w:r>
    </w:p>
    <w:p w14:paraId="63B3DAB8"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Thamban, C., Jayasekhar, S., Chandran, K. P., &amp; Rajesh, M. K. (2020). Sustainability of Farmer Producer Organisations-The case of producer organisations involved in the production and marketing of ‘neera’in the coconut sector in Kerala, India. Journal of Plantation Crops, 48(2):150-159.</w:t>
      </w:r>
    </w:p>
    <w:p w14:paraId="05DABD55"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Jitendra Kumar Chauhan, Ankur Adhikary and Pradhan, K. 2021. Identification of Constraints Associated with Farmers’ Producer Organisations (FPOs). International Journal of Current Microbiology and Applied Sciences, 10(01): 1859-1864.</w:t>
      </w:r>
    </w:p>
    <w:p w14:paraId="339E1C5A"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lastRenderedPageBreak/>
        <w:t>Patil, S., Mehta, M., Pancholi, G., &amp; Saxena, A. (2025). Unveiling the dynamics of farmer producer organizations in India: a systematic review of status, challenges, and future directions. Humanities and Social Sciences Communications, 12(1), 1-17.</w:t>
      </w:r>
    </w:p>
    <w:p w14:paraId="53B2848E"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Kumari, N., &amp; Bisht, K. (2023). Identification of core competencies for managing farmer producer organizations using factor analysis. Indian Journal of Extension Education, 59(3), 108-112.</w:t>
      </w:r>
    </w:p>
    <w:p w14:paraId="02942FF4"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Thangavel, M., Khangar, N. S., Das, A., Sasikala, G., Vadivel, E., &amp; Sengupta, A. (2025). Financial health of farmer producer companies in Tamil Nadu: challenges and prospects. Discover Sustainability, 6(1), 487.</w:t>
      </w:r>
    </w:p>
    <w:p w14:paraId="0A005A7E"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Pathania, A. (2020). Farmers producer organization: Can transform the face of agri-business in India. Journal of Pharmacognosy and Phytochemistry, 9(5S), 745-750.</w:t>
      </w:r>
    </w:p>
    <w:p w14:paraId="4A9C45C1"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Suresh, V., SS, S., S, V., &amp; Santha, S. D. (2025). Institutional Bricolage and Collective Action: A Case Study of a Farmers’ Producer Organisation in Tamil Nadu, South India. International Journal of Rural Management, 21(2), 168-185.</w:t>
      </w:r>
    </w:p>
    <w:p w14:paraId="682CCD80"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Rahul G. Ghadge, Mahesh Shitole and P.S. Latambale (2023). A Study of Challenges Faced by FPO While Marketing their Produce. Biological Forum – An International Journal, 15(3): 872-879</w:t>
      </w:r>
    </w:p>
    <w:p w14:paraId="19D49499"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Shree, D. N., &amp; Vaishnavi, P. (2022). Challenges faced by farmer producer organisations (FPOs)-A review. Journal of Agricultural Extension Management, 23(1), 131-138.</w:t>
      </w:r>
    </w:p>
    <w:p w14:paraId="0B55770B"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Sinega, C. &amp; Agila, R &amp; Nirmala, M &amp; Shankar, Kanaka &amp; Ramalingam, Gangai. (2024). Overcoming hurdles: Navigating the key challenges faced by FPO members in Tiruvallur district. International Journal of Agriculture Extension and Social Development. 7. 98-102.</w:t>
      </w:r>
    </w:p>
    <w:p w14:paraId="68C4A315"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Sangappa, D., Laxmi, B., Tengli, M. B., &amp; Ravi, S. C. Determinants of Managerial Abilities of Farmers: Insights from Millet Based Farmer Producer Organizations (FPOs) of Karnataka. Indian Research Journal of Extension Education, 23(4):117-121</w:t>
      </w:r>
    </w:p>
    <w:p w14:paraId="5AB13E69"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Ismanto, H., Suharto, S., Azhari, A., and Arsyad, L. (2018). “Ranking method in group decision support to determine the regional prioritized areas and leading sectors using Garrett score”, International Journal of Advanced Computer Science and Applications, 9(11): 94-99.</w:t>
      </w:r>
    </w:p>
    <w:p w14:paraId="5CB41D8E"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 xml:space="preserve">Shree, D. A., &amp; Shree, P. V. (2022). Challenges faced by farmer producer organisations (FPOs)-A review, “Journal of Agricultural Extension Management, 23(1):131-138. </w:t>
      </w:r>
    </w:p>
    <w:p w14:paraId="04DEC182"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Hyde, K. R. (2021). Alternative finance strategies for small business sustainability and growth. Walden University.</w:t>
      </w:r>
    </w:p>
    <w:p w14:paraId="70B2416F"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Ketprapakorn, N., &amp; Kantabutra, S. (2022). Toward an organizational theory of sustainability culture. Sustainable production and consumption, 32, 638-654.</w:t>
      </w:r>
    </w:p>
    <w:p w14:paraId="03C6E714" w14:textId="4BA75FB1" w:rsidR="003F7456"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Patil, S., Mehta, M., Pancholi, G., &amp; Saxena, A. (2025). Unveiling the dynamics of farmer producer organizations in India: a systematic review of status, challenges, and future directions. Humanities and Social Sciences Communications, 12(1), 1-17.</w:t>
      </w:r>
    </w:p>
    <w:sectPr w:rsidR="003F7456" w:rsidRPr="0062460F" w:rsidSect="00BF133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ajit Bhuyan" w:date="2026-03-05T20:55:00Z" w:initials="DB">
    <w:p w14:paraId="32733DD9" w14:textId="77777777" w:rsidR="009A3BAE" w:rsidRDefault="009A3BAE" w:rsidP="009A3BAE">
      <w:pPr>
        <w:pStyle w:val="CommentText"/>
      </w:pPr>
      <w:r>
        <w:rPr>
          <w:rStyle w:val="CommentReference"/>
        </w:rPr>
        <w:annotationRef/>
      </w:r>
      <w:r>
        <w:t>It would be more appropriate in the study, if the author provide more details about the FPO in the surveyed areas.</w:t>
      </w:r>
    </w:p>
  </w:comment>
  <w:comment w:id="4" w:author="Debajit Bhuyan" w:date="2026-03-05T20:06:00Z" w:initials="DB">
    <w:p w14:paraId="6DDBED75" w14:textId="77777777" w:rsidR="00042A38" w:rsidRDefault="00042A38" w:rsidP="00042A38">
      <w:pPr>
        <w:pStyle w:val="CommentText"/>
      </w:pPr>
      <w:r>
        <w:rPr>
          <w:rStyle w:val="CommentReference"/>
        </w:rPr>
        <w:annotationRef/>
      </w:r>
      <w:r>
        <w:t xml:space="preserve">Specify clearly, whether the 15 FPOs include both millet and oilseeds from each zone, or whether 15 millet FPOs are taken from one zone and 15 oilseeds FPOs from the remaining zones.” </w:t>
      </w:r>
    </w:p>
  </w:comment>
  <w:comment w:id="5" w:author="Debajit Bhuyan" w:date="2026-03-05T20:52:00Z" w:initials="DB">
    <w:p w14:paraId="6D7380A7" w14:textId="77777777" w:rsidR="003528E6" w:rsidRDefault="003528E6" w:rsidP="003528E6">
      <w:pPr>
        <w:pStyle w:val="CommentText"/>
      </w:pPr>
      <w:r>
        <w:rPr>
          <w:rStyle w:val="CommentReference"/>
        </w:rPr>
        <w:annotationRef/>
      </w:r>
      <w:r>
        <w:t xml:space="preserve">Before Section 3.2 is analysed by the author, it would be more appropriate for this study to present a table of challenges related to capitalization, internal governance, and exploring new markets using the Garrett Ranking Technique. This would help clearly identify which challenge is the most significant. One more important point is that the author should specify the reasons for selecting only these three challenges, as there are many other possible challenges faced by FPOs, such as lack of basic infrastructure. </w:t>
      </w:r>
    </w:p>
  </w:comment>
  <w:comment w:id="6" w:author="Debajit Bhuyan" w:date="2026-03-05T20:16:00Z" w:initials="DB">
    <w:p w14:paraId="40F0D966" w14:textId="77777777" w:rsidR="00751E5E" w:rsidRDefault="00751E5E" w:rsidP="00751E5E">
      <w:pPr>
        <w:pStyle w:val="CommentText"/>
      </w:pPr>
      <w:r>
        <w:rPr>
          <w:rStyle w:val="CommentReference"/>
        </w:rPr>
        <w:annotationRef/>
      </w:r>
      <w:r>
        <w:t>Why, its top rank in the study areas ? Specify</w:t>
      </w:r>
    </w:p>
  </w:comment>
  <w:comment w:id="7" w:author="Debajit Bhuyan" w:date="2026-03-05T20:17:00Z" w:initials="DB">
    <w:p w14:paraId="2E7CA3D4" w14:textId="77777777" w:rsidR="00751E5E" w:rsidRDefault="00751E5E" w:rsidP="00751E5E">
      <w:pPr>
        <w:pStyle w:val="CommentText"/>
      </w:pPr>
      <w:r>
        <w:rPr>
          <w:rStyle w:val="CommentReference"/>
        </w:rPr>
        <w:annotationRef/>
      </w:r>
      <w:r>
        <w:t>Why, its bottom rank in the study araes? Specify</w:t>
      </w:r>
    </w:p>
  </w:comment>
  <w:comment w:id="8" w:author="Debajit Bhuyan" w:date="2026-03-05T20:40:00Z" w:initials="DB">
    <w:p w14:paraId="662E2969" w14:textId="77777777" w:rsidR="00750B2D" w:rsidRDefault="00750B2D" w:rsidP="00750B2D">
      <w:pPr>
        <w:pStyle w:val="CommentText"/>
      </w:pPr>
      <w:r>
        <w:rPr>
          <w:rStyle w:val="CommentReference"/>
        </w:rPr>
        <w:annotationRef/>
      </w:r>
      <w:r>
        <w:t>Justify , why its top the rank in the surveyed place</w:t>
      </w:r>
    </w:p>
  </w:comment>
  <w:comment w:id="10" w:author="Debajit Bhuyan" w:date="2026-03-05T20:40:00Z" w:initials="DB">
    <w:p w14:paraId="58392DE4" w14:textId="77777777" w:rsidR="00750B2D" w:rsidRDefault="00750B2D" w:rsidP="00750B2D">
      <w:pPr>
        <w:pStyle w:val="CommentText"/>
      </w:pPr>
      <w:r>
        <w:rPr>
          <w:rStyle w:val="CommentReference"/>
        </w:rPr>
        <w:annotationRef/>
      </w:r>
      <w:r>
        <w:t>Justify it behind the reason of top and bottom rank in the surveyed area</w:t>
      </w:r>
    </w:p>
  </w:comment>
  <w:comment w:id="11" w:author="Debajit Bhuyan" w:date="2026-03-05T20:41:00Z" w:initials="DB">
    <w:p w14:paraId="7670B06D" w14:textId="77777777" w:rsidR="00750B2D" w:rsidRDefault="00750B2D" w:rsidP="00750B2D">
      <w:pPr>
        <w:pStyle w:val="CommentText"/>
      </w:pPr>
      <w:r>
        <w:rPr>
          <w:rStyle w:val="CommentReference"/>
        </w:rPr>
        <w:annotationRef/>
      </w:r>
      <w:r>
        <w:t>Justify , What’s the subsidy is low in the state or sectors or place</w:t>
      </w:r>
    </w:p>
  </w:comment>
  <w:comment w:id="12" w:author="Debajit Bhuyan" w:date="2026-03-05T20:42:00Z" w:initials="DB">
    <w:p w14:paraId="36A74E0C" w14:textId="77777777" w:rsidR="00750B2D" w:rsidRDefault="00750B2D" w:rsidP="00750B2D">
      <w:pPr>
        <w:pStyle w:val="CommentText"/>
      </w:pPr>
      <w:r>
        <w:rPr>
          <w:rStyle w:val="CommentReference"/>
        </w:rPr>
        <w:annotationRef/>
      </w:r>
      <w:r>
        <w:t>Justify it also with the present scenario. Since, Govt introduce various skill development schemes last few years in the country.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733DD9" w15:done="0"/>
  <w15:commentEx w15:paraId="6DDBED75" w15:done="0"/>
  <w15:commentEx w15:paraId="6D7380A7" w15:done="0"/>
  <w15:commentEx w15:paraId="40F0D966" w15:done="0"/>
  <w15:commentEx w15:paraId="2E7CA3D4" w15:done="0"/>
  <w15:commentEx w15:paraId="662E2969" w15:done="0"/>
  <w15:commentEx w15:paraId="58392DE4" w15:done="0"/>
  <w15:commentEx w15:paraId="7670B06D" w15:done="0"/>
  <w15:commentEx w15:paraId="36A74E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1C8ECD" w16cex:dateUtc="2026-03-05T15:25:00Z"/>
  <w16cex:commentExtensible w16cex:durableId="65F060AF" w16cex:dateUtc="2026-03-05T14:36:00Z"/>
  <w16cex:commentExtensible w16cex:durableId="19348ABF" w16cex:dateUtc="2026-03-05T15:22:00Z"/>
  <w16cex:commentExtensible w16cex:durableId="759C4815" w16cex:dateUtc="2026-03-05T14:46:00Z"/>
  <w16cex:commentExtensible w16cex:durableId="4943C265" w16cex:dateUtc="2026-03-05T14:47:00Z"/>
  <w16cex:commentExtensible w16cex:durableId="39EF3EDB" w16cex:dateUtc="2026-03-05T15:10:00Z"/>
  <w16cex:commentExtensible w16cex:durableId="0AEFCBE1" w16cex:dateUtc="2026-03-05T15:10:00Z"/>
  <w16cex:commentExtensible w16cex:durableId="7526B5A2" w16cex:dateUtc="2026-03-05T15:11:00Z"/>
  <w16cex:commentExtensible w16cex:durableId="2AD28C22" w16cex:dateUtc="2026-03-05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733DD9" w16cid:durableId="4C1C8ECD"/>
  <w16cid:commentId w16cid:paraId="6DDBED75" w16cid:durableId="65F060AF"/>
  <w16cid:commentId w16cid:paraId="6D7380A7" w16cid:durableId="19348ABF"/>
  <w16cid:commentId w16cid:paraId="40F0D966" w16cid:durableId="759C4815"/>
  <w16cid:commentId w16cid:paraId="2E7CA3D4" w16cid:durableId="4943C265"/>
  <w16cid:commentId w16cid:paraId="662E2969" w16cid:durableId="39EF3EDB"/>
  <w16cid:commentId w16cid:paraId="58392DE4" w16cid:durableId="0AEFCBE1"/>
  <w16cid:commentId w16cid:paraId="7670B06D" w16cid:durableId="7526B5A2"/>
  <w16cid:commentId w16cid:paraId="36A74E0C" w16cid:durableId="2AD28C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84F66" w14:textId="77777777" w:rsidR="000747DF" w:rsidRDefault="000747DF" w:rsidP="003C1385">
      <w:pPr>
        <w:spacing w:after="0" w:line="240" w:lineRule="auto"/>
      </w:pPr>
      <w:r>
        <w:separator/>
      </w:r>
    </w:p>
  </w:endnote>
  <w:endnote w:type="continuationSeparator" w:id="0">
    <w:p w14:paraId="751D10CB" w14:textId="77777777" w:rsidR="000747DF" w:rsidRDefault="000747DF" w:rsidP="003C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8EE4" w14:textId="77777777" w:rsidR="00497609" w:rsidRDefault="00497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EAA2" w14:textId="77777777" w:rsidR="00497609" w:rsidRDefault="00497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3DF7" w14:textId="77777777" w:rsidR="00497609" w:rsidRDefault="00497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353D7" w14:textId="77777777" w:rsidR="000747DF" w:rsidRDefault="000747DF" w:rsidP="003C1385">
      <w:pPr>
        <w:spacing w:after="0" w:line="240" w:lineRule="auto"/>
      </w:pPr>
      <w:r>
        <w:separator/>
      </w:r>
    </w:p>
  </w:footnote>
  <w:footnote w:type="continuationSeparator" w:id="0">
    <w:p w14:paraId="0AB9DDBE" w14:textId="77777777" w:rsidR="000747DF" w:rsidRDefault="000747DF" w:rsidP="003C1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5A4F" w14:textId="0F6D98E6" w:rsidR="00497609" w:rsidRDefault="00000000">
    <w:pPr>
      <w:pStyle w:val="Header"/>
    </w:pPr>
    <w:r>
      <w:rPr>
        <w:noProof/>
      </w:rPr>
      <w:pict w14:anchorId="6A02F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4483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88A0" w14:textId="3E3FC893" w:rsidR="00497609" w:rsidRDefault="00000000">
    <w:pPr>
      <w:pStyle w:val="Header"/>
    </w:pPr>
    <w:r>
      <w:rPr>
        <w:noProof/>
      </w:rPr>
      <w:pict w14:anchorId="10E1B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4483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5290" w14:textId="2D7A6F53" w:rsidR="00497609" w:rsidRDefault="00000000">
    <w:pPr>
      <w:pStyle w:val="Header"/>
    </w:pPr>
    <w:r>
      <w:rPr>
        <w:noProof/>
      </w:rPr>
      <w:pict w14:anchorId="5A0C8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4482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53FA"/>
    <w:multiLevelType w:val="hybridMultilevel"/>
    <w:tmpl w:val="C5F4B8A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2CA4E00"/>
    <w:multiLevelType w:val="hybridMultilevel"/>
    <w:tmpl w:val="A6325E7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CA2A58"/>
    <w:multiLevelType w:val="hybridMultilevel"/>
    <w:tmpl w:val="950EAE1A"/>
    <w:lvl w:ilvl="0" w:tplc="4009000F">
      <w:start w:val="3"/>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6911A6E"/>
    <w:multiLevelType w:val="hybridMultilevel"/>
    <w:tmpl w:val="422C1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83C21"/>
    <w:multiLevelType w:val="hybridMultilevel"/>
    <w:tmpl w:val="D884C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3654477">
    <w:abstractNumId w:val="4"/>
  </w:num>
  <w:num w:numId="2" w16cid:durableId="255091579">
    <w:abstractNumId w:val="1"/>
  </w:num>
  <w:num w:numId="3" w16cid:durableId="998731712">
    <w:abstractNumId w:val="0"/>
  </w:num>
  <w:num w:numId="4" w16cid:durableId="535125574">
    <w:abstractNumId w:val="2"/>
  </w:num>
  <w:num w:numId="5" w16cid:durableId="3955172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ajit Bhuyan">
    <w15:presenceInfo w15:providerId="Windows Live" w15:userId="7c43a4000ad3f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54"/>
    <w:rsid w:val="0001407D"/>
    <w:rsid w:val="00016D43"/>
    <w:rsid w:val="000262EC"/>
    <w:rsid w:val="00042A38"/>
    <w:rsid w:val="0007265F"/>
    <w:rsid w:val="000747DF"/>
    <w:rsid w:val="00081232"/>
    <w:rsid w:val="00084146"/>
    <w:rsid w:val="000A484D"/>
    <w:rsid w:val="000B4A82"/>
    <w:rsid w:val="000F1C0F"/>
    <w:rsid w:val="000F5D85"/>
    <w:rsid w:val="001219A7"/>
    <w:rsid w:val="00122DDE"/>
    <w:rsid w:val="0013521D"/>
    <w:rsid w:val="00147D86"/>
    <w:rsid w:val="001607B1"/>
    <w:rsid w:val="00163553"/>
    <w:rsid w:val="0016732B"/>
    <w:rsid w:val="001678BC"/>
    <w:rsid w:val="00177BA5"/>
    <w:rsid w:val="00180F59"/>
    <w:rsid w:val="001951ED"/>
    <w:rsid w:val="00195759"/>
    <w:rsid w:val="001A515A"/>
    <w:rsid w:val="001B5AA4"/>
    <w:rsid w:val="001B6E41"/>
    <w:rsid w:val="001C1E36"/>
    <w:rsid w:val="001C4FA6"/>
    <w:rsid w:val="001D1BB0"/>
    <w:rsid w:val="001E1EF3"/>
    <w:rsid w:val="001F14F9"/>
    <w:rsid w:val="001F7398"/>
    <w:rsid w:val="00212D9F"/>
    <w:rsid w:val="00220D8D"/>
    <w:rsid w:val="00222D0C"/>
    <w:rsid w:val="002236C8"/>
    <w:rsid w:val="00233AD3"/>
    <w:rsid w:val="002408C7"/>
    <w:rsid w:val="002454A4"/>
    <w:rsid w:val="002460C8"/>
    <w:rsid w:val="00267BED"/>
    <w:rsid w:val="002763B2"/>
    <w:rsid w:val="0028142A"/>
    <w:rsid w:val="002A4B04"/>
    <w:rsid w:val="002C4501"/>
    <w:rsid w:val="00307B33"/>
    <w:rsid w:val="00317924"/>
    <w:rsid w:val="00317F32"/>
    <w:rsid w:val="003277E2"/>
    <w:rsid w:val="00335F24"/>
    <w:rsid w:val="00337FB5"/>
    <w:rsid w:val="0034476A"/>
    <w:rsid w:val="003509A3"/>
    <w:rsid w:val="003528E6"/>
    <w:rsid w:val="003554D8"/>
    <w:rsid w:val="00360570"/>
    <w:rsid w:val="00366BE3"/>
    <w:rsid w:val="003835EF"/>
    <w:rsid w:val="00394CD5"/>
    <w:rsid w:val="003B14AE"/>
    <w:rsid w:val="003B4290"/>
    <w:rsid w:val="003C1385"/>
    <w:rsid w:val="003C4368"/>
    <w:rsid w:val="003C61E1"/>
    <w:rsid w:val="003C6C13"/>
    <w:rsid w:val="003D49D7"/>
    <w:rsid w:val="003E7CFE"/>
    <w:rsid w:val="003F29D2"/>
    <w:rsid w:val="003F4C38"/>
    <w:rsid w:val="003F7456"/>
    <w:rsid w:val="004202A1"/>
    <w:rsid w:val="0042369C"/>
    <w:rsid w:val="00430081"/>
    <w:rsid w:val="00431755"/>
    <w:rsid w:val="00435077"/>
    <w:rsid w:val="00446815"/>
    <w:rsid w:val="00454900"/>
    <w:rsid w:val="00455CE2"/>
    <w:rsid w:val="00456DC9"/>
    <w:rsid w:val="00457E4A"/>
    <w:rsid w:val="004625CE"/>
    <w:rsid w:val="004745D1"/>
    <w:rsid w:val="00475ABA"/>
    <w:rsid w:val="00492F8C"/>
    <w:rsid w:val="00497609"/>
    <w:rsid w:val="004A2790"/>
    <w:rsid w:val="004B150A"/>
    <w:rsid w:val="004B2919"/>
    <w:rsid w:val="004E1174"/>
    <w:rsid w:val="004F2488"/>
    <w:rsid w:val="004F7DD2"/>
    <w:rsid w:val="00522574"/>
    <w:rsid w:val="005401EF"/>
    <w:rsid w:val="0054706D"/>
    <w:rsid w:val="00550C49"/>
    <w:rsid w:val="00583DD4"/>
    <w:rsid w:val="005901CD"/>
    <w:rsid w:val="00594872"/>
    <w:rsid w:val="0059577D"/>
    <w:rsid w:val="005B020D"/>
    <w:rsid w:val="005B282E"/>
    <w:rsid w:val="005C49DD"/>
    <w:rsid w:val="005C4B08"/>
    <w:rsid w:val="005C784E"/>
    <w:rsid w:val="005D4970"/>
    <w:rsid w:val="005D5A39"/>
    <w:rsid w:val="005E23A2"/>
    <w:rsid w:val="005E686C"/>
    <w:rsid w:val="005E6C5C"/>
    <w:rsid w:val="0062044C"/>
    <w:rsid w:val="0062344B"/>
    <w:rsid w:val="006238B9"/>
    <w:rsid w:val="0062460F"/>
    <w:rsid w:val="00626DBB"/>
    <w:rsid w:val="006463E9"/>
    <w:rsid w:val="006467C1"/>
    <w:rsid w:val="0065543C"/>
    <w:rsid w:val="00673BCE"/>
    <w:rsid w:val="00682556"/>
    <w:rsid w:val="00683553"/>
    <w:rsid w:val="00691B8C"/>
    <w:rsid w:val="006C101A"/>
    <w:rsid w:val="006C7569"/>
    <w:rsid w:val="006F538F"/>
    <w:rsid w:val="007377D3"/>
    <w:rsid w:val="00744D1B"/>
    <w:rsid w:val="007450AB"/>
    <w:rsid w:val="00745C2B"/>
    <w:rsid w:val="007470FF"/>
    <w:rsid w:val="00750B2D"/>
    <w:rsid w:val="00751E5E"/>
    <w:rsid w:val="00782038"/>
    <w:rsid w:val="007A2D3E"/>
    <w:rsid w:val="007A2F59"/>
    <w:rsid w:val="007A495A"/>
    <w:rsid w:val="007A6E9B"/>
    <w:rsid w:val="007B5F7E"/>
    <w:rsid w:val="007C03C6"/>
    <w:rsid w:val="007E0874"/>
    <w:rsid w:val="007E5400"/>
    <w:rsid w:val="007F1697"/>
    <w:rsid w:val="0080771C"/>
    <w:rsid w:val="008109C9"/>
    <w:rsid w:val="00812E14"/>
    <w:rsid w:val="00813A81"/>
    <w:rsid w:val="008314C8"/>
    <w:rsid w:val="00833096"/>
    <w:rsid w:val="0083597B"/>
    <w:rsid w:val="00836F9D"/>
    <w:rsid w:val="00842C29"/>
    <w:rsid w:val="008470D5"/>
    <w:rsid w:val="00852C46"/>
    <w:rsid w:val="0086724A"/>
    <w:rsid w:val="0087270F"/>
    <w:rsid w:val="0089394B"/>
    <w:rsid w:val="008949A7"/>
    <w:rsid w:val="008A1C51"/>
    <w:rsid w:val="008A26F6"/>
    <w:rsid w:val="008A3636"/>
    <w:rsid w:val="008A4D30"/>
    <w:rsid w:val="008E4398"/>
    <w:rsid w:val="008F6A94"/>
    <w:rsid w:val="008F777E"/>
    <w:rsid w:val="0091304C"/>
    <w:rsid w:val="00916983"/>
    <w:rsid w:val="00917B53"/>
    <w:rsid w:val="00921839"/>
    <w:rsid w:val="00935D6E"/>
    <w:rsid w:val="00943D08"/>
    <w:rsid w:val="0095262B"/>
    <w:rsid w:val="0099028B"/>
    <w:rsid w:val="0099587B"/>
    <w:rsid w:val="009A1072"/>
    <w:rsid w:val="009A3BAE"/>
    <w:rsid w:val="009A59E7"/>
    <w:rsid w:val="009B6141"/>
    <w:rsid w:val="009C1EFE"/>
    <w:rsid w:val="009C304D"/>
    <w:rsid w:val="009D7C7D"/>
    <w:rsid w:val="009E389E"/>
    <w:rsid w:val="009E79E4"/>
    <w:rsid w:val="009E7AF6"/>
    <w:rsid w:val="009F15AB"/>
    <w:rsid w:val="009F1A16"/>
    <w:rsid w:val="009F6CC9"/>
    <w:rsid w:val="00A056EA"/>
    <w:rsid w:val="00A110E3"/>
    <w:rsid w:val="00A135C1"/>
    <w:rsid w:val="00A1404C"/>
    <w:rsid w:val="00A26823"/>
    <w:rsid w:val="00A3383C"/>
    <w:rsid w:val="00A34B59"/>
    <w:rsid w:val="00A4570F"/>
    <w:rsid w:val="00A54069"/>
    <w:rsid w:val="00A6197D"/>
    <w:rsid w:val="00AB46B9"/>
    <w:rsid w:val="00AB7BE5"/>
    <w:rsid w:val="00AC3F8B"/>
    <w:rsid w:val="00AD0E61"/>
    <w:rsid w:val="00AD57D2"/>
    <w:rsid w:val="00AD7232"/>
    <w:rsid w:val="00AF41E0"/>
    <w:rsid w:val="00AF5D0C"/>
    <w:rsid w:val="00B162D9"/>
    <w:rsid w:val="00B34786"/>
    <w:rsid w:val="00B47B03"/>
    <w:rsid w:val="00B57B7F"/>
    <w:rsid w:val="00B603CA"/>
    <w:rsid w:val="00BC70DC"/>
    <w:rsid w:val="00BD2D1B"/>
    <w:rsid w:val="00BD2D88"/>
    <w:rsid w:val="00BD7564"/>
    <w:rsid w:val="00BE1CCE"/>
    <w:rsid w:val="00BF1339"/>
    <w:rsid w:val="00BF7AA4"/>
    <w:rsid w:val="00C01B93"/>
    <w:rsid w:val="00C11DCF"/>
    <w:rsid w:val="00C148A4"/>
    <w:rsid w:val="00C21BA8"/>
    <w:rsid w:val="00C2200F"/>
    <w:rsid w:val="00C24A35"/>
    <w:rsid w:val="00C25BA5"/>
    <w:rsid w:val="00C31CE3"/>
    <w:rsid w:val="00C73C70"/>
    <w:rsid w:val="00C97FAF"/>
    <w:rsid w:val="00CA7191"/>
    <w:rsid w:val="00CC1764"/>
    <w:rsid w:val="00CD5FAE"/>
    <w:rsid w:val="00CE7E5B"/>
    <w:rsid w:val="00D16794"/>
    <w:rsid w:val="00D220CF"/>
    <w:rsid w:val="00D40788"/>
    <w:rsid w:val="00D446C1"/>
    <w:rsid w:val="00D62254"/>
    <w:rsid w:val="00D775E1"/>
    <w:rsid w:val="00DA1C9F"/>
    <w:rsid w:val="00DA1F06"/>
    <w:rsid w:val="00DB42AD"/>
    <w:rsid w:val="00DC30E1"/>
    <w:rsid w:val="00DE6DD3"/>
    <w:rsid w:val="00E409BF"/>
    <w:rsid w:val="00E76386"/>
    <w:rsid w:val="00E860F1"/>
    <w:rsid w:val="00E94A12"/>
    <w:rsid w:val="00EE64E1"/>
    <w:rsid w:val="00F20F1F"/>
    <w:rsid w:val="00F30FB5"/>
    <w:rsid w:val="00F3325C"/>
    <w:rsid w:val="00F52E60"/>
    <w:rsid w:val="00F55EB3"/>
    <w:rsid w:val="00F90310"/>
    <w:rsid w:val="00F90B0B"/>
    <w:rsid w:val="00F92054"/>
    <w:rsid w:val="00FA3B42"/>
    <w:rsid w:val="00FB0D9F"/>
    <w:rsid w:val="00FB2875"/>
    <w:rsid w:val="00FC346E"/>
    <w:rsid w:val="00FD218C"/>
    <w:rsid w:val="00FD304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05A82"/>
  <w15:chartTrackingRefBased/>
  <w15:docId w15:val="{F72EC43E-C34D-44D6-AD55-ADBED9D7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D4"/>
    <w:rPr>
      <w:rFonts w:ascii="Calibri" w:eastAsia="Calibri" w:hAnsi="Calibri" w:cs="Times New Roman"/>
      <w:sz w:val="22"/>
      <w:lang w:val="en-IN"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385"/>
    <w:rPr>
      <w:rFonts w:ascii="Calibri" w:eastAsia="Calibri" w:hAnsi="Calibri" w:cs="Times New Roman"/>
      <w:sz w:val="22"/>
      <w:lang w:val="en-IN" w:bidi="ar-SA"/>
      <w14:ligatures w14:val="none"/>
    </w:rPr>
  </w:style>
  <w:style w:type="paragraph" w:styleId="Footer">
    <w:name w:val="footer"/>
    <w:basedOn w:val="Normal"/>
    <w:link w:val="FooterChar"/>
    <w:uiPriority w:val="99"/>
    <w:unhideWhenUsed/>
    <w:rsid w:val="003C1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385"/>
    <w:rPr>
      <w:rFonts w:ascii="Calibri" w:eastAsia="Calibri" w:hAnsi="Calibri" w:cs="Times New Roman"/>
      <w:sz w:val="22"/>
      <w:lang w:val="en-IN" w:bidi="ar-SA"/>
      <w14:ligatures w14:val="none"/>
    </w:rPr>
  </w:style>
  <w:style w:type="character" w:styleId="Hyperlink">
    <w:name w:val="Hyperlink"/>
    <w:basedOn w:val="DefaultParagraphFont"/>
    <w:uiPriority w:val="99"/>
    <w:unhideWhenUsed/>
    <w:rsid w:val="003C1385"/>
    <w:rPr>
      <w:color w:val="0563C1" w:themeColor="hyperlink"/>
      <w:u w:val="single"/>
    </w:rPr>
  </w:style>
  <w:style w:type="character" w:styleId="UnresolvedMention">
    <w:name w:val="Unresolved Mention"/>
    <w:basedOn w:val="DefaultParagraphFont"/>
    <w:uiPriority w:val="99"/>
    <w:semiHidden/>
    <w:unhideWhenUsed/>
    <w:rsid w:val="003C1385"/>
    <w:rPr>
      <w:color w:val="605E5C"/>
      <w:shd w:val="clear" w:color="auto" w:fill="E1DFDD"/>
    </w:rPr>
  </w:style>
  <w:style w:type="paragraph" w:styleId="ListParagraph">
    <w:name w:val="List Paragraph"/>
    <w:basedOn w:val="Normal"/>
    <w:uiPriority w:val="34"/>
    <w:qFormat/>
    <w:rsid w:val="003C1385"/>
    <w:pPr>
      <w:ind w:left="720"/>
      <w:contextualSpacing/>
    </w:pPr>
  </w:style>
  <w:style w:type="table" w:styleId="TableGrid">
    <w:name w:val="Table Grid"/>
    <w:basedOn w:val="TableNormal"/>
    <w:uiPriority w:val="39"/>
    <w:rsid w:val="00744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509A3"/>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5D49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4970"/>
    <w:rPr>
      <w:rFonts w:ascii="Calibri" w:eastAsia="Calibri" w:hAnsi="Calibri" w:cs="Times New Roman"/>
      <w:sz w:val="20"/>
      <w:szCs w:val="20"/>
      <w:lang w:val="en-IN" w:bidi="ar-SA"/>
      <w14:ligatures w14:val="none"/>
    </w:rPr>
  </w:style>
  <w:style w:type="character" w:styleId="EndnoteReference">
    <w:name w:val="endnote reference"/>
    <w:basedOn w:val="DefaultParagraphFont"/>
    <w:uiPriority w:val="99"/>
    <w:semiHidden/>
    <w:unhideWhenUsed/>
    <w:rsid w:val="005D4970"/>
    <w:rPr>
      <w:vertAlign w:val="superscript"/>
    </w:rPr>
  </w:style>
  <w:style w:type="paragraph" w:styleId="FootnoteText">
    <w:name w:val="footnote text"/>
    <w:basedOn w:val="Normal"/>
    <w:link w:val="FootnoteTextChar"/>
    <w:uiPriority w:val="99"/>
    <w:semiHidden/>
    <w:unhideWhenUsed/>
    <w:rsid w:val="005D49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4970"/>
    <w:rPr>
      <w:rFonts w:ascii="Calibri" w:eastAsia="Calibri" w:hAnsi="Calibri" w:cs="Times New Roman"/>
      <w:sz w:val="20"/>
      <w:szCs w:val="20"/>
      <w:lang w:val="en-IN" w:bidi="ar-SA"/>
      <w14:ligatures w14:val="none"/>
    </w:rPr>
  </w:style>
  <w:style w:type="character" w:styleId="FootnoteReference">
    <w:name w:val="footnote reference"/>
    <w:basedOn w:val="DefaultParagraphFont"/>
    <w:uiPriority w:val="99"/>
    <w:semiHidden/>
    <w:unhideWhenUsed/>
    <w:rsid w:val="005D4970"/>
    <w:rPr>
      <w:vertAlign w:val="superscript"/>
    </w:rPr>
  </w:style>
  <w:style w:type="character" w:styleId="CommentReference">
    <w:name w:val="annotation reference"/>
    <w:basedOn w:val="DefaultParagraphFont"/>
    <w:uiPriority w:val="99"/>
    <w:semiHidden/>
    <w:unhideWhenUsed/>
    <w:rsid w:val="00042A38"/>
    <w:rPr>
      <w:sz w:val="16"/>
      <w:szCs w:val="16"/>
    </w:rPr>
  </w:style>
  <w:style w:type="paragraph" w:styleId="CommentText">
    <w:name w:val="annotation text"/>
    <w:basedOn w:val="Normal"/>
    <w:link w:val="CommentTextChar"/>
    <w:uiPriority w:val="99"/>
    <w:unhideWhenUsed/>
    <w:rsid w:val="00042A38"/>
    <w:pPr>
      <w:spacing w:line="240" w:lineRule="auto"/>
    </w:pPr>
    <w:rPr>
      <w:sz w:val="20"/>
      <w:szCs w:val="20"/>
    </w:rPr>
  </w:style>
  <w:style w:type="character" w:customStyle="1" w:styleId="CommentTextChar">
    <w:name w:val="Comment Text Char"/>
    <w:basedOn w:val="DefaultParagraphFont"/>
    <w:link w:val="CommentText"/>
    <w:uiPriority w:val="99"/>
    <w:rsid w:val="00042A38"/>
    <w:rPr>
      <w:rFonts w:ascii="Calibri" w:eastAsia="Calibri" w:hAnsi="Calibri" w:cs="Times New Roman"/>
      <w:sz w:val="20"/>
      <w:szCs w:val="20"/>
      <w:lang w:val="en-IN" w:bidi="ar-SA"/>
      <w14:ligatures w14:val="none"/>
    </w:rPr>
  </w:style>
  <w:style w:type="paragraph" w:styleId="CommentSubject">
    <w:name w:val="annotation subject"/>
    <w:basedOn w:val="CommentText"/>
    <w:next w:val="CommentText"/>
    <w:link w:val="CommentSubjectChar"/>
    <w:uiPriority w:val="99"/>
    <w:semiHidden/>
    <w:unhideWhenUsed/>
    <w:rsid w:val="00042A38"/>
    <w:rPr>
      <w:b/>
      <w:bCs/>
    </w:rPr>
  </w:style>
  <w:style w:type="character" w:customStyle="1" w:styleId="CommentSubjectChar">
    <w:name w:val="Comment Subject Char"/>
    <w:basedOn w:val="CommentTextChar"/>
    <w:link w:val="CommentSubject"/>
    <w:uiPriority w:val="99"/>
    <w:semiHidden/>
    <w:rsid w:val="00042A38"/>
    <w:rPr>
      <w:rFonts w:ascii="Calibri" w:eastAsia="Calibri" w:hAnsi="Calibri" w:cs="Times New Roman"/>
      <w:b/>
      <w:bCs/>
      <w:sz w:val="20"/>
      <w:szCs w:val="20"/>
      <w:lang w:val="en-I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252767">
      <w:bodyDiv w:val="1"/>
      <w:marLeft w:val="0"/>
      <w:marRight w:val="0"/>
      <w:marTop w:val="0"/>
      <w:marBottom w:val="0"/>
      <w:divBdr>
        <w:top w:val="none" w:sz="0" w:space="0" w:color="auto"/>
        <w:left w:val="none" w:sz="0" w:space="0" w:color="auto"/>
        <w:bottom w:val="none" w:sz="0" w:space="0" w:color="auto"/>
        <w:right w:val="none" w:sz="0" w:space="0" w:color="auto"/>
      </w:divBdr>
    </w:div>
    <w:div w:id="1425414832">
      <w:bodyDiv w:val="1"/>
      <w:marLeft w:val="0"/>
      <w:marRight w:val="0"/>
      <w:marTop w:val="0"/>
      <w:marBottom w:val="0"/>
      <w:divBdr>
        <w:top w:val="none" w:sz="0" w:space="0" w:color="auto"/>
        <w:left w:val="none" w:sz="0" w:space="0" w:color="auto"/>
        <w:bottom w:val="none" w:sz="0" w:space="0" w:color="auto"/>
        <w:right w:val="none" w:sz="0" w:space="0" w:color="auto"/>
      </w:divBdr>
    </w:div>
    <w:div w:id="17419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D4A5A-FA56-4E5A-8A5A-CC6B45AD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8</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Sasi</dc:creator>
  <cp:keywords/>
  <dc:description/>
  <cp:lastModifiedBy>Debajit Bhuyan</cp:lastModifiedBy>
  <cp:revision>271</cp:revision>
  <cp:lastPrinted>2023-10-06T12:13:00Z</cp:lastPrinted>
  <dcterms:created xsi:type="dcterms:W3CDTF">2023-10-01T06:33:00Z</dcterms:created>
  <dcterms:modified xsi:type="dcterms:W3CDTF">2026-03-05T15:30:00Z</dcterms:modified>
</cp:coreProperties>
</file>