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B2E88" w14:textId="633C3C2E" w:rsidR="00A258C3" w:rsidRPr="0030466F" w:rsidRDefault="0030466F" w:rsidP="0030466F">
      <w:pPr>
        <w:spacing w:line="360" w:lineRule="auto"/>
        <w:jc w:val="right"/>
        <w:rPr>
          <w:rFonts w:ascii="Arial" w:hAnsi="Arial" w:cs="Arial"/>
          <w:b/>
          <w:iCs/>
          <w:kern w:val="28"/>
          <w:sz w:val="44"/>
          <w:szCs w:val="44"/>
        </w:rPr>
      </w:pPr>
      <w:r w:rsidRPr="0030466F">
        <w:rPr>
          <w:rFonts w:ascii="Arial" w:hAnsi="Arial" w:cs="Arial"/>
          <w:b/>
          <w:iCs/>
          <w:kern w:val="28"/>
          <w:sz w:val="44"/>
          <w:szCs w:val="44"/>
        </w:rPr>
        <w:t xml:space="preserve">Survival and Prognostic Factors in </w:t>
      </w:r>
      <w:commentRangeStart w:id="0"/>
      <w:r w:rsidRPr="0030466F">
        <w:rPr>
          <w:rFonts w:ascii="Arial" w:hAnsi="Arial" w:cs="Arial"/>
          <w:b/>
          <w:iCs/>
          <w:kern w:val="28"/>
          <w:sz w:val="44"/>
          <w:szCs w:val="44"/>
        </w:rPr>
        <w:t>Ewing’s</w:t>
      </w:r>
      <w:commentRangeEnd w:id="0"/>
      <w:r w:rsidR="002B4611">
        <w:rPr>
          <w:rStyle w:val="CommentReference"/>
          <w:rFonts w:ascii="Times New Roman" w:hAnsi="Times New Roman"/>
          <w:lang w:val="nb-NO" w:eastAsia="nb-NO"/>
        </w:rPr>
        <w:commentReference w:id="0"/>
      </w:r>
      <w:r w:rsidRPr="0030466F">
        <w:rPr>
          <w:rFonts w:ascii="Arial" w:hAnsi="Arial" w:cs="Arial"/>
          <w:b/>
          <w:iCs/>
          <w:kern w:val="28"/>
          <w:sz w:val="44"/>
          <w:szCs w:val="44"/>
        </w:rPr>
        <w:t xml:space="preserve"> Sarcoma: Evaluating the role of radiotherapy in multimodality management</w:t>
      </w:r>
    </w:p>
    <w:p w14:paraId="51CE04FE" w14:textId="77777777" w:rsidR="0030466F" w:rsidRDefault="0030466F" w:rsidP="0030466F">
      <w:pPr>
        <w:pStyle w:val="Affiliation"/>
        <w:spacing w:after="0" w:line="240" w:lineRule="auto"/>
        <w:rPr>
          <w:rFonts w:ascii="Arial" w:hAnsi="Arial" w:cs="Arial"/>
          <w:i/>
        </w:rPr>
      </w:pPr>
    </w:p>
    <w:p w14:paraId="6B18D484" w14:textId="5747A75F" w:rsidR="00B01FCD" w:rsidRPr="00FB3A86" w:rsidRDefault="00FB3A86" w:rsidP="00441B6F">
      <w:pPr>
        <w:pStyle w:val="Copyright"/>
        <w:spacing w:after="0" w:line="240" w:lineRule="auto"/>
        <w:jc w:val="both"/>
        <w:rPr>
          <w:rFonts w:ascii="Arial" w:hAnsi="Arial" w:cs="Arial"/>
        </w:rPr>
        <w:sectPr w:rsidR="00B01FCD" w:rsidRPr="00FB3A86" w:rsidSect="00741938">
          <w:headerReference w:type="even" r:id="rId12"/>
          <w:headerReference w:type="default" r:id="rId13"/>
          <w:footerReference w:type="even" r:id="rId14"/>
          <w:footerReference w:type="default" r:id="rId15"/>
          <w:headerReference w:type="first" r:id="rId16"/>
          <w:footerReference w:type="first" r:id="rId17"/>
          <w:pgSz w:w="12240" w:h="15840" w:code="1"/>
          <w:pgMar w:top="1440" w:right="2016" w:bottom="2016" w:left="2016" w:header="720" w:footer="1296" w:gutter="0"/>
          <w:cols w:space="720"/>
          <w:docGrid w:linePitch="272"/>
        </w:sectPr>
      </w:pPr>
      <w:r>
        <w:rPr>
          <w:rFonts w:ascii="Arial" w:hAnsi="Arial" w:cs="Arial"/>
        </w:rPr>
        <w:t>.</w:t>
      </w:r>
    </w:p>
    <w:p w14:paraId="67A73F17" w14:textId="0891E119"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3A9A13ED" w14:textId="77777777" w:rsidTr="001E44FE">
        <w:tc>
          <w:tcPr>
            <w:tcW w:w="9576" w:type="dxa"/>
            <w:shd w:val="clear" w:color="auto" w:fill="F2F2F2"/>
          </w:tcPr>
          <w:p w14:paraId="6531F2AC" w14:textId="77777777" w:rsidR="0030466F" w:rsidRPr="002B4611" w:rsidRDefault="0030466F" w:rsidP="0030466F">
            <w:pPr>
              <w:jc w:val="both"/>
              <w:rPr>
                <w:rFonts w:ascii="Arial" w:hAnsi="Arial" w:cs="Arial"/>
                <w:lang w:val="en-GB"/>
              </w:rPr>
            </w:pPr>
            <w:r w:rsidRPr="002B4611">
              <w:rPr>
                <w:rFonts w:ascii="Arial" w:hAnsi="Arial" w:cs="Arial"/>
                <w:b/>
                <w:bCs/>
                <w:lang w:val="en-GB"/>
              </w:rPr>
              <w:t>Background:</w:t>
            </w:r>
            <w:r w:rsidRPr="002B4611">
              <w:rPr>
                <w:rFonts w:ascii="Arial" w:hAnsi="Arial" w:cs="Arial"/>
                <w:lang w:val="en-GB"/>
              </w:rPr>
              <w:t xml:space="preserve"> </w:t>
            </w:r>
            <w:commentRangeStart w:id="1"/>
            <w:r w:rsidRPr="002B4611">
              <w:rPr>
                <w:rFonts w:ascii="Arial" w:hAnsi="Arial" w:cs="Arial"/>
                <w:lang w:val="en-GB"/>
              </w:rPr>
              <w:t>Ewing’s</w:t>
            </w:r>
            <w:commentRangeEnd w:id="1"/>
            <w:r w:rsidR="002B4611" w:rsidRPr="002B4611">
              <w:rPr>
                <w:rStyle w:val="CommentReference"/>
                <w:rFonts w:ascii="Times New Roman" w:hAnsi="Times New Roman"/>
                <w:lang w:val="en-GB" w:eastAsia="nb-NO"/>
              </w:rPr>
              <w:commentReference w:id="1"/>
            </w:r>
            <w:r w:rsidRPr="002B4611">
              <w:rPr>
                <w:rFonts w:ascii="Arial" w:hAnsi="Arial" w:cs="Arial"/>
                <w:lang w:val="en-GB"/>
              </w:rPr>
              <w:t xml:space="preserve"> sarcoma is an aggressive small round blue cell malignancy that predominantly affects children and young adults. Radiotherapy plays a central role in local control, particularly in anatomically complex or unresectable disease. This study evaluates the effectiveness and safety of radiotherapy and </w:t>
            </w:r>
            <w:proofErr w:type="spellStart"/>
            <w:r w:rsidRPr="002B4611">
              <w:rPr>
                <w:rFonts w:ascii="Arial" w:hAnsi="Arial" w:cs="Arial"/>
                <w:lang w:val="en-GB"/>
              </w:rPr>
              <w:t>analyzes</w:t>
            </w:r>
            <w:proofErr w:type="spellEnd"/>
            <w:r w:rsidRPr="002B4611">
              <w:rPr>
                <w:rFonts w:ascii="Arial" w:hAnsi="Arial" w:cs="Arial"/>
                <w:lang w:val="en-GB"/>
              </w:rPr>
              <w:t xml:space="preserve"> prognostic factors influencing overall survival and disease-free survival.</w:t>
            </w:r>
          </w:p>
          <w:p w14:paraId="4837A227" w14:textId="77777777" w:rsidR="0030466F" w:rsidRPr="002B4611" w:rsidRDefault="0030466F" w:rsidP="0030466F">
            <w:pPr>
              <w:jc w:val="both"/>
              <w:rPr>
                <w:rFonts w:ascii="Arial" w:hAnsi="Arial" w:cs="Arial"/>
                <w:lang w:val="en-GB"/>
              </w:rPr>
            </w:pPr>
            <w:r w:rsidRPr="002B4611">
              <w:rPr>
                <w:rFonts w:ascii="Arial" w:hAnsi="Arial" w:cs="Arial"/>
                <w:b/>
                <w:bCs/>
                <w:lang w:val="en-GB"/>
              </w:rPr>
              <w:t>Methods:</w:t>
            </w:r>
            <w:r w:rsidRPr="002B4611">
              <w:rPr>
                <w:rFonts w:ascii="Arial" w:hAnsi="Arial" w:cs="Arial"/>
                <w:lang w:val="en-GB"/>
              </w:rPr>
              <w:t xml:space="preserve"> A retrospective cohort study of 51 patients with histologically confirmed </w:t>
            </w:r>
            <w:r w:rsidRPr="002B4611">
              <w:rPr>
                <w:rFonts w:ascii="Arial" w:hAnsi="Arial" w:cs="Arial"/>
                <w:highlight w:val="yellow"/>
                <w:lang w:val="en-GB"/>
              </w:rPr>
              <w:t>Ewing’s</w:t>
            </w:r>
            <w:r w:rsidRPr="002B4611">
              <w:rPr>
                <w:rFonts w:ascii="Arial" w:hAnsi="Arial" w:cs="Arial"/>
                <w:lang w:val="en-GB"/>
              </w:rPr>
              <w:t xml:space="preserve"> sarcoma treated between January 2022 and December 2024 was conducted at </w:t>
            </w:r>
            <w:commentRangeStart w:id="2"/>
            <w:r w:rsidRPr="002B4611">
              <w:rPr>
                <w:rFonts w:ascii="Arial" w:hAnsi="Arial" w:cs="Arial"/>
                <w:lang w:val="en-GB"/>
              </w:rPr>
              <w:t>our centre</w:t>
            </w:r>
            <w:commentRangeEnd w:id="2"/>
            <w:r w:rsidR="002B4611" w:rsidRPr="002B4611">
              <w:rPr>
                <w:rStyle w:val="CommentReference"/>
                <w:rFonts w:ascii="Times New Roman" w:hAnsi="Times New Roman"/>
                <w:lang w:val="en-GB" w:eastAsia="nb-NO"/>
              </w:rPr>
              <w:commentReference w:id="2"/>
            </w:r>
            <w:r w:rsidRPr="002B4611">
              <w:rPr>
                <w:rFonts w:ascii="Arial" w:hAnsi="Arial" w:cs="Arial"/>
                <w:lang w:val="en-GB"/>
              </w:rPr>
              <w:t>. All patients received multi-agent chemotherapy; radiotherapy was delivered with curative (adjuvant or definitive) or palliative intent. Survival outcomes were estimated using the Kaplan–Meier method, and prognostic factors were evaluated using univariate Cox proportional hazards regression. Statistical significance was set at p &lt; 0.05.</w:t>
            </w:r>
          </w:p>
          <w:p w14:paraId="19547AB4" w14:textId="77777777" w:rsidR="0030466F" w:rsidRPr="002B4611" w:rsidRDefault="0030466F" w:rsidP="0030466F">
            <w:pPr>
              <w:jc w:val="both"/>
              <w:rPr>
                <w:rFonts w:ascii="Arial" w:hAnsi="Arial" w:cs="Arial"/>
                <w:lang w:val="en-GB"/>
              </w:rPr>
            </w:pPr>
            <w:r w:rsidRPr="002B4611">
              <w:rPr>
                <w:rFonts w:ascii="Arial" w:hAnsi="Arial" w:cs="Arial"/>
                <w:b/>
                <w:bCs/>
                <w:lang w:val="en-GB"/>
              </w:rPr>
              <w:t>Results:</w:t>
            </w:r>
            <w:r w:rsidRPr="002B4611">
              <w:rPr>
                <w:rFonts w:ascii="Arial" w:hAnsi="Arial" w:cs="Arial"/>
                <w:lang w:val="en-GB"/>
              </w:rPr>
              <w:t xml:space="preserve"> Median age was 21 years (interquartile range 14.5–28.0); 43.1% cases were in the paediatric age group. Metastatic disease at diagnosis was present in 27.5% of the cases. Radiotherapy was delivered using conformal techniques in 68.6% of patients. Median radiotherapy dose was 45 </w:t>
            </w:r>
            <w:proofErr w:type="spellStart"/>
            <w:r w:rsidRPr="002B4611">
              <w:rPr>
                <w:rFonts w:ascii="Arial" w:hAnsi="Arial" w:cs="Arial"/>
                <w:lang w:val="en-GB"/>
              </w:rPr>
              <w:t>Gy</w:t>
            </w:r>
            <w:proofErr w:type="spellEnd"/>
            <w:r w:rsidRPr="002B4611">
              <w:rPr>
                <w:rFonts w:ascii="Arial" w:hAnsi="Arial" w:cs="Arial"/>
                <w:lang w:val="en-GB"/>
              </w:rPr>
              <w:t xml:space="preserve">. Median overall survival was 25 months, and median disease-free survival was 25 months. The 2-year overall survival was 75%. Metastatic disease at diagnosis was independently associated with inferior disease-free survival. Higher radiotherapy dose and use of conformal techniques were associated with improved survival in univariate analyses. There </w:t>
            </w:r>
            <w:commentRangeStart w:id="3"/>
            <w:r w:rsidRPr="002B4611">
              <w:rPr>
                <w:rFonts w:ascii="Arial" w:hAnsi="Arial" w:cs="Arial"/>
                <w:lang w:val="en-GB"/>
              </w:rPr>
              <w:t>were</w:t>
            </w:r>
            <w:commentRangeEnd w:id="3"/>
            <w:r w:rsidR="004D6D4B">
              <w:rPr>
                <w:rStyle w:val="CommentReference"/>
                <w:rFonts w:ascii="Times New Roman" w:hAnsi="Times New Roman"/>
                <w:lang w:val="nb-NO" w:eastAsia="nb-NO"/>
              </w:rPr>
              <w:commentReference w:id="3"/>
            </w:r>
            <w:r w:rsidRPr="002B4611">
              <w:rPr>
                <w:rFonts w:ascii="Arial" w:hAnsi="Arial" w:cs="Arial"/>
                <w:lang w:val="en-GB"/>
              </w:rPr>
              <w:t xml:space="preserve"> no grade 3 or higher acute toxicities in the cohort.</w:t>
            </w:r>
          </w:p>
          <w:p w14:paraId="58F3F845" w14:textId="77777777" w:rsidR="0030466F" w:rsidRPr="002B4611" w:rsidRDefault="0030466F" w:rsidP="0030466F">
            <w:pPr>
              <w:jc w:val="both"/>
              <w:rPr>
                <w:rFonts w:ascii="Arial" w:hAnsi="Arial" w:cs="Arial"/>
                <w:lang w:val="en-GB"/>
              </w:rPr>
            </w:pPr>
            <w:r w:rsidRPr="002B4611">
              <w:rPr>
                <w:rFonts w:ascii="Arial" w:hAnsi="Arial" w:cs="Arial"/>
                <w:b/>
                <w:bCs/>
                <w:lang w:val="en-GB"/>
              </w:rPr>
              <w:t>Conclusion:</w:t>
            </w:r>
            <w:r w:rsidRPr="002B4611">
              <w:rPr>
                <w:rFonts w:ascii="Arial" w:hAnsi="Arial" w:cs="Arial"/>
                <w:lang w:val="en-GB"/>
              </w:rPr>
              <w:t xml:space="preserve"> Radiotherapy contributes significantly to local control and survival in </w:t>
            </w:r>
            <w:r w:rsidRPr="004D6D4B">
              <w:rPr>
                <w:rFonts w:ascii="Arial" w:hAnsi="Arial" w:cs="Arial"/>
                <w:highlight w:val="yellow"/>
                <w:lang w:val="en-GB"/>
              </w:rPr>
              <w:t>Ewing’s</w:t>
            </w:r>
            <w:r w:rsidRPr="002B4611">
              <w:rPr>
                <w:rFonts w:ascii="Arial" w:hAnsi="Arial" w:cs="Arial"/>
                <w:lang w:val="en-GB"/>
              </w:rPr>
              <w:t xml:space="preserve"> sarcoma. Metastatic disease at presentation remains the dominant adverse prognostic factor. Optimisation of dose and advanced radiation delivery techniques may improve outcomes, though larger prospective studies are required.</w:t>
            </w:r>
          </w:p>
          <w:p w14:paraId="12E01BE0" w14:textId="051A8376" w:rsidR="00505F06" w:rsidRPr="002B4611" w:rsidRDefault="00505F06" w:rsidP="00441B6F">
            <w:pPr>
              <w:pStyle w:val="Body"/>
              <w:spacing w:after="0"/>
              <w:rPr>
                <w:rFonts w:ascii="Arial" w:eastAsia="Calibri" w:hAnsi="Arial" w:cs="Arial"/>
                <w:szCs w:val="22"/>
                <w:lang w:val="en-GB"/>
              </w:rPr>
            </w:pPr>
          </w:p>
        </w:tc>
      </w:tr>
    </w:tbl>
    <w:p w14:paraId="43FB43BD" w14:textId="77777777" w:rsidR="00636EB2" w:rsidRDefault="00636EB2" w:rsidP="00441B6F">
      <w:pPr>
        <w:pStyle w:val="Body"/>
        <w:spacing w:after="0"/>
        <w:rPr>
          <w:rFonts w:ascii="Arial" w:hAnsi="Arial" w:cs="Arial"/>
          <w:i/>
        </w:rPr>
      </w:pPr>
    </w:p>
    <w:p w14:paraId="2ED81653" w14:textId="28DE1FC2" w:rsidR="00505F06" w:rsidRDefault="00A24E7E" w:rsidP="00441B6F">
      <w:pPr>
        <w:pStyle w:val="Body"/>
        <w:spacing w:after="0"/>
        <w:rPr>
          <w:rFonts w:ascii="Arial" w:hAnsi="Arial" w:cs="Arial"/>
          <w:i/>
        </w:rPr>
      </w:pPr>
      <w:r>
        <w:rPr>
          <w:rFonts w:ascii="Arial" w:hAnsi="Arial" w:cs="Arial"/>
          <w:i/>
        </w:rPr>
        <w:t>Keywords</w:t>
      </w:r>
      <w:proofErr w:type="gramStart"/>
      <w:r w:rsidRPr="004D6D4B">
        <w:rPr>
          <w:rFonts w:ascii="Arial" w:hAnsi="Arial" w:cs="Arial"/>
          <w:i/>
          <w:highlight w:val="yellow"/>
        </w:rPr>
        <w:t xml:space="preserve">: </w:t>
      </w:r>
      <w:r w:rsidR="0030466F" w:rsidRPr="004D6D4B">
        <w:rPr>
          <w:rFonts w:ascii="Times New Roman" w:hAnsi="Times New Roman"/>
          <w:b/>
          <w:bCs/>
          <w:sz w:val="24"/>
          <w:szCs w:val="24"/>
          <w:highlight w:val="yellow"/>
        </w:rPr>
        <w:t>:</w:t>
      </w:r>
      <w:proofErr w:type="gramEnd"/>
      <w:r w:rsidR="0030466F" w:rsidRPr="00D408C6">
        <w:rPr>
          <w:rFonts w:ascii="Times New Roman" w:hAnsi="Times New Roman"/>
          <w:sz w:val="24"/>
          <w:szCs w:val="24"/>
        </w:rPr>
        <w:t xml:space="preserve"> </w:t>
      </w:r>
      <w:r w:rsidR="0030466F" w:rsidRPr="0030466F">
        <w:rPr>
          <w:rFonts w:ascii="Arial" w:hAnsi="Arial" w:cs="Arial"/>
        </w:rPr>
        <w:t>Sarcoma, Ewing; Radiotherapy; Limb Salvage; Extracorporeal Irradiation</w:t>
      </w:r>
    </w:p>
    <w:p w14:paraId="1E8ECC13" w14:textId="77777777" w:rsidR="0030466F" w:rsidRPr="00A24E7E" w:rsidRDefault="0030466F" w:rsidP="00441B6F">
      <w:pPr>
        <w:pStyle w:val="Body"/>
        <w:spacing w:after="0"/>
        <w:rPr>
          <w:rFonts w:ascii="Arial" w:hAnsi="Arial" w:cs="Arial"/>
          <w:i/>
        </w:rPr>
      </w:pPr>
    </w:p>
    <w:p w14:paraId="6D50B641" w14:textId="45C55867" w:rsidR="00790ADA"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1410E4D" w14:textId="77777777" w:rsidR="00050D42" w:rsidRPr="00FB3A86" w:rsidRDefault="00050D42" w:rsidP="00441B6F">
      <w:pPr>
        <w:pStyle w:val="AbstHead"/>
        <w:spacing w:after="0"/>
        <w:jc w:val="both"/>
        <w:rPr>
          <w:rFonts w:ascii="Arial" w:hAnsi="Arial" w:cs="Arial"/>
        </w:rPr>
      </w:pPr>
    </w:p>
    <w:p w14:paraId="187413C6" w14:textId="77777777" w:rsidR="00050D42" w:rsidRPr="00050D42" w:rsidRDefault="00050D42" w:rsidP="00050D42">
      <w:pPr>
        <w:spacing w:line="276" w:lineRule="auto"/>
        <w:jc w:val="both"/>
        <w:rPr>
          <w:rFonts w:ascii="Arial" w:hAnsi="Arial" w:cs="Arial"/>
        </w:rPr>
      </w:pPr>
      <w:r w:rsidRPr="004D6D4B">
        <w:rPr>
          <w:rFonts w:ascii="Arial" w:hAnsi="Arial" w:cs="Arial"/>
          <w:highlight w:val="yellow"/>
        </w:rPr>
        <w:t>Ewing’s</w:t>
      </w:r>
      <w:r w:rsidRPr="00050D42">
        <w:rPr>
          <w:rFonts w:ascii="Arial" w:hAnsi="Arial" w:cs="Arial"/>
        </w:rPr>
        <w:t xml:space="preserve"> sarcoma is a highly aggressive malignant tumor, characterized by primitive small round blue cells and recurrent chromosomal translocations involving the </w:t>
      </w:r>
      <w:commentRangeStart w:id="4"/>
      <w:r w:rsidRPr="00050D42">
        <w:rPr>
          <w:rFonts w:ascii="Arial" w:hAnsi="Arial" w:cs="Arial"/>
        </w:rPr>
        <w:t>EWSR1</w:t>
      </w:r>
      <w:commentRangeEnd w:id="4"/>
      <w:r w:rsidR="004D6D4B">
        <w:rPr>
          <w:rStyle w:val="CommentReference"/>
          <w:rFonts w:ascii="Times New Roman" w:hAnsi="Times New Roman"/>
          <w:lang w:val="nb-NO" w:eastAsia="nb-NO"/>
        </w:rPr>
        <w:commentReference w:id="4"/>
      </w:r>
      <w:r w:rsidRPr="00050D42">
        <w:rPr>
          <w:rFonts w:ascii="Arial" w:hAnsi="Arial" w:cs="Arial"/>
        </w:rPr>
        <w:t xml:space="preserve"> gene, most commonly EWSR1–FLI1 [1]. It accounts for approximately 1% of all childhood cancers, with an annual incidence of approximately 2–3 cases per million population [2]. The disease most frequently affects children, adolescents, and young adults, with peak incidence in the second decade of life [1].</w:t>
      </w:r>
    </w:p>
    <w:p w14:paraId="382754A5" w14:textId="77777777" w:rsidR="00050D42" w:rsidRPr="00050D42" w:rsidRDefault="00050D42" w:rsidP="00050D42">
      <w:pPr>
        <w:spacing w:line="276" w:lineRule="auto"/>
        <w:jc w:val="both"/>
        <w:rPr>
          <w:rFonts w:ascii="Arial" w:hAnsi="Arial" w:cs="Arial"/>
        </w:rPr>
      </w:pPr>
      <w:r w:rsidRPr="00050D42">
        <w:rPr>
          <w:rFonts w:ascii="Arial" w:hAnsi="Arial" w:cs="Arial"/>
        </w:rPr>
        <w:lastRenderedPageBreak/>
        <w:t xml:space="preserve">Clinically, </w:t>
      </w:r>
      <w:r w:rsidRPr="004D6D4B">
        <w:rPr>
          <w:rFonts w:ascii="Arial" w:hAnsi="Arial" w:cs="Arial"/>
          <w:highlight w:val="yellow"/>
        </w:rPr>
        <w:t>Ewing’s</w:t>
      </w:r>
      <w:r w:rsidRPr="00050D42">
        <w:rPr>
          <w:rFonts w:ascii="Arial" w:hAnsi="Arial" w:cs="Arial"/>
        </w:rPr>
        <w:t xml:space="preserve"> sarcoma most commonly arises in the bones—particularly the pelvis, femur, tibia, and ribs—but can also present in </w:t>
      </w:r>
      <w:proofErr w:type="spellStart"/>
      <w:r w:rsidRPr="00050D42">
        <w:rPr>
          <w:rFonts w:ascii="Arial" w:hAnsi="Arial" w:cs="Arial"/>
        </w:rPr>
        <w:t>extraskeletal</w:t>
      </w:r>
      <w:proofErr w:type="spellEnd"/>
      <w:r w:rsidRPr="00050D42">
        <w:rPr>
          <w:rFonts w:ascii="Arial" w:hAnsi="Arial" w:cs="Arial"/>
        </w:rPr>
        <w:t xml:space="preserve"> soft tissue sites [1,3]. Patients typically present with pain, swelling, or a pathological fracture. Approximately 20–30% of patients have metastatic disease at diagnosis, most commonly involving lungs, bone, and bone marrow [4]. The presence of metastasis at presentation remains the strongest adverse prognostic factor [4,5].</w:t>
      </w:r>
    </w:p>
    <w:p w14:paraId="57E6FCE1" w14:textId="77777777" w:rsidR="00050D42" w:rsidRPr="00050D42" w:rsidRDefault="00050D42" w:rsidP="00050D42">
      <w:pPr>
        <w:spacing w:line="276" w:lineRule="auto"/>
        <w:jc w:val="both"/>
        <w:rPr>
          <w:rFonts w:ascii="Arial" w:hAnsi="Arial" w:cs="Arial"/>
        </w:rPr>
      </w:pPr>
      <w:r w:rsidRPr="00050D42">
        <w:rPr>
          <w:rFonts w:ascii="Arial" w:hAnsi="Arial" w:cs="Arial"/>
        </w:rPr>
        <w:t xml:space="preserve">The management of </w:t>
      </w:r>
      <w:r w:rsidRPr="004D6D4B">
        <w:rPr>
          <w:rFonts w:ascii="Arial" w:hAnsi="Arial" w:cs="Arial"/>
          <w:highlight w:val="yellow"/>
        </w:rPr>
        <w:t>Ewing’s</w:t>
      </w:r>
      <w:r w:rsidRPr="00050D42">
        <w:rPr>
          <w:rFonts w:ascii="Arial" w:hAnsi="Arial" w:cs="Arial"/>
        </w:rPr>
        <w:t xml:space="preserve"> sarcoma has evolved significantly over the past five decades. Prior to the introduction of systemic chemotherapy, survival rates were dismal, with most patients succumbing to metastatic progression [6]. The incorporation of multi-agent chemotherapy regimens such as vincristine, doxorubicin, cyclophosphamide alternating with ifosfamide and etoposide has improved long-term survival in </w:t>
      </w:r>
      <w:proofErr w:type="spellStart"/>
      <w:r w:rsidRPr="00050D42">
        <w:rPr>
          <w:rFonts w:ascii="Arial" w:hAnsi="Arial" w:cs="Arial"/>
        </w:rPr>
        <w:t>localised</w:t>
      </w:r>
      <w:proofErr w:type="spellEnd"/>
      <w:r w:rsidRPr="00050D42">
        <w:rPr>
          <w:rFonts w:ascii="Arial" w:hAnsi="Arial" w:cs="Arial"/>
        </w:rPr>
        <w:t xml:space="preserve"> disease to approximately 70–75% [7,8]. However, outcomes in metastatic and recurrent disease remain poor, with five-year survival rates below 30% [4].</w:t>
      </w:r>
    </w:p>
    <w:p w14:paraId="538033C1" w14:textId="77777777" w:rsidR="00050D42" w:rsidRPr="00050D42" w:rsidRDefault="00050D42" w:rsidP="00050D42">
      <w:pPr>
        <w:spacing w:line="276" w:lineRule="auto"/>
        <w:jc w:val="both"/>
        <w:rPr>
          <w:rFonts w:ascii="Arial" w:hAnsi="Arial" w:cs="Arial"/>
        </w:rPr>
      </w:pPr>
      <w:r w:rsidRPr="00050D42">
        <w:rPr>
          <w:rFonts w:ascii="Arial" w:hAnsi="Arial" w:cs="Arial"/>
        </w:rPr>
        <w:t xml:space="preserve">Local control is achieved through surgery, radiotherapy, or a combination of both. Radiotherapy plays a critical role in several clinical scenarios: unresectable </w:t>
      </w:r>
      <w:proofErr w:type="spellStart"/>
      <w:r w:rsidRPr="00050D42">
        <w:rPr>
          <w:rFonts w:ascii="Arial" w:hAnsi="Arial" w:cs="Arial"/>
        </w:rPr>
        <w:t>tumours</w:t>
      </w:r>
      <w:proofErr w:type="spellEnd"/>
      <w:r w:rsidRPr="00050D42">
        <w:rPr>
          <w:rFonts w:ascii="Arial" w:hAnsi="Arial" w:cs="Arial"/>
        </w:rPr>
        <w:t xml:space="preserve">, anatomically complex sites, positive surgical margins, and as definitive therapy when surgery would result in significant functional compromise [9]. With advances in radiotherapy planning and delivery, including three-dimensional conformal radiotherapy (3DCRT), intensity-modulated radiotherapy (IMRT), volumetric modulated arc therapy (VMAT), and image-guided techniques (IGRT), dose conformality has improved, reducing toxicity while maintaining </w:t>
      </w:r>
      <w:proofErr w:type="spellStart"/>
      <w:r w:rsidRPr="00050D42">
        <w:rPr>
          <w:rFonts w:ascii="Arial" w:hAnsi="Arial" w:cs="Arial"/>
        </w:rPr>
        <w:t>tumour</w:t>
      </w:r>
      <w:proofErr w:type="spellEnd"/>
      <w:r w:rsidRPr="00050D42">
        <w:rPr>
          <w:rFonts w:ascii="Arial" w:hAnsi="Arial" w:cs="Arial"/>
        </w:rPr>
        <w:t xml:space="preserve"> control [10,11].</w:t>
      </w:r>
    </w:p>
    <w:p w14:paraId="784E6227" w14:textId="77777777" w:rsidR="00050D42" w:rsidRPr="00050D42" w:rsidRDefault="00050D42" w:rsidP="00050D42">
      <w:pPr>
        <w:spacing w:line="276" w:lineRule="auto"/>
        <w:jc w:val="both"/>
        <w:rPr>
          <w:rFonts w:ascii="Arial" w:hAnsi="Arial" w:cs="Arial"/>
        </w:rPr>
      </w:pPr>
      <w:r w:rsidRPr="00050D42">
        <w:rPr>
          <w:rFonts w:ascii="Arial" w:hAnsi="Arial" w:cs="Arial"/>
        </w:rPr>
        <w:t>Despite its established role, several questions remain regarding optimal dose, technique, timing, and integration with systemic therapy. Additionally, the prognostic factors influencing survival outcomes in contemporary radiotherapy-treated cohorts are not clear.</w:t>
      </w:r>
    </w:p>
    <w:p w14:paraId="721879B6" w14:textId="77777777" w:rsidR="00050D42" w:rsidRPr="00050D42" w:rsidRDefault="00050D42" w:rsidP="00050D42">
      <w:pPr>
        <w:spacing w:line="276" w:lineRule="auto"/>
        <w:jc w:val="both"/>
        <w:rPr>
          <w:rFonts w:ascii="Arial" w:hAnsi="Arial" w:cs="Arial"/>
        </w:rPr>
      </w:pPr>
      <w:r w:rsidRPr="00050D42">
        <w:rPr>
          <w:rFonts w:ascii="Arial" w:hAnsi="Arial" w:cs="Arial"/>
        </w:rPr>
        <w:t xml:space="preserve">This study aims to evaluate the effectiveness and safety of radiotherapy in a retrospective cohort of patients with </w:t>
      </w:r>
      <w:r w:rsidRPr="004D6D4B">
        <w:rPr>
          <w:rFonts w:ascii="Arial" w:hAnsi="Arial" w:cs="Arial"/>
          <w:highlight w:val="yellow"/>
        </w:rPr>
        <w:t>Ewing’s</w:t>
      </w:r>
      <w:r w:rsidRPr="00050D42">
        <w:rPr>
          <w:rFonts w:ascii="Arial" w:hAnsi="Arial" w:cs="Arial"/>
        </w:rPr>
        <w:t xml:space="preserve"> sarcoma treated at a tertiary care </w:t>
      </w:r>
      <w:proofErr w:type="spellStart"/>
      <w:r w:rsidRPr="00050D42">
        <w:rPr>
          <w:rFonts w:ascii="Arial" w:hAnsi="Arial" w:cs="Arial"/>
        </w:rPr>
        <w:t>centre</w:t>
      </w:r>
      <w:proofErr w:type="spellEnd"/>
      <w:r w:rsidRPr="00050D42">
        <w:rPr>
          <w:rFonts w:ascii="Arial" w:hAnsi="Arial" w:cs="Arial"/>
        </w:rPr>
        <w:t>. Secondary objectives include assessment of recurrence patterns, toxicity profile, and identification of prognostic factors affecting outcomes.</w:t>
      </w:r>
    </w:p>
    <w:p w14:paraId="733DBBC7" w14:textId="77777777" w:rsidR="00790ADA" w:rsidRPr="00FB3A86" w:rsidRDefault="00790ADA" w:rsidP="00441B6F">
      <w:pPr>
        <w:pStyle w:val="Body"/>
        <w:spacing w:after="0"/>
        <w:rPr>
          <w:rFonts w:ascii="Arial" w:hAnsi="Arial" w:cs="Arial"/>
        </w:rPr>
      </w:pPr>
    </w:p>
    <w:p w14:paraId="6686AC4C" w14:textId="0B8A7D11" w:rsidR="00790ADA"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2BD324F6" w14:textId="77777777" w:rsidR="00050D42" w:rsidRPr="00FB3A86" w:rsidRDefault="00050D42" w:rsidP="00441B6F">
      <w:pPr>
        <w:pStyle w:val="AbstHead"/>
        <w:spacing w:after="0"/>
        <w:jc w:val="both"/>
        <w:rPr>
          <w:rFonts w:ascii="Arial" w:hAnsi="Arial" w:cs="Arial"/>
        </w:rPr>
      </w:pPr>
    </w:p>
    <w:p w14:paraId="5974E5A8" w14:textId="77777777" w:rsidR="00050D42" w:rsidRPr="00050D42" w:rsidRDefault="00050D42" w:rsidP="00050D42">
      <w:pPr>
        <w:spacing w:line="276" w:lineRule="auto"/>
        <w:jc w:val="both"/>
        <w:rPr>
          <w:rFonts w:ascii="Arial" w:hAnsi="Arial" w:cs="Arial"/>
        </w:rPr>
      </w:pPr>
      <w:r w:rsidRPr="00050D42">
        <w:rPr>
          <w:rFonts w:ascii="Arial" w:hAnsi="Arial" w:cs="Arial"/>
        </w:rPr>
        <w:t xml:space="preserve">This retrospective cohort study was conducted between January 2022 and December 2024. </w:t>
      </w:r>
      <w:commentRangeStart w:id="5"/>
      <w:r w:rsidRPr="00050D42">
        <w:rPr>
          <w:rFonts w:ascii="Arial" w:hAnsi="Arial" w:cs="Arial"/>
        </w:rPr>
        <w:t xml:space="preserve">Patients with a histologically confirmed diagnosis </w:t>
      </w:r>
      <w:commentRangeEnd w:id="5"/>
      <w:r w:rsidR="00741A99">
        <w:rPr>
          <w:rStyle w:val="CommentReference"/>
          <w:rFonts w:ascii="Times New Roman" w:hAnsi="Times New Roman"/>
          <w:lang w:val="nb-NO" w:eastAsia="nb-NO"/>
        </w:rPr>
        <w:commentReference w:id="5"/>
      </w:r>
      <w:r w:rsidRPr="00050D42">
        <w:rPr>
          <w:rFonts w:ascii="Arial" w:hAnsi="Arial" w:cs="Arial"/>
        </w:rPr>
        <w:t xml:space="preserve">of </w:t>
      </w:r>
      <w:r w:rsidRPr="00741A99">
        <w:rPr>
          <w:rFonts w:ascii="Arial" w:hAnsi="Arial" w:cs="Arial"/>
          <w:highlight w:val="yellow"/>
        </w:rPr>
        <w:t>Ewing’s</w:t>
      </w:r>
      <w:r w:rsidRPr="00050D42">
        <w:rPr>
          <w:rFonts w:ascii="Arial" w:hAnsi="Arial" w:cs="Arial"/>
        </w:rPr>
        <w:t xml:space="preserve"> sarcoma were included if they had received radiotherapy as part of their multimodal treatment and if complete clinical, treatment, and follow-up records were available. Patients were excluded from the study if they had incomplete medical records or if they had not undergone treatment with radiotherapy. A total of 51 patients fulfilled eligibility criteria.</w:t>
      </w:r>
    </w:p>
    <w:p w14:paraId="749B473A" w14:textId="77777777" w:rsidR="00050D42" w:rsidRPr="00050D42" w:rsidRDefault="00050D42" w:rsidP="00050D42">
      <w:pPr>
        <w:spacing w:line="276" w:lineRule="auto"/>
        <w:jc w:val="both"/>
        <w:rPr>
          <w:rFonts w:ascii="Arial" w:hAnsi="Arial" w:cs="Arial"/>
        </w:rPr>
      </w:pPr>
      <w:r w:rsidRPr="00050D42">
        <w:rPr>
          <w:rFonts w:ascii="Arial" w:hAnsi="Arial" w:cs="Arial"/>
        </w:rPr>
        <w:t>Data were extracted from the electronic medical records of the patients. Variables collected included demographic and patient details, disease characteristics (</w:t>
      </w:r>
      <w:proofErr w:type="spellStart"/>
      <w:r w:rsidRPr="00050D42">
        <w:rPr>
          <w:rFonts w:ascii="Arial" w:hAnsi="Arial" w:cs="Arial"/>
        </w:rPr>
        <w:t>tumour</w:t>
      </w:r>
      <w:proofErr w:type="spellEnd"/>
      <w:r w:rsidRPr="00050D42">
        <w:rPr>
          <w:rFonts w:ascii="Arial" w:hAnsi="Arial" w:cs="Arial"/>
        </w:rPr>
        <w:t xml:space="preserve"> location, skeletal versus </w:t>
      </w:r>
      <w:proofErr w:type="spellStart"/>
      <w:r w:rsidRPr="00050D42">
        <w:rPr>
          <w:rFonts w:ascii="Arial" w:hAnsi="Arial" w:cs="Arial"/>
        </w:rPr>
        <w:t>extraskeletal</w:t>
      </w:r>
      <w:proofErr w:type="spellEnd"/>
      <w:r w:rsidRPr="00050D42">
        <w:rPr>
          <w:rFonts w:ascii="Arial" w:hAnsi="Arial" w:cs="Arial"/>
        </w:rPr>
        <w:t>, metastatic status, stage), treatment details (chemotherapy regimen, number of cycles, surgery, radiotherapy dose, intent, and technique), outcomes (local control, recurrence pattern, survival) and toxicity graded according to Common Terminology Criteria for Adverse Events (CTCAE) version 5.0.</w:t>
      </w:r>
    </w:p>
    <w:p w14:paraId="04087D2D" w14:textId="77777777" w:rsidR="00050D42" w:rsidRPr="00050D42" w:rsidRDefault="00050D42" w:rsidP="00050D42">
      <w:pPr>
        <w:spacing w:line="276" w:lineRule="auto"/>
        <w:jc w:val="both"/>
        <w:rPr>
          <w:rFonts w:ascii="Arial" w:hAnsi="Arial" w:cs="Arial"/>
        </w:rPr>
      </w:pPr>
      <w:r w:rsidRPr="00050D42">
        <w:rPr>
          <w:rFonts w:ascii="Arial" w:hAnsi="Arial" w:cs="Arial"/>
        </w:rPr>
        <w:t xml:space="preserve">All patients received multi-agent chemotherapy. The most common regimen was vincristine, doxorubicin, and cyclophosphamide (VAC), either alone or alternating with ifosfamide and etoposide (IE) as per the Intergroup Ewing Sarcoma Study protocol [12,13]. Chemotherapy cycles ranged from 4 to 9, depending on risk stratification and response. Neoadjuvant </w:t>
      </w:r>
      <w:r w:rsidRPr="00050D42">
        <w:rPr>
          <w:rFonts w:ascii="Arial" w:hAnsi="Arial" w:cs="Arial"/>
        </w:rPr>
        <w:lastRenderedPageBreak/>
        <w:t>chemotherapy was administered in 96% of patients. Adjuvant chemotherapy was delivered post-local therapy as per institutional protocol.</w:t>
      </w:r>
    </w:p>
    <w:p w14:paraId="54B6D9A0" w14:textId="77777777" w:rsidR="00050D42" w:rsidRPr="00050D42" w:rsidRDefault="00050D42" w:rsidP="00050D42">
      <w:pPr>
        <w:spacing w:line="276" w:lineRule="auto"/>
        <w:jc w:val="both"/>
        <w:rPr>
          <w:rFonts w:ascii="Arial" w:hAnsi="Arial" w:cs="Arial"/>
        </w:rPr>
      </w:pPr>
      <w:r w:rsidRPr="00050D42">
        <w:rPr>
          <w:rFonts w:ascii="Arial" w:hAnsi="Arial" w:cs="Arial"/>
        </w:rPr>
        <w:t>Surgical resection was performed in 28 patients (54.9%). Limb-sparing procedures were preferred whenever feasible. Surgical margins were assessed and radiotherapy was considered in cases of positive margins, poor histological response, or unresectable disease.</w:t>
      </w:r>
    </w:p>
    <w:p w14:paraId="05C7A466" w14:textId="77777777" w:rsidR="00050D42" w:rsidRPr="00050D42" w:rsidRDefault="00050D42" w:rsidP="00050D42">
      <w:pPr>
        <w:spacing w:line="276" w:lineRule="auto"/>
        <w:jc w:val="both"/>
        <w:rPr>
          <w:rFonts w:ascii="Arial" w:hAnsi="Arial" w:cs="Arial"/>
        </w:rPr>
      </w:pPr>
      <w:r w:rsidRPr="00050D42">
        <w:rPr>
          <w:rFonts w:ascii="Arial" w:hAnsi="Arial" w:cs="Arial"/>
        </w:rPr>
        <w:t>Radiotherapy was delivered with curative (adjuvant or definitive) or palliative intent. The prescribed dose was 45 Gray (Gy) in an adjuvant setting, delivered in conventional fractionation (1.8–2 Gy per fraction) using advanced techniques such as 3DCRT or VMAT. In selected definitive cases, doses approached 55–55.8 Gy. Target volumes were defined using pre- and post-chemotherapy imaging. Organs at risk were contoured according to international guidelines [11].</w:t>
      </w:r>
    </w:p>
    <w:p w14:paraId="56FA854A" w14:textId="77777777" w:rsidR="00050D42" w:rsidRDefault="00050D42" w:rsidP="00050D42">
      <w:pPr>
        <w:spacing w:line="276" w:lineRule="auto"/>
        <w:jc w:val="both"/>
        <w:rPr>
          <w:rFonts w:ascii="Arial" w:hAnsi="Arial" w:cs="Arial"/>
        </w:rPr>
      </w:pPr>
      <w:r w:rsidRPr="00050D42">
        <w:rPr>
          <w:rFonts w:ascii="Arial" w:hAnsi="Arial" w:cs="Arial"/>
        </w:rPr>
        <w:t xml:space="preserve">Overall survival was defined as the time from diagnosis to death from any cause or last follow-up. Disease-free survival was the time from completion of primary treatment to recurrence or last follow-up, and local control was defined as the absence of </w:t>
      </w:r>
      <w:proofErr w:type="spellStart"/>
      <w:r w:rsidRPr="00050D42">
        <w:rPr>
          <w:rFonts w:ascii="Arial" w:hAnsi="Arial" w:cs="Arial"/>
        </w:rPr>
        <w:t>tumour</w:t>
      </w:r>
      <w:proofErr w:type="spellEnd"/>
      <w:r w:rsidRPr="00050D42">
        <w:rPr>
          <w:rFonts w:ascii="Arial" w:hAnsi="Arial" w:cs="Arial"/>
        </w:rPr>
        <w:t xml:space="preserve"> progression at the primary site. Descriptive statistics </w:t>
      </w:r>
      <w:proofErr w:type="spellStart"/>
      <w:r w:rsidRPr="00050D42">
        <w:rPr>
          <w:rFonts w:ascii="Arial" w:hAnsi="Arial" w:cs="Arial"/>
        </w:rPr>
        <w:t>summarised</w:t>
      </w:r>
      <w:proofErr w:type="spellEnd"/>
      <w:r w:rsidRPr="00050D42">
        <w:rPr>
          <w:rFonts w:ascii="Arial" w:hAnsi="Arial" w:cs="Arial"/>
        </w:rPr>
        <w:t xml:space="preserve"> baseline characteristics. Survival analyses were performed for OS and DFS. Time-to-event endpoints were estimated using the Kaplan–Meier method, and survival differences between groups were compared using the log-rank test. Prognostic factors were evaluated using Cox proportional hazards regression. Univariate Cox models were constructed to estimate hazard ratios (HRs) with 95% confidence intervals (CIs) for demographic, disease-related, and treatment-related variables. A two-sided p-value &lt; 0.05 was considered statistically significant. All statistical analyses were performed using Python.</w:t>
      </w:r>
    </w:p>
    <w:p w14:paraId="46FA6D74" w14:textId="77777777" w:rsidR="001144B3" w:rsidRPr="00050D42" w:rsidRDefault="001144B3" w:rsidP="00050D42">
      <w:pPr>
        <w:spacing w:line="276" w:lineRule="auto"/>
        <w:jc w:val="both"/>
        <w:rPr>
          <w:rFonts w:ascii="Arial" w:hAnsi="Arial" w:cs="Arial"/>
        </w:rPr>
      </w:pPr>
    </w:p>
    <w:p w14:paraId="380905F2"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D6C033F" w14:textId="77777777" w:rsidR="001D452B" w:rsidRDefault="001D452B" w:rsidP="00441B6F">
      <w:pPr>
        <w:pStyle w:val="Head1"/>
        <w:spacing w:after="0"/>
        <w:jc w:val="both"/>
        <w:rPr>
          <w:rFonts w:ascii="Arial" w:hAnsi="Arial" w:cs="Arial"/>
        </w:rPr>
      </w:pPr>
    </w:p>
    <w:p w14:paraId="3F3BF7CB" w14:textId="77777777" w:rsidR="001D452B" w:rsidRPr="001D452B" w:rsidRDefault="001D452B" w:rsidP="001D452B">
      <w:pPr>
        <w:spacing w:line="276" w:lineRule="auto"/>
        <w:jc w:val="both"/>
        <w:rPr>
          <w:rFonts w:ascii="Arial" w:hAnsi="Arial" w:cs="Arial"/>
        </w:rPr>
      </w:pPr>
      <w:r w:rsidRPr="001D452B">
        <w:rPr>
          <w:rFonts w:ascii="Arial" w:hAnsi="Arial" w:cs="Arial"/>
        </w:rPr>
        <w:t xml:space="preserve">A total of 51 patients with </w:t>
      </w:r>
      <w:r w:rsidRPr="00A31334">
        <w:rPr>
          <w:rFonts w:ascii="Arial" w:hAnsi="Arial" w:cs="Arial"/>
          <w:highlight w:val="yellow"/>
        </w:rPr>
        <w:t>Ewing's</w:t>
      </w:r>
      <w:r w:rsidRPr="001D452B">
        <w:rPr>
          <w:rFonts w:ascii="Arial" w:hAnsi="Arial" w:cs="Arial"/>
        </w:rPr>
        <w:t xml:space="preserve"> Sarcoma were included in the study. The median age was 21 years (IQR 14.5–28.0). Twenty-two patients (43.1%) were </w:t>
      </w:r>
      <w:proofErr w:type="spellStart"/>
      <w:r w:rsidRPr="001D452B">
        <w:rPr>
          <w:rFonts w:ascii="Arial" w:hAnsi="Arial" w:cs="Arial"/>
        </w:rPr>
        <w:t>paediatric</w:t>
      </w:r>
      <w:proofErr w:type="spellEnd"/>
      <w:r w:rsidRPr="001D452B">
        <w:rPr>
          <w:rFonts w:ascii="Arial" w:hAnsi="Arial" w:cs="Arial"/>
        </w:rPr>
        <w:t xml:space="preserve"> (&lt;18 years). Males constituted 60.8% of the cohort.</w:t>
      </w:r>
    </w:p>
    <w:p w14:paraId="7A9E0394" w14:textId="77777777" w:rsidR="001D452B" w:rsidRPr="001D452B" w:rsidRDefault="001D452B" w:rsidP="001D452B">
      <w:pPr>
        <w:spacing w:line="276" w:lineRule="auto"/>
        <w:jc w:val="both"/>
        <w:rPr>
          <w:rFonts w:ascii="Arial" w:hAnsi="Arial" w:cs="Arial"/>
        </w:rPr>
      </w:pPr>
      <w:r w:rsidRPr="001D452B">
        <w:rPr>
          <w:rFonts w:ascii="Arial" w:hAnsi="Arial" w:cs="Arial"/>
        </w:rPr>
        <w:t xml:space="preserve">Skeletal </w:t>
      </w:r>
      <w:proofErr w:type="spellStart"/>
      <w:r w:rsidRPr="001D452B">
        <w:rPr>
          <w:rFonts w:ascii="Arial" w:hAnsi="Arial" w:cs="Arial"/>
        </w:rPr>
        <w:t>tumours</w:t>
      </w:r>
      <w:proofErr w:type="spellEnd"/>
      <w:r w:rsidRPr="001D452B">
        <w:rPr>
          <w:rFonts w:ascii="Arial" w:hAnsi="Arial" w:cs="Arial"/>
        </w:rPr>
        <w:t xml:space="preserve"> accounted for 86.3%, while 13.7% were </w:t>
      </w:r>
      <w:proofErr w:type="spellStart"/>
      <w:r w:rsidRPr="001D452B">
        <w:rPr>
          <w:rFonts w:ascii="Arial" w:hAnsi="Arial" w:cs="Arial"/>
        </w:rPr>
        <w:t>extraskeletal</w:t>
      </w:r>
      <w:proofErr w:type="spellEnd"/>
      <w:r w:rsidRPr="001D452B">
        <w:rPr>
          <w:rFonts w:ascii="Arial" w:hAnsi="Arial" w:cs="Arial"/>
        </w:rPr>
        <w:t xml:space="preserve">. The most common location was the </w:t>
      </w:r>
      <w:proofErr w:type="spellStart"/>
      <w:r w:rsidRPr="001D452B">
        <w:rPr>
          <w:rFonts w:ascii="Arial" w:hAnsi="Arial" w:cs="Arial"/>
        </w:rPr>
        <w:t>dorso</w:t>
      </w:r>
      <w:proofErr w:type="spellEnd"/>
      <w:r w:rsidRPr="001D452B">
        <w:rPr>
          <w:rFonts w:ascii="Arial" w:hAnsi="Arial" w:cs="Arial"/>
        </w:rPr>
        <w:t xml:space="preserve">-lumbar vertebrae (Figure 1). Fourteen patients (27.5%) presented with metastatic disease (Stage IV), with the brain being the most common site of metastasis (Figure 2). </w:t>
      </w:r>
      <w:proofErr w:type="spellStart"/>
      <w:r w:rsidRPr="001D452B">
        <w:rPr>
          <w:rFonts w:ascii="Arial" w:hAnsi="Arial" w:cs="Arial"/>
        </w:rPr>
        <w:t>Localised</w:t>
      </w:r>
      <w:proofErr w:type="spellEnd"/>
      <w:r w:rsidRPr="001D452B">
        <w:rPr>
          <w:rFonts w:ascii="Arial" w:hAnsi="Arial" w:cs="Arial"/>
        </w:rPr>
        <w:t xml:space="preserve"> disease (Stage I–II) was observed in 72.5%. The demographic and clinical characteristics of the cohort are summarized in Table 1.</w:t>
      </w:r>
    </w:p>
    <w:p w14:paraId="1AFC46FE" w14:textId="77777777" w:rsidR="001D452B" w:rsidRPr="001D452B" w:rsidRDefault="001D452B" w:rsidP="001D452B">
      <w:pPr>
        <w:spacing w:line="276" w:lineRule="auto"/>
        <w:rPr>
          <w:rFonts w:ascii="Arial" w:hAnsi="Arial" w:cs="Arial"/>
          <w:b/>
          <w:bCs/>
        </w:rPr>
      </w:pPr>
      <w:r w:rsidRPr="001D452B">
        <w:rPr>
          <w:rFonts w:ascii="Arial" w:hAnsi="Arial" w:cs="Arial"/>
          <w:b/>
          <w:bCs/>
        </w:rPr>
        <w:lastRenderedPageBreak/>
        <w:t>Figure 1: Distribution of tumor location in the cohort.</w:t>
      </w:r>
      <w:r w:rsidRPr="001D452B">
        <w:rPr>
          <w:rFonts w:ascii="Arial" w:hAnsi="Arial" w:cs="Arial"/>
          <w:b/>
          <w:bCs/>
        </w:rPr>
        <w:br/>
      </w:r>
      <w:r w:rsidRPr="001D452B">
        <w:rPr>
          <w:rFonts w:ascii="Arial" w:hAnsi="Arial" w:cs="Arial"/>
          <w:noProof/>
        </w:rPr>
        <w:drawing>
          <wp:inline distT="0" distB="0" distL="0" distR="0" wp14:anchorId="17DB5BF0" wp14:editId="5562CC18">
            <wp:extent cx="3860800" cy="2978150"/>
            <wp:effectExtent l="0" t="0" r="6350" b="12700"/>
            <wp:docPr id="1373838340" name="Chart 1">
              <a:extLst xmlns:a="http://schemas.openxmlformats.org/drawingml/2006/main">
                <a:ext uri="{FF2B5EF4-FFF2-40B4-BE49-F238E27FC236}">
                  <a16:creationId xmlns:a16="http://schemas.microsoft.com/office/drawing/2014/main" id="{ADEF0FD7-8446-84CE-5609-E27AAD23F19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B3C4C6C" w14:textId="77777777" w:rsidR="001D452B" w:rsidRPr="001D452B" w:rsidRDefault="001D452B" w:rsidP="001D452B">
      <w:pPr>
        <w:spacing w:line="276" w:lineRule="auto"/>
        <w:rPr>
          <w:rFonts w:ascii="Arial" w:hAnsi="Arial" w:cs="Arial"/>
        </w:rPr>
      </w:pPr>
      <w:r w:rsidRPr="001D452B">
        <w:rPr>
          <w:rFonts w:ascii="Arial" w:hAnsi="Arial" w:cs="Arial"/>
          <w:b/>
          <w:bCs/>
        </w:rPr>
        <w:t>Figure 2: Common sites of distant metastasis in the cohort</w:t>
      </w:r>
    </w:p>
    <w:p w14:paraId="334CB662" w14:textId="77777777" w:rsidR="001D452B" w:rsidRPr="001D452B" w:rsidRDefault="001D452B" w:rsidP="001D452B">
      <w:pPr>
        <w:spacing w:line="276" w:lineRule="auto"/>
        <w:jc w:val="both"/>
        <w:rPr>
          <w:rFonts w:ascii="Arial" w:hAnsi="Arial" w:cs="Arial"/>
        </w:rPr>
      </w:pPr>
      <w:r w:rsidRPr="001D452B">
        <w:rPr>
          <w:rFonts w:ascii="Arial" w:hAnsi="Arial" w:cs="Arial"/>
          <w:noProof/>
        </w:rPr>
        <w:drawing>
          <wp:inline distT="0" distB="0" distL="0" distR="0" wp14:anchorId="4A3CA09D" wp14:editId="12EA9675">
            <wp:extent cx="4441372" cy="3259668"/>
            <wp:effectExtent l="0" t="0" r="16510" b="17145"/>
            <wp:docPr id="325555563" name="Chart 1">
              <a:extLst xmlns:a="http://schemas.openxmlformats.org/drawingml/2006/main">
                <a:ext uri="{FF2B5EF4-FFF2-40B4-BE49-F238E27FC236}">
                  <a16:creationId xmlns:a16="http://schemas.microsoft.com/office/drawing/2014/main" id="{4CBA84D2-5F35-8F03-3EC4-390CDAF9A36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0FD9DB4" w14:textId="77777777" w:rsidR="001D452B" w:rsidRPr="001D452B" w:rsidRDefault="001D452B" w:rsidP="001D452B">
      <w:pPr>
        <w:spacing w:line="276" w:lineRule="auto"/>
        <w:rPr>
          <w:rFonts w:ascii="Arial" w:hAnsi="Arial" w:cs="Arial"/>
          <w:b/>
          <w:bCs/>
        </w:rPr>
      </w:pPr>
      <w:r w:rsidRPr="001D452B">
        <w:rPr>
          <w:rFonts w:ascii="Arial" w:hAnsi="Arial" w:cs="Arial"/>
          <w:b/>
          <w:bCs/>
        </w:rPr>
        <w:t>Table 1: Demographic and Clinical Characteristics of Patients with Ewing's Sarcoma</w:t>
      </w:r>
    </w:p>
    <w:tbl>
      <w:tblPr>
        <w:tblStyle w:val="TableGrid"/>
        <w:tblW w:w="0" w:type="auto"/>
        <w:tblLook w:val="04A0" w:firstRow="1" w:lastRow="0" w:firstColumn="1" w:lastColumn="0" w:noHBand="0" w:noVBand="1"/>
      </w:tblPr>
      <w:tblGrid>
        <w:gridCol w:w="4117"/>
        <w:gridCol w:w="4081"/>
      </w:tblGrid>
      <w:tr w:rsidR="001D452B" w:rsidRPr="001D452B" w14:paraId="47540E73" w14:textId="77777777" w:rsidTr="007C2B13">
        <w:tc>
          <w:tcPr>
            <w:tcW w:w="4320" w:type="dxa"/>
          </w:tcPr>
          <w:p w14:paraId="3C97BC89" w14:textId="77777777" w:rsidR="001D452B" w:rsidRPr="001D452B" w:rsidRDefault="001D452B" w:rsidP="001D452B">
            <w:pPr>
              <w:spacing w:line="276" w:lineRule="auto"/>
              <w:rPr>
                <w:rFonts w:ascii="Arial" w:hAnsi="Arial" w:cs="Arial"/>
                <w:sz w:val="20"/>
                <w:szCs w:val="20"/>
              </w:rPr>
            </w:pPr>
            <w:r w:rsidRPr="001D452B">
              <w:rPr>
                <w:rFonts w:ascii="Arial" w:hAnsi="Arial" w:cs="Arial"/>
                <w:sz w:val="20"/>
                <w:szCs w:val="20"/>
              </w:rPr>
              <w:t>Characteristic</w:t>
            </w:r>
          </w:p>
        </w:tc>
        <w:tc>
          <w:tcPr>
            <w:tcW w:w="4320" w:type="dxa"/>
          </w:tcPr>
          <w:p w14:paraId="2428ABD0" w14:textId="77777777" w:rsidR="001D452B" w:rsidRPr="001D452B" w:rsidRDefault="001D452B" w:rsidP="001D452B">
            <w:pPr>
              <w:spacing w:line="276" w:lineRule="auto"/>
              <w:rPr>
                <w:rFonts w:ascii="Arial" w:hAnsi="Arial" w:cs="Arial"/>
                <w:sz w:val="20"/>
                <w:szCs w:val="20"/>
              </w:rPr>
            </w:pPr>
            <w:r w:rsidRPr="001D452B">
              <w:rPr>
                <w:rFonts w:ascii="Arial" w:hAnsi="Arial" w:cs="Arial"/>
                <w:sz w:val="20"/>
                <w:szCs w:val="20"/>
              </w:rPr>
              <w:t>N</w:t>
            </w:r>
          </w:p>
        </w:tc>
      </w:tr>
      <w:tr w:rsidR="001D452B" w:rsidRPr="001D452B" w14:paraId="6B06FAC7" w14:textId="77777777" w:rsidTr="007C2B13">
        <w:tc>
          <w:tcPr>
            <w:tcW w:w="8640" w:type="dxa"/>
            <w:gridSpan w:val="2"/>
          </w:tcPr>
          <w:p w14:paraId="7EBB1AFB" w14:textId="77777777" w:rsidR="001D452B" w:rsidRPr="001D452B" w:rsidRDefault="001D452B" w:rsidP="001D452B">
            <w:pPr>
              <w:spacing w:line="276" w:lineRule="auto"/>
              <w:rPr>
                <w:rFonts w:ascii="Arial" w:hAnsi="Arial" w:cs="Arial"/>
                <w:sz w:val="20"/>
                <w:szCs w:val="20"/>
              </w:rPr>
            </w:pPr>
            <w:r w:rsidRPr="001D452B">
              <w:rPr>
                <w:rFonts w:ascii="Arial" w:hAnsi="Arial" w:cs="Arial"/>
                <w:sz w:val="20"/>
                <w:szCs w:val="20"/>
              </w:rPr>
              <w:t>Demographics</w:t>
            </w:r>
          </w:p>
        </w:tc>
      </w:tr>
      <w:tr w:rsidR="001D452B" w:rsidRPr="001D452B" w14:paraId="38F798A5" w14:textId="77777777" w:rsidTr="007C2B13">
        <w:tc>
          <w:tcPr>
            <w:tcW w:w="4320" w:type="dxa"/>
          </w:tcPr>
          <w:p w14:paraId="05CF9E35" w14:textId="77777777" w:rsidR="001D452B" w:rsidRPr="001D452B" w:rsidRDefault="001D452B" w:rsidP="001D452B">
            <w:pPr>
              <w:spacing w:line="276" w:lineRule="auto"/>
              <w:rPr>
                <w:rFonts w:ascii="Arial" w:hAnsi="Arial" w:cs="Arial"/>
                <w:sz w:val="20"/>
                <w:szCs w:val="20"/>
              </w:rPr>
            </w:pPr>
            <w:r w:rsidRPr="001D452B">
              <w:rPr>
                <w:rFonts w:ascii="Arial" w:hAnsi="Arial" w:cs="Arial"/>
                <w:sz w:val="20"/>
                <w:szCs w:val="20"/>
              </w:rPr>
              <w:t>Age (years), median (IQR)</w:t>
            </w:r>
          </w:p>
        </w:tc>
        <w:tc>
          <w:tcPr>
            <w:tcW w:w="4320" w:type="dxa"/>
          </w:tcPr>
          <w:p w14:paraId="08F4F8C0" w14:textId="77777777" w:rsidR="001D452B" w:rsidRPr="001D452B" w:rsidRDefault="001D452B" w:rsidP="001D452B">
            <w:pPr>
              <w:spacing w:line="276" w:lineRule="auto"/>
              <w:rPr>
                <w:rFonts w:ascii="Arial" w:hAnsi="Arial" w:cs="Arial"/>
                <w:sz w:val="20"/>
                <w:szCs w:val="20"/>
              </w:rPr>
            </w:pPr>
            <w:r w:rsidRPr="001D452B">
              <w:rPr>
                <w:rFonts w:ascii="Arial" w:hAnsi="Arial" w:cs="Arial"/>
                <w:sz w:val="20"/>
                <w:szCs w:val="20"/>
              </w:rPr>
              <w:t>21.0 (14.5-28.0)</w:t>
            </w:r>
          </w:p>
        </w:tc>
      </w:tr>
      <w:tr w:rsidR="001D452B" w:rsidRPr="001D452B" w14:paraId="77EE5896" w14:textId="77777777" w:rsidTr="007C2B13">
        <w:tc>
          <w:tcPr>
            <w:tcW w:w="8640" w:type="dxa"/>
            <w:gridSpan w:val="2"/>
          </w:tcPr>
          <w:p w14:paraId="0DA7C2F1" w14:textId="77777777" w:rsidR="001D452B" w:rsidRPr="001D452B" w:rsidRDefault="001D452B" w:rsidP="001D452B">
            <w:pPr>
              <w:spacing w:line="276" w:lineRule="auto"/>
              <w:rPr>
                <w:rFonts w:ascii="Arial" w:hAnsi="Arial" w:cs="Arial"/>
                <w:sz w:val="20"/>
                <w:szCs w:val="20"/>
              </w:rPr>
            </w:pPr>
            <w:r w:rsidRPr="001D452B">
              <w:rPr>
                <w:rFonts w:ascii="Arial" w:hAnsi="Arial" w:cs="Arial"/>
                <w:sz w:val="20"/>
                <w:szCs w:val="20"/>
              </w:rPr>
              <w:t>Age group</w:t>
            </w:r>
          </w:p>
        </w:tc>
      </w:tr>
      <w:tr w:rsidR="001D452B" w:rsidRPr="001D452B" w14:paraId="582EBF4F" w14:textId="77777777" w:rsidTr="007C2B13">
        <w:tc>
          <w:tcPr>
            <w:tcW w:w="4320" w:type="dxa"/>
          </w:tcPr>
          <w:p w14:paraId="0DC965CF" w14:textId="77777777" w:rsidR="001D452B" w:rsidRPr="001D452B" w:rsidRDefault="001D452B" w:rsidP="001D452B">
            <w:pPr>
              <w:spacing w:line="276" w:lineRule="auto"/>
              <w:rPr>
                <w:rFonts w:ascii="Arial" w:hAnsi="Arial" w:cs="Arial"/>
                <w:sz w:val="20"/>
                <w:szCs w:val="20"/>
              </w:rPr>
            </w:pPr>
            <w:r w:rsidRPr="001D452B">
              <w:rPr>
                <w:rFonts w:ascii="Arial" w:hAnsi="Arial" w:cs="Arial"/>
                <w:sz w:val="20"/>
                <w:szCs w:val="20"/>
              </w:rPr>
              <w:t xml:space="preserve">  </w:t>
            </w:r>
            <w:proofErr w:type="spellStart"/>
            <w:r w:rsidRPr="001D452B">
              <w:rPr>
                <w:rFonts w:ascii="Arial" w:hAnsi="Arial" w:cs="Arial"/>
                <w:sz w:val="20"/>
                <w:szCs w:val="20"/>
              </w:rPr>
              <w:t>Paediatric</w:t>
            </w:r>
            <w:proofErr w:type="spellEnd"/>
          </w:p>
        </w:tc>
        <w:tc>
          <w:tcPr>
            <w:tcW w:w="4320" w:type="dxa"/>
          </w:tcPr>
          <w:p w14:paraId="02537EA9" w14:textId="77777777" w:rsidR="001D452B" w:rsidRPr="001D452B" w:rsidRDefault="001D452B" w:rsidP="001D452B">
            <w:pPr>
              <w:spacing w:line="276" w:lineRule="auto"/>
              <w:rPr>
                <w:rFonts w:ascii="Arial" w:hAnsi="Arial" w:cs="Arial"/>
                <w:sz w:val="20"/>
                <w:szCs w:val="20"/>
              </w:rPr>
            </w:pPr>
            <w:r w:rsidRPr="001D452B">
              <w:rPr>
                <w:rFonts w:ascii="Arial" w:hAnsi="Arial" w:cs="Arial"/>
                <w:sz w:val="20"/>
                <w:szCs w:val="20"/>
              </w:rPr>
              <w:t>22 (43.1%)</w:t>
            </w:r>
          </w:p>
        </w:tc>
      </w:tr>
      <w:tr w:rsidR="001D452B" w:rsidRPr="001D452B" w14:paraId="1D70378E" w14:textId="77777777" w:rsidTr="007C2B13">
        <w:tc>
          <w:tcPr>
            <w:tcW w:w="4320" w:type="dxa"/>
          </w:tcPr>
          <w:p w14:paraId="146E1019" w14:textId="77777777" w:rsidR="001D452B" w:rsidRPr="001D452B" w:rsidRDefault="001D452B" w:rsidP="001D452B">
            <w:pPr>
              <w:spacing w:line="276" w:lineRule="auto"/>
              <w:rPr>
                <w:rFonts w:ascii="Arial" w:hAnsi="Arial" w:cs="Arial"/>
                <w:sz w:val="20"/>
                <w:szCs w:val="20"/>
              </w:rPr>
            </w:pPr>
            <w:r w:rsidRPr="001D452B">
              <w:rPr>
                <w:rFonts w:ascii="Arial" w:hAnsi="Arial" w:cs="Arial"/>
                <w:sz w:val="20"/>
                <w:szCs w:val="20"/>
              </w:rPr>
              <w:lastRenderedPageBreak/>
              <w:t xml:space="preserve">  Young adult/adult</w:t>
            </w:r>
          </w:p>
        </w:tc>
        <w:tc>
          <w:tcPr>
            <w:tcW w:w="4320" w:type="dxa"/>
          </w:tcPr>
          <w:p w14:paraId="5D6C43C1" w14:textId="77777777" w:rsidR="001D452B" w:rsidRPr="001D452B" w:rsidRDefault="001D452B" w:rsidP="001D452B">
            <w:pPr>
              <w:spacing w:line="276" w:lineRule="auto"/>
              <w:rPr>
                <w:rFonts w:ascii="Arial" w:hAnsi="Arial" w:cs="Arial"/>
                <w:sz w:val="20"/>
                <w:szCs w:val="20"/>
              </w:rPr>
            </w:pPr>
            <w:r w:rsidRPr="001D452B">
              <w:rPr>
                <w:rFonts w:ascii="Arial" w:hAnsi="Arial" w:cs="Arial"/>
                <w:sz w:val="20"/>
                <w:szCs w:val="20"/>
              </w:rPr>
              <w:t>29 (56.9%)</w:t>
            </w:r>
          </w:p>
        </w:tc>
      </w:tr>
      <w:tr w:rsidR="001D452B" w:rsidRPr="001D452B" w14:paraId="01EC43A4" w14:textId="77777777" w:rsidTr="007C2B13">
        <w:tc>
          <w:tcPr>
            <w:tcW w:w="8640" w:type="dxa"/>
            <w:gridSpan w:val="2"/>
          </w:tcPr>
          <w:p w14:paraId="75100066" w14:textId="77777777" w:rsidR="001D452B" w:rsidRPr="001D452B" w:rsidRDefault="001D452B" w:rsidP="001D452B">
            <w:pPr>
              <w:spacing w:line="276" w:lineRule="auto"/>
              <w:rPr>
                <w:rFonts w:ascii="Arial" w:hAnsi="Arial" w:cs="Arial"/>
                <w:sz w:val="20"/>
                <w:szCs w:val="20"/>
              </w:rPr>
            </w:pPr>
            <w:r w:rsidRPr="001D452B">
              <w:rPr>
                <w:rFonts w:ascii="Arial" w:hAnsi="Arial" w:cs="Arial"/>
                <w:sz w:val="20"/>
                <w:szCs w:val="20"/>
              </w:rPr>
              <w:t>Sex</w:t>
            </w:r>
          </w:p>
        </w:tc>
      </w:tr>
      <w:tr w:rsidR="001D452B" w:rsidRPr="001D452B" w14:paraId="7B10D1AE" w14:textId="77777777" w:rsidTr="007C2B13">
        <w:tc>
          <w:tcPr>
            <w:tcW w:w="4320" w:type="dxa"/>
          </w:tcPr>
          <w:p w14:paraId="5FEBA459" w14:textId="77777777" w:rsidR="001D452B" w:rsidRPr="001D452B" w:rsidRDefault="001D452B" w:rsidP="001D452B">
            <w:pPr>
              <w:spacing w:line="276" w:lineRule="auto"/>
              <w:rPr>
                <w:rFonts w:ascii="Arial" w:hAnsi="Arial" w:cs="Arial"/>
                <w:sz w:val="20"/>
                <w:szCs w:val="20"/>
              </w:rPr>
            </w:pPr>
            <w:r w:rsidRPr="001D452B">
              <w:rPr>
                <w:rFonts w:ascii="Arial" w:hAnsi="Arial" w:cs="Arial"/>
                <w:sz w:val="20"/>
                <w:szCs w:val="20"/>
              </w:rPr>
              <w:t xml:space="preserve">  M</w:t>
            </w:r>
          </w:p>
        </w:tc>
        <w:tc>
          <w:tcPr>
            <w:tcW w:w="4320" w:type="dxa"/>
          </w:tcPr>
          <w:p w14:paraId="6E0CC5E5" w14:textId="77777777" w:rsidR="001D452B" w:rsidRPr="001D452B" w:rsidRDefault="001D452B" w:rsidP="001D452B">
            <w:pPr>
              <w:spacing w:line="276" w:lineRule="auto"/>
              <w:rPr>
                <w:rFonts w:ascii="Arial" w:hAnsi="Arial" w:cs="Arial"/>
                <w:sz w:val="20"/>
                <w:szCs w:val="20"/>
              </w:rPr>
            </w:pPr>
            <w:r w:rsidRPr="001D452B">
              <w:rPr>
                <w:rFonts w:ascii="Arial" w:hAnsi="Arial" w:cs="Arial"/>
                <w:sz w:val="20"/>
                <w:szCs w:val="20"/>
              </w:rPr>
              <w:t>31 (60.8%)</w:t>
            </w:r>
          </w:p>
        </w:tc>
      </w:tr>
      <w:tr w:rsidR="001D452B" w:rsidRPr="001D452B" w14:paraId="6428923A" w14:textId="77777777" w:rsidTr="007C2B13">
        <w:tc>
          <w:tcPr>
            <w:tcW w:w="4320" w:type="dxa"/>
          </w:tcPr>
          <w:p w14:paraId="4F490B34" w14:textId="77777777" w:rsidR="001D452B" w:rsidRPr="001D452B" w:rsidRDefault="001D452B" w:rsidP="001D452B">
            <w:pPr>
              <w:spacing w:line="276" w:lineRule="auto"/>
              <w:rPr>
                <w:rFonts w:ascii="Arial" w:hAnsi="Arial" w:cs="Arial"/>
                <w:sz w:val="20"/>
                <w:szCs w:val="20"/>
              </w:rPr>
            </w:pPr>
            <w:r w:rsidRPr="001D452B">
              <w:rPr>
                <w:rFonts w:ascii="Arial" w:hAnsi="Arial" w:cs="Arial"/>
                <w:sz w:val="20"/>
                <w:szCs w:val="20"/>
              </w:rPr>
              <w:t xml:space="preserve">  F</w:t>
            </w:r>
          </w:p>
        </w:tc>
        <w:tc>
          <w:tcPr>
            <w:tcW w:w="4320" w:type="dxa"/>
          </w:tcPr>
          <w:p w14:paraId="403FA1A2" w14:textId="77777777" w:rsidR="001D452B" w:rsidRPr="001D452B" w:rsidRDefault="001D452B" w:rsidP="001D452B">
            <w:pPr>
              <w:spacing w:line="276" w:lineRule="auto"/>
              <w:rPr>
                <w:rFonts w:ascii="Arial" w:hAnsi="Arial" w:cs="Arial"/>
                <w:sz w:val="20"/>
                <w:szCs w:val="20"/>
              </w:rPr>
            </w:pPr>
            <w:r w:rsidRPr="001D452B">
              <w:rPr>
                <w:rFonts w:ascii="Arial" w:hAnsi="Arial" w:cs="Arial"/>
                <w:sz w:val="20"/>
                <w:szCs w:val="20"/>
              </w:rPr>
              <w:t>20 (39.2%)</w:t>
            </w:r>
          </w:p>
        </w:tc>
      </w:tr>
      <w:tr w:rsidR="001D452B" w:rsidRPr="001D452B" w14:paraId="2A1DC094" w14:textId="77777777" w:rsidTr="007C2B13">
        <w:tc>
          <w:tcPr>
            <w:tcW w:w="8640" w:type="dxa"/>
            <w:gridSpan w:val="2"/>
          </w:tcPr>
          <w:p w14:paraId="037E94C3" w14:textId="77777777" w:rsidR="001D452B" w:rsidRPr="001D452B" w:rsidRDefault="001D452B" w:rsidP="001D452B">
            <w:pPr>
              <w:spacing w:line="276" w:lineRule="auto"/>
              <w:rPr>
                <w:rFonts w:ascii="Arial" w:hAnsi="Arial" w:cs="Arial"/>
                <w:sz w:val="20"/>
                <w:szCs w:val="20"/>
              </w:rPr>
            </w:pPr>
            <w:r w:rsidRPr="001D452B">
              <w:rPr>
                <w:rFonts w:ascii="Arial" w:hAnsi="Arial" w:cs="Arial"/>
                <w:sz w:val="20"/>
                <w:szCs w:val="20"/>
              </w:rPr>
              <w:t>Disease characteristics</w:t>
            </w:r>
          </w:p>
        </w:tc>
      </w:tr>
      <w:tr w:rsidR="001D452B" w:rsidRPr="00741A99" w14:paraId="6D6E8BBE" w14:textId="77777777" w:rsidTr="007C2B13">
        <w:tc>
          <w:tcPr>
            <w:tcW w:w="8640" w:type="dxa"/>
            <w:gridSpan w:val="2"/>
          </w:tcPr>
          <w:p w14:paraId="5271A908" w14:textId="77777777" w:rsidR="001D452B" w:rsidRPr="002B4611" w:rsidRDefault="001D452B" w:rsidP="001D452B">
            <w:pPr>
              <w:spacing w:line="276" w:lineRule="auto"/>
              <w:rPr>
                <w:rFonts w:ascii="Arial" w:hAnsi="Arial" w:cs="Arial"/>
                <w:sz w:val="20"/>
                <w:szCs w:val="20"/>
                <w:lang w:val="nl-BE"/>
              </w:rPr>
            </w:pPr>
            <w:r w:rsidRPr="002B4611">
              <w:rPr>
                <w:rFonts w:ascii="Arial" w:hAnsi="Arial" w:cs="Arial"/>
                <w:sz w:val="20"/>
                <w:szCs w:val="20"/>
                <w:lang w:val="nl-BE"/>
              </w:rPr>
              <w:t>Tumor location (skeletal vs extraskeletal)</w:t>
            </w:r>
          </w:p>
        </w:tc>
      </w:tr>
      <w:tr w:rsidR="001D452B" w:rsidRPr="001D452B" w14:paraId="6F13428F" w14:textId="77777777" w:rsidTr="007C2B13">
        <w:tc>
          <w:tcPr>
            <w:tcW w:w="4320" w:type="dxa"/>
          </w:tcPr>
          <w:p w14:paraId="44F3F12F" w14:textId="77777777" w:rsidR="001D452B" w:rsidRPr="001D452B" w:rsidRDefault="001D452B" w:rsidP="001D452B">
            <w:pPr>
              <w:spacing w:line="276" w:lineRule="auto"/>
              <w:rPr>
                <w:rFonts w:ascii="Arial" w:hAnsi="Arial" w:cs="Arial"/>
                <w:sz w:val="20"/>
                <w:szCs w:val="20"/>
              </w:rPr>
            </w:pPr>
            <w:r w:rsidRPr="002B4611">
              <w:rPr>
                <w:rFonts w:ascii="Arial" w:hAnsi="Arial" w:cs="Arial"/>
                <w:sz w:val="20"/>
                <w:szCs w:val="20"/>
                <w:lang w:val="nl-BE"/>
              </w:rPr>
              <w:t xml:space="preserve">  </w:t>
            </w:r>
            <w:r w:rsidRPr="001D452B">
              <w:rPr>
                <w:rFonts w:ascii="Arial" w:hAnsi="Arial" w:cs="Arial"/>
                <w:sz w:val="20"/>
                <w:szCs w:val="20"/>
              </w:rPr>
              <w:t>Skeletal</w:t>
            </w:r>
          </w:p>
        </w:tc>
        <w:tc>
          <w:tcPr>
            <w:tcW w:w="4320" w:type="dxa"/>
          </w:tcPr>
          <w:p w14:paraId="5D7866F9" w14:textId="77777777" w:rsidR="001D452B" w:rsidRPr="001D452B" w:rsidRDefault="001D452B" w:rsidP="001D452B">
            <w:pPr>
              <w:spacing w:line="276" w:lineRule="auto"/>
              <w:rPr>
                <w:rFonts w:ascii="Arial" w:hAnsi="Arial" w:cs="Arial"/>
                <w:sz w:val="20"/>
                <w:szCs w:val="20"/>
              </w:rPr>
            </w:pPr>
            <w:r w:rsidRPr="001D452B">
              <w:rPr>
                <w:rFonts w:ascii="Arial" w:hAnsi="Arial" w:cs="Arial"/>
                <w:sz w:val="20"/>
                <w:szCs w:val="20"/>
              </w:rPr>
              <w:t>44 (86.3%)</w:t>
            </w:r>
          </w:p>
        </w:tc>
      </w:tr>
      <w:tr w:rsidR="001D452B" w:rsidRPr="001D452B" w14:paraId="400680BC" w14:textId="77777777" w:rsidTr="007C2B13">
        <w:tc>
          <w:tcPr>
            <w:tcW w:w="4320" w:type="dxa"/>
          </w:tcPr>
          <w:p w14:paraId="50ED5B90" w14:textId="77777777" w:rsidR="001D452B" w:rsidRPr="001D452B" w:rsidRDefault="001D452B" w:rsidP="001D452B">
            <w:pPr>
              <w:spacing w:line="276" w:lineRule="auto"/>
              <w:rPr>
                <w:rFonts w:ascii="Arial" w:hAnsi="Arial" w:cs="Arial"/>
                <w:sz w:val="20"/>
                <w:szCs w:val="20"/>
              </w:rPr>
            </w:pPr>
            <w:r w:rsidRPr="001D452B">
              <w:rPr>
                <w:rFonts w:ascii="Arial" w:hAnsi="Arial" w:cs="Arial"/>
                <w:sz w:val="20"/>
                <w:szCs w:val="20"/>
              </w:rPr>
              <w:t xml:space="preserve">  </w:t>
            </w:r>
            <w:proofErr w:type="spellStart"/>
            <w:r w:rsidRPr="001D452B">
              <w:rPr>
                <w:rFonts w:ascii="Arial" w:hAnsi="Arial" w:cs="Arial"/>
                <w:sz w:val="20"/>
                <w:szCs w:val="20"/>
              </w:rPr>
              <w:t>Extraskeletal</w:t>
            </w:r>
            <w:proofErr w:type="spellEnd"/>
          </w:p>
        </w:tc>
        <w:tc>
          <w:tcPr>
            <w:tcW w:w="4320" w:type="dxa"/>
          </w:tcPr>
          <w:p w14:paraId="3CDE87A4" w14:textId="77777777" w:rsidR="001D452B" w:rsidRPr="001D452B" w:rsidRDefault="001D452B" w:rsidP="001D452B">
            <w:pPr>
              <w:spacing w:line="276" w:lineRule="auto"/>
              <w:rPr>
                <w:rFonts w:ascii="Arial" w:hAnsi="Arial" w:cs="Arial"/>
                <w:sz w:val="20"/>
                <w:szCs w:val="20"/>
              </w:rPr>
            </w:pPr>
            <w:r w:rsidRPr="001D452B">
              <w:rPr>
                <w:rFonts w:ascii="Arial" w:hAnsi="Arial" w:cs="Arial"/>
                <w:sz w:val="20"/>
                <w:szCs w:val="20"/>
              </w:rPr>
              <w:t>7 (13.7%)</w:t>
            </w:r>
          </w:p>
        </w:tc>
      </w:tr>
      <w:tr w:rsidR="001D452B" w:rsidRPr="001D452B" w14:paraId="212D01C0" w14:textId="77777777" w:rsidTr="007C2B13">
        <w:tc>
          <w:tcPr>
            <w:tcW w:w="8640" w:type="dxa"/>
            <w:gridSpan w:val="2"/>
          </w:tcPr>
          <w:p w14:paraId="54858430" w14:textId="77777777" w:rsidR="001D452B" w:rsidRPr="001D452B" w:rsidRDefault="001D452B" w:rsidP="001D452B">
            <w:pPr>
              <w:spacing w:line="276" w:lineRule="auto"/>
              <w:rPr>
                <w:rFonts w:ascii="Arial" w:hAnsi="Arial" w:cs="Arial"/>
                <w:sz w:val="20"/>
                <w:szCs w:val="20"/>
              </w:rPr>
            </w:pPr>
            <w:r w:rsidRPr="001D452B">
              <w:rPr>
                <w:rFonts w:ascii="Arial" w:hAnsi="Arial" w:cs="Arial"/>
                <w:sz w:val="20"/>
                <w:szCs w:val="20"/>
              </w:rPr>
              <w:t>Presentation</w:t>
            </w:r>
          </w:p>
        </w:tc>
      </w:tr>
      <w:tr w:rsidR="001D452B" w:rsidRPr="001D452B" w14:paraId="4BD906AE" w14:textId="77777777" w:rsidTr="007C2B13">
        <w:tc>
          <w:tcPr>
            <w:tcW w:w="4320" w:type="dxa"/>
          </w:tcPr>
          <w:p w14:paraId="56A8F432" w14:textId="77777777" w:rsidR="001D452B" w:rsidRPr="001D452B" w:rsidRDefault="001D452B" w:rsidP="001D452B">
            <w:pPr>
              <w:spacing w:line="276" w:lineRule="auto"/>
              <w:rPr>
                <w:rFonts w:ascii="Arial" w:hAnsi="Arial" w:cs="Arial"/>
                <w:sz w:val="20"/>
                <w:szCs w:val="20"/>
              </w:rPr>
            </w:pPr>
            <w:r w:rsidRPr="001D452B">
              <w:rPr>
                <w:rFonts w:ascii="Arial" w:hAnsi="Arial" w:cs="Arial"/>
                <w:sz w:val="20"/>
                <w:szCs w:val="20"/>
              </w:rPr>
              <w:t xml:space="preserve">  Localized at diagnosis</w:t>
            </w:r>
          </w:p>
        </w:tc>
        <w:tc>
          <w:tcPr>
            <w:tcW w:w="4320" w:type="dxa"/>
          </w:tcPr>
          <w:p w14:paraId="2AAD0D03" w14:textId="77777777" w:rsidR="001D452B" w:rsidRPr="001D452B" w:rsidRDefault="001D452B" w:rsidP="001D452B">
            <w:pPr>
              <w:spacing w:line="276" w:lineRule="auto"/>
              <w:rPr>
                <w:rFonts w:ascii="Arial" w:hAnsi="Arial" w:cs="Arial"/>
                <w:sz w:val="20"/>
                <w:szCs w:val="20"/>
              </w:rPr>
            </w:pPr>
            <w:r w:rsidRPr="001D452B">
              <w:rPr>
                <w:rFonts w:ascii="Arial" w:hAnsi="Arial" w:cs="Arial"/>
                <w:sz w:val="20"/>
                <w:szCs w:val="20"/>
              </w:rPr>
              <w:t>37 (72.5%)</w:t>
            </w:r>
          </w:p>
        </w:tc>
      </w:tr>
      <w:tr w:rsidR="001D452B" w:rsidRPr="001D452B" w14:paraId="0A316B48" w14:textId="77777777" w:rsidTr="007C2B13">
        <w:tc>
          <w:tcPr>
            <w:tcW w:w="4320" w:type="dxa"/>
          </w:tcPr>
          <w:p w14:paraId="5FE20BD7" w14:textId="77777777" w:rsidR="001D452B" w:rsidRPr="001D452B" w:rsidRDefault="001D452B" w:rsidP="001D452B">
            <w:pPr>
              <w:spacing w:line="276" w:lineRule="auto"/>
              <w:rPr>
                <w:rFonts w:ascii="Arial" w:hAnsi="Arial" w:cs="Arial"/>
                <w:sz w:val="20"/>
                <w:szCs w:val="20"/>
              </w:rPr>
            </w:pPr>
            <w:r w:rsidRPr="001D452B">
              <w:rPr>
                <w:rFonts w:ascii="Arial" w:hAnsi="Arial" w:cs="Arial"/>
                <w:sz w:val="20"/>
                <w:szCs w:val="20"/>
              </w:rPr>
              <w:t xml:space="preserve">  Metastatic at diagnosis</w:t>
            </w:r>
          </w:p>
        </w:tc>
        <w:tc>
          <w:tcPr>
            <w:tcW w:w="4320" w:type="dxa"/>
          </w:tcPr>
          <w:p w14:paraId="7DED0DA5" w14:textId="77777777" w:rsidR="001D452B" w:rsidRPr="001D452B" w:rsidRDefault="001D452B" w:rsidP="001D452B">
            <w:pPr>
              <w:spacing w:line="276" w:lineRule="auto"/>
              <w:rPr>
                <w:rFonts w:ascii="Arial" w:hAnsi="Arial" w:cs="Arial"/>
                <w:sz w:val="20"/>
                <w:szCs w:val="20"/>
              </w:rPr>
            </w:pPr>
            <w:r w:rsidRPr="001D452B">
              <w:rPr>
                <w:rFonts w:ascii="Arial" w:hAnsi="Arial" w:cs="Arial"/>
                <w:sz w:val="20"/>
                <w:szCs w:val="20"/>
              </w:rPr>
              <w:t>14 (27.5%)</w:t>
            </w:r>
          </w:p>
        </w:tc>
      </w:tr>
      <w:tr w:rsidR="001D452B" w:rsidRPr="001D452B" w14:paraId="3F699726" w14:textId="77777777" w:rsidTr="007C2B13">
        <w:tc>
          <w:tcPr>
            <w:tcW w:w="8640" w:type="dxa"/>
            <w:gridSpan w:val="2"/>
          </w:tcPr>
          <w:p w14:paraId="24ED51D8" w14:textId="77777777" w:rsidR="001D452B" w:rsidRPr="001D452B" w:rsidRDefault="001D452B" w:rsidP="001D452B">
            <w:pPr>
              <w:spacing w:line="276" w:lineRule="auto"/>
              <w:rPr>
                <w:rFonts w:ascii="Arial" w:hAnsi="Arial" w:cs="Arial"/>
                <w:sz w:val="20"/>
                <w:szCs w:val="20"/>
              </w:rPr>
            </w:pPr>
            <w:r w:rsidRPr="001D452B">
              <w:rPr>
                <w:rFonts w:ascii="Arial" w:hAnsi="Arial" w:cs="Arial"/>
                <w:sz w:val="20"/>
                <w:szCs w:val="20"/>
              </w:rPr>
              <w:t>Stage at diagnosis (AJCC)</w:t>
            </w:r>
          </w:p>
        </w:tc>
      </w:tr>
      <w:tr w:rsidR="001D452B" w:rsidRPr="001D452B" w14:paraId="2128F7D3" w14:textId="77777777" w:rsidTr="007C2B13">
        <w:tc>
          <w:tcPr>
            <w:tcW w:w="4320" w:type="dxa"/>
          </w:tcPr>
          <w:p w14:paraId="50D851D0" w14:textId="77777777" w:rsidR="001D452B" w:rsidRPr="001D452B" w:rsidRDefault="001D452B" w:rsidP="001D452B">
            <w:pPr>
              <w:spacing w:line="276" w:lineRule="auto"/>
              <w:rPr>
                <w:rFonts w:ascii="Arial" w:hAnsi="Arial" w:cs="Arial"/>
                <w:sz w:val="20"/>
                <w:szCs w:val="20"/>
              </w:rPr>
            </w:pPr>
            <w:r w:rsidRPr="001D452B">
              <w:rPr>
                <w:rFonts w:ascii="Arial" w:hAnsi="Arial" w:cs="Arial"/>
                <w:sz w:val="20"/>
                <w:szCs w:val="20"/>
              </w:rPr>
              <w:t xml:space="preserve">  Stage I</w:t>
            </w:r>
          </w:p>
        </w:tc>
        <w:tc>
          <w:tcPr>
            <w:tcW w:w="4320" w:type="dxa"/>
          </w:tcPr>
          <w:p w14:paraId="15C77D92" w14:textId="77777777" w:rsidR="001D452B" w:rsidRPr="001D452B" w:rsidRDefault="001D452B" w:rsidP="001D452B">
            <w:pPr>
              <w:spacing w:line="276" w:lineRule="auto"/>
              <w:rPr>
                <w:rFonts w:ascii="Arial" w:hAnsi="Arial" w:cs="Arial"/>
                <w:sz w:val="20"/>
                <w:szCs w:val="20"/>
              </w:rPr>
            </w:pPr>
            <w:r w:rsidRPr="001D452B">
              <w:rPr>
                <w:rFonts w:ascii="Arial" w:hAnsi="Arial" w:cs="Arial"/>
                <w:sz w:val="20"/>
                <w:szCs w:val="20"/>
              </w:rPr>
              <w:t>26 (51.0%)</w:t>
            </w:r>
          </w:p>
        </w:tc>
      </w:tr>
      <w:tr w:rsidR="001D452B" w:rsidRPr="001D452B" w14:paraId="2B2D7FC5" w14:textId="77777777" w:rsidTr="007C2B13">
        <w:tc>
          <w:tcPr>
            <w:tcW w:w="4320" w:type="dxa"/>
          </w:tcPr>
          <w:p w14:paraId="3BB80C74" w14:textId="77777777" w:rsidR="001D452B" w:rsidRPr="001D452B" w:rsidRDefault="001D452B" w:rsidP="001D452B">
            <w:pPr>
              <w:spacing w:line="276" w:lineRule="auto"/>
              <w:rPr>
                <w:rFonts w:ascii="Arial" w:hAnsi="Arial" w:cs="Arial"/>
                <w:sz w:val="20"/>
                <w:szCs w:val="20"/>
              </w:rPr>
            </w:pPr>
            <w:r w:rsidRPr="001D452B">
              <w:rPr>
                <w:rFonts w:ascii="Arial" w:hAnsi="Arial" w:cs="Arial"/>
                <w:sz w:val="20"/>
                <w:szCs w:val="20"/>
              </w:rPr>
              <w:t xml:space="preserve">  Stage II</w:t>
            </w:r>
          </w:p>
        </w:tc>
        <w:tc>
          <w:tcPr>
            <w:tcW w:w="4320" w:type="dxa"/>
          </w:tcPr>
          <w:p w14:paraId="1EC29DD4" w14:textId="77777777" w:rsidR="001D452B" w:rsidRPr="001D452B" w:rsidRDefault="001D452B" w:rsidP="001D452B">
            <w:pPr>
              <w:spacing w:line="276" w:lineRule="auto"/>
              <w:rPr>
                <w:rFonts w:ascii="Arial" w:hAnsi="Arial" w:cs="Arial"/>
                <w:sz w:val="20"/>
                <w:szCs w:val="20"/>
              </w:rPr>
            </w:pPr>
            <w:r w:rsidRPr="001D452B">
              <w:rPr>
                <w:rFonts w:ascii="Arial" w:hAnsi="Arial" w:cs="Arial"/>
                <w:sz w:val="20"/>
                <w:szCs w:val="20"/>
              </w:rPr>
              <w:t>11 (21.6%)</w:t>
            </w:r>
          </w:p>
        </w:tc>
      </w:tr>
      <w:tr w:rsidR="001D452B" w:rsidRPr="001D452B" w14:paraId="1239FE67" w14:textId="77777777" w:rsidTr="007C2B13">
        <w:tc>
          <w:tcPr>
            <w:tcW w:w="4320" w:type="dxa"/>
          </w:tcPr>
          <w:p w14:paraId="0B8B736C" w14:textId="77777777" w:rsidR="001D452B" w:rsidRPr="001D452B" w:rsidRDefault="001D452B" w:rsidP="001D452B">
            <w:pPr>
              <w:spacing w:line="276" w:lineRule="auto"/>
              <w:rPr>
                <w:rFonts w:ascii="Arial" w:hAnsi="Arial" w:cs="Arial"/>
                <w:sz w:val="20"/>
                <w:szCs w:val="20"/>
              </w:rPr>
            </w:pPr>
            <w:r w:rsidRPr="001D452B">
              <w:rPr>
                <w:rFonts w:ascii="Arial" w:hAnsi="Arial" w:cs="Arial"/>
                <w:sz w:val="20"/>
                <w:szCs w:val="20"/>
              </w:rPr>
              <w:t xml:space="preserve">  Stage III</w:t>
            </w:r>
          </w:p>
        </w:tc>
        <w:tc>
          <w:tcPr>
            <w:tcW w:w="4320" w:type="dxa"/>
          </w:tcPr>
          <w:p w14:paraId="7FD7BB51" w14:textId="77777777" w:rsidR="001D452B" w:rsidRPr="001D452B" w:rsidRDefault="001D452B" w:rsidP="001D452B">
            <w:pPr>
              <w:spacing w:line="276" w:lineRule="auto"/>
              <w:rPr>
                <w:rFonts w:ascii="Arial" w:hAnsi="Arial" w:cs="Arial"/>
                <w:sz w:val="20"/>
                <w:szCs w:val="20"/>
              </w:rPr>
            </w:pPr>
            <w:r w:rsidRPr="001D452B">
              <w:rPr>
                <w:rFonts w:ascii="Arial" w:hAnsi="Arial" w:cs="Arial"/>
                <w:sz w:val="20"/>
                <w:szCs w:val="20"/>
              </w:rPr>
              <w:t>0 (0.0%)</w:t>
            </w:r>
          </w:p>
        </w:tc>
      </w:tr>
      <w:tr w:rsidR="001D452B" w:rsidRPr="001D452B" w14:paraId="6A5A33E3" w14:textId="77777777" w:rsidTr="007C2B13">
        <w:tc>
          <w:tcPr>
            <w:tcW w:w="4320" w:type="dxa"/>
          </w:tcPr>
          <w:p w14:paraId="55E15F27" w14:textId="77777777" w:rsidR="001D452B" w:rsidRPr="001D452B" w:rsidRDefault="001D452B" w:rsidP="001D452B">
            <w:pPr>
              <w:spacing w:line="276" w:lineRule="auto"/>
              <w:rPr>
                <w:rFonts w:ascii="Arial" w:hAnsi="Arial" w:cs="Arial"/>
                <w:sz w:val="20"/>
                <w:szCs w:val="20"/>
              </w:rPr>
            </w:pPr>
            <w:r w:rsidRPr="001D452B">
              <w:rPr>
                <w:rFonts w:ascii="Arial" w:hAnsi="Arial" w:cs="Arial"/>
                <w:sz w:val="20"/>
                <w:szCs w:val="20"/>
              </w:rPr>
              <w:t xml:space="preserve">  Stage IV</w:t>
            </w:r>
          </w:p>
        </w:tc>
        <w:tc>
          <w:tcPr>
            <w:tcW w:w="4320" w:type="dxa"/>
          </w:tcPr>
          <w:p w14:paraId="420C3BAD" w14:textId="77777777" w:rsidR="001D452B" w:rsidRPr="001D452B" w:rsidRDefault="001D452B" w:rsidP="001D452B">
            <w:pPr>
              <w:spacing w:line="276" w:lineRule="auto"/>
              <w:rPr>
                <w:rFonts w:ascii="Arial" w:hAnsi="Arial" w:cs="Arial"/>
                <w:sz w:val="20"/>
                <w:szCs w:val="20"/>
              </w:rPr>
            </w:pPr>
            <w:r w:rsidRPr="001D452B">
              <w:rPr>
                <w:rFonts w:ascii="Arial" w:hAnsi="Arial" w:cs="Arial"/>
                <w:sz w:val="20"/>
                <w:szCs w:val="20"/>
              </w:rPr>
              <w:t>14 (27.5%)</w:t>
            </w:r>
          </w:p>
        </w:tc>
      </w:tr>
    </w:tbl>
    <w:p w14:paraId="218575B7" w14:textId="77777777" w:rsidR="001D452B" w:rsidRPr="001D452B" w:rsidRDefault="001D452B" w:rsidP="001D452B">
      <w:pPr>
        <w:spacing w:line="276" w:lineRule="auto"/>
        <w:jc w:val="both"/>
        <w:rPr>
          <w:rFonts w:ascii="Arial" w:hAnsi="Arial" w:cs="Arial"/>
          <w:vertAlign w:val="superscript"/>
        </w:rPr>
      </w:pPr>
      <w:r w:rsidRPr="001D452B">
        <w:rPr>
          <w:rFonts w:ascii="Arial" w:hAnsi="Arial" w:cs="Arial"/>
          <w:vertAlign w:val="superscript"/>
        </w:rPr>
        <w:t>M= male, F= female</w:t>
      </w:r>
    </w:p>
    <w:p w14:paraId="1801B6B0" w14:textId="77777777" w:rsidR="001D452B" w:rsidRDefault="001D452B" w:rsidP="001D452B">
      <w:pPr>
        <w:spacing w:line="276" w:lineRule="auto"/>
        <w:jc w:val="both"/>
        <w:rPr>
          <w:rFonts w:ascii="Arial" w:hAnsi="Arial" w:cs="Arial"/>
        </w:rPr>
      </w:pPr>
      <w:r w:rsidRPr="001D452B">
        <w:rPr>
          <w:rFonts w:ascii="Arial" w:hAnsi="Arial" w:cs="Arial"/>
        </w:rPr>
        <w:t xml:space="preserve">All patients received chemotherapy, with a majority receiving the VAC regimen (80.4%). The number of cycles varied between 4 and 9, with the majority of the patients receiving 6 cycles of chemotherapy. Surgery was performed in 28 patients. Twenty-five patients underwent </w:t>
      </w:r>
      <w:proofErr w:type="spellStart"/>
      <w:r w:rsidRPr="001D452B">
        <w:rPr>
          <w:rFonts w:ascii="Arial" w:hAnsi="Arial" w:cs="Arial"/>
        </w:rPr>
        <w:t>tumour</w:t>
      </w:r>
      <w:proofErr w:type="spellEnd"/>
      <w:r w:rsidRPr="001D452B">
        <w:rPr>
          <w:rFonts w:ascii="Arial" w:hAnsi="Arial" w:cs="Arial"/>
        </w:rPr>
        <w:t xml:space="preserve"> resection, and 3 underwent limb amputation. Radiotherapy was delivered using conformal techniques in 68.6% of patients. The treatment protocols are </w:t>
      </w:r>
      <w:proofErr w:type="spellStart"/>
      <w:r w:rsidRPr="001D452B">
        <w:rPr>
          <w:rFonts w:ascii="Arial" w:hAnsi="Arial" w:cs="Arial"/>
        </w:rPr>
        <w:t>summarised</w:t>
      </w:r>
      <w:proofErr w:type="spellEnd"/>
      <w:r w:rsidRPr="001D452B">
        <w:rPr>
          <w:rFonts w:ascii="Arial" w:hAnsi="Arial" w:cs="Arial"/>
        </w:rPr>
        <w:t xml:space="preserve"> in Figure 5. The VMAT technique was the most commonly used for radiotherapy (Figure 3A and B). A total of 55.8 Gy was delivered in 31 fractions for definitive treatment, while 45 Gy was administered in 25 fractions for adjuvant therapy. One case of left distal femur </w:t>
      </w:r>
      <w:r w:rsidRPr="00A31334">
        <w:rPr>
          <w:rFonts w:ascii="Arial" w:hAnsi="Arial" w:cs="Arial"/>
          <w:highlight w:val="yellow"/>
        </w:rPr>
        <w:t>Ewing’s</w:t>
      </w:r>
      <w:r w:rsidRPr="001D452B">
        <w:rPr>
          <w:rFonts w:ascii="Arial" w:hAnsi="Arial" w:cs="Arial"/>
        </w:rPr>
        <w:t xml:space="preserve"> sarcoma was treated with extracorporeal radiotherapy (ECRT). After wide resection of the tumor-bearing femoral segment, the specimen was wrapped in sterile saline-soaked gauze, transported to the radiation suite, and irradiated ex vivo to 50 Gy in a single fraction using megavoltage (MV) photons to sterilize residual microscopic disease while preserving the structural integrity of the bone. The devitalized segment was then reimplanted, thereby achieving oncologic clearance while maintaining limb length and function as part of a limb-salvage strategy (Figure 4). Most cases of palliative radiotherapy were planned using 3DCRT. The doses varied, typically ranging from 20 Gy in 5 fractions to 30 Gy in 10 fractions. Treatment characteristics of the cohort are summarized in Table 2.</w:t>
      </w:r>
    </w:p>
    <w:p w14:paraId="18A56970" w14:textId="77777777" w:rsidR="001B69B5" w:rsidRPr="001D452B" w:rsidRDefault="001B69B5" w:rsidP="001D452B">
      <w:pPr>
        <w:spacing w:line="276" w:lineRule="auto"/>
        <w:jc w:val="both"/>
        <w:rPr>
          <w:rFonts w:ascii="Arial" w:hAnsi="Arial" w:cs="Arial"/>
        </w:rPr>
      </w:pPr>
    </w:p>
    <w:p w14:paraId="14CA432D" w14:textId="77777777" w:rsidR="001D452B" w:rsidRPr="001D452B" w:rsidRDefault="001D452B" w:rsidP="001D452B">
      <w:pPr>
        <w:spacing w:line="276" w:lineRule="auto"/>
        <w:jc w:val="both"/>
        <w:rPr>
          <w:rFonts w:ascii="Arial" w:hAnsi="Arial" w:cs="Arial"/>
          <w:b/>
          <w:bCs/>
        </w:rPr>
      </w:pPr>
      <w:r w:rsidRPr="001D452B">
        <w:rPr>
          <w:rFonts w:ascii="Arial" w:hAnsi="Arial" w:cs="Arial"/>
          <w:b/>
          <w:bCs/>
        </w:rPr>
        <w:t xml:space="preserve">Figure 3: VMAT Planning for </w:t>
      </w:r>
      <w:r w:rsidRPr="00A31334">
        <w:rPr>
          <w:rFonts w:ascii="Arial" w:hAnsi="Arial" w:cs="Arial"/>
          <w:b/>
          <w:bCs/>
          <w:highlight w:val="yellow"/>
        </w:rPr>
        <w:t>Ewing’s</w:t>
      </w:r>
      <w:r w:rsidRPr="001D452B">
        <w:rPr>
          <w:rFonts w:ascii="Arial" w:hAnsi="Arial" w:cs="Arial"/>
          <w:b/>
          <w:bCs/>
        </w:rPr>
        <w:t xml:space="preserve"> sarcoma</w:t>
      </w:r>
    </w:p>
    <w:p w14:paraId="2E7FC288" w14:textId="77777777" w:rsidR="001D452B" w:rsidRPr="001D452B" w:rsidRDefault="001D452B" w:rsidP="001D452B">
      <w:pPr>
        <w:spacing w:line="276" w:lineRule="auto"/>
        <w:jc w:val="both"/>
        <w:rPr>
          <w:rFonts w:ascii="Arial" w:hAnsi="Arial" w:cs="Arial"/>
        </w:rPr>
      </w:pPr>
      <w:r w:rsidRPr="001D452B">
        <w:rPr>
          <w:rFonts w:ascii="Arial" w:hAnsi="Arial" w:cs="Arial"/>
          <w:noProof/>
        </w:rPr>
        <w:drawing>
          <wp:inline distT="0" distB="0" distL="0" distR="0" wp14:anchorId="4C9ABDCD" wp14:editId="340029C9">
            <wp:extent cx="2663190" cy="1674757"/>
            <wp:effectExtent l="19050" t="19050" r="3810" b="1905"/>
            <wp:docPr id="18" name="Picture 17">
              <a:extLst xmlns:a="http://schemas.openxmlformats.org/drawingml/2006/main">
                <a:ext uri="{FF2B5EF4-FFF2-40B4-BE49-F238E27FC236}">
                  <a16:creationId xmlns:a16="http://schemas.microsoft.com/office/drawing/2014/main" id="{5DC075E6-58E4-6A21-8A45-E670087518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5DC075E6-58E4-6A21-8A45-E670087518D5}"/>
                        </a:ext>
                      </a:extLst>
                    </pic:cNvPr>
                    <pic:cNvPicPr>
                      <a:picLocks noChangeAspect="1"/>
                    </pic:cNvPicPr>
                  </pic:nvPicPr>
                  <pic:blipFill rotWithShape="1">
                    <a:blip r:embed="rId20"/>
                    <a:srcRect r="5298"/>
                    <a:stretch>
                      <a:fillRect/>
                    </a:stretch>
                  </pic:blipFill>
                  <pic:spPr bwMode="auto">
                    <a:xfrm>
                      <a:off x="0" y="0"/>
                      <a:ext cx="2748764" cy="1728570"/>
                    </a:xfrm>
                    <a:prstGeom prst="rect">
                      <a:avLst/>
                    </a:prstGeom>
                    <a:ln>
                      <a:solidFill>
                        <a:schemeClr val="bg1"/>
                      </a:solidFill>
                    </a:ln>
                    <a:extLst>
                      <a:ext uri="{53640926-AAD7-44D8-BBD7-CCE9431645EC}">
                        <a14:shadowObscured xmlns:a14="http://schemas.microsoft.com/office/drawing/2010/main"/>
                      </a:ext>
                    </a:extLst>
                  </pic:spPr>
                </pic:pic>
              </a:graphicData>
            </a:graphic>
          </wp:inline>
        </w:drawing>
      </w:r>
      <w:r w:rsidRPr="001D452B">
        <w:rPr>
          <w:rFonts w:ascii="Arial" w:hAnsi="Arial" w:cs="Arial"/>
          <w:noProof/>
        </w:rPr>
        <w:drawing>
          <wp:inline distT="0" distB="0" distL="0" distR="0" wp14:anchorId="57EAFA5F" wp14:editId="265B6FDD">
            <wp:extent cx="2434590" cy="1670106"/>
            <wp:effectExtent l="19050" t="19050" r="3810" b="6350"/>
            <wp:docPr id="16" name="Picture 15">
              <a:extLst xmlns:a="http://schemas.openxmlformats.org/drawingml/2006/main">
                <a:ext uri="{FF2B5EF4-FFF2-40B4-BE49-F238E27FC236}">
                  <a16:creationId xmlns:a16="http://schemas.microsoft.com/office/drawing/2014/main" id="{CE2B092B-3FA9-0A90-A062-AE48CBD14DE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a:extLst>
                        <a:ext uri="{FF2B5EF4-FFF2-40B4-BE49-F238E27FC236}">
                          <a16:creationId xmlns:a16="http://schemas.microsoft.com/office/drawing/2014/main" id="{CE2B092B-3FA9-0A90-A062-AE48CBD14DE3}"/>
                        </a:ext>
                      </a:extLst>
                    </pic:cNvPr>
                    <pic:cNvPicPr>
                      <a:picLocks noChangeAspect="1"/>
                    </pic:cNvPicPr>
                  </pic:nvPicPr>
                  <pic:blipFill rotWithShape="1">
                    <a:blip r:embed="rId21"/>
                    <a:srcRect l="12569" r="15798" b="27092"/>
                    <a:stretch>
                      <a:fillRect/>
                    </a:stretch>
                  </pic:blipFill>
                  <pic:spPr bwMode="auto">
                    <a:xfrm>
                      <a:off x="0" y="0"/>
                      <a:ext cx="2510572" cy="1722229"/>
                    </a:xfrm>
                    <a:prstGeom prst="rect">
                      <a:avLst/>
                    </a:prstGeom>
                    <a:ln>
                      <a:solidFill>
                        <a:schemeClr val="bg1"/>
                      </a:solidFill>
                    </a:ln>
                    <a:extLst>
                      <a:ext uri="{53640926-AAD7-44D8-BBD7-CCE9431645EC}">
                        <a14:shadowObscured xmlns:a14="http://schemas.microsoft.com/office/drawing/2010/main"/>
                      </a:ext>
                    </a:extLst>
                  </pic:spPr>
                </pic:pic>
              </a:graphicData>
            </a:graphic>
          </wp:inline>
        </w:drawing>
      </w:r>
    </w:p>
    <w:p w14:paraId="7656A32F" w14:textId="77777777" w:rsidR="001D452B" w:rsidRPr="001D452B" w:rsidRDefault="001D452B" w:rsidP="001D452B">
      <w:pPr>
        <w:spacing w:line="276" w:lineRule="auto"/>
        <w:jc w:val="both"/>
        <w:rPr>
          <w:rFonts w:ascii="Arial" w:hAnsi="Arial" w:cs="Arial"/>
          <w:i/>
          <w:iCs/>
        </w:rPr>
      </w:pPr>
      <w:r w:rsidRPr="001D452B">
        <w:rPr>
          <w:rFonts w:ascii="Arial" w:hAnsi="Arial" w:cs="Arial"/>
          <w:i/>
          <w:iCs/>
        </w:rPr>
        <w:lastRenderedPageBreak/>
        <w:t xml:space="preserve">(A) Axial CT image of a VMAT plan for Ewing’s sarcoma in the left supraclavicular region, showing the gross tumor volume (GTV) in light red, clinical target volume (CTV) in red, and planning target volume (PTV) outlined in blue. The plan features a 360° arc arrangement and optimal target coverage while sparing adjacent critical structures. B) Axial CT image of a VMAT plan for </w:t>
      </w:r>
      <w:r w:rsidRPr="00A31334">
        <w:rPr>
          <w:rFonts w:ascii="Arial" w:hAnsi="Arial" w:cs="Arial"/>
          <w:i/>
          <w:iCs/>
          <w:highlight w:val="yellow"/>
        </w:rPr>
        <w:t>Ewing’s</w:t>
      </w:r>
      <w:r w:rsidRPr="001D452B">
        <w:rPr>
          <w:rFonts w:ascii="Arial" w:hAnsi="Arial" w:cs="Arial"/>
          <w:i/>
          <w:iCs/>
        </w:rPr>
        <w:t xml:space="preserve"> sarcoma in the dorsal vertebra, with the GTV in light red, CTV in red, and PTV in dark blue. The isodose </w:t>
      </w:r>
      <w:proofErr w:type="spellStart"/>
      <w:r w:rsidRPr="001D452B">
        <w:rPr>
          <w:rFonts w:ascii="Arial" w:hAnsi="Arial" w:cs="Arial"/>
          <w:i/>
          <w:iCs/>
        </w:rPr>
        <w:t>colorwash</w:t>
      </w:r>
      <w:proofErr w:type="spellEnd"/>
      <w:r w:rsidRPr="001D452B">
        <w:rPr>
          <w:rFonts w:ascii="Arial" w:hAnsi="Arial" w:cs="Arial"/>
          <w:i/>
          <w:iCs/>
        </w:rPr>
        <w:t xml:space="preserve"> indicates sufficient target coverage while adhering to dose constraints for nearby critical structures, including the spinal cord.</w:t>
      </w:r>
    </w:p>
    <w:p w14:paraId="74BF42B9" w14:textId="77777777" w:rsidR="001D452B" w:rsidRPr="001D452B" w:rsidRDefault="001D452B" w:rsidP="001D452B">
      <w:pPr>
        <w:spacing w:line="276" w:lineRule="auto"/>
        <w:jc w:val="both"/>
        <w:rPr>
          <w:rFonts w:ascii="Arial" w:hAnsi="Arial" w:cs="Arial"/>
          <w:b/>
          <w:bCs/>
        </w:rPr>
      </w:pPr>
    </w:p>
    <w:p w14:paraId="686FAEC3" w14:textId="77777777" w:rsidR="001D452B" w:rsidRPr="001D452B" w:rsidRDefault="001D452B" w:rsidP="001D452B">
      <w:pPr>
        <w:spacing w:line="276" w:lineRule="auto"/>
        <w:jc w:val="both"/>
        <w:rPr>
          <w:rFonts w:ascii="Arial" w:hAnsi="Arial" w:cs="Arial"/>
          <w:b/>
          <w:bCs/>
        </w:rPr>
      </w:pPr>
    </w:p>
    <w:p w14:paraId="1F905CE9" w14:textId="77777777" w:rsidR="001D452B" w:rsidRPr="001D452B" w:rsidRDefault="001D452B" w:rsidP="001D452B">
      <w:pPr>
        <w:spacing w:line="276" w:lineRule="auto"/>
        <w:jc w:val="both"/>
        <w:rPr>
          <w:rFonts w:ascii="Arial" w:hAnsi="Arial" w:cs="Arial"/>
          <w:b/>
          <w:bCs/>
        </w:rPr>
      </w:pPr>
    </w:p>
    <w:p w14:paraId="004929F8" w14:textId="77777777" w:rsidR="001D452B" w:rsidRPr="001D452B" w:rsidRDefault="001D452B" w:rsidP="001D452B">
      <w:pPr>
        <w:spacing w:line="276" w:lineRule="auto"/>
        <w:jc w:val="both"/>
        <w:rPr>
          <w:rFonts w:ascii="Arial" w:hAnsi="Arial" w:cs="Arial"/>
          <w:b/>
          <w:bCs/>
        </w:rPr>
      </w:pPr>
    </w:p>
    <w:p w14:paraId="11DBC1F9" w14:textId="77777777" w:rsidR="001D452B" w:rsidRPr="001D452B" w:rsidRDefault="001D452B" w:rsidP="001D452B">
      <w:pPr>
        <w:spacing w:line="276" w:lineRule="auto"/>
        <w:jc w:val="both"/>
        <w:rPr>
          <w:rFonts w:ascii="Arial" w:hAnsi="Arial" w:cs="Arial"/>
          <w:b/>
          <w:bCs/>
        </w:rPr>
      </w:pPr>
    </w:p>
    <w:p w14:paraId="36AD2DBF" w14:textId="77777777" w:rsidR="001D452B" w:rsidRPr="001D452B" w:rsidRDefault="001D452B" w:rsidP="001D452B">
      <w:pPr>
        <w:spacing w:line="276" w:lineRule="auto"/>
        <w:jc w:val="both"/>
        <w:rPr>
          <w:rFonts w:ascii="Arial" w:hAnsi="Arial" w:cs="Arial"/>
          <w:b/>
          <w:bCs/>
        </w:rPr>
      </w:pPr>
    </w:p>
    <w:p w14:paraId="2CC0DAC0" w14:textId="77777777" w:rsidR="001D452B" w:rsidRPr="001D452B" w:rsidRDefault="001D452B" w:rsidP="001D452B">
      <w:pPr>
        <w:spacing w:line="276" w:lineRule="auto"/>
        <w:jc w:val="both"/>
        <w:rPr>
          <w:rFonts w:ascii="Arial" w:hAnsi="Arial" w:cs="Arial"/>
          <w:b/>
          <w:bCs/>
        </w:rPr>
      </w:pPr>
    </w:p>
    <w:p w14:paraId="7D94C60C" w14:textId="77777777" w:rsidR="001D452B" w:rsidRPr="001D452B" w:rsidRDefault="001D452B" w:rsidP="001D452B">
      <w:pPr>
        <w:spacing w:line="276" w:lineRule="auto"/>
        <w:jc w:val="both"/>
        <w:rPr>
          <w:rFonts w:ascii="Arial" w:hAnsi="Arial" w:cs="Arial"/>
        </w:rPr>
      </w:pPr>
      <w:r w:rsidRPr="001D452B">
        <w:rPr>
          <w:rFonts w:ascii="Arial" w:hAnsi="Arial" w:cs="Arial"/>
          <w:b/>
          <w:bCs/>
        </w:rPr>
        <w:t xml:space="preserve">Figure 4: 3DCRT plan for extracorporeal radiotherapy (EC-RT) of the left distal femur. </w:t>
      </w:r>
    </w:p>
    <w:p w14:paraId="4F7EB371" w14:textId="77777777" w:rsidR="001D452B" w:rsidRPr="001D452B" w:rsidRDefault="001D452B" w:rsidP="001D452B">
      <w:pPr>
        <w:spacing w:line="276" w:lineRule="auto"/>
        <w:jc w:val="both"/>
        <w:rPr>
          <w:rFonts w:ascii="Arial" w:hAnsi="Arial" w:cs="Arial"/>
        </w:rPr>
      </w:pPr>
      <w:r w:rsidRPr="001D452B">
        <w:rPr>
          <w:rFonts w:ascii="Arial" w:hAnsi="Arial" w:cs="Arial"/>
          <w:noProof/>
        </w:rPr>
        <w:drawing>
          <wp:inline distT="0" distB="0" distL="0" distR="0" wp14:anchorId="02650970" wp14:editId="47191A0E">
            <wp:extent cx="2952750" cy="1772761"/>
            <wp:effectExtent l="19050" t="19050" r="0" b="0"/>
            <wp:docPr id="17520632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94307" cy="1797711"/>
                    </a:xfrm>
                    <a:prstGeom prst="rect">
                      <a:avLst/>
                    </a:prstGeom>
                    <a:noFill/>
                    <a:ln>
                      <a:solidFill>
                        <a:schemeClr val="bg1"/>
                      </a:solidFill>
                    </a:ln>
                  </pic:spPr>
                </pic:pic>
              </a:graphicData>
            </a:graphic>
          </wp:inline>
        </w:drawing>
      </w:r>
      <w:r w:rsidRPr="001D452B">
        <w:rPr>
          <w:rFonts w:ascii="Arial" w:hAnsi="Arial" w:cs="Arial"/>
          <w:noProof/>
        </w:rPr>
        <w:drawing>
          <wp:inline distT="0" distB="0" distL="0" distR="0" wp14:anchorId="069A2962" wp14:editId="6AC2683E">
            <wp:extent cx="1817370" cy="1787255"/>
            <wp:effectExtent l="19050" t="19050" r="0" b="3810"/>
            <wp:docPr id="14965376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3">
                      <a:extLst>
                        <a:ext uri="{28A0092B-C50C-407E-A947-70E740481C1C}">
                          <a14:useLocalDpi xmlns:a14="http://schemas.microsoft.com/office/drawing/2010/main" val="0"/>
                        </a:ext>
                      </a:extLst>
                    </a:blip>
                    <a:srcRect l="14932" r="15728"/>
                    <a:stretch>
                      <a:fillRect/>
                    </a:stretch>
                  </pic:blipFill>
                  <pic:spPr bwMode="auto">
                    <a:xfrm>
                      <a:off x="0" y="0"/>
                      <a:ext cx="1872089" cy="1841067"/>
                    </a:xfrm>
                    <a:prstGeom prst="rect">
                      <a:avLst/>
                    </a:prstGeom>
                    <a:noFill/>
                    <a:ln>
                      <a:solidFill>
                        <a:schemeClr val="bg1"/>
                      </a:solidFill>
                    </a:ln>
                    <a:extLst>
                      <a:ext uri="{53640926-AAD7-44D8-BBD7-CCE9431645EC}">
                        <a14:shadowObscured xmlns:a14="http://schemas.microsoft.com/office/drawing/2010/main"/>
                      </a:ext>
                    </a:extLst>
                  </pic:spPr>
                </pic:pic>
              </a:graphicData>
            </a:graphic>
          </wp:inline>
        </w:drawing>
      </w:r>
    </w:p>
    <w:p w14:paraId="4AB6E445" w14:textId="77777777" w:rsidR="001D452B" w:rsidRPr="001D452B" w:rsidRDefault="001D452B" w:rsidP="001D452B">
      <w:pPr>
        <w:spacing w:line="276" w:lineRule="auto"/>
        <w:jc w:val="both"/>
        <w:rPr>
          <w:rFonts w:ascii="Arial" w:hAnsi="Arial" w:cs="Arial"/>
          <w:b/>
          <w:bCs/>
        </w:rPr>
      </w:pPr>
      <w:r w:rsidRPr="001D452B">
        <w:rPr>
          <w:rFonts w:ascii="Arial" w:hAnsi="Arial" w:cs="Arial"/>
          <w:i/>
          <w:iCs/>
        </w:rPr>
        <w:t xml:space="preserve">Top left: (A) Axial CT slice demonstrating the isodose distribution (85% to 120%). Top right: Dose–volume histogram (DVH) depicting target coverage and dose homogeneity within the PTV. Bottom left: Coronal beam’s-eye-view illustrating field shaping with </w:t>
      </w:r>
      <w:proofErr w:type="spellStart"/>
      <w:r w:rsidRPr="001D452B">
        <w:rPr>
          <w:rFonts w:ascii="Arial" w:hAnsi="Arial" w:cs="Arial"/>
          <w:i/>
          <w:iCs/>
        </w:rPr>
        <w:t>multileaf</w:t>
      </w:r>
      <w:proofErr w:type="spellEnd"/>
      <w:r w:rsidRPr="001D452B">
        <w:rPr>
          <w:rFonts w:ascii="Arial" w:hAnsi="Arial" w:cs="Arial"/>
          <w:i/>
          <w:iCs/>
        </w:rPr>
        <w:t xml:space="preserve"> collimator margins around the distal femur. Crosshairs indicate </w:t>
      </w:r>
      <w:proofErr w:type="spellStart"/>
      <w:r w:rsidRPr="001D452B">
        <w:rPr>
          <w:rFonts w:ascii="Arial" w:hAnsi="Arial" w:cs="Arial"/>
          <w:i/>
          <w:iCs/>
        </w:rPr>
        <w:t>isocentre</w:t>
      </w:r>
      <w:proofErr w:type="spellEnd"/>
      <w:r w:rsidRPr="001D452B">
        <w:rPr>
          <w:rFonts w:ascii="Arial" w:hAnsi="Arial" w:cs="Arial"/>
          <w:i/>
          <w:iCs/>
        </w:rPr>
        <w:t xml:space="preserve"> placement. (B) Sagittal reconstruction showing longitudinal dose distribution along the resected femoral segment. </w:t>
      </w:r>
    </w:p>
    <w:p w14:paraId="5CF59079" w14:textId="77777777" w:rsidR="001B69B5" w:rsidRDefault="001B69B5" w:rsidP="001D452B">
      <w:pPr>
        <w:spacing w:line="276" w:lineRule="auto"/>
        <w:jc w:val="both"/>
        <w:rPr>
          <w:rFonts w:ascii="Arial" w:hAnsi="Arial" w:cs="Arial"/>
          <w:b/>
          <w:bCs/>
        </w:rPr>
      </w:pPr>
    </w:p>
    <w:p w14:paraId="004EB16C" w14:textId="628E1C33" w:rsidR="001D452B" w:rsidRPr="001D452B" w:rsidRDefault="001D452B" w:rsidP="001D452B">
      <w:pPr>
        <w:spacing w:line="276" w:lineRule="auto"/>
        <w:jc w:val="both"/>
        <w:rPr>
          <w:rFonts w:ascii="Arial" w:hAnsi="Arial" w:cs="Arial"/>
          <w:b/>
          <w:bCs/>
        </w:rPr>
      </w:pPr>
      <w:r w:rsidRPr="001D452B">
        <w:rPr>
          <w:rFonts w:ascii="Arial" w:hAnsi="Arial" w:cs="Arial"/>
          <w:b/>
          <w:bCs/>
        </w:rPr>
        <w:t xml:space="preserve">Figure 5: Treatment Protocols </w:t>
      </w:r>
    </w:p>
    <w:p w14:paraId="65F926F1" w14:textId="77777777" w:rsidR="001D452B" w:rsidRPr="001D452B" w:rsidRDefault="001D452B" w:rsidP="001D452B">
      <w:pPr>
        <w:spacing w:line="276" w:lineRule="auto"/>
        <w:jc w:val="both"/>
        <w:rPr>
          <w:rFonts w:ascii="Arial" w:hAnsi="Arial" w:cs="Arial"/>
          <w:b/>
          <w:bCs/>
        </w:rPr>
      </w:pPr>
      <w:r w:rsidRPr="001D452B">
        <w:rPr>
          <w:rFonts w:ascii="Arial" w:hAnsi="Arial" w:cs="Arial"/>
          <w:b/>
          <w:bCs/>
          <w:noProof/>
        </w:rPr>
        <w:lastRenderedPageBreak/>
        <w:drawing>
          <wp:inline distT="0" distB="0" distL="0" distR="0" wp14:anchorId="1A18438B" wp14:editId="12DA1AAC">
            <wp:extent cx="4701540" cy="3108960"/>
            <wp:effectExtent l="0" t="0" r="0" b="0"/>
            <wp:docPr id="170961724" name="Chart 1">
              <a:extLst xmlns:a="http://schemas.openxmlformats.org/drawingml/2006/main">
                <a:ext uri="{FF2B5EF4-FFF2-40B4-BE49-F238E27FC236}">
                  <a16:creationId xmlns:a16="http://schemas.microsoft.com/office/drawing/2014/main" id="{7A695C42-EEF8-623A-FD1E-E39AAE834F8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2F3A2E9F" w14:textId="77777777" w:rsidR="001D452B" w:rsidRDefault="001D452B" w:rsidP="001D452B">
      <w:pPr>
        <w:spacing w:line="276" w:lineRule="auto"/>
        <w:jc w:val="both"/>
        <w:rPr>
          <w:rFonts w:ascii="Arial" w:hAnsi="Arial" w:cs="Arial"/>
          <w:b/>
          <w:bCs/>
        </w:rPr>
      </w:pPr>
    </w:p>
    <w:p w14:paraId="2257D9EC" w14:textId="7A8DDBE7" w:rsidR="001D452B" w:rsidRPr="001D452B" w:rsidRDefault="001D452B" w:rsidP="001D452B">
      <w:pPr>
        <w:spacing w:line="276" w:lineRule="auto"/>
        <w:jc w:val="both"/>
        <w:rPr>
          <w:rFonts w:ascii="Arial" w:hAnsi="Arial" w:cs="Arial"/>
          <w:b/>
          <w:bCs/>
        </w:rPr>
      </w:pPr>
      <w:r w:rsidRPr="001D452B">
        <w:rPr>
          <w:rFonts w:ascii="Arial" w:hAnsi="Arial" w:cs="Arial"/>
          <w:b/>
          <w:bCs/>
        </w:rPr>
        <w:t>Figure 6: 3DCRT Planning for Ewing’s sarcoma</w:t>
      </w:r>
    </w:p>
    <w:p w14:paraId="1F5009F4" w14:textId="77777777" w:rsidR="001D452B" w:rsidRPr="001D452B" w:rsidRDefault="001D452B" w:rsidP="001D452B">
      <w:pPr>
        <w:spacing w:line="276" w:lineRule="auto"/>
        <w:jc w:val="both"/>
        <w:rPr>
          <w:rFonts w:ascii="Arial" w:hAnsi="Arial" w:cs="Arial"/>
        </w:rPr>
      </w:pPr>
      <w:r w:rsidRPr="001D452B">
        <w:rPr>
          <w:rFonts w:ascii="Arial" w:hAnsi="Arial" w:cs="Arial"/>
          <w:noProof/>
        </w:rPr>
        <w:drawing>
          <wp:inline distT="0" distB="0" distL="0" distR="0" wp14:anchorId="5882935D" wp14:editId="245C36C5">
            <wp:extent cx="4601423" cy="2890829"/>
            <wp:effectExtent l="0" t="0" r="8890" b="5080"/>
            <wp:docPr id="6" name="Picture 5">
              <a:extLst xmlns:a="http://schemas.openxmlformats.org/drawingml/2006/main">
                <a:ext uri="{FF2B5EF4-FFF2-40B4-BE49-F238E27FC236}">
                  <a16:creationId xmlns:a16="http://schemas.microsoft.com/office/drawing/2014/main" id="{83FB8379-3B53-9850-3860-93EA832AB2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83FB8379-3B53-9850-3860-93EA832AB28D}"/>
                        </a:ext>
                      </a:extLst>
                    </pic:cNvPr>
                    <pic:cNvPicPr>
                      <a:picLocks noChangeAspect="1"/>
                    </pic:cNvPicPr>
                  </pic:nvPicPr>
                  <pic:blipFill>
                    <a:blip r:embed="rId25"/>
                    <a:stretch>
                      <a:fillRect/>
                    </a:stretch>
                  </pic:blipFill>
                  <pic:spPr>
                    <a:xfrm>
                      <a:off x="0" y="0"/>
                      <a:ext cx="4601423" cy="2890829"/>
                    </a:xfrm>
                    <a:prstGeom prst="rect">
                      <a:avLst/>
                    </a:prstGeom>
                  </pic:spPr>
                </pic:pic>
              </a:graphicData>
            </a:graphic>
          </wp:inline>
        </w:drawing>
      </w:r>
    </w:p>
    <w:p w14:paraId="5C9A9999" w14:textId="77777777" w:rsidR="001D452B" w:rsidRDefault="001D452B" w:rsidP="001D452B">
      <w:pPr>
        <w:spacing w:line="276" w:lineRule="auto"/>
        <w:jc w:val="both"/>
        <w:rPr>
          <w:rFonts w:ascii="Arial" w:hAnsi="Arial" w:cs="Arial"/>
          <w:i/>
          <w:iCs/>
        </w:rPr>
      </w:pPr>
      <w:r w:rsidRPr="001D452B">
        <w:rPr>
          <w:rFonts w:ascii="Arial" w:hAnsi="Arial" w:cs="Arial"/>
          <w:i/>
          <w:iCs/>
        </w:rPr>
        <w:t>Axial planning CT image showing a 3DCRT plan for palliative treatment of iliac bone metastasis from Ewing’s sarcoma, using one anterior and two oblique photon beams.  The GTV is outlined in red, with the PTV in blue.</w:t>
      </w:r>
    </w:p>
    <w:p w14:paraId="080268D0" w14:textId="77777777" w:rsidR="001D452B" w:rsidRPr="001D452B" w:rsidRDefault="001D452B" w:rsidP="001D452B">
      <w:pPr>
        <w:spacing w:line="276" w:lineRule="auto"/>
        <w:jc w:val="both"/>
        <w:rPr>
          <w:rFonts w:ascii="Arial" w:hAnsi="Arial" w:cs="Arial"/>
          <w:i/>
          <w:iCs/>
        </w:rPr>
      </w:pPr>
    </w:p>
    <w:p w14:paraId="3203791F" w14:textId="77777777" w:rsidR="001D452B" w:rsidRPr="001D452B" w:rsidRDefault="001D452B" w:rsidP="001D452B">
      <w:pPr>
        <w:spacing w:line="276" w:lineRule="auto"/>
        <w:rPr>
          <w:rFonts w:ascii="Arial" w:hAnsi="Arial" w:cs="Arial"/>
          <w:b/>
          <w:bCs/>
        </w:rPr>
      </w:pPr>
      <w:r w:rsidRPr="001D452B">
        <w:rPr>
          <w:rFonts w:ascii="Arial" w:hAnsi="Arial" w:cs="Arial"/>
          <w:b/>
          <w:bCs/>
        </w:rPr>
        <w:t>Table 2: Treatment Characteristics</w:t>
      </w:r>
    </w:p>
    <w:tbl>
      <w:tblPr>
        <w:tblStyle w:val="TableGrid"/>
        <w:tblW w:w="0" w:type="auto"/>
        <w:tblLook w:val="04A0" w:firstRow="1" w:lastRow="0" w:firstColumn="1" w:lastColumn="0" w:noHBand="0" w:noVBand="1"/>
      </w:tblPr>
      <w:tblGrid>
        <w:gridCol w:w="4106"/>
        <w:gridCol w:w="4092"/>
      </w:tblGrid>
      <w:tr w:rsidR="001D452B" w:rsidRPr="001D452B" w14:paraId="1CA2675F" w14:textId="77777777" w:rsidTr="007C2B13">
        <w:tc>
          <w:tcPr>
            <w:tcW w:w="4320" w:type="dxa"/>
          </w:tcPr>
          <w:p w14:paraId="4A4A5B60" w14:textId="77777777" w:rsidR="001D452B" w:rsidRPr="001D452B" w:rsidRDefault="001D452B" w:rsidP="001D452B">
            <w:pPr>
              <w:spacing w:line="276" w:lineRule="auto"/>
              <w:rPr>
                <w:rFonts w:ascii="Arial" w:hAnsi="Arial" w:cs="Arial"/>
                <w:sz w:val="20"/>
                <w:szCs w:val="20"/>
              </w:rPr>
            </w:pPr>
            <w:r w:rsidRPr="001D452B">
              <w:rPr>
                <w:rFonts w:ascii="Arial" w:hAnsi="Arial" w:cs="Arial"/>
                <w:sz w:val="20"/>
                <w:szCs w:val="20"/>
              </w:rPr>
              <w:t>Treatment</w:t>
            </w:r>
          </w:p>
        </w:tc>
        <w:tc>
          <w:tcPr>
            <w:tcW w:w="4320" w:type="dxa"/>
          </w:tcPr>
          <w:p w14:paraId="21A045CC" w14:textId="77777777" w:rsidR="001D452B" w:rsidRPr="001D452B" w:rsidRDefault="001D452B" w:rsidP="001D452B">
            <w:pPr>
              <w:spacing w:line="276" w:lineRule="auto"/>
              <w:rPr>
                <w:rFonts w:ascii="Arial" w:hAnsi="Arial" w:cs="Arial"/>
                <w:sz w:val="20"/>
                <w:szCs w:val="20"/>
              </w:rPr>
            </w:pPr>
            <w:r w:rsidRPr="001D452B">
              <w:rPr>
                <w:rFonts w:ascii="Arial" w:hAnsi="Arial" w:cs="Arial"/>
                <w:sz w:val="20"/>
                <w:szCs w:val="20"/>
              </w:rPr>
              <w:t>N (%)</w:t>
            </w:r>
          </w:p>
        </w:tc>
      </w:tr>
      <w:tr w:rsidR="001D452B" w:rsidRPr="001D452B" w14:paraId="30BDEE28" w14:textId="77777777" w:rsidTr="007C2B13">
        <w:tc>
          <w:tcPr>
            <w:tcW w:w="8640" w:type="dxa"/>
            <w:gridSpan w:val="2"/>
          </w:tcPr>
          <w:p w14:paraId="1D646D33" w14:textId="77777777" w:rsidR="001D452B" w:rsidRPr="001D452B" w:rsidRDefault="001D452B" w:rsidP="001D452B">
            <w:pPr>
              <w:spacing w:line="276" w:lineRule="auto"/>
              <w:rPr>
                <w:rFonts w:ascii="Arial" w:hAnsi="Arial" w:cs="Arial"/>
                <w:sz w:val="20"/>
                <w:szCs w:val="20"/>
              </w:rPr>
            </w:pPr>
            <w:r w:rsidRPr="001D452B">
              <w:rPr>
                <w:rFonts w:ascii="Arial" w:hAnsi="Arial" w:cs="Arial"/>
                <w:sz w:val="20"/>
                <w:szCs w:val="20"/>
              </w:rPr>
              <w:t xml:space="preserve">Chemotherapy regimen </w:t>
            </w:r>
          </w:p>
        </w:tc>
      </w:tr>
      <w:tr w:rsidR="001D452B" w:rsidRPr="001D452B" w14:paraId="60AAD0EA" w14:textId="77777777" w:rsidTr="007C2B13">
        <w:tc>
          <w:tcPr>
            <w:tcW w:w="4320" w:type="dxa"/>
          </w:tcPr>
          <w:p w14:paraId="016649F4" w14:textId="77777777" w:rsidR="001D452B" w:rsidRPr="001D452B" w:rsidRDefault="001D452B" w:rsidP="001D452B">
            <w:pPr>
              <w:spacing w:line="276" w:lineRule="auto"/>
              <w:rPr>
                <w:rFonts w:ascii="Arial" w:hAnsi="Arial" w:cs="Arial"/>
                <w:sz w:val="20"/>
                <w:szCs w:val="20"/>
              </w:rPr>
            </w:pPr>
            <w:r w:rsidRPr="001D452B">
              <w:rPr>
                <w:rFonts w:ascii="Arial" w:hAnsi="Arial" w:cs="Arial"/>
                <w:sz w:val="20"/>
                <w:szCs w:val="20"/>
              </w:rPr>
              <w:t xml:space="preserve">  VAC</w:t>
            </w:r>
          </w:p>
        </w:tc>
        <w:tc>
          <w:tcPr>
            <w:tcW w:w="4320" w:type="dxa"/>
          </w:tcPr>
          <w:p w14:paraId="4C2FCBD0" w14:textId="77777777" w:rsidR="001D452B" w:rsidRPr="001D452B" w:rsidRDefault="001D452B" w:rsidP="001D452B">
            <w:pPr>
              <w:spacing w:line="276" w:lineRule="auto"/>
              <w:rPr>
                <w:rFonts w:ascii="Arial" w:hAnsi="Arial" w:cs="Arial"/>
                <w:sz w:val="20"/>
                <w:szCs w:val="20"/>
              </w:rPr>
            </w:pPr>
            <w:r w:rsidRPr="001D452B">
              <w:rPr>
                <w:rFonts w:ascii="Arial" w:hAnsi="Arial" w:cs="Arial"/>
                <w:sz w:val="20"/>
                <w:szCs w:val="20"/>
              </w:rPr>
              <w:t>31 (60.8%)</w:t>
            </w:r>
          </w:p>
        </w:tc>
      </w:tr>
      <w:tr w:rsidR="001D452B" w:rsidRPr="001D452B" w14:paraId="66B624BE" w14:textId="77777777" w:rsidTr="007C2B13">
        <w:tc>
          <w:tcPr>
            <w:tcW w:w="4320" w:type="dxa"/>
          </w:tcPr>
          <w:p w14:paraId="141D8AF6" w14:textId="77777777" w:rsidR="001D452B" w:rsidRPr="001D452B" w:rsidRDefault="001D452B" w:rsidP="001D452B">
            <w:pPr>
              <w:spacing w:line="276" w:lineRule="auto"/>
              <w:rPr>
                <w:rFonts w:ascii="Arial" w:hAnsi="Arial" w:cs="Arial"/>
                <w:sz w:val="20"/>
                <w:szCs w:val="20"/>
              </w:rPr>
            </w:pPr>
            <w:r w:rsidRPr="001D452B">
              <w:rPr>
                <w:rFonts w:ascii="Arial" w:hAnsi="Arial" w:cs="Arial"/>
                <w:sz w:val="20"/>
                <w:szCs w:val="20"/>
              </w:rPr>
              <w:lastRenderedPageBreak/>
              <w:t xml:space="preserve">  VAC-IE</w:t>
            </w:r>
          </w:p>
        </w:tc>
        <w:tc>
          <w:tcPr>
            <w:tcW w:w="4320" w:type="dxa"/>
          </w:tcPr>
          <w:p w14:paraId="4C68ACB3" w14:textId="77777777" w:rsidR="001D452B" w:rsidRPr="001D452B" w:rsidRDefault="001D452B" w:rsidP="001D452B">
            <w:pPr>
              <w:spacing w:line="276" w:lineRule="auto"/>
              <w:rPr>
                <w:rFonts w:ascii="Arial" w:hAnsi="Arial" w:cs="Arial"/>
                <w:sz w:val="20"/>
                <w:szCs w:val="20"/>
              </w:rPr>
            </w:pPr>
            <w:r w:rsidRPr="001D452B">
              <w:rPr>
                <w:rFonts w:ascii="Arial" w:hAnsi="Arial" w:cs="Arial"/>
                <w:sz w:val="20"/>
                <w:szCs w:val="20"/>
              </w:rPr>
              <w:t>20 (39.2%)</w:t>
            </w:r>
          </w:p>
        </w:tc>
      </w:tr>
      <w:tr w:rsidR="001D452B" w:rsidRPr="001D452B" w14:paraId="1987C932" w14:textId="77777777" w:rsidTr="007C2B13">
        <w:tc>
          <w:tcPr>
            <w:tcW w:w="8640" w:type="dxa"/>
            <w:gridSpan w:val="2"/>
          </w:tcPr>
          <w:p w14:paraId="74AC856E" w14:textId="77777777" w:rsidR="001D452B" w:rsidRPr="001D452B" w:rsidRDefault="001D452B" w:rsidP="001D452B">
            <w:pPr>
              <w:spacing w:line="276" w:lineRule="auto"/>
              <w:rPr>
                <w:rFonts w:ascii="Arial" w:hAnsi="Arial" w:cs="Arial"/>
                <w:sz w:val="20"/>
                <w:szCs w:val="20"/>
              </w:rPr>
            </w:pPr>
            <w:r w:rsidRPr="001D452B">
              <w:rPr>
                <w:rFonts w:ascii="Arial" w:hAnsi="Arial" w:cs="Arial"/>
                <w:sz w:val="20"/>
                <w:szCs w:val="20"/>
              </w:rPr>
              <w:t>Surgery performed</w:t>
            </w:r>
          </w:p>
        </w:tc>
      </w:tr>
      <w:tr w:rsidR="001D452B" w:rsidRPr="001D452B" w14:paraId="2D7B4675" w14:textId="77777777" w:rsidTr="007C2B13">
        <w:tc>
          <w:tcPr>
            <w:tcW w:w="4320" w:type="dxa"/>
          </w:tcPr>
          <w:p w14:paraId="093E3CF0" w14:textId="77777777" w:rsidR="001D452B" w:rsidRPr="001D452B" w:rsidRDefault="001D452B" w:rsidP="001D452B">
            <w:pPr>
              <w:spacing w:line="276" w:lineRule="auto"/>
              <w:rPr>
                <w:rFonts w:ascii="Arial" w:hAnsi="Arial" w:cs="Arial"/>
                <w:sz w:val="20"/>
                <w:szCs w:val="20"/>
              </w:rPr>
            </w:pPr>
            <w:r w:rsidRPr="001D452B">
              <w:rPr>
                <w:rFonts w:ascii="Arial" w:hAnsi="Arial" w:cs="Arial"/>
                <w:sz w:val="20"/>
                <w:szCs w:val="20"/>
              </w:rPr>
              <w:t xml:space="preserve">  Yes</w:t>
            </w:r>
          </w:p>
        </w:tc>
        <w:tc>
          <w:tcPr>
            <w:tcW w:w="4320" w:type="dxa"/>
          </w:tcPr>
          <w:p w14:paraId="33B47863" w14:textId="77777777" w:rsidR="001D452B" w:rsidRPr="001D452B" w:rsidRDefault="001D452B" w:rsidP="001D452B">
            <w:pPr>
              <w:spacing w:line="276" w:lineRule="auto"/>
              <w:rPr>
                <w:rFonts w:ascii="Arial" w:hAnsi="Arial" w:cs="Arial"/>
                <w:sz w:val="20"/>
                <w:szCs w:val="20"/>
              </w:rPr>
            </w:pPr>
            <w:r w:rsidRPr="001D452B">
              <w:rPr>
                <w:rFonts w:ascii="Arial" w:hAnsi="Arial" w:cs="Arial"/>
                <w:sz w:val="20"/>
                <w:szCs w:val="20"/>
              </w:rPr>
              <w:t>28 (54.9%)</w:t>
            </w:r>
          </w:p>
        </w:tc>
      </w:tr>
      <w:tr w:rsidR="001D452B" w:rsidRPr="001D452B" w14:paraId="251AEF0D" w14:textId="77777777" w:rsidTr="007C2B13">
        <w:tc>
          <w:tcPr>
            <w:tcW w:w="4320" w:type="dxa"/>
          </w:tcPr>
          <w:p w14:paraId="6D4ABDD5" w14:textId="77777777" w:rsidR="001D452B" w:rsidRPr="001D452B" w:rsidRDefault="001D452B" w:rsidP="001D452B">
            <w:pPr>
              <w:spacing w:line="276" w:lineRule="auto"/>
              <w:rPr>
                <w:rFonts w:ascii="Arial" w:hAnsi="Arial" w:cs="Arial"/>
                <w:sz w:val="20"/>
                <w:szCs w:val="20"/>
              </w:rPr>
            </w:pPr>
            <w:r w:rsidRPr="001D452B">
              <w:rPr>
                <w:rFonts w:ascii="Arial" w:hAnsi="Arial" w:cs="Arial"/>
                <w:sz w:val="20"/>
                <w:szCs w:val="20"/>
              </w:rPr>
              <w:t xml:space="preserve">  No</w:t>
            </w:r>
          </w:p>
        </w:tc>
        <w:tc>
          <w:tcPr>
            <w:tcW w:w="4320" w:type="dxa"/>
          </w:tcPr>
          <w:p w14:paraId="67619195" w14:textId="77777777" w:rsidR="001D452B" w:rsidRPr="001D452B" w:rsidRDefault="001D452B" w:rsidP="001D452B">
            <w:pPr>
              <w:spacing w:line="276" w:lineRule="auto"/>
              <w:rPr>
                <w:rFonts w:ascii="Arial" w:hAnsi="Arial" w:cs="Arial"/>
                <w:sz w:val="20"/>
                <w:szCs w:val="20"/>
              </w:rPr>
            </w:pPr>
            <w:r w:rsidRPr="001D452B">
              <w:rPr>
                <w:rFonts w:ascii="Arial" w:hAnsi="Arial" w:cs="Arial"/>
                <w:sz w:val="20"/>
                <w:szCs w:val="20"/>
              </w:rPr>
              <w:t>23 (45.1%)</w:t>
            </w:r>
          </w:p>
        </w:tc>
      </w:tr>
      <w:tr w:rsidR="001D452B" w:rsidRPr="001D452B" w14:paraId="74526C4A" w14:textId="77777777" w:rsidTr="007C2B13">
        <w:tc>
          <w:tcPr>
            <w:tcW w:w="8640" w:type="dxa"/>
            <w:gridSpan w:val="2"/>
          </w:tcPr>
          <w:p w14:paraId="15518B1C" w14:textId="77777777" w:rsidR="001D452B" w:rsidRPr="001D452B" w:rsidRDefault="001D452B" w:rsidP="001D452B">
            <w:pPr>
              <w:spacing w:line="276" w:lineRule="auto"/>
              <w:rPr>
                <w:rFonts w:ascii="Arial" w:hAnsi="Arial" w:cs="Arial"/>
                <w:sz w:val="20"/>
                <w:szCs w:val="20"/>
              </w:rPr>
            </w:pPr>
            <w:r w:rsidRPr="001D452B">
              <w:rPr>
                <w:rFonts w:ascii="Arial" w:hAnsi="Arial" w:cs="Arial"/>
                <w:sz w:val="20"/>
                <w:szCs w:val="20"/>
              </w:rPr>
              <w:t>Radiotherapy intent</w:t>
            </w:r>
          </w:p>
        </w:tc>
      </w:tr>
      <w:tr w:rsidR="001D452B" w:rsidRPr="001D452B" w14:paraId="07A4D787" w14:textId="77777777" w:rsidTr="007C2B13">
        <w:tc>
          <w:tcPr>
            <w:tcW w:w="4320" w:type="dxa"/>
          </w:tcPr>
          <w:p w14:paraId="191138CA" w14:textId="77777777" w:rsidR="001D452B" w:rsidRPr="001D452B" w:rsidRDefault="001D452B" w:rsidP="001D452B">
            <w:pPr>
              <w:spacing w:line="276" w:lineRule="auto"/>
              <w:rPr>
                <w:rFonts w:ascii="Arial" w:hAnsi="Arial" w:cs="Arial"/>
                <w:sz w:val="20"/>
                <w:szCs w:val="20"/>
              </w:rPr>
            </w:pPr>
            <w:r w:rsidRPr="001D452B">
              <w:rPr>
                <w:rFonts w:ascii="Arial" w:hAnsi="Arial" w:cs="Arial"/>
                <w:sz w:val="20"/>
                <w:szCs w:val="20"/>
              </w:rPr>
              <w:t xml:space="preserve">  Adjuvant Curative</w:t>
            </w:r>
          </w:p>
        </w:tc>
        <w:tc>
          <w:tcPr>
            <w:tcW w:w="4320" w:type="dxa"/>
          </w:tcPr>
          <w:p w14:paraId="44BC520F" w14:textId="77777777" w:rsidR="001D452B" w:rsidRPr="001D452B" w:rsidRDefault="001D452B" w:rsidP="001D452B">
            <w:pPr>
              <w:spacing w:line="276" w:lineRule="auto"/>
              <w:rPr>
                <w:rFonts w:ascii="Arial" w:hAnsi="Arial" w:cs="Arial"/>
                <w:sz w:val="20"/>
                <w:szCs w:val="20"/>
              </w:rPr>
            </w:pPr>
            <w:r w:rsidRPr="001D452B">
              <w:rPr>
                <w:rFonts w:ascii="Arial" w:hAnsi="Arial" w:cs="Arial"/>
                <w:sz w:val="20"/>
                <w:szCs w:val="20"/>
              </w:rPr>
              <w:t>27 (52.9%)</w:t>
            </w:r>
          </w:p>
        </w:tc>
      </w:tr>
      <w:tr w:rsidR="001D452B" w:rsidRPr="001D452B" w14:paraId="16284C37" w14:textId="77777777" w:rsidTr="007C2B13">
        <w:tc>
          <w:tcPr>
            <w:tcW w:w="4320" w:type="dxa"/>
          </w:tcPr>
          <w:p w14:paraId="59ED13DC" w14:textId="77777777" w:rsidR="001D452B" w:rsidRPr="001D452B" w:rsidRDefault="001D452B" w:rsidP="001D452B">
            <w:pPr>
              <w:spacing w:line="276" w:lineRule="auto"/>
              <w:rPr>
                <w:rFonts w:ascii="Arial" w:hAnsi="Arial" w:cs="Arial"/>
                <w:sz w:val="20"/>
                <w:szCs w:val="20"/>
              </w:rPr>
            </w:pPr>
            <w:r w:rsidRPr="001D452B">
              <w:rPr>
                <w:rFonts w:ascii="Arial" w:hAnsi="Arial" w:cs="Arial"/>
                <w:sz w:val="20"/>
                <w:szCs w:val="20"/>
              </w:rPr>
              <w:t xml:space="preserve">  Palliative</w:t>
            </w:r>
          </w:p>
        </w:tc>
        <w:tc>
          <w:tcPr>
            <w:tcW w:w="4320" w:type="dxa"/>
          </w:tcPr>
          <w:p w14:paraId="771FB323" w14:textId="77777777" w:rsidR="001D452B" w:rsidRPr="001D452B" w:rsidRDefault="001D452B" w:rsidP="001D452B">
            <w:pPr>
              <w:spacing w:line="276" w:lineRule="auto"/>
              <w:rPr>
                <w:rFonts w:ascii="Arial" w:hAnsi="Arial" w:cs="Arial"/>
                <w:sz w:val="20"/>
                <w:szCs w:val="20"/>
              </w:rPr>
            </w:pPr>
            <w:r w:rsidRPr="001D452B">
              <w:rPr>
                <w:rFonts w:ascii="Arial" w:hAnsi="Arial" w:cs="Arial"/>
                <w:sz w:val="20"/>
                <w:szCs w:val="20"/>
              </w:rPr>
              <w:t>14 (27.5%)</w:t>
            </w:r>
          </w:p>
        </w:tc>
      </w:tr>
      <w:tr w:rsidR="001D452B" w:rsidRPr="001D452B" w14:paraId="6397EC1C" w14:textId="77777777" w:rsidTr="007C2B13">
        <w:tc>
          <w:tcPr>
            <w:tcW w:w="4320" w:type="dxa"/>
          </w:tcPr>
          <w:p w14:paraId="23008F42" w14:textId="77777777" w:rsidR="001D452B" w:rsidRPr="001D452B" w:rsidRDefault="001D452B" w:rsidP="001D452B">
            <w:pPr>
              <w:spacing w:line="276" w:lineRule="auto"/>
              <w:rPr>
                <w:rFonts w:ascii="Arial" w:hAnsi="Arial" w:cs="Arial"/>
                <w:sz w:val="20"/>
                <w:szCs w:val="20"/>
              </w:rPr>
            </w:pPr>
            <w:r w:rsidRPr="001D452B">
              <w:rPr>
                <w:rFonts w:ascii="Arial" w:hAnsi="Arial" w:cs="Arial"/>
                <w:sz w:val="20"/>
                <w:szCs w:val="20"/>
              </w:rPr>
              <w:t xml:space="preserve">  Definitive Curative</w:t>
            </w:r>
          </w:p>
        </w:tc>
        <w:tc>
          <w:tcPr>
            <w:tcW w:w="4320" w:type="dxa"/>
          </w:tcPr>
          <w:p w14:paraId="67849012" w14:textId="77777777" w:rsidR="001D452B" w:rsidRPr="001D452B" w:rsidRDefault="001D452B" w:rsidP="001D452B">
            <w:pPr>
              <w:spacing w:line="276" w:lineRule="auto"/>
              <w:rPr>
                <w:rFonts w:ascii="Arial" w:hAnsi="Arial" w:cs="Arial"/>
                <w:sz w:val="20"/>
                <w:szCs w:val="20"/>
              </w:rPr>
            </w:pPr>
            <w:r w:rsidRPr="001D452B">
              <w:rPr>
                <w:rFonts w:ascii="Arial" w:hAnsi="Arial" w:cs="Arial"/>
                <w:sz w:val="20"/>
                <w:szCs w:val="20"/>
              </w:rPr>
              <w:t>10 (19.6 %)</w:t>
            </w:r>
          </w:p>
        </w:tc>
      </w:tr>
      <w:tr w:rsidR="001D452B" w:rsidRPr="001D452B" w14:paraId="6CE60F12" w14:textId="77777777" w:rsidTr="007C2B13">
        <w:tc>
          <w:tcPr>
            <w:tcW w:w="8640" w:type="dxa"/>
            <w:gridSpan w:val="2"/>
          </w:tcPr>
          <w:p w14:paraId="5649EBC0" w14:textId="77777777" w:rsidR="001D452B" w:rsidRPr="001D452B" w:rsidRDefault="001D452B" w:rsidP="001D452B">
            <w:pPr>
              <w:spacing w:line="276" w:lineRule="auto"/>
              <w:rPr>
                <w:rFonts w:ascii="Arial" w:hAnsi="Arial" w:cs="Arial"/>
                <w:sz w:val="20"/>
                <w:szCs w:val="20"/>
              </w:rPr>
            </w:pPr>
            <w:r w:rsidRPr="001D452B">
              <w:rPr>
                <w:rFonts w:ascii="Arial" w:hAnsi="Arial" w:cs="Arial"/>
                <w:sz w:val="20"/>
                <w:szCs w:val="20"/>
              </w:rPr>
              <w:t>Radiotherapy technique group</w:t>
            </w:r>
          </w:p>
        </w:tc>
      </w:tr>
      <w:tr w:rsidR="001D452B" w:rsidRPr="001D452B" w14:paraId="65A0D8E6" w14:textId="77777777" w:rsidTr="007C2B13">
        <w:tc>
          <w:tcPr>
            <w:tcW w:w="4320" w:type="dxa"/>
          </w:tcPr>
          <w:p w14:paraId="50DD1C13" w14:textId="77777777" w:rsidR="001D452B" w:rsidRPr="001D452B" w:rsidRDefault="001D452B" w:rsidP="001D452B">
            <w:pPr>
              <w:spacing w:line="276" w:lineRule="auto"/>
              <w:rPr>
                <w:rFonts w:ascii="Arial" w:hAnsi="Arial" w:cs="Arial"/>
                <w:sz w:val="20"/>
                <w:szCs w:val="20"/>
              </w:rPr>
            </w:pPr>
            <w:r w:rsidRPr="001D452B">
              <w:rPr>
                <w:rFonts w:ascii="Arial" w:hAnsi="Arial" w:cs="Arial"/>
                <w:sz w:val="20"/>
                <w:szCs w:val="20"/>
              </w:rPr>
              <w:t xml:space="preserve">  VMAT</w:t>
            </w:r>
          </w:p>
        </w:tc>
        <w:tc>
          <w:tcPr>
            <w:tcW w:w="4320" w:type="dxa"/>
          </w:tcPr>
          <w:p w14:paraId="4D8AEC87" w14:textId="77777777" w:rsidR="001D452B" w:rsidRPr="001D452B" w:rsidRDefault="001D452B" w:rsidP="001D452B">
            <w:pPr>
              <w:spacing w:line="276" w:lineRule="auto"/>
              <w:rPr>
                <w:rFonts w:ascii="Arial" w:hAnsi="Arial" w:cs="Arial"/>
                <w:sz w:val="20"/>
                <w:szCs w:val="20"/>
              </w:rPr>
            </w:pPr>
            <w:r w:rsidRPr="001D452B">
              <w:rPr>
                <w:rFonts w:ascii="Arial" w:hAnsi="Arial" w:cs="Arial"/>
                <w:sz w:val="20"/>
                <w:szCs w:val="20"/>
              </w:rPr>
              <w:t>35 (68.6%)</w:t>
            </w:r>
          </w:p>
        </w:tc>
      </w:tr>
      <w:tr w:rsidR="001D452B" w:rsidRPr="001D452B" w14:paraId="18AD65B7" w14:textId="77777777" w:rsidTr="007C2B13">
        <w:tc>
          <w:tcPr>
            <w:tcW w:w="4320" w:type="dxa"/>
          </w:tcPr>
          <w:p w14:paraId="66ADD1EF" w14:textId="77777777" w:rsidR="001D452B" w:rsidRPr="001D452B" w:rsidRDefault="001D452B" w:rsidP="001D452B">
            <w:pPr>
              <w:spacing w:line="276" w:lineRule="auto"/>
              <w:rPr>
                <w:rFonts w:ascii="Arial" w:hAnsi="Arial" w:cs="Arial"/>
                <w:sz w:val="20"/>
                <w:szCs w:val="20"/>
              </w:rPr>
            </w:pPr>
            <w:r w:rsidRPr="001D452B">
              <w:rPr>
                <w:rFonts w:ascii="Arial" w:hAnsi="Arial" w:cs="Arial"/>
                <w:sz w:val="20"/>
                <w:szCs w:val="20"/>
              </w:rPr>
              <w:t xml:space="preserve">  3DCRT</w:t>
            </w:r>
          </w:p>
        </w:tc>
        <w:tc>
          <w:tcPr>
            <w:tcW w:w="4320" w:type="dxa"/>
          </w:tcPr>
          <w:p w14:paraId="355BAA9F" w14:textId="77777777" w:rsidR="001D452B" w:rsidRPr="001D452B" w:rsidRDefault="001D452B" w:rsidP="001D452B">
            <w:pPr>
              <w:spacing w:line="276" w:lineRule="auto"/>
              <w:rPr>
                <w:rFonts w:ascii="Arial" w:hAnsi="Arial" w:cs="Arial"/>
                <w:sz w:val="20"/>
                <w:szCs w:val="20"/>
              </w:rPr>
            </w:pPr>
            <w:r w:rsidRPr="001D452B">
              <w:rPr>
                <w:rFonts w:ascii="Arial" w:hAnsi="Arial" w:cs="Arial"/>
                <w:sz w:val="20"/>
                <w:szCs w:val="20"/>
              </w:rPr>
              <w:t>16 (31.4%)</w:t>
            </w:r>
          </w:p>
        </w:tc>
      </w:tr>
    </w:tbl>
    <w:p w14:paraId="4F23C9B0" w14:textId="77777777" w:rsidR="001D452B" w:rsidRPr="001D452B" w:rsidRDefault="001D452B" w:rsidP="001D452B">
      <w:pPr>
        <w:spacing w:line="276" w:lineRule="auto"/>
        <w:jc w:val="both"/>
        <w:rPr>
          <w:rFonts w:ascii="Arial" w:hAnsi="Arial" w:cs="Arial"/>
          <w:vertAlign w:val="superscript"/>
        </w:rPr>
      </w:pPr>
      <w:r w:rsidRPr="001D452B">
        <w:rPr>
          <w:rFonts w:ascii="Arial" w:hAnsi="Arial" w:cs="Arial"/>
          <w:vertAlign w:val="superscript"/>
        </w:rPr>
        <w:t xml:space="preserve">VAC= vincristine, doxorubicin, and cyclophosphamide, IE= ifosfamide and etoposide, VMAT= volumetric modulated arc therapy, 3DCRT= three-dimensional conformal radiotherapy </w:t>
      </w:r>
    </w:p>
    <w:p w14:paraId="2AFD4539" w14:textId="77777777" w:rsidR="001D452B" w:rsidRDefault="001D452B" w:rsidP="001D452B">
      <w:pPr>
        <w:spacing w:line="276" w:lineRule="auto"/>
        <w:jc w:val="both"/>
        <w:rPr>
          <w:rFonts w:ascii="Arial" w:hAnsi="Arial" w:cs="Arial"/>
        </w:rPr>
      </w:pPr>
      <w:r w:rsidRPr="001D452B">
        <w:rPr>
          <w:rFonts w:ascii="Arial" w:hAnsi="Arial" w:cs="Arial"/>
        </w:rPr>
        <w:t xml:space="preserve">The median follow-up duration was 28 months. The median OS was 25 months (IQR 20.5–29.0) with a median DFS of 25 months (IQR 11.0–29.0). Local control was achieved in 37 patients (72.5%), and the 2-year OS was 75%. 8 out of the 14 patients who presented with metastasis and received palliative radiotherapy died within 24 months of treatment. 1 out of 37 patients treated with curative intent died within 24 months of treatment due to a disease-related cause. The treatment outcomes are </w:t>
      </w:r>
      <w:proofErr w:type="spellStart"/>
      <w:r w:rsidRPr="001D452B">
        <w:rPr>
          <w:rFonts w:ascii="Arial" w:hAnsi="Arial" w:cs="Arial"/>
        </w:rPr>
        <w:t>summarised</w:t>
      </w:r>
      <w:proofErr w:type="spellEnd"/>
      <w:r w:rsidRPr="001D452B">
        <w:rPr>
          <w:rFonts w:ascii="Arial" w:hAnsi="Arial" w:cs="Arial"/>
        </w:rPr>
        <w:t xml:space="preserve"> in Table 3.</w:t>
      </w:r>
    </w:p>
    <w:p w14:paraId="53973C85" w14:textId="77777777" w:rsidR="001D452B" w:rsidRPr="001D452B" w:rsidRDefault="001D452B" w:rsidP="001D452B">
      <w:pPr>
        <w:spacing w:line="276" w:lineRule="auto"/>
        <w:jc w:val="both"/>
        <w:rPr>
          <w:rFonts w:ascii="Arial" w:hAnsi="Arial" w:cs="Arial"/>
        </w:rPr>
      </w:pPr>
    </w:p>
    <w:p w14:paraId="51555ED8" w14:textId="77777777" w:rsidR="001D452B" w:rsidRPr="001D452B" w:rsidRDefault="001D452B" w:rsidP="001D452B">
      <w:pPr>
        <w:spacing w:line="276" w:lineRule="auto"/>
        <w:jc w:val="both"/>
        <w:rPr>
          <w:rFonts w:ascii="Arial" w:hAnsi="Arial" w:cs="Arial"/>
          <w:b/>
          <w:bCs/>
        </w:rPr>
      </w:pPr>
      <w:r w:rsidRPr="001D452B">
        <w:rPr>
          <w:rFonts w:ascii="Arial" w:hAnsi="Arial" w:cs="Arial"/>
          <w:b/>
          <w:bCs/>
        </w:rPr>
        <w:t>Table 3: Survival outcomes and toxicities.</w:t>
      </w:r>
    </w:p>
    <w:tbl>
      <w:tblPr>
        <w:tblStyle w:val="TableGrid"/>
        <w:tblW w:w="0" w:type="auto"/>
        <w:tblLook w:val="04A0" w:firstRow="1" w:lastRow="0" w:firstColumn="1" w:lastColumn="0" w:noHBand="0" w:noVBand="1"/>
      </w:tblPr>
      <w:tblGrid>
        <w:gridCol w:w="4120"/>
        <w:gridCol w:w="4078"/>
      </w:tblGrid>
      <w:tr w:rsidR="001D452B" w:rsidRPr="001D452B" w14:paraId="3BBEF9E6" w14:textId="77777777" w:rsidTr="007C2B13">
        <w:tc>
          <w:tcPr>
            <w:tcW w:w="4320" w:type="dxa"/>
          </w:tcPr>
          <w:p w14:paraId="532454B7" w14:textId="77777777" w:rsidR="001D452B" w:rsidRPr="001D452B" w:rsidRDefault="001D452B" w:rsidP="001D452B">
            <w:pPr>
              <w:spacing w:line="276" w:lineRule="auto"/>
              <w:rPr>
                <w:rFonts w:ascii="Arial" w:hAnsi="Arial" w:cs="Arial"/>
                <w:sz w:val="20"/>
                <w:szCs w:val="20"/>
              </w:rPr>
            </w:pPr>
            <w:r w:rsidRPr="001D452B">
              <w:rPr>
                <w:rFonts w:ascii="Arial" w:hAnsi="Arial" w:cs="Arial"/>
                <w:sz w:val="20"/>
                <w:szCs w:val="20"/>
              </w:rPr>
              <w:t>Outcomes</w:t>
            </w:r>
          </w:p>
        </w:tc>
        <w:tc>
          <w:tcPr>
            <w:tcW w:w="4320" w:type="dxa"/>
          </w:tcPr>
          <w:p w14:paraId="33D2DEED" w14:textId="77777777" w:rsidR="001D452B" w:rsidRPr="001D452B" w:rsidRDefault="001D452B" w:rsidP="001D452B">
            <w:pPr>
              <w:spacing w:line="276" w:lineRule="auto"/>
              <w:rPr>
                <w:rFonts w:ascii="Arial" w:hAnsi="Arial" w:cs="Arial"/>
                <w:sz w:val="20"/>
                <w:szCs w:val="20"/>
              </w:rPr>
            </w:pPr>
            <w:r w:rsidRPr="001D452B">
              <w:rPr>
                <w:rFonts w:ascii="Arial" w:hAnsi="Arial" w:cs="Arial"/>
                <w:sz w:val="20"/>
                <w:szCs w:val="20"/>
              </w:rPr>
              <w:t>n</w:t>
            </w:r>
          </w:p>
        </w:tc>
      </w:tr>
      <w:tr w:rsidR="001D452B" w:rsidRPr="001D452B" w14:paraId="2BEB66F7" w14:textId="77777777" w:rsidTr="007C2B13">
        <w:tc>
          <w:tcPr>
            <w:tcW w:w="8640" w:type="dxa"/>
            <w:gridSpan w:val="2"/>
          </w:tcPr>
          <w:p w14:paraId="2885B131" w14:textId="77777777" w:rsidR="001D452B" w:rsidRPr="001D452B" w:rsidRDefault="001D452B" w:rsidP="001D452B">
            <w:pPr>
              <w:spacing w:line="276" w:lineRule="auto"/>
              <w:rPr>
                <w:rFonts w:ascii="Arial" w:hAnsi="Arial" w:cs="Arial"/>
                <w:sz w:val="20"/>
                <w:szCs w:val="20"/>
              </w:rPr>
            </w:pPr>
            <w:r w:rsidRPr="001D452B">
              <w:rPr>
                <w:rFonts w:ascii="Arial" w:hAnsi="Arial" w:cs="Arial"/>
                <w:sz w:val="20"/>
                <w:szCs w:val="20"/>
              </w:rPr>
              <w:t>Local control achieved</w:t>
            </w:r>
          </w:p>
        </w:tc>
      </w:tr>
      <w:tr w:rsidR="001D452B" w:rsidRPr="001D452B" w14:paraId="2BAFD4BB" w14:textId="77777777" w:rsidTr="007C2B13">
        <w:tc>
          <w:tcPr>
            <w:tcW w:w="4320" w:type="dxa"/>
          </w:tcPr>
          <w:p w14:paraId="00D9D41F" w14:textId="77777777" w:rsidR="001D452B" w:rsidRPr="001D452B" w:rsidRDefault="001D452B" w:rsidP="001D452B">
            <w:pPr>
              <w:spacing w:line="276" w:lineRule="auto"/>
              <w:rPr>
                <w:rFonts w:ascii="Arial" w:hAnsi="Arial" w:cs="Arial"/>
                <w:sz w:val="20"/>
                <w:szCs w:val="20"/>
              </w:rPr>
            </w:pPr>
            <w:r w:rsidRPr="001D452B">
              <w:rPr>
                <w:rFonts w:ascii="Arial" w:hAnsi="Arial" w:cs="Arial"/>
                <w:sz w:val="20"/>
                <w:szCs w:val="20"/>
              </w:rPr>
              <w:t xml:space="preserve">  Yes</w:t>
            </w:r>
          </w:p>
        </w:tc>
        <w:tc>
          <w:tcPr>
            <w:tcW w:w="4320" w:type="dxa"/>
          </w:tcPr>
          <w:p w14:paraId="3FAB5A31" w14:textId="77777777" w:rsidR="001D452B" w:rsidRPr="001D452B" w:rsidRDefault="001D452B" w:rsidP="001D452B">
            <w:pPr>
              <w:spacing w:line="276" w:lineRule="auto"/>
              <w:rPr>
                <w:rFonts w:ascii="Arial" w:hAnsi="Arial" w:cs="Arial"/>
                <w:sz w:val="20"/>
                <w:szCs w:val="20"/>
              </w:rPr>
            </w:pPr>
            <w:r w:rsidRPr="001D452B">
              <w:rPr>
                <w:rFonts w:ascii="Arial" w:hAnsi="Arial" w:cs="Arial"/>
                <w:sz w:val="20"/>
                <w:szCs w:val="20"/>
              </w:rPr>
              <w:t>37 (72.5%)</w:t>
            </w:r>
          </w:p>
        </w:tc>
      </w:tr>
      <w:tr w:rsidR="001D452B" w:rsidRPr="001D452B" w14:paraId="4263BEB9" w14:textId="77777777" w:rsidTr="007C2B13">
        <w:tc>
          <w:tcPr>
            <w:tcW w:w="4320" w:type="dxa"/>
          </w:tcPr>
          <w:p w14:paraId="1380E174" w14:textId="77777777" w:rsidR="001D452B" w:rsidRPr="001D452B" w:rsidRDefault="001D452B" w:rsidP="001D452B">
            <w:pPr>
              <w:spacing w:line="276" w:lineRule="auto"/>
              <w:rPr>
                <w:rFonts w:ascii="Arial" w:hAnsi="Arial" w:cs="Arial"/>
                <w:sz w:val="20"/>
                <w:szCs w:val="20"/>
              </w:rPr>
            </w:pPr>
            <w:r w:rsidRPr="001D452B">
              <w:rPr>
                <w:rFonts w:ascii="Arial" w:hAnsi="Arial" w:cs="Arial"/>
                <w:sz w:val="20"/>
                <w:szCs w:val="20"/>
              </w:rPr>
              <w:t xml:space="preserve">  No</w:t>
            </w:r>
          </w:p>
        </w:tc>
        <w:tc>
          <w:tcPr>
            <w:tcW w:w="4320" w:type="dxa"/>
          </w:tcPr>
          <w:p w14:paraId="5255D89C" w14:textId="77777777" w:rsidR="001D452B" w:rsidRPr="001D452B" w:rsidRDefault="001D452B" w:rsidP="001D452B">
            <w:pPr>
              <w:spacing w:line="276" w:lineRule="auto"/>
              <w:rPr>
                <w:rFonts w:ascii="Arial" w:hAnsi="Arial" w:cs="Arial"/>
                <w:sz w:val="20"/>
                <w:szCs w:val="20"/>
              </w:rPr>
            </w:pPr>
            <w:r w:rsidRPr="001D452B">
              <w:rPr>
                <w:rFonts w:ascii="Arial" w:hAnsi="Arial" w:cs="Arial"/>
                <w:sz w:val="20"/>
                <w:szCs w:val="20"/>
              </w:rPr>
              <w:t>14 (27.5%)</w:t>
            </w:r>
          </w:p>
        </w:tc>
      </w:tr>
      <w:tr w:rsidR="001D452B" w:rsidRPr="001D452B" w14:paraId="0678D8E9" w14:textId="77777777" w:rsidTr="007C2B13">
        <w:tc>
          <w:tcPr>
            <w:tcW w:w="8640" w:type="dxa"/>
            <w:gridSpan w:val="2"/>
          </w:tcPr>
          <w:p w14:paraId="0798A82F" w14:textId="77777777" w:rsidR="001D452B" w:rsidRPr="001D452B" w:rsidRDefault="001D452B" w:rsidP="001D452B">
            <w:pPr>
              <w:spacing w:line="276" w:lineRule="auto"/>
              <w:rPr>
                <w:rFonts w:ascii="Arial" w:hAnsi="Arial" w:cs="Arial"/>
                <w:sz w:val="20"/>
                <w:szCs w:val="20"/>
              </w:rPr>
            </w:pPr>
            <w:r w:rsidRPr="001D452B">
              <w:rPr>
                <w:rFonts w:ascii="Arial" w:hAnsi="Arial" w:cs="Arial"/>
                <w:sz w:val="20"/>
                <w:szCs w:val="20"/>
              </w:rPr>
              <w:t>Recurrence pattern</w:t>
            </w:r>
          </w:p>
        </w:tc>
      </w:tr>
      <w:tr w:rsidR="001D452B" w:rsidRPr="001D452B" w14:paraId="3BE70608" w14:textId="77777777" w:rsidTr="007C2B13">
        <w:tc>
          <w:tcPr>
            <w:tcW w:w="4320" w:type="dxa"/>
          </w:tcPr>
          <w:p w14:paraId="65262135" w14:textId="77777777" w:rsidR="001D452B" w:rsidRPr="001D452B" w:rsidRDefault="001D452B" w:rsidP="001D452B">
            <w:pPr>
              <w:spacing w:line="276" w:lineRule="auto"/>
              <w:rPr>
                <w:rFonts w:ascii="Arial" w:hAnsi="Arial" w:cs="Arial"/>
                <w:sz w:val="20"/>
                <w:szCs w:val="20"/>
              </w:rPr>
            </w:pPr>
            <w:r w:rsidRPr="001D452B">
              <w:rPr>
                <w:rFonts w:ascii="Arial" w:hAnsi="Arial" w:cs="Arial"/>
                <w:sz w:val="20"/>
                <w:szCs w:val="20"/>
              </w:rPr>
              <w:t xml:space="preserve">  No recurrence</w:t>
            </w:r>
          </w:p>
        </w:tc>
        <w:tc>
          <w:tcPr>
            <w:tcW w:w="4320" w:type="dxa"/>
          </w:tcPr>
          <w:p w14:paraId="02D4E1CC" w14:textId="77777777" w:rsidR="001D452B" w:rsidRPr="001D452B" w:rsidRDefault="001D452B" w:rsidP="001D452B">
            <w:pPr>
              <w:spacing w:line="276" w:lineRule="auto"/>
              <w:rPr>
                <w:rFonts w:ascii="Arial" w:hAnsi="Arial" w:cs="Arial"/>
                <w:sz w:val="20"/>
                <w:szCs w:val="20"/>
              </w:rPr>
            </w:pPr>
            <w:r w:rsidRPr="001D452B">
              <w:rPr>
                <w:rFonts w:ascii="Arial" w:hAnsi="Arial" w:cs="Arial"/>
                <w:sz w:val="20"/>
                <w:szCs w:val="20"/>
              </w:rPr>
              <w:t>34 (66.7%)</w:t>
            </w:r>
          </w:p>
        </w:tc>
      </w:tr>
      <w:tr w:rsidR="001D452B" w:rsidRPr="001D452B" w14:paraId="40805A28" w14:textId="77777777" w:rsidTr="007C2B13">
        <w:tc>
          <w:tcPr>
            <w:tcW w:w="4320" w:type="dxa"/>
          </w:tcPr>
          <w:p w14:paraId="28DF4038" w14:textId="77777777" w:rsidR="001D452B" w:rsidRPr="001D452B" w:rsidRDefault="001D452B" w:rsidP="001D452B">
            <w:pPr>
              <w:spacing w:line="276" w:lineRule="auto"/>
              <w:rPr>
                <w:rFonts w:ascii="Arial" w:hAnsi="Arial" w:cs="Arial"/>
                <w:sz w:val="20"/>
                <w:szCs w:val="20"/>
              </w:rPr>
            </w:pPr>
            <w:r w:rsidRPr="001D452B">
              <w:rPr>
                <w:rFonts w:ascii="Arial" w:hAnsi="Arial" w:cs="Arial"/>
                <w:sz w:val="20"/>
                <w:szCs w:val="20"/>
              </w:rPr>
              <w:t xml:space="preserve">  Metastatic</w:t>
            </w:r>
          </w:p>
        </w:tc>
        <w:tc>
          <w:tcPr>
            <w:tcW w:w="4320" w:type="dxa"/>
          </w:tcPr>
          <w:p w14:paraId="17AF70A0" w14:textId="77777777" w:rsidR="001D452B" w:rsidRPr="001D452B" w:rsidRDefault="001D452B" w:rsidP="001D452B">
            <w:pPr>
              <w:spacing w:line="276" w:lineRule="auto"/>
              <w:rPr>
                <w:rFonts w:ascii="Arial" w:hAnsi="Arial" w:cs="Arial"/>
                <w:sz w:val="20"/>
                <w:szCs w:val="20"/>
              </w:rPr>
            </w:pPr>
            <w:r w:rsidRPr="001D452B">
              <w:rPr>
                <w:rFonts w:ascii="Arial" w:hAnsi="Arial" w:cs="Arial"/>
                <w:sz w:val="20"/>
                <w:szCs w:val="20"/>
              </w:rPr>
              <w:t>14 (27.5%)</w:t>
            </w:r>
          </w:p>
        </w:tc>
      </w:tr>
      <w:tr w:rsidR="001D452B" w:rsidRPr="001D452B" w14:paraId="2806F648" w14:textId="77777777" w:rsidTr="007C2B13">
        <w:tc>
          <w:tcPr>
            <w:tcW w:w="4320" w:type="dxa"/>
          </w:tcPr>
          <w:p w14:paraId="170F7492" w14:textId="77777777" w:rsidR="001D452B" w:rsidRPr="001D452B" w:rsidRDefault="001D452B" w:rsidP="001D452B">
            <w:pPr>
              <w:spacing w:line="276" w:lineRule="auto"/>
              <w:rPr>
                <w:rFonts w:ascii="Arial" w:hAnsi="Arial" w:cs="Arial"/>
                <w:sz w:val="20"/>
                <w:szCs w:val="20"/>
              </w:rPr>
            </w:pPr>
            <w:r w:rsidRPr="001D452B">
              <w:rPr>
                <w:rFonts w:ascii="Arial" w:hAnsi="Arial" w:cs="Arial"/>
                <w:sz w:val="20"/>
                <w:szCs w:val="20"/>
              </w:rPr>
              <w:t xml:space="preserve">  Local</w:t>
            </w:r>
          </w:p>
        </w:tc>
        <w:tc>
          <w:tcPr>
            <w:tcW w:w="4320" w:type="dxa"/>
          </w:tcPr>
          <w:p w14:paraId="46F7B5D1" w14:textId="77777777" w:rsidR="001D452B" w:rsidRPr="001D452B" w:rsidRDefault="001D452B" w:rsidP="001D452B">
            <w:pPr>
              <w:spacing w:line="276" w:lineRule="auto"/>
              <w:rPr>
                <w:rFonts w:ascii="Arial" w:hAnsi="Arial" w:cs="Arial"/>
                <w:sz w:val="20"/>
                <w:szCs w:val="20"/>
              </w:rPr>
            </w:pPr>
            <w:r w:rsidRPr="001D452B">
              <w:rPr>
                <w:rFonts w:ascii="Arial" w:hAnsi="Arial" w:cs="Arial"/>
                <w:sz w:val="20"/>
                <w:szCs w:val="20"/>
              </w:rPr>
              <w:t>3 (5.9%)</w:t>
            </w:r>
          </w:p>
        </w:tc>
      </w:tr>
      <w:tr w:rsidR="001D452B" w:rsidRPr="001D452B" w14:paraId="7FB0C52D" w14:textId="77777777" w:rsidTr="007C2B13">
        <w:tc>
          <w:tcPr>
            <w:tcW w:w="4320" w:type="dxa"/>
          </w:tcPr>
          <w:p w14:paraId="2E22FC74" w14:textId="77777777" w:rsidR="001D452B" w:rsidRPr="001D452B" w:rsidRDefault="001D452B" w:rsidP="001D452B">
            <w:pPr>
              <w:spacing w:line="276" w:lineRule="auto"/>
              <w:rPr>
                <w:rFonts w:ascii="Arial" w:hAnsi="Arial" w:cs="Arial"/>
                <w:sz w:val="20"/>
                <w:szCs w:val="20"/>
              </w:rPr>
            </w:pPr>
            <w:r w:rsidRPr="001D452B">
              <w:rPr>
                <w:rFonts w:ascii="Arial" w:hAnsi="Arial" w:cs="Arial"/>
                <w:sz w:val="20"/>
                <w:szCs w:val="20"/>
              </w:rPr>
              <w:t>OS (months), median (IQR)</w:t>
            </w:r>
          </w:p>
        </w:tc>
        <w:tc>
          <w:tcPr>
            <w:tcW w:w="4320" w:type="dxa"/>
          </w:tcPr>
          <w:p w14:paraId="0F3BAEE2" w14:textId="77777777" w:rsidR="001D452B" w:rsidRPr="001D452B" w:rsidRDefault="001D452B" w:rsidP="001D452B">
            <w:pPr>
              <w:spacing w:line="276" w:lineRule="auto"/>
              <w:rPr>
                <w:rFonts w:ascii="Arial" w:hAnsi="Arial" w:cs="Arial"/>
                <w:sz w:val="20"/>
                <w:szCs w:val="20"/>
              </w:rPr>
            </w:pPr>
            <w:r w:rsidRPr="001D452B">
              <w:rPr>
                <w:rFonts w:ascii="Arial" w:hAnsi="Arial" w:cs="Arial"/>
                <w:sz w:val="20"/>
                <w:szCs w:val="20"/>
              </w:rPr>
              <w:t>25.0 (20.5-29.0)</w:t>
            </w:r>
          </w:p>
        </w:tc>
      </w:tr>
      <w:tr w:rsidR="001D452B" w:rsidRPr="001D452B" w14:paraId="76047ABE" w14:textId="77777777" w:rsidTr="007C2B13">
        <w:tc>
          <w:tcPr>
            <w:tcW w:w="4320" w:type="dxa"/>
          </w:tcPr>
          <w:p w14:paraId="3B894E94" w14:textId="77777777" w:rsidR="001D452B" w:rsidRPr="001D452B" w:rsidRDefault="001D452B" w:rsidP="001D452B">
            <w:pPr>
              <w:spacing w:line="276" w:lineRule="auto"/>
              <w:rPr>
                <w:rFonts w:ascii="Arial" w:hAnsi="Arial" w:cs="Arial"/>
                <w:sz w:val="20"/>
                <w:szCs w:val="20"/>
              </w:rPr>
            </w:pPr>
            <w:r w:rsidRPr="001D452B">
              <w:rPr>
                <w:rFonts w:ascii="Arial" w:hAnsi="Arial" w:cs="Arial"/>
                <w:sz w:val="20"/>
                <w:szCs w:val="20"/>
              </w:rPr>
              <w:t>DFS (months), median (IQR)</w:t>
            </w:r>
          </w:p>
        </w:tc>
        <w:tc>
          <w:tcPr>
            <w:tcW w:w="4320" w:type="dxa"/>
          </w:tcPr>
          <w:p w14:paraId="1D9847BA" w14:textId="77777777" w:rsidR="001D452B" w:rsidRPr="001D452B" w:rsidRDefault="001D452B" w:rsidP="001D452B">
            <w:pPr>
              <w:spacing w:line="276" w:lineRule="auto"/>
              <w:rPr>
                <w:rFonts w:ascii="Arial" w:hAnsi="Arial" w:cs="Arial"/>
                <w:sz w:val="20"/>
                <w:szCs w:val="20"/>
              </w:rPr>
            </w:pPr>
            <w:r w:rsidRPr="001D452B">
              <w:rPr>
                <w:rFonts w:ascii="Arial" w:hAnsi="Arial" w:cs="Arial"/>
                <w:sz w:val="20"/>
                <w:szCs w:val="20"/>
              </w:rPr>
              <w:t>25.0 (11.0-29.0)</w:t>
            </w:r>
          </w:p>
        </w:tc>
      </w:tr>
      <w:tr w:rsidR="001D452B" w:rsidRPr="001D452B" w14:paraId="10CF4F5E" w14:textId="77777777" w:rsidTr="007C2B13">
        <w:tc>
          <w:tcPr>
            <w:tcW w:w="4320" w:type="dxa"/>
          </w:tcPr>
          <w:p w14:paraId="24E5B280" w14:textId="77777777" w:rsidR="001D452B" w:rsidRPr="001D452B" w:rsidRDefault="001D452B" w:rsidP="001D452B">
            <w:pPr>
              <w:spacing w:line="276" w:lineRule="auto"/>
              <w:rPr>
                <w:rFonts w:ascii="Arial" w:hAnsi="Arial" w:cs="Arial"/>
                <w:sz w:val="20"/>
                <w:szCs w:val="20"/>
              </w:rPr>
            </w:pPr>
            <w:r w:rsidRPr="001D452B">
              <w:rPr>
                <w:rFonts w:ascii="Arial" w:hAnsi="Arial" w:cs="Arial"/>
                <w:sz w:val="20"/>
                <w:szCs w:val="20"/>
              </w:rPr>
              <w:t>Acute toxicity</w:t>
            </w:r>
          </w:p>
        </w:tc>
        <w:tc>
          <w:tcPr>
            <w:tcW w:w="4320" w:type="dxa"/>
          </w:tcPr>
          <w:p w14:paraId="1AFDAC7F" w14:textId="77777777" w:rsidR="001D452B" w:rsidRPr="001D452B" w:rsidRDefault="001D452B" w:rsidP="001D452B">
            <w:pPr>
              <w:spacing w:line="276" w:lineRule="auto"/>
              <w:rPr>
                <w:rFonts w:ascii="Arial" w:hAnsi="Arial" w:cs="Arial"/>
                <w:sz w:val="20"/>
                <w:szCs w:val="20"/>
              </w:rPr>
            </w:pPr>
          </w:p>
        </w:tc>
      </w:tr>
      <w:tr w:rsidR="001D452B" w:rsidRPr="001D452B" w14:paraId="55924A18" w14:textId="77777777" w:rsidTr="007C2B13">
        <w:tc>
          <w:tcPr>
            <w:tcW w:w="4320" w:type="dxa"/>
          </w:tcPr>
          <w:p w14:paraId="7C248AB5" w14:textId="77777777" w:rsidR="001D452B" w:rsidRPr="001D452B" w:rsidRDefault="001D452B" w:rsidP="001D452B">
            <w:pPr>
              <w:spacing w:line="276" w:lineRule="auto"/>
              <w:rPr>
                <w:rFonts w:ascii="Arial" w:hAnsi="Arial" w:cs="Arial"/>
                <w:sz w:val="20"/>
                <w:szCs w:val="20"/>
              </w:rPr>
            </w:pPr>
            <w:r w:rsidRPr="001D452B">
              <w:rPr>
                <w:rFonts w:ascii="Arial" w:hAnsi="Arial" w:cs="Arial"/>
                <w:sz w:val="20"/>
                <w:szCs w:val="20"/>
              </w:rPr>
              <w:t xml:space="preserve">  Yes</w:t>
            </w:r>
          </w:p>
        </w:tc>
        <w:tc>
          <w:tcPr>
            <w:tcW w:w="4320" w:type="dxa"/>
          </w:tcPr>
          <w:p w14:paraId="20EA3F7C" w14:textId="77777777" w:rsidR="001D452B" w:rsidRPr="001D452B" w:rsidRDefault="001D452B" w:rsidP="001D452B">
            <w:pPr>
              <w:spacing w:line="276" w:lineRule="auto"/>
              <w:rPr>
                <w:rFonts w:ascii="Arial" w:hAnsi="Arial" w:cs="Arial"/>
                <w:sz w:val="20"/>
                <w:szCs w:val="20"/>
              </w:rPr>
            </w:pPr>
            <w:r w:rsidRPr="001D452B">
              <w:rPr>
                <w:rFonts w:ascii="Arial" w:hAnsi="Arial" w:cs="Arial"/>
                <w:sz w:val="20"/>
                <w:szCs w:val="20"/>
              </w:rPr>
              <w:t>35 (68.6%)</w:t>
            </w:r>
          </w:p>
        </w:tc>
      </w:tr>
      <w:tr w:rsidR="001D452B" w:rsidRPr="001D452B" w14:paraId="1D1A97F3" w14:textId="77777777" w:rsidTr="007C2B13">
        <w:tc>
          <w:tcPr>
            <w:tcW w:w="4320" w:type="dxa"/>
          </w:tcPr>
          <w:p w14:paraId="68315096" w14:textId="77777777" w:rsidR="001D452B" w:rsidRPr="001D452B" w:rsidRDefault="001D452B" w:rsidP="001D452B">
            <w:pPr>
              <w:spacing w:line="276" w:lineRule="auto"/>
              <w:rPr>
                <w:rFonts w:ascii="Arial" w:hAnsi="Arial" w:cs="Arial"/>
                <w:sz w:val="20"/>
                <w:szCs w:val="20"/>
              </w:rPr>
            </w:pPr>
            <w:r w:rsidRPr="001D452B">
              <w:rPr>
                <w:rFonts w:ascii="Arial" w:hAnsi="Arial" w:cs="Arial"/>
                <w:sz w:val="20"/>
                <w:szCs w:val="20"/>
              </w:rPr>
              <w:t xml:space="preserve">  No</w:t>
            </w:r>
          </w:p>
        </w:tc>
        <w:tc>
          <w:tcPr>
            <w:tcW w:w="4320" w:type="dxa"/>
          </w:tcPr>
          <w:p w14:paraId="46ED6A7A" w14:textId="77777777" w:rsidR="001D452B" w:rsidRPr="001D452B" w:rsidRDefault="001D452B" w:rsidP="001D452B">
            <w:pPr>
              <w:spacing w:line="276" w:lineRule="auto"/>
              <w:rPr>
                <w:rFonts w:ascii="Arial" w:hAnsi="Arial" w:cs="Arial"/>
                <w:sz w:val="20"/>
                <w:szCs w:val="20"/>
              </w:rPr>
            </w:pPr>
            <w:r w:rsidRPr="001D452B">
              <w:rPr>
                <w:rFonts w:ascii="Arial" w:hAnsi="Arial" w:cs="Arial"/>
                <w:sz w:val="20"/>
                <w:szCs w:val="20"/>
              </w:rPr>
              <w:t>16 (31.4%)</w:t>
            </w:r>
          </w:p>
        </w:tc>
      </w:tr>
      <w:tr w:rsidR="001D452B" w:rsidRPr="001D452B" w14:paraId="58266759" w14:textId="77777777" w:rsidTr="007C2B13">
        <w:tc>
          <w:tcPr>
            <w:tcW w:w="4320" w:type="dxa"/>
          </w:tcPr>
          <w:p w14:paraId="2043FFA6" w14:textId="77777777" w:rsidR="001D452B" w:rsidRPr="001D452B" w:rsidRDefault="001D452B" w:rsidP="001D452B">
            <w:pPr>
              <w:spacing w:line="276" w:lineRule="auto"/>
              <w:rPr>
                <w:rFonts w:ascii="Arial" w:hAnsi="Arial" w:cs="Arial"/>
                <w:sz w:val="20"/>
                <w:szCs w:val="20"/>
              </w:rPr>
            </w:pPr>
            <w:r w:rsidRPr="001D452B">
              <w:rPr>
                <w:rFonts w:ascii="Arial" w:hAnsi="Arial" w:cs="Arial"/>
                <w:sz w:val="20"/>
                <w:szCs w:val="20"/>
              </w:rPr>
              <w:t xml:space="preserve">Most common acute toxicity types </w:t>
            </w:r>
          </w:p>
        </w:tc>
        <w:tc>
          <w:tcPr>
            <w:tcW w:w="4320" w:type="dxa"/>
          </w:tcPr>
          <w:p w14:paraId="6BB349E3" w14:textId="77777777" w:rsidR="001D452B" w:rsidRPr="001D452B" w:rsidRDefault="001D452B" w:rsidP="001D452B">
            <w:pPr>
              <w:spacing w:line="276" w:lineRule="auto"/>
              <w:rPr>
                <w:rFonts w:ascii="Arial" w:hAnsi="Arial" w:cs="Arial"/>
                <w:sz w:val="20"/>
                <w:szCs w:val="20"/>
              </w:rPr>
            </w:pPr>
          </w:p>
        </w:tc>
      </w:tr>
      <w:tr w:rsidR="001D452B" w:rsidRPr="001D452B" w14:paraId="2E2B70F7" w14:textId="77777777" w:rsidTr="007C2B13">
        <w:tc>
          <w:tcPr>
            <w:tcW w:w="4320" w:type="dxa"/>
          </w:tcPr>
          <w:p w14:paraId="5457B219" w14:textId="77777777" w:rsidR="001D452B" w:rsidRPr="001D452B" w:rsidRDefault="001D452B" w:rsidP="001D452B">
            <w:pPr>
              <w:spacing w:line="276" w:lineRule="auto"/>
              <w:rPr>
                <w:rFonts w:ascii="Arial" w:hAnsi="Arial" w:cs="Arial"/>
                <w:sz w:val="20"/>
                <w:szCs w:val="20"/>
              </w:rPr>
            </w:pPr>
            <w:r w:rsidRPr="001D452B">
              <w:rPr>
                <w:rFonts w:ascii="Arial" w:hAnsi="Arial" w:cs="Arial"/>
                <w:sz w:val="20"/>
                <w:szCs w:val="20"/>
              </w:rPr>
              <w:t xml:space="preserve">  </w:t>
            </w:r>
            <w:r w:rsidRPr="006E0E86">
              <w:rPr>
                <w:rFonts w:ascii="Arial" w:hAnsi="Arial" w:cs="Arial"/>
                <w:sz w:val="20"/>
                <w:szCs w:val="20"/>
                <w:highlight w:val="yellow"/>
              </w:rPr>
              <w:t>Dermatitis</w:t>
            </w:r>
          </w:p>
        </w:tc>
        <w:tc>
          <w:tcPr>
            <w:tcW w:w="4320" w:type="dxa"/>
          </w:tcPr>
          <w:p w14:paraId="43585115" w14:textId="77777777" w:rsidR="001D452B" w:rsidRPr="001D452B" w:rsidRDefault="001D452B" w:rsidP="001D452B">
            <w:pPr>
              <w:spacing w:line="276" w:lineRule="auto"/>
              <w:rPr>
                <w:rFonts w:ascii="Arial" w:hAnsi="Arial" w:cs="Arial"/>
                <w:sz w:val="20"/>
                <w:szCs w:val="20"/>
              </w:rPr>
            </w:pPr>
            <w:r w:rsidRPr="001D452B">
              <w:rPr>
                <w:rFonts w:ascii="Arial" w:hAnsi="Arial" w:cs="Arial"/>
                <w:sz w:val="20"/>
                <w:szCs w:val="20"/>
              </w:rPr>
              <w:t>15 (29.4%)</w:t>
            </w:r>
          </w:p>
        </w:tc>
      </w:tr>
      <w:tr w:rsidR="001D452B" w:rsidRPr="001D452B" w14:paraId="768EE61B" w14:textId="77777777" w:rsidTr="007C2B13">
        <w:tc>
          <w:tcPr>
            <w:tcW w:w="4320" w:type="dxa"/>
          </w:tcPr>
          <w:p w14:paraId="53998181" w14:textId="77777777" w:rsidR="001D452B" w:rsidRPr="001D452B" w:rsidRDefault="001D452B" w:rsidP="001D452B">
            <w:pPr>
              <w:spacing w:line="276" w:lineRule="auto"/>
              <w:rPr>
                <w:rFonts w:ascii="Arial" w:hAnsi="Arial" w:cs="Arial"/>
                <w:sz w:val="20"/>
                <w:szCs w:val="20"/>
              </w:rPr>
            </w:pPr>
            <w:r w:rsidRPr="001D452B">
              <w:rPr>
                <w:rFonts w:ascii="Arial" w:hAnsi="Arial" w:cs="Arial"/>
                <w:sz w:val="20"/>
                <w:szCs w:val="20"/>
              </w:rPr>
              <w:t xml:space="preserve">  Fatigue</w:t>
            </w:r>
          </w:p>
        </w:tc>
        <w:tc>
          <w:tcPr>
            <w:tcW w:w="4320" w:type="dxa"/>
          </w:tcPr>
          <w:p w14:paraId="430A2088" w14:textId="77777777" w:rsidR="001D452B" w:rsidRPr="001D452B" w:rsidRDefault="001D452B" w:rsidP="001D452B">
            <w:pPr>
              <w:spacing w:line="276" w:lineRule="auto"/>
              <w:rPr>
                <w:rFonts w:ascii="Arial" w:hAnsi="Arial" w:cs="Arial"/>
                <w:sz w:val="20"/>
                <w:szCs w:val="20"/>
              </w:rPr>
            </w:pPr>
            <w:r w:rsidRPr="001D452B">
              <w:rPr>
                <w:rFonts w:ascii="Arial" w:hAnsi="Arial" w:cs="Arial"/>
                <w:sz w:val="20"/>
                <w:szCs w:val="20"/>
              </w:rPr>
              <w:t>7 (13.7%)</w:t>
            </w:r>
          </w:p>
        </w:tc>
      </w:tr>
      <w:tr w:rsidR="001D452B" w:rsidRPr="001D452B" w14:paraId="496A091A" w14:textId="77777777" w:rsidTr="007C2B13">
        <w:tc>
          <w:tcPr>
            <w:tcW w:w="4320" w:type="dxa"/>
          </w:tcPr>
          <w:p w14:paraId="631E9ECE" w14:textId="77777777" w:rsidR="001D452B" w:rsidRPr="001D452B" w:rsidRDefault="001D452B" w:rsidP="001D452B">
            <w:pPr>
              <w:spacing w:line="276" w:lineRule="auto"/>
              <w:rPr>
                <w:rFonts w:ascii="Arial" w:hAnsi="Arial" w:cs="Arial"/>
                <w:sz w:val="20"/>
                <w:szCs w:val="20"/>
              </w:rPr>
            </w:pPr>
            <w:r w:rsidRPr="001D452B">
              <w:rPr>
                <w:rFonts w:ascii="Arial" w:hAnsi="Arial" w:cs="Arial"/>
                <w:sz w:val="20"/>
                <w:szCs w:val="20"/>
              </w:rPr>
              <w:t xml:space="preserve">  Loss of appetite</w:t>
            </w:r>
          </w:p>
        </w:tc>
        <w:tc>
          <w:tcPr>
            <w:tcW w:w="4320" w:type="dxa"/>
          </w:tcPr>
          <w:p w14:paraId="28BF2E90" w14:textId="77777777" w:rsidR="001D452B" w:rsidRPr="001D452B" w:rsidRDefault="001D452B" w:rsidP="001D452B">
            <w:pPr>
              <w:spacing w:line="276" w:lineRule="auto"/>
              <w:rPr>
                <w:rFonts w:ascii="Arial" w:hAnsi="Arial" w:cs="Arial"/>
                <w:sz w:val="20"/>
                <w:szCs w:val="20"/>
              </w:rPr>
            </w:pPr>
            <w:r w:rsidRPr="001D452B">
              <w:rPr>
                <w:rFonts w:ascii="Arial" w:hAnsi="Arial" w:cs="Arial"/>
                <w:sz w:val="20"/>
                <w:szCs w:val="20"/>
              </w:rPr>
              <w:t>7 (13.7%)</w:t>
            </w:r>
          </w:p>
        </w:tc>
      </w:tr>
      <w:tr w:rsidR="001D452B" w:rsidRPr="001D452B" w14:paraId="2B064F2A" w14:textId="77777777" w:rsidTr="007C2B13">
        <w:tc>
          <w:tcPr>
            <w:tcW w:w="4320" w:type="dxa"/>
          </w:tcPr>
          <w:p w14:paraId="03EC0C88" w14:textId="77777777" w:rsidR="001D452B" w:rsidRPr="001D452B" w:rsidRDefault="001D452B" w:rsidP="001D452B">
            <w:pPr>
              <w:spacing w:line="276" w:lineRule="auto"/>
              <w:rPr>
                <w:rFonts w:ascii="Arial" w:hAnsi="Arial" w:cs="Arial"/>
                <w:sz w:val="20"/>
                <w:szCs w:val="20"/>
              </w:rPr>
            </w:pPr>
            <w:r w:rsidRPr="001D452B">
              <w:rPr>
                <w:rFonts w:ascii="Arial" w:hAnsi="Arial" w:cs="Arial"/>
                <w:sz w:val="20"/>
                <w:szCs w:val="20"/>
              </w:rPr>
              <w:t xml:space="preserve">  </w:t>
            </w:r>
            <w:commentRangeStart w:id="6"/>
            <w:r w:rsidRPr="001D452B">
              <w:rPr>
                <w:rFonts w:ascii="Arial" w:hAnsi="Arial" w:cs="Arial"/>
                <w:sz w:val="20"/>
                <w:szCs w:val="20"/>
              </w:rPr>
              <w:t>Dermatitis</w:t>
            </w:r>
            <w:commentRangeEnd w:id="6"/>
            <w:r w:rsidR="006E0E86">
              <w:rPr>
                <w:rStyle w:val="CommentReference"/>
                <w:rFonts w:ascii="Times New Roman" w:eastAsia="Times New Roman" w:hAnsi="Times New Roman"/>
                <w:lang w:val="nb-NO" w:eastAsia="nb-NO"/>
              </w:rPr>
              <w:commentReference w:id="6"/>
            </w:r>
          </w:p>
        </w:tc>
        <w:tc>
          <w:tcPr>
            <w:tcW w:w="4320" w:type="dxa"/>
          </w:tcPr>
          <w:p w14:paraId="11A967F8" w14:textId="77777777" w:rsidR="001D452B" w:rsidRPr="001D452B" w:rsidRDefault="001D452B" w:rsidP="001D452B">
            <w:pPr>
              <w:spacing w:line="276" w:lineRule="auto"/>
              <w:rPr>
                <w:rFonts w:ascii="Arial" w:hAnsi="Arial" w:cs="Arial"/>
                <w:sz w:val="20"/>
                <w:szCs w:val="20"/>
              </w:rPr>
            </w:pPr>
            <w:r w:rsidRPr="001D452B">
              <w:rPr>
                <w:rFonts w:ascii="Arial" w:hAnsi="Arial" w:cs="Arial"/>
                <w:sz w:val="20"/>
                <w:szCs w:val="20"/>
              </w:rPr>
              <w:t>6 (11. 8%)</w:t>
            </w:r>
          </w:p>
        </w:tc>
      </w:tr>
    </w:tbl>
    <w:p w14:paraId="2C17CF55" w14:textId="77777777" w:rsidR="001D452B" w:rsidRPr="001D452B" w:rsidRDefault="001D452B" w:rsidP="001D452B">
      <w:pPr>
        <w:spacing w:line="276" w:lineRule="auto"/>
        <w:jc w:val="both"/>
        <w:rPr>
          <w:rFonts w:ascii="Arial" w:hAnsi="Arial" w:cs="Arial"/>
          <w:vertAlign w:val="superscript"/>
        </w:rPr>
      </w:pPr>
      <w:r w:rsidRPr="001D452B">
        <w:rPr>
          <w:rFonts w:ascii="Arial" w:hAnsi="Arial" w:cs="Arial"/>
          <w:vertAlign w:val="superscript"/>
        </w:rPr>
        <w:t>OS= overall survival, DFS= disease-free survival</w:t>
      </w:r>
    </w:p>
    <w:p w14:paraId="2879B7E3" w14:textId="77777777" w:rsidR="001D452B" w:rsidRPr="001D452B" w:rsidRDefault="001D452B" w:rsidP="001D452B">
      <w:pPr>
        <w:spacing w:line="276" w:lineRule="auto"/>
        <w:jc w:val="both"/>
        <w:rPr>
          <w:rFonts w:ascii="Arial" w:hAnsi="Arial" w:cs="Arial"/>
        </w:rPr>
      </w:pPr>
      <w:r w:rsidRPr="001D452B">
        <w:rPr>
          <w:rFonts w:ascii="Arial" w:hAnsi="Arial" w:cs="Arial"/>
        </w:rPr>
        <w:t xml:space="preserve">Univariate Cox proportional hazards analysis identified several factors significantly associated with OS. Higher radiotherapy dose was associated with improved OS (HR 0.84 per Gy increase; 95% CI 0.77-0.93; P = .001). The use of advanced radiotherapy techniques demonstrated a significant survival benefit compared with conventional techniques (HR 0.03; </w:t>
      </w:r>
      <w:r w:rsidRPr="001D452B">
        <w:rPr>
          <w:rFonts w:ascii="Arial" w:hAnsi="Arial" w:cs="Arial"/>
        </w:rPr>
        <w:lastRenderedPageBreak/>
        <w:t xml:space="preserve">95% CI 0.0-0.28; P = .002). Complete surgical resection of the primary </w:t>
      </w:r>
      <w:proofErr w:type="spellStart"/>
      <w:r w:rsidRPr="001D452B">
        <w:rPr>
          <w:rFonts w:ascii="Arial" w:hAnsi="Arial" w:cs="Arial"/>
        </w:rPr>
        <w:t>tumour</w:t>
      </w:r>
      <w:proofErr w:type="spellEnd"/>
      <w:r w:rsidRPr="001D452B">
        <w:rPr>
          <w:rFonts w:ascii="Arial" w:hAnsi="Arial" w:cs="Arial"/>
        </w:rPr>
        <w:t xml:space="preserve"> was also associated with improved OS (HR 0.08; 95% CI 0.01-0.64; P= .018).</w:t>
      </w:r>
    </w:p>
    <w:p w14:paraId="6090484B" w14:textId="77777777" w:rsidR="001D452B" w:rsidRPr="001D452B" w:rsidRDefault="001D452B" w:rsidP="001D452B">
      <w:pPr>
        <w:spacing w:before="100" w:beforeAutospacing="1" w:after="100" w:afterAutospacing="1" w:line="276" w:lineRule="auto"/>
        <w:jc w:val="both"/>
        <w:rPr>
          <w:rFonts w:ascii="Arial" w:hAnsi="Arial" w:cs="Arial"/>
        </w:rPr>
      </w:pPr>
      <w:r w:rsidRPr="001D452B">
        <w:rPr>
          <w:rFonts w:ascii="Arial" w:hAnsi="Arial" w:cs="Arial"/>
          <w:lang w:eastAsia="en-IN"/>
        </w:rPr>
        <w:t xml:space="preserve">On univariate Cox proportional hazards analysis, increasing radiotherapy dose, </w:t>
      </w:r>
      <w:proofErr w:type="spellStart"/>
      <w:r w:rsidRPr="001D452B">
        <w:rPr>
          <w:rFonts w:ascii="Arial" w:hAnsi="Arial" w:cs="Arial"/>
          <w:lang w:eastAsia="en-IN"/>
        </w:rPr>
        <w:t>analysed</w:t>
      </w:r>
      <w:proofErr w:type="spellEnd"/>
      <w:r w:rsidRPr="001D452B">
        <w:rPr>
          <w:rFonts w:ascii="Arial" w:hAnsi="Arial" w:cs="Arial"/>
          <w:lang w:eastAsia="en-IN"/>
        </w:rPr>
        <w:t xml:space="preserve"> as a continuous variable per Gy, was significantly associated with improved DFS (HR 0.87 per Gy increase; 95% CI 0.82–0.92; P =.001). Similarly, surgical resection (HR 0.11; 95% CI 0.03–0.40; P= .001), </w:t>
      </w:r>
      <w:proofErr w:type="spellStart"/>
      <w:r w:rsidRPr="001D452B">
        <w:rPr>
          <w:rFonts w:ascii="Arial" w:hAnsi="Arial" w:cs="Arial"/>
          <w:lang w:eastAsia="en-IN"/>
        </w:rPr>
        <w:t>utilisation</w:t>
      </w:r>
      <w:proofErr w:type="spellEnd"/>
      <w:r w:rsidRPr="001D452B">
        <w:rPr>
          <w:rFonts w:ascii="Arial" w:hAnsi="Arial" w:cs="Arial"/>
          <w:lang w:eastAsia="en-IN"/>
        </w:rPr>
        <w:t xml:space="preserve"> of advanced radiotherapy techniques (HR 0.05; 95% CI 0.01–0.17; P=.001), and combined-modality treatment (radiotherapy plus other modalities versus radiotherapy alone) (HR 0.06; 95% CI 0.02–0.21; P</w:t>
      </w:r>
      <w:r w:rsidRPr="001D452B">
        <w:rPr>
          <w:rFonts w:ascii="Arial" w:hAnsi="Arial" w:cs="Arial"/>
          <w:i/>
          <w:iCs/>
          <w:lang w:eastAsia="en-IN"/>
        </w:rPr>
        <w:t>=</w:t>
      </w:r>
      <w:r w:rsidRPr="001D452B">
        <w:rPr>
          <w:rFonts w:ascii="Arial" w:hAnsi="Arial" w:cs="Arial"/>
          <w:lang w:eastAsia="en-IN"/>
        </w:rPr>
        <w:t xml:space="preserve"> .001) were each significantly associated with superior disease-free survival. In contrast, age (HR 1.01; 95% CI 0.96–1.06; P= 0.74), and sex (HR 0.56; 95% CI 0.21–1.44; P= 0.23) were not significantly associated with disease-free survival on univariate analysis. </w:t>
      </w:r>
      <w:r w:rsidRPr="001D452B">
        <w:rPr>
          <w:rFonts w:ascii="Arial" w:hAnsi="Arial" w:cs="Arial"/>
        </w:rPr>
        <w:t>There was no recurrence in 66.7% of the patients. 27.5% patients had metastatic recurrence, and 5.9% had local recurrence in the follow- up period.</w:t>
      </w:r>
    </w:p>
    <w:p w14:paraId="1A32545E" w14:textId="77777777" w:rsidR="001D452B" w:rsidRPr="001D452B" w:rsidRDefault="001D452B" w:rsidP="001D452B">
      <w:pPr>
        <w:spacing w:before="100" w:beforeAutospacing="1" w:after="100" w:afterAutospacing="1" w:line="276" w:lineRule="auto"/>
        <w:jc w:val="both"/>
        <w:rPr>
          <w:rFonts w:ascii="Arial" w:hAnsi="Arial" w:cs="Arial"/>
        </w:rPr>
      </w:pPr>
      <w:r w:rsidRPr="001D452B">
        <w:rPr>
          <w:rFonts w:ascii="Arial" w:hAnsi="Arial" w:cs="Arial"/>
        </w:rPr>
        <w:t xml:space="preserve">Acute grade 1–2 toxicities occurred in 68.6% of the cohort. The most common was dermatitis (29.4%), followed by fatigue (13.7%). No grade 3 or higher toxicity was documented. </w:t>
      </w:r>
    </w:p>
    <w:p w14:paraId="3B497141" w14:textId="77777777" w:rsidR="001D452B" w:rsidRPr="001D452B" w:rsidRDefault="001D452B" w:rsidP="001D452B">
      <w:pPr>
        <w:spacing w:line="276" w:lineRule="auto"/>
        <w:jc w:val="both"/>
        <w:rPr>
          <w:rFonts w:ascii="Arial" w:hAnsi="Arial" w:cs="Arial"/>
        </w:rPr>
      </w:pPr>
      <w:commentRangeStart w:id="7"/>
      <w:r w:rsidRPr="001D452B">
        <w:rPr>
          <w:rFonts w:ascii="Arial" w:hAnsi="Arial" w:cs="Arial"/>
        </w:rPr>
        <w:t>In our single-</w:t>
      </w:r>
      <w:proofErr w:type="spellStart"/>
      <w:r w:rsidRPr="001D452B">
        <w:rPr>
          <w:rFonts w:ascii="Arial" w:hAnsi="Arial" w:cs="Arial"/>
        </w:rPr>
        <w:t>centre</w:t>
      </w:r>
      <w:proofErr w:type="spellEnd"/>
      <w:r w:rsidRPr="001D452B">
        <w:rPr>
          <w:rFonts w:ascii="Arial" w:hAnsi="Arial" w:cs="Arial"/>
        </w:rPr>
        <w:t xml:space="preserve"> cohort of 51 patients with </w:t>
      </w:r>
      <w:r w:rsidRPr="003615D7">
        <w:rPr>
          <w:rFonts w:ascii="Arial" w:hAnsi="Arial" w:cs="Arial"/>
          <w:highlight w:val="yellow"/>
        </w:rPr>
        <w:t>Ewing’s</w:t>
      </w:r>
      <w:r w:rsidRPr="001D452B">
        <w:rPr>
          <w:rFonts w:ascii="Arial" w:hAnsi="Arial" w:cs="Arial"/>
        </w:rPr>
        <w:t xml:space="preserve"> sarcoma, radiotherapy emerged as a central determinant of disease control within a multimodality framework. With a 2-year OS of 75% and local control achieved in 72.5% of patients, our outcomes align with previously reported institutional and cooperative group experiences in predominantly </w:t>
      </w:r>
      <w:proofErr w:type="spellStart"/>
      <w:r w:rsidRPr="001D452B">
        <w:rPr>
          <w:rFonts w:ascii="Arial" w:hAnsi="Arial" w:cs="Arial"/>
        </w:rPr>
        <w:t>localised</w:t>
      </w:r>
      <w:proofErr w:type="spellEnd"/>
      <w:r w:rsidRPr="001D452B">
        <w:rPr>
          <w:rFonts w:ascii="Arial" w:hAnsi="Arial" w:cs="Arial"/>
        </w:rPr>
        <w:t xml:space="preserve"> disease settings [7,9,14]. Although direct comparison is limited by heterogeneity in stage distribution and follow-up duration, these findings reaffirm that </w:t>
      </w:r>
      <w:commentRangeEnd w:id="7"/>
      <w:r w:rsidR="003615D7">
        <w:rPr>
          <w:rStyle w:val="CommentReference"/>
          <w:rFonts w:ascii="Times New Roman" w:hAnsi="Times New Roman"/>
          <w:lang w:val="nb-NO" w:eastAsia="nb-NO"/>
        </w:rPr>
        <w:commentReference w:id="7"/>
      </w:r>
      <w:r w:rsidRPr="001D452B">
        <w:rPr>
          <w:rFonts w:ascii="Arial" w:hAnsi="Arial" w:cs="Arial"/>
        </w:rPr>
        <w:t>modern radiotherapy remains foundational in achieving durable remission.</w:t>
      </w:r>
    </w:p>
    <w:p w14:paraId="0B8AAA9A" w14:textId="77777777" w:rsidR="001D452B" w:rsidRPr="001D452B" w:rsidRDefault="001D452B" w:rsidP="001D452B">
      <w:pPr>
        <w:spacing w:line="276" w:lineRule="auto"/>
        <w:jc w:val="both"/>
        <w:rPr>
          <w:rFonts w:ascii="Arial" w:hAnsi="Arial" w:cs="Arial"/>
        </w:rPr>
      </w:pPr>
      <w:r w:rsidRPr="001D452B">
        <w:rPr>
          <w:rFonts w:ascii="Arial" w:hAnsi="Arial" w:cs="Arial"/>
        </w:rPr>
        <w:t xml:space="preserve">Metastatic disease at presentation remained the dominant adverse prognostic factor in our cohort, consistent with data from the Euro-EWING 99 and Children’s Oncology Group trials [4,7]. In our study, more than half of patients with metastatic disease who received palliative radiotherapy died within 24 months, underscoring the biological aggressiveness of disseminated </w:t>
      </w:r>
      <w:r w:rsidRPr="003615D7">
        <w:rPr>
          <w:rFonts w:ascii="Arial" w:hAnsi="Arial" w:cs="Arial"/>
          <w:highlight w:val="yellow"/>
        </w:rPr>
        <w:t>Ewing’s</w:t>
      </w:r>
      <w:r w:rsidRPr="001D452B">
        <w:rPr>
          <w:rFonts w:ascii="Arial" w:hAnsi="Arial" w:cs="Arial"/>
        </w:rPr>
        <w:t xml:space="preserve"> sarcoma. </w:t>
      </w:r>
    </w:p>
    <w:p w14:paraId="61BF7D35" w14:textId="77777777" w:rsidR="001D452B" w:rsidRPr="001D452B" w:rsidRDefault="001D452B" w:rsidP="001D452B">
      <w:pPr>
        <w:spacing w:line="276" w:lineRule="auto"/>
        <w:jc w:val="both"/>
        <w:rPr>
          <w:rFonts w:ascii="Arial" w:hAnsi="Arial" w:cs="Arial"/>
        </w:rPr>
      </w:pPr>
      <w:r w:rsidRPr="001D452B">
        <w:rPr>
          <w:rFonts w:ascii="Arial" w:hAnsi="Arial" w:cs="Arial"/>
        </w:rPr>
        <w:t>The pattern of metastatic spread observed in our research—mainly affecting the central nervous system and bones—shows some variation from traditional accounts that highlight lung and bone marrow involvement as being more common. [4]. This may reflect referral patterns or imaging practices in our region. Nonetheless, the significance of metastatic disease in prognosis is clear. It emphasizes the necessity for risk-adapted intensification strategies and novel systemic approaches in this subgroup.</w:t>
      </w:r>
    </w:p>
    <w:p w14:paraId="0A333AFD" w14:textId="77777777" w:rsidR="001D452B" w:rsidRPr="001D452B" w:rsidRDefault="001D452B" w:rsidP="001D452B">
      <w:pPr>
        <w:spacing w:line="276" w:lineRule="auto"/>
        <w:jc w:val="both"/>
        <w:rPr>
          <w:rFonts w:ascii="Arial" w:hAnsi="Arial" w:cs="Arial"/>
        </w:rPr>
      </w:pPr>
      <w:r w:rsidRPr="001D452B">
        <w:rPr>
          <w:rFonts w:ascii="Arial" w:hAnsi="Arial" w:cs="Arial"/>
        </w:rPr>
        <w:t>One of the most striking findings of this analysis is the statistically significant association between higher radiotherapy dose and improved overall and disease-free survival. Each incremental Gy was associated with a measurable reduction in hazard for both endpoints. While retrospective in nature, this dose–response signal aligns with prior reports suggesting superior local control with doses ≥45–50 Gy in definitive settings [9,15].</w:t>
      </w:r>
    </w:p>
    <w:p w14:paraId="6A6AC27E" w14:textId="77777777" w:rsidR="001D452B" w:rsidRPr="001D452B" w:rsidRDefault="001D452B" w:rsidP="001D452B">
      <w:pPr>
        <w:spacing w:line="276" w:lineRule="auto"/>
        <w:jc w:val="both"/>
        <w:rPr>
          <w:rFonts w:ascii="Arial" w:hAnsi="Arial" w:cs="Arial"/>
        </w:rPr>
      </w:pPr>
      <w:r w:rsidRPr="001D452B">
        <w:rPr>
          <w:rFonts w:ascii="Arial" w:hAnsi="Arial" w:cs="Arial"/>
        </w:rPr>
        <w:t xml:space="preserve">From a radiobiological perspective, </w:t>
      </w:r>
      <w:r w:rsidRPr="008E0466">
        <w:rPr>
          <w:rFonts w:ascii="Arial" w:hAnsi="Arial" w:cs="Arial"/>
          <w:highlight w:val="yellow"/>
        </w:rPr>
        <w:t>Ewing’s</w:t>
      </w:r>
      <w:r w:rsidRPr="001D452B">
        <w:rPr>
          <w:rFonts w:ascii="Arial" w:hAnsi="Arial" w:cs="Arial"/>
        </w:rPr>
        <w:t xml:space="preserve"> sarcoma is generally considered radiosensitive; however, local failure remains a concern in bulky or poorly responding </w:t>
      </w:r>
      <w:proofErr w:type="spellStart"/>
      <w:r w:rsidRPr="001D452B">
        <w:rPr>
          <w:rFonts w:ascii="Arial" w:hAnsi="Arial" w:cs="Arial"/>
        </w:rPr>
        <w:t>tumours</w:t>
      </w:r>
      <w:proofErr w:type="spellEnd"/>
      <w:r w:rsidRPr="001D452B">
        <w:rPr>
          <w:rFonts w:ascii="Arial" w:hAnsi="Arial" w:cs="Arial"/>
        </w:rPr>
        <w:t>, and total dose escalation may compensate for residual burden after chemotherapy. Importantly, in our cohort, definitive cases received up to 55.8 Gy, which may have contributed to durable control in anatomically challenging sites such as the spine.</w:t>
      </w:r>
    </w:p>
    <w:p w14:paraId="1CB439A9" w14:textId="77777777" w:rsidR="001D452B" w:rsidRPr="001D452B" w:rsidRDefault="001D452B" w:rsidP="001D452B">
      <w:pPr>
        <w:spacing w:line="276" w:lineRule="auto"/>
        <w:jc w:val="both"/>
        <w:rPr>
          <w:rFonts w:ascii="Arial" w:hAnsi="Arial" w:cs="Arial"/>
        </w:rPr>
      </w:pPr>
      <w:r w:rsidRPr="001D452B">
        <w:rPr>
          <w:rFonts w:ascii="Arial" w:hAnsi="Arial" w:cs="Arial"/>
        </w:rPr>
        <w:lastRenderedPageBreak/>
        <w:t xml:space="preserve">However, the observed association between dose and survival may partly reflect treatment selection bias: patients eligible for higher curative doses were likely to have </w:t>
      </w:r>
      <w:proofErr w:type="spellStart"/>
      <w:r w:rsidRPr="001D452B">
        <w:rPr>
          <w:rFonts w:ascii="Arial" w:hAnsi="Arial" w:cs="Arial"/>
        </w:rPr>
        <w:t>localised</w:t>
      </w:r>
      <w:proofErr w:type="spellEnd"/>
      <w:r w:rsidRPr="001D452B">
        <w:rPr>
          <w:rFonts w:ascii="Arial" w:hAnsi="Arial" w:cs="Arial"/>
        </w:rPr>
        <w:t xml:space="preserve"> disease and better performance status. Prospective validation is required before advocating routine dose escalation beyond established standards.</w:t>
      </w:r>
    </w:p>
    <w:p w14:paraId="4914D2B9" w14:textId="77777777" w:rsidR="001D452B" w:rsidRPr="001D452B" w:rsidRDefault="001D452B" w:rsidP="001D452B">
      <w:pPr>
        <w:spacing w:line="276" w:lineRule="auto"/>
        <w:jc w:val="both"/>
        <w:rPr>
          <w:rFonts w:ascii="Arial" w:hAnsi="Arial" w:cs="Arial"/>
        </w:rPr>
      </w:pPr>
      <w:r w:rsidRPr="001D452B">
        <w:rPr>
          <w:rFonts w:ascii="Arial" w:hAnsi="Arial" w:cs="Arial"/>
        </w:rPr>
        <w:t xml:space="preserve">Modern conformal techniques enable improved planning target volume coverage, reduction of high-dose spillage into adjacent organs at risk, and better sparing of growth plates, spinal cord, bowel, and gonadal structures. The use of the advanced VMAT technique demonstrated a profound association with improved survival outcomes in univariate analysis. Despite the clinical rationale of this observation, it must be interpreted within the context of sample size and potential confounding. </w:t>
      </w:r>
    </w:p>
    <w:p w14:paraId="3EE4E43D" w14:textId="77777777" w:rsidR="001D452B" w:rsidRPr="001D452B" w:rsidRDefault="001D452B" w:rsidP="001D452B">
      <w:pPr>
        <w:spacing w:line="276" w:lineRule="auto"/>
        <w:jc w:val="both"/>
        <w:rPr>
          <w:rFonts w:ascii="Arial" w:hAnsi="Arial" w:cs="Arial"/>
        </w:rPr>
      </w:pPr>
      <w:r w:rsidRPr="001D452B">
        <w:rPr>
          <w:rFonts w:ascii="Arial" w:hAnsi="Arial" w:cs="Arial"/>
        </w:rPr>
        <w:t xml:space="preserve">Prior studies have demonstrated improved </w:t>
      </w:r>
      <w:proofErr w:type="spellStart"/>
      <w:r w:rsidRPr="001D452B">
        <w:rPr>
          <w:rFonts w:ascii="Arial" w:hAnsi="Arial" w:cs="Arial"/>
        </w:rPr>
        <w:t>dosimetric</w:t>
      </w:r>
      <w:proofErr w:type="spellEnd"/>
      <w:r w:rsidRPr="001D452B">
        <w:rPr>
          <w:rFonts w:ascii="Arial" w:hAnsi="Arial" w:cs="Arial"/>
        </w:rPr>
        <w:t xml:space="preserve"> conformity and acceptable toxicity profiles with IMRT in </w:t>
      </w:r>
      <w:r w:rsidRPr="008E0466">
        <w:rPr>
          <w:rFonts w:ascii="Arial" w:hAnsi="Arial" w:cs="Arial"/>
          <w:highlight w:val="yellow"/>
        </w:rPr>
        <w:t>Ewing’s</w:t>
      </w:r>
      <w:r w:rsidRPr="001D452B">
        <w:rPr>
          <w:rFonts w:ascii="Arial" w:hAnsi="Arial" w:cs="Arial"/>
        </w:rPr>
        <w:t xml:space="preserve"> sarcoma, particularly for pelvic and axial primaries [10,16]. In anatomically complex regions, such as the spine and supraclavicular fossa in our cohort, VMAT facilitates homogeneous dose distribution while respecting the spinal cord. Additionally, advanced techniques could allow for the safe dose increment, thus strengthening the noted dose–response relationship.</w:t>
      </w:r>
    </w:p>
    <w:p w14:paraId="6E14DA9D" w14:textId="77777777" w:rsidR="001D452B" w:rsidRPr="001D452B" w:rsidRDefault="001D452B" w:rsidP="001D452B">
      <w:pPr>
        <w:spacing w:line="276" w:lineRule="auto"/>
        <w:jc w:val="both"/>
        <w:rPr>
          <w:rFonts w:ascii="Arial" w:hAnsi="Arial" w:cs="Arial"/>
        </w:rPr>
      </w:pPr>
      <w:r w:rsidRPr="001D452B">
        <w:rPr>
          <w:rFonts w:ascii="Arial" w:hAnsi="Arial" w:cs="Arial"/>
        </w:rPr>
        <w:t xml:space="preserve">Surgical resection was significantly associated with improved overall and disease-free survival in our analysis. This observation strengthens the accepted understanding that optimal outcomes in </w:t>
      </w:r>
      <w:r w:rsidRPr="008E0466">
        <w:rPr>
          <w:rFonts w:ascii="Arial" w:hAnsi="Arial" w:cs="Arial"/>
          <w:highlight w:val="yellow"/>
        </w:rPr>
        <w:t>Ewing's</w:t>
      </w:r>
      <w:r w:rsidRPr="001D452B">
        <w:rPr>
          <w:rFonts w:ascii="Arial" w:hAnsi="Arial" w:cs="Arial"/>
        </w:rPr>
        <w:t xml:space="preserve"> sarcoma are achieved with multimodality management. [7,9].</w:t>
      </w:r>
    </w:p>
    <w:p w14:paraId="3113ACCD" w14:textId="77777777" w:rsidR="001D452B" w:rsidRPr="001D452B" w:rsidRDefault="001D452B" w:rsidP="001D452B">
      <w:pPr>
        <w:spacing w:line="276" w:lineRule="auto"/>
        <w:jc w:val="both"/>
        <w:rPr>
          <w:rFonts w:ascii="Arial" w:hAnsi="Arial" w:cs="Arial"/>
        </w:rPr>
      </w:pPr>
      <w:r w:rsidRPr="001D452B">
        <w:rPr>
          <w:rFonts w:ascii="Arial" w:hAnsi="Arial" w:cs="Arial"/>
        </w:rPr>
        <w:t xml:space="preserve">Surgery offers several advantages, including immediate cytoreduction, histopathological response assessment, and margin status evaluation. The combination of surgery and adjuvant radiotherapy demonstrated </w:t>
      </w:r>
      <w:proofErr w:type="spellStart"/>
      <w:r w:rsidRPr="001D452B">
        <w:rPr>
          <w:rFonts w:ascii="Arial" w:hAnsi="Arial" w:cs="Arial"/>
        </w:rPr>
        <w:t>favourable</w:t>
      </w:r>
      <w:proofErr w:type="spellEnd"/>
      <w:r w:rsidRPr="001D452B">
        <w:rPr>
          <w:rFonts w:ascii="Arial" w:hAnsi="Arial" w:cs="Arial"/>
        </w:rPr>
        <w:t xml:space="preserve"> DFS compared with radiotherapy alone, reflecting the importance of consolidative local therapy in high-risk features such as positive margins or suboptimal histologic response.</w:t>
      </w:r>
    </w:p>
    <w:p w14:paraId="5AD90060" w14:textId="77777777" w:rsidR="001D452B" w:rsidRPr="001D452B" w:rsidRDefault="001D452B" w:rsidP="001D452B">
      <w:pPr>
        <w:spacing w:line="276" w:lineRule="auto"/>
        <w:jc w:val="both"/>
        <w:rPr>
          <w:rFonts w:ascii="Arial" w:hAnsi="Arial" w:cs="Arial"/>
        </w:rPr>
      </w:pPr>
      <w:r w:rsidRPr="001D452B">
        <w:rPr>
          <w:rFonts w:ascii="Arial" w:hAnsi="Arial" w:cs="Arial"/>
        </w:rPr>
        <w:t xml:space="preserve">In select cases, extracorporeal radiotherapy can be employed to </w:t>
      </w:r>
      <w:proofErr w:type="spellStart"/>
      <w:r w:rsidRPr="001D452B">
        <w:rPr>
          <w:rFonts w:ascii="Arial" w:hAnsi="Arial" w:cs="Arial"/>
        </w:rPr>
        <w:t>sterilise</w:t>
      </w:r>
      <w:proofErr w:type="spellEnd"/>
      <w:r w:rsidRPr="001D452B">
        <w:rPr>
          <w:rFonts w:ascii="Arial" w:hAnsi="Arial" w:cs="Arial"/>
        </w:rPr>
        <w:t xml:space="preserve"> the entire resected bone segment before reimplantation. Though limited to a single patient in this cohort, this approach exemplifies innovation in limb-preserving strategies. </w:t>
      </w:r>
    </w:p>
    <w:p w14:paraId="51F03CCA" w14:textId="77777777" w:rsidR="001D452B" w:rsidRPr="001D452B" w:rsidRDefault="001D452B" w:rsidP="001D452B">
      <w:pPr>
        <w:spacing w:line="276" w:lineRule="auto"/>
        <w:jc w:val="both"/>
        <w:rPr>
          <w:rFonts w:ascii="Arial" w:hAnsi="Arial" w:cs="Arial"/>
        </w:rPr>
      </w:pPr>
      <w:r w:rsidRPr="001D452B">
        <w:rPr>
          <w:rFonts w:ascii="Arial" w:hAnsi="Arial" w:cs="Arial"/>
        </w:rPr>
        <w:t xml:space="preserve">Acute toxicities were predominantly grade 1–2, with dermatitis and fatigue being the most common. No grade ≥3 acute events or significant late toxicities were documented during follow-up. These findings are consistent with modern series </w:t>
      </w:r>
      <w:proofErr w:type="spellStart"/>
      <w:r w:rsidRPr="001D452B">
        <w:rPr>
          <w:rFonts w:ascii="Arial" w:hAnsi="Arial" w:cs="Arial"/>
        </w:rPr>
        <w:t>utilising</w:t>
      </w:r>
      <w:proofErr w:type="spellEnd"/>
      <w:r w:rsidRPr="001D452B">
        <w:rPr>
          <w:rFonts w:ascii="Arial" w:hAnsi="Arial" w:cs="Arial"/>
        </w:rPr>
        <w:t xml:space="preserve"> conformal planning [10,16]. However, the median follow-up of 28 months limits assessment of late effects, particularly relevant in </w:t>
      </w:r>
      <w:proofErr w:type="spellStart"/>
      <w:r w:rsidRPr="001D452B">
        <w:rPr>
          <w:rFonts w:ascii="Arial" w:hAnsi="Arial" w:cs="Arial"/>
        </w:rPr>
        <w:t>paediatric</w:t>
      </w:r>
      <w:proofErr w:type="spellEnd"/>
      <w:r w:rsidRPr="001D452B">
        <w:rPr>
          <w:rFonts w:ascii="Arial" w:hAnsi="Arial" w:cs="Arial"/>
        </w:rPr>
        <w:t xml:space="preserve"> cases, and vigilant toxicity monitoring remains essential.</w:t>
      </w:r>
    </w:p>
    <w:p w14:paraId="0858EA07" w14:textId="77777777" w:rsidR="001D452B" w:rsidRPr="001D452B" w:rsidRDefault="001D452B" w:rsidP="001D452B">
      <w:pPr>
        <w:spacing w:line="276" w:lineRule="auto"/>
        <w:jc w:val="both"/>
        <w:rPr>
          <w:rFonts w:ascii="Arial" w:hAnsi="Arial" w:cs="Arial"/>
        </w:rPr>
      </w:pPr>
      <w:r w:rsidRPr="001D452B">
        <w:rPr>
          <w:rFonts w:ascii="Arial" w:hAnsi="Arial" w:cs="Arial"/>
        </w:rPr>
        <w:t>Our 2-year overall survival of 75% aligns closely with the results seen in interval-compressed chemotherapy regimens for localized disease [7]. The poor survival in metastatic patients mirrors international data demonstrating &lt;30% 5-year survival in disseminated disease [4,8].</w:t>
      </w:r>
    </w:p>
    <w:p w14:paraId="5616BD72" w14:textId="77777777" w:rsidR="001D452B" w:rsidRPr="001D452B" w:rsidRDefault="001D452B" w:rsidP="001D452B">
      <w:pPr>
        <w:spacing w:line="276" w:lineRule="auto"/>
        <w:jc w:val="both"/>
        <w:rPr>
          <w:rFonts w:ascii="Arial" w:hAnsi="Arial" w:cs="Arial"/>
        </w:rPr>
      </w:pPr>
      <w:r w:rsidRPr="001D452B">
        <w:rPr>
          <w:rFonts w:ascii="Arial" w:hAnsi="Arial" w:cs="Arial"/>
        </w:rPr>
        <w:t xml:space="preserve">The local control rate of 72.5% slightly lower compared to results observed in radiotherapy-based series [9,14]. Differences may reflect anatomical distribution as our cohort included a notable proportion of axial and vertebral </w:t>
      </w:r>
      <w:proofErr w:type="spellStart"/>
      <w:r w:rsidRPr="001D452B">
        <w:rPr>
          <w:rFonts w:ascii="Arial" w:hAnsi="Arial" w:cs="Arial"/>
        </w:rPr>
        <w:t>tumours</w:t>
      </w:r>
      <w:proofErr w:type="spellEnd"/>
      <w:r w:rsidRPr="001D452B">
        <w:rPr>
          <w:rFonts w:ascii="Arial" w:hAnsi="Arial" w:cs="Arial"/>
        </w:rPr>
        <w:t>, traditionally associated with higher local failure risk.</w:t>
      </w:r>
    </w:p>
    <w:p w14:paraId="416EB361" w14:textId="77777777" w:rsidR="001D452B" w:rsidRPr="001D452B" w:rsidRDefault="001D452B" w:rsidP="001D452B">
      <w:pPr>
        <w:spacing w:line="276" w:lineRule="auto"/>
        <w:jc w:val="both"/>
        <w:rPr>
          <w:rFonts w:ascii="Arial" w:hAnsi="Arial" w:cs="Arial"/>
        </w:rPr>
      </w:pPr>
      <w:r w:rsidRPr="001D452B">
        <w:rPr>
          <w:rFonts w:ascii="Arial" w:hAnsi="Arial" w:cs="Arial"/>
        </w:rPr>
        <w:t xml:space="preserve">Molecularly targeted therapies and immunotherapeutic strategies aimed at disrupting EWSR1–FLI1-driven oncogenesis </w:t>
      </w:r>
      <w:proofErr w:type="gramStart"/>
      <w:r w:rsidRPr="001D452B">
        <w:rPr>
          <w:rFonts w:ascii="Arial" w:hAnsi="Arial" w:cs="Arial"/>
        </w:rPr>
        <w:t>are</w:t>
      </w:r>
      <w:proofErr w:type="gramEnd"/>
      <w:r w:rsidRPr="001D452B">
        <w:rPr>
          <w:rFonts w:ascii="Arial" w:hAnsi="Arial" w:cs="Arial"/>
        </w:rPr>
        <w:t xml:space="preserve"> under investigation [1,17]. Future integration of targeted systemic agents could potentially alter survival rates more significantly than improvements in local treatment alone.</w:t>
      </w:r>
    </w:p>
    <w:p w14:paraId="4EE45878" w14:textId="77777777" w:rsidR="001D452B" w:rsidRPr="001D452B" w:rsidRDefault="001D452B" w:rsidP="001D452B">
      <w:pPr>
        <w:spacing w:line="276" w:lineRule="auto"/>
        <w:jc w:val="both"/>
        <w:rPr>
          <w:rFonts w:ascii="Arial" w:hAnsi="Arial" w:cs="Arial"/>
        </w:rPr>
      </w:pPr>
      <w:r w:rsidRPr="001D452B">
        <w:rPr>
          <w:rFonts w:ascii="Arial" w:hAnsi="Arial" w:cs="Arial"/>
        </w:rPr>
        <w:t xml:space="preserve">There are several limitations in our study. The retrospective design introduces inherent selection bias and potential confounding. The sample size limits multivariate analysis, and the </w:t>
      </w:r>
      <w:r w:rsidRPr="001D452B">
        <w:rPr>
          <w:rFonts w:ascii="Arial" w:hAnsi="Arial" w:cs="Arial"/>
        </w:rPr>
        <w:lastRenderedPageBreak/>
        <w:t>short follow-up precludes assessment of late toxicity and long-term survival. Additionally, heterogeneity in treatment intent among cases may influence survival interpretation.</w:t>
      </w:r>
    </w:p>
    <w:p w14:paraId="2922D155" w14:textId="77777777" w:rsidR="001D452B" w:rsidRPr="001D452B" w:rsidRDefault="001D452B" w:rsidP="001D452B">
      <w:pPr>
        <w:spacing w:line="276" w:lineRule="auto"/>
        <w:jc w:val="both"/>
        <w:rPr>
          <w:rFonts w:ascii="Arial" w:hAnsi="Arial" w:cs="Arial"/>
        </w:rPr>
      </w:pPr>
      <w:r w:rsidRPr="001D452B">
        <w:rPr>
          <w:rFonts w:ascii="Arial" w:hAnsi="Arial" w:cs="Arial"/>
        </w:rPr>
        <w:t>The pronounced hazard ratios observed for some variables are not precise effect estimates as they reflect small event numbers. Rather, they signal the direction of association.</w:t>
      </w:r>
    </w:p>
    <w:p w14:paraId="37C56646" w14:textId="77777777" w:rsidR="001D452B" w:rsidRPr="001D452B" w:rsidRDefault="001D452B" w:rsidP="001D452B">
      <w:pPr>
        <w:spacing w:line="276" w:lineRule="auto"/>
        <w:jc w:val="both"/>
        <w:rPr>
          <w:rFonts w:ascii="Arial" w:hAnsi="Arial" w:cs="Arial"/>
        </w:rPr>
      </w:pPr>
      <w:r w:rsidRPr="001D452B">
        <w:rPr>
          <w:rFonts w:ascii="Arial" w:hAnsi="Arial" w:cs="Arial"/>
        </w:rPr>
        <w:t xml:space="preserve">Prospective </w:t>
      </w:r>
      <w:proofErr w:type="spellStart"/>
      <w:r w:rsidRPr="001D452B">
        <w:rPr>
          <w:rFonts w:ascii="Arial" w:hAnsi="Arial" w:cs="Arial"/>
        </w:rPr>
        <w:t>multicentre</w:t>
      </w:r>
      <w:proofErr w:type="spellEnd"/>
      <w:r w:rsidRPr="001D452B">
        <w:rPr>
          <w:rFonts w:ascii="Arial" w:hAnsi="Arial" w:cs="Arial"/>
        </w:rPr>
        <w:t xml:space="preserve"> registries incorporating molecular risk stratification and </w:t>
      </w:r>
      <w:proofErr w:type="spellStart"/>
      <w:r w:rsidRPr="001D452B">
        <w:rPr>
          <w:rFonts w:ascii="Arial" w:hAnsi="Arial" w:cs="Arial"/>
        </w:rPr>
        <w:t>standardised</w:t>
      </w:r>
      <w:proofErr w:type="spellEnd"/>
      <w:r w:rsidRPr="001D452B">
        <w:rPr>
          <w:rFonts w:ascii="Arial" w:hAnsi="Arial" w:cs="Arial"/>
        </w:rPr>
        <w:t xml:space="preserve"> radiotherapy protocols are needed. </w:t>
      </w:r>
      <w:proofErr w:type="spellStart"/>
      <w:r w:rsidRPr="001D452B">
        <w:rPr>
          <w:rFonts w:ascii="Arial" w:hAnsi="Arial" w:cs="Arial"/>
        </w:rPr>
        <w:t>Randomised</w:t>
      </w:r>
      <w:proofErr w:type="spellEnd"/>
      <w:r w:rsidRPr="001D452B">
        <w:rPr>
          <w:rFonts w:ascii="Arial" w:hAnsi="Arial" w:cs="Arial"/>
        </w:rPr>
        <w:t xml:space="preserve"> evaluation of dose intensification strategies or integration of novel systemic agents could refine treatment algorithms.</w:t>
      </w:r>
    </w:p>
    <w:p w14:paraId="2AF14E58" w14:textId="77777777" w:rsidR="001D452B" w:rsidRPr="001D452B" w:rsidRDefault="001D452B" w:rsidP="001D452B">
      <w:pPr>
        <w:spacing w:line="276" w:lineRule="auto"/>
        <w:jc w:val="both"/>
        <w:rPr>
          <w:rFonts w:ascii="Arial" w:hAnsi="Arial" w:cs="Arial"/>
        </w:rPr>
      </w:pPr>
      <w:r w:rsidRPr="001D452B">
        <w:rPr>
          <w:rFonts w:ascii="Arial" w:hAnsi="Arial" w:cs="Arial"/>
        </w:rPr>
        <w:t xml:space="preserve">As survival improves, the burden of late toxicity and quality-of-life outcomes becomes increasingly relevant, particularly in young patients, </w:t>
      </w:r>
      <w:commentRangeStart w:id="8"/>
      <w:r w:rsidRPr="001D452B">
        <w:rPr>
          <w:rFonts w:ascii="Arial" w:hAnsi="Arial" w:cs="Arial"/>
        </w:rPr>
        <w:t>so</w:t>
      </w:r>
      <w:commentRangeEnd w:id="8"/>
      <w:r w:rsidR="008E0466">
        <w:rPr>
          <w:rStyle w:val="CommentReference"/>
          <w:rFonts w:ascii="Times New Roman" w:hAnsi="Times New Roman"/>
          <w:lang w:val="nb-NO" w:eastAsia="nb-NO"/>
        </w:rPr>
        <w:commentReference w:id="8"/>
      </w:r>
      <w:r w:rsidRPr="001D452B">
        <w:rPr>
          <w:rFonts w:ascii="Arial" w:hAnsi="Arial" w:cs="Arial"/>
        </w:rPr>
        <w:t xml:space="preserve"> survivorship research must remain a priority. </w:t>
      </w:r>
    </w:p>
    <w:p w14:paraId="687F2AB3" w14:textId="77777777" w:rsidR="00E053D0" w:rsidRDefault="00E053D0" w:rsidP="00441B6F">
      <w:pPr>
        <w:pStyle w:val="Body"/>
        <w:spacing w:after="0"/>
        <w:rPr>
          <w:rFonts w:ascii="Arial" w:hAnsi="Arial" w:cs="Arial"/>
        </w:rPr>
      </w:pPr>
    </w:p>
    <w:p w14:paraId="719613A7" w14:textId="77777777" w:rsidR="00790ADA" w:rsidRPr="00FB3A86" w:rsidRDefault="00790ADA" w:rsidP="00441B6F">
      <w:pPr>
        <w:pStyle w:val="Body"/>
        <w:spacing w:after="0"/>
        <w:rPr>
          <w:rFonts w:ascii="Arial" w:hAnsi="Arial" w:cs="Arial"/>
        </w:rPr>
      </w:pPr>
    </w:p>
    <w:p w14:paraId="257CECD3"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4961792" w14:textId="77777777" w:rsidR="00790ADA" w:rsidRPr="00FB3A86" w:rsidRDefault="00790ADA" w:rsidP="00441B6F">
      <w:pPr>
        <w:pStyle w:val="ConcHead"/>
        <w:spacing w:after="0"/>
        <w:jc w:val="both"/>
        <w:rPr>
          <w:rFonts w:ascii="Arial" w:hAnsi="Arial" w:cs="Arial"/>
        </w:rPr>
      </w:pPr>
    </w:p>
    <w:p w14:paraId="28CD16DC" w14:textId="77777777" w:rsidR="00924AE7" w:rsidRPr="00924AE7" w:rsidRDefault="00924AE7" w:rsidP="00924AE7">
      <w:pPr>
        <w:spacing w:line="276" w:lineRule="auto"/>
        <w:jc w:val="both"/>
        <w:rPr>
          <w:rFonts w:ascii="Arial" w:hAnsi="Arial" w:cs="Arial"/>
        </w:rPr>
      </w:pPr>
      <w:r w:rsidRPr="00924AE7">
        <w:rPr>
          <w:rFonts w:ascii="Arial" w:hAnsi="Arial" w:cs="Arial"/>
        </w:rPr>
        <w:t xml:space="preserve">Our findings support the significant role of radiotherapy in </w:t>
      </w:r>
      <w:r w:rsidRPr="008E0466">
        <w:rPr>
          <w:rFonts w:ascii="Arial" w:hAnsi="Arial" w:cs="Arial"/>
          <w:highlight w:val="yellow"/>
        </w:rPr>
        <w:t>Ewing’s</w:t>
      </w:r>
      <w:r w:rsidRPr="00924AE7">
        <w:rPr>
          <w:rFonts w:ascii="Arial" w:hAnsi="Arial" w:cs="Arial"/>
        </w:rPr>
        <w:t xml:space="preserve"> sarcoma. While metastatic disease at diagnosis remains the dominant adverse prognostic factor, meticulous </w:t>
      </w:r>
      <w:proofErr w:type="spellStart"/>
      <w:r w:rsidRPr="00924AE7">
        <w:rPr>
          <w:rFonts w:ascii="Arial" w:hAnsi="Arial" w:cs="Arial"/>
        </w:rPr>
        <w:t>optimisation</w:t>
      </w:r>
      <w:proofErr w:type="spellEnd"/>
      <w:r w:rsidRPr="00924AE7">
        <w:rPr>
          <w:rFonts w:ascii="Arial" w:hAnsi="Arial" w:cs="Arial"/>
        </w:rPr>
        <w:t xml:space="preserve"> of local therapy through appropriate dose, advanced delivery techniques, and coordinated surgical integration shows promising associations with improved outcomes. However, confirmation in larger prospective studies is necessary. </w:t>
      </w:r>
    </w:p>
    <w:p w14:paraId="1FC94872" w14:textId="77777777" w:rsidR="00315186" w:rsidRPr="00315186" w:rsidRDefault="00315186" w:rsidP="00441B6F"/>
    <w:p w14:paraId="07ECFC82" w14:textId="77777777" w:rsidR="00315186" w:rsidRPr="00315186" w:rsidRDefault="00315186" w:rsidP="00441B6F"/>
    <w:p w14:paraId="789FAD26" w14:textId="77777777" w:rsidR="00EC617C" w:rsidRPr="00EC617C" w:rsidRDefault="00EC617C" w:rsidP="00EC617C">
      <w:pPr>
        <w:spacing w:after="200" w:line="276" w:lineRule="auto"/>
        <w:rPr>
          <w:rFonts w:ascii="Arial" w:eastAsiaTheme="minorEastAsia" w:hAnsi="Arial" w:cs="Arial"/>
          <w:b/>
          <w:bCs/>
          <w:sz w:val="22"/>
          <w:szCs w:val="22"/>
          <w:lang w:val="en-GB" w:eastAsia="en-GB"/>
        </w:rPr>
      </w:pPr>
      <w:r w:rsidRPr="00EC617C">
        <w:rPr>
          <w:rFonts w:ascii="Arial" w:eastAsiaTheme="minorEastAsia" w:hAnsi="Arial" w:cs="Arial"/>
          <w:b/>
          <w:bCs/>
          <w:sz w:val="22"/>
          <w:szCs w:val="22"/>
          <w:lang w:val="en-GB" w:eastAsia="en-GB"/>
        </w:rPr>
        <w:t>COMPETING INTERESTS DISCLAIMER:</w:t>
      </w:r>
    </w:p>
    <w:p w14:paraId="20C285C4" w14:textId="77777777" w:rsidR="00EC617C" w:rsidRPr="00EC617C" w:rsidRDefault="00EC617C" w:rsidP="00EC617C">
      <w:pPr>
        <w:spacing w:after="200" w:line="276" w:lineRule="auto"/>
        <w:rPr>
          <w:rFonts w:asciiTheme="minorHAnsi" w:eastAsiaTheme="minorEastAsia" w:hAnsiTheme="minorHAnsi" w:cstheme="minorBidi"/>
          <w:sz w:val="22"/>
          <w:szCs w:val="22"/>
          <w:lang w:val="en-GB" w:eastAsia="en-GB"/>
        </w:rPr>
      </w:pPr>
      <w:r w:rsidRPr="00EC617C">
        <w:rPr>
          <w:rFonts w:ascii="Arial" w:eastAsiaTheme="minorEastAsia" w:hAnsi="Arial" w:cs="Arial"/>
          <w:sz w:val="22"/>
          <w:szCs w:val="22"/>
          <w:lang w:val="en-GB" w:eastAsia="en-GB"/>
        </w:rPr>
        <w:t>Authors have declared that they have no known competing financial interests OR non-financial interests OR personal relationships that could have appeared to influence the work reported in this paper.</w:t>
      </w:r>
    </w:p>
    <w:p w14:paraId="577478E4" w14:textId="3BD28BDD" w:rsidR="00A402C8" w:rsidRDefault="00A402C8" w:rsidP="00A402C8">
      <w:pPr>
        <w:pStyle w:val="ReferHead"/>
        <w:spacing w:after="0"/>
        <w:jc w:val="both"/>
        <w:rPr>
          <w:rFonts w:ascii="Arial" w:hAnsi="Arial" w:cs="Arial"/>
          <w:b w:val="0"/>
          <w:caps w:val="0"/>
          <w:sz w:val="20"/>
          <w:u w:val="single"/>
        </w:rPr>
      </w:pPr>
    </w:p>
    <w:p w14:paraId="3DF62F56" w14:textId="77777777" w:rsidR="00A402C8" w:rsidRDefault="00A402C8" w:rsidP="00A402C8">
      <w:pPr>
        <w:pStyle w:val="ReferHead"/>
        <w:spacing w:after="0"/>
        <w:jc w:val="both"/>
        <w:rPr>
          <w:rFonts w:ascii="Arial" w:hAnsi="Arial" w:cs="Arial"/>
          <w:b w:val="0"/>
          <w:caps w:val="0"/>
          <w:sz w:val="20"/>
          <w:u w:val="single"/>
        </w:rPr>
      </w:pPr>
    </w:p>
    <w:p w14:paraId="5212A871" w14:textId="61FDB80E" w:rsidR="00E33848" w:rsidRDefault="00B01FCD" w:rsidP="00E33848">
      <w:pPr>
        <w:pStyle w:val="ReferHead"/>
        <w:spacing w:after="0"/>
        <w:jc w:val="both"/>
        <w:rPr>
          <w:rFonts w:ascii="Arial" w:hAnsi="Arial" w:cs="Arial"/>
        </w:rPr>
      </w:pPr>
      <w:r w:rsidRPr="00FB3A86">
        <w:rPr>
          <w:rFonts w:ascii="Arial" w:hAnsi="Arial" w:cs="Arial"/>
        </w:rPr>
        <w:t>References</w:t>
      </w:r>
    </w:p>
    <w:p w14:paraId="6475D054" w14:textId="77777777" w:rsidR="00E33848" w:rsidRPr="00E33848" w:rsidRDefault="00E33848" w:rsidP="00E33848">
      <w:pPr>
        <w:pStyle w:val="ReferHead"/>
        <w:spacing w:after="0"/>
        <w:jc w:val="both"/>
        <w:rPr>
          <w:rFonts w:ascii="Arial" w:hAnsi="Arial" w:cs="Arial"/>
        </w:rPr>
      </w:pPr>
    </w:p>
    <w:p w14:paraId="30D4D589" w14:textId="77777777" w:rsidR="00E33848" w:rsidRPr="00E33848" w:rsidRDefault="00E33848" w:rsidP="00E33848">
      <w:pPr>
        <w:numPr>
          <w:ilvl w:val="0"/>
          <w:numId w:val="31"/>
        </w:numPr>
        <w:spacing w:after="160" w:line="276" w:lineRule="auto"/>
        <w:jc w:val="both"/>
        <w:rPr>
          <w:rFonts w:ascii="Arial" w:hAnsi="Arial" w:cs="Arial"/>
        </w:rPr>
      </w:pPr>
      <w:r w:rsidRPr="00C7137C">
        <w:rPr>
          <w:rFonts w:ascii="Arial" w:hAnsi="Arial" w:cs="Arial"/>
          <w:lang w:val="fr-FR"/>
        </w:rPr>
        <w:t>Grünewald TGP, Cidre-</w:t>
      </w:r>
      <w:proofErr w:type="spellStart"/>
      <w:r w:rsidRPr="00C7137C">
        <w:rPr>
          <w:rFonts w:ascii="Arial" w:hAnsi="Arial" w:cs="Arial"/>
          <w:lang w:val="fr-FR"/>
        </w:rPr>
        <w:t>Aranaz</w:t>
      </w:r>
      <w:proofErr w:type="spellEnd"/>
      <w:r w:rsidRPr="00C7137C">
        <w:rPr>
          <w:rFonts w:ascii="Arial" w:hAnsi="Arial" w:cs="Arial"/>
          <w:lang w:val="fr-FR"/>
        </w:rPr>
        <w:t xml:space="preserve"> F, </w:t>
      </w:r>
      <w:proofErr w:type="spellStart"/>
      <w:r w:rsidRPr="00C7137C">
        <w:rPr>
          <w:rFonts w:ascii="Arial" w:hAnsi="Arial" w:cs="Arial"/>
          <w:lang w:val="fr-FR"/>
        </w:rPr>
        <w:t>Surdez</w:t>
      </w:r>
      <w:proofErr w:type="spellEnd"/>
      <w:r w:rsidRPr="00C7137C">
        <w:rPr>
          <w:rFonts w:ascii="Arial" w:hAnsi="Arial" w:cs="Arial"/>
          <w:lang w:val="fr-FR"/>
        </w:rPr>
        <w:t xml:space="preserve"> D, et al. </w:t>
      </w:r>
      <w:r w:rsidRPr="00E33848">
        <w:rPr>
          <w:rFonts w:ascii="Arial" w:hAnsi="Arial" w:cs="Arial"/>
        </w:rPr>
        <w:t xml:space="preserve">Ewing sarcoma. Nat Rev Dis Primers. </w:t>
      </w:r>
      <w:proofErr w:type="gramStart"/>
      <w:r w:rsidRPr="00E33848">
        <w:rPr>
          <w:rFonts w:ascii="Arial" w:hAnsi="Arial" w:cs="Arial"/>
        </w:rPr>
        <w:t>2018;4:5</w:t>
      </w:r>
      <w:proofErr w:type="gramEnd"/>
      <w:r w:rsidRPr="00E33848">
        <w:rPr>
          <w:rFonts w:ascii="Arial" w:hAnsi="Arial" w:cs="Arial"/>
        </w:rPr>
        <w:t>.</w:t>
      </w:r>
    </w:p>
    <w:p w14:paraId="7010C47B" w14:textId="77777777" w:rsidR="00E33848" w:rsidRPr="00E33848" w:rsidRDefault="00E33848" w:rsidP="00E33848">
      <w:pPr>
        <w:numPr>
          <w:ilvl w:val="0"/>
          <w:numId w:val="31"/>
        </w:numPr>
        <w:spacing w:after="160" w:line="276" w:lineRule="auto"/>
        <w:jc w:val="both"/>
        <w:rPr>
          <w:rFonts w:ascii="Arial" w:hAnsi="Arial" w:cs="Arial"/>
        </w:rPr>
      </w:pPr>
      <w:r w:rsidRPr="00C7137C">
        <w:rPr>
          <w:rFonts w:ascii="Arial" w:hAnsi="Arial" w:cs="Arial"/>
          <w:lang w:val="nl-BE"/>
        </w:rPr>
        <w:t xml:space="preserve">Gaspar N, Hawkins DS, Dirksen U, et al. </w:t>
      </w:r>
      <w:r w:rsidRPr="00E33848">
        <w:rPr>
          <w:rFonts w:ascii="Arial" w:hAnsi="Arial" w:cs="Arial"/>
        </w:rPr>
        <w:t xml:space="preserve">Ewing sarcoma: Current management. J Clin Oncol. </w:t>
      </w:r>
      <w:proofErr w:type="gramStart"/>
      <w:r w:rsidRPr="00E33848">
        <w:rPr>
          <w:rFonts w:ascii="Arial" w:hAnsi="Arial" w:cs="Arial"/>
        </w:rPr>
        <w:t>2015;33:3036</w:t>
      </w:r>
      <w:proofErr w:type="gramEnd"/>
      <w:r w:rsidRPr="00E33848">
        <w:rPr>
          <w:rFonts w:ascii="Arial" w:hAnsi="Arial" w:cs="Arial"/>
        </w:rPr>
        <w:t>–3046.</w:t>
      </w:r>
    </w:p>
    <w:p w14:paraId="4E4E891C" w14:textId="77777777" w:rsidR="00E33848" w:rsidRPr="00E33848" w:rsidRDefault="00E33848" w:rsidP="00E33848">
      <w:pPr>
        <w:numPr>
          <w:ilvl w:val="0"/>
          <w:numId w:val="31"/>
        </w:numPr>
        <w:spacing w:after="160" w:line="276" w:lineRule="auto"/>
        <w:jc w:val="both"/>
        <w:rPr>
          <w:rFonts w:ascii="Arial" w:hAnsi="Arial" w:cs="Arial"/>
        </w:rPr>
      </w:pPr>
      <w:proofErr w:type="spellStart"/>
      <w:r w:rsidRPr="00E33848">
        <w:rPr>
          <w:rFonts w:ascii="Arial" w:hAnsi="Arial" w:cs="Arial"/>
        </w:rPr>
        <w:t>Balamuth</w:t>
      </w:r>
      <w:proofErr w:type="spellEnd"/>
      <w:r w:rsidRPr="00E33848">
        <w:rPr>
          <w:rFonts w:ascii="Arial" w:hAnsi="Arial" w:cs="Arial"/>
        </w:rPr>
        <w:t xml:space="preserve"> NJ, </w:t>
      </w:r>
      <w:proofErr w:type="spellStart"/>
      <w:r w:rsidRPr="00E33848">
        <w:rPr>
          <w:rFonts w:ascii="Arial" w:hAnsi="Arial" w:cs="Arial"/>
        </w:rPr>
        <w:t>Womer</w:t>
      </w:r>
      <w:proofErr w:type="spellEnd"/>
      <w:r w:rsidRPr="00E33848">
        <w:rPr>
          <w:rFonts w:ascii="Arial" w:hAnsi="Arial" w:cs="Arial"/>
        </w:rPr>
        <w:t xml:space="preserve"> RB. Ewing’s sarcoma. Lancet Oncol. </w:t>
      </w:r>
      <w:proofErr w:type="gramStart"/>
      <w:r w:rsidRPr="00E33848">
        <w:rPr>
          <w:rFonts w:ascii="Arial" w:hAnsi="Arial" w:cs="Arial"/>
        </w:rPr>
        <w:t>2010;11:184</w:t>
      </w:r>
      <w:proofErr w:type="gramEnd"/>
      <w:r w:rsidRPr="00E33848">
        <w:rPr>
          <w:rFonts w:ascii="Arial" w:hAnsi="Arial" w:cs="Arial"/>
        </w:rPr>
        <w:t>–192.</w:t>
      </w:r>
    </w:p>
    <w:p w14:paraId="35EEDCB3" w14:textId="77777777" w:rsidR="00E33848" w:rsidRPr="00E33848" w:rsidRDefault="00E33848" w:rsidP="00E33848">
      <w:pPr>
        <w:numPr>
          <w:ilvl w:val="0"/>
          <w:numId w:val="31"/>
        </w:numPr>
        <w:spacing w:after="160" w:line="276" w:lineRule="auto"/>
        <w:jc w:val="both"/>
        <w:rPr>
          <w:rFonts w:ascii="Arial" w:hAnsi="Arial" w:cs="Arial"/>
        </w:rPr>
      </w:pPr>
      <w:r w:rsidRPr="00C7137C">
        <w:rPr>
          <w:rFonts w:ascii="Arial" w:hAnsi="Arial" w:cs="Arial"/>
          <w:lang w:val="nl-BE"/>
        </w:rPr>
        <w:t xml:space="preserve">Ladenstein R, Pötschger U, Le Deley MC, et al. </w:t>
      </w:r>
      <w:r w:rsidRPr="00E33848">
        <w:rPr>
          <w:rFonts w:ascii="Arial" w:hAnsi="Arial" w:cs="Arial"/>
        </w:rPr>
        <w:t xml:space="preserve">Euro-EWING 99 trial. J Clin Oncol. </w:t>
      </w:r>
      <w:proofErr w:type="gramStart"/>
      <w:r w:rsidRPr="00E33848">
        <w:rPr>
          <w:rFonts w:ascii="Arial" w:hAnsi="Arial" w:cs="Arial"/>
        </w:rPr>
        <w:t>2010;28:3284</w:t>
      </w:r>
      <w:proofErr w:type="gramEnd"/>
      <w:r w:rsidRPr="00E33848">
        <w:rPr>
          <w:rFonts w:ascii="Arial" w:hAnsi="Arial" w:cs="Arial"/>
        </w:rPr>
        <w:t>–3291.</w:t>
      </w:r>
    </w:p>
    <w:p w14:paraId="27959D97" w14:textId="77777777" w:rsidR="00E33848" w:rsidRPr="00E33848" w:rsidRDefault="00E33848" w:rsidP="00E33848">
      <w:pPr>
        <w:numPr>
          <w:ilvl w:val="0"/>
          <w:numId w:val="31"/>
        </w:numPr>
        <w:spacing w:after="160" w:line="276" w:lineRule="auto"/>
        <w:jc w:val="both"/>
        <w:rPr>
          <w:rFonts w:ascii="Arial" w:hAnsi="Arial" w:cs="Arial"/>
        </w:rPr>
      </w:pPr>
      <w:r w:rsidRPr="00E33848">
        <w:rPr>
          <w:rFonts w:ascii="Arial" w:hAnsi="Arial" w:cs="Arial"/>
        </w:rPr>
        <w:t xml:space="preserve">Leavey PJ, Mascarenhas L, Marina N, et al. Prognostic factors at recurrence. </w:t>
      </w:r>
      <w:proofErr w:type="spellStart"/>
      <w:r w:rsidRPr="00E33848">
        <w:rPr>
          <w:rFonts w:ascii="Arial" w:hAnsi="Arial" w:cs="Arial"/>
        </w:rPr>
        <w:t>Pediatr</w:t>
      </w:r>
      <w:proofErr w:type="spellEnd"/>
      <w:r w:rsidRPr="00E33848">
        <w:rPr>
          <w:rFonts w:ascii="Arial" w:hAnsi="Arial" w:cs="Arial"/>
        </w:rPr>
        <w:t xml:space="preserve"> Blood Cancer. </w:t>
      </w:r>
      <w:proofErr w:type="gramStart"/>
      <w:r w:rsidRPr="00E33848">
        <w:rPr>
          <w:rFonts w:ascii="Arial" w:hAnsi="Arial" w:cs="Arial"/>
        </w:rPr>
        <w:t>2008;51:334</w:t>
      </w:r>
      <w:proofErr w:type="gramEnd"/>
      <w:r w:rsidRPr="00E33848">
        <w:rPr>
          <w:rFonts w:ascii="Arial" w:hAnsi="Arial" w:cs="Arial"/>
        </w:rPr>
        <w:t>–338.</w:t>
      </w:r>
    </w:p>
    <w:p w14:paraId="31CB662D" w14:textId="77777777" w:rsidR="00E33848" w:rsidRPr="00E33848" w:rsidRDefault="00E33848" w:rsidP="00E33848">
      <w:pPr>
        <w:numPr>
          <w:ilvl w:val="0"/>
          <w:numId w:val="31"/>
        </w:numPr>
        <w:spacing w:after="160" w:line="276" w:lineRule="auto"/>
        <w:jc w:val="both"/>
        <w:rPr>
          <w:rFonts w:ascii="Arial" w:hAnsi="Arial" w:cs="Arial"/>
        </w:rPr>
      </w:pPr>
      <w:r w:rsidRPr="00C7137C">
        <w:rPr>
          <w:rFonts w:ascii="Arial" w:hAnsi="Arial" w:cs="Arial"/>
          <w:lang w:val="nl-BE"/>
        </w:rPr>
        <w:t xml:space="preserve">Nesbit ME, Gehan EA, Burgert EO, et al. </w:t>
      </w:r>
      <w:r w:rsidRPr="00E33848">
        <w:rPr>
          <w:rFonts w:ascii="Arial" w:hAnsi="Arial" w:cs="Arial"/>
        </w:rPr>
        <w:t xml:space="preserve">Multimodal therapy trials. Cancer. </w:t>
      </w:r>
      <w:proofErr w:type="gramStart"/>
      <w:r w:rsidRPr="00E33848">
        <w:rPr>
          <w:rFonts w:ascii="Arial" w:hAnsi="Arial" w:cs="Arial"/>
        </w:rPr>
        <w:t>1990;65:157</w:t>
      </w:r>
      <w:proofErr w:type="gramEnd"/>
      <w:r w:rsidRPr="00E33848">
        <w:rPr>
          <w:rFonts w:ascii="Arial" w:hAnsi="Arial" w:cs="Arial"/>
        </w:rPr>
        <w:t>–164.</w:t>
      </w:r>
    </w:p>
    <w:p w14:paraId="631B884A" w14:textId="77777777" w:rsidR="00E33848" w:rsidRPr="00E33848" w:rsidRDefault="00E33848" w:rsidP="00E33848">
      <w:pPr>
        <w:numPr>
          <w:ilvl w:val="0"/>
          <w:numId w:val="31"/>
        </w:numPr>
        <w:spacing w:after="160" w:line="276" w:lineRule="auto"/>
        <w:jc w:val="both"/>
        <w:rPr>
          <w:rFonts w:ascii="Arial" w:hAnsi="Arial" w:cs="Arial"/>
        </w:rPr>
      </w:pPr>
      <w:r w:rsidRPr="00E33848">
        <w:rPr>
          <w:rFonts w:ascii="Arial" w:hAnsi="Arial" w:cs="Arial"/>
        </w:rPr>
        <w:t xml:space="preserve">Womer RB, West DC, </w:t>
      </w:r>
      <w:proofErr w:type="spellStart"/>
      <w:r w:rsidRPr="00E33848">
        <w:rPr>
          <w:rFonts w:ascii="Arial" w:hAnsi="Arial" w:cs="Arial"/>
        </w:rPr>
        <w:t>Krailo</w:t>
      </w:r>
      <w:proofErr w:type="spellEnd"/>
      <w:r w:rsidRPr="00E33848">
        <w:rPr>
          <w:rFonts w:ascii="Arial" w:hAnsi="Arial" w:cs="Arial"/>
        </w:rPr>
        <w:t xml:space="preserve"> MD, et al. Interval-compressed chemotherapy. J Clin Oncol. </w:t>
      </w:r>
      <w:proofErr w:type="gramStart"/>
      <w:r w:rsidRPr="00E33848">
        <w:rPr>
          <w:rFonts w:ascii="Arial" w:hAnsi="Arial" w:cs="Arial"/>
        </w:rPr>
        <w:t>2012;30:4148</w:t>
      </w:r>
      <w:proofErr w:type="gramEnd"/>
      <w:r w:rsidRPr="00E33848">
        <w:rPr>
          <w:rFonts w:ascii="Arial" w:hAnsi="Arial" w:cs="Arial"/>
        </w:rPr>
        <w:t>–4154.</w:t>
      </w:r>
    </w:p>
    <w:p w14:paraId="324864B6" w14:textId="77777777" w:rsidR="00E33848" w:rsidRPr="00E33848" w:rsidRDefault="00E33848" w:rsidP="00E33848">
      <w:pPr>
        <w:numPr>
          <w:ilvl w:val="0"/>
          <w:numId w:val="31"/>
        </w:numPr>
        <w:spacing w:after="160" w:line="276" w:lineRule="auto"/>
        <w:jc w:val="both"/>
        <w:rPr>
          <w:rFonts w:ascii="Arial" w:hAnsi="Arial" w:cs="Arial"/>
        </w:rPr>
      </w:pPr>
      <w:r w:rsidRPr="00E33848">
        <w:rPr>
          <w:rFonts w:ascii="Arial" w:hAnsi="Arial" w:cs="Arial"/>
        </w:rPr>
        <w:lastRenderedPageBreak/>
        <w:t xml:space="preserve">Bernstein ML, Devidas M, Lawrence W, et al. Metastatic Ewing tumor study. J Clin Oncol. </w:t>
      </w:r>
      <w:proofErr w:type="gramStart"/>
      <w:r w:rsidRPr="00E33848">
        <w:rPr>
          <w:rFonts w:ascii="Arial" w:hAnsi="Arial" w:cs="Arial"/>
        </w:rPr>
        <w:t>2006;24:152</w:t>
      </w:r>
      <w:proofErr w:type="gramEnd"/>
      <w:r w:rsidRPr="00E33848">
        <w:rPr>
          <w:rFonts w:ascii="Arial" w:hAnsi="Arial" w:cs="Arial"/>
        </w:rPr>
        <w:t>–159.</w:t>
      </w:r>
    </w:p>
    <w:p w14:paraId="1E4C6E30" w14:textId="77777777" w:rsidR="00E33848" w:rsidRPr="00E33848" w:rsidRDefault="00E33848" w:rsidP="00E33848">
      <w:pPr>
        <w:numPr>
          <w:ilvl w:val="0"/>
          <w:numId w:val="31"/>
        </w:numPr>
        <w:spacing w:after="160" w:line="276" w:lineRule="auto"/>
        <w:jc w:val="both"/>
        <w:rPr>
          <w:rFonts w:ascii="Arial" w:hAnsi="Arial" w:cs="Arial"/>
        </w:rPr>
      </w:pPr>
      <w:r w:rsidRPr="00C7137C">
        <w:rPr>
          <w:rFonts w:ascii="Arial" w:hAnsi="Arial" w:cs="Arial"/>
          <w:lang w:val="nl-BE"/>
        </w:rPr>
        <w:t xml:space="preserve">Paulussen M, Ahrens S, Dunst J, et al. </w:t>
      </w:r>
      <w:r w:rsidRPr="00E33848">
        <w:rPr>
          <w:rFonts w:ascii="Arial" w:hAnsi="Arial" w:cs="Arial"/>
        </w:rPr>
        <w:t xml:space="preserve">Role of radiotherapy. Int J </w:t>
      </w:r>
      <w:proofErr w:type="spellStart"/>
      <w:r w:rsidRPr="00E33848">
        <w:rPr>
          <w:rFonts w:ascii="Arial" w:hAnsi="Arial" w:cs="Arial"/>
        </w:rPr>
        <w:t>Radiat</w:t>
      </w:r>
      <w:proofErr w:type="spellEnd"/>
      <w:r w:rsidRPr="00E33848">
        <w:rPr>
          <w:rFonts w:ascii="Arial" w:hAnsi="Arial" w:cs="Arial"/>
        </w:rPr>
        <w:t xml:space="preserve"> Oncol Biol Phys. </w:t>
      </w:r>
      <w:proofErr w:type="gramStart"/>
      <w:r w:rsidRPr="00E33848">
        <w:rPr>
          <w:rFonts w:ascii="Arial" w:hAnsi="Arial" w:cs="Arial"/>
        </w:rPr>
        <w:t>2001;51:948</w:t>
      </w:r>
      <w:proofErr w:type="gramEnd"/>
      <w:r w:rsidRPr="00E33848">
        <w:rPr>
          <w:rFonts w:ascii="Arial" w:hAnsi="Arial" w:cs="Arial"/>
        </w:rPr>
        <w:t>–958.</w:t>
      </w:r>
    </w:p>
    <w:p w14:paraId="752BF9A2" w14:textId="77777777" w:rsidR="00E33848" w:rsidRPr="00E33848" w:rsidRDefault="00E33848" w:rsidP="00E33848">
      <w:pPr>
        <w:numPr>
          <w:ilvl w:val="0"/>
          <w:numId w:val="31"/>
        </w:numPr>
        <w:spacing w:after="160" w:line="276" w:lineRule="auto"/>
        <w:jc w:val="both"/>
        <w:rPr>
          <w:rFonts w:ascii="Arial" w:hAnsi="Arial" w:cs="Arial"/>
        </w:rPr>
      </w:pPr>
      <w:r w:rsidRPr="00E33848">
        <w:rPr>
          <w:rFonts w:ascii="Arial" w:hAnsi="Arial" w:cs="Arial"/>
        </w:rPr>
        <w:t xml:space="preserve">Casey DL, Wexler LH, Moskowitz CS, et al. Radiotherapy outcomes. Int J </w:t>
      </w:r>
      <w:proofErr w:type="spellStart"/>
      <w:r w:rsidRPr="00E33848">
        <w:rPr>
          <w:rFonts w:ascii="Arial" w:hAnsi="Arial" w:cs="Arial"/>
        </w:rPr>
        <w:t>Radiat</w:t>
      </w:r>
      <w:proofErr w:type="spellEnd"/>
      <w:r w:rsidRPr="00E33848">
        <w:rPr>
          <w:rFonts w:ascii="Arial" w:hAnsi="Arial" w:cs="Arial"/>
        </w:rPr>
        <w:t xml:space="preserve"> Oncol Biol Phys. </w:t>
      </w:r>
      <w:proofErr w:type="gramStart"/>
      <w:r w:rsidRPr="00E33848">
        <w:rPr>
          <w:rFonts w:ascii="Arial" w:hAnsi="Arial" w:cs="Arial"/>
        </w:rPr>
        <w:t>2009;74:1141</w:t>
      </w:r>
      <w:proofErr w:type="gramEnd"/>
      <w:r w:rsidRPr="00E33848">
        <w:rPr>
          <w:rFonts w:ascii="Arial" w:hAnsi="Arial" w:cs="Arial"/>
        </w:rPr>
        <w:t>–1146.</w:t>
      </w:r>
    </w:p>
    <w:p w14:paraId="33149FA8" w14:textId="77777777" w:rsidR="00E33848" w:rsidRPr="00E33848" w:rsidRDefault="00E33848" w:rsidP="00E33848">
      <w:pPr>
        <w:numPr>
          <w:ilvl w:val="0"/>
          <w:numId w:val="31"/>
        </w:numPr>
        <w:spacing w:after="160" w:line="276" w:lineRule="auto"/>
        <w:jc w:val="both"/>
        <w:rPr>
          <w:rFonts w:ascii="Arial" w:hAnsi="Arial" w:cs="Arial"/>
        </w:rPr>
      </w:pPr>
      <w:r w:rsidRPr="00E33848">
        <w:rPr>
          <w:rFonts w:ascii="Arial" w:hAnsi="Arial" w:cs="Arial"/>
        </w:rPr>
        <w:t xml:space="preserve">Timmermann B, et al. Modern radiotherapy planning. </w:t>
      </w:r>
      <w:proofErr w:type="spellStart"/>
      <w:r w:rsidRPr="00E33848">
        <w:rPr>
          <w:rFonts w:ascii="Arial" w:hAnsi="Arial" w:cs="Arial"/>
        </w:rPr>
        <w:t>Radiother</w:t>
      </w:r>
      <w:proofErr w:type="spellEnd"/>
      <w:r w:rsidRPr="00E33848">
        <w:rPr>
          <w:rFonts w:ascii="Arial" w:hAnsi="Arial" w:cs="Arial"/>
        </w:rPr>
        <w:t xml:space="preserve"> Oncol. </w:t>
      </w:r>
      <w:proofErr w:type="gramStart"/>
      <w:r w:rsidRPr="00E33848">
        <w:rPr>
          <w:rFonts w:ascii="Arial" w:hAnsi="Arial" w:cs="Arial"/>
        </w:rPr>
        <w:t>2010;95:1</w:t>
      </w:r>
      <w:proofErr w:type="gramEnd"/>
      <w:r w:rsidRPr="00E33848">
        <w:rPr>
          <w:rFonts w:ascii="Arial" w:hAnsi="Arial" w:cs="Arial"/>
        </w:rPr>
        <w:t>–7.</w:t>
      </w:r>
    </w:p>
    <w:p w14:paraId="72B791BC" w14:textId="5B06603E" w:rsidR="004D4277" w:rsidRPr="00E33848" w:rsidRDefault="00E33848" w:rsidP="00E33848">
      <w:pPr>
        <w:numPr>
          <w:ilvl w:val="0"/>
          <w:numId w:val="31"/>
        </w:numPr>
        <w:spacing w:after="160" w:line="276" w:lineRule="auto"/>
        <w:jc w:val="both"/>
        <w:rPr>
          <w:rFonts w:ascii="Arial" w:hAnsi="Arial" w:cs="Arial"/>
        </w:rPr>
        <w:sectPr w:rsidR="004D4277" w:rsidRPr="00E33848" w:rsidSect="00741938">
          <w:headerReference w:type="even" r:id="rId26"/>
          <w:headerReference w:type="default" r:id="rId27"/>
          <w:footerReference w:type="default" r:id="rId28"/>
          <w:headerReference w:type="first" r:id="rId29"/>
          <w:type w:val="continuous"/>
          <w:pgSz w:w="12240" w:h="15840"/>
          <w:pgMar w:top="1440" w:right="2016" w:bottom="2016" w:left="2016" w:header="720" w:footer="1123" w:gutter="0"/>
          <w:cols w:space="720"/>
          <w:docGrid w:linePitch="272"/>
        </w:sectPr>
      </w:pPr>
      <w:r w:rsidRPr="00E33848">
        <w:rPr>
          <w:rFonts w:ascii="Arial" w:hAnsi="Arial" w:cs="Arial"/>
        </w:rPr>
        <w:t xml:space="preserve">Burgert EO Jr, Nesbit ME, Garnsey LA, Gehan EA, Herrmann J, Vietti TJ, et al. Multimodal therapy for the management of nonpelvic, localized Ewing’s sarcoma of bone: Intergroup Study IESS-II. </w:t>
      </w:r>
      <w:r w:rsidRPr="00E33848">
        <w:rPr>
          <w:rFonts w:ascii="Arial" w:hAnsi="Arial" w:cs="Arial"/>
          <w:i/>
          <w:iCs/>
        </w:rPr>
        <w:t>J Clin Oncol.</w:t>
      </w:r>
      <w:r w:rsidRPr="00E33848">
        <w:rPr>
          <w:rFonts w:ascii="Arial" w:hAnsi="Arial" w:cs="Arial"/>
        </w:rPr>
        <w:t xml:space="preserve"> 1990;8(9):1514–24.</w:t>
      </w:r>
    </w:p>
    <w:p w14:paraId="075EBBD5" w14:textId="77777777" w:rsidR="00B01FCD" w:rsidRPr="00FB3A86" w:rsidRDefault="00B01FCD" w:rsidP="00441B6F">
      <w:pPr>
        <w:pStyle w:val="Appendix"/>
        <w:spacing w:after="0"/>
        <w:jc w:val="both"/>
        <w:rPr>
          <w:rFonts w:ascii="Arial" w:hAnsi="Arial" w:cs="Arial"/>
          <w:b w:val="0"/>
        </w:rPr>
      </w:pPr>
    </w:p>
    <w:sectPr w:rsidR="00B01FCD" w:rsidRPr="00FB3A86" w:rsidSect="00741938">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OZ" w:date="2026-03-11T15:56:00Z" w:initials="OZ">
    <w:p w14:paraId="43EFFDF2" w14:textId="09E524AC" w:rsidR="002B4611" w:rsidRDefault="002B4611">
      <w:pPr>
        <w:pStyle w:val="CommentText"/>
      </w:pPr>
      <w:r>
        <w:rPr>
          <w:rStyle w:val="CommentReference"/>
        </w:rPr>
        <w:annotationRef/>
      </w:r>
      <w:r>
        <w:t>The disease is called Ewing Sarcoma.</w:t>
      </w:r>
    </w:p>
  </w:comment>
  <w:comment w:id="1" w:author="OZ" w:date="2026-03-11T15:57:00Z" w:initials="OZ">
    <w:p w14:paraId="7AD86573" w14:textId="6BD830C5" w:rsidR="002B4611" w:rsidRDefault="002B4611">
      <w:pPr>
        <w:pStyle w:val="CommentText"/>
      </w:pPr>
      <w:r>
        <w:rPr>
          <w:rStyle w:val="CommentReference"/>
        </w:rPr>
        <w:annotationRef/>
      </w:r>
      <w:r>
        <w:t>The disease is called Ewing Sarcoma. Please, check the whole text.</w:t>
      </w:r>
    </w:p>
  </w:comment>
  <w:comment w:id="2" w:author="OZ" w:date="2026-03-11T15:58:00Z" w:initials="OZ">
    <w:p w14:paraId="5FD3EC7A" w14:textId="1A043AFB" w:rsidR="002B4611" w:rsidRDefault="002B4611">
      <w:pPr>
        <w:pStyle w:val="CommentText"/>
      </w:pPr>
      <w:r>
        <w:rPr>
          <w:rStyle w:val="CommentReference"/>
        </w:rPr>
        <w:annotationRef/>
      </w:r>
      <w:r>
        <w:t>What centre do you mean exactly?</w:t>
      </w:r>
    </w:p>
  </w:comment>
  <w:comment w:id="3" w:author="OZ" w:date="2026-03-11T16:06:00Z" w:initials="OZ">
    <w:p w14:paraId="260C28E2" w14:textId="5BDE6014" w:rsidR="004D6D4B" w:rsidRDefault="004D6D4B">
      <w:pPr>
        <w:pStyle w:val="CommentText"/>
      </w:pPr>
      <w:r>
        <w:rPr>
          <w:rStyle w:val="CommentReference"/>
        </w:rPr>
        <w:annotationRef/>
      </w:r>
      <w:r>
        <w:t>was</w:t>
      </w:r>
    </w:p>
  </w:comment>
  <w:comment w:id="4" w:author="OZ" w:date="2026-03-11T16:07:00Z" w:initials="OZ">
    <w:p w14:paraId="7D18D1AD" w14:textId="6B82FCF6" w:rsidR="004D6D4B" w:rsidRDefault="004D6D4B">
      <w:pPr>
        <w:pStyle w:val="CommentText"/>
      </w:pPr>
      <w:r>
        <w:rPr>
          <w:rStyle w:val="CommentReference"/>
        </w:rPr>
        <w:annotationRef/>
      </w:r>
      <w:r>
        <w:t>Every abbreviation should be explained at the first mentioning.</w:t>
      </w:r>
    </w:p>
  </w:comment>
  <w:comment w:id="5" w:author="OZ" w:date="2026-03-12T14:43:00Z" w:initials="OZ">
    <w:p w14:paraId="1E2396CC" w14:textId="19371AAB" w:rsidR="00741A99" w:rsidRDefault="00741A99">
      <w:pPr>
        <w:pStyle w:val="CommentText"/>
      </w:pPr>
      <w:r>
        <w:rPr>
          <w:rStyle w:val="CommentReference"/>
        </w:rPr>
        <w:annotationRef/>
      </w:r>
      <w:r>
        <w:t>How about ethical issues? Did patient give their informed consent to be included in the study?</w:t>
      </w:r>
    </w:p>
  </w:comment>
  <w:comment w:id="6" w:author="OZ" w:date="2026-03-12T14:57:00Z" w:initials="OZ">
    <w:p w14:paraId="632A5BF1" w14:textId="092F6610" w:rsidR="006E0E86" w:rsidRDefault="006E0E86">
      <w:pPr>
        <w:pStyle w:val="CommentText"/>
      </w:pPr>
      <w:r>
        <w:rPr>
          <w:rStyle w:val="CommentReference"/>
        </w:rPr>
        <w:annotationRef/>
      </w:r>
      <w:r>
        <w:t>In this table «Dermatitis» is mentioned twice in  the section «Toxicity types». Please, clarify this and make necessary corrections.</w:t>
      </w:r>
    </w:p>
  </w:comment>
  <w:comment w:id="7" w:author="OZ" w:date="2026-03-12T15:04:00Z" w:initials="OZ">
    <w:p w14:paraId="0F971804" w14:textId="10D8A1C7" w:rsidR="003615D7" w:rsidRDefault="003615D7">
      <w:pPr>
        <w:pStyle w:val="CommentText"/>
      </w:pPr>
      <w:r>
        <w:rPr>
          <w:rStyle w:val="CommentReference"/>
        </w:rPr>
        <w:annotationRef/>
      </w:r>
      <w:r w:rsidR="008E0466">
        <w:t>It seems that this paragraph begins «DISCUSSION» part of the manuscript.</w:t>
      </w:r>
    </w:p>
  </w:comment>
  <w:comment w:id="8" w:author="OZ" w:date="2026-03-12T15:10:00Z" w:initials="OZ">
    <w:p w14:paraId="61C31580" w14:textId="7BC5FDAE" w:rsidR="008E0466" w:rsidRDefault="008E0466">
      <w:pPr>
        <w:pStyle w:val="CommentText"/>
      </w:pPr>
      <w:r>
        <w:rPr>
          <w:rStyle w:val="CommentReference"/>
        </w:rPr>
        <w:annotationRef/>
      </w:r>
      <w:r>
        <w:t>thus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3EFFDF2" w15:done="0"/>
  <w15:commentEx w15:paraId="7AD86573" w15:done="0"/>
  <w15:commentEx w15:paraId="5FD3EC7A" w15:done="0"/>
  <w15:commentEx w15:paraId="260C28E2" w15:done="0"/>
  <w15:commentEx w15:paraId="7D18D1AD" w15:done="0"/>
  <w15:commentEx w15:paraId="1E2396CC" w15:done="0"/>
  <w15:commentEx w15:paraId="632A5BF1" w15:done="0"/>
  <w15:commentEx w15:paraId="0F971804" w15:done="0"/>
  <w15:commentEx w15:paraId="61C3158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5C0F12" w16cex:dateUtc="2026-03-11T14:56:00Z"/>
  <w16cex:commentExtensible w16cex:durableId="2D5C0F65" w16cex:dateUtc="2026-03-11T14:57:00Z"/>
  <w16cex:commentExtensible w16cex:durableId="2D5C0FB2" w16cex:dateUtc="2026-03-11T14:58:00Z"/>
  <w16cex:commentExtensible w16cex:durableId="2D5C1175" w16cex:dateUtc="2026-03-11T15:06:00Z"/>
  <w16cex:commentExtensible w16cex:durableId="2D5C11CF" w16cex:dateUtc="2026-03-11T15:07:00Z"/>
  <w16cex:commentExtensible w16cex:durableId="2D5D4F7C" w16cex:dateUtc="2026-03-12T13:43:00Z"/>
  <w16cex:commentExtensible w16cex:durableId="2D5D52DF" w16cex:dateUtc="2026-03-12T13:57:00Z"/>
  <w16cex:commentExtensible w16cex:durableId="2D5D5464" w16cex:dateUtc="2026-03-12T14:04:00Z"/>
  <w16cex:commentExtensible w16cex:durableId="2D5D55E8" w16cex:dateUtc="2026-03-12T14: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3EFFDF2" w16cid:durableId="2D5C0F12"/>
  <w16cid:commentId w16cid:paraId="7AD86573" w16cid:durableId="2D5C0F65"/>
  <w16cid:commentId w16cid:paraId="5FD3EC7A" w16cid:durableId="2D5C0FB2"/>
  <w16cid:commentId w16cid:paraId="260C28E2" w16cid:durableId="2D5C1175"/>
  <w16cid:commentId w16cid:paraId="7D18D1AD" w16cid:durableId="2D5C11CF"/>
  <w16cid:commentId w16cid:paraId="1E2396CC" w16cid:durableId="2D5D4F7C"/>
  <w16cid:commentId w16cid:paraId="632A5BF1" w16cid:durableId="2D5D52DF"/>
  <w16cid:commentId w16cid:paraId="0F971804" w16cid:durableId="2D5D5464"/>
  <w16cid:commentId w16cid:paraId="61C31580" w16cid:durableId="2D5D55E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F7A52" w14:textId="77777777" w:rsidR="008B01FE" w:rsidRDefault="008B01FE" w:rsidP="00C37E61">
      <w:r>
        <w:separator/>
      </w:r>
    </w:p>
  </w:endnote>
  <w:endnote w:type="continuationSeparator" w:id="0">
    <w:p w14:paraId="5CCBA904" w14:textId="77777777" w:rsidR="008B01FE" w:rsidRDefault="008B01F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41DAD" w14:textId="77777777" w:rsidR="00741938" w:rsidRDefault="007419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861F7" w14:textId="77777777" w:rsidR="00741938" w:rsidRDefault="007419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DDF2B" w14:textId="77777777" w:rsidR="009E048A" w:rsidRDefault="009E048A">
    <w:pPr>
      <w:pStyle w:val="Footer"/>
      <w:rPr>
        <w:rFonts w:ascii="Arial" w:hAnsi="Arial" w:cs="Arial"/>
        <w:sz w:val="16"/>
      </w:rPr>
    </w:pPr>
  </w:p>
  <w:p w14:paraId="25272301"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976A18C" w14:textId="77777777" w:rsidR="009E048A" w:rsidRDefault="009E048A">
    <w:pPr>
      <w:pStyle w:val="Footer"/>
      <w:rPr>
        <w:rFonts w:ascii="Arial" w:hAnsi="Arial" w:cs="Arial"/>
        <w:sz w:val="16"/>
      </w:rPr>
    </w:pPr>
  </w:p>
  <w:p w14:paraId="07205CF1"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4E504"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2B934" w14:textId="77777777" w:rsidR="008B01FE" w:rsidRDefault="008B01FE" w:rsidP="00C37E61">
      <w:r>
        <w:separator/>
      </w:r>
    </w:p>
  </w:footnote>
  <w:footnote w:type="continuationSeparator" w:id="0">
    <w:p w14:paraId="6CB7A57B" w14:textId="77777777" w:rsidR="008B01FE" w:rsidRDefault="008B01F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E514F" w14:textId="4644A4D1" w:rsidR="00741938" w:rsidRDefault="008B01FE">
    <w:pPr>
      <w:pStyle w:val="Header"/>
    </w:pPr>
    <w:r>
      <w:rPr>
        <w:noProof/>
      </w:rPr>
      <w:pict w14:anchorId="668CE5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6029533"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0B2B4" w14:textId="6F5DB0CA" w:rsidR="00741938" w:rsidRDefault="008B01FE">
    <w:pPr>
      <w:pStyle w:val="Header"/>
    </w:pPr>
    <w:r>
      <w:rPr>
        <w:noProof/>
      </w:rPr>
      <w:pict w14:anchorId="297101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6029534"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91009" w14:textId="4BC94D91" w:rsidR="00296529" w:rsidRPr="00296529" w:rsidRDefault="008B01FE" w:rsidP="00296529">
    <w:pPr>
      <w:ind w:left="2160"/>
      <w:jc w:val="center"/>
      <w:rPr>
        <w:rFonts w:ascii="Times New Roman" w:eastAsia="Calibri" w:hAnsi="Times New Roman"/>
        <w:i/>
        <w:sz w:val="18"/>
        <w:szCs w:val="22"/>
      </w:rPr>
    </w:pPr>
    <w:r>
      <w:rPr>
        <w:noProof/>
      </w:rPr>
      <w:pict w14:anchorId="547C9E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6029532"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DC8CC90"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B5C7900"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59AA07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80A8FD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83CA47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97D3029"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C993D" w14:textId="14FDEC36" w:rsidR="00741938" w:rsidRDefault="008B01FE">
    <w:pPr>
      <w:pStyle w:val="Header"/>
    </w:pPr>
    <w:r>
      <w:rPr>
        <w:noProof/>
      </w:rPr>
      <w:pict w14:anchorId="27697D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6029536"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E5E93" w14:textId="40278290" w:rsidR="00741938" w:rsidRDefault="008B01FE">
    <w:pPr>
      <w:pStyle w:val="Header"/>
    </w:pPr>
    <w:r>
      <w:rPr>
        <w:noProof/>
      </w:rPr>
      <w:pict w14:anchorId="663FFF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6029537"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C258D" w14:textId="4F486227" w:rsidR="00741938" w:rsidRDefault="008B01FE">
    <w:pPr>
      <w:pStyle w:val="Header"/>
    </w:pPr>
    <w:r>
      <w:rPr>
        <w:noProof/>
      </w:rPr>
      <w:pict w14:anchorId="554B92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6029535"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A9869BB"/>
    <w:multiLevelType w:val="multilevel"/>
    <w:tmpl w:val="E3CC9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Z">
    <w15:presenceInfo w15:providerId="None" w15:userId="O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02E7"/>
    <w:rsid w:val="00030174"/>
    <w:rsid w:val="0004579C"/>
    <w:rsid w:val="00050D42"/>
    <w:rsid w:val="000736BB"/>
    <w:rsid w:val="000A47FA"/>
    <w:rsid w:val="000A65D3"/>
    <w:rsid w:val="000B1E33"/>
    <w:rsid w:val="000D689F"/>
    <w:rsid w:val="000E7B7B"/>
    <w:rsid w:val="000E7D62"/>
    <w:rsid w:val="00103357"/>
    <w:rsid w:val="001144B3"/>
    <w:rsid w:val="00123C9F"/>
    <w:rsid w:val="00126190"/>
    <w:rsid w:val="00130F17"/>
    <w:rsid w:val="001320BF"/>
    <w:rsid w:val="00163BC4"/>
    <w:rsid w:val="00191062"/>
    <w:rsid w:val="0019289F"/>
    <w:rsid w:val="00192B72"/>
    <w:rsid w:val="001A29D8"/>
    <w:rsid w:val="001A5CAA"/>
    <w:rsid w:val="001B0427"/>
    <w:rsid w:val="001B46D8"/>
    <w:rsid w:val="001B69B5"/>
    <w:rsid w:val="001D3A51"/>
    <w:rsid w:val="001D452B"/>
    <w:rsid w:val="001E10D2"/>
    <w:rsid w:val="001E25B4"/>
    <w:rsid w:val="001E44FE"/>
    <w:rsid w:val="00200595"/>
    <w:rsid w:val="00204835"/>
    <w:rsid w:val="00231920"/>
    <w:rsid w:val="0023195C"/>
    <w:rsid w:val="0024282C"/>
    <w:rsid w:val="002460DC"/>
    <w:rsid w:val="00250985"/>
    <w:rsid w:val="002556F6"/>
    <w:rsid w:val="0028261B"/>
    <w:rsid w:val="00283105"/>
    <w:rsid w:val="00284C4C"/>
    <w:rsid w:val="00287E68"/>
    <w:rsid w:val="00296529"/>
    <w:rsid w:val="002B27FB"/>
    <w:rsid w:val="002B4611"/>
    <w:rsid w:val="002B685A"/>
    <w:rsid w:val="002C57D2"/>
    <w:rsid w:val="002E0D56"/>
    <w:rsid w:val="0030466F"/>
    <w:rsid w:val="00315186"/>
    <w:rsid w:val="00322B00"/>
    <w:rsid w:val="0033343E"/>
    <w:rsid w:val="003512C2"/>
    <w:rsid w:val="003615D7"/>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4D6D4B"/>
    <w:rsid w:val="00502516"/>
    <w:rsid w:val="00505F06"/>
    <w:rsid w:val="00506828"/>
    <w:rsid w:val="0053056E"/>
    <w:rsid w:val="00554FDA"/>
    <w:rsid w:val="005C784C"/>
    <w:rsid w:val="005D17F6"/>
    <w:rsid w:val="005E5539"/>
    <w:rsid w:val="00602BF5"/>
    <w:rsid w:val="00617FDD"/>
    <w:rsid w:val="00626C92"/>
    <w:rsid w:val="00633614"/>
    <w:rsid w:val="00633F68"/>
    <w:rsid w:val="00636EB2"/>
    <w:rsid w:val="006375B8"/>
    <w:rsid w:val="0066510A"/>
    <w:rsid w:val="006726B9"/>
    <w:rsid w:val="00673F9F"/>
    <w:rsid w:val="00686953"/>
    <w:rsid w:val="00687DEA"/>
    <w:rsid w:val="00687E67"/>
    <w:rsid w:val="006967F7"/>
    <w:rsid w:val="006A250C"/>
    <w:rsid w:val="006B21D3"/>
    <w:rsid w:val="006B57D0"/>
    <w:rsid w:val="006D30FF"/>
    <w:rsid w:val="006D6940"/>
    <w:rsid w:val="006E0E86"/>
    <w:rsid w:val="006F11EC"/>
    <w:rsid w:val="0070082C"/>
    <w:rsid w:val="007369E6"/>
    <w:rsid w:val="00741938"/>
    <w:rsid w:val="00741A99"/>
    <w:rsid w:val="00746E59"/>
    <w:rsid w:val="00754C9A"/>
    <w:rsid w:val="0075599A"/>
    <w:rsid w:val="00761D52"/>
    <w:rsid w:val="0077749E"/>
    <w:rsid w:val="00790ADA"/>
    <w:rsid w:val="007D2288"/>
    <w:rsid w:val="007E088F"/>
    <w:rsid w:val="007F5DF1"/>
    <w:rsid w:val="007F7B32"/>
    <w:rsid w:val="00804BC2"/>
    <w:rsid w:val="0081431A"/>
    <w:rsid w:val="0083216F"/>
    <w:rsid w:val="00860000"/>
    <w:rsid w:val="00863BD3"/>
    <w:rsid w:val="008641ED"/>
    <w:rsid w:val="00866D66"/>
    <w:rsid w:val="008671C6"/>
    <w:rsid w:val="00875803"/>
    <w:rsid w:val="008B01FE"/>
    <w:rsid w:val="008B459E"/>
    <w:rsid w:val="008E0466"/>
    <w:rsid w:val="008E13AE"/>
    <w:rsid w:val="008E1506"/>
    <w:rsid w:val="008E710C"/>
    <w:rsid w:val="008F69D6"/>
    <w:rsid w:val="00902823"/>
    <w:rsid w:val="00915CA6"/>
    <w:rsid w:val="00924AE7"/>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1334"/>
    <w:rsid w:val="00A347C0"/>
    <w:rsid w:val="00A402C8"/>
    <w:rsid w:val="00A51431"/>
    <w:rsid w:val="00A539AD"/>
    <w:rsid w:val="00A94063"/>
    <w:rsid w:val="00AA6219"/>
    <w:rsid w:val="00AA74E0"/>
    <w:rsid w:val="00AB703F"/>
    <w:rsid w:val="00AC6BB8"/>
    <w:rsid w:val="00AE008F"/>
    <w:rsid w:val="00B01FCD"/>
    <w:rsid w:val="00B1776C"/>
    <w:rsid w:val="00B52583"/>
    <w:rsid w:val="00B52896"/>
    <w:rsid w:val="00B934EF"/>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37C"/>
    <w:rsid w:val="00C71A47"/>
    <w:rsid w:val="00C7464C"/>
    <w:rsid w:val="00C85588"/>
    <w:rsid w:val="00CD6755"/>
    <w:rsid w:val="00CD6856"/>
    <w:rsid w:val="00CE0089"/>
    <w:rsid w:val="00CE793C"/>
    <w:rsid w:val="00CF193C"/>
    <w:rsid w:val="00D12613"/>
    <w:rsid w:val="00D173F1"/>
    <w:rsid w:val="00D67F3C"/>
    <w:rsid w:val="00D74CB0"/>
    <w:rsid w:val="00D8295D"/>
    <w:rsid w:val="00DC2A65"/>
    <w:rsid w:val="00DE15F0"/>
    <w:rsid w:val="00DE5663"/>
    <w:rsid w:val="00DE78AA"/>
    <w:rsid w:val="00E053D0"/>
    <w:rsid w:val="00E15994"/>
    <w:rsid w:val="00E3114E"/>
    <w:rsid w:val="00E31A70"/>
    <w:rsid w:val="00E33848"/>
    <w:rsid w:val="00E35B02"/>
    <w:rsid w:val="00E66496"/>
    <w:rsid w:val="00E66B35"/>
    <w:rsid w:val="00E66E10"/>
    <w:rsid w:val="00E769F6"/>
    <w:rsid w:val="00E8407C"/>
    <w:rsid w:val="00E84F3C"/>
    <w:rsid w:val="00EA012C"/>
    <w:rsid w:val="00EC617C"/>
    <w:rsid w:val="00EC6A55"/>
    <w:rsid w:val="00ED0288"/>
    <w:rsid w:val="00EE52CB"/>
    <w:rsid w:val="00EF581D"/>
    <w:rsid w:val="00EF7FD8"/>
    <w:rsid w:val="00F06F59"/>
    <w:rsid w:val="00F17988"/>
    <w:rsid w:val="00F469F0"/>
    <w:rsid w:val="00F53273"/>
    <w:rsid w:val="00F755E4"/>
    <w:rsid w:val="00F77D02"/>
    <w:rsid w:val="00F94BEF"/>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7D05A1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CommentSubject">
    <w:name w:val="annotation subject"/>
    <w:basedOn w:val="CommentText"/>
    <w:next w:val="CommentText"/>
    <w:link w:val="CommentSubjectChar"/>
    <w:semiHidden/>
    <w:unhideWhenUsed/>
    <w:rsid w:val="002B4611"/>
    <w:rPr>
      <w:rFonts w:ascii="Helvetica" w:hAnsi="Helvetica"/>
      <w:b/>
      <w:bCs/>
      <w:lang w:val="en-US" w:eastAsia="en-US"/>
    </w:rPr>
  </w:style>
  <w:style w:type="character" w:customStyle="1" w:styleId="CommentSubjectChar">
    <w:name w:val="Comment Subject Char"/>
    <w:basedOn w:val="CommentTextChar"/>
    <w:link w:val="CommentSubject"/>
    <w:semiHidden/>
    <w:rsid w:val="002B4611"/>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chart" Target="charts/chart1.xm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1.png"/><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chart" Target="charts/chart3.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image" Target="media/image4.png"/><Relationship Id="rId28" Type="http://schemas.openxmlformats.org/officeDocument/2006/relationships/footer" Target="footer4.xml"/><Relationship Id="rId10" Type="http://schemas.microsoft.com/office/2016/09/relationships/commentsIds" Target="commentsIds.xml"/><Relationship Id="rId19" Type="http://schemas.openxmlformats.org/officeDocument/2006/relationships/chart" Target="charts/chart2.xml"/><Relationship Id="rId31"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 Id="rId22" Type="http://schemas.openxmlformats.org/officeDocument/2006/relationships/image" Target="media/image3.png"/><Relationship Id="rId27" Type="http://schemas.openxmlformats.org/officeDocument/2006/relationships/header" Target="header5.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0"/>
    <c:plotArea>
      <c:layout/>
      <c:pieChart>
        <c:varyColors val="1"/>
        <c:ser>
          <c:idx val="0"/>
          <c:order val="0"/>
          <c:dPt>
            <c:idx val="0"/>
            <c:bubble3D val="0"/>
            <c:spPr>
              <a:solidFill>
                <a:srgbClr val="333399"/>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1D50-4957-9E25-640E3FA18C71}"/>
              </c:ext>
            </c:extLst>
          </c:dPt>
          <c:dPt>
            <c:idx val="1"/>
            <c:bubble3D val="0"/>
            <c:spPr>
              <a:solidFill>
                <a:srgbClr val="0066FF"/>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1D50-4957-9E25-640E3FA18C71}"/>
              </c:ext>
            </c:extLst>
          </c:dPt>
          <c:dPt>
            <c:idx val="2"/>
            <c:bubble3D val="0"/>
            <c:spPr>
              <a:solidFill>
                <a:srgbClr val="6699FF"/>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1D50-4957-9E25-640E3FA18C71}"/>
              </c:ext>
            </c:extLst>
          </c:dPt>
          <c:dPt>
            <c:idx val="3"/>
            <c:bubble3D val="0"/>
            <c:spPr>
              <a:solidFill>
                <a:srgbClr val="99CCFF"/>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1D50-4957-9E25-640E3FA18C71}"/>
              </c:ext>
            </c:extLst>
          </c:dPt>
          <c:dPt>
            <c:idx val="4"/>
            <c:bubble3D val="0"/>
            <c:spPr>
              <a:solidFill>
                <a:schemeClr val="accent1">
                  <a:shade val="83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1D50-4957-9E25-640E3FA18C71}"/>
              </c:ext>
            </c:extLst>
          </c:dPt>
          <c:dPt>
            <c:idx val="5"/>
            <c:bubble3D val="0"/>
            <c:spPr>
              <a:solidFill>
                <a:schemeClr val="accent1">
                  <a:tint val="95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B-1D50-4957-9E25-640E3FA18C71}"/>
              </c:ext>
            </c:extLst>
          </c:dPt>
          <c:dPt>
            <c:idx val="6"/>
            <c:bubble3D val="0"/>
            <c:spPr>
              <a:solidFill>
                <a:schemeClr val="accent1">
                  <a:tint val="48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D-1D50-4957-9E25-640E3FA18C71}"/>
              </c:ext>
            </c:extLst>
          </c:dPt>
          <c:dPt>
            <c:idx val="7"/>
            <c:bubble3D val="0"/>
            <c:spPr>
              <a:solidFill>
                <a:schemeClr val="accent1">
                  <a:tint val="3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F-1D50-4957-9E25-640E3FA18C71}"/>
              </c:ext>
            </c:extLst>
          </c:dPt>
          <c:dPt>
            <c:idx val="8"/>
            <c:bubble3D val="0"/>
            <c:spPr>
              <a:solidFill>
                <a:schemeClr val="accent1">
                  <a:tint val="13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1-1D50-4957-9E25-640E3FA18C71}"/>
              </c:ext>
            </c:extLst>
          </c:dPt>
          <c:dPt>
            <c:idx val="9"/>
            <c:bubble3D val="0"/>
            <c:spPr>
              <a:solidFill>
                <a:schemeClr val="accent1">
                  <a:tint val="95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3-1D50-4957-9E25-640E3FA18C71}"/>
              </c:ext>
            </c:extLst>
          </c:dPt>
          <c:dPt>
            <c:idx val="10"/>
            <c:bubble3D val="0"/>
            <c:spPr>
              <a:solidFill>
                <a:schemeClr val="accent1">
                  <a:tint val="78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5-1D50-4957-9E25-640E3FA18C71}"/>
              </c:ext>
            </c:extLst>
          </c:dPt>
          <c:dPt>
            <c:idx val="11"/>
            <c:bubble3D val="0"/>
            <c:spPr>
              <a:solidFill>
                <a:schemeClr val="accent1">
                  <a:tint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7-1D50-4957-9E25-640E3FA18C71}"/>
              </c:ext>
            </c:extLst>
          </c:dPt>
          <c:dPt>
            <c:idx val="12"/>
            <c:bubble3D val="0"/>
            <c:spPr>
              <a:solidFill>
                <a:srgbClr val="CCCCFF"/>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9-1D50-4957-9E25-640E3FA18C71}"/>
              </c:ext>
            </c:extLst>
          </c:dPt>
          <c:dLbls>
            <c:dLbl>
              <c:idx val="0"/>
              <c:layout>
                <c:manualLayout>
                  <c:x val="3.7037043787737638E-2"/>
                  <c:y val="-1.855109158079889E-2"/>
                </c:manualLayout>
              </c:layout>
              <c:spPr>
                <a:noFill/>
                <a:ln>
                  <a:noFill/>
                </a:ln>
                <a:effectLst/>
              </c:spPr>
              <c:txPr>
                <a:bodyPr rot="0" spcFirstLastPara="1" vertOverflow="ellipsis" vert="horz" wrap="square" anchor="ctr" anchorCtr="1"/>
                <a:lstStyle/>
                <a:p>
                  <a:pPr>
                    <a:defRPr sz="133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1D50-4957-9E25-640E3FA18C71}"/>
                </c:ext>
              </c:extLst>
            </c:dLbl>
            <c:dLbl>
              <c:idx val="1"/>
              <c:layout>
                <c:manualLayout>
                  <c:x val="-0.10727968134978119"/>
                  <c:y val="0"/>
                </c:manualLayout>
              </c:layout>
              <c:spPr>
                <a:noFill/>
                <a:ln>
                  <a:noFill/>
                </a:ln>
                <a:effectLst/>
              </c:spPr>
              <c:txPr>
                <a:bodyPr rot="0" spcFirstLastPara="1" vertOverflow="ellipsis" vert="horz" wrap="square" anchor="ctr" anchorCtr="1"/>
                <a:lstStyle/>
                <a:p>
                  <a:pPr>
                    <a:defRPr sz="133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1D50-4957-9E25-640E3FA18C71}"/>
                </c:ext>
              </c:extLst>
            </c:dLbl>
            <c:dLbl>
              <c:idx val="2"/>
              <c:spPr>
                <a:noFill/>
                <a:ln>
                  <a:noFill/>
                </a:ln>
                <a:effectLst/>
              </c:spPr>
              <c:txPr>
                <a:bodyPr rot="0" spcFirstLastPara="1" vertOverflow="ellipsis" vert="horz" wrap="square" anchor="ctr" anchorCtr="1"/>
                <a:lstStyle/>
                <a:p>
                  <a:pPr>
                    <a:defRPr sz="133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5-1D50-4957-9E25-640E3FA18C71}"/>
                </c:ext>
              </c:extLst>
            </c:dLbl>
            <c:dLbl>
              <c:idx val="3"/>
              <c:spPr>
                <a:noFill/>
                <a:ln>
                  <a:noFill/>
                </a:ln>
                <a:effectLst/>
              </c:spPr>
              <c:txPr>
                <a:bodyPr rot="0" spcFirstLastPara="1" vertOverflow="ellipsis" vert="horz" wrap="square" anchor="ctr" anchorCtr="1"/>
                <a:lstStyle/>
                <a:p>
                  <a:pPr>
                    <a:defRPr sz="133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7-1D50-4957-9E25-640E3FA18C71}"/>
                </c:ext>
              </c:extLst>
            </c:dLbl>
            <c:dLbl>
              <c:idx val="4"/>
              <c:layout>
                <c:manualLayout>
                  <c:x val="-3.8413504643903131E-18"/>
                  <c:y val="3.4735398995545251E-2"/>
                </c:manualLayout>
              </c:layout>
              <c:spPr>
                <a:noFill/>
                <a:ln>
                  <a:noFill/>
                </a:ln>
                <a:effectLst/>
              </c:spPr>
              <c:txPr>
                <a:bodyPr rot="0" spcFirstLastPara="1" vertOverflow="ellipsis" vert="horz" wrap="square" anchor="ctr" anchorCtr="1"/>
                <a:lstStyle/>
                <a:p>
                  <a:pPr>
                    <a:defRPr sz="1330" b="1" i="0" u="none" strike="noStrike" kern="1200" spc="0" baseline="0">
                      <a:solidFill>
                        <a:schemeClr val="accent1">
                          <a:shade val="83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1D50-4957-9E25-640E3FA18C71}"/>
                </c:ext>
              </c:extLst>
            </c:dLbl>
            <c:dLbl>
              <c:idx val="5"/>
              <c:layout>
                <c:manualLayout>
                  <c:x val="-3.6013398345242593E-2"/>
                  <c:y val="-3.9294420113710565E-2"/>
                </c:manualLayout>
              </c:layout>
              <c:spPr>
                <a:noFill/>
                <a:ln>
                  <a:noFill/>
                </a:ln>
                <a:effectLst/>
              </c:spPr>
              <c:txPr>
                <a:bodyPr rot="0" spcFirstLastPara="1" vertOverflow="ellipsis" vert="horz" wrap="square" anchor="ctr" anchorCtr="1"/>
                <a:lstStyle/>
                <a:p>
                  <a:pPr>
                    <a:defRPr sz="1330" b="1" i="0" u="none" strike="noStrike" kern="1200" spc="0" baseline="0">
                      <a:solidFill>
                        <a:schemeClr val="accent1">
                          <a:tint val="9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1D50-4957-9E25-640E3FA18C71}"/>
                </c:ext>
              </c:extLst>
            </c:dLbl>
            <c:dLbl>
              <c:idx val="6"/>
              <c:spPr>
                <a:noFill/>
                <a:ln>
                  <a:noFill/>
                </a:ln>
                <a:effectLst/>
              </c:spPr>
              <c:txPr>
                <a:bodyPr rot="0" spcFirstLastPara="1" vertOverflow="ellipsis" vert="horz" wrap="square" lIns="38100" tIns="19050" rIns="38100" bIns="19050" anchor="ctr" anchorCtr="1">
                  <a:spAutoFit/>
                </a:bodyPr>
                <a:lstStyle/>
                <a:p>
                  <a:pPr>
                    <a:defRPr sz="1330" b="1" i="0" u="none" strike="noStrike" kern="1200" spc="0" baseline="0">
                      <a:solidFill>
                        <a:schemeClr val="accent1">
                          <a:tint val="48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D-1D50-4957-9E25-640E3FA18C71}"/>
                </c:ext>
              </c:extLst>
            </c:dLbl>
            <c:dLbl>
              <c:idx val="12"/>
              <c:spPr>
                <a:noFill/>
                <a:ln>
                  <a:noFill/>
                </a:ln>
                <a:effectLst/>
              </c:spPr>
              <c:txPr>
                <a:bodyPr rot="0" spcFirstLastPara="1" vertOverflow="ellipsis" vert="horz" wrap="square" anchor="ctr" anchorCtr="1"/>
                <a:lstStyle/>
                <a:p>
                  <a:pPr>
                    <a:defRPr sz="133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19-1D50-4957-9E25-640E3FA18C71}"/>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Sheet1!$A$2:$A$8</c:f>
              <c:strCache>
                <c:ptCount val="7"/>
                <c:pt idx="0">
                  <c:v>Dorso-lumbar vertebra</c:v>
                </c:pt>
                <c:pt idx="1">
                  <c:v>Distal femur</c:v>
                </c:pt>
                <c:pt idx="2">
                  <c:v>Ilium</c:v>
                </c:pt>
                <c:pt idx="3">
                  <c:v>Scapula</c:v>
                </c:pt>
                <c:pt idx="4">
                  <c:v>Mediastinum</c:v>
                </c:pt>
                <c:pt idx="5">
                  <c:v>SCF region</c:v>
                </c:pt>
                <c:pt idx="6">
                  <c:v>Others</c:v>
                </c:pt>
              </c:strCache>
            </c:strRef>
          </c:cat>
          <c:val>
            <c:numRef>
              <c:f>Sheet1!$B$2:$B$8</c:f>
              <c:numCache>
                <c:formatCode>General</c:formatCode>
                <c:ptCount val="7"/>
                <c:pt idx="0">
                  <c:v>22</c:v>
                </c:pt>
                <c:pt idx="1">
                  <c:v>9</c:v>
                </c:pt>
                <c:pt idx="2">
                  <c:v>4</c:v>
                </c:pt>
                <c:pt idx="3">
                  <c:v>6</c:v>
                </c:pt>
                <c:pt idx="4">
                  <c:v>2</c:v>
                </c:pt>
                <c:pt idx="5">
                  <c:v>2</c:v>
                </c:pt>
                <c:pt idx="6">
                  <c:v>6</c:v>
                </c:pt>
              </c:numCache>
            </c:numRef>
          </c:val>
          <c:extLst>
            <c:ext xmlns:c15="http://schemas.microsoft.com/office/drawing/2012/chart" uri="{02D57815-91ED-43cb-92C2-25804820EDAC}">
              <c15:filteredSeriesTitle>
                <c15:tx>
                  <c:strRef>
                    <c:extLst>
                      <c:ext uri="{02D57815-91ED-43cb-92C2-25804820EDAC}">
                        <c15:formulaRef>
                          <c15:sqref>Sheet1!$B$1</c15:sqref>
                        </c15:formulaRef>
                      </c:ext>
                    </c:extLst>
                    <c:strCache>
                      <c:ptCount val="1"/>
                      <c:pt idx="0">
                        <c:v>n</c:v>
                      </c:pt>
                    </c:strCache>
                  </c:strRef>
                </c15:tx>
              </c15:filteredSeriesTitle>
            </c:ext>
            <c:ext xmlns:c16="http://schemas.microsoft.com/office/drawing/2014/chart" uri="{C3380CC4-5D6E-409C-BE32-E72D297353CC}">
              <c16:uniqueId val="{0000001A-1D50-4957-9E25-640E3FA18C71}"/>
            </c:ext>
          </c:extLst>
        </c:ser>
        <c:dLbls>
          <c:dLblPos val="outEnd"/>
          <c:showLegendKey val="0"/>
          <c:showVal val="0"/>
          <c:showCatName val="0"/>
          <c:showSerName val="0"/>
          <c:showPercent val="1"/>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2573742401370812E-2"/>
          <c:y val="0.15270921722029723"/>
          <c:w val="0.81306362088111506"/>
          <c:h val="0.56519743728502414"/>
        </c:manualLayout>
      </c:layout>
      <c:barChart>
        <c:barDir val="col"/>
        <c:grouping val="clustered"/>
        <c:varyColors val="0"/>
        <c:ser>
          <c:idx val="0"/>
          <c:order val="0"/>
          <c:tx>
            <c:strRef>
              <c:f>Sheet1!$B$1</c:f>
              <c:strCache>
                <c:ptCount val="1"/>
                <c:pt idx="0">
                  <c:v>%</c:v>
                </c:pt>
              </c:strCache>
            </c:strRef>
          </c:tx>
          <c:spPr>
            <a:solidFill>
              <a:schemeClr val="accent1"/>
            </a:solidFill>
            <a:ln>
              <a:noFill/>
            </a:ln>
            <a:effectLst/>
          </c:spPr>
          <c:invertIfNegative val="0"/>
          <c:dPt>
            <c:idx val="1"/>
            <c:invertIfNegative val="0"/>
            <c:bubble3D val="0"/>
            <c:spPr>
              <a:solidFill>
                <a:schemeClr val="accent1">
                  <a:lumMod val="75000"/>
                </a:schemeClr>
              </a:solidFill>
              <a:ln>
                <a:noFill/>
              </a:ln>
              <a:effectLst/>
            </c:spPr>
            <c:extLst>
              <c:ext xmlns:c16="http://schemas.microsoft.com/office/drawing/2014/chart" uri="{C3380CC4-5D6E-409C-BE32-E72D297353CC}">
                <c16:uniqueId val="{00000001-9A3E-41AF-B701-6A578DEB250F}"/>
              </c:ext>
            </c:extLst>
          </c:dPt>
          <c:dPt>
            <c:idx val="2"/>
            <c:invertIfNegative val="0"/>
            <c:bubble3D val="0"/>
            <c:spPr>
              <a:solidFill>
                <a:schemeClr val="tx2">
                  <a:lumMod val="60000"/>
                  <a:lumOff val="40000"/>
                </a:schemeClr>
              </a:solidFill>
              <a:ln>
                <a:noFill/>
              </a:ln>
              <a:effectLst/>
            </c:spPr>
            <c:extLst>
              <c:ext xmlns:c16="http://schemas.microsoft.com/office/drawing/2014/chart" uri="{C3380CC4-5D6E-409C-BE32-E72D297353CC}">
                <c16:uniqueId val="{00000003-9A3E-41AF-B701-6A578DEB250F}"/>
              </c:ext>
            </c:extLst>
          </c:dPt>
          <c:cat>
            <c:strRef>
              <c:f>Sheet1!$A$2:$A$5</c:f>
              <c:strCache>
                <c:ptCount val="4"/>
                <c:pt idx="0">
                  <c:v>Brain</c:v>
                </c:pt>
                <c:pt idx="1">
                  <c:v>Skeletal</c:v>
                </c:pt>
                <c:pt idx="2">
                  <c:v>Lungs</c:v>
                </c:pt>
                <c:pt idx="3">
                  <c:v>Soft tissue</c:v>
                </c:pt>
              </c:strCache>
            </c:strRef>
          </c:cat>
          <c:val>
            <c:numRef>
              <c:f>Sheet1!$B$2:$B$5</c:f>
              <c:numCache>
                <c:formatCode>General</c:formatCode>
                <c:ptCount val="4"/>
                <c:pt idx="0">
                  <c:v>15</c:v>
                </c:pt>
                <c:pt idx="1">
                  <c:v>5</c:v>
                </c:pt>
                <c:pt idx="2">
                  <c:v>6</c:v>
                </c:pt>
                <c:pt idx="3">
                  <c:v>1</c:v>
                </c:pt>
              </c:numCache>
            </c:numRef>
          </c:val>
          <c:extLst>
            <c:ext xmlns:c16="http://schemas.microsoft.com/office/drawing/2014/chart" uri="{C3380CC4-5D6E-409C-BE32-E72D297353CC}">
              <c16:uniqueId val="{00000004-9A3E-41AF-B701-6A578DEB250F}"/>
            </c:ext>
          </c:extLst>
        </c:ser>
        <c:dLbls>
          <c:showLegendKey val="0"/>
          <c:showVal val="0"/>
          <c:showCatName val="0"/>
          <c:showSerName val="0"/>
          <c:showPercent val="0"/>
          <c:showBubbleSize val="0"/>
        </c:dLbls>
        <c:gapWidth val="219"/>
        <c:overlap val="-27"/>
        <c:axId val="187083983"/>
        <c:axId val="187084943"/>
      </c:barChart>
      <c:catAx>
        <c:axId val="1870839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87084943"/>
        <c:crosses val="autoZero"/>
        <c:auto val="1"/>
        <c:lblAlgn val="ctr"/>
        <c:lblOffset val="100"/>
        <c:noMultiLvlLbl val="0"/>
      </c:catAx>
      <c:valAx>
        <c:axId val="18708494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800"/>
                  <a:t>cases</a:t>
                </a:r>
                <a:r>
                  <a:rPr lang="en-IN" sz="800" baseline="0"/>
                  <a:t> (n)</a:t>
                </a:r>
                <a:endParaRPr lang="en-IN" sz="800"/>
              </a:p>
            </c:rich>
          </c:tx>
          <c:overlay val="0"/>
          <c:spPr>
            <a:noFill/>
            <a:ln>
              <a:noFill/>
            </a:ln>
            <a:effectLst/>
          </c:spPr>
          <c:txPr>
            <a:bodyPr rot="-54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8708398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97"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600" b="0" i="0" u="none" strike="noStrike" kern="1200" spc="0" baseline="0">
                <a:solidFill>
                  <a:schemeClr val="accent3">
                    <a:lumMod val="75000"/>
                  </a:schemeClr>
                </a:solidFill>
                <a:latin typeface="Times New Roman" panose="02020603050405020304" pitchFamily="18" charset="0"/>
                <a:ea typeface="+mn-ea"/>
                <a:cs typeface="Times New Roman" panose="02020603050405020304" pitchFamily="18" charset="0"/>
              </a:defRPr>
            </a:pPr>
            <a:r>
              <a:rPr lang="en-IN" sz="1600">
                <a:solidFill>
                  <a:schemeClr val="accent3">
                    <a:lumMod val="75000"/>
                  </a:schemeClr>
                </a:solidFill>
              </a:rPr>
              <a:t>Treatment Protocols (%)</a:t>
            </a:r>
          </a:p>
        </c:rich>
      </c:tx>
      <c:overlay val="0"/>
      <c:spPr>
        <a:noFill/>
        <a:ln>
          <a:noFill/>
        </a:ln>
        <a:effectLst/>
      </c:spPr>
      <c:txPr>
        <a:bodyPr rot="0" spcFirstLastPara="1" vertOverflow="ellipsis" vert="horz" wrap="square" anchor="ctr" anchorCtr="1"/>
        <a:lstStyle/>
        <a:p>
          <a:pPr>
            <a:defRPr sz="1600" b="0" i="0" u="none" strike="noStrike" kern="1200" spc="0" baseline="0">
              <a:solidFill>
                <a:schemeClr val="accent3">
                  <a:lumMod val="7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bar"/>
        <c:grouping val="clustered"/>
        <c:varyColors val="0"/>
        <c:ser>
          <c:idx val="0"/>
          <c:order val="0"/>
          <c:tx>
            <c:strRef>
              <c:f>Sheet1!$B$1</c:f>
              <c:strCache>
                <c:ptCount val="1"/>
                <c:pt idx="0">
                  <c:v>Induction Chemotherapy + Radiotherapy</c:v>
                </c:pt>
              </c:strCache>
            </c:strRef>
          </c:tx>
          <c:spPr>
            <a:solidFill>
              <a:srgbClr val="7030A0"/>
            </a:solidFill>
            <a:ln>
              <a:noFill/>
            </a:ln>
            <a:effectLst/>
          </c:spPr>
          <c:invertIfNegative val="0"/>
          <c:dLbls>
            <c:dLbl>
              <c:idx val="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extLst>
                <c:ext xmlns:c16="http://schemas.microsoft.com/office/drawing/2014/chart" uri="{C3380CC4-5D6E-409C-BE32-E72D297353CC}">
                  <c16:uniqueId val="{00000000-CF6D-4918-A233-5A55C8150FBF}"/>
                </c:ext>
              </c:extLst>
            </c:dLbl>
            <c:dLbl>
              <c:idx val="1"/>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extLst>
                <c:ext xmlns:c16="http://schemas.microsoft.com/office/drawing/2014/chart" uri="{C3380CC4-5D6E-409C-BE32-E72D297353CC}">
                  <c16:uniqueId val="{00000001-CF6D-4918-A233-5A55C8150FBF}"/>
                </c:ext>
              </c:extLst>
            </c:dLbl>
            <c:dLbl>
              <c:idx val="2"/>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extLst>
                <c:ext xmlns:c16="http://schemas.microsoft.com/office/drawing/2014/chart" uri="{C3380CC4-5D6E-409C-BE32-E72D297353CC}">
                  <c16:uniqueId val="{00000002-CF6D-4918-A233-5A55C8150FBF}"/>
                </c:ext>
              </c:extLst>
            </c:dLbl>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Palliative Radiotherapy </c:v>
                </c:pt>
                <c:pt idx="1">
                  <c:v>Adjuavnt Radiotherapy</c:v>
                </c:pt>
                <c:pt idx="2">
                  <c:v>Definitive Radiotherapy </c:v>
                </c:pt>
              </c:strCache>
            </c:strRef>
          </c:cat>
          <c:val>
            <c:numRef>
              <c:f>Sheet1!$B$2:$B$4</c:f>
              <c:numCache>
                <c:formatCode>General</c:formatCode>
                <c:ptCount val="3"/>
                <c:pt idx="0">
                  <c:v>27</c:v>
                </c:pt>
                <c:pt idx="1">
                  <c:v>53</c:v>
                </c:pt>
                <c:pt idx="2">
                  <c:v>10</c:v>
                </c:pt>
              </c:numCache>
            </c:numRef>
          </c:val>
          <c:extLst>
            <c:ext xmlns:c16="http://schemas.microsoft.com/office/drawing/2014/chart" uri="{C3380CC4-5D6E-409C-BE32-E72D297353CC}">
              <c16:uniqueId val="{00000003-CF6D-4918-A233-5A55C8150FBF}"/>
            </c:ext>
          </c:extLst>
        </c:ser>
        <c:ser>
          <c:idx val="1"/>
          <c:order val="1"/>
          <c:tx>
            <c:strRef>
              <c:f>Sheet1!$C$1</c:f>
              <c:strCache>
                <c:ptCount val="1"/>
                <c:pt idx="0">
                  <c:v>Concurrent chemoradiotherapy</c:v>
                </c:pt>
              </c:strCache>
            </c:strRef>
          </c:tx>
          <c:spPr>
            <a:solidFill>
              <a:srgbClr val="99FFCC"/>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4-CF6D-4918-A233-5A55C8150FBF}"/>
                </c:ext>
              </c:extLst>
            </c:dLbl>
            <c:dLbl>
              <c:idx val="1"/>
              <c:delete val="1"/>
              <c:extLst>
                <c:ext xmlns:c15="http://schemas.microsoft.com/office/drawing/2012/chart" uri="{CE6537A1-D6FC-4f65-9D91-7224C49458BB}"/>
                <c:ext xmlns:c16="http://schemas.microsoft.com/office/drawing/2014/chart" uri="{C3380CC4-5D6E-409C-BE32-E72D297353CC}">
                  <c16:uniqueId val="{00000005-CF6D-4918-A233-5A55C8150FBF}"/>
                </c:ext>
              </c:extLst>
            </c:dLbl>
            <c:dLbl>
              <c:idx val="2"/>
              <c:layout>
                <c:manualLayout>
                  <c:x val="-2.6821636119803351E-2"/>
                  <c:y val="0"/>
                </c:manualLayout>
              </c:layout>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F6D-4918-A233-5A55C8150FBF}"/>
                </c:ext>
              </c:extLst>
            </c:dLbl>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Palliative Radiotherapy </c:v>
                </c:pt>
                <c:pt idx="1">
                  <c:v>Adjuavnt Radiotherapy</c:v>
                </c:pt>
                <c:pt idx="2">
                  <c:v>Definitive Radiotherapy </c:v>
                </c:pt>
              </c:strCache>
            </c:strRef>
          </c:cat>
          <c:val>
            <c:numRef>
              <c:f>Sheet1!$C$2:$C$4</c:f>
              <c:numCache>
                <c:formatCode>General</c:formatCode>
                <c:ptCount val="3"/>
                <c:pt idx="0">
                  <c:v>0</c:v>
                </c:pt>
                <c:pt idx="1">
                  <c:v>0</c:v>
                </c:pt>
                <c:pt idx="2">
                  <c:v>2</c:v>
                </c:pt>
              </c:numCache>
            </c:numRef>
          </c:val>
          <c:extLst>
            <c:ext xmlns:c16="http://schemas.microsoft.com/office/drawing/2014/chart" uri="{C3380CC4-5D6E-409C-BE32-E72D297353CC}">
              <c16:uniqueId val="{00000007-CF6D-4918-A233-5A55C8150FBF}"/>
            </c:ext>
          </c:extLst>
        </c:ser>
        <c:ser>
          <c:idx val="2"/>
          <c:order val="2"/>
          <c:tx>
            <c:strRef>
              <c:f>Sheet1!$D$1</c:f>
              <c:strCache>
                <c:ptCount val="1"/>
                <c:pt idx="0">
                  <c:v>Induction Chemotherapy + Concurrent chemoradiotherapy</c:v>
                </c:pt>
              </c:strCache>
            </c:strRef>
          </c:tx>
          <c:spPr>
            <a:solidFill>
              <a:srgbClr val="009999"/>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8-CF6D-4918-A233-5A55C8150FBF}"/>
                </c:ext>
              </c:extLst>
            </c:dLbl>
            <c:dLbl>
              <c:idx val="1"/>
              <c:delete val="1"/>
              <c:extLst>
                <c:ext xmlns:c15="http://schemas.microsoft.com/office/drawing/2012/chart" uri="{CE6537A1-D6FC-4f65-9D91-7224C49458BB}"/>
                <c:ext xmlns:c16="http://schemas.microsoft.com/office/drawing/2014/chart" uri="{C3380CC4-5D6E-409C-BE32-E72D297353CC}">
                  <c16:uniqueId val="{00000009-CF6D-4918-A233-5A55C8150FBF}"/>
                </c:ext>
              </c:extLst>
            </c:dLbl>
            <c:dLbl>
              <c:idx val="2"/>
              <c:layout>
                <c:manualLayout>
                  <c:x val="-5.5878408582923561E-2"/>
                  <c:y val="0"/>
                </c:manualLayout>
              </c:layout>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CF6D-4918-A233-5A55C8150FBF}"/>
                </c:ext>
              </c:extLst>
            </c:dLbl>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Palliative Radiotherapy </c:v>
                </c:pt>
                <c:pt idx="1">
                  <c:v>Adjuavnt Radiotherapy</c:v>
                </c:pt>
                <c:pt idx="2">
                  <c:v>Definitive Radiotherapy </c:v>
                </c:pt>
              </c:strCache>
            </c:strRef>
          </c:cat>
          <c:val>
            <c:numRef>
              <c:f>Sheet1!$D$2:$D$4</c:f>
              <c:numCache>
                <c:formatCode>General</c:formatCode>
                <c:ptCount val="3"/>
                <c:pt idx="0">
                  <c:v>0</c:v>
                </c:pt>
                <c:pt idx="1">
                  <c:v>0</c:v>
                </c:pt>
                <c:pt idx="2">
                  <c:v>8</c:v>
                </c:pt>
              </c:numCache>
            </c:numRef>
          </c:val>
          <c:extLst>
            <c:ext xmlns:c16="http://schemas.microsoft.com/office/drawing/2014/chart" uri="{C3380CC4-5D6E-409C-BE32-E72D297353CC}">
              <c16:uniqueId val="{0000000B-CF6D-4918-A233-5A55C8150FBF}"/>
            </c:ext>
          </c:extLst>
        </c:ser>
        <c:dLbls>
          <c:showLegendKey val="0"/>
          <c:showVal val="1"/>
          <c:showCatName val="0"/>
          <c:showSerName val="0"/>
          <c:showPercent val="0"/>
          <c:showBubbleSize val="0"/>
        </c:dLbls>
        <c:gapWidth val="182"/>
        <c:axId val="907184848"/>
        <c:axId val="907181968"/>
      </c:barChart>
      <c:catAx>
        <c:axId val="907184848"/>
        <c:scaling>
          <c:orientation val="minMax"/>
        </c:scaling>
        <c:delete val="0"/>
        <c:axPos val="l"/>
        <c:title>
          <c:tx>
            <c:rich>
              <a:bodyPr rot="-5400000" spcFirstLastPara="1" vertOverflow="ellipsis" vert="horz" wrap="square" anchor="ctr" anchorCtr="1"/>
              <a:lstStyle/>
              <a:p>
                <a:pPr>
                  <a:defRPr sz="800" b="0" i="0" u="none" strike="noStrike" kern="1200" baseline="0">
                    <a:solidFill>
                      <a:schemeClr val="bg1">
                        <a:lumMod val="65000"/>
                      </a:schemeClr>
                    </a:solidFill>
                    <a:latin typeface="Times New Roman" panose="02020603050405020304" pitchFamily="18" charset="0"/>
                    <a:ea typeface="+mn-ea"/>
                    <a:cs typeface="Times New Roman" panose="02020603050405020304" pitchFamily="18" charset="0"/>
                  </a:defRPr>
                </a:pPr>
                <a:r>
                  <a:rPr lang="en-IN" sz="800">
                    <a:solidFill>
                      <a:schemeClr val="bg1">
                        <a:lumMod val="65000"/>
                      </a:schemeClr>
                    </a:solidFill>
                  </a:rPr>
                  <a:t>Protocol</a:t>
                </a:r>
              </a:p>
            </c:rich>
          </c:tx>
          <c:overlay val="0"/>
          <c:spPr>
            <a:noFill/>
            <a:ln>
              <a:noFill/>
            </a:ln>
            <a:effectLst/>
          </c:spPr>
          <c:txPr>
            <a:bodyPr rot="-5400000" spcFirstLastPara="1" vertOverflow="ellipsis" vert="horz" wrap="square" anchor="ctr" anchorCtr="1"/>
            <a:lstStyle/>
            <a:p>
              <a:pPr>
                <a:defRPr sz="800" b="0" i="0" u="none" strike="noStrike" kern="1200" baseline="0">
                  <a:solidFill>
                    <a:schemeClr val="bg1">
                      <a:lumMod val="6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97"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907181968"/>
        <c:crosses val="autoZero"/>
        <c:auto val="1"/>
        <c:lblAlgn val="ctr"/>
        <c:lblOffset val="100"/>
        <c:noMultiLvlLbl val="0"/>
      </c:catAx>
      <c:valAx>
        <c:axId val="90718196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800" b="0" i="0" u="none" strike="noStrike" kern="1200" baseline="0">
                    <a:solidFill>
                      <a:schemeClr val="bg1">
                        <a:lumMod val="65000"/>
                      </a:schemeClr>
                    </a:solidFill>
                    <a:latin typeface="Times New Roman" panose="02020603050405020304" pitchFamily="18" charset="0"/>
                    <a:ea typeface="+mn-ea"/>
                    <a:cs typeface="Times New Roman" panose="02020603050405020304" pitchFamily="18" charset="0"/>
                  </a:defRPr>
                </a:pPr>
                <a:r>
                  <a:rPr lang="en-IN" sz="800">
                    <a:solidFill>
                      <a:schemeClr val="bg1">
                        <a:lumMod val="65000"/>
                      </a:schemeClr>
                    </a:solidFill>
                  </a:rPr>
                  <a:t>Cases</a:t>
                </a:r>
                <a:r>
                  <a:rPr lang="en-IN" sz="800" baseline="0">
                    <a:solidFill>
                      <a:schemeClr val="bg1">
                        <a:lumMod val="65000"/>
                      </a:schemeClr>
                    </a:solidFill>
                  </a:rPr>
                  <a:t> (%)</a:t>
                </a:r>
                <a:endParaRPr lang="en-IN" sz="800">
                  <a:solidFill>
                    <a:schemeClr val="bg1">
                      <a:lumMod val="65000"/>
                    </a:schemeClr>
                  </a:solidFill>
                </a:endParaRPr>
              </a:p>
            </c:rich>
          </c:tx>
          <c:overlay val="0"/>
          <c:spPr>
            <a:noFill/>
            <a:ln>
              <a:noFill/>
            </a:ln>
            <a:effectLst/>
          </c:spPr>
          <c:txPr>
            <a:bodyPr rot="0" spcFirstLastPara="1" vertOverflow="ellipsis" vert="horz" wrap="square" anchor="ctr" anchorCtr="1"/>
            <a:lstStyle/>
            <a:p>
              <a:pPr>
                <a:defRPr sz="800" b="0" i="0" u="none" strike="noStrike" kern="1200" baseline="0">
                  <a:solidFill>
                    <a:schemeClr val="bg1">
                      <a:lumMod val="6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907184848"/>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Entry>
      <c:legendEntry>
        <c:idx val="1"/>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Entry>
      <c:legendEntry>
        <c:idx val="2"/>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Entry>
      <c:layout>
        <c:manualLayout>
          <c:xMode val="edge"/>
          <c:yMode val="edge"/>
          <c:x val="1.4949936813453876E-2"/>
          <c:y val="0.8431380481109586"/>
          <c:w val="0.96763099057062296"/>
          <c:h val="0.13484360326518818"/>
        </c:manualLayout>
      </c:layout>
      <c:overlay val="0"/>
      <c:spPr>
        <a:noFill/>
        <a:ln>
          <a:noFill/>
        </a:ln>
        <a:effectLst/>
      </c:spPr>
      <c:txPr>
        <a:bodyPr rot="0" spcFirstLastPara="1" vertOverflow="ellipsis" vert="horz" wrap="square" anchor="ctr" anchorCtr="1"/>
        <a:lstStyle/>
        <a:p>
          <a:pPr>
            <a:defRPr sz="1197"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4">
  <a:schemeClr val="accent1"/>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withinLinear" id="14">
  <a:schemeClr val="accent1"/>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1197" kern="1200" cap="all"/>
  </cs:axisTitle>
  <cs:categoryAxis>
    <cs:lnRef idx="0"/>
    <cs:fillRef idx="0"/>
    <cs:effectRef idx="0"/>
    <cs:fontRef idx="minor">
      <a:schemeClr val="tx1">
        <a:lumMod val="65000"/>
        <a:lumOff val="35000"/>
      </a:schemeClr>
    </cs:fontRef>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cs:styleClr val="auto"/>
    </cs:fontRef>
    <cs:defRPr sz="133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33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2128"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430A47-B09B-4714-9C67-E3FAA249B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0</TotalTime>
  <Pages>12</Pages>
  <Words>3657</Words>
  <Characters>20850</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24459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OZ</cp:lastModifiedBy>
  <cp:revision>2</cp:revision>
  <cp:lastPrinted>1999-07-06T11:00:00Z</cp:lastPrinted>
  <dcterms:created xsi:type="dcterms:W3CDTF">2026-03-12T14:26:00Z</dcterms:created>
  <dcterms:modified xsi:type="dcterms:W3CDTF">2026-03-12T14:26:00Z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b87661a5-0cfd-4dfc-a203-df881e9b28d7</vt:lpwstr>
  </property>
</Properties>
</file>