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68291" w14:textId="03CE0215" w:rsidR="00FB6D12" w:rsidRPr="00A33129" w:rsidRDefault="00F74F0B" w:rsidP="00FB6D12">
      <w:pPr>
        <w:pStyle w:val="NoSpacing"/>
        <w:jc w:val="center"/>
        <w:rPr>
          <w:rFonts w:ascii="Times New Roman" w:hAnsi="Times New Roman" w:cs="Times New Roman"/>
          <w:b/>
          <w:bCs/>
          <w:sz w:val="28"/>
          <w:szCs w:val="28"/>
        </w:rPr>
      </w:pPr>
      <w:r w:rsidRPr="00A33129">
        <w:rPr>
          <w:rFonts w:ascii="Times New Roman" w:hAnsi="Times New Roman" w:cs="Times New Roman"/>
          <w:b/>
          <w:bCs/>
          <w:sz w:val="28"/>
          <w:szCs w:val="28"/>
        </w:rPr>
        <w:t xml:space="preserve">Influence of </w:t>
      </w:r>
      <w:r w:rsidR="00C77DED" w:rsidRPr="00C77DED">
        <w:rPr>
          <w:rFonts w:ascii="Times New Roman" w:hAnsi="Times New Roman" w:cs="Times New Roman"/>
          <w:b/>
          <w:bCs/>
          <w:color w:val="FF0000"/>
          <w:sz w:val="28"/>
          <w:szCs w:val="28"/>
        </w:rPr>
        <w:t>S</w:t>
      </w:r>
      <w:r w:rsidRPr="00A33129">
        <w:rPr>
          <w:rFonts w:ascii="Times New Roman" w:hAnsi="Times New Roman" w:cs="Times New Roman"/>
          <w:b/>
          <w:bCs/>
          <w:sz w:val="28"/>
          <w:szCs w:val="28"/>
        </w:rPr>
        <w:t xml:space="preserve">oil </w:t>
      </w:r>
      <w:r w:rsidR="00C77DED" w:rsidRPr="00C77DED">
        <w:rPr>
          <w:rFonts w:ascii="Times New Roman" w:hAnsi="Times New Roman" w:cs="Times New Roman"/>
          <w:b/>
          <w:bCs/>
          <w:color w:val="FF0000"/>
          <w:sz w:val="28"/>
          <w:szCs w:val="28"/>
        </w:rPr>
        <w:t>F</w:t>
      </w:r>
      <w:r w:rsidRPr="00A33129">
        <w:rPr>
          <w:rFonts w:ascii="Times New Roman" w:hAnsi="Times New Roman" w:cs="Times New Roman"/>
          <w:b/>
          <w:bCs/>
          <w:sz w:val="28"/>
          <w:szCs w:val="28"/>
        </w:rPr>
        <w:t xml:space="preserve">ertility and </w:t>
      </w:r>
      <w:r w:rsidR="00C77DED" w:rsidRPr="00C77DED">
        <w:rPr>
          <w:rFonts w:ascii="Times New Roman" w:hAnsi="Times New Roman" w:cs="Times New Roman"/>
          <w:b/>
          <w:bCs/>
          <w:color w:val="FF0000"/>
          <w:sz w:val="28"/>
          <w:szCs w:val="28"/>
        </w:rPr>
        <w:t>L</w:t>
      </w:r>
      <w:r w:rsidRPr="00A33129">
        <w:rPr>
          <w:rFonts w:ascii="Times New Roman" w:hAnsi="Times New Roman" w:cs="Times New Roman"/>
          <w:b/>
          <w:bCs/>
          <w:sz w:val="28"/>
          <w:szCs w:val="28"/>
        </w:rPr>
        <w:t xml:space="preserve">eaf </w:t>
      </w:r>
      <w:r w:rsidR="00C77DED" w:rsidRPr="00C77DED">
        <w:rPr>
          <w:rFonts w:ascii="Times New Roman" w:hAnsi="Times New Roman" w:cs="Times New Roman"/>
          <w:b/>
          <w:bCs/>
          <w:color w:val="FF0000"/>
          <w:sz w:val="28"/>
          <w:szCs w:val="28"/>
        </w:rPr>
        <w:t>N</w:t>
      </w:r>
      <w:r w:rsidRPr="00A33129">
        <w:rPr>
          <w:rFonts w:ascii="Times New Roman" w:hAnsi="Times New Roman" w:cs="Times New Roman"/>
          <w:b/>
          <w:bCs/>
          <w:sz w:val="28"/>
          <w:szCs w:val="28"/>
        </w:rPr>
        <w:t xml:space="preserve">utrient on </w:t>
      </w:r>
      <w:r w:rsidR="00C77DED" w:rsidRPr="00C77DED">
        <w:rPr>
          <w:rFonts w:ascii="Times New Roman" w:hAnsi="Times New Roman" w:cs="Times New Roman"/>
          <w:b/>
          <w:bCs/>
          <w:color w:val="FF0000"/>
          <w:sz w:val="28"/>
          <w:szCs w:val="28"/>
        </w:rPr>
        <w:t>C</w:t>
      </w:r>
      <w:r w:rsidRPr="00A33129">
        <w:rPr>
          <w:rFonts w:ascii="Times New Roman" w:hAnsi="Times New Roman" w:cs="Times New Roman"/>
          <w:b/>
          <w:bCs/>
          <w:sz w:val="28"/>
          <w:szCs w:val="28"/>
        </w:rPr>
        <w:t xml:space="preserve">ocoon </w:t>
      </w:r>
      <w:r w:rsidR="00C77DED" w:rsidRPr="00C77DED">
        <w:rPr>
          <w:rFonts w:ascii="Times New Roman" w:hAnsi="Times New Roman" w:cs="Times New Roman"/>
          <w:b/>
          <w:bCs/>
          <w:color w:val="FF0000"/>
          <w:sz w:val="28"/>
          <w:szCs w:val="28"/>
        </w:rPr>
        <w:t>Y</w:t>
      </w:r>
      <w:r w:rsidRPr="00A33129">
        <w:rPr>
          <w:rFonts w:ascii="Times New Roman" w:hAnsi="Times New Roman" w:cs="Times New Roman"/>
          <w:b/>
          <w:bCs/>
          <w:sz w:val="28"/>
          <w:szCs w:val="28"/>
        </w:rPr>
        <w:t xml:space="preserve">ield of </w:t>
      </w:r>
      <w:proofErr w:type="spellStart"/>
      <w:r w:rsidRPr="00A33129">
        <w:rPr>
          <w:rFonts w:ascii="Times New Roman" w:hAnsi="Times New Roman" w:cs="Times New Roman"/>
          <w:b/>
          <w:bCs/>
          <w:i/>
          <w:iCs/>
          <w:sz w:val="28"/>
          <w:szCs w:val="28"/>
        </w:rPr>
        <w:t>Antheraea</w:t>
      </w:r>
      <w:proofErr w:type="spellEnd"/>
      <w:r w:rsidRPr="00A33129">
        <w:rPr>
          <w:rFonts w:ascii="Times New Roman" w:hAnsi="Times New Roman" w:cs="Times New Roman"/>
          <w:b/>
          <w:bCs/>
          <w:i/>
          <w:iCs/>
          <w:sz w:val="28"/>
          <w:szCs w:val="28"/>
        </w:rPr>
        <w:t xml:space="preserve"> </w:t>
      </w:r>
      <w:proofErr w:type="spellStart"/>
      <w:r w:rsidRPr="00A33129">
        <w:rPr>
          <w:rFonts w:ascii="Times New Roman" w:hAnsi="Times New Roman" w:cs="Times New Roman"/>
          <w:b/>
          <w:bCs/>
          <w:i/>
          <w:iCs/>
          <w:sz w:val="28"/>
          <w:szCs w:val="28"/>
        </w:rPr>
        <w:t>mylitta</w:t>
      </w:r>
      <w:proofErr w:type="spellEnd"/>
      <w:r w:rsidRPr="00A33129">
        <w:rPr>
          <w:rFonts w:ascii="Times New Roman" w:hAnsi="Times New Roman" w:cs="Times New Roman"/>
          <w:b/>
          <w:bCs/>
          <w:sz w:val="28"/>
          <w:szCs w:val="28"/>
        </w:rPr>
        <w:t xml:space="preserve"> </w:t>
      </w:r>
      <w:r w:rsidRPr="00C77DED">
        <w:rPr>
          <w:rFonts w:ascii="Times New Roman" w:hAnsi="Times New Roman" w:cs="Times New Roman"/>
          <w:b/>
          <w:bCs/>
          <w:color w:val="FF0000"/>
          <w:sz w:val="28"/>
          <w:szCs w:val="28"/>
        </w:rPr>
        <w:t>D</w:t>
      </w:r>
      <w:r w:rsidRPr="00A33129">
        <w:rPr>
          <w:rFonts w:ascii="Times New Roman" w:hAnsi="Times New Roman" w:cs="Times New Roman"/>
          <w:b/>
          <w:bCs/>
          <w:sz w:val="28"/>
          <w:szCs w:val="28"/>
        </w:rPr>
        <w:t>rury</w:t>
      </w:r>
      <w:r w:rsidR="00B055DA" w:rsidRPr="00A33129">
        <w:rPr>
          <w:rFonts w:ascii="Times New Roman" w:hAnsi="Times New Roman" w:cs="Times New Roman"/>
          <w:b/>
          <w:bCs/>
          <w:sz w:val="28"/>
          <w:szCs w:val="28"/>
        </w:rPr>
        <w:t xml:space="preserve"> </w:t>
      </w:r>
      <w:proofErr w:type="spellStart"/>
      <w:r w:rsidR="00C77DED" w:rsidRPr="00C77DED">
        <w:rPr>
          <w:rFonts w:ascii="Times New Roman" w:hAnsi="Times New Roman" w:cs="Times New Roman"/>
          <w:b/>
          <w:bCs/>
          <w:color w:val="FF0000"/>
          <w:sz w:val="28"/>
          <w:szCs w:val="28"/>
        </w:rPr>
        <w:t>E</w:t>
      </w:r>
      <w:r w:rsidR="00B055DA" w:rsidRPr="00A33129">
        <w:rPr>
          <w:rFonts w:ascii="Times New Roman" w:hAnsi="Times New Roman" w:cs="Times New Roman"/>
          <w:b/>
          <w:bCs/>
          <w:sz w:val="28"/>
          <w:szCs w:val="28"/>
        </w:rPr>
        <w:t>coraces</w:t>
      </w:r>
      <w:proofErr w:type="spellEnd"/>
      <w:r w:rsidR="00772B04" w:rsidRPr="00A33129">
        <w:rPr>
          <w:rFonts w:ascii="Times New Roman" w:hAnsi="Times New Roman" w:cs="Times New Roman"/>
          <w:b/>
          <w:bCs/>
          <w:sz w:val="28"/>
          <w:szCs w:val="28"/>
        </w:rPr>
        <w:t xml:space="preserve">: A </w:t>
      </w:r>
      <w:r w:rsidR="00C77DED" w:rsidRPr="00C77DED">
        <w:rPr>
          <w:rFonts w:ascii="Times New Roman" w:hAnsi="Times New Roman" w:cs="Times New Roman"/>
          <w:b/>
          <w:bCs/>
          <w:color w:val="FF0000"/>
          <w:sz w:val="28"/>
          <w:szCs w:val="28"/>
        </w:rPr>
        <w:t>M</w:t>
      </w:r>
      <w:r w:rsidR="00772B04" w:rsidRPr="00A33129">
        <w:rPr>
          <w:rFonts w:ascii="Times New Roman" w:hAnsi="Times New Roman" w:cs="Times New Roman"/>
          <w:b/>
          <w:bCs/>
          <w:sz w:val="28"/>
          <w:szCs w:val="28"/>
        </w:rPr>
        <w:t>odel</w:t>
      </w:r>
      <w:r w:rsidR="00E0597A" w:rsidRPr="00A33129">
        <w:rPr>
          <w:rFonts w:ascii="Times New Roman" w:hAnsi="Times New Roman" w:cs="Times New Roman"/>
          <w:b/>
          <w:bCs/>
          <w:sz w:val="28"/>
          <w:szCs w:val="28"/>
        </w:rPr>
        <w:t xml:space="preserve"> </w:t>
      </w:r>
      <w:r w:rsidR="00C77DED" w:rsidRPr="00C77DED">
        <w:rPr>
          <w:rFonts w:ascii="Times New Roman" w:hAnsi="Times New Roman" w:cs="Times New Roman"/>
          <w:b/>
          <w:bCs/>
          <w:color w:val="FF0000"/>
          <w:sz w:val="28"/>
          <w:szCs w:val="28"/>
        </w:rPr>
        <w:t>S</w:t>
      </w:r>
      <w:r w:rsidR="00E0597A" w:rsidRPr="00A33129">
        <w:rPr>
          <w:rFonts w:ascii="Times New Roman" w:hAnsi="Times New Roman" w:cs="Times New Roman"/>
          <w:b/>
          <w:bCs/>
          <w:sz w:val="28"/>
          <w:szCs w:val="28"/>
        </w:rPr>
        <w:t>ystem to</w:t>
      </w:r>
      <w:r w:rsidR="00FB6D12" w:rsidRPr="00A33129">
        <w:rPr>
          <w:rFonts w:ascii="Times New Roman" w:hAnsi="Times New Roman" w:cs="Times New Roman"/>
          <w:sz w:val="28"/>
          <w:szCs w:val="28"/>
        </w:rPr>
        <w:t xml:space="preserve"> </w:t>
      </w:r>
      <w:r w:rsidR="00C77DED" w:rsidRPr="00C77DED">
        <w:rPr>
          <w:rFonts w:ascii="Times New Roman" w:hAnsi="Times New Roman" w:cs="Times New Roman"/>
          <w:b/>
          <w:bCs/>
          <w:color w:val="FF0000"/>
          <w:sz w:val="28"/>
          <w:szCs w:val="28"/>
        </w:rPr>
        <w:t>S</w:t>
      </w:r>
      <w:r w:rsidR="00E0597A" w:rsidRPr="00A33129">
        <w:rPr>
          <w:rFonts w:ascii="Times New Roman" w:hAnsi="Times New Roman" w:cs="Times New Roman"/>
          <w:b/>
          <w:bCs/>
          <w:sz w:val="28"/>
          <w:szCs w:val="28"/>
        </w:rPr>
        <w:t xml:space="preserve">trengthen the </w:t>
      </w:r>
      <w:r w:rsidR="00C77DED" w:rsidRPr="00C77DED">
        <w:rPr>
          <w:rFonts w:ascii="Times New Roman" w:hAnsi="Times New Roman" w:cs="Times New Roman"/>
          <w:b/>
          <w:bCs/>
          <w:color w:val="FF0000"/>
          <w:sz w:val="28"/>
          <w:szCs w:val="28"/>
        </w:rPr>
        <w:t>L</w:t>
      </w:r>
      <w:r w:rsidR="00E0597A" w:rsidRPr="00A33129">
        <w:rPr>
          <w:rFonts w:ascii="Times New Roman" w:hAnsi="Times New Roman" w:cs="Times New Roman"/>
          <w:b/>
          <w:bCs/>
          <w:sz w:val="28"/>
          <w:szCs w:val="28"/>
        </w:rPr>
        <w:t xml:space="preserve">ivelihoods </w:t>
      </w:r>
      <w:r w:rsidR="00223D66" w:rsidRPr="00A33129">
        <w:rPr>
          <w:rFonts w:ascii="Times New Roman" w:hAnsi="Times New Roman" w:cs="Times New Roman"/>
          <w:b/>
          <w:bCs/>
          <w:sz w:val="28"/>
          <w:szCs w:val="28"/>
        </w:rPr>
        <w:t xml:space="preserve">of </w:t>
      </w:r>
      <w:r w:rsidR="00C77DED" w:rsidRPr="00C77DED">
        <w:rPr>
          <w:rFonts w:ascii="Times New Roman" w:hAnsi="Times New Roman" w:cs="Times New Roman"/>
          <w:b/>
          <w:bCs/>
          <w:color w:val="FF0000"/>
          <w:sz w:val="28"/>
          <w:szCs w:val="28"/>
        </w:rPr>
        <w:t>T</w:t>
      </w:r>
      <w:r w:rsidR="00E0597A" w:rsidRPr="00A33129">
        <w:rPr>
          <w:rFonts w:ascii="Times New Roman" w:hAnsi="Times New Roman" w:cs="Times New Roman"/>
          <w:b/>
          <w:bCs/>
          <w:sz w:val="28"/>
          <w:szCs w:val="28"/>
        </w:rPr>
        <w:t xml:space="preserve">ribal </w:t>
      </w:r>
      <w:r w:rsidR="00C77DED" w:rsidRPr="00C77DED">
        <w:rPr>
          <w:rFonts w:ascii="Times New Roman" w:hAnsi="Times New Roman" w:cs="Times New Roman"/>
          <w:b/>
          <w:bCs/>
          <w:color w:val="FF0000"/>
          <w:sz w:val="28"/>
          <w:szCs w:val="28"/>
        </w:rPr>
        <w:t>R</w:t>
      </w:r>
      <w:r w:rsidR="00E0597A" w:rsidRPr="00A33129">
        <w:rPr>
          <w:rFonts w:ascii="Times New Roman" w:hAnsi="Times New Roman" w:cs="Times New Roman"/>
          <w:b/>
          <w:bCs/>
          <w:sz w:val="28"/>
          <w:szCs w:val="28"/>
        </w:rPr>
        <w:t>earers</w:t>
      </w:r>
    </w:p>
    <w:p w14:paraId="43B5CF26" w14:textId="77777777" w:rsidR="00E0597A" w:rsidRPr="00A33129" w:rsidRDefault="00E0597A" w:rsidP="0029723D">
      <w:pPr>
        <w:spacing w:after="120" w:line="360" w:lineRule="auto"/>
        <w:rPr>
          <w:rFonts w:ascii="Times New Roman" w:hAnsi="Times New Roman" w:cs="Times New Roman"/>
          <w:sz w:val="24"/>
          <w:szCs w:val="24"/>
        </w:rPr>
      </w:pPr>
    </w:p>
    <w:p w14:paraId="08CA4644" w14:textId="77777777" w:rsidR="00E0597A" w:rsidRPr="00A33129" w:rsidRDefault="00E0597A" w:rsidP="0029723D">
      <w:pPr>
        <w:spacing w:after="120" w:line="360" w:lineRule="auto"/>
        <w:rPr>
          <w:rFonts w:ascii="Times New Roman" w:hAnsi="Times New Roman" w:cs="Times New Roman"/>
          <w:sz w:val="24"/>
          <w:szCs w:val="24"/>
        </w:rPr>
      </w:pPr>
    </w:p>
    <w:p w14:paraId="10FD10CA" w14:textId="1193AF82" w:rsidR="0029723D" w:rsidRPr="00C77DED" w:rsidRDefault="00C77DED" w:rsidP="00FB6D12">
      <w:pPr>
        <w:spacing w:after="120" w:line="360" w:lineRule="auto"/>
        <w:jc w:val="left"/>
        <w:rPr>
          <w:rFonts w:ascii="Times New Roman" w:hAnsi="Times New Roman" w:cs="Times New Roman"/>
          <w:b/>
          <w:bCs/>
          <w:color w:val="FF0000"/>
          <w:sz w:val="24"/>
          <w:szCs w:val="24"/>
        </w:rPr>
      </w:pPr>
      <w:r w:rsidRPr="00C77DED">
        <w:rPr>
          <w:rFonts w:ascii="Times New Roman" w:hAnsi="Times New Roman" w:cs="Times New Roman"/>
          <w:b/>
          <w:bCs/>
          <w:color w:val="FF0000"/>
          <w:sz w:val="24"/>
          <w:szCs w:val="24"/>
        </w:rPr>
        <w:t>ABSTRACT</w:t>
      </w:r>
    </w:p>
    <w:p w14:paraId="5B785937" w14:textId="2D02AD8C" w:rsidR="00F779B0" w:rsidRPr="00A33129" w:rsidRDefault="00C77DED" w:rsidP="00BF2770">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B6D12" w:rsidRPr="00C77DED">
        <w:rPr>
          <w:rFonts w:ascii="Times New Roman" w:hAnsi="Times New Roman" w:cs="Times New Roman"/>
          <w:color w:val="FF0000"/>
          <w:sz w:val="24"/>
          <w:szCs w:val="24"/>
        </w:rPr>
        <w:t>S</w:t>
      </w:r>
      <w:r w:rsidR="00FB6D12" w:rsidRPr="00A33129">
        <w:rPr>
          <w:rFonts w:ascii="Times New Roman" w:hAnsi="Times New Roman" w:cs="Times New Roman"/>
          <w:sz w:val="24"/>
          <w:szCs w:val="24"/>
        </w:rPr>
        <w:t xml:space="preserve">oil macronutrients and micronutrients influence leaf biochemical composition, which subsequently affects larval survival, growth, silk gland development, and essential cocoon characteristics such as cocoon weight, shell ratio, and filament length. </w:t>
      </w:r>
      <w:r w:rsidR="00F779B0" w:rsidRPr="00A33129">
        <w:rPr>
          <w:rFonts w:ascii="Times New Roman" w:hAnsi="Times New Roman" w:cs="Times New Roman"/>
          <w:sz w:val="24"/>
          <w:szCs w:val="24"/>
        </w:rPr>
        <w:t xml:space="preserve">This </w:t>
      </w:r>
      <w:r w:rsidR="00FB6D12" w:rsidRPr="00A33129">
        <w:rPr>
          <w:rFonts w:ascii="Times New Roman" w:hAnsi="Times New Roman" w:cs="Times New Roman"/>
          <w:sz w:val="24"/>
          <w:szCs w:val="24"/>
        </w:rPr>
        <w:t>study</w:t>
      </w:r>
      <w:r w:rsidR="00F779B0" w:rsidRPr="00A33129">
        <w:rPr>
          <w:rFonts w:ascii="Times New Roman" w:hAnsi="Times New Roman" w:cs="Times New Roman"/>
          <w:sz w:val="24"/>
          <w:szCs w:val="24"/>
        </w:rPr>
        <w:t xml:space="preserve"> highlights on how soil fertility and leaf nutrient status regulate cocoon yield and quality in </w:t>
      </w:r>
      <w:r w:rsidR="00F779B0" w:rsidRPr="00A33129">
        <w:rPr>
          <w:rFonts w:ascii="Times New Roman" w:hAnsi="Times New Roman" w:cs="Times New Roman"/>
          <w:i/>
          <w:iCs/>
          <w:sz w:val="24"/>
          <w:szCs w:val="24"/>
        </w:rPr>
        <w:t>Antheraea mylitta</w:t>
      </w:r>
      <w:r w:rsidR="00F779B0" w:rsidRPr="00A33129">
        <w:rPr>
          <w:rFonts w:ascii="Times New Roman" w:hAnsi="Times New Roman" w:cs="Times New Roman"/>
          <w:sz w:val="24"/>
          <w:szCs w:val="24"/>
        </w:rPr>
        <w:t xml:space="preserve"> ecoraces of Odisha</w:t>
      </w:r>
      <w:r w:rsidR="00223D66" w:rsidRPr="00A33129">
        <w:rPr>
          <w:rFonts w:ascii="Times New Roman" w:hAnsi="Times New Roman" w:cs="Times New Roman"/>
          <w:sz w:val="24"/>
          <w:szCs w:val="24"/>
        </w:rPr>
        <w:t xml:space="preserve"> and suggests a model system to strengthen the livelihood of tribal rearers worldwide</w:t>
      </w:r>
      <w:r w:rsidR="00F779B0" w:rsidRPr="00A33129">
        <w:rPr>
          <w:rFonts w:ascii="Times New Roman" w:hAnsi="Times New Roman" w:cs="Times New Roman"/>
          <w:sz w:val="24"/>
          <w:szCs w:val="24"/>
        </w:rPr>
        <w:t xml:space="preserve">. The ecological and socio-economic importance of tropical tasar sericulture is initially outlined emphasizing the diversity of seven local ecoraces and their strong dependence on primary host plants </w:t>
      </w:r>
      <w:r w:rsidR="00F779B0" w:rsidRPr="00A33129">
        <w:rPr>
          <w:rFonts w:ascii="Times New Roman" w:hAnsi="Times New Roman" w:cs="Times New Roman"/>
          <w:i/>
          <w:iCs/>
          <w:sz w:val="24"/>
          <w:szCs w:val="24"/>
        </w:rPr>
        <w:t xml:space="preserve">Terminalia arjuna, T. tomentosa </w:t>
      </w:r>
      <w:r w:rsidR="00F779B0" w:rsidRPr="00A33129">
        <w:rPr>
          <w:rFonts w:ascii="Times New Roman" w:hAnsi="Times New Roman" w:cs="Times New Roman"/>
          <w:sz w:val="24"/>
          <w:szCs w:val="24"/>
        </w:rPr>
        <w:t xml:space="preserve">and </w:t>
      </w:r>
      <w:r w:rsidR="00F779B0" w:rsidRPr="00A33129">
        <w:rPr>
          <w:rFonts w:ascii="Times New Roman" w:hAnsi="Times New Roman" w:cs="Times New Roman"/>
          <w:i/>
          <w:iCs/>
          <w:sz w:val="24"/>
          <w:szCs w:val="24"/>
        </w:rPr>
        <w:t>Shorea robusta</w:t>
      </w:r>
      <w:r w:rsidR="00F779B0" w:rsidRPr="00A33129">
        <w:rPr>
          <w:rFonts w:ascii="Times New Roman" w:hAnsi="Times New Roman" w:cs="Times New Roman"/>
          <w:sz w:val="24"/>
          <w:szCs w:val="24"/>
        </w:rPr>
        <w:t xml:space="preserve">. The study incorporates knowledge regarding soil-leaf-larva interactions, nutritional absorption methods, and essential leaf-quality characteristics (protein, carbohydrates, moisture, tannins, texture) that influence rearing efficacy. Challenges caused by deteriorated soils, climatic changes, dependence on forests, widespread diseases, and traditional management practices are also examined. Ultimately, significant research gaps were identified and recommendations were proposed, including an integrated, multi-scale strategy that encompasses soil-plant diagnostics, leaf tissue analysis, enrichment of host plants and ecoraces, organic and site-specific nutrient management, as well as socio-economic interventions. Emphasizing soil and leaf nutrition is suggested as a rational approach to improve cocoon yield and quality, </w:t>
      </w:r>
      <w:bookmarkStart w:id="0" w:name="_Hlk217507978"/>
      <w:r w:rsidR="00F779B0" w:rsidRPr="00A33129">
        <w:rPr>
          <w:rFonts w:ascii="Times New Roman" w:hAnsi="Times New Roman" w:cs="Times New Roman"/>
          <w:sz w:val="24"/>
          <w:szCs w:val="24"/>
        </w:rPr>
        <w:t>strengthen the livelihoods of tribal rearers</w:t>
      </w:r>
      <w:bookmarkEnd w:id="0"/>
      <w:r w:rsidR="00F779B0" w:rsidRPr="00A33129">
        <w:rPr>
          <w:rFonts w:ascii="Times New Roman" w:hAnsi="Times New Roman" w:cs="Times New Roman"/>
          <w:sz w:val="24"/>
          <w:szCs w:val="24"/>
        </w:rPr>
        <w:t xml:space="preserve">, and promote conservation-focused tasar sericulture </w:t>
      </w:r>
      <w:r w:rsidR="00772B04" w:rsidRPr="00A33129">
        <w:rPr>
          <w:rFonts w:ascii="Times New Roman" w:hAnsi="Times New Roman" w:cs="Times New Roman"/>
          <w:sz w:val="24"/>
          <w:szCs w:val="24"/>
        </w:rPr>
        <w:t>and as a model system to explore broader questions and mechanisms.</w:t>
      </w:r>
    </w:p>
    <w:p w14:paraId="0B3344ED" w14:textId="2402858E" w:rsidR="00766629" w:rsidRPr="00A33129" w:rsidRDefault="00BF2770" w:rsidP="00FC06D7">
      <w:pPr>
        <w:spacing w:after="120" w:line="360" w:lineRule="auto"/>
        <w:ind w:left="1276" w:hanging="1276"/>
        <w:rPr>
          <w:rFonts w:ascii="Times New Roman" w:hAnsi="Times New Roman" w:cs="Times New Roman"/>
          <w:b/>
          <w:bCs/>
          <w:sz w:val="24"/>
          <w:szCs w:val="24"/>
        </w:rPr>
      </w:pPr>
      <w:r w:rsidRPr="00A33129">
        <w:rPr>
          <w:rFonts w:ascii="Times New Roman" w:hAnsi="Times New Roman" w:cs="Times New Roman"/>
          <w:b/>
          <w:bCs/>
          <w:sz w:val="24"/>
          <w:szCs w:val="24"/>
        </w:rPr>
        <w:t>Keywords:</w:t>
      </w:r>
      <w:r w:rsidRPr="00A33129">
        <w:rPr>
          <w:rFonts w:ascii="Times New Roman" w:hAnsi="Times New Roman" w:cs="Times New Roman"/>
          <w:b/>
          <w:bCs/>
          <w:i/>
          <w:iCs/>
          <w:sz w:val="24"/>
          <w:szCs w:val="24"/>
        </w:rPr>
        <w:t xml:space="preserve"> </w:t>
      </w:r>
      <w:r w:rsidRPr="00A33129">
        <w:rPr>
          <w:rFonts w:ascii="Times New Roman" w:hAnsi="Times New Roman" w:cs="Times New Roman"/>
          <w:sz w:val="24"/>
          <w:szCs w:val="24"/>
        </w:rPr>
        <w:t>Tasar silkworm ecoraces; soil fertility; leaf nutrient status; cocoon yield and quality; sustainable sericulture</w:t>
      </w:r>
      <w:r w:rsidR="00FC06D7" w:rsidRPr="00FC06D7">
        <w:rPr>
          <w:rFonts w:ascii="Times New Roman" w:hAnsi="Times New Roman" w:cs="Times New Roman"/>
          <w:color w:val="FF0000"/>
          <w:sz w:val="24"/>
          <w:szCs w:val="24"/>
        </w:rPr>
        <w:t>.</w:t>
      </w:r>
    </w:p>
    <w:p w14:paraId="2552C524" w14:textId="77777777" w:rsidR="006038DE" w:rsidRPr="00A33129" w:rsidRDefault="006038DE">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0FB1E7A0" w14:textId="5EC268F3" w:rsidR="00B055DA" w:rsidRPr="00A33129" w:rsidRDefault="006038DE" w:rsidP="006038DE">
      <w:pPr>
        <w:tabs>
          <w:tab w:val="left" w:pos="360"/>
        </w:tabs>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 xml:space="preserve">1. </w:t>
      </w:r>
      <w:r w:rsidR="00C77DED" w:rsidRPr="00C77DED">
        <w:rPr>
          <w:rFonts w:ascii="Times New Roman" w:hAnsi="Times New Roman" w:cs="Times New Roman"/>
          <w:b/>
          <w:bCs/>
          <w:color w:val="FF0000"/>
          <w:sz w:val="24"/>
          <w:szCs w:val="24"/>
        </w:rPr>
        <w:t>INTRODUCTION</w:t>
      </w:r>
    </w:p>
    <w:p w14:paraId="3186341B" w14:textId="18CCC153" w:rsidR="00E76B6D" w:rsidRPr="00A33129" w:rsidRDefault="00873715" w:rsidP="0029723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The tropical tasar silkworm,</w:t>
      </w:r>
      <w:r w:rsidR="00171B90" w:rsidRPr="00A33129">
        <w:rPr>
          <w:rFonts w:ascii="Times New Roman" w:hAnsi="Times New Roman" w:cs="Times New Roman"/>
          <w:i/>
          <w:iCs/>
          <w:sz w:val="24"/>
          <w:szCs w:val="24"/>
        </w:rPr>
        <w:t xml:space="preserve"> </w:t>
      </w:r>
      <w:r w:rsidR="00B055DA" w:rsidRPr="00A33129">
        <w:rPr>
          <w:rFonts w:ascii="Times New Roman" w:hAnsi="Times New Roman" w:cs="Times New Roman"/>
          <w:i/>
          <w:iCs/>
          <w:sz w:val="24"/>
          <w:szCs w:val="24"/>
        </w:rPr>
        <w:t xml:space="preserve">Antheraea mylitta </w:t>
      </w:r>
      <w:r w:rsidR="00171B90" w:rsidRPr="00A33129">
        <w:rPr>
          <w:rFonts w:ascii="Times New Roman" w:hAnsi="Times New Roman" w:cs="Times New Roman"/>
          <w:sz w:val="24"/>
          <w:szCs w:val="24"/>
        </w:rPr>
        <w:t>Drury, is</w:t>
      </w:r>
      <w:r w:rsidR="00B055DA"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 xml:space="preserve">a key species </w:t>
      </w:r>
      <w:r w:rsidR="00B055DA" w:rsidRPr="00A33129">
        <w:rPr>
          <w:rFonts w:ascii="Times New Roman" w:hAnsi="Times New Roman" w:cs="Times New Roman"/>
          <w:sz w:val="24"/>
          <w:szCs w:val="24"/>
        </w:rPr>
        <w:t xml:space="preserve">exploited </w:t>
      </w:r>
      <w:r w:rsidR="00171B90" w:rsidRPr="00A33129">
        <w:rPr>
          <w:rFonts w:ascii="Times New Roman" w:hAnsi="Times New Roman" w:cs="Times New Roman"/>
          <w:sz w:val="24"/>
          <w:szCs w:val="24"/>
        </w:rPr>
        <w:t xml:space="preserve">for commercial silk production </w:t>
      </w:r>
      <w:r w:rsidR="00B055DA" w:rsidRPr="00A33129">
        <w:rPr>
          <w:rFonts w:ascii="Times New Roman" w:hAnsi="Times New Roman" w:cs="Times New Roman"/>
          <w:sz w:val="24"/>
          <w:szCs w:val="24"/>
        </w:rPr>
        <w:t xml:space="preserve">in </w:t>
      </w:r>
      <w:r w:rsidR="00171B90" w:rsidRPr="00A33129">
        <w:rPr>
          <w:rFonts w:ascii="Times New Roman" w:hAnsi="Times New Roman" w:cs="Times New Roman"/>
          <w:sz w:val="24"/>
          <w:szCs w:val="24"/>
        </w:rPr>
        <w:t>India</w:t>
      </w:r>
      <w:r w:rsidR="007512BF" w:rsidRPr="00A33129">
        <w:rPr>
          <w:rFonts w:ascii="Times New Roman" w:hAnsi="Times New Roman" w:cs="Times New Roman"/>
          <w:sz w:val="24"/>
          <w:szCs w:val="24"/>
        </w:rPr>
        <w:t xml:space="preserve"> (Fig.1)</w:t>
      </w:r>
      <w:r w:rsidR="0029723D" w:rsidRPr="00A33129">
        <w:rPr>
          <w:rFonts w:ascii="Times New Roman" w:hAnsi="Times New Roman" w:cs="Times New Roman"/>
          <w:sz w:val="24"/>
          <w:szCs w:val="24"/>
        </w:rPr>
        <w:t xml:space="preserve">. </w:t>
      </w:r>
      <w:r w:rsidR="00171B90" w:rsidRPr="00A33129">
        <w:rPr>
          <w:rFonts w:ascii="Times New Roman" w:hAnsi="Times New Roman" w:cs="Times New Roman"/>
          <w:sz w:val="24"/>
          <w:szCs w:val="24"/>
        </w:rPr>
        <w:t xml:space="preserve">This polyphagous insect is widely distributed across diverse ecosystems in the form of 44 ecoraces in different states of the country, adapted to varying environmental conditions including food plants, forest types, soil, and climate </w:t>
      </w:r>
      <w:r w:rsidR="00171B90"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Renuka","given":"G","non-dropping-particle":"","parse-names":false,"suffix":""},{"dropping-particle":"","family":"Shamitha","given":"G","non-dropping-particle":"","parse-names":false,"suffix":""}],"container-title":"Journal of Entomology and Zoology Studies","id":"ITEM-1","issue":"6","issued":{"date-parts":[["2015"]]},"page":"241-245","title":"Studies on the biodiversity of tasar ecoraces Antheraea mylitta Drury","type":"article-journal","volume":"3"},"uris":["http://www.mendeley.com/documents/?uuid=f442f775-9263-4c57-83d7-2555d9371a49"]}],"mendeley":{"formattedCitation":"(Renuka &amp; Shamitha, 2015b)","plainTextFormattedCitation":"(Renuka &amp; Shamitha, 2015b)","previouslyFormattedCitation":"(Renuka &amp; Shamitha, 2015b)"},"properties":{"noteIndex":0},"schema":"https://github.com/citation-style-language/schema/raw/master/csl-citation.json"}</w:instrText>
      </w:r>
      <w:r w:rsidR="00171B90" w:rsidRPr="00A33129">
        <w:rPr>
          <w:rFonts w:ascii="Times New Roman" w:hAnsi="Times New Roman" w:cs="Times New Roman"/>
          <w:sz w:val="24"/>
          <w:szCs w:val="24"/>
        </w:rPr>
        <w:fldChar w:fldCharType="separate"/>
      </w:r>
      <w:r w:rsidR="00A17232" w:rsidRPr="00A33129">
        <w:rPr>
          <w:rFonts w:ascii="Times New Roman" w:hAnsi="Times New Roman" w:cs="Times New Roman"/>
          <w:noProof/>
          <w:sz w:val="24"/>
          <w:szCs w:val="24"/>
        </w:rPr>
        <w:t>(Renuka &amp; Shamitha, 2015b)</w:t>
      </w:r>
      <w:r w:rsidR="00171B90" w:rsidRPr="00A33129">
        <w:rPr>
          <w:rFonts w:ascii="Times New Roman" w:hAnsi="Times New Roman" w:cs="Times New Roman"/>
          <w:sz w:val="24"/>
          <w:szCs w:val="24"/>
        </w:rPr>
        <w:fldChar w:fldCharType="end"/>
      </w:r>
      <w:r w:rsidR="00171B90" w:rsidRPr="00A33129">
        <w:rPr>
          <w:rFonts w:ascii="Times New Roman" w:hAnsi="Times New Roman" w:cs="Times New Roman"/>
          <w:sz w:val="24"/>
          <w:szCs w:val="24"/>
        </w:rPr>
        <w:t xml:space="preserve">. </w:t>
      </w:r>
      <w:r w:rsidR="00260C9A" w:rsidRPr="00A33129">
        <w:rPr>
          <w:rFonts w:ascii="Times New Roman" w:hAnsi="Times New Roman" w:cs="Times New Roman"/>
          <w:sz w:val="24"/>
          <w:szCs w:val="24"/>
        </w:rPr>
        <w:t xml:space="preserve">These ecoraces span several states, with Odisha alone home to seven different types of </w:t>
      </w:r>
      <w:proofErr w:type="spellStart"/>
      <w:r w:rsidR="00260C9A" w:rsidRPr="00A33129">
        <w:rPr>
          <w:rFonts w:ascii="Times New Roman" w:hAnsi="Times New Roman" w:cs="Times New Roman"/>
          <w:sz w:val="24"/>
          <w:szCs w:val="24"/>
        </w:rPr>
        <w:t>ecoraces</w:t>
      </w:r>
      <w:proofErr w:type="spellEnd"/>
      <w:r w:rsidR="00260C9A" w:rsidRPr="00A33129">
        <w:rPr>
          <w:rFonts w:ascii="Times New Roman" w:hAnsi="Times New Roman" w:cs="Times New Roman"/>
          <w:sz w:val="24"/>
          <w:szCs w:val="24"/>
        </w:rPr>
        <w:t xml:space="preserve">, namely, Modal, </w:t>
      </w:r>
      <w:proofErr w:type="spellStart"/>
      <w:r w:rsidR="00260C9A" w:rsidRPr="00A33129">
        <w:rPr>
          <w:rFonts w:ascii="Times New Roman" w:hAnsi="Times New Roman" w:cs="Times New Roman"/>
          <w:sz w:val="24"/>
          <w:szCs w:val="24"/>
        </w:rPr>
        <w:t>Sukinda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Nalia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Jata-Daba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Adaba</w:t>
      </w:r>
      <w:proofErr w:type="spellEnd"/>
      <w:r w:rsidR="00260C9A" w:rsidRPr="00A33129">
        <w:rPr>
          <w:rFonts w:ascii="Times New Roman" w:hAnsi="Times New Roman" w:cs="Times New Roman"/>
          <w:sz w:val="24"/>
          <w:szCs w:val="24"/>
        </w:rPr>
        <w:t xml:space="preserve">, </w:t>
      </w:r>
      <w:proofErr w:type="spellStart"/>
      <w:r w:rsidR="00260C9A" w:rsidRPr="00A33129">
        <w:rPr>
          <w:rFonts w:ascii="Times New Roman" w:hAnsi="Times New Roman" w:cs="Times New Roman"/>
          <w:sz w:val="24"/>
          <w:szCs w:val="24"/>
        </w:rPr>
        <w:t>Umerkote</w:t>
      </w:r>
      <w:proofErr w:type="spellEnd"/>
      <w:r w:rsidR="00260C9A" w:rsidRPr="00A33129">
        <w:rPr>
          <w:rFonts w:ascii="Times New Roman" w:hAnsi="Times New Roman" w:cs="Times New Roman"/>
          <w:sz w:val="24"/>
          <w:szCs w:val="24"/>
        </w:rPr>
        <w:t xml:space="preserve">, and </w:t>
      </w:r>
      <w:proofErr w:type="spellStart"/>
      <w:r w:rsidR="00260C9A" w:rsidRPr="00A33129">
        <w:rPr>
          <w:rFonts w:ascii="Times New Roman" w:hAnsi="Times New Roman" w:cs="Times New Roman"/>
          <w:sz w:val="24"/>
          <w:szCs w:val="24"/>
        </w:rPr>
        <w:t>Boudh</w:t>
      </w:r>
      <w:proofErr w:type="spellEnd"/>
      <w:r w:rsidR="00260C9A" w:rsidRPr="00A33129">
        <w:rPr>
          <w:rFonts w:ascii="Times New Roman" w:hAnsi="Times New Roman" w:cs="Times New Roman"/>
          <w:sz w:val="24"/>
          <w:szCs w:val="24"/>
        </w:rPr>
        <w:t xml:space="preserve"> </w:t>
      </w:r>
      <w:r w:rsidR="00260C9A" w:rsidRPr="00A33129">
        <w:rPr>
          <w:rFonts w:ascii="Times New Roman" w:hAnsi="Times New Roman" w:cs="Times New Roman"/>
          <w:sz w:val="24"/>
          <w:szCs w:val="24"/>
        </w:rPr>
        <w:fldChar w:fldCharType="begin" w:fldLock="1"/>
      </w:r>
      <w:r w:rsidR="004D52B5" w:rsidRPr="00A33129">
        <w:rPr>
          <w:rFonts w:ascii="Times New Roman" w:hAnsi="Times New Roman" w:cs="Times New Roman"/>
          <w:sz w:val="24"/>
          <w:szCs w:val="24"/>
        </w:rPr>
        <w:instrText>ADDIN CSL_CITATION {"citationItems":[{"id":"ITEM-1","itemData":{"DOI":"10.36953/ECJ.15052468","ISSN":"22785124","abstract":"Tropical Tasar silkworm Antheraea mylitta Drury (Family: Saturniidae) produces Tasar silk which has very high demand globally and because of their wide range of distribution in tropical regions, they have adapted to different niches forming different ecoraces. In Odisha, alone seven types of ecoraces of A. mylitta have been reported, namely Modal, Sukinda, Nalia, Jata-Daba, Adaba, Umerkote, and Boudh. These ecoraces show differences in their phenotypes, genetic constitution, fecundity, voltinism, etc. In the past few decades, there is the substantial deterioration of habitats due to many anthropogenic activities. This has resulted in a large decline in wild Tasar cocoon production. Lepidopterans are accepted as ecological indicators of ecosystem health and it is apprehended that through anthropogenic and climatic factors this precious genetic resource, which took millions of years to evolve, may face the threat of extinction shortly if adequate conservation measures are not taken. This paper attempts the geospatial mapping of these ecoraces in the state of Odisha through RS and GIS tools, which will provide a greater scenario for their conservation.","author":[{"dropping-particle":"","family":"Ray","given":"Priti Pragyan","non-dropping-particle":"","parse-names":false,"suffix":""},{"dropping-particle":"","family":"Barala","given":"Barsha","non-dropping-particle":"","parse-names":false,"suffix":""}],"container-title":"Environment Conservation Journal","id":"ITEM-1","issue":"3","issued":{"date-parts":[["2023"]]},"page":"98-104","title":"Geospatial mapping of ecoraces of tasar silkworm (Antheraea mylitta Drury) using remote sensing and geographic information system techniques","type":"article-journal","volume":"24"},"uris":["http://www.mendeley.com/documents/?uuid=ea06617a-d3fe-4c06-9a68-31da58df76ec"]}],"mendeley":{"formattedCitation":"(Ray &amp; Barala, 2023)","plainTextFormattedCitation":"(Ray &amp; Barala, 2023)","previouslyFormattedCitation":"(Ray &amp; Barala, 2023)"},"properties":{"noteIndex":0},"schema":"https://github.com/citation-style-language/schema/raw/master/csl-citation.json"}</w:instrText>
      </w:r>
      <w:r w:rsidR="00260C9A" w:rsidRPr="00A33129">
        <w:rPr>
          <w:rFonts w:ascii="Times New Roman" w:hAnsi="Times New Roman" w:cs="Times New Roman"/>
          <w:sz w:val="24"/>
          <w:szCs w:val="24"/>
        </w:rPr>
        <w:fldChar w:fldCharType="separate"/>
      </w:r>
      <w:r w:rsidR="00260C9A" w:rsidRPr="00A33129">
        <w:rPr>
          <w:rFonts w:ascii="Times New Roman" w:hAnsi="Times New Roman" w:cs="Times New Roman"/>
          <w:noProof/>
          <w:sz w:val="24"/>
          <w:szCs w:val="24"/>
        </w:rPr>
        <w:t>(Ray &amp; Barala, 2023)</w:t>
      </w:r>
      <w:r w:rsidR="00260C9A" w:rsidRPr="00A33129">
        <w:rPr>
          <w:rFonts w:ascii="Times New Roman" w:hAnsi="Times New Roman" w:cs="Times New Roman"/>
          <w:sz w:val="24"/>
          <w:szCs w:val="24"/>
        </w:rPr>
        <w:fldChar w:fldCharType="end"/>
      </w:r>
      <w:r w:rsidR="00260C9A" w:rsidRPr="00A33129">
        <w:rPr>
          <w:rFonts w:ascii="Times New Roman" w:hAnsi="Times New Roman" w:cs="Times New Roman"/>
          <w:sz w:val="24"/>
          <w:szCs w:val="24"/>
        </w:rPr>
        <w:t xml:space="preserve">. </w:t>
      </w:r>
      <w:r w:rsidR="00E76B6D" w:rsidRPr="00A33129">
        <w:rPr>
          <w:rFonts w:ascii="Times New Roman" w:hAnsi="Times New Roman" w:cs="Times New Roman"/>
          <w:sz w:val="24"/>
          <w:szCs w:val="24"/>
        </w:rPr>
        <w:t xml:space="preserve">Odisha’s tropical climate and forest-rich regions create an ideal environment for rearing Tasar silkworms, with local ecoraces uniquely adapted to the host plants and climatic conditions, ensuring sustainable silk production. </w:t>
      </w:r>
      <w:r w:rsidR="005652DD" w:rsidRPr="00A33129">
        <w:rPr>
          <w:rFonts w:ascii="Times New Roman" w:hAnsi="Times New Roman" w:cs="Times New Roman"/>
          <w:sz w:val="24"/>
          <w:szCs w:val="24"/>
        </w:rPr>
        <w:t>Tasar silkworm is polyphag</w:t>
      </w:r>
      <w:r w:rsidR="00E76B6D" w:rsidRPr="00A33129">
        <w:rPr>
          <w:rFonts w:ascii="Times New Roman" w:hAnsi="Times New Roman" w:cs="Times New Roman"/>
          <w:sz w:val="24"/>
          <w:szCs w:val="24"/>
        </w:rPr>
        <w:t>o</w:t>
      </w:r>
      <w:r w:rsidR="005652DD" w:rsidRPr="00A33129">
        <w:rPr>
          <w:rFonts w:ascii="Times New Roman" w:hAnsi="Times New Roman" w:cs="Times New Roman"/>
          <w:sz w:val="24"/>
          <w:szCs w:val="24"/>
        </w:rPr>
        <w:t>us in nature and primarily feeds on most popular trees</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Arjun (</w:t>
      </w:r>
      <w:r w:rsidR="005652DD" w:rsidRPr="00A33129">
        <w:rPr>
          <w:rFonts w:ascii="Times New Roman" w:hAnsi="Times New Roman" w:cs="Times New Roman"/>
          <w:i/>
          <w:iCs/>
          <w:sz w:val="24"/>
          <w:szCs w:val="24"/>
        </w:rPr>
        <w:t>Terminalia arjuna</w:t>
      </w:r>
      <w:r w:rsidR="005652DD" w:rsidRPr="00A33129">
        <w:rPr>
          <w:rFonts w:ascii="Times New Roman" w:hAnsi="Times New Roman" w:cs="Times New Roman"/>
          <w:sz w:val="24"/>
          <w:szCs w:val="24"/>
        </w:rPr>
        <w:t>),</w:t>
      </w:r>
      <w:r w:rsidR="0029723D"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Asan</w:t>
      </w:r>
      <w:r w:rsidR="00260C9A"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r w:rsidR="005652DD" w:rsidRPr="00A33129">
        <w:rPr>
          <w:rFonts w:ascii="Times New Roman" w:hAnsi="Times New Roman" w:cs="Times New Roman"/>
          <w:i/>
          <w:iCs/>
          <w:sz w:val="24"/>
          <w:szCs w:val="24"/>
        </w:rPr>
        <w:t>Terminalia tomentosa</w:t>
      </w:r>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w:t>
      </w:r>
      <w:r w:rsidR="005652DD" w:rsidRPr="00A33129">
        <w:rPr>
          <w:rFonts w:ascii="Times New Roman" w:hAnsi="Times New Roman" w:cs="Times New Roman"/>
          <w:sz w:val="24"/>
          <w:szCs w:val="24"/>
        </w:rPr>
        <w:t xml:space="preserve"> Sal</w:t>
      </w:r>
      <w:r w:rsidR="0029723D" w:rsidRPr="00A33129">
        <w:rPr>
          <w:rFonts w:ascii="Times New Roman" w:hAnsi="Times New Roman" w:cs="Times New Roman"/>
          <w:sz w:val="24"/>
          <w:szCs w:val="24"/>
        </w:rPr>
        <w:t xml:space="preserve"> </w:t>
      </w:r>
      <w:r w:rsidR="005652DD" w:rsidRPr="00A33129">
        <w:rPr>
          <w:rFonts w:ascii="Times New Roman" w:hAnsi="Times New Roman" w:cs="Times New Roman"/>
          <w:sz w:val="24"/>
          <w:szCs w:val="24"/>
        </w:rPr>
        <w:t>(</w:t>
      </w:r>
      <w:r w:rsidR="005652DD" w:rsidRPr="00A33129">
        <w:rPr>
          <w:rFonts w:ascii="Times New Roman" w:hAnsi="Times New Roman" w:cs="Times New Roman"/>
          <w:i/>
          <w:iCs/>
          <w:sz w:val="24"/>
          <w:szCs w:val="24"/>
        </w:rPr>
        <w:t>Shorea robusta</w:t>
      </w:r>
      <w:r w:rsidR="005652DD" w:rsidRPr="00A33129">
        <w:rPr>
          <w:rFonts w:ascii="Times New Roman" w:hAnsi="Times New Roman" w:cs="Times New Roman"/>
          <w:sz w:val="24"/>
          <w:szCs w:val="24"/>
        </w:rPr>
        <w:t>)</w:t>
      </w:r>
      <w:r w:rsidR="00E76B6D"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lang w:val="en-US"/>
        </w:rPr>
        <w:t>with approximately 15 additional plants reported as secondary hosts</w:t>
      </w:r>
      <w:r w:rsidR="00821434" w:rsidRPr="00A33129">
        <w:rPr>
          <w:rFonts w:ascii="Times New Roman" w:hAnsi="Times New Roman" w:cs="Times New Roman"/>
          <w:sz w:val="24"/>
          <w:szCs w:val="24"/>
          <w:lang w:val="en-US"/>
        </w:rPr>
        <w:t xml:space="preserve"> </w:t>
      </w:r>
      <w:r w:rsidR="00821434" w:rsidRPr="00A33129">
        <w:rPr>
          <w:rFonts w:ascii="Times New Roman" w:hAnsi="Times New Roman" w:cs="Times New Roman"/>
          <w:sz w:val="24"/>
          <w:szCs w:val="24"/>
          <w:lang w:val="en-US"/>
        </w:rPr>
        <w:fldChar w:fldCharType="begin" w:fldLock="1"/>
      </w:r>
      <w:r w:rsidR="00821434" w:rsidRPr="00A33129">
        <w:rPr>
          <w:rFonts w:ascii="Times New Roman" w:hAnsi="Times New Roman" w:cs="Times New Roman"/>
          <w:sz w:val="24"/>
          <w:szCs w:val="24"/>
          <w:lang w:val="en-US"/>
        </w:rPr>
        <w:instrText>ADDIN CSL_CITATION {"citationItems":[{"id":"ITEM-1","itemData":{"DOI":"10.1007/978-981-10-3304-9","ISBN":"9789811033049","abstract":"This book is a compilation of writings focused on conventional and unconventional insect products. Some of these products are commercials successes, while others are waiting to be launched and are the potential produce of the future. In addition to the well known products honey, mulberry silk, and lac, the book primarily concentrates on silk producing insects other than the mulberry silkworm, insects as food, as sources of medicines, pest and weed managers, and as pollinators. The book highlights the all pervasive role of insects in improving human lives at multiple levels. Accordingly, while most books on insects concentrate on how to limit growth in their population, it instead focuses on how to propagate them. In each chapter, the book brings to the fore how insects are far more beneficial to us than their well publicised harmful roles. This book approaches both unconventional and conventional insect products, such as honey, silk and lac in much more depth than the available literature. It investigates different aspects of the production of these insects, such as the related processes, problems and utilities, in dedicated chapters. Because this book deals with the production of insects or their produce, it has been named Industrial Entomology, perhaps the only book that truly reveals the tremendous potential of insects to help humans live better lives. Based on the research and working experience of the contributors, who are global experts in their respective fields, it provides authentic, authoritative and updated information on these topics. The book offers a unique guide for students, teachers, policy planners, small scale industrialists, and government ministries of agriculture and industry across the globe. It will provide a much required stimulus to insect appreciation and generate enthusiasm for research and the broader acceptance for insect produce. Hopefully, it will also present the Indian perspective on these topics to a global readership.","author":[{"dropping-particle":"","family":"D. D. Barsagade","given":"","non-dropping-particle":"","parse-names":false,"suffix":""}],"container-title":"Industrial Entomology","id":"ITEM-1","issued":{"date-parts":[["2017"]]},"page":"291-319","title":"Tropical Tasar Sericulture","type":"chapter"},"uris":["http://www.mendeley.com/documents/?uuid=187468f1-69e1-48e3-aec0-67e0879aaa9c"]}],"mendeley":{"formattedCitation":"(D. D. Barsagade, 2017)","manualFormatting":"(Barsagade, 2017)","plainTextFormattedCitation":"(D. D. Barsagade, 2017)","previouslyFormattedCitation":"(D. D. Barsagade, 2017)"},"properties":{"noteIndex":0},"schema":"https://github.com/citation-style-language/schema/raw/master/csl-citation.json"}</w:instrText>
      </w:r>
      <w:r w:rsidR="00821434" w:rsidRPr="00A33129">
        <w:rPr>
          <w:rFonts w:ascii="Times New Roman" w:hAnsi="Times New Roman" w:cs="Times New Roman"/>
          <w:sz w:val="24"/>
          <w:szCs w:val="24"/>
          <w:lang w:val="en-US"/>
        </w:rPr>
        <w:fldChar w:fldCharType="separate"/>
      </w:r>
      <w:r w:rsidR="00821434" w:rsidRPr="00A33129">
        <w:rPr>
          <w:rFonts w:ascii="Times New Roman" w:hAnsi="Times New Roman" w:cs="Times New Roman"/>
          <w:noProof/>
          <w:sz w:val="24"/>
          <w:szCs w:val="24"/>
          <w:lang w:val="en-US"/>
        </w:rPr>
        <w:t>(Barsagade, 2017)</w:t>
      </w:r>
      <w:r w:rsidR="00821434" w:rsidRPr="00A33129">
        <w:rPr>
          <w:rFonts w:ascii="Times New Roman" w:hAnsi="Times New Roman" w:cs="Times New Roman"/>
          <w:sz w:val="24"/>
          <w:szCs w:val="24"/>
          <w:lang w:val="en-US"/>
        </w:rPr>
        <w:fldChar w:fldCharType="end"/>
      </w:r>
      <w:r w:rsidR="005652DD" w:rsidRPr="00A33129">
        <w:rPr>
          <w:rFonts w:ascii="Times New Roman" w:hAnsi="Times New Roman" w:cs="Times New Roman"/>
          <w:sz w:val="24"/>
          <w:szCs w:val="24"/>
        </w:rPr>
        <w:t>.</w:t>
      </w:r>
      <w:r w:rsidR="0029723D" w:rsidRPr="00A33129">
        <w:rPr>
          <w:rFonts w:ascii="Times New Roman" w:hAnsi="Times New Roman" w:cs="Times New Roman"/>
          <w:sz w:val="24"/>
          <w:szCs w:val="24"/>
        </w:rPr>
        <w:t xml:space="preserve"> </w:t>
      </w:r>
    </w:p>
    <w:p w14:paraId="74E44C3D" w14:textId="0886327D" w:rsidR="00AA7B9B" w:rsidRPr="00A33129" w:rsidRDefault="00AD3829" w:rsidP="0029723D">
      <w:pPr>
        <w:spacing w:after="120" w:line="360" w:lineRule="auto"/>
        <w:rPr>
          <w:rFonts w:ascii="Times New Roman" w:hAnsi="Times New Roman" w:cs="Times New Roman"/>
          <w:sz w:val="24"/>
          <w:szCs w:val="24"/>
        </w:rPr>
      </w:pPr>
      <w:r w:rsidRPr="00C133E8">
        <w:rPr>
          <w:rFonts w:ascii="Times New Roman" w:hAnsi="Times New Roman" w:cs="Times New Roman"/>
          <w:color w:val="FF0000"/>
          <w:sz w:val="24"/>
          <w:szCs w:val="24"/>
        </w:rPr>
        <w:t>T</w:t>
      </w:r>
      <w:r w:rsidRPr="00A33129">
        <w:rPr>
          <w:rFonts w:ascii="Times New Roman" w:hAnsi="Times New Roman" w:cs="Times New Roman"/>
          <w:sz w:val="24"/>
          <w:szCs w:val="24"/>
        </w:rPr>
        <w:t xml:space="preserve">he main </w:t>
      </w:r>
      <w:proofErr w:type="spellStart"/>
      <w:r w:rsidRPr="00A33129">
        <w:rPr>
          <w:rFonts w:ascii="Times New Roman" w:hAnsi="Times New Roman" w:cs="Times New Roman"/>
          <w:sz w:val="24"/>
          <w:szCs w:val="24"/>
        </w:rPr>
        <w:t>tasar</w:t>
      </w:r>
      <w:proofErr w:type="spellEnd"/>
      <w:r w:rsidRPr="00A33129">
        <w:rPr>
          <w:rFonts w:ascii="Times New Roman" w:hAnsi="Times New Roman" w:cs="Times New Roman"/>
          <w:sz w:val="24"/>
          <w:szCs w:val="24"/>
        </w:rPr>
        <w:t>-growing states of India are Jharkhand, Chhattisgarh, Odisha, West Bengal, Telangana, Madhya Pradesh, and Maharashtra</w:t>
      </w:r>
      <w:r w:rsidR="00063751" w:rsidRPr="00A33129">
        <w:rPr>
          <w:rFonts w:ascii="Times New Roman" w:hAnsi="Times New Roman" w:cs="Times New Roman"/>
          <w:sz w:val="24"/>
          <w:szCs w:val="24"/>
        </w:rPr>
        <w:t xml:space="preserve"> </w:t>
      </w:r>
      <w:r w:rsidR="00063751" w:rsidRPr="00A33129">
        <w:rPr>
          <w:rFonts w:ascii="Times New Roman" w:hAnsi="Times New Roman" w:cs="Times New Roman"/>
          <w:sz w:val="24"/>
          <w:szCs w:val="24"/>
        </w:rPr>
        <w:fldChar w:fldCharType="begin" w:fldLock="1"/>
      </w:r>
      <w:r w:rsidR="00192446"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063751" w:rsidRPr="00A33129">
        <w:rPr>
          <w:rFonts w:ascii="Times New Roman" w:hAnsi="Times New Roman" w:cs="Times New Roman"/>
          <w:sz w:val="24"/>
          <w:szCs w:val="24"/>
        </w:rPr>
        <w:fldChar w:fldCharType="separate"/>
      </w:r>
      <w:r w:rsidR="00063751" w:rsidRPr="00A33129">
        <w:rPr>
          <w:rFonts w:ascii="Times New Roman" w:hAnsi="Times New Roman" w:cs="Times New Roman"/>
          <w:noProof/>
          <w:sz w:val="24"/>
          <w:szCs w:val="24"/>
        </w:rPr>
        <w:t>(Pandiaraj et al., 2018)</w:t>
      </w:r>
      <w:r w:rsidR="00063751"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Tasar silk production </w:t>
      </w:r>
      <w:r w:rsidRPr="00A33129">
        <w:rPr>
          <w:rFonts w:ascii="Times New Roman" w:hAnsi="Times New Roman" w:cs="Times New Roman"/>
          <w:sz w:val="24"/>
          <w:szCs w:val="24"/>
        </w:rPr>
        <w:t xml:space="preserve">serves as a crucial </w:t>
      </w:r>
      <w:r w:rsidR="006F6CE2" w:rsidRPr="00A33129">
        <w:rPr>
          <w:rFonts w:ascii="Times New Roman" w:hAnsi="Times New Roman" w:cs="Times New Roman"/>
          <w:sz w:val="24"/>
          <w:szCs w:val="24"/>
        </w:rPr>
        <w:t xml:space="preserve">livelihood </w:t>
      </w:r>
      <w:r w:rsidR="00E76B6D" w:rsidRPr="00A33129">
        <w:rPr>
          <w:rFonts w:ascii="Times New Roman" w:hAnsi="Times New Roman" w:cs="Times New Roman"/>
          <w:sz w:val="24"/>
          <w:szCs w:val="24"/>
        </w:rPr>
        <w:t>for</w:t>
      </w:r>
      <w:r w:rsidR="006F6CE2" w:rsidRPr="00A33129">
        <w:rPr>
          <w:rFonts w:ascii="Times New Roman" w:hAnsi="Times New Roman" w:cs="Times New Roman"/>
          <w:sz w:val="24"/>
          <w:szCs w:val="24"/>
        </w:rPr>
        <w:t xml:space="preserve"> tribal communities</w:t>
      </w:r>
      <w:r w:rsidRPr="00A33129">
        <w:rPr>
          <w:rFonts w:ascii="Times New Roman" w:hAnsi="Times New Roman" w:cs="Times New Roman"/>
          <w:sz w:val="24"/>
          <w:szCs w:val="24"/>
        </w:rPr>
        <w:t xml:space="preserve"> in India</w:t>
      </w:r>
      <w:r w:rsidR="00E76B6D"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 xml:space="preserve">and it motivates them against deforestation and illegal cutting of trees and to regenerate forests. It is a back bone for tribal development because about </w:t>
      </w:r>
      <w:r w:rsidR="00192446" w:rsidRPr="00A33129">
        <w:rPr>
          <w:rFonts w:ascii="Times New Roman" w:hAnsi="Times New Roman" w:cs="Times New Roman"/>
          <w:sz w:val="24"/>
          <w:szCs w:val="24"/>
        </w:rPr>
        <w:t>2.5</w:t>
      </w:r>
      <w:r w:rsidR="006F6CE2" w:rsidRPr="00A33129">
        <w:rPr>
          <w:rFonts w:ascii="Times New Roman" w:hAnsi="Times New Roman" w:cs="Times New Roman"/>
          <w:sz w:val="24"/>
          <w:szCs w:val="24"/>
        </w:rPr>
        <w:t xml:space="preserve"> lakh families are associated with tasar </w:t>
      </w:r>
      <w:r w:rsidR="00192446" w:rsidRPr="00A33129">
        <w:rPr>
          <w:rFonts w:ascii="Times New Roman" w:hAnsi="Times New Roman" w:cs="Times New Roman"/>
          <w:sz w:val="24"/>
          <w:szCs w:val="24"/>
        </w:rPr>
        <w:t>seri</w:t>
      </w:r>
      <w:r w:rsidR="006F6CE2" w:rsidRPr="00A33129">
        <w:rPr>
          <w:rFonts w:ascii="Times New Roman" w:hAnsi="Times New Roman" w:cs="Times New Roman"/>
          <w:sz w:val="24"/>
          <w:szCs w:val="24"/>
        </w:rPr>
        <w:t>culture in the country</w:t>
      </w:r>
      <w:r w:rsidR="00192446" w:rsidRPr="00A33129">
        <w:rPr>
          <w:rFonts w:ascii="Times New Roman" w:hAnsi="Times New Roman" w:cs="Times New Roman"/>
          <w:sz w:val="24"/>
          <w:szCs w:val="24"/>
        </w:rPr>
        <w:t xml:space="preserve"> </w:t>
      </w:r>
      <w:r w:rsidR="00192446" w:rsidRPr="00A33129">
        <w:rPr>
          <w:rFonts w:ascii="Times New Roman" w:hAnsi="Times New Roman" w:cs="Times New Roman"/>
          <w:sz w:val="24"/>
          <w:szCs w:val="24"/>
        </w:rPr>
        <w:fldChar w:fldCharType="begin" w:fldLock="1"/>
      </w:r>
      <w:r w:rsidR="00821434" w:rsidRPr="00A33129">
        <w:rPr>
          <w:rFonts w:ascii="Times New Roman" w:hAnsi="Times New Roman" w:cs="Times New Roman"/>
          <w:sz w:val="24"/>
          <w:szCs w:val="24"/>
        </w:rPr>
        <w:instrText>ADDIN CSL_CITATION {"citationItems":[{"id":"ITEM-1","itemData":{"author":[{"dropping-particle":"","family":"GV","given":"Vishaka","non-dropping-particle":"","parse-names":false,"suffix":""},{"dropping-particle":"","family":"MS","given":"Rathore","non-dropping-particle":"","parse-names":false,"suffix":""},{"dropping-particle":"","family":"M","given":"Chandrashekharaiah","non-dropping-particle":"","parse-names":false,"suffix":""},{"dropping-particle":"","family":"HA","given":"Nadaf","non-dropping-particle":"","parse-names":false,"suffix":""},{"dropping-particle":"","family":"RB","given":"Sinha","non-dropping-particle":"","parse-names":false,"suffix":""}],"container-title":"Journal of Entomology and Zoology Studies","id":"ITEM-1","issue":"1","issued":{"date-parts":[["2020"]]},"page":"374-377","title":"Tasar for Tribes: A way of life","type":"article-journal","volume":"8"},"uris":["http://www.mendeley.com/documents/?uuid=b9d4799e-cc15-4583-a510-43245064895b"]}],"mendeley":{"formattedCitation":"(GV et al., 2020)","plainTextFormattedCitation":"(GV et al., 2020)","previouslyFormattedCitation":"(GV et al., 2020)"},"properties":{"noteIndex":0},"schema":"https://github.com/citation-style-language/schema/raw/master/csl-citation.json"}</w:instrText>
      </w:r>
      <w:r w:rsidR="00192446" w:rsidRPr="00A33129">
        <w:rPr>
          <w:rFonts w:ascii="Times New Roman" w:hAnsi="Times New Roman" w:cs="Times New Roman"/>
          <w:sz w:val="24"/>
          <w:szCs w:val="24"/>
        </w:rPr>
        <w:fldChar w:fldCharType="separate"/>
      </w:r>
      <w:r w:rsidR="00192446" w:rsidRPr="00A33129">
        <w:rPr>
          <w:rFonts w:ascii="Times New Roman" w:hAnsi="Times New Roman" w:cs="Times New Roman"/>
          <w:noProof/>
          <w:sz w:val="24"/>
          <w:szCs w:val="24"/>
        </w:rPr>
        <w:t>(GV et al., 2020)</w:t>
      </w:r>
      <w:r w:rsidR="00192446" w:rsidRPr="00A33129">
        <w:rPr>
          <w:rFonts w:ascii="Times New Roman" w:hAnsi="Times New Roman" w:cs="Times New Roman"/>
          <w:sz w:val="24"/>
          <w:szCs w:val="24"/>
        </w:rPr>
        <w:fldChar w:fldCharType="end"/>
      </w:r>
      <w:r w:rsidR="006F6CE2" w:rsidRPr="00A33129">
        <w:rPr>
          <w:rFonts w:ascii="Times New Roman" w:hAnsi="Times New Roman" w:cs="Times New Roman"/>
          <w:sz w:val="24"/>
          <w:szCs w:val="24"/>
        </w:rPr>
        <w:t>. In rural areas of the tasar growing states, the living standards of people mainly depend on tasar sericulture, which is often determined by the fertility and productivity</w:t>
      </w:r>
      <w:r w:rsidR="002D2A83" w:rsidRPr="00A33129">
        <w:rPr>
          <w:rFonts w:ascii="Times New Roman" w:hAnsi="Times New Roman" w:cs="Times New Roman"/>
          <w:sz w:val="24"/>
          <w:szCs w:val="24"/>
        </w:rPr>
        <w:t xml:space="preserve"> </w:t>
      </w:r>
      <w:r w:rsidR="006F6CE2" w:rsidRPr="00A33129">
        <w:rPr>
          <w:rFonts w:ascii="Times New Roman" w:hAnsi="Times New Roman" w:cs="Times New Roman"/>
          <w:sz w:val="24"/>
          <w:szCs w:val="24"/>
        </w:rPr>
        <w:t>of soil.</w:t>
      </w:r>
      <w:r w:rsidR="002D2A83" w:rsidRPr="00A33129">
        <w:rPr>
          <w:rFonts w:ascii="Times New Roman" w:hAnsi="Times New Roman" w:cs="Times New Roman"/>
          <w:sz w:val="24"/>
          <w:szCs w:val="24"/>
        </w:rPr>
        <w:t xml:space="preserve"> S</w:t>
      </w:r>
      <w:r w:rsidR="006F6CE2" w:rsidRPr="00A33129">
        <w:rPr>
          <w:rFonts w:ascii="Times New Roman" w:hAnsi="Times New Roman" w:cs="Times New Roman"/>
          <w:sz w:val="24"/>
          <w:szCs w:val="24"/>
        </w:rPr>
        <w:t>oil fertility</w:t>
      </w:r>
      <w:r w:rsidR="002D2A83" w:rsidRPr="00A33129">
        <w:rPr>
          <w:rFonts w:ascii="Times New Roman" w:hAnsi="Times New Roman" w:cs="Times New Roman"/>
          <w:sz w:val="24"/>
          <w:szCs w:val="24"/>
        </w:rPr>
        <w:t xml:space="preserve"> is one of the primary constraints to tasar production in predominant growing tasar areas</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state","type":"article-journal","volume":"7"},"uris":["http://www.mendeley.com/documents/?uuid=f771293b-0c35-4a85-8bf2-c6dfb513d09c"]}],"mendeley":{"formattedCitation":"(Pandiaraj et al., 2018)","plainTextFormattedCitation":"(Pandiaraj et al., 2018)","previouslyFormattedCitation":"(Pandiaraj et al., 2018)"},"properties":{"noteIndex":0},"schema":"https://github.com/citation-style-language/schema/raw/master/csl-citation.json"}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(Pandiaraj et al., 2018)</w:t>
      </w:r>
      <w:r w:rsidR="004C7547"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 It comprises not only in supply of nutrient but also indicates their nutrient supplying capability,</w:t>
      </w:r>
      <w:r w:rsidR="00933AA9"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 xml:space="preserve">moreover fertility of soil is subject to </w:t>
      </w:r>
      <w:r w:rsidR="003D7774" w:rsidRPr="00A33129">
        <w:rPr>
          <w:rFonts w:ascii="Times New Roman" w:hAnsi="Times New Roman" w:cs="Times New Roman"/>
          <w:sz w:val="24"/>
          <w:szCs w:val="24"/>
        </w:rPr>
        <w:t xml:space="preserve">human </w:t>
      </w:r>
      <w:r w:rsidR="002D2A83" w:rsidRPr="00A33129">
        <w:rPr>
          <w:rFonts w:ascii="Times New Roman" w:hAnsi="Times New Roman" w:cs="Times New Roman"/>
          <w:sz w:val="24"/>
          <w:szCs w:val="24"/>
        </w:rPr>
        <w:t>control.</w:t>
      </w:r>
      <w:r w:rsidR="0029723D"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It may be maintained by intercropping with leguminous plant and the application of manure and fertilizers</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Haragopal","non-dropping-particle":"","parse-names":false,"suffix":""},{"dropping-particle":"","family":"Yadav","given":"Harendra","non-dropping-particle":"","parse-names":false,"suffix":""},{"dropping-particle":"","family":"Roy","given":"Arnab","non-dropping-particle":"","parse-names":false,"suffix":""}],"container-title":"Plant Archives","id":"ITEM-1","issued":{"date-parts":[["2024"]]},"page":"144-149","title":"IMPORTANCE OF AGROFORESTRY IN RELATION WITH","type":"article-journal","volume":"24"},"uris":["http://www.mendeley.com/documents/?uuid=6feee476-48fe-4469-b8f3-fd671aa196ec"]}],"mendeley":{"formattedCitation":"(H. Dutta et al., 2024)","plainTextFormattedCitation":"(H. Dutta et al., 2024)","previouslyFormattedCitation":"(H. Dutta et al., 2024)"},"properties":{"noteIndex":0},"schema":"https://github.com/citation-style-language/schema/raw/master/csl-citation.json"}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(H. Dutta et al., 2024)</w:t>
      </w:r>
      <w:r w:rsidR="004C7547" w:rsidRPr="00A33129">
        <w:rPr>
          <w:rFonts w:ascii="Times New Roman" w:hAnsi="Times New Roman" w:cs="Times New Roman"/>
          <w:sz w:val="24"/>
          <w:szCs w:val="24"/>
        </w:rPr>
        <w:fldChar w:fldCharType="end"/>
      </w:r>
      <w:r w:rsidR="002D2A83" w:rsidRPr="00A33129">
        <w:rPr>
          <w:rFonts w:ascii="Times New Roman" w:hAnsi="Times New Roman" w:cs="Times New Roman"/>
          <w:sz w:val="24"/>
          <w:szCs w:val="24"/>
        </w:rPr>
        <w:t>.</w:t>
      </w:r>
      <w:r w:rsidR="00933AA9" w:rsidRPr="00A33129">
        <w:rPr>
          <w:rFonts w:ascii="Times New Roman" w:hAnsi="Times New Roman" w:cs="Times New Roman"/>
          <w:sz w:val="24"/>
          <w:szCs w:val="24"/>
        </w:rPr>
        <w:t xml:space="preserve"> </w:t>
      </w:r>
      <w:r w:rsidR="002D2A83" w:rsidRPr="00A33129">
        <w:rPr>
          <w:rFonts w:ascii="Times New Roman" w:hAnsi="Times New Roman" w:cs="Times New Roman"/>
          <w:sz w:val="24"/>
          <w:szCs w:val="24"/>
        </w:rPr>
        <w:t>The conventional fertilizing method is not scientifically</w:t>
      </w:r>
      <w:r w:rsidR="005C605D" w:rsidRPr="00A33129">
        <w:rPr>
          <w:rFonts w:ascii="Times New Roman" w:hAnsi="Times New Roman" w:cs="Times New Roman"/>
          <w:sz w:val="24"/>
          <w:szCs w:val="24"/>
        </w:rPr>
        <w:t xml:space="preserve"> appropriate and efficient because soil fertility varies </w:t>
      </w:r>
      <w:r w:rsidR="003D7774" w:rsidRPr="00A33129">
        <w:rPr>
          <w:rFonts w:ascii="Times New Roman" w:hAnsi="Times New Roman" w:cs="Times New Roman"/>
          <w:sz w:val="24"/>
          <w:szCs w:val="24"/>
        </w:rPr>
        <w:t xml:space="preserve">among different </w:t>
      </w:r>
      <w:r w:rsidR="005C605D" w:rsidRPr="00A33129">
        <w:rPr>
          <w:rFonts w:ascii="Times New Roman" w:hAnsi="Times New Roman" w:cs="Times New Roman"/>
          <w:sz w:val="24"/>
          <w:szCs w:val="24"/>
        </w:rPr>
        <w:t>regions. Overuse of fertilizer can indeed lead to a waste of fertilizer resources and a serious environmental pollution.</w:t>
      </w:r>
      <w:r w:rsidR="00D90143" w:rsidRPr="00A33129">
        <w:rPr>
          <w:rFonts w:ascii="Times New Roman" w:hAnsi="Times New Roman" w:cs="Times New Roman"/>
          <w:sz w:val="24"/>
          <w:szCs w:val="24"/>
        </w:rPr>
        <w:t xml:space="preserve"> The leaf nutrition of tasar food plant can enhance the effective </w:t>
      </w:r>
      <w:r w:rsidR="00AD179E" w:rsidRPr="00A33129">
        <w:rPr>
          <w:rFonts w:ascii="Times New Roman" w:hAnsi="Times New Roman" w:cs="Times New Roman"/>
          <w:sz w:val="24"/>
          <w:szCs w:val="24"/>
        </w:rPr>
        <w:t>rate of rearing</w:t>
      </w:r>
      <w:r w:rsidR="00933AA9"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(ERR),</w:t>
      </w:r>
      <w:r w:rsidR="00933AA9"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health and growth of larvae and better crop yield as the feed quality has direct correlation with cocoon and shell weights, silk ratio and silk filament</w:t>
      </w:r>
      <w:r w:rsidR="00933AA9"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4C7547"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(Panda et al., 2022)</w:t>
      </w:r>
      <w:r w:rsidR="004C7547" w:rsidRPr="00A33129">
        <w:rPr>
          <w:rFonts w:ascii="Times New Roman" w:hAnsi="Times New Roman" w:cs="Times New Roman"/>
          <w:sz w:val="24"/>
          <w:szCs w:val="24"/>
        </w:rPr>
        <w:fldChar w:fldCharType="end"/>
      </w:r>
      <w:r w:rsidR="00AD179E"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t>Silk</w:t>
      </w:r>
      <w:r w:rsidR="00AD179E" w:rsidRPr="00A33129">
        <w:rPr>
          <w:rFonts w:ascii="Times New Roman" w:hAnsi="Times New Roman" w:cs="Times New Roman"/>
          <w:sz w:val="24"/>
          <w:szCs w:val="24"/>
        </w:rPr>
        <w:t xml:space="preserve"> quality and quantity </w:t>
      </w:r>
      <w:r w:rsidR="004C7547" w:rsidRPr="00A33129">
        <w:rPr>
          <w:rFonts w:ascii="Times New Roman" w:hAnsi="Times New Roman" w:cs="Times New Roman"/>
          <w:sz w:val="24"/>
          <w:szCs w:val="24"/>
        </w:rPr>
        <w:t xml:space="preserve">of Tasar silkworm </w:t>
      </w:r>
      <w:r w:rsidR="00AD179E" w:rsidRPr="00A33129">
        <w:rPr>
          <w:rFonts w:ascii="Times New Roman" w:hAnsi="Times New Roman" w:cs="Times New Roman"/>
          <w:sz w:val="24"/>
          <w:szCs w:val="24"/>
        </w:rPr>
        <w:t>are determined by the nutritional value of their food plants.</w:t>
      </w:r>
      <w:r w:rsidR="004C7547" w:rsidRPr="00A33129">
        <w:rPr>
          <w:rFonts w:ascii="Times New Roman" w:hAnsi="Times New Roman" w:cs="Times New Roman"/>
          <w:sz w:val="24"/>
          <w:szCs w:val="24"/>
        </w:rPr>
        <w:t xml:space="preserve"> </w:t>
      </w:r>
      <w:r w:rsidR="00AD179E" w:rsidRPr="00A33129">
        <w:rPr>
          <w:rFonts w:ascii="Times New Roman" w:hAnsi="Times New Roman" w:cs="Times New Roman"/>
          <w:sz w:val="24"/>
          <w:szCs w:val="24"/>
        </w:rPr>
        <w:t xml:space="preserve">The nutritional content of leaves has a significant impact on the growth and development of tasar silkworm larvae as well as the economic </w:t>
      </w:r>
      <w:r w:rsidR="00AD179E" w:rsidRPr="00C133E8">
        <w:rPr>
          <w:rFonts w:ascii="Times New Roman" w:hAnsi="Times New Roman" w:cs="Times New Roman"/>
          <w:color w:val="FF0000"/>
          <w:sz w:val="24"/>
          <w:szCs w:val="24"/>
        </w:rPr>
        <w:t>character</w:t>
      </w:r>
      <w:r w:rsidR="00C133E8" w:rsidRPr="00C133E8">
        <w:rPr>
          <w:rFonts w:ascii="Times New Roman" w:hAnsi="Times New Roman" w:cs="Times New Roman"/>
          <w:color w:val="FF0000"/>
          <w:sz w:val="24"/>
          <w:szCs w:val="24"/>
        </w:rPr>
        <w:t>i</w:t>
      </w:r>
      <w:r w:rsidR="00AD179E" w:rsidRPr="00C133E8">
        <w:rPr>
          <w:rFonts w:ascii="Times New Roman" w:hAnsi="Times New Roman" w:cs="Times New Roman"/>
          <w:color w:val="FF0000"/>
          <w:sz w:val="24"/>
          <w:szCs w:val="24"/>
        </w:rPr>
        <w:t xml:space="preserve">stics </w:t>
      </w:r>
      <w:r w:rsidR="00AD179E" w:rsidRPr="00A33129">
        <w:rPr>
          <w:rFonts w:ascii="Times New Roman" w:hAnsi="Times New Roman" w:cs="Times New Roman"/>
          <w:sz w:val="24"/>
          <w:szCs w:val="24"/>
        </w:rPr>
        <w:t>cocoons produced by them</w:t>
      </w:r>
      <w:r w:rsidR="004C7547" w:rsidRPr="00A33129">
        <w:rPr>
          <w:rFonts w:ascii="Times New Roman" w:hAnsi="Times New Roman" w:cs="Times New Roman"/>
          <w:sz w:val="24"/>
          <w:szCs w:val="24"/>
        </w:rPr>
        <w:t xml:space="preserve">. </w:t>
      </w:r>
      <w:r w:rsidR="004C7547" w:rsidRPr="00A33129">
        <w:rPr>
          <w:rFonts w:ascii="Times New Roman" w:hAnsi="Times New Roman" w:cs="Times New Roman"/>
          <w:sz w:val="24"/>
          <w:szCs w:val="24"/>
        </w:rPr>
        <w:fldChar w:fldCharType="begin" w:fldLock="1"/>
      </w:r>
      <w:r w:rsidR="00B70A35"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2022)","manualFormatting":"Mohapatra et al. (2022)","plainTextFormattedCitation":"(Mohapatra et al., 2022)","previouslyFormattedCitation":"(Mohapatra et al., 2022)"},"properties":{"noteIndex":0},"schema":"https://github.com/citation-style-language/schema/raw/master/csl-citation.json"}</w:instrText>
      </w:r>
      <w:r w:rsidR="004C7547" w:rsidRPr="00A33129">
        <w:rPr>
          <w:rFonts w:ascii="Times New Roman" w:hAnsi="Times New Roman" w:cs="Times New Roman"/>
          <w:sz w:val="24"/>
          <w:szCs w:val="24"/>
        </w:rPr>
        <w:fldChar w:fldCharType="separate"/>
      </w:r>
      <w:r w:rsidR="004C7547" w:rsidRPr="00A33129">
        <w:rPr>
          <w:rFonts w:ascii="Times New Roman" w:hAnsi="Times New Roman" w:cs="Times New Roman"/>
          <w:noProof/>
          <w:sz w:val="24"/>
          <w:szCs w:val="24"/>
        </w:rPr>
        <w:t>Mohapatra et al. (2022)</w:t>
      </w:r>
      <w:r w:rsidR="004C7547" w:rsidRPr="00A33129">
        <w:rPr>
          <w:rFonts w:ascii="Times New Roman" w:hAnsi="Times New Roman" w:cs="Times New Roman"/>
          <w:sz w:val="24"/>
          <w:szCs w:val="24"/>
        </w:rPr>
        <w:fldChar w:fldCharType="end"/>
      </w:r>
      <w:r w:rsidR="004C7547" w:rsidRPr="00A33129">
        <w:rPr>
          <w:rFonts w:ascii="Times New Roman" w:hAnsi="Times New Roman" w:cs="Times New Roman"/>
          <w:sz w:val="24"/>
          <w:szCs w:val="24"/>
        </w:rPr>
        <w:t xml:space="preserve"> </w:t>
      </w:r>
      <w:r w:rsidR="002149A2" w:rsidRPr="00A33129">
        <w:rPr>
          <w:rFonts w:ascii="Times New Roman" w:hAnsi="Times New Roman" w:cs="Times New Roman"/>
          <w:sz w:val="24"/>
          <w:szCs w:val="24"/>
        </w:rPr>
        <w:t xml:space="preserve">indicated that leaf quality </w:t>
      </w:r>
      <w:r w:rsidR="002149A2" w:rsidRPr="00A33129">
        <w:rPr>
          <w:rFonts w:ascii="Times New Roman" w:hAnsi="Times New Roman" w:cs="Times New Roman"/>
          <w:sz w:val="24"/>
          <w:szCs w:val="24"/>
        </w:rPr>
        <w:lastRenderedPageBreak/>
        <w:t>is one of the important factors contributing to success of tasar crops.</w:t>
      </w:r>
      <w:r w:rsidR="004C7547" w:rsidRPr="00A33129">
        <w:rPr>
          <w:rFonts w:ascii="Times New Roman" w:hAnsi="Times New Roman" w:cs="Times New Roman"/>
          <w:sz w:val="24"/>
          <w:szCs w:val="24"/>
        </w:rPr>
        <w:t xml:space="preserve"> Therefore,</w:t>
      </w:r>
      <w:r w:rsidR="002149A2" w:rsidRPr="00A33129">
        <w:rPr>
          <w:rFonts w:ascii="Times New Roman" w:hAnsi="Times New Roman" w:cs="Times New Roman"/>
          <w:sz w:val="24"/>
          <w:szCs w:val="24"/>
        </w:rPr>
        <w:t xml:space="preserve"> in the present study the impact of soil nutrition and leaf nutrition on larval character and fecundity of tasar silkworm assessed.</w:t>
      </w:r>
      <w:r w:rsidR="004C7547" w:rsidRPr="00A33129">
        <w:rPr>
          <w:rFonts w:ascii="Times New Roman" w:hAnsi="Times New Roman" w:cs="Times New Roman"/>
          <w:sz w:val="24"/>
          <w:szCs w:val="24"/>
        </w:rPr>
        <w:t xml:space="preserve"> </w:t>
      </w:r>
      <w:r w:rsidR="002149A2" w:rsidRPr="00A33129">
        <w:rPr>
          <w:rFonts w:ascii="Times New Roman" w:hAnsi="Times New Roman" w:cs="Times New Roman"/>
          <w:sz w:val="24"/>
          <w:szCs w:val="24"/>
        </w:rPr>
        <w:t xml:space="preserve">Soil and leaf nutrient status are directly </w:t>
      </w:r>
      <w:r w:rsidR="004C7547" w:rsidRPr="00A33129">
        <w:rPr>
          <w:rFonts w:ascii="Times New Roman" w:hAnsi="Times New Roman" w:cs="Times New Roman"/>
          <w:sz w:val="24"/>
          <w:szCs w:val="24"/>
        </w:rPr>
        <w:t>affecting</w:t>
      </w:r>
      <w:r w:rsidR="002149A2" w:rsidRPr="00A33129">
        <w:rPr>
          <w:rFonts w:ascii="Times New Roman" w:hAnsi="Times New Roman" w:cs="Times New Roman"/>
          <w:sz w:val="24"/>
          <w:szCs w:val="24"/>
        </w:rPr>
        <w:t xml:space="preserve"> leaf quality and leaf quality affects the larval </w:t>
      </w:r>
      <w:r w:rsidR="004C7547" w:rsidRPr="00A33129">
        <w:rPr>
          <w:rFonts w:ascii="Times New Roman" w:hAnsi="Times New Roman" w:cs="Times New Roman"/>
          <w:sz w:val="24"/>
          <w:szCs w:val="24"/>
        </w:rPr>
        <w:t xml:space="preserve">health, </w:t>
      </w:r>
      <w:proofErr w:type="spellStart"/>
      <w:r w:rsidR="004C7547" w:rsidRPr="00A33129">
        <w:rPr>
          <w:rFonts w:ascii="Times New Roman" w:hAnsi="Times New Roman" w:cs="Times New Roman"/>
          <w:sz w:val="24"/>
          <w:szCs w:val="24"/>
        </w:rPr>
        <w:t>silkgland</w:t>
      </w:r>
      <w:proofErr w:type="spellEnd"/>
      <w:r w:rsidR="002149A2" w:rsidRPr="00A33129">
        <w:rPr>
          <w:rFonts w:ascii="Times New Roman" w:hAnsi="Times New Roman" w:cs="Times New Roman"/>
          <w:sz w:val="24"/>
          <w:szCs w:val="24"/>
        </w:rPr>
        <w:t xml:space="preserve"> development and thus cocoon quality yield.</w:t>
      </w:r>
    </w:p>
    <w:p w14:paraId="34DDA1BF" w14:textId="7BF0865D" w:rsidR="007512BF" w:rsidRDefault="007512BF" w:rsidP="00D532F4">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lang w:eastAsia="en-IN" w:bidi="hi-IN"/>
        </w:rPr>
        <w:drawing>
          <wp:inline distT="0" distB="0" distL="0" distR="0" wp14:anchorId="35D56675" wp14:editId="342B5BBF">
            <wp:extent cx="5880336" cy="1631950"/>
            <wp:effectExtent l="0" t="0" r="0" b="0"/>
            <wp:docPr id="138054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2"/>
                    <a:stretch>
                      <a:fillRect/>
                    </a:stretch>
                  </pic:blipFill>
                  <pic:spPr bwMode="auto">
                    <a:xfrm>
                      <a:off x="0" y="0"/>
                      <a:ext cx="5888013" cy="1634081"/>
                    </a:xfrm>
                    <a:prstGeom prst="rect">
                      <a:avLst/>
                    </a:prstGeom>
                    <a:noFill/>
                    <a:ln>
                      <a:noFill/>
                    </a:ln>
                    <a:extLst>
                      <a:ext uri="{53640926-AAD7-44D8-BBD7-CCE9431645EC}">
                        <a14:shadowObscured xmlns:a14="http://schemas.microsoft.com/office/drawing/2010/main"/>
                      </a:ext>
                    </a:extLst>
                  </pic:spPr>
                </pic:pic>
              </a:graphicData>
            </a:graphic>
          </wp:inline>
        </w:drawing>
      </w:r>
      <w:r w:rsidRPr="00A33129">
        <w:rPr>
          <w:rFonts w:ascii="Times New Roman" w:hAnsi="Times New Roman" w:cs="Times New Roman"/>
          <w:sz w:val="24"/>
          <w:szCs w:val="24"/>
        </w:rPr>
        <w:t>Fig. 1: (a) Cocoon, (b) pupa, and (c) adult moth of tasar silkworm (</w:t>
      </w:r>
      <w:r w:rsidRPr="00A33129">
        <w:rPr>
          <w:rFonts w:ascii="Times New Roman" w:hAnsi="Times New Roman" w:cs="Times New Roman"/>
          <w:i/>
          <w:iCs/>
          <w:sz w:val="24"/>
          <w:szCs w:val="24"/>
        </w:rPr>
        <w:t>Antheraea mylitta</w:t>
      </w:r>
      <w:r w:rsidRPr="00A33129">
        <w:rPr>
          <w:rFonts w:ascii="Times New Roman" w:hAnsi="Times New Roman" w:cs="Times New Roman"/>
          <w:sz w:val="24"/>
          <w:szCs w:val="24"/>
        </w:rPr>
        <w:t xml:space="preserve"> D.)</w:t>
      </w:r>
    </w:p>
    <w:p w14:paraId="1FCB06AE" w14:textId="77777777" w:rsidR="00C133E8" w:rsidRDefault="00AC4D17"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2.</w:t>
      </w:r>
      <w:r w:rsidR="00A17232" w:rsidRPr="00C133E8">
        <w:rPr>
          <w:rFonts w:ascii="Times New Roman" w:hAnsi="Times New Roman" w:cs="Times New Roman"/>
          <w:b/>
          <w:bCs/>
          <w:color w:val="FF0000"/>
          <w:sz w:val="24"/>
          <w:szCs w:val="24"/>
        </w:rPr>
        <w:t xml:space="preserve"> </w:t>
      </w:r>
      <w:r w:rsidR="00C133E8" w:rsidRPr="00C133E8">
        <w:rPr>
          <w:rFonts w:ascii="Times New Roman" w:hAnsi="Times New Roman" w:cs="Times New Roman"/>
          <w:b/>
          <w:bCs/>
          <w:color w:val="FF0000"/>
          <w:sz w:val="24"/>
          <w:szCs w:val="24"/>
        </w:rPr>
        <w:t xml:space="preserve">MATERIALS AND METHODS </w:t>
      </w:r>
    </w:p>
    <w:p w14:paraId="5FB14F71" w14:textId="11060C9E" w:rsidR="00AC4D17" w:rsidRPr="00A33129" w:rsidRDefault="00C133E8" w:rsidP="00AC4D17">
      <w:pPr>
        <w:spacing w:after="120" w:line="360" w:lineRule="auto"/>
        <w:rPr>
          <w:rFonts w:ascii="Times New Roman" w:hAnsi="Times New Roman" w:cs="Times New Roman"/>
          <w:b/>
          <w:bCs/>
          <w:sz w:val="24"/>
          <w:szCs w:val="24"/>
        </w:rPr>
      </w:pPr>
      <w:r>
        <w:rPr>
          <w:rFonts w:ascii="Times New Roman" w:hAnsi="Times New Roman" w:cs="Times New Roman"/>
          <w:b/>
          <w:bCs/>
          <w:color w:val="FF0000"/>
          <w:sz w:val="24"/>
          <w:szCs w:val="24"/>
        </w:rPr>
        <w:t xml:space="preserve">      </w:t>
      </w:r>
      <w:proofErr w:type="spellStart"/>
      <w:r w:rsidR="00AC4D17" w:rsidRPr="00A33129">
        <w:rPr>
          <w:rFonts w:ascii="Times New Roman" w:hAnsi="Times New Roman" w:cs="Times New Roman"/>
          <w:b/>
          <w:bCs/>
          <w:sz w:val="24"/>
          <w:szCs w:val="24"/>
        </w:rPr>
        <w:t>Tasar</w:t>
      </w:r>
      <w:proofErr w:type="spellEnd"/>
      <w:r w:rsidR="00AC4D17" w:rsidRPr="00A33129">
        <w:rPr>
          <w:rFonts w:ascii="Times New Roman" w:hAnsi="Times New Roman" w:cs="Times New Roman"/>
          <w:b/>
          <w:bCs/>
          <w:sz w:val="24"/>
          <w:szCs w:val="24"/>
        </w:rPr>
        <w:t xml:space="preserve"> Silkworm </w:t>
      </w:r>
      <w:proofErr w:type="spellStart"/>
      <w:r w:rsidR="004C7547" w:rsidRPr="00A33129">
        <w:rPr>
          <w:rFonts w:ascii="Times New Roman" w:hAnsi="Times New Roman" w:cs="Times New Roman"/>
          <w:b/>
          <w:bCs/>
          <w:sz w:val="24"/>
          <w:szCs w:val="24"/>
        </w:rPr>
        <w:t>e</w:t>
      </w:r>
      <w:r w:rsidR="00AC4D17" w:rsidRPr="00A33129">
        <w:rPr>
          <w:rFonts w:ascii="Times New Roman" w:hAnsi="Times New Roman" w:cs="Times New Roman"/>
          <w:b/>
          <w:bCs/>
          <w:sz w:val="24"/>
          <w:szCs w:val="24"/>
        </w:rPr>
        <w:t>coraces</w:t>
      </w:r>
      <w:proofErr w:type="spellEnd"/>
      <w:r w:rsidR="00AC4D17" w:rsidRPr="00A33129">
        <w:rPr>
          <w:rFonts w:ascii="Times New Roman" w:hAnsi="Times New Roman" w:cs="Times New Roman"/>
          <w:b/>
          <w:bCs/>
          <w:sz w:val="24"/>
          <w:szCs w:val="24"/>
        </w:rPr>
        <w:t xml:space="preserve"> and </w:t>
      </w:r>
      <w:r w:rsidR="004C7547" w:rsidRPr="00A33129">
        <w:rPr>
          <w:rFonts w:ascii="Times New Roman" w:hAnsi="Times New Roman" w:cs="Times New Roman"/>
          <w:b/>
          <w:bCs/>
          <w:sz w:val="24"/>
          <w:szCs w:val="24"/>
        </w:rPr>
        <w:t>h</w:t>
      </w:r>
      <w:r w:rsidR="00AC4D17" w:rsidRPr="00A33129">
        <w:rPr>
          <w:rFonts w:ascii="Times New Roman" w:hAnsi="Times New Roman" w:cs="Times New Roman"/>
          <w:b/>
          <w:bCs/>
          <w:sz w:val="24"/>
          <w:szCs w:val="24"/>
        </w:rPr>
        <w:t xml:space="preserve">ost </w:t>
      </w:r>
      <w:r w:rsidR="004C7547" w:rsidRPr="00A33129">
        <w:rPr>
          <w:rFonts w:ascii="Times New Roman" w:hAnsi="Times New Roman" w:cs="Times New Roman"/>
          <w:b/>
          <w:bCs/>
          <w:sz w:val="24"/>
          <w:szCs w:val="24"/>
        </w:rPr>
        <w:t>p</w:t>
      </w:r>
      <w:r w:rsidR="00AC4D17" w:rsidRPr="00A33129">
        <w:rPr>
          <w:rFonts w:ascii="Times New Roman" w:hAnsi="Times New Roman" w:cs="Times New Roman"/>
          <w:b/>
          <w:bCs/>
          <w:sz w:val="24"/>
          <w:szCs w:val="24"/>
        </w:rPr>
        <w:t>lants</w:t>
      </w:r>
    </w:p>
    <w:p w14:paraId="30419597" w14:textId="2A0B56B9"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2.1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Brief overview of key ecoraces found in Odisha</w:t>
      </w:r>
    </w:p>
    <w:p w14:paraId="71ED6F18" w14:textId="0C406290" w:rsidR="00B77D71" w:rsidRPr="00A33129" w:rsidRDefault="00B55CB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Each of the seven different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that have been identified for the state of Odisha has</w:t>
      </w:r>
      <w:r w:rsidR="00766629" w:rsidRPr="00A33129">
        <w:rPr>
          <w:rFonts w:ascii="Times New Roman" w:hAnsi="Times New Roman" w:cs="Times New Roman"/>
          <w:sz w:val="24"/>
          <w:szCs w:val="24"/>
        </w:rPr>
        <w:t xml:space="preserve"> adapted to specific ecological conditions and host plants, influencing their cocoon yield and sericultural potential. These ecoraces</w:t>
      </w:r>
      <w:r w:rsidR="00A06A9A" w:rsidRPr="00A33129">
        <w:rPr>
          <w:rFonts w:ascii="Times New Roman" w:hAnsi="Times New Roman" w:cs="Times New Roman"/>
          <w:sz w:val="24"/>
          <w:szCs w:val="24"/>
        </w:rPr>
        <w:t xml:space="preserve"> </w:t>
      </w:r>
      <w:r w:rsidR="00766629" w:rsidRPr="00A33129">
        <w:rPr>
          <w:rFonts w:ascii="Times New Roman" w:hAnsi="Times New Roman" w:cs="Times New Roman"/>
          <w:sz w:val="24"/>
          <w:szCs w:val="24"/>
        </w:rPr>
        <w:t>exhibit variations in traits such as cocoon weight, shell weight, and fecundity, driven by genetic diversity and environmental factors like soil fertility and leaf nutrient status of primary host plants</w:t>
      </w:r>
      <w:r w:rsidR="00A06A9A" w:rsidRPr="00A33129">
        <w:rPr>
          <w:rFonts w:ascii="Times New Roman" w:hAnsi="Times New Roman" w:cs="Times New Roman"/>
          <w:sz w:val="24"/>
          <w:szCs w:val="24"/>
        </w:rPr>
        <w:t>.</w:t>
      </w:r>
    </w:p>
    <w:p w14:paraId="14957D1B" w14:textId="5AC597E8" w:rsidR="00A06A9A" w:rsidRPr="00C133E8" w:rsidRDefault="00A06A9A"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2.1.1 Modal</w:t>
      </w:r>
    </w:p>
    <w:p w14:paraId="1C1A874D" w14:textId="40B64E6C" w:rsidR="00A06A9A" w:rsidRDefault="00A06A9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Modal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Mayurbhanj district of Odisha, is a significant and unique population endemic to </w:t>
      </w:r>
      <w:proofErr w:type="spellStart"/>
      <w:r w:rsidRPr="00A33129">
        <w:rPr>
          <w:rFonts w:ascii="Times New Roman" w:hAnsi="Times New Roman" w:cs="Times New Roman"/>
          <w:sz w:val="24"/>
          <w:szCs w:val="24"/>
        </w:rPr>
        <w:t>Similipal</w:t>
      </w:r>
      <w:proofErr w:type="spellEnd"/>
      <w:r w:rsidRPr="00A33129">
        <w:rPr>
          <w:rFonts w:ascii="Times New Roman" w:hAnsi="Times New Roman" w:cs="Times New Roman"/>
          <w:sz w:val="24"/>
          <w:szCs w:val="24"/>
        </w:rPr>
        <w:t xml:space="preserve"> National Park. Renowned as one of the largest and highest-yielding tasar ecoraces, Modal is exclusively wild and </w:t>
      </w:r>
      <w:proofErr w:type="spellStart"/>
      <w:r w:rsidRPr="00A33129">
        <w:rPr>
          <w:rFonts w:ascii="Times New Roman" w:hAnsi="Times New Roman" w:cs="Times New Roman"/>
          <w:sz w:val="24"/>
          <w:szCs w:val="24"/>
        </w:rPr>
        <w:t>univoltine</w:t>
      </w:r>
      <w:proofErr w:type="spellEnd"/>
      <w:r w:rsidRPr="00A33129">
        <w:rPr>
          <w:rFonts w:ascii="Times New Roman" w:hAnsi="Times New Roman" w:cs="Times New Roman"/>
          <w:sz w:val="24"/>
          <w:szCs w:val="24"/>
        </w:rPr>
        <w:t xml:space="preserve">, completing a single generation per year. This </w:t>
      </w:r>
      <w:proofErr w:type="spellStart"/>
      <w:r w:rsidRPr="00A33129">
        <w:rPr>
          <w:rFonts w:ascii="Times New Roman" w:hAnsi="Times New Roman" w:cs="Times New Roman"/>
          <w:sz w:val="24"/>
          <w:szCs w:val="24"/>
        </w:rPr>
        <w:t>ecoraceis</w:t>
      </w:r>
      <w:proofErr w:type="spellEnd"/>
      <w:r w:rsidRPr="00A33129">
        <w:rPr>
          <w:rFonts w:ascii="Times New Roman" w:hAnsi="Times New Roman" w:cs="Times New Roman"/>
          <w:sz w:val="24"/>
          <w:szCs w:val="24"/>
        </w:rPr>
        <w:t xml:space="preserve"> notably resilient, being almost disease-free, and produces the heaviest cocoons among its counterparts, making it highly valuable for sericulture. The predominant food plant for the Modal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is </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which provides essential nutrients that contribute to its robust cocoon yield. However, its dependence on the specific ecological conditions of </w:t>
      </w:r>
      <w:proofErr w:type="spellStart"/>
      <w:r w:rsidRPr="00A33129">
        <w:rPr>
          <w:rFonts w:ascii="Times New Roman" w:hAnsi="Times New Roman" w:cs="Times New Roman"/>
          <w:sz w:val="24"/>
          <w:szCs w:val="24"/>
        </w:rPr>
        <w:t>Similipal</w:t>
      </w:r>
      <w:proofErr w:type="spellEnd"/>
      <w:r w:rsidRPr="00A33129">
        <w:rPr>
          <w:rFonts w:ascii="Times New Roman" w:hAnsi="Times New Roman" w:cs="Times New Roman"/>
          <w:sz w:val="24"/>
          <w:szCs w:val="24"/>
        </w:rPr>
        <w:t xml:space="preserve"> National Park underscores the importance of conserving its natural habitat to sustain this high-performing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w:t>
      </w:r>
    </w:p>
    <w:p w14:paraId="2CEB6418" w14:textId="5D6BC4E8" w:rsidR="0059479B" w:rsidRDefault="0059479B" w:rsidP="00AC4D17">
      <w:pPr>
        <w:spacing w:after="120" w:line="360" w:lineRule="auto"/>
        <w:rPr>
          <w:rFonts w:ascii="Times New Roman" w:hAnsi="Times New Roman" w:cs="Times New Roman"/>
          <w:sz w:val="24"/>
          <w:szCs w:val="24"/>
        </w:rPr>
      </w:pPr>
    </w:p>
    <w:p w14:paraId="0A6DF078" w14:textId="77777777" w:rsidR="0059479B" w:rsidRPr="00A33129" w:rsidRDefault="0059479B" w:rsidP="00AC4D17">
      <w:pPr>
        <w:spacing w:after="120" w:line="360" w:lineRule="auto"/>
        <w:rPr>
          <w:rFonts w:ascii="Times New Roman" w:hAnsi="Times New Roman" w:cs="Times New Roman"/>
          <w:sz w:val="24"/>
          <w:szCs w:val="24"/>
        </w:rPr>
      </w:pPr>
    </w:p>
    <w:p w14:paraId="1B0305B3" w14:textId="35928445" w:rsidR="00810AD9" w:rsidRPr="00C133E8" w:rsidRDefault="00A06A9A"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 xml:space="preserve">2.1.2 </w:t>
      </w:r>
      <w:r w:rsidR="00810AD9" w:rsidRPr="00C133E8">
        <w:rPr>
          <w:rFonts w:ascii="Times New Roman" w:hAnsi="Times New Roman" w:cs="Times New Roman"/>
          <w:b/>
          <w:bCs/>
          <w:color w:val="FF0000"/>
          <w:sz w:val="24"/>
          <w:szCs w:val="24"/>
        </w:rPr>
        <w:t>Sukinda</w:t>
      </w:r>
      <w:r w:rsidR="006B4532" w:rsidRPr="00C133E8">
        <w:rPr>
          <w:rFonts w:ascii="Times New Roman" w:hAnsi="Times New Roman" w:cs="Times New Roman"/>
          <w:b/>
          <w:bCs/>
          <w:color w:val="FF0000"/>
          <w:sz w:val="24"/>
          <w:szCs w:val="24"/>
        </w:rPr>
        <w:t xml:space="preserve">    </w:t>
      </w:r>
    </w:p>
    <w:p w14:paraId="161722B3" w14:textId="4FAEE442" w:rsidR="00810AD9" w:rsidRPr="00A33129" w:rsidRDefault="005313E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The Sukinda ecorace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found in the Sukinda region of Jajpur district, Odisha, is a significant indigenous silkworm breed valued for producing some of the finest tasar silk. This bivoltine ecorace thrives in the region’s tropical moist deciduous forests with red loamy soil, primarily feeding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xml:space="preserve">, which provide essential nutrients for cocoon production. Despite its importance to the livelihood of many local farmers, the Sukinda ecorace has been declining since 2007, largely replaced by the higher-yielding Daba TV breed. Conservation efforts, led by organizations like Tata Steel Mining Limited and the Central Silk Board, aim to preserve this ecorace by identifying forest patches, establishing cocoon </w:t>
      </w:r>
      <w:proofErr w:type="spellStart"/>
      <w:r w:rsidRPr="00A33129">
        <w:rPr>
          <w:rFonts w:ascii="Times New Roman" w:hAnsi="Times New Roman" w:cs="Times New Roman"/>
          <w:sz w:val="24"/>
          <w:szCs w:val="24"/>
        </w:rPr>
        <w:t>grainages</w:t>
      </w:r>
      <w:proofErr w:type="spellEnd"/>
      <w:r w:rsidRPr="00A33129">
        <w:rPr>
          <w:rFonts w:ascii="Times New Roman" w:hAnsi="Times New Roman" w:cs="Times New Roman"/>
          <w:sz w:val="24"/>
          <w:szCs w:val="24"/>
        </w:rPr>
        <w:t>, and raising nurseries for its host plants, highlighting its ecological and economic value to Odisha’s sericulture industry.</w:t>
      </w:r>
    </w:p>
    <w:p w14:paraId="4A825A09" w14:textId="348576F2" w:rsidR="00A06A9A" w:rsidRPr="00C133E8" w:rsidRDefault="00810AD9"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 xml:space="preserve">2.1.3 </w:t>
      </w:r>
      <w:r w:rsidR="00A06A9A" w:rsidRPr="00C133E8">
        <w:rPr>
          <w:rFonts w:ascii="Times New Roman" w:hAnsi="Times New Roman" w:cs="Times New Roman"/>
          <w:b/>
          <w:bCs/>
          <w:color w:val="FF0000"/>
          <w:sz w:val="24"/>
          <w:szCs w:val="24"/>
        </w:rPr>
        <w:t>Nalia</w:t>
      </w:r>
    </w:p>
    <w:p w14:paraId="1844251E" w14:textId="34E957DD" w:rsidR="00A06A9A" w:rsidRPr="00A33129" w:rsidRDefault="00A06A9A"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w:t>
      </w:r>
      <w:proofErr w:type="spellStart"/>
      <w:r w:rsidRPr="00A33129">
        <w:rPr>
          <w:rFonts w:ascii="Times New Roman" w:hAnsi="Times New Roman" w:cs="Times New Roman"/>
          <w:sz w:val="24"/>
          <w:szCs w:val="24"/>
        </w:rPr>
        <w:t>Nalia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a bivoltine population found in the Keonjhar district of Odisha, specifically within the </w:t>
      </w:r>
      <w:proofErr w:type="spellStart"/>
      <w:r w:rsidRPr="00A33129">
        <w:rPr>
          <w:rFonts w:ascii="Times New Roman" w:hAnsi="Times New Roman" w:cs="Times New Roman"/>
          <w:sz w:val="24"/>
          <w:szCs w:val="24"/>
        </w:rPr>
        <w:t>Raghubeda</w:t>
      </w:r>
      <w:proofErr w:type="spellEnd"/>
      <w:r w:rsidRPr="00A33129">
        <w:rPr>
          <w:rFonts w:ascii="Times New Roman" w:hAnsi="Times New Roman" w:cs="Times New Roman"/>
          <w:sz w:val="24"/>
          <w:szCs w:val="24"/>
        </w:rPr>
        <w:t xml:space="preserve"> forest range. This ecorace, known for its two generations per year, has been collected by the State Department of Sericulture from areas such as </w:t>
      </w:r>
      <w:proofErr w:type="spellStart"/>
      <w:r w:rsidRPr="00A33129">
        <w:rPr>
          <w:rFonts w:ascii="Times New Roman" w:hAnsi="Times New Roman" w:cs="Times New Roman"/>
          <w:sz w:val="24"/>
          <w:szCs w:val="24"/>
        </w:rPr>
        <w:t>Bhagamunda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Bansapani</w:t>
      </w:r>
      <w:proofErr w:type="spell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sz w:val="24"/>
          <w:szCs w:val="24"/>
        </w:rPr>
        <w:t>Suakati</w:t>
      </w:r>
      <w:proofErr w:type="spellEnd"/>
      <w:r w:rsidRPr="00A33129">
        <w:rPr>
          <w:rFonts w:ascii="Times New Roman" w:hAnsi="Times New Roman" w:cs="Times New Roman"/>
          <w:sz w:val="24"/>
          <w:szCs w:val="24"/>
        </w:rPr>
        <w:t xml:space="preserve"> in Keonjhar district, with the basic tasar seed station located in </w:t>
      </w:r>
      <w:proofErr w:type="spellStart"/>
      <w:r w:rsidRPr="00A33129">
        <w:rPr>
          <w:rFonts w:ascii="Times New Roman" w:hAnsi="Times New Roman" w:cs="Times New Roman"/>
          <w:sz w:val="24"/>
          <w:szCs w:val="24"/>
        </w:rPr>
        <w:t>Pandapada</w:t>
      </w:r>
      <w:proofErr w:type="spellEnd"/>
      <w:r w:rsidRPr="00A33129">
        <w:rPr>
          <w:rFonts w:ascii="Times New Roman" w:hAnsi="Times New Roman" w:cs="Times New Roman"/>
          <w:sz w:val="24"/>
          <w:szCs w:val="24"/>
        </w:rPr>
        <w:t xml:space="preserve">. The primary food plants for the Nalia ecorace are Terminalia arjuna and Terminalia tomentosa, which provide critical nutrients influencing cocoon yield and quality. The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adaptation to the local forest ecosystem highlights its significance for Odisha’s sericulture, but its sustainability depends on preserving the forest habitats and optimizing soil and leaf nutrient conditions to support its bivoltine lifecycle and cocoon production.</w:t>
      </w:r>
    </w:p>
    <w:p w14:paraId="77A60AD2" w14:textId="24245E30" w:rsidR="001C1D06" w:rsidRPr="00C133E8" w:rsidRDefault="001C1D06"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2.1.</w:t>
      </w:r>
      <w:r w:rsidR="00810AD9" w:rsidRPr="00C133E8">
        <w:rPr>
          <w:rFonts w:ascii="Times New Roman" w:hAnsi="Times New Roman" w:cs="Times New Roman"/>
          <w:b/>
          <w:bCs/>
          <w:color w:val="FF0000"/>
          <w:sz w:val="24"/>
          <w:szCs w:val="24"/>
        </w:rPr>
        <w:t>4</w:t>
      </w:r>
      <w:r w:rsidRPr="00C133E8">
        <w:rPr>
          <w:rFonts w:ascii="Times New Roman" w:hAnsi="Times New Roman" w:cs="Times New Roman"/>
          <w:b/>
          <w:bCs/>
          <w:color w:val="FF0000"/>
          <w:sz w:val="24"/>
          <w:szCs w:val="24"/>
        </w:rPr>
        <w:t xml:space="preserve"> Daba</w:t>
      </w:r>
    </w:p>
    <w:p w14:paraId="4755351B" w14:textId="7BB71D45" w:rsidR="001C1D06" w:rsidRPr="00A33129" w:rsidRDefault="00D9173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Jata-Daba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a bivoltine population found in the Mayurbhanj district of Odisha, characterized by its ability to produce two generations per year. This ecorace primarily feeds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xml:space="preserve">, which serve as its predominant food plants, supplying essential nutrients that influence cocoon yield and quality. The </w:t>
      </w:r>
      <w:proofErr w:type="spellStart"/>
      <w:r w:rsidRPr="00A33129">
        <w:rPr>
          <w:rFonts w:ascii="Times New Roman" w:hAnsi="Times New Roman" w:cs="Times New Roman"/>
          <w:sz w:val="24"/>
          <w:szCs w:val="24"/>
        </w:rPr>
        <w:t>Jata-Daba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adaptation to the forest ecosystems of Mayurbhanj underscores its importance to Odisha’s sericulture industry. However, its productivity relies on maintaining optimal soil fertility and leaf nutrient status of its host plants, emphasizing the need for sustainable forest management to support its bivoltine lifecycle and enhance cocoon production.</w:t>
      </w:r>
    </w:p>
    <w:p w14:paraId="54FB905A" w14:textId="43ED2562" w:rsidR="0046483D" w:rsidRPr="00C133E8" w:rsidRDefault="0046483D" w:rsidP="0046483D">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2.1.</w:t>
      </w:r>
      <w:r w:rsidR="00810AD9" w:rsidRPr="00C133E8">
        <w:rPr>
          <w:rFonts w:ascii="Times New Roman" w:hAnsi="Times New Roman" w:cs="Times New Roman"/>
          <w:b/>
          <w:bCs/>
          <w:color w:val="FF0000"/>
          <w:sz w:val="24"/>
          <w:szCs w:val="24"/>
        </w:rPr>
        <w:t>5</w:t>
      </w:r>
      <w:r w:rsidRPr="00C133E8">
        <w:rPr>
          <w:rFonts w:ascii="Times New Roman" w:hAnsi="Times New Roman" w:cs="Times New Roman"/>
          <w:b/>
          <w:bCs/>
          <w:color w:val="FF0000"/>
          <w:sz w:val="24"/>
          <w:szCs w:val="24"/>
        </w:rPr>
        <w:t xml:space="preserve"> </w:t>
      </w:r>
      <w:proofErr w:type="spellStart"/>
      <w:r w:rsidRPr="00C133E8">
        <w:rPr>
          <w:rFonts w:ascii="Times New Roman" w:hAnsi="Times New Roman" w:cs="Times New Roman"/>
          <w:b/>
          <w:bCs/>
          <w:color w:val="FF0000"/>
          <w:sz w:val="24"/>
          <w:szCs w:val="24"/>
        </w:rPr>
        <w:t>Adaba</w:t>
      </w:r>
      <w:proofErr w:type="spellEnd"/>
    </w:p>
    <w:p w14:paraId="23D3587E" w14:textId="610EF8C6" w:rsidR="0046483D"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The Adaba ecorace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Gajapati district of Odisha, remains one of the most unexplored ecoraces in the region, largely due to limited access caused by Naxal activities, which have restricted its exposure to sericulturists. This ecorace primarily feeds on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its predominant food plants, which provide essential nutrients critical for cocoon yield and quality. Despite its potential for sericulture, the lack of research and documentation on the Adaba ecorace underscores the need for focused studies to understand its ecological adaptations and cocoon production capabilities. Sustainable management of its forest habitat and improved accessibility could unlock its potential, enhancing its contribution to Odisha’s sericulture industry.</w:t>
      </w:r>
    </w:p>
    <w:p w14:paraId="1F7BF1BB" w14:textId="0EEC133E" w:rsidR="001E5181" w:rsidRPr="00A33129" w:rsidRDefault="001E5181"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2.1.</w:t>
      </w:r>
      <w:r w:rsidR="00810AD9" w:rsidRPr="00A33129">
        <w:rPr>
          <w:rFonts w:ascii="Times New Roman" w:hAnsi="Times New Roman" w:cs="Times New Roman"/>
          <w:b/>
          <w:bCs/>
          <w:i/>
          <w:iCs/>
          <w:sz w:val="24"/>
          <w:szCs w:val="24"/>
        </w:rPr>
        <w:t xml:space="preserve">6 </w:t>
      </w:r>
      <w:proofErr w:type="spellStart"/>
      <w:r w:rsidR="00810AD9" w:rsidRPr="00A33129">
        <w:rPr>
          <w:rFonts w:ascii="Times New Roman" w:hAnsi="Times New Roman" w:cs="Times New Roman"/>
          <w:b/>
          <w:bCs/>
          <w:i/>
          <w:iCs/>
          <w:sz w:val="24"/>
          <w:szCs w:val="24"/>
        </w:rPr>
        <w:t>Umerkote</w:t>
      </w:r>
      <w:proofErr w:type="spellEnd"/>
    </w:p>
    <w:p w14:paraId="4AA9242F" w14:textId="1815C7FC" w:rsidR="00810AD9" w:rsidRPr="00A3312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w:t>
      </w:r>
      <w:proofErr w:type="spellEnd"/>
      <w:r w:rsidRPr="00A33129">
        <w:rPr>
          <w:rFonts w:ascii="Times New Roman" w:hAnsi="Times New Roman" w:cs="Times New Roman"/>
          <w:sz w:val="24"/>
          <w:szCs w:val="24"/>
        </w:rPr>
        <w:t xml:space="preserve"> of </w:t>
      </w:r>
      <w:r w:rsidR="004D52B5"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found in the </w:t>
      </w:r>
      <w:proofErr w:type="spellStart"/>
      <w:r w:rsidRPr="00A33129">
        <w:rPr>
          <w:rFonts w:ascii="Times New Roman" w:hAnsi="Times New Roman" w:cs="Times New Roman"/>
          <w:sz w:val="24"/>
          <w:szCs w:val="24"/>
        </w:rPr>
        <w:t>Nabarangpur</w:t>
      </w:r>
      <w:proofErr w:type="spellEnd"/>
      <w:r w:rsidRPr="00A33129">
        <w:rPr>
          <w:rFonts w:ascii="Times New Roman" w:hAnsi="Times New Roman" w:cs="Times New Roman"/>
          <w:sz w:val="24"/>
          <w:szCs w:val="24"/>
        </w:rPr>
        <w:t xml:space="preserve"> district of </w:t>
      </w:r>
      <w:proofErr w:type="spellStart"/>
      <w:r w:rsidRPr="00A33129">
        <w:rPr>
          <w:rFonts w:ascii="Times New Roman" w:hAnsi="Times New Roman" w:cs="Times New Roman"/>
          <w:sz w:val="24"/>
          <w:szCs w:val="24"/>
        </w:rPr>
        <w:t>Odisha</w:t>
      </w:r>
      <w:proofErr w:type="spellEnd"/>
      <w:r w:rsidRPr="00A33129">
        <w:rPr>
          <w:rFonts w:ascii="Times New Roman" w:hAnsi="Times New Roman" w:cs="Times New Roman"/>
          <w:sz w:val="24"/>
          <w:szCs w:val="24"/>
        </w:rPr>
        <w:t xml:space="preserve">, is an endemic population thriving in the forest regions of </w:t>
      </w:r>
      <w:proofErr w:type="spellStart"/>
      <w:r w:rsidRPr="00A33129">
        <w:rPr>
          <w:rFonts w:ascii="Times New Roman" w:hAnsi="Times New Roman" w:cs="Times New Roman"/>
          <w:sz w:val="24"/>
          <w:szCs w:val="24"/>
        </w:rPr>
        <w:t>Nabarangpur</w:t>
      </w:r>
      <w:proofErr w:type="spellEnd"/>
      <w:r w:rsidRPr="00A33129">
        <w:rPr>
          <w:rFonts w:ascii="Times New Roman" w:hAnsi="Times New Roman" w:cs="Times New Roman"/>
          <w:sz w:val="24"/>
          <w:szCs w:val="24"/>
        </w:rPr>
        <w:t xml:space="preserve"> and </w:t>
      </w:r>
      <w:proofErr w:type="spellStart"/>
      <w:r w:rsidRPr="00A33129">
        <w:rPr>
          <w:rFonts w:ascii="Times New Roman" w:hAnsi="Times New Roman" w:cs="Times New Roman"/>
          <w:sz w:val="24"/>
          <w:szCs w:val="24"/>
        </w:rPr>
        <w:t>Kalahandi</w:t>
      </w:r>
      <w:proofErr w:type="spellEnd"/>
      <w:r w:rsidRPr="00A33129">
        <w:rPr>
          <w:rFonts w:ascii="Times New Roman" w:hAnsi="Times New Roman" w:cs="Times New Roman"/>
          <w:sz w:val="24"/>
          <w:szCs w:val="24"/>
        </w:rPr>
        <w:t xml:space="preserve">. This ecorace predominantly feeds on </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which provides essential nutrients critical for its cocoon production and quality. As one of the region’s unique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is adapted to the specific ecological conditions of these forest areas, contributing to its significance in Odisha’s sericulture landscape. However, its localized distribution emphasizes the need for conservation efforts and research into soil fertility and leaf nutrient status to optimize its cocoon yield and ensure sustainable sericulture practices in these forest ecosystems.</w:t>
      </w:r>
    </w:p>
    <w:p w14:paraId="4F650062" w14:textId="668CE6BC" w:rsidR="00810AD9" w:rsidRPr="00C133E8" w:rsidRDefault="00810AD9"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t>2.1.7 Boudh</w:t>
      </w:r>
    </w:p>
    <w:p w14:paraId="4FAF5440" w14:textId="6532F8AE" w:rsidR="00810AD9" w:rsidRDefault="00810AD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Boudh ecorace of </w:t>
      </w:r>
      <w:r w:rsidR="004D52B5" w:rsidRPr="00A33129">
        <w:rPr>
          <w:rFonts w:ascii="Times New Roman" w:hAnsi="Times New Roman" w:cs="Times New Roman"/>
          <w:i/>
          <w:iCs/>
          <w:sz w:val="24"/>
          <w:szCs w:val="24"/>
        </w:rPr>
        <w:t>A. mylitta</w:t>
      </w:r>
      <w:r w:rsidR="004D52B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is primarily found in the Boudh district of Odisha, with its predominant food plants being </w:t>
      </w:r>
      <w:r w:rsidRPr="00A33129">
        <w:rPr>
          <w:rFonts w:ascii="Times New Roman" w:hAnsi="Times New Roman" w:cs="Times New Roman"/>
          <w:i/>
          <w:iCs/>
          <w:sz w:val="24"/>
          <w:szCs w:val="24"/>
        </w:rPr>
        <w:t xml:space="preserve">Terminalia </w:t>
      </w:r>
      <w:proofErr w:type="gramStart"/>
      <w:r w:rsidRPr="00A33129">
        <w:rPr>
          <w:rFonts w:ascii="Times New Roman" w:hAnsi="Times New Roman" w:cs="Times New Roman"/>
          <w:i/>
          <w:iCs/>
          <w:sz w:val="24"/>
          <w:szCs w:val="24"/>
        </w:rPr>
        <w:t>arjuna</w:t>
      </w:r>
      <w:proofErr w:type="gramEnd"/>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Terminalia tomentosa</w:t>
      </w:r>
      <w:r w:rsidRPr="00A33129">
        <w:rPr>
          <w:rFonts w:ascii="Times New Roman" w:hAnsi="Times New Roman" w:cs="Times New Roman"/>
          <w:sz w:val="24"/>
          <w:szCs w:val="24"/>
        </w:rPr>
        <w:t>, which supply essential nutrients for cocoon production. According to Sinha and Prasad (2011), this ecorace is also present in the Phulbani region, suggesting a broader distribution within the moist deciduous forest ranges of these districts and adjacent areas. Suspected to be endemic to these ecosystems, the Boudh ecorace is adapted to the specific environmental conditions of these forests, highlighting its significance for Odisha’s sericulture. Conservation of these forest habitats and further research into soil fertility and leaf nutrient status are crucial to optimize its cocoon yield and sustain its contribution to the region’s sericulture industry.</w:t>
      </w:r>
    </w:p>
    <w:p w14:paraId="6F7B25B7" w14:textId="77777777" w:rsidR="00C20B5B" w:rsidRDefault="00C20B5B" w:rsidP="00AC4D17">
      <w:pPr>
        <w:spacing w:after="120" w:line="360" w:lineRule="auto"/>
        <w:rPr>
          <w:rFonts w:ascii="Times New Roman" w:hAnsi="Times New Roman" w:cs="Times New Roman"/>
          <w:sz w:val="24"/>
          <w:szCs w:val="24"/>
        </w:rPr>
      </w:pPr>
    </w:p>
    <w:p w14:paraId="693DEE5B" w14:textId="77777777" w:rsidR="00DB048C" w:rsidRDefault="00DB048C" w:rsidP="00AC4D17">
      <w:pPr>
        <w:spacing w:after="120" w:line="360" w:lineRule="auto"/>
        <w:rPr>
          <w:rFonts w:ascii="Times New Roman" w:hAnsi="Times New Roman" w:cs="Times New Roman"/>
          <w:sz w:val="24"/>
          <w:szCs w:val="24"/>
        </w:rPr>
      </w:pPr>
    </w:p>
    <w:p w14:paraId="07EE0A6E" w14:textId="77777777" w:rsidR="00DB048C" w:rsidRPr="00A33129" w:rsidRDefault="00DB048C" w:rsidP="00AC4D17">
      <w:pPr>
        <w:spacing w:after="120" w:line="360" w:lineRule="auto"/>
        <w:rPr>
          <w:rFonts w:ascii="Times New Roman" w:hAnsi="Times New Roman" w:cs="Times New Roman"/>
          <w:sz w:val="24"/>
          <w:szCs w:val="24"/>
        </w:rPr>
      </w:pPr>
    </w:p>
    <w:p w14:paraId="5F149F24" w14:textId="6C7368AE"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2.2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Host plant preferences and physiology</w:t>
      </w:r>
    </w:p>
    <w:p w14:paraId="3F448C6C" w14:textId="42FA024C" w:rsidR="005313EA"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major preferred host plants for the ecoraces of </w:t>
      </w:r>
      <w:r w:rsidRPr="00A33129">
        <w:rPr>
          <w:rFonts w:ascii="Times New Roman" w:hAnsi="Times New Roman" w:cs="Times New Roman"/>
          <w:i/>
          <w:iCs/>
          <w:sz w:val="24"/>
          <w:szCs w:val="24"/>
        </w:rPr>
        <w:t>A</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in Odisha are </w:t>
      </w:r>
      <w:r w:rsidRPr="00A33129">
        <w:rPr>
          <w:rFonts w:ascii="Times New Roman" w:hAnsi="Times New Roman" w:cs="Times New Roman"/>
          <w:i/>
          <w:iCs/>
          <w:sz w:val="24"/>
          <w:szCs w:val="24"/>
        </w:rPr>
        <w:t>Terminalia arjuna, Terminalia tomentosa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Shorea robusta</w:t>
      </w:r>
      <w:r w:rsidRPr="00A33129">
        <w:rPr>
          <w:rFonts w:ascii="Times New Roman" w:hAnsi="Times New Roman" w:cs="Times New Roman"/>
          <w:sz w:val="24"/>
          <w:szCs w:val="24"/>
        </w:rPr>
        <w:t>, which play a critical role in supporting the silkworm’s lifecycle and cocoon production due to their rich nutrient profiles. These tropical deciduous trees, prevalent in</w:t>
      </w:r>
      <w:r w:rsidR="004B722E" w:rsidRPr="00A33129">
        <w:rPr>
          <w:rFonts w:ascii="Times New Roman" w:hAnsi="Times New Roman" w:cs="Times New Roman"/>
          <w:sz w:val="24"/>
          <w:szCs w:val="24"/>
        </w:rPr>
        <w:t xml:space="preserve"> forest</w:t>
      </w:r>
      <w:r w:rsidRPr="00A33129">
        <w:rPr>
          <w:rFonts w:ascii="Times New Roman" w:hAnsi="Times New Roman" w:cs="Times New Roman"/>
          <w:sz w:val="24"/>
          <w:szCs w:val="24"/>
        </w:rPr>
        <w:t xml:space="preserve"> ecosystems</w:t>
      </w:r>
      <w:r w:rsidR="004B722E" w:rsidRPr="00A33129">
        <w:rPr>
          <w:rFonts w:ascii="Times New Roman" w:hAnsi="Times New Roman" w:cs="Times New Roman"/>
          <w:sz w:val="24"/>
          <w:szCs w:val="24"/>
        </w:rPr>
        <w:t xml:space="preserve"> of Odisha</w:t>
      </w:r>
      <w:r w:rsidRPr="00A33129">
        <w:rPr>
          <w:rFonts w:ascii="Times New Roman" w:hAnsi="Times New Roman" w:cs="Times New Roman"/>
          <w:sz w:val="24"/>
          <w:szCs w:val="24"/>
        </w:rPr>
        <w:t xml:space="preserve">, provide essential foliar nutrients such as nitrogen (2.0–3.1%), phosphorus (0.10–0.21%), and potassium (0.8–1.6%), which directly influence larval growth and cocoon quality.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arjuna</w:t>
      </w:r>
      <w:r w:rsidRPr="00A33129">
        <w:rPr>
          <w:rFonts w:ascii="Times New Roman" w:hAnsi="Times New Roman" w:cs="Times New Roman"/>
          <w:sz w:val="24"/>
          <w:szCs w:val="24"/>
        </w:rPr>
        <w:t xml:space="preserve"> and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are </w:t>
      </w:r>
      <w:r w:rsidR="004D52B5" w:rsidRPr="00A33129">
        <w:rPr>
          <w:rFonts w:ascii="Times New Roman" w:hAnsi="Times New Roman" w:cs="Times New Roman"/>
          <w:sz w:val="24"/>
          <w:szCs w:val="24"/>
        </w:rPr>
        <w:t>favoured</w:t>
      </w:r>
      <w:r w:rsidRPr="00A33129">
        <w:rPr>
          <w:rFonts w:ascii="Times New Roman" w:hAnsi="Times New Roman" w:cs="Times New Roman"/>
          <w:sz w:val="24"/>
          <w:szCs w:val="24"/>
        </w:rPr>
        <w:t xml:space="preserve"> by ecoraces like Sukinda, Nalia, Jata-Daba, Adaba, and Boudh, while </w:t>
      </w:r>
      <w:r w:rsidRPr="00A33129">
        <w:rPr>
          <w:rFonts w:ascii="Times New Roman" w:hAnsi="Times New Roman" w:cs="Times New Roman"/>
          <w:i/>
          <w:iCs/>
          <w:sz w:val="24"/>
          <w:szCs w:val="24"/>
        </w:rPr>
        <w:t>S</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robusta</w:t>
      </w:r>
      <w:r w:rsidRPr="00A33129">
        <w:rPr>
          <w:rFonts w:ascii="Times New Roman" w:hAnsi="Times New Roman" w:cs="Times New Roman"/>
          <w:sz w:val="24"/>
          <w:szCs w:val="24"/>
        </w:rPr>
        <w:t xml:space="preserve"> is the primary host for the Modal and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ecoraces</w:t>
      </w:r>
      <w:proofErr w:type="spellEnd"/>
      <w:r w:rsidRPr="00A33129">
        <w:rPr>
          <w:rFonts w:ascii="Times New Roman" w:hAnsi="Times New Roman" w:cs="Times New Roman"/>
          <w:sz w:val="24"/>
          <w:szCs w:val="24"/>
        </w:rPr>
        <w:t>. The nutrient content of these plants is heavily dependent on soil fertility, with factors like soil organic carbon (0.5–1.5%) and pH (5.5–7.5) affecting leaf quality. Recent studies highlight that habitat degradation from mining and deforestation threatens these host plants, impacting cocoon yields</w:t>
      </w:r>
      <w:r w:rsidR="004D52B5" w:rsidRPr="00A33129">
        <w:rPr>
          <w:rFonts w:ascii="Times New Roman" w:hAnsi="Times New Roman" w:cs="Times New Roman"/>
          <w:sz w:val="24"/>
          <w:szCs w:val="24"/>
        </w:rPr>
        <w:t xml:space="preserve"> </w:t>
      </w:r>
      <w:r w:rsidR="004D52B5" w:rsidRPr="00A33129">
        <w:rPr>
          <w:rFonts w:ascii="Times New Roman" w:hAnsi="Times New Roman" w:cs="Times New Roman"/>
          <w:sz w:val="24"/>
          <w:szCs w:val="24"/>
        </w:rPr>
        <w:fldChar w:fldCharType="begin" w:fldLock="1"/>
      </w:r>
      <w:r w:rsidR="00063751" w:rsidRPr="00A33129">
        <w:rPr>
          <w:rFonts w:ascii="Times New Roman" w:hAnsi="Times New Roman" w:cs="Times New Roman"/>
          <w:sz w:val="24"/>
          <w:szCs w:val="24"/>
        </w:rPr>
        <w:instrText>ADDIN CSL_CITATION {"citationItems":[{"id":"ITEM-1","itemData":{"DOI":"10.3390/su17135824","ISSN":"20711050","abstract":"The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(Switzerland)","id":"ITEM-1","issue":"13","issued":{"date-parts":[["2025"]]},"page":"1-17","title":"Predicting Potential Habitats and the Conservation of the Tasar Silkworm (Antheraea mylitta) in the Similipal Biosphere Reserve, Odisha, India","type":"article-journal","volume":"17"},"uris":["http://www.mendeley.com/documents/?uuid=0f73614f-6f4e-4a2a-aa9f-fbe132528561"]},{"id":"ITEM-2","itemData":{"DOI":"10.9734/ajee/2025/v24i7760","abstract":"Anthropogenic activities have increasingly led to habitat fragmentation and biodiversity loss across ecosystems worldwide, severely impacting species such as Lepidopterans, which act as ecological indicators. Among them, the Tropical Tasar Silkmoth (Antheraea mylitta Drury), a unique species endemic to India, which has been deeply woven into the lives and traditions of Scheduled Tribe and Scheduled Caste communities, has suffered heavy population losses as its natural habitats continue to shrink. This study investigates the distribution and genetic diversity of A. mylitta ecoraces across Odisha, where seven historical ecoraces have dwindled to five, with signs of local extinction in some regions. Through Cytochrome b as a mitochondrial molecular marker, phylogenetic analyses revealed the gene flow patterns consistent with geographical proximity but also uncovered unexpected genetic similarities, suggesting historical population mixing. Habitat degradation, primarily from mining and deforestation, has severely impacted tasar host plant availability, leading to a decline in the tasar silk production and threatening the wild ecorace survival. The findings highlight the critical need for conservation strategies focusing on habitat protection, genetic monitoring, and sustainable management to preserve A. mylitta populations and the forest ecosystems they symbolize.","author":[{"dropping-particle":"","family":"Ray","given":"Priti Pragyan","non-dropping-particle":"","parse-names":false,"suffix":""},{"dropping-particle":"","family":"Barala","given":"Barsha","non-dropping-particle":"","parse-names":false,"suffix":""},{"dropping-particle":"","family":"Dash","given":"Purushottam","non-dropping-particle":"","parse-names":false,"suffix":""}],"container-title":"Asian Journal of Environment &amp; Ecology","id":"ITEM-2","issue":"7","issued":{"date-parts":[["2025"]]},"page":"177-186","title":"Tropical Tasar Silkworm Antheraea mylitta Drury: A Propitious Ecological Indicator of Forest Ecosystems in India","type":"article-journal","volume":"24"},"uris":["http://www.mendeley.com/documents/?uuid=7cde9213-1952-4561-8da5-72f5d6853dd9"]}],"mendeley":{"formattedCitation":"(Ray et al., 2025; Thakur et al., 2025)","plainTextFormattedCitation":"(Ray et al., 2025; Thakur et al., 2025)","previouslyFormattedCitation":"(Ray et al., 2025; Thakur et al., 2025)"},"properties":{"noteIndex":0},"schema":"https://github.com/citation-style-language/schema/raw/master/csl-citation.json"}</w:instrText>
      </w:r>
      <w:r w:rsidR="004D52B5" w:rsidRPr="00A33129">
        <w:rPr>
          <w:rFonts w:ascii="Times New Roman" w:hAnsi="Times New Roman" w:cs="Times New Roman"/>
          <w:sz w:val="24"/>
          <w:szCs w:val="24"/>
        </w:rPr>
        <w:fldChar w:fldCharType="separate"/>
      </w:r>
      <w:r w:rsidR="004D52B5" w:rsidRPr="00A33129">
        <w:rPr>
          <w:rFonts w:ascii="Times New Roman" w:hAnsi="Times New Roman" w:cs="Times New Roman"/>
          <w:noProof/>
          <w:sz w:val="24"/>
          <w:szCs w:val="24"/>
        </w:rPr>
        <w:t>(Ray et al., 2025; Thakur et al., 2025)</w:t>
      </w:r>
      <w:r w:rsidR="004D52B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Conservation efforts, such as those by the Central Silk Board and Tata Steel Mining Limited, focus on preserving these forest habitats and raising host plant nurseries to sustain sericulture, particularly for endangered ecoraces like Sukinda and Adaba.</w:t>
      </w:r>
    </w:p>
    <w:p w14:paraId="18410E8E" w14:textId="610AE0EA"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noProof/>
          <w:sz w:val="24"/>
          <w:szCs w:val="24"/>
          <w:lang w:eastAsia="en-IN" w:bidi="hi-IN"/>
        </w:rPr>
        <w:drawing>
          <wp:inline distT="0" distB="0" distL="0" distR="0" wp14:anchorId="0C7511C5" wp14:editId="182F7998">
            <wp:extent cx="5486400" cy="1796178"/>
            <wp:effectExtent l="0" t="0" r="0" b="0"/>
            <wp:docPr id="909804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796178"/>
                    </a:xfrm>
                    <a:prstGeom prst="rect">
                      <a:avLst/>
                    </a:prstGeom>
                    <a:noFill/>
                  </pic:spPr>
                </pic:pic>
              </a:graphicData>
            </a:graphic>
          </wp:inline>
        </w:drawing>
      </w:r>
    </w:p>
    <w:p w14:paraId="5A275415" w14:textId="40B0FAC8" w:rsidR="00C94096" w:rsidRPr="00A33129" w:rsidRDefault="00C94096" w:rsidP="00C94096">
      <w:pPr>
        <w:spacing w:after="120" w:line="360" w:lineRule="auto"/>
        <w:jc w:val="center"/>
        <w:rPr>
          <w:rFonts w:ascii="Times New Roman" w:hAnsi="Times New Roman" w:cs="Times New Roman"/>
          <w:sz w:val="24"/>
          <w:szCs w:val="24"/>
        </w:rPr>
      </w:pPr>
      <w:r w:rsidRPr="00A33129">
        <w:rPr>
          <w:rFonts w:ascii="Times New Roman" w:hAnsi="Times New Roman" w:cs="Times New Roman"/>
          <w:sz w:val="24"/>
          <w:szCs w:val="24"/>
        </w:rPr>
        <w:t xml:space="preserve">Fig. 2: Leaves of (a) </w:t>
      </w:r>
      <w:proofErr w:type="spellStart"/>
      <w:r w:rsidRPr="00A33129">
        <w:rPr>
          <w:rFonts w:ascii="Times New Roman" w:hAnsi="Times New Roman" w:cs="Times New Roman"/>
          <w:sz w:val="24"/>
          <w:szCs w:val="24"/>
        </w:rPr>
        <w:t>Arjun</w:t>
      </w:r>
      <w:proofErr w:type="spellEnd"/>
      <w:r w:rsidRPr="00A33129">
        <w:rPr>
          <w:rFonts w:ascii="Times New Roman" w:hAnsi="Times New Roman" w:cs="Times New Roman"/>
          <w:sz w:val="24"/>
          <w:szCs w:val="24"/>
        </w:rPr>
        <w:t xml:space="preserve"> plant (</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arjuna</w:t>
      </w:r>
      <w:proofErr w:type="spellEnd"/>
      <w:r w:rsidRPr="00A33129">
        <w:rPr>
          <w:rFonts w:ascii="Times New Roman" w:hAnsi="Times New Roman" w:cs="Times New Roman"/>
          <w:sz w:val="24"/>
          <w:szCs w:val="24"/>
        </w:rPr>
        <w:t xml:space="preserve">), (b) </w:t>
      </w:r>
      <w:proofErr w:type="spellStart"/>
      <w:r w:rsidRPr="00A33129">
        <w:rPr>
          <w:rFonts w:ascii="Times New Roman" w:hAnsi="Times New Roman" w:cs="Times New Roman"/>
          <w:sz w:val="24"/>
          <w:szCs w:val="24"/>
        </w:rPr>
        <w:t>asan</w:t>
      </w:r>
      <w:proofErr w:type="spellEnd"/>
      <w:r w:rsidRPr="00A33129">
        <w:rPr>
          <w:rFonts w:ascii="Times New Roman" w:hAnsi="Times New Roman" w:cs="Times New Roman"/>
          <w:sz w:val="24"/>
          <w:szCs w:val="24"/>
        </w:rPr>
        <w:t xml:space="preserve"> plant</w:t>
      </w:r>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w:t>
      </w:r>
      <w:proofErr w:type="spellStart"/>
      <w:r w:rsidRPr="00A33129">
        <w:rPr>
          <w:rFonts w:ascii="Times New Roman" w:hAnsi="Times New Roman" w:cs="Times New Roman"/>
          <w:i/>
          <w:iCs/>
          <w:sz w:val="24"/>
          <w:szCs w:val="24"/>
        </w:rPr>
        <w:t>Terminalia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tomentosa</w:t>
      </w:r>
      <w:proofErr w:type="spellEnd"/>
      <w:r w:rsidRPr="00A33129">
        <w:rPr>
          <w:rFonts w:ascii="Times New Roman" w:hAnsi="Times New Roman" w:cs="Times New Roman"/>
          <w:sz w:val="24"/>
          <w:szCs w:val="24"/>
        </w:rPr>
        <w:t>),</w:t>
      </w:r>
      <w:r w:rsidRPr="00A33129">
        <w:rPr>
          <w:rFonts w:ascii="Times New Roman" w:hAnsi="Times New Roman" w:cs="Times New Roman"/>
          <w:i/>
          <w:iCs/>
          <w:sz w:val="24"/>
          <w:szCs w:val="24"/>
        </w:rPr>
        <w:t xml:space="preserve"> </w:t>
      </w:r>
      <w:r w:rsidRPr="00A33129">
        <w:rPr>
          <w:rFonts w:ascii="Times New Roman" w:hAnsi="Times New Roman" w:cs="Times New Roman"/>
          <w:sz w:val="24"/>
          <w:szCs w:val="24"/>
        </w:rPr>
        <w:t>and (c)</w:t>
      </w:r>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sal</w:t>
      </w:r>
      <w:proofErr w:type="spellEnd"/>
      <w:r w:rsidRPr="00A33129">
        <w:rPr>
          <w:rFonts w:ascii="Times New Roman" w:hAnsi="Times New Roman" w:cs="Times New Roman"/>
          <w:i/>
          <w:iCs/>
          <w:sz w:val="24"/>
          <w:szCs w:val="24"/>
        </w:rPr>
        <w:t xml:space="preserve"> plant </w:t>
      </w:r>
      <w:r w:rsidRPr="00A33129">
        <w:rPr>
          <w:rFonts w:ascii="Times New Roman" w:hAnsi="Times New Roman" w:cs="Times New Roman"/>
          <w:sz w:val="24"/>
          <w:szCs w:val="24"/>
        </w:rPr>
        <w:t>(</w:t>
      </w:r>
      <w:proofErr w:type="spellStart"/>
      <w:r w:rsidRPr="00A33129">
        <w:rPr>
          <w:rFonts w:ascii="Times New Roman" w:hAnsi="Times New Roman" w:cs="Times New Roman"/>
          <w:i/>
          <w:iCs/>
          <w:sz w:val="24"/>
          <w:szCs w:val="24"/>
        </w:rPr>
        <w:t>Shorea</w:t>
      </w:r>
      <w:proofErr w:type="spellEnd"/>
      <w:r w:rsidRPr="00A33129">
        <w:rPr>
          <w:rFonts w:ascii="Times New Roman" w:hAnsi="Times New Roman" w:cs="Times New Roman"/>
          <w:i/>
          <w:iCs/>
          <w:sz w:val="24"/>
          <w:szCs w:val="24"/>
        </w:rPr>
        <w:t xml:space="preserve"> </w:t>
      </w:r>
      <w:proofErr w:type="spellStart"/>
      <w:r w:rsidRPr="00A33129">
        <w:rPr>
          <w:rFonts w:ascii="Times New Roman" w:hAnsi="Times New Roman" w:cs="Times New Roman"/>
          <w:i/>
          <w:iCs/>
          <w:sz w:val="24"/>
          <w:szCs w:val="24"/>
        </w:rPr>
        <w:t>robusta</w:t>
      </w:r>
      <w:proofErr w:type="spellEnd"/>
      <w:r w:rsidRPr="00A33129">
        <w:rPr>
          <w:rFonts w:ascii="Times New Roman" w:hAnsi="Times New Roman" w:cs="Times New Roman"/>
          <w:sz w:val="24"/>
          <w:szCs w:val="24"/>
        </w:rPr>
        <w:t>)</w:t>
      </w:r>
    </w:p>
    <w:p w14:paraId="65FB2213" w14:textId="49E7F0AE" w:rsidR="009A0B40" w:rsidRPr="00A33129" w:rsidRDefault="009A0B40" w:rsidP="00AC4D17">
      <w:pPr>
        <w:spacing w:after="120" w:line="360" w:lineRule="auto"/>
        <w:rPr>
          <w:rFonts w:ascii="Times New Roman" w:hAnsi="Times New Roman" w:cs="Times New Roman"/>
          <w:b/>
          <w:bCs/>
          <w:i/>
          <w:iCs/>
          <w:sz w:val="24"/>
          <w:szCs w:val="24"/>
        </w:rPr>
      </w:pPr>
      <w:r w:rsidRPr="00DB048C">
        <w:rPr>
          <w:rFonts w:ascii="Times New Roman" w:hAnsi="Times New Roman" w:cs="Times New Roman"/>
          <w:b/>
          <w:bCs/>
          <w:color w:val="FF0000"/>
          <w:sz w:val="24"/>
          <w:szCs w:val="24"/>
        </w:rPr>
        <w:t>2.2.1</w:t>
      </w:r>
      <w:r w:rsidRPr="00DB048C">
        <w:rPr>
          <w:rFonts w:ascii="Times New Roman" w:hAnsi="Times New Roman" w:cs="Times New Roman"/>
          <w:b/>
          <w:bCs/>
          <w:i/>
          <w:iCs/>
          <w:color w:val="FF0000"/>
          <w:sz w:val="24"/>
          <w:szCs w:val="24"/>
        </w:rPr>
        <w:t xml:space="preserve"> </w:t>
      </w:r>
      <w:r w:rsidRPr="00A33129">
        <w:rPr>
          <w:rFonts w:ascii="Times New Roman" w:hAnsi="Times New Roman" w:cs="Times New Roman"/>
          <w:b/>
          <w:bCs/>
          <w:i/>
          <w:iCs/>
          <w:sz w:val="24"/>
          <w:szCs w:val="24"/>
        </w:rPr>
        <w:t xml:space="preserve">Terminalia </w:t>
      </w:r>
      <w:proofErr w:type="gramStart"/>
      <w:r w:rsidRPr="00A33129">
        <w:rPr>
          <w:rFonts w:ascii="Times New Roman" w:hAnsi="Times New Roman" w:cs="Times New Roman"/>
          <w:b/>
          <w:bCs/>
          <w:i/>
          <w:iCs/>
          <w:sz w:val="24"/>
          <w:szCs w:val="24"/>
        </w:rPr>
        <w:t>arjuna</w:t>
      </w:r>
      <w:proofErr w:type="gramEnd"/>
    </w:p>
    <w:p w14:paraId="14D71470" w14:textId="3C81DF01" w:rsidR="009A0B40" w:rsidRPr="00A33129" w:rsidRDefault="009A0B40"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The Arjun plant (</w:t>
      </w:r>
      <w:r w:rsidRPr="00A33129">
        <w:rPr>
          <w:rFonts w:ascii="Times New Roman" w:hAnsi="Times New Roman" w:cs="Times New Roman"/>
          <w:i/>
          <w:iCs/>
          <w:sz w:val="24"/>
          <w:szCs w:val="24"/>
        </w:rPr>
        <w:t>Terminalia arjuna</w:t>
      </w:r>
      <w:r w:rsidRPr="00A33129">
        <w:rPr>
          <w:rFonts w:ascii="Times New Roman" w:hAnsi="Times New Roman" w:cs="Times New Roman"/>
          <w:sz w:val="24"/>
          <w:szCs w:val="24"/>
        </w:rPr>
        <w:t>)</w:t>
      </w:r>
      <w:r w:rsidR="00C94096" w:rsidRPr="00A33129">
        <w:rPr>
          <w:rFonts w:ascii="Times New Roman" w:hAnsi="Times New Roman" w:cs="Times New Roman"/>
          <w:sz w:val="24"/>
          <w:szCs w:val="24"/>
        </w:rPr>
        <w:t xml:space="preserve"> (Fig. 2 (a))</w:t>
      </w:r>
      <w:r w:rsidRPr="00A33129">
        <w:rPr>
          <w:rFonts w:ascii="Times New Roman" w:hAnsi="Times New Roman" w:cs="Times New Roman"/>
          <w:sz w:val="24"/>
          <w:szCs w:val="24"/>
        </w:rPr>
        <w:t xml:space="preserve">, a predominant food source for several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 </w:t>
      </w:r>
      <w:r w:rsidRPr="00A33129">
        <w:rPr>
          <w:rFonts w:ascii="Times New Roman" w:hAnsi="Times New Roman" w:cs="Times New Roman"/>
          <w:sz w:val="24"/>
          <w:szCs w:val="24"/>
        </w:rPr>
        <w:t xml:space="preserve">in Odisha, is a vital host plant commonly found in tropical and temperate forests. Characterized by its simple, green, smooth, and thick leaves, it employs a C3 photosynthetic pathway with abundant chlorophyll a and b, facilitating active photosynthesis. The plant’s stomata open during the day but close under water stress, contributing to moderate water use efficiency and water conservation during drought by partial leaf shedding to reduce transpiration. Compared to </w:t>
      </w:r>
      <w:r w:rsidRPr="00A33129">
        <w:rPr>
          <w:rFonts w:ascii="Times New Roman" w:hAnsi="Times New Roman" w:cs="Times New Roman"/>
          <w:i/>
          <w:iCs/>
          <w:sz w:val="24"/>
          <w:szCs w:val="24"/>
        </w:rPr>
        <w:t>T</w:t>
      </w:r>
      <w:r w:rsidR="004D52B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tomentosa</w:t>
      </w:r>
      <w:r w:rsidRPr="00A33129">
        <w:rPr>
          <w:rFonts w:ascii="Times New Roman" w:hAnsi="Times New Roman" w:cs="Times New Roman"/>
          <w:sz w:val="24"/>
          <w:szCs w:val="24"/>
        </w:rPr>
        <w:t xml:space="preserve">, </w:t>
      </w:r>
      <w:r w:rsidRPr="00A33129">
        <w:rPr>
          <w:rFonts w:ascii="Times New Roman" w:hAnsi="Times New Roman" w:cs="Times New Roman"/>
          <w:i/>
          <w:iCs/>
          <w:sz w:val="24"/>
          <w:szCs w:val="24"/>
        </w:rPr>
        <w:t>T. arjuna</w:t>
      </w:r>
      <w:r w:rsidRPr="00A33129">
        <w:rPr>
          <w:rFonts w:ascii="Times New Roman" w:hAnsi="Times New Roman" w:cs="Times New Roman"/>
          <w:sz w:val="24"/>
          <w:szCs w:val="24"/>
        </w:rPr>
        <w:t xml:space="preserve"> has moderate moisture content but is rich in nutrients like crude protein and carbohydrates, </w:t>
      </w:r>
      <w:r w:rsidRPr="00A33129">
        <w:rPr>
          <w:rFonts w:ascii="Times New Roman" w:hAnsi="Times New Roman" w:cs="Times New Roman"/>
          <w:sz w:val="24"/>
          <w:szCs w:val="24"/>
        </w:rPr>
        <w:lastRenderedPageBreak/>
        <w:t xml:space="preserve">essential for silkworm growth and cocoon production. Additionally, it contains secondary metabolites such as tannins, which serve as defensive compounds against microbial attacks, and </w:t>
      </w:r>
      <w:proofErr w:type="spellStart"/>
      <w:r w:rsidRPr="00A33129">
        <w:rPr>
          <w:rFonts w:ascii="Times New Roman" w:hAnsi="Times New Roman" w:cs="Times New Roman"/>
          <w:sz w:val="24"/>
          <w:szCs w:val="24"/>
        </w:rPr>
        <w:t>arjunolic</w:t>
      </w:r>
      <w:proofErr w:type="spellEnd"/>
      <w:r w:rsidRPr="00A33129">
        <w:rPr>
          <w:rFonts w:ascii="Times New Roman" w:hAnsi="Times New Roman" w:cs="Times New Roman"/>
          <w:sz w:val="24"/>
          <w:szCs w:val="24"/>
        </w:rPr>
        <w:t xml:space="preserve"> acid, flavonoids, and saponins, which possess high medicinal and antioxidant properties, respectively. </w:t>
      </w:r>
    </w:p>
    <w:p w14:paraId="269F1D83" w14:textId="0ECF77BD" w:rsidR="009A0B40" w:rsidRPr="00A33129" w:rsidRDefault="009A0B40"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sz w:val="24"/>
          <w:szCs w:val="24"/>
        </w:rPr>
        <w:t xml:space="preserve">2.2.2 </w:t>
      </w:r>
      <w:r w:rsidRPr="00A33129">
        <w:rPr>
          <w:rFonts w:ascii="Times New Roman" w:hAnsi="Times New Roman" w:cs="Times New Roman"/>
          <w:b/>
          <w:bCs/>
          <w:i/>
          <w:iCs/>
          <w:sz w:val="24"/>
          <w:szCs w:val="24"/>
        </w:rPr>
        <w:t>Terminalia tomentosa</w:t>
      </w:r>
    </w:p>
    <w:p w14:paraId="2573768E" w14:textId="7080CC6E" w:rsidR="00141D0A" w:rsidRPr="00A33129" w:rsidRDefault="00141D0A"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commonly known as the Asan plant</w:t>
      </w:r>
      <w:r w:rsidR="00C94096" w:rsidRPr="00A33129">
        <w:rPr>
          <w:rFonts w:ascii="Times New Roman" w:hAnsi="Times New Roman" w:cs="Times New Roman"/>
          <w:sz w:val="24"/>
          <w:szCs w:val="24"/>
        </w:rPr>
        <w:t xml:space="preserve"> (Fig. 2 (b))</w:t>
      </w:r>
      <w:r w:rsidRPr="00A33129">
        <w:rPr>
          <w:rFonts w:ascii="Times New Roman" w:hAnsi="Times New Roman" w:cs="Times New Roman"/>
          <w:sz w:val="24"/>
          <w:szCs w:val="24"/>
        </w:rPr>
        <w:t xml:space="preserve">, is a large deciduous tree of the </w:t>
      </w:r>
      <w:proofErr w:type="spellStart"/>
      <w:r w:rsidRPr="00A33129">
        <w:rPr>
          <w:rFonts w:ascii="Times New Roman" w:hAnsi="Times New Roman" w:cs="Times New Roman"/>
          <w:sz w:val="24"/>
          <w:szCs w:val="24"/>
        </w:rPr>
        <w:t>Combretaceae</w:t>
      </w:r>
      <w:proofErr w:type="spellEnd"/>
      <w:r w:rsidRPr="00A33129">
        <w:rPr>
          <w:rFonts w:ascii="Times New Roman" w:hAnsi="Times New Roman" w:cs="Times New Roman"/>
          <w:sz w:val="24"/>
          <w:szCs w:val="24"/>
        </w:rPr>
        <w:t xml:space="preserve"> family, reaching heights of up to 30 meters and serving as a key host plant for ecoraces of </w:t>
      </w:r>
      <w:r w:rsidRPr="00A33129">
        <w:rPr>
          <w:rFonts w:ascii="Times New Roman" w:hAnsi="Times New Roman" w:cs="Times New Roman"/>
          <w:i/>
          <w:iCs/>
          <w:sz w:val="24"/>
          <w:szCs w:val="24"/>
        </w:rPr>
        <w:t>A</w:t>
      </w:r>
      <w:r w:rsidR="002407E0"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w:t>
      </w:r>
      <w:r w:rsidR="002407E0" w:rsidRPr="00A33129">
        <w:rPr>
          <w:rFonts w:ascii="Times New Roman" w:hAnsi="Times New Roman" w:cs="Times New Roman"/>
          <w:i/>
          <w:iCs/>
          <w:sz w:val="24"/>
          <w:szCs w:val="24"/>
        </w:rPr>
        <w:t>mylitta</w:t>
      </w:r>
      <w:r w:rsidR="002407E0" w:rsidRPr="00A33129">
        <w:rPr>
          <w:rFonts w:ascii="Times New Roman" w:hAnsi="Times New Roman" w:cs="Times New Roman"/>
          <w:sz w:val="24"/>
          <w:szCs w:val="24"/>
        </w:rPr>
        <w:t xml:space="preserve"> in</w:t>
      </w:r>
      <w:r w:rsidRPr="00A33129">
        <w:rPr>
          <w:rFonts w:ascii="Times New Roman" w:hAnsi="Times New Roman" w:cs="Times New Roman"/>
          <w:sz w:val="24"/>
          <w:szCs w:val="24"/>
        </w:rPr>
        <w:t xml:space="preserve"> Odisha. Characterized by simple, alternate leaves with a distinctive tomentose (velvety hairy) lower surface, it is well-adapted to dry, hot climates and employs a C3 photosynthetic pathway. The plant is rich in secondary metabolites such as tannins, flavonoids, and phenolic compounds, which provide natural defense against herbivores and pathogens, while also exhibiting antioxidant and antimicrobial properties that enhance its resistance to termite attacks. Beyond its role in sericulture, supporting silkworm growth through nutrient-rich leaves, </w:t>
      </w:r>
      <w:r w:rsidRPr="00A33129">
        <w:rPr>
          <w:rFonts w:ascii="Times New Roman" w:hAnsi="Times New Roman" w:cs="Times New Roman"/>
          <w:i/>
          <w:iCs/>
          <w:sz w:val="24"/>
          <w:szCs w:val="24"/>
        </w:rPr>
        <w:t>T. tomentosa</w:t>
      </w:r>
      <w:r w:rsidRPr="00A33129">
        <w:rPr>
          <w:rFonts w:ascii="Times New Roman" w:hAnsi="Times New Roman" w:cs="Times New Roman"/>
          <w:sz w:val="24"/>
          <w:szCs w:val="24"/>
        </w:rPr>
        <w:t xml:space="preserve"> plays a significant ecological role in soil conservation, carbon sequestration, and fire tolerance, making it a vital component of Odisha’s tropical forest ecosystems and sustainable sericulture practices.</w:t>
      </w:r>
    </w:p>
    <w:p w14:paraId="07E781E7" w14:textId="1848DA4E" w:rsidR="002407E0" w:rsidRPr="00A33129" w:rsidRDefault="002407E0" w:rsidP="00AC4D17">
      <w:pPr>
        <w:spacing w:after="120" w:line="360" w:lineRule="auto"/>
        <w:rPr>
          <w:rFonts w:ascii="Times New Roman" w:hAnsi="Times New Roman" w:cs="Times New Roman"/>
          <w:b/>
          <w:bCs/>
          <w:i/>
          <w:iCs/>
          <w:sz w:val="24"/>
          <w:szCs w:val="24"/>
        </w:rPr>
      </w:pPr>
      <w:r w:rsidRPr="00DB048C">
        <w:rPr>
          <w:rFonts w:ascii="Times New Roman" w:hAnsi="Times New Roman" w:cs="Times New Roman"/>
          <w:b/>
          <w:bCs/>
          <w:color w:val="FF0000"/>
          <w:sz w:val="24"/>
          <w:szCs w:val="24"/>
        </w:rPr>
        <w:t>2.2.3</w:t>
      </w:r>
      <w:r w:rsidRPr="00DB048C">
        <w:rPr>
          <w:rFonts w:ascii="Times New Roman" w:hAnsi="Times New Roman" w:cs="Times New Roman"/>
          <w:b/>
          <w:bCs/>
          <w:i/>
          <w:iCs/>
          <w:color w:val="FF0000"/>
          <w:sz w:val="24"/>
          <w:szCs w:val="24"/>
        </w:rPr>
        <w:t xml:space="preserve"> </w:t>
      </w:r>
      <w:r w:rsidRPr="00A33129">
        <w:rPr>
          <w:rFonts w:ascii="Times New Roman" w:hAnsi="Times New Roman" w:cs="Times New Roman"/>
          <w:b/>
          <w:bCs/>
          <w:i/>
          <w:iCs/>
          <w:sz w:val="24"/>
          <w:szCs w:val="24"/>
        </w:rPr>
        <w:t>Shorea robusta</w:t>
      </w:r>
    </w:p>
    <w:p w14:paraId="12B99469" w14:textId="61F20CBE" w:rsidR="002407E0" w:rsidRDefault="002407E0" w:rsidP="00AC4D17">
      <w:pPr>
        <w:spacing w:after="120" w:line="360" w:lineRule="auto"/>
        <w:rPr>
          <w:rFonts w:ascii="Times New Roman" w:hAnsi="Times New Roman" w:cs="Times New Roman"/>
          <w:sz w:val="24"/>
          <w:szCs w:val="24"/>
        </w:rPr>
      </w:pP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commonly known as the </w:t>
      </w:r>
      <w:proofErr w:type="spellStart"/>
      <w:r w:rsidRPr="00A33129">
        <w:rPr>
          <w:rFonts w:ascii="Times New Roman" w:hAnsi="Times New Roman" w:cs="Times New Roman"/>
          <w:sz w:val="24"/>
          <w:szCs w:val="24"/>
        </w:rPr>
        <w:t>sal</w:t>
      </w:r>
      <w:proofErr w:type="spellEnd"/>
      <w:r w:rsidRPr="00A33129">
        <w:rPr>
          <w:rFonts w:ascii="Times New Roman" w:hAnsi="Times New Roman" w:cs="Times New Roman"/>
          <w:sz w:val="24"/>
          <w:szCs w:val="24"/>
        </w:rPr>
        <w:t xml:space="preserve"> tree</w:t>
      </w:r>
      <w:r w:rsidR="00AB0931" w:rsidRPr="00A33129">
        <w:rPr>
          <w:rFonts w:ascii="Times New Roman" w:hAnsi="Times New Roman" w:cs="Times New Roman"/>
          <w:sz w:val="24"/>
          <w:szCs w:val="24"/>
        </w:rPr>
        <w:t xml:space="preserve"> (Fig. 2 (c))</w:t>
      </w:r>
      <w:r w:rsidRPr="00A33129">
        <w:rPr>
          <w:rFonts w:ascii="Times New Roman" w:hAnsi="Times New Roman" w:cs="Times New Roman"/>
          <w:sz w:val="24"/>
          <w:szCs w:val="24"/>
        </w:rPr>
        <w:t xml:space="preserve">, is a large deciduous dipterocarp tree native to the Indian subcontinent, including Odisha, and belongs to the </w:t>
      </w:r>
      <w:proofErr w:type="spellStart"/>
      <w:r w:rsidRPr="00A33129">
        <w:rPr>
          <w:rFonts w:ascii="Times New Roman" w:hAnsi="Times New Roman" w:cs="Times New Roman"/>
          <w:sz w:val="24"/>
          <w:szCs w:val="24"/>
        </w:rPr>
        <w:t>Dipterocarpaceae</w:t>
      </w:r>
      <w:proofErr w:type="spellEnd"/>
      <w:r w:rsidRPr="00A33129">
        <w:rPr>
          <w:rFonts w:ascii="Times New Roman" w:hAnsi="Times New Roman" w:cs="Times New Roman"/>
          <w:sz w:val="24"/>
          <w:szCs w:val="24"/>
        </w:rPr>
        <w:t xml:space="preserve"> family. Growing up to 45 meters, it features simple, alternate, ovate-oblong leaves with entire margins and a thick cuticle that minimizes water loss, making it well-suited to its </w:t>
      </w:r>
      <w:proofErr w:type="spellStart"/>
      <w:r w:rsidRPr="00A33129">
        <w:rPr>
          <w:rFonts w:ascii="Times New Roman" w:hAnsi="Times New Roman" w:cs="Times New Roman"/>
          <w:sz w:val="24"/>
          <w:szCs w:val="24"/>
        </w:rPr>
        <w:t>heliophytic</w:t>
      </w:r>
      <w:proofErr w:type="spellEnd"/>
      <w:r w:rsidRPr="00A33129">
        <w:rPr>
          <w:rFonts w:ascii="Times New Roman" w:hAnsi="Times New Roman" w:cs="Times New Roman"/>
          <w:sz w:val="24"/>
          <w:szCs w:val="24"/>
        </w:rPr>
        <w:t xml:space="preserve"> nature, requiring full sunlight for optimal growth via its C3 photosynthetic pathway. As a primary host plant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ecoraces like Modal and </w:t>
      </w:r>
      <w:proofErr w:type="spellStart"/>
      <w:r w:rsidRPr="00A33129">
        <w:rPr>
          <w:rFonts w:ascii="Times New Roman" w:hAnsi="Times New Roman" w:cs="Times New Roman"/>
          <w:sz w:val="24"/>
          <w:szCs w:val="24"/>
        </w:rPr>
        <w:t>Umerkote</w:t>
      </w:r>
      <w:proofErr w:type="spellEnd"/>
      <w:r w:rsidRPr="00A33129">
        <w:rPr>
          <w:rFonts w:ascii="Times New Roman" w:hAnsi="Times New Roman" w:cs="Times New Roman"/>
          <w:sz w:val="24"/>
          <w:szCs w:val="24"/>
        </w:rPr>
        <w:t xml:space="preserve"> in </w:t>
      </w:r>
      <w:proofErr w:type="spellStart"/>
      <w:r w:rsidRPr="00A33129">
        <w:rPr>
          <w:rFonts w:ascii="Times New Roman" w:hAnsi="Times New Roman" w:cs="Times New Roman"/>
          <w:sz w:val="24"/>
          <w:szCs w:val="24"/>
        </w:rPr>
        <w:t>Odisha</w:t>
      </w:r>
      <w:proofErr w:type="spellEnd"/>
      <w:r w:rsidRPr="00A33129">
        <w:rPr>
          <w:rFonts w:ascii="Times New Roman" w:hAnsi="Times New Roman" w:cs="Times New Roman"/>
          <w:sz w:val="24"/>
          <w:szCs w:val="24"/>
        </w:rPr>
        <w:t xml:space="preserve">, its nutrient-rich leaves support silkworm growth and cocoon production. The tree contains resins, tannins, and polyphenols, which provide antimicrobial and wound-healing properties, as well as a defensive role against infections, enhancing its resilience. Ecologically, </w:t>
      </w:r>
      <w:r w:rsidRPr="00A33129">
        <w:rPr>
          <w:rFonts w:ascii="Times New Roman" w:hAnsi="Times New Roman" w:cs="Times New Roman"/>
          <w:i/>
          <w:iCs/>
          <w:sz w:val="24"/>
          <w:szCs w:val="24"/>
        </w:rPr>
        <w:t>S. robusta</w:t>
      </w:r>
      <w:r w:rsidRPr="00A33129">
        <w:rPr>
          <w:rFonts w:ascii="Times New Roman" w:hAnsi="Times New Roman" w:cs="Times New Roman"/>
          <w:sz w:val="24"/>
          <w:szCs w:val="24"/>
        </w:rPr>
        <w:t xml:space="preserve"> contributes significantly to carbon storage and supports diverse fauna, including birds, insects, and mammals, making it a cornerstone of forest ecosystems and sustainable sericulture.</w:t>
      </w:r>
    </w:p>
    <w:p w14:paraId="5212CA9E" w14:textId="35F3F321" w:rsidR="00DB048C" w:rsidRPr="00DB048C" w:rsidRDefault="00DB048C" w:rsidP="00AC4D17">
      <w:pPr>
        <w:spacing w:after="120" w:line="360" w:lineRule="auto"/>
        <w:rPr>
          <w:rFonts w:ascii="Times New Roman" w:hAnsi="Times New Roman" w:cs="Times New Roman"/>
          <w:color w:val="FF0000"/>
          <w:sz w:val="24"/>
          <w:szCs w:val="24"/>
        </w:rPr>
      </w:pPr>
      <w:r w:rsidRPr="00DB048C">
        <w:rPr>
          <w:rFonts w:ascii="Times New Roman" w:hAnsi="Times New Roman" w:cs="Times New Roman"/>
          <w:color w:val="FF0000"/>
          <w:sz w:val="24"/>
          <w:szCs w:val="24"/>
        </w:rPr>
        <w:t>3. RESEALTS AND DISCUSSION</w:t>
      </w:r>
    </w:p>
    <w:p w14:paraId="352A0763" w14:textId="6AC309C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w:t>
      </w:r>
      <w:r w:rsidR="00DB048C">
        <w:rPr>
          <w:rFonts w:ascii="Times New Roman" w:hAnsi="Times New Roman" w:cs="Times New Roman"/>
          <w:b/>
          <w:bCs/>
          <w:sz w:val="24"/>
          <w:szCs w:val="24"/>
        </w:rPr>
        <w:t>0</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Role of </w:t>
      </w:r>
      <w:r w:rsidR="008B2728" w:rsidRPr="00A33129">
        <w:rPr>
          <w:rFonts w:ascii="Times New Roman" w:hAnsi="Times New Roman" w:cs="Times New Roman"/>
          <w:b/>
          <w:bCs/>
          <w:sz w:val="24"/>
          <w:szCs w:val="24"/>
        </w:rPr>
        <w:t>s</w:t>
      </w:r>
      <w:r w:rsidRPr="00A33129">
        <w:rPr>
          <w:rFonts w:ascii="Times New Roman" w:hAnsi="Times New Roman" w:cs="Times New Roman"/>
          <w:b/>
          <w:bCs/>
          <w:sz w:val="24"/>
          <w:szCs w:val="24"/>
        </w:rPr>
        <w:t xml:space="preserve">oil </w:t>
      </w:r>
      <w:r w:rsidR="008B2728" w:rsidRPr="00A33129">
        <w:rPr>
          <w:rFonts w:ascii="Times New Roman" w:hAnsi="Times New Roman" w:cs="Times New Roman"/>
          <w:b/>
          <w:bCs/>
          <w:sz w:val="24"/>
          <w:szCs w:val="24"/>
        </w:rPr>
        <w:t>n</w:t>
      </w:r>
      <w:r w:rsidRPr="00A33129">
        <w:rPr>
          <w:rFonts w:ascii="Times New Roman" w:hAnsi="Times New Roman" w:cs="Times New Roman"/>
          <w:b/>
          <w:bCs/>
          <w:sz w:val="24"/>
          <w:szCs w:val="24"/>
        </w:rPr>
        <w:t>utrients</w:t>
      </w:r>
    </w:p>
    <w:p w14:paraId="17379B55" w14:textId="3CD44089" w:rsidR="00D1310B" w:rsidRPr="00A33129" w:rsidRDefault="00D1310B" w:rsidP="00D1310B">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Soil nutrients play an important role in tasar sericulture by influencing the growth and nutritional quality of host plants, both primary and secondary, which are critical for the </w:t>
      </w:r>
      <w:r w:rsidRPr="00A33129">
        <w:rPr>
          <w:rFonts w:ascii="Times New Roman" w:hAnsi="Times New Roman" w:cs="Times New Roman"/>
          <w:sz w:val="24"/>
          <w:szCs w:val="24"/>
        </w:rPr>
        <w:lastRenderedPageBreak/>
        <w:t xml:space="preserve">rearing of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ecoraces in Odisha. </w:t>
      </w:r>
      <w:r w:rsidR="008F5A11" w:rsidRPr="00A33129">
        <w:rPr>
          <w:rFonts w:ascii="Times New Roman" w:hAnsi="Times New Roman" w:cs="Times New Roman"/>
          <w:sz w:val="24"/>
          <w:szCs w:val="24"/>
        </w:rPr>
        <w:t xml:space="preserve">They perform very precise and significant roles in plants like </w:t>
      </w:r>
      <w:r w:rsidR="00B70A35" w:rsidRPr="00A33129">
        <w:rPr>
          <w:rFonts w:ascii="Times New Roman" w:hAnsi="Times New Roman" w:cs="Times New Roman"/>
          <w:sz w:val="24"/>
          <w:szCs w:val="24"/>
        </w:rPr>
        <w:t xml:space="preserve">enzymes, hormones and </w:t>
      </w:r>
      <w:r w:rsidR="008F5A11" w:rsidRPr="00A33129">
        <w:rPr>
          <w:rFonts w:ascii="Times New Roman" w:hAnsi="Times New Roman" w:cs="Times New Roman"/>
          <w:sz w:val="24"/>
          <w:szCs w:val="24"/>
        </w:rPr>
        <w:t>energy transfer process</w:t>
      </w:r>
      <w:r w:rsidR="00B70A35" w:rsidRPr="00A33129">
        <w:rPr>
          <w:rFonts w:ascii="Times New Roman" w:hAnsi="Times New Roman" w:cs="Times New Roman"/>
          <w:sz w:val="24"/>
          <w:szCs w:val="24"/>
        </w:rPr>
        <w:t xml:space="preserve"> </w:t>
      </w:r>
      <w:r w:rsidR="00B70A35" w:rsidRPr="00A33129">
        <w:rPr>
          <w:rFonts w:ascii="Times New Roman" w:hAnsi="Times New Roman" w:cs="Times New Roman"/>
          <w:sz w:val="24"/>
          <w:szCs w:val="24"/>
        </w:rPr>
        <w:fldChar w:fldCharType="begin" w:fldLock="1"/>
      </w:r>
      <w:r w:rsidR="00230D35" w:rsidRPr="00A33129">
        <w:rPr>
          <w:rFonts w:ascii="Times New Roman" w:hAnsi="Times New Roman" w:cs="Times New Roman"/>
          <w:sz w:val="24"/>
          <w:szCs w:val="24"/>
        </w:rPr>
        <w:instrText>ADDIN CSL_CITATION {"citationItems":[{"id":"ITEM-1","itemData":{"DOI":"10.51470/plantarchives.2022.v22.specialissue.024","ISSN":"09725210","abstract":"Synthesis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Archives","id":"ITEM-1","issue":"Spl. Issue (VSOG)","issued":{"date-parts":[["2022"]]},"page":"116-121","title":"Nutrients From Soil To Host Plant Leaves and Its Impact on Commercial Traits of Tropical Tasar Silkworm","type":"article-journal","volume":"22"},"uris":["http://www.mendeley.com/documents/?uuid=9b9a3eed-3dac-4846-bc23-b749eb919d2c"]}],"mendeley":{"formattedCitation":"(Panda et al., 2022)","plainTextFormattedCitation":"(Panda et al., 2022)","previouslyFormattedCitation":"(Panda et al., 2022)"},"properties":{"noteIndex":0},"schema":"https://github.com/citation-style-language/schema/raw/master/csl-citation.json"}</w:instrText>
      </w:r>
      <w:r w:rsidR="00B70A35" w:rsidRPr="00A33129">
        <w:rPr>
          <w:rFonts w:ascii="Times New Roman" w:hAnsi="Times New Roman" w:cs="Times New Roman"/>
          <w:sz w:val="24"/>
          <w:szCs w:val="24"/>
        </w:rPr>
        <w:fldChar w:fldCharType="separate"/>
      </w:r>
      <w:r w:rsidR="00B70A35" w:rsidRPr="00A33129">
        <w:rPr>
          <w:rFonts w:ascii="Times New Roman" w:hAnsi="Times New Roman" w:cs="Times New Roman"/>
          <w:noProof/>
          <w:sz w:val="24"/>
          <w:szCs w:val="24"/>
        </w:rPr>
        <w:t>(Panda et al., 2022)</w:t>
      </w:r>
      <w:r w:rsidR="00B70A35" w:rsidRPr="00A33129">
        <w:rPr>
          <w:rFonts w:ascii="Times New Roman" w:hAnsi="Times New Roman" w:cs="Times New Roman"/>
          <w:sz w:val="24"/>
          <w:szCs w:val="24"/>
        </w:rPr>
        <w:fldChar w:fldCharType="end"/>
      </w:r>
      <w:r w:rsidR="008F5A11" w:rsidRPr="00A33129">
        <w:rPr>
          <w:rFonts w:ascii="Times New Roman" w:hAnsi="Times New Roman" w:cs="Times New Roman"/>
          <w:sz w:val="24"/>
          <w:szCs w:val="24"/>
        </w:rPr>
        <w:t xml:space="preserve">. </w:t>
      </w:r>
      <w:r w:rsidR="00B41425" w:rsidRPr="00A33129">
        <w:rPr>
          <w:rFonts w:ascii="Times New Roman" w:hAnsi="Times New Roman" w:cs="Times New Roman"/>
          <w:sz w:val="24"/>
          <w:szCs w:val="24"/>
        </w:rPr>
        <w:t xml:space="preserve">Soil nutrient status at the plantation site determines the quality of leaf production </w:t>
      </w:r>
      <w:r w:rsidR="00B41425" w:rsidRPr="00A33129">
        <w:rPr>
          <w:rFonts w:ascii="Times New Roman" w:hAnsi="Times New Roman" w:cs="Times New Roman"/>
          <w:sz w:val="24"/>
          <w:szCs w:val="24"/>
        </w:rPr>
        <w:fldChar w:fldCharType="begin" w:fldLock="1"/>
      </w:r>
      <w:r w:rsidR="003D121C" w:rsidRPr="00A33129">
        <w:rPr>
          <w:rFonts w:ascii="Times New Roman" w:hAnsi="Times New Roman" w:cs="Times New Roman"/>
          <w:sz w:val="24"/>
          <w:szCs w:val="24"/>
        </w:rPr>
        <w:instrText>ADDIN CSL_CITATION {"citationItems":[{"id":"ITEM-1","itemData":{"abstract":"Revista electrònica.","author":[{"dropping-particle":"","family":"Giri","given":"Shantakar","non-dropping-particle":"","parse-names":false,"suffix":""},{"dropping-particle":"","family":"Das","given":"Susmita","non-dropping-particle":"","parse-names":false,"suffix":""},{"dropping-particle":"","family":"Sathyanarayana","given":"K.","non-dropping-particle":"","parse-names":false,"suffix":""}],"container-title":"Plant Archives","id":"ITEM-1","issue":"1","issued":{"date-parts":[["2023"]]},"page":"397-402","title":"Nutrient dynamics and sustainability of wild tasar silkworm on Sal flora","type":"article-journal","volume":"23"},"uris":["http://www.mendeley.com/documents/?uuid=57ede150-c4c6-43f6-9aa6-898df038acb7"]}],"mendeley":{"formattedCitation":"(Giri et al., 2023)","plainTextFormattedCitation":"(Giri et al., 2023)","previouslyFormattedCitation":"(Giri et al., 2023)"},"properties":{"noteIndex":0},"schema":"https://github.com/citation-style-language/schema/raw/master/csl-citation.json"}</w:instrText>
      </w:r>
      <w:r w:rsidR="00B41425" w:rsidRPr="00A33129">
        <w:rPr>
          <w:rFonts w:ascii="Times New Roman" w:hAnsi="Times New Roman" w:cs="Times New Roman"/>
          <w:sz w:val="24"/>
          <w:szCs w:val="24"/>
        </w:rPr>
        <w:fldChar w:fldCharType="separate"/>
      </w:r>
      <w:r w:rsidR="00B41425" w:rsidRPr="00A33129">
        <w:rPr>
          <w:rFonts w:ascii="Times New Roman" w:hAnsi="Times New Roman" w:cs="Times New Roman"/>
          <w:noProof/>
          <w:sz w:val="24"/>
          <w:szCs w:val="24"/>
        </w:rPr>
        <w:t>(Giri et al., 2023)</w:t>
      </w:r>
      <w:r w:rsidR="00B41425" w:rsidRPr="00A33129">
        <w:rPr>
          <w:rFonts w:ascii="Times New Roman" w:hAnsi="Times New Roman" w:cs="Times New Roman"/>
          <w:sz w:val="24"/>
          <w:szCs w:val="24"/>
        </w:rPr>
        <w:fldChar w:fldCharType="end"/>
      </w:r>
      <w:r w:rsidR="00B41425"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The nutrient status of the soil directly affects the leaf nutrient composition, which in turn impacts larval growth, cocoon weight, silk ratio, and overall yield. </w:t>
      </w:r>
    </w:p>
    <w:p w14:paraId="286A3C9B" w14:textId="0713987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3.1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Key macro and micronutrients</w:t>
      </w:r>
    </w:p>
    <w:p w14:paraId="4EAAE57E" w14:textId="1599E445" w:rsidR="008566A7" w:rsidRPr="00A33129" w:rsidRDefault="00C01D99" w:rsidP="00821434">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macronutrients and micronutrients </w:t>
      </w:r>
      <w:r w:rsidR="004F1E8C" w:rsidRPr="00A33129">
        <w:rPr>
          <w:rFonts w:ascii="Times New Roman" w:hAnsi="Times New Roman" w:cs="Times New Roman"/>
          <w:sz w:val="24"/>
          <w:szCs w:val="24"/>
        </w:rPr>
        <w:t xml:space="preserve">available </w:t>
      </w:r>
      <w:r w:rsidRPr="00A33129">
        <w:rPr>
          <w:rFonts w:ascii="Times New Roman" w:hAnsi="Times New Roman" w:cs="Times New Roman"/>
          <w:sz w:val="24"/>
          <w:szCs w:val="24"/>
        </w:rPr>
        <w:t xml:space="preserve">in the soil influence the development of silk </w:t>
      </w:r>
      <w:proofErr w:type="spellStart"/>
      <w:r w:rsidRPr="00A33129">
        <w:rPr>
          <w:rFonts w:ascii="Times New Roman" w:hAnsi="Times New Roman" w:cs="Times New Roman"/>
          <w:sz w:val="24"/>
          <w:szCs w:val="24"/>
        </w:rPr>
        <w:t>fiber</w:t>
      </w:r>
      <w:proofErr w:type="spellEnd"/>
      <w:r w:rsidRPr="00A33129">
        <w:rPr>
          <w:rFonts w:ascii="Times New Roman" w:hAnsi="Times New Roman" w:cs="Times New Roman"/>
          <w:sz w:val="24"/>
          <w:szCs w:val="24"/>
        </w:rPr>
        <w:t xml:space="preserve">, which in turn affects the economic aspects of the </w:t>
      </w:r>
      <w:r w:rsidR="004F1E8C" w:rsidRPr="00A33129">
        <w:rPr>
          <w:rFonts w:ascii="Times New Roman" w:hAnsi="Times New Roman" w:cs="Times New Roman"/>
          <w:sz w:val="24"/>
          <w:szCs w:val="24"/>
        </w:rPr>
        <w:t>silk</w:t>
      </w:r>
      <w:r w:rsidRPr="00A33129">
        <w:rPr>
          <w:rFonts w:ascii="Times New Roman" w:hAnsi="Times New Roman" w:cs="Times New Roman"/>
          <w:sz w:val="24"/>
          <w:szCs w:val="24"/>
        </w:rPr>
        <w:t xml:space="preserve">. </w:t>
      </w:r>
      <w:r w:rsidR="003D121C" w:rsidRPr="00A33129">
        <w:rPr>
          <w:rFonts w:ascii="Times New Roman" w:hAnsi="Times New Roman" w:cs="Times New Roman"/>
          <w:sz w:val="24"/>
          <w:szCs w:val="24"/>
        </w:rPr>
        <w:t xml:space="preserve">The macronutrients nitrogen (N), phosphorus (P), potassium (K), and </w:t>
      </w:r>
      <w:proofErr w:type="spellStart"/>
      <w:r w:rsidR="003D121C" w:rsidRPr="00A33129">
        <w:rPr>
          <w:rFonts w:ascii="Times New Roman" w:hAnsi="Times New Roman" w:cs="Times New Roman"/>
          <w:sz w:val="24"/>
          <w:szCs w:val="24"/>
        </w:rPr>
        <w:t>sulfur</w:t>
      </w:r>
      <w:proofErr w:type="spellEnd"/>
      <w:r w:rsidR="003D121C" w:rsidRPr="00A33129">
        <w:rPr>
          <w:rFonts w:ascii="Times New Roman" w:hAnsi="Times New Roman" w:cs="Times New Roman"/>
          <w:sz w:val="24"/>
          <w:szCs w:val="24"/>
        </w:rPr>
        <w:t xml:space="preserve"> (S), along with micronutrients boron (B), calcium (Ca), copper (Cu), iron (Fe), magnesium (Mg), manganese (Mn), and zinc (Zn) in the soil, are essential for the growth of tasar silk worm </w:t>
      </w:r>
      <w:r w:rsidR="003D121C" w:rsidRPr="00A33129">
        <w:rPr>
          <w:rFonts w:ascii="Times New Roman" w:hAnsi="Times New Roman" w:cs="Times New Roman"/>
          <w:sz w:val="24"/>
          <w:szCs w:val="24"/>
        </w:rPr>
        <w:fldChar w:fldCharType="begin" w:fldLock="1"/>
      </w:r>
      <w:r w:rsidR="008309B4" w:rsidRPr="00A33129">
        <w:rPr>
          <w:rFonts w:ascii="Times New Roman" w:hAnsi="Times New Roman" w:cs="Times New Roman"/>
          <w:sz w:val="24"/>
          <w:szCs w:val="24"/>
        </w:rPr>
        <w:instrText>ADDIN CSL_CITATION {"citationItems":[{"id":"ITEM-1","itemData":{"author":[{"dropping-particle":"","family":"Pandiaraj","given":"T","non-dropping-particle":"","parse-names":false,"suffix":""},{"dropping-particle":"","family":"Srivastava","given":"P P","non-dropping-particle":"","parse-names":false,"suffix":""},{"dropping-particle":"","family":"Das","given":"Susmita","non-dropping-particle":"","parse-names":false,"suffix":""},{"dropping-particle":"","family":"Sinha","given":"A K","non-dropping-particle":"","parse-names":false,"suffix":""}],"container-title":"Journal of Pharmacognosy and Phytochemistry","id":"ITEM-1","issue":"2","issued":{"date-parts":[["2018"]]},"page":"2966-2970","title":"Assessing soil fertility status of tasar host plants growing soils in Purulia district of West Bengal state","type":"article-journal","volume":"7"},"uris":["http://www.mendeley.com/documents/?uuid=f771293b-0c35-4a85-8bf2-c6dfb513d09c"]},{"id":"ITEM-2","itemData":{"DOI":"10.3390/su17135824","ISSN":"20711050","abstract":"The tasar silk production of India’s sericulture industry supports tribal livelihoods and economic sustainability. However, Antheraea mylitta Drury, 1773, the primary species for tasar silk, faces habitat threats due to deforestation, climate change, and anthropogenic pressures. This study evaluates the distribution and habitat suitability of wild tasar silkworm using multi-criteria approach, Geographic Information System (GIS), Remote Sensing (RS), and ecological niche modeling using the MaxEnt algorithm. Field surveys were conducted to collect cocoon samples, and the analysis of environmental parameters and assessment of soil micronutrient influences were also carried out. The MaxEnt model predictions indicate that the Central, Western, and Southern zones of Mayurbhanj, encompassing the Similipal Biosphere Reserve, provide the most suitable habitats. The jackknife test confirmed that these climatic variables collectively contributed 68.7% to the habitat suitability model. This study highlights the impact of habitat fragmentation and deforestation on tasar silkworm populations, emphasizing the need for conservation strategies, sustainable forest management, and afforestation programs. The findings highlight the following key conservation strategies: restoring habitats in Similipal, enforcing anti-deforestation laws, promoting community-led planting of host trees, and adopting climate-resilient silk farming to protect biodiversity and support tribal livelihoods.","author":[{"dropping-particle":"","family":"Thakur","given":"Rakesh Ranjan","non-dropping-particle":"","parse-names":false,"suffix":""},{"dropping-particle":"","family":"Nandi","given":"Debabrata","non-dropping-particle":"","parse-names":false,"suffix":""},{"dropping-particle":"","family":"Bera","given":"Dillip Kumar","non-dropping-particle":"","parse-names":false,"suffix":""},{"dropping-particle":"","family":"Singh","given":"Saranjit","non-dropping-particle":"","parse-names":false,"suffix":""},{"dropping-particle":"","family":"Beuria","given":"Roshan","non-dropping-particle":"","parse-names":false,"suffix":""},{"dropping-particle":"","family":"Mishra","given":"Priyanka","non-dropping-particle":"","parse-names":false,"suffix":""},{"dropping-particle":"Ben","family":"Hasher","given":"Fahdah Falah","non-dropping-particle":"","parse-names":false,"suffix":""},{"dropping-particle":"","family":"Kumari","given":"Maya","non-dropping-particle":"","parse-names":false,"suffix":""},{"dropping-particle":"","family":"Zhran","given":"Mohamed","non-dropping-particle":"","parse-names":false,"suffix":""}],"container-title":"Sustainability (Switzerland)","id":"ITEM-2","issue":"13","issued":{"date-parts":[["2025"]]},"page":"1-17","title":"Predicting Potential Habitats and the Conservation of the Tasar Silkworm (Antheraea mylitta) in the Similipal Biosphere Reserve, Odisha, India","type":"article-journal","volume":"17"},"uris":["http://www.mendeley.com/documents/?uuid=0f73614f-6f4e-4a2a-aa9f-fbe132528561"]}],"mendeley":{"formattedCitation":"(Pandiaraj et al., 2018; Thakur et al., 2025)","plainTextFormattedCitation":"(Pandiaraj et al., 2018; Thakur et al., 2025)","previouslyFormattedCitation":"(Pandiaraj et al., 2018; Thakur et al., 2025)"},"properties":{"noteIndex":0},"schema":"https://github.com/citation-style-language/schema/raw/master/csl-citation.json"}</w:instrText>
      </w:r>
      <w:r w:rsidR="003D121C" w:rsidRPr="00A33129">
        <w:rPr>
          <w:rFonts w:ascii="Times New Roman" w:hAnsi="Times New Roman" w:cs="Times New Roman"/>
          <w:sz w:val="24"/>
          <w:szCs w:val="24"/>
        </w:rPr>
        <w:fldChar w:fldCharType="separate"/>
      </w:r>
      <w:r w:rsidR="003D121C" w:rsidRPr="00A33129">
        <w:rPr>
          <w:rFonts w:ascii="Times New Roman" w:hAnsi="Times New Roman" w:cs="Times New Roman"/>
          <w:noProof/>
          <w:sz w:val="24"/>
          <w:szCs w:val="24"/>
        </w:rPr>
        <w:t>(Pandiaraj et al., 2018; Thakur et al., 2025)</w:t>
      </w:r>
      <w:r w:rsidR="003D121C" w:rsidRPr="00A33129">
        <w:rPr>
          <w:rFonts w:ascii="Times New Roman" w:hAnsi="Times New Roman" w:cs="Times New Roman"/>
          <w:sz w:val="24"/>
          <w:szCs w:val="24"/>
        </w:rPr>
        <w:fldChar w:fldCharType="end"/>
      </w:r>
      <w:r w:rsidR="003D121C"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Understanding the availability of these </w:t>
      </w:r>
      <w:r w:rsidR="003D121C" w:rsidRPr="00A33129">
        <w:rPr>
          <w:rFonts w:ascii="Times New Roman" w:hAnsi="Times New Roman" w:cs="Times New Roman"/>
          <w:sz w:val="24"/>
          <w:szCs w:val="24"/>
        </w:rPr>
        <w:t xml:space="preserve">macro and </w:t>
      </w:r>
      <w:r w:rsidRPr="00A33129">
        <w:rPr>
          <w:rFonts w:ascii="Times New Roman" w:hAnsi="Times New Roman" w:cs="Times New Roman"/>
          <w:sz w:val="24"/>
          <w:szCs w:val="24"/>
        </w:rPr>
        <w:t xml:space="preserve">micronutrients is crucial, as they influence soil fertility, plant health, and consequently, the suitability of the environment for </w:t>
      </w:r>
      <w:r w:rsidRPr="00A33129">
        <w:rPr>
          <w:rFonts w:ascii="Times New Roman" w:hAnsi="Times New Roman" w:cs="Times New Roman"/>
          <w:i/>
          <w:iCs/>
          <w:sz w:val="24"/>
          <w:szCs w:val="24"/>
        </w:rPr>
        <w:t>A. mylitta</w:t>
      </w:r>
      <w:r w:rsidRPr="00A33129">
        <w:rPr>
          <w:rFonts w:ascii="Times New Roman" w:hAnsi="Times New Roman" w:cs="Times New Roman"/>
          <w:b/>
          <w:bCs/>
          <w:sz w:val="24"/>
          <w:szCs w:val="24"/>
        </w:rPr>
        <w:t>.</w:t>
      </w:r>
      <w:r w:rsidR="00F5497F" w:rsidRPr="00A33129">
        <w:rPr>
          <w:rFonts w:ascii="Times New Roman" w:hAnsi="Times New Roman" w:cs="Times New Roman"/>
          <w:b/>
          <w:bCs/>
          <w:sz w:val="24"/>
          <w:szCs w:val="24"/>
        </w:rPr>
        <w:t xml:space="preserve"> </w:t>
      </w:r>
      <w:r w:rsidR="00F5497F" w:rsidRPr="00A33129">
        <w:rPr>
          <w:rFonts w:ascii="Times New Roman" w:hAnsi="Times New Roman" w:cs="Times New Roman"/>
          <w:sz w:val="24"/>
          <w:szCs w:val="24"/>
        </w:rPr>
        <w:t xml:space="preserve">The influence of key soil nutrients on the growth and nutritional quality of host plants, and the consequential impact on the tasar silkworm cocoon and fibre development, is summarized in Table </w:t>
      </w:r>
      <w:r w:rsidR="008309B4" w:rsidRPr="00A33129">
        <w:rPr>
          <w:rFonts w:ascii="Times New Roman" w:hAnsi="Times New Roman" w:cs="Times New Roman"/>
          <w:sz w:val="24"/>
          <w:szCs w:val="24"/>
        </w:rPr>
        <w:t xml:space="preserve">1 </w:t>
      </w:r>
      <w:r w:rsidR="008309B4" w:rsidRPr="00A33129">
        <w:rPr>
          <w:rFonts w:ascii="Times New Roman" w:hAnsi="Times New Roman" w:cs="Times New Roman"/>
          <w:sz w:val="24"/>
          <w:szCs w:val="24"/>
        </w:rPr>
        <w:fldChar w:fldCharType="begin" w:fldLock="1"/>
      </w:r>
      <w:r w:rsidR="00091F2D" w:rsidRPr="00A33129">
        <w:rPr>
          <w:rFonts w:ascii="Times New Roman" w:hAnsi="Times New Roman" w:cs="Times New Roman"/>
          <w:sz w:val="24"/>
          <w:szCs w:val="24"/>
        </w:rPr>
        <w:instrText>ADDIN CSL_CITATION {"citationItems":[{"id":"ITEM-1","itemData":{"abstract":"Eucalyptus globulus commonly known as blue gum tree is one of worlds mostly planted genera. It is well known because of its ethnomedicinal and therapeutic importance, as it possesses various pharmacological effects. The current research is aimed at identification of chemical constituents from the methanol extract of Eucalyptus globulus using GC-MS, FTIR and NMR analysis. The extraction of leaves was done by using Soxhlet’s method. TLC-bio autography was carried out to separate and find the antibacterial fraction from Eucalyptus globulus methanol extract. The GC-MS analysis revealed presence of five main compounds Phthalic acid bis (7-methyloctyl) ester, Oxalic acid allyl hexadecyl ester, Pentadecanoic acid 14-methyl, methyl ester, 2-piperidinone N-(4-bromo-n-butyl) and Cyclopentane decanoic acid, methyl ester. The results of FTIR analysis showed presence of alcohol, carboxylate ion, C-H str, C=O str and C=C str functional groups. The 1H NMR results showed presence of aliphatic OH, methyl, aromatic OH and aromatic proton, while 13C results revealed presence of carbonyl, aromatic carbon, quaternary carbon, olefinic carbon and methyl group. The compounds identified by GC-MS analysis showed various pharmacological activities such as antimicrobial, antifungal, anti-inflammatory, anti malarial and antioxidant. Eucalyptus globulus plant contains high medicinal compounds and can be used further for production of antimicrobial drugs against plant pathogenic bacteria. Keywords: Eucalyptus globulus, TLC-bio autography, GC-MS, FTIR, NMR","author":[{"dropping-particle":"","family":"Chakrapani","given":"","non-dropping-particle":"","parse-names":false,"suffix":""},{"dropping-particle":"","family":"Ananta","given":"Stuti","non-dropping-particle":"","parse-names":false,"suffix":""},{"dropping-particle":"","family":"Sinha","given":"Ananta","non-dropping-particle":"","parse-names":false,"suffix":""},{"dropping-particle":"","family":"N.","given":"Mala","non-dropping-particle":"","parse-names":false,"suffix":""},{"dropping-particle":"","family":"Mishra","given":"Rashmi","non-dropping-particle":"","parse-names":false,"suffix":""},{"dropping-particle":"","family":"Jena","given":"K.","non-dropping-particle":"","parse-names":false,"suffix":""},{"dropping-particle":"","family":"Prabhu","given":"I.G.","non-dropping-particle":"","parse-names":false,"suffix":""},{"dropping-particle":"","family":"Sathyanarayana","given":"K.","non-dropping-particle":"","parse-names":false,"suffix":""}],"container-title":"Plant Archives","id":"ITEM-1","issued":{"date-parts":[["2022"]]},"page":"181-184","title":"IMPACT OF SOIL NUTRIENTS ON TASAR SILK WORM FECUNDITY","type":"article-journal","volume":"22"},"uris":["http://www.mendeley.com/documents/?uuid=b27df9ca-929d-404e-bd26-f457f61b1c85"]},{"id":"ITEM-2","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Studies","id":"ITEM-2","issue":"5","issued":{"date-parts":[["2018"]]},"page":"1118-1121","title":"Status of micronutrients in the tasar host plants growing soils in Purulia district of West Bengal","type":"article-journal","volume":"6"},"uris":["http://www.mendeley.com/documents/?uuid=24c13af8-e88b-4cec-8092-73316c3b5640"]},{"id":"ITEM-3","itemData":{"author":[{"dropping-particle":"","family":"Pandiaraj","given":"T.","non-dropping-particle":"","parse-names":false,"suffix":""},{"dropping-particle":"","family":"Das","given":"Susmita","non-dropping-particle":"","parse-names":false,"suffix":""},{"dropping-particle":"","family":"Kar","given":"PK","non-dropping-particle":"","parse-names":false,"suffix":""},{"dropping-particle":"","family":"Manjappa","given":"","non-dropping-particle":"","parse-names":false,"suffix":""},{"dropping-particle":"","family":"Bajpeyi","given":"CM","non-dropping-particle":"","parse-names":false,"suffix":""}],"container-title":"International Journal of Ecology and Environmental Sciences","id":"ITEM-3","issue":"3","issued":{"date-parts":[["2020"]]},"page":"174-177","title":"An extensive soil survey on plant micronutrients status in tasar silkworm host plants growing sites in Mayurbhank districy of Odisha State","type":"article-journal","volume":"2"},"uris":["http://www.mendeley.com/documents/?uuid=6c7370c9-7f46-4595-a17f-03b95437dadc"]},{"id":"ITEM-4","itemData":{"author":[{"dropping-particle":"","family":"Giri","given":"Shantakar","non-dropping-particle":"","parse-names":false,"suffix":""},{"dropping-particle":"","family":"Das","given":"Susmita","non-dropping-particle":"","parse-names":false,"suffix":""},{"dropping-particle":"","family":"Kumar","given":"Dinesh","non-dropping-particle":"","parse-names":false,"suffix":""},{"dropping-particle":"","family":"Jitendra Singh","given":"","non-dropping-particle":"","parse-names":false,"suffix":""},{"dropping-particle":"","family":"N.B.Chowdary","given":"","non-dropping-particle":"","parse-names":false,"suffix":""}],"container-title":"Plant Archives","id":"ITEM-4","issue":"Special Issue (VS)","issued":{"date-parts":[["2024"]]},"page":"238-242","title":"Nutrient status of host plants and cocoon parameters of Antheraea mylitta D-A correlation study","type":"article-journal","volume":"24"},"uris":["http://www.mendeley.com/documents/?uuid=7bf5257a-04a5-40fd-b32a-01a38bb901cb"]}],"mendeley":{"formattedCitation":"(Chakrapani et al., 2022; Giri et al., 2024; Pandiaraj et al., 2020; Srivastava et al., 2018)","plainTextFormattedCitation":"(Chakrapani et al., 2022; Giri et al., 2024; Pandiaraj et al., 2020; Srivastava et al., 2018)","previouslyFormattedCitation":"(Chakrapani et al., 2022; Giri et al., 2024; Pandiaraj et al., 2020; Srivastava et al., 2018)"},"properties":{"noteIndex":0},"schema":"https://github.com/citation-style-language/schema/raw/master/csl-citation.json"}</w:instrText>
      </w:r>
      <w:r w:rsidR="008309B4" w:rsidRPr="00A33129">
        <w:rPr>
          <w:rFonts w:ascii="Times New Roman" w:hAnsi="Times New Roman" w:cs="Times New Roman"/>
          <w:sz w:val="24"/>
          <w:szCs w:val="24"/>
        </w:rPr>
        <w:fldChar w:fldCharType="separate"/>
      </w:r>
      <w:r w:rsidR="008309B4" w:rsidRPr="00A33129">
        <w:rPr>
          <w:rFonts w:ascii="Times New Roman" w:hAnsi="Times New Roman" w:cs="Times New Roman"/>
          <w:noProof/>
          <w:sz w:val="24"/>
          <w:szCs w:val="24"/>
        </w:rPr>
        <w:t>(Chakrapani et al., 2022; Giri et al., 2024; Pandiaraj et al., 2020; Srivastava et al., 2018)</w:t>
      </w:r>
      <w:r w:rsidR="008309B4" w:rsidRPr="00A33129">
        <w:rPr>
          <w:rFonts w:ascii="Times New Roman" w:hAnsi="Times New Roman" w:cs="Times New Roman"/>
          <w:sz w:val="24"/>
          <w:szCs w:val="24"/>
        </w:rPr>
        <w:fldChar w:fldCharType="end"/>
      </w:r>
      <w:r w:rsidR="008309B4" w:rsidRPr="00A33129">
        <w:rPr>
          <w:rFonts w:ascii="Times New Roman" w:hAnsi="Times New Roman" w:cs="Times New Roman"/>
          <w:sz w:val="24"/>
          <w:szCs w:val="24"/>
        </w:rPr>
        <w:t>.</w:t>
      </w:r>
    </w:p>
    <w:p w14:paraId="064E4EB5" w14:textId="77777777" w:rsidR="00F5497F" w:rsidRPr="00A33129" w:rsidRDefault="00F5497F" w:rsidP="00821434">
      <w:pPr>
        <w:spacing w:after="120" w:line="360" w:lineRule="auto"/>
        <w:rPr>
          <w:rFonts w:ascii="Times New Roman" w:hAnsi="Times New Roman" w:cs="Times New Roman"/>
          <w:b/>
          <w:bCs/>
          <w:sz w:val="24"/>
          <w:szCs w:val="24"/>
        </w:rPr>
      </w:pPr>
    </w:p>
    <w:p w14:paraId="57B9C50D" w14:textId="77777777" w:rsidR="00F5497F" w:rsidRPr="00A33129" w:rsidRDefault="00F5497F" w:rsidP="00821434">
      <w:pPr>
        <w:spacing w:after="120" w:line="360" w:lineRule="auto"/>
        <w:rPr>
          <w:rFonts w:ascii="Times New Roman" w:hAnsi="Times New Roman" w:cs="Times New Roman"/>
          <w:b/>
          <w:bCs/>
          <w:sz w:val="24"/>
          <w:szCs w:val="24"/>
        </w:rPr>
      </w:pPr>
    </w:p>
    <w:p w14:paraId="04FC5A68" w14:textId="77777777" w:rsidR="008566A7" w:rsidRPr="00A33129" w:rsidRDefault="008566A7">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6024F4F6" w14:textId="77777777" w:rsidR="008566A7" w:rsidRPr="00A33129" w:rsidRDefault="008566A7" w:rsidP="00821434">
      <w:pPr>
        <w:spacing w:after="120" w:line="360" w:lineRule="auto"/>
        <w:rPr>
          <w:rFonts w:ascii="Times New Roman" w:hAnsi="Times New Roman" w:cs="Times New Roman"/>
          <w:b/>
          <w:bCs/>
          <w:sz w:val="24"/>
          <w:szCs w:val="24"/>
        </w:rPr>
        <w:sectPr w:rsidR="008566A7" w:rsidRPr="00A33129" w:rsidSect="00DB048C">
          <w:headerReference w:type="even" r:id="rId11"/>
          <w:headerReference w:type="default" r:id="rId12"/>
          <w:footerReference w:type="even" r:id="rId13"/>
          <w:footerReference w:type="default" r:id="rId14"/>
          <w:headerReference w:type="first" r:id="rId15"/>
          <w:footerReference w:type="first" r:id="rId16"/>
          <w:pgSz w:w="11906" w:h="16838"/>
          <w:pgMar w:top="993" w:right="1440" w:bottom="1440" w:left="1440" w:header="708" w:footer="708" w:gutter="0"/>
          <w:cols w:space="708"/>
          <w:docGrid w:linePitch="360"/>
        </w:sectPr>
      </w:pPr>
    </w:p>
    <w:p w14:paraId="070DB5FD" w14:textId="5FCBD033" w:rsidR="008566A7" w:rsidRPr="00A33129" w:rsidRDefault="008566A7" w:rsidP="00821434">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Table 1:</w:t>
      </w:r>
      <w:r w:rsidR="00EB0AA0" w:rsidRPr="00A33129">
        <w:t xml:space="preserve"> </w:t>
      </w:r>
      <w:r w:rsidR="00EB0AA0" w:rsidRPr="00A33129">
        <w:rPr>
          <w:rFonts w:ascii="Times New Roman" w:hAnsi="Times New Roman" w:cs="Times New Roman"/>
          <w:b/>
          <w:bCs/>
          <w:sz w:val="24"/>
          <w:szCs w:val="24"/>
        </w:rPr>
        <w:t xml:space="preserve">Role of soil macro- and micronutrients in development of tasar silkworm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1848"/>
        <w:gridCol w:w="5202"/>
        <w:gridCol w:w="5553"/>
      </w:tblGrid>
      <w:tr w:rsidR="008566A7" w:rsidRPr="00A33129" w14:paraId="5B07B4C2" w14:textId="77777777" w:rsidTr="00293796">
        <w:tc>
          <w:tcPr>
            <w:tcW w:w="554" w:type="pct"/>
            <w:tcBorders>
              <w:top w:val="single" w:sz="18" w:space="0" w:color="auto"/>
              <w:bottom w:val="single" w:sz="18" w:space="0" w:color="auto"/>
            </w:tcBorders>
          </w:tcPr>
          <w:p w14:paraId="3CB3F988" w14:textId="4F33B644"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Nutrient </w:t>
            </w:r>
          </w:p>
        </w:tc>
        <w:tc>
          <w:tcPr>
            <w:tcW w:w="652" w:type="pct"/>
            <w:tcBorders>
              <w:top w:val="single" w:sz="18" w:space="0" w:color="auto"/>
              <w:bottom w:val="single" w:sz="18" w:space="0" w:color="auto"/>
            </w:tcBorders>
          </w:tcPr>
          <w:p w14:paraId="009F0569" w14:textId="77777777"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Type</w:t>
            </w:r>
          </w:p>
          <w:p w14:paraId="2EA0EED6" w14:textId="54E42847"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(Macro/micro)</w:t>
            </w:r>
          </w:p>
        </w:tc>
        <w:tc>
          <w:tcPr>
            <w:tcW w:w="1835" w:type="pct"/>
            <w:tcBorders>
              <w:top w:val="single" w:sz="18" w:space="0" w:color="auto"/>
              <w:bottom w:val="single" w:sz="18" w:space="0" w:color="auto"/>
            </w:tcBorders>
          </w:tcPr>
          <w:p w14:paraId="4306F527" w14:textId="77777777"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Role in host plant </w:t>
            </w:r>
          </w:p>
          <w:p w14:paraId="5F78A4B4" w14:textId="71C58EDF"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(leaf quality)</w:t>
            </w:r>
          </w:p>
        </w:tc>
        <w:tc>
          <w:tcPr>
            <w:tcW w:w="1959" w:type="pct"/>
            <w:tcBorders>
              <w:top w:val="single" w:sz="18" w:space="0" w:color="auto"/>
              <w:bottom w:val="single" w:sz="18" w:space="0" w:color="auto"/>
            </w:tcBorders>
          </w:tcPr>
          <w:p w14:paraId="43004367" w14:textId="77777777" w:rsidR="006C5671"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 xml:space="preserve">Effect on tasar silkworm growth </w:t>
            </w:r>
          </w:p>
          <w:p w14:paraId="3253867A" w14:textId="7CF7A19F" w:rsidR="008566A7" w:rsidRPr="00A33129" w:rsidRDefault="008566A7" w:rsidP="006C5671">
            <w:pPr>
              <w:spacing w:after="80"/>
              <w:jc w:val="center"/>
              <w:rPr>
                <w:rFonts w:ascii="Times New Roman" w:hAnsi="Times New Roman" w:cs="Times New Roman"/>
                <w:b/>
                <w:bCs/>
                <w:sz w:val="24"/>
                <w:szCs w:val="24"/>
              </w:rPr>
            </w:pPr>
            <w:r w:rsidRPr="00A33129">
              <w:rPr>
                <w:rFonts w:ascii="Times New Roman" w:hAnsi="Times New Roman" w:cs="Times New Roman"/>
                <w:b/>
                <w:bCs/>
                <w:sz w:val="24"/>
                <w:szCs w:val="24"/>
              </w:rPr>
              <w:t>and silk traits</w:t>
            </w:r>
          </w:p>
        </w:tc>
      </w:tr>
      <w:tr w:rsidR="008566A7" w:rsidRPr="00A33129" w14:paraId="3803A473" w14:textId="77777777" w:rsidTr="00293796">
        <w:tc>
          <w:tcPr>
            <w:tcW w:w="554" w:type="pct"/>
            <w:tcBorders>
              <w:top w:val="single" w:sz="18" w:space="0" w:color="auto"/>
              <w:bottom w:val="single" w:sz="8" w:space="0" w:color="auto"/>
            </w:tcBorders>
          </w:tcPr>
          <w:p w14:paraId="1056B78E"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Nitrogen </w:t>
            </w:r>
          </w:p>
          <w:p w14:paraId="393EA59B" w14:textId="7D5A680D"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(N)</w:t>
            </w:r>
          </w:p>
        </w:tc>
        <w:tc>
          <w:tcPr>
            <w:tcW w:w="652" w:type="pct"/>
            <w:tcBorders>
              <w:top w:val="single" w:sz="18" w:space="0" w:color="auto"/>
              <w:bottom w:val="single" w:sz="8" w:space="0" w:color="auto"/>
            </w:tcBorders>
          </w:tcPr>
          <w:p w14:paraId="22DD6903" w14:textId="4E37EA1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18" w:space="0" w:color="auto"/>
              <w:bottom w:val="single" w:sz="8" w:space="0" w:color="auto"/>
            </w:tcBorders>
          </w:tcPr>
          <w:p w14:paraId="3363FC4F" w14:textId="6EF75DFB"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Increases leaf crude protein, chlorophyll and overall vegetative growth, improving palatability and nitrogenous metabolites in leaves. ​</w:t>
            </w:r>
          </w:p>
        </w:tc>
        <w:tc>
          <w:tcPr>
            <w:tcW w:w="1959" w:type="pct"/>
            <w:tcBorders>
              <w:top w:val="single" w:sz="18" w:space="0" w:color="auto"/>
              <w:bottom w:val="single" w:sz="8" w:space="0" w:color="auto"/>
            </w:tcBorders>
          </w:tcPr>
          <w:p w14:paraId="1DD323BD" w14:textId="72B59E16"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Enhances larval growth rate, body weight and silk gland protein synthesis, leading to higher cocoon weight, shell ratio and ERR. ​</w:t>
            </w:r>
          </w:p>
        </w:tc>
      </w:tr>
      <w:tr w:rsidR="008566A7" w:rsidRPr="00A33129" w14:paraId="6A43F47A" w14:textId="77777777" w:rsidTr="00293796">
        <w:tc>
          <w:tcPr>
            <w:tcW w:w="554" w:type="pct"/>
            <w:tcBorders>
              <w:top w:val="single" w:sz="8" w:space="0" w:color="auto"/>
              <w:bottom w:val="single" w:sz="8" w:space="0" w:color="auto"/>
            </w:tcBorders>
          </w:tcPr>
          <w:p w14:paraId="7C4C0D6A" w14:textId="5F61C4E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Phosphorus </w:t>
            </w:r>
            <w:r w:rsidR="00683B99" w:rsidRPr="00A33129">
              <w:rPr>
                <w:rFonts w:ascii="Times New Roman" w:hAnsi="Times New Roman" w:cs="Times New Roman"/>
                <w:sz w:val="24"/>
                <w:szCs w:val="24"/>
              </w:rPr>
              <w:t>(P)</w:t>
            </w:r>
          </w:p>
        </w:tc>
        <w:tc>
          <w:tcPr>
            <w:tcW w:w="652" w:type="pct"/>
            <w:tcBorders>
              <w:top w:val="single" w:sz="8" w:space="0" w:color="auto"/>
              <w:bottom w:val="single" w:sz="8" w:space="0" w:color="auto"/>
            </w:tcBorders>
          </w:tcPr>
          <w:p w14:paraId="10C44186" w14:textId="3E9E470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14:paraId="0CAB872F" w14:textId="23125143"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Supports root development, energy metabolism and transfer, improving leaf phosphorus and carbohydrate status. ​</w:t>
            </w:r>
          </w:p>
        </w:tc>
        <w:tc>
          <w:tcPr>
            <w:tcW w:w="1959" w:type="pct"/>
            <w:tcBorders>
              <w:top w:val="single" w:sz="8" w:space="0" w:color="auto"/>
              <w:bottom w:val="single" w:sz="8" w:space="0" w:color="auto"/>
            </w:tcBorders>
          </w:tcPr>
          <w:p w14:paraId="2B6DCA4D" w14:textId="5F8656EB"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Promotes efficient energy use during larval growth and cocoon spinning, improving silk filament length and overall cocoon quality when in balanced supply. ​</w:t>
            </w:r>
          </w:p>
        </w:tc>
      </w:tr>
      <w:tr w:rsidR="008566A7" w:rsidRPr="00A33129" w14:paraId="48113132" w14:textId="77777777" w:rsidTr="00293796">
        <w:tc>
          <w:tcPr>
            <w:tcW w:w="554" w:type="pct"/>
            <w:tcBorders>
              <w:top w:val="single" w:sz="8" w:space="0" w:color="auto"/>
              <w:bottom w:val="single" w:sz="8" w:space="0" w:color="auto"/>
            </w:tcBorders>
          </w:tcPr>
          <w:p w14:paraId="6CC8087C" w14:textId="23739841"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Potassium </w:t>
            </w:r>
            <w:r w:rsidR="00683B99" w:rsidRPr="00A33129">
              <w:rPr>
                <w:rFonts w:ascii="Times New Roman" w:hAnsi="Times New Roman" w:cs="Times New Roman"/>
                <w:sz w:val="24"/>
                <w:szCs w:val="24"/>
              </w:rPr>
              <w:t>(K)</w:t>
            </w:r>
          </w:p>
        </w:tc>
        <w:tc>
          <w:tcPr>
            <w:tcW w:w="652" w:type="pct"/>
            <w:tcBorders>
              <w:top w:val="single" w:sz="8" w:space="0" w:color="auto"/>
              <w:bottom w:val="single" w:sz="8" w:space="0" w:color="auto"/>
            </w:tcBorders>
          </w:tcPr>
          <w:p w14:paraId="5FBCCCD7" w14:textId="1AD81666"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macro</w:t>
            </w:r>
          </w:p>
        </w:tc>
        <w:tc>
          <w:tcPr>
            <w:tcW w:w="1835" w:type="pct"/>
            <w:tcBorders>
              <w:top w:val="single" w:sz="8" w:space="0" w:color="auto"/>
              <w:bottom w:val="single" w:sz="8" w:space="0" w:color="auto"/>
            </w:tcBorders>
          </w:tcPr>
          <w:p w14:paraId="50FA7562" w14:textId="54125E69"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Regulates osmotic balance, stomatal function and translocation of sugars, enhancing leaf moisture, carbohydrate content and stress tolerance. ​</w:t>
            </w:r>
          </w:p>
        </w:tc>
        <w:tc>
          <w:tcPr>
            <w:tcW w:w="1959" w:type="pct"/>
            <w:tcBorders>
              <w:top w:val="single" w:sz="8" w:space="0" w:color="auto"/>
              <w:bottom w:val="single" w:sz="8" w:space="0" w:color="auto"/>
            </w:tcBorders>
          </w:tcPr>
          <w:p w14:paraId="3375FFA7" w14:textId="1F13A44F"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larval survival and robustness, supports uniform cocoon formation and helps maintain silk quality under field stress conditions. ​</w:t>
            </w:r>
          </w:p>
        </w:tc>
      </w:tr>
      <w:tr w:rsidR="008566A7" w:rsidRPr="00A33129" w14:paraId="4C558290" w14:textId="77777777" w:rsidTr="00293796">
        <w:tc>
          <w:tcPr>
            <w:tcW w:w="554" w:type="pct"/>
            <w:tcBorders>
              <w:top w:val="single" w:sz="8" w:space="0" w:color="auto"/>
              <w:bottom w:val="single" w:sz="8" w:space="0" w:color="auto"/>
            </w:tcBorders>
          </w:tcPr>
          <w:p w14:paraId="4272C557"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Sulphur </w:t>
            </w:r>
          </w:p>
          <w:p w14:paraId="5AEB9C57" w14:textId="2F0DE0B8"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w:t>
            </w:r>
          </w:p>
        </w:tc>
        <w:tc>
          <w:tcPr>
            <w:tcW w:w="652" w:type="pct"/>
            <w:tcBorders>
              <w:top w:val="single" w:sz="8" w:space="0" w:color="auto"/>
              <w:bottom w:val="single" w:sz="8" w:space="0" w:color="auto"/>
            </w:tcBorders>
          </w:tcPr>
          <w:p w14:paraId="70B44321" w14:textId="23A34DA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w:t>
            </w:r>
          </w:p>
        </w:tc>
        <w:tc>
          <w:tcPr>
            <w:tcW w:w="1835" w:type="pct"/>
            <w:tcBorders>
              <w:top w:val="single" w:sz="8" w:space="0" w:color="auto"/>
              <w:bottom w:val="single" w:sz="8" w:space="0" w:color="auto"/>
            </w:tcBorders>
          </w:tcPr>
          <w:p w14:paraId="1BD99A9D" w14:textId="690B47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Required for synthesis of sulphur-containing amino acids and some vitamins, contributing to leaf protein quality. ​</w:t>
            </w:r>
          </w:p>
        </w:tc>
        <w:tc>
          <w:tcPr>
            <w:tcW w:w="1959" w:type="pct"/>
            <w:tcBorders>
              <w:top w:val="single" w:sz="8" w:space="0" w:color="auto"/>
              <w:bottom w:val="single" w:sz="8" w:space="0" w:color="auto"/>
            </w:tcBorders>
          </w:tcPr>
          <w:p w14:paraId="060D26D2" w14:textId="014C3607"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Improves amino acid profile available to larvae, supporting silk fibroin and sericin synthesis and thereby better filament strength and elasticity. ​</w:t>
            </w:r>
          </w:p>
        </w:tc>
      </w:tr>
      <w:tr w:rsidR="008566A7" w:rsidRPr="00A33129" w14:paraId="0858F744" w14:textId="77777777" w:rsidTr="00293796">
        <w:tc>
          <w:tcPr>
            <w:tcW w:w="554" w:type="pct"/>
            <w:tcBorders>
              <w:top w:val="single" w:sz="8" w:space="0" w:color="auto"/>
              <w:bottom w:val="single" w:sz="8" w:space="0" w:color="auto"/>
            </w:tcBorders>
          </w:tcPr>
          <w:p w14:paraId="1C538612"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Calcium </w:t>
            </w:r>
          </w:p>
          <w:p w14:paraId="57DEC70A" w14:textId="06C05A44"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(Ca)</w:t>
            </w:r>
          </w:p>
        </w:tc>
        <w:tc>
          <w:tcPr>
            <w:tcW w:w="652" w:type="pct"/>
            <w:tcBorders>
              <w:top w:val="single" w:sz="8" w:space="0" w:color="auto"/>
              <w:bottom w:val="single" w:sz="8" w:space="0" w:color="auto"/>
            </w:tcBorders>
          </w:tcPr>
          <w:p w14:paraId="29E97588" w14:textId="150A7F3C"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 /micro</w:t>
            </w:r>
          </w:p>
        </w:tc>
        <w:tc>
          <w:tcPr>
            <w:tcW w:w="1835" w:type="pct"/>
            <w:tcBorders>
              <w:top w:val="single" w:sz="8" w:space="0" w:color="auto"/>
              <w:bottom w:val="single" w:sz="8" w:space="0" w:color="auto"/>
            </w:tcBorders>
          </w:tcPr>
          <w:p w14:paraId="1886A2C0" w14:textId="54578912"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Strengthens cell walls, improves membrane integrity and roots growth; often higher under organic management, raising Ca in leaves. ​</w:t>
            </w:r>
          </w:p>
        </w:tc>
        <w:tc>
          <w:tcPr>
            <w:tcW w:w="1959" w:type="pct"/>
            <w:tcBorders>
              <w:top w:val="single" w:sz="8" w:space="0" w:color="auto"/>
              <w:bottom w:val="single" w:sz="8" w:space="0" w:color="auto"/>
            </w:tcBorders>
          </w:tcPr>
          <w:p w14:paraId="001E6A9C" w14:textId="43DBF04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robust larval metabolism and reduces stress; indirectly associated with better larval health and stable cocoon traits in well-managed plantations. ​</w:t>
            </w:r>
          </w:p>
        </w:tc>
      </w:tr>
      <w:tr w:rsidR="008566A7" w:rsidRPr="00A33129" w14:paraId="14583D5E" w14:textId="77777777" w:rsidTr="00293796">
        <w:tc>
          <w:tcPr>
            <w:tcW w:w="554" w:type="pct"/>
            <w:tcBorders>
              <w:top w:val="single" w:sz="8" w:space="0" w:color="auto"/>
              <w:bottom w:val="single" w:sz="8" w:space="0" w:color="auto"/>
            </w:tcBorders>
          </w:tcPr>
          <w:p w14:paraId="34950CDF" w14:textId="32AF4652"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Magnesium </w:t>
            </w:r>
            <w:r w:rsidR="00683B99" w:rsidRPr="00A33129">
              <w:rPr>
                <w:rFonts w:ascii="Times New Roman" w:hAnsi="Times New Roman" w:cs="Times New Roman"/>
                <w:sz w:val="24"/>
                <w:szCs w:val="24"/>
              </w:rPr>
              <w:t>(Mg)</w:t>
            </w:r>
          </w:p>
        </w:tc>
        <w:tc>
          <w:tcPr>
            <w:tcW w:w="652" w:type="pct"/>
            <w:tcBorders>
              <w:top w:val="single" w:sz="8" w:space="0" w:color="auto"/>
              <w:bottom w:val="single" w:sz="8" w:space="0" w:color="auto"/>
            </w:tcBorders>
          </w:tcPr>
          <w:p w14:paraId="736D707F" w14:textId="534EE741"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secondary macro/micro</w:t>
            </w:r>
          </w:p>
        </w:tc>
        <w:tc>
          <w:tcPr>
            <w:tcW w:w="1835" w:type="pct"/>
            <w:tcBorders>
              <w:top w:val="single" w:sz="8" w:space="0" w:color="auto"/>
              <w:bottom w:val="single" w:sz="8" w:space="0" w:color="auto"/>
            </w:tcBorders>
          </w:tcPr>
          <w:p w14:paraId="551BA6B2" w14:textId="7C4EBB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 xml:space="preserve">Central atom in chlorophyll; higher in organically treated soils, enhancing photosynthesis and leaf </w:t>
            </w:r>
            <w:r w:rsidRPr="00A33129">
              <w:rPr>
                <w:rFonts w:ascii="Times New Roman" w:hAnsi="Times New Roman" w:cs="Times New Roman"/>
                <w:sz w:val="24"/>
                <w:szCs w:val="24"/>
              </w:rPr>
              <w:lastRenderedPageBreak/>
              <w:t>carbohydrate accumulation. ​</w:t>
            </w:r>
          </w:p>
        </w:tc>
        <w:tc>
          <w:tcPr>
            <w:tcW w:w="1959" w:type="pct"/>
            <w:tcBorders>
              <w:top w:val="single" w:sz="8" w:space="0" w:color="auto"/>
              <w:bottom w:val="single" w:sz="8" w:space="0" w:color="auto"/>
            </w:tcBorders>
          </w:tcPr>
          <w:p w14:paraId="20D6D2C8" w14:textId="38C02204"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Better carbohydrate supply to larvae supports heavier silk glands and improved cocoon shell weight and </w:t>
            </w:r>
            <w:r w:rsidRPr="00A33129">
              <w:rPr>
                <w:rFonts w:ascii="Times New Roman" w:hAnsi="Times New Roman" w:cs="Times New Roman"/>
                <w:sz w:val="24"/>
                <w:szCs w:val="24"/>
              </w:rPr>
              <w:lastRenderedPageBreak/>
              <w:t>filament length. ​</w:t>
            </w:r>
          </w:p>
        </w:tc>
      </w:tr>
      <w:tr w:rsidR="008566A7" w:rsidRPr="00A33129" w14:paraId="577226AA" w14:textId="77777777" w:rsidTr="00293796">
        <w:tc>
          <w:tcPr>
            <w:tcW w:w="554" w:type="pct"/>
            <w:tcBorders>
              <w:top w:val="single" w:sz="8" w:space="0" w:color="auto"/>
              <w:bottom w:val="single" w:sz="8" w:space="0" w:color="auto"/>
            </w:tcBorders>
          </w:tcPr>
          <w:p w14:paraId="7D96F4F4"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 xml:space="preserve">Zinc </w:t>
            </w:r>
          </w:p>
          <w:p w14:paraId="17FA599B" w14:textId="4C8DF904"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(Zn)</w:t>
            </w:r>
          </w:p>
        </w:tc>
        <w:tc>
          <w:tcPr>
            <w:tcW w:w="652" w:type="pct"/>
            <w:tcBorders>
              <w:top w:val="single" w:sz="8" w:space="0" w:color="auto"/>
              <w:bottom w:val="single" w:sz="8" w:space="0" w:color="auto"/>
            </w:tcBorders>
          </w:tcPr>
          <w:p w14:paraId="313F4DBC" w14:textId="771B388D"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7A4C5AAF" w14:textId="4881A90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Involved in enzyme activation, auxin synthesis and protein metabolism; adequate in most tasar soils, but deficient in a small fraction. ​</w:t>
            </w:r>
          </w:p>
        </w:tc>
        <w:tc>
          <w:tcPr>
            <w:tcW w:w="1959" w:type="pct"/>
            <w:tcBorders>
              <w:top w:val="single" w:sz="8" w:space="0" w:color="auto"/>
              <w:bottom w:val="single" w:sz="8" w:space="0" w:color="auto"/>
            </w:tcBorders>
          </w:tcPr>
          <w:p w14:paraId="5E3FE16F" w14:textId="63F161CE"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Zn in leaves supports normal larval growth, enzyme function and immune competence, contributing to higher ERR and uniform cocoons. ​</w:t>
            </w:r>
          </w:p>
        </w:tc>
      </w:tr>
      <w:tr w:rsidR="008566A7" w:rsidRPr="00A33129" w14:paraId="2B9A1E18" w14:textId="77777777" w:rsidTr="00293796">
        <w:tc>
          <w:tcPr>
            <w:tcW w:w="554" w:type="pct"/>
            <w:tcBorders>
              <w:top w:val="single" w:sz="8" w:space="0" w:color="auto"/>
              <w:bottom w:val="single" w:sz="8" w:space="0" w:color="auto"/>
            </w:tcBorders>
          </w:tcPr>
          <w:p w14:paraId="23242CD3"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Iron </w:t>
            </w:r>
          </w:p>
          <w:p w14:paraId="11666130" w14:textId="31765192"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(Fe)</w:t>
            </w:r>
          </w:p>
        </w:tc>
        <w:tc>
          <w:tcPr>
            <w:tcW w:w="652" w:type="pct"/>
            <w:tcBorders>
              <w:top w:val="single" w:sz="8" w:space="0" w:color="auto"/>
              <w:bottom w:val="single" w:sz="8" w:space="0" w:color="auto"/>
            </w:tcBorders>
          </w:tcPr>
          <w:p w14:paraId="69E54DD3" w14:textId="68FE2059"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1FAB3459" w14:textId="6496025B"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Essential for chlorophyll synthesis and redox enzymes; usually sufficient but occasionally deficient in some tasar soils. ​</w:t>
            </w:r>
          </w:p>
        </w:tc>
        <w:tc>
          <w:tcPr>
            <w:tcW w:w="1959" w:type="pct"/>
            <w:tcBorders>
              <w:top w:val="single" w:sz="8" w:space="0" w:color="auto"/>
              <w:bottom w:val="single" w:sz="8" w:space="0" w:color="auto"/>
            </w:tcBorders>
          </w:tcPr>
          <w:p w14:paraId="0603FFDF" w14:textId="349550E3"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Adequate Fe maintains high-quality foliage; deficiency can reduce leaf greenness and nutritional value, lowering larval weight and cocoon yield. ​</w:t>
            </w:r>
          </w:p>
        </w:tc>
      </w:tr>
      <w:tr w:rsidR="008566A7" w:rsidRPr="00A33129" w14:paraId="5529C37C" w14:textId="77777777" w:rsidTr="00293796">
        <w:tc>
          <w:tcPr>
            <w:tcW w:w="554" w:type="pct"/>
            <w:tcBorders>
              <w:top w:val="single" w:sz="8" w:space="0" w:color="auto"/>
              <w:bottom w:val="single" w:sz="8" w:space="0" w:color="auto"/>
            </w:tcBorders>
          </w:tcPr>
          <w:p w14:paraId="74A4A955" w14:textId="6D99EF95"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Manganese</w:t>
            </w:r>
            <w:r w:rsidR="00683B99" w:rsidRPr="00A33129">
              <w:rPr>
                <w:rFonts w:ascii="Times New Roman" w:hAnsi="Times New Roman" w:cs="Times New Roman"/>
                <w:sz w:val="24"/>
                <w:szCs w:val="24"/>
              </w:rPr>
              <w:t xml:space="preserve"> (Mn) </w:t>
            </w:r>
            <w:r w:rsidRPr="00A33129">
              <w:rPr>
                <w:rFonts w:ascii="Times New Roman" w:hAnsi="Times New Roman" w:cs="Times New Roman"/>
                <w:sz w:val="24"/>
                <w:szCs w:val="24"/>
              </w:rPr>
              <w:t xml:space="preserve"> </w:t>
            </w:r>
          </w:p>
        </w:tc>
        <w:tc>
          <w:tcPr>
            <w:tcW w:w="652" w:type="pct"/>
            <w:tcBorders>
              <w:top w:val="single" w:sz="8" w:space="0" w:color="auto"/>
              <w:bottom w:val="single" w:sz="8" w:space="0" w:color="auto"/>
            </w:tcBorders>
          </w:tcPr>
          <w:p w14:paraId="78190800" w14:textId="5422A101"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6C011C16" w14:textId="1CE77FA8"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Functions in photosystem II and various enzymes; generally sufficient in acidic tasar soils. ​</w:t>
            </w:r>
          </w:p>
        </w:tc>
        <w:tc>
          <w:tcPr>
            <w:tcW w:w="1959" w:type="pct"/>
            <w:tcBorders>
              <w:top w:val="single" w:sz="8" w:space="0" w:color="auto"/>
              <w:bottom w:val="single" w:sz="8" w:space="0" w:color="auto"/>
            </w:tcBorders>
          </w:tcPr>
          <w:p w14:paraId="019F5BBA" w14:textId="59D5A30D"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Optimal Mn intake </w:t>
            </w:r>
            <w:r w:rsidR="00293796" w:rsidRPr="00A33129">
              <w:rPr>
                <w:rFonts w:ascii="Times New Roman" w:hAnsi="Times New Roman" w:cs="Times New Roman"/>
                <w:sz w:val="24"/>
                <w:szCs w:val="24"/>
              </w:rPr>
              <w:t>through</w:t>
            </w:r>
            <w:r w:rsidRPr="00A33129">
              <w:rPr>
                <w:rFonts w:ascii="Times New Roman" w:hAnsi="Times New Roman" w:cs="Times New Roman"/>
                <w:sz w:val="24"/>
                <w:szCs w:val="24"/>
              </w:rPr>
              <w:t xml:space="preserve"> leaves is linked to better larval metabolism and silk traits, whereas excessive or deficient Mn can disturb growth and cocoon parameters. ​</w:t>
            </w:r>
          </w:p>
        </w:tc>
      </w:tr>
      <w:tr w:rsidR="008566A7" w:rsidRPr="00A33129" w14:paraId="7F8544C5" w14:textId="77777777" w:rsidTr="00293796">
        <w:tc>
          <w:tcPr>
            <w:tcW w:w="554" w:type="pct"/>
            <w:tcBorders>
              <w:top w:val="single" w:sz="8" w:space="0" w:color="auto"/>
              <w:bottom w:val="single" w:sz="8" w:space="0" w:color="auto"/>
            </w:tcBorders>
          </w:tcPr>
          <w:p w14:paraId="777776B3"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Copper </w:t>
            </w:r>
          </w:p>
          <w:p w14:paraId="32A275E1" w14:textId="07EBADCE"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(Cu)</w:t>
            </w:r>
          </w:p>
        </w:tc>
        <w:tc>
          <w:tcPr>
            <w:tcW w:w="652" w:type="pct"/>
            <w:tcBorders>
              <w:top w:val="single" w:sz="8" w:space="0" w:color="auto"/>
              <w:bottom w:val="single" w:sz="8" w:space="0" w:color="auto"/>
            </w:tcBorders>
          </w:tcPr>
          <w:p w14:paraId="198E1989" w14:textId="3D1E72B0"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8" w:space="0" w:color="auto"/>
            </w:tcBorders>
          </w:tcPr>
          <w:p w14:paraId="1D9108EA" w14:textId="7354DC23"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Component of oxidative enzymes and lignification processes; usually adequate and enhanced under organic inputs. ​</w:t>
            </w:r>
          </w:p>
        </w:tc>
        <w:tc>
          <w:tcPr>
            <w:tcW w:w="1959" w:type="pct"/>
            <w:tcBorders>
              <w:top w:val="single" w:sz="8" w:space="0" w:color="auto"/>
              <w:bottom w:val="single" w:sz="8" w:space="0" w:color="auto"/>
            </w:tcBorders>
          </w:tcPr>
          <w:p w14:paraId="600FBA1E" w14:textId="5E991D7C"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Supports normal respiration and cuticle formation; adequate Cu in leaves is associated with healthy larvae and good-quality cocoons. ​</w:t>
            </w:r>
          </w:p>
        </w:tc>
      </w:tr>
      <w:tr w:rsidR="008566A7" w:rsidRPr="00A33129" w14:paraId="0EDC71C0" w14:textId="77777777" w:rsidTr="00293796">
        <w:tc>
          <w:tcPr>
            <w:tcW w:w="554" w:type="pct"/>
            <w:tcBorders>
              <w:top w:val="single" w:sz="8" w:space="0" w:color="auto"/>
              <w:bottom w:val="single" w:sz="18" w:space="0" w:color="auto"/>
            </w:tcBorders>
          </w:tcPr>
          <w:p w14:paraId="6D696840" w14:textId="77777777" w:rsidR="00683B99"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 xml:space="preserve">Boron </w:t>
            </w:r>
          </w:p>
          <w:p w14:paraId="11C7AC7C" w14:textId="130CCEE2" w:rsidR="008566A7" w:rsidRPr="00A33129" w:rsidRDefault="00683B99"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(B)</w:t>
            </w:r>
          </w:p>
        </w:tc>
        <w:tc>
          <w:tcPr>
            <w:tcW w:w="652" w:type="pct"/>
            <w:tcBorders>
              <w:top w:val="single" w:sz="8" w:space="0" w:color="auto"/>
              <w:bottom w:val="single" w:sz="18" w:space="0" w:color="auto"/>
            </w:tcBorders>
          </w:tcPr>
          <w:p w14:paraId="08ABA7A0" w14:textId="614F5FE3" w:rsidR="008566A7" w:rsidRPr="00A33129" w:rsidRDefault="008566A7" w:rsidP="00293796">
            <w:pPr>
              <w:spacing w:after="40" w:line="360" w:lineRule="auto"/>
              <w:jc w:val="center"/>
              <w:rPr>
                <w:rFonts w:ascii="Times New Roman" w:hAnsi="Times New Roman" w:cs="Times New Roman"/>
                <w:sz w:val="24"/>
                <w:szCs w:val="24"/>
              </w:rPr>
            </w:pPr>
            <w:r w:rsidRPr="00A33129">
              <w:rPr>
                <w:rFonts w:ascii="Times New Roman" w:hAnsi="Times New Roman" w:cs="Times New Roman"/>
                <w:sz w:val="24"/>
                <w:szCs w:val="24"/>
              </w:rPr>
              <w:t>micro</w:t>
            </w:r>
          </w:p>
        </w:tc>
        <w:tc>
          <w:tcPr>
            <w:tcW w:w="1835" w:type="pct"/>
            <w:tcBorders>
              <w:top w:val="single" w:sz="8" w:space="0" w:color="auto"/>
              <w:bottom w:val="single" w:sz="18" w:space="0" w:color="auto"/>
            </w:tcBorders>
          </w:tcPr>
          <w:p w14:paraId="3430C6C6" w14:textId="7B76691E" w:rsidR="008566A7" w:rsidRPr="00A33129" w:rsidRDefault="008566A7" w:rsidP="006C5671">
            <w:pPr>
              <w:spacing w:after="40" w:line="360" w:lineRule="auto"/>
              <w:ind w:right="160"/>
              <w:rPr>
                <w:rFonts w:ascii="Times New Roman" w:hAnsi="Times New Roman" w:cs="Times New Roman"/>
                <w:sz w:val="24"/>
                <w:szCs w:val="24"/>
              </w:rPr>
            </w:pPr>
            <w:r w:rsidRPr="00A33129">
              <w:rPr>
                <w:rFonts w:ascii="Times New Roman" w:hAnsi="Times New Roman" w:cs="Times New Roman"/>
                <w:sz w:val="24"/>
                <w:szCs w:val="24"/>
              </w:rPr>
              <w:t>Important for cell wall formation, sugar transport and reproductive growth of host plants. ​</w:t>
            </w:r>
          </w:p>
        </w:tc>
        <w:tc>
          <w:tcPr>
            <w:tcW w:w="1959" w:type="pct"/>
            <w:tcBorders>
              <w:top w:val="single" w:sz="8" w:space="0" w:color="auto"/>
              <w:bottom w:val="single" w:sz="18" w:space="0" w:color="auto"/>
            </w:tcBorders>
          </w:tcPr>
          <w:p w14:paraId="4E465679" w14:textId="0F6E562F" w:rsidR="008566A7" w:rsidRPr="00A33129" w:rsidRDefault="008566A7" w:rsidP="006C5671">
            <w:pPr>
              <w:spacing w:after="40" w:line="360" w:lineRule="auto"/>
              <w:rPr>
                <w:rFonts w:ascii="Times New Roman" w:hAnsi="Times New Roman" w:cs="Times New Roman"/>
                <w:sz w:val="24"/>
                <w:szCs w:val="24"/>
              </w:rPr>
            </w:pPr>
            <w:r w:rsidRPr="00A33129">
              <w:rPr>
                <w:rFonts w:ascii="Times New Roman" w:hAnsi="Times New Roman" w:cs="Times New Roman"/>
                <w:sz w:val="24"/>
                <w:szCs w:val="24"/>
              </w:rPr>
              <w:t>Through improved leaf and shoot growth, adequate B indirectly supports continuous supply of quality foliage, sustaining good larval growth and cocoon traits. </w:t>
            </w:r>
          </w:p>
        </w:tc>
      </w:tr>
    </w:tbl>
    <w:p w14:paraId="507C346E" w14:textId="77777777" w:rsidR="008566A7" w:rsidRPr="00A33129" w:rsidRDefault="008566A7" w:rsidP="00821434">
      <w:pPr>
        <w:spacing w:after="120" w:line="360" w:lineRule="auto"/>
        <w:rPr>
          <w:rFonts w:ascii="Times New Roman" w:hAnsi="Times New Roman" w:cs="Times New Roman"/>
          <w:b/>
          <w:bCs/>
          <w:sz w:val="24"/>
          <w:szCs w:val="24"/>
        </w:rPr>
      </w:pPr>
    </w:p>
    <w:p w14:paraId="5E2C54BF" w14:textId="77777777" w:rsidR="008566A7" w:rsidRPr="00A33129" w:rsidRDefault="008566A7" w:rsidP="00AC4D17">
      <w:pPr>
        <w:spacing w:after="120" w:line="360" w:lineRule="auto"/>
        <w:rPr>
          <w:rFonts w:ascii="Times New Roman" w:hAnsi="Times New Roman" w:cs="Times New Roman"/>
          <w:b/>
          <w:bCs/>
          <w:sz w:val="24"/>
          <w:szCs w:val="24"/>
        </w:rPr>
        <w:sectPr w:rsidR="008566A7" w:rsidRPr="00A33129" w:rsidSect="008566A7">
          <w:pgSz w:w="16838" w:h="11906" w:orient="landscape"/>
          <w:pgMar w:top="1440" w:right="1440" w:bottom="1440" w:left="1440" w:header="706" w:footer="706" w:gutter="0"/>
          <w:cols w:space="708"/>
          <w:docGrid w:linePitch="360"/>
        </w:sectPr>
      </w:pPr>
    </w:p>
    <w:p w14:paraId="0EA3BF68" w14:textId="50C0802D"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3.2</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Soil health and host plant vitality</w:t>
      </w:r>
    </w:p>
    <w:p w14:paraId="0065ECA0" w14:textId="113CF905" w:rsidR="00C074CA" w:rsidRPr="00A33129" w:rsidRDefault="008D280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Soil health is a critical determinant of host plant vitality, directly influencing the growth, leaf nutrient status, and overall quality of primary host</w:t>
      </w:r>
      <w:r w:rsidR="00D039D1" w:rsidRPr="00A33129">
        <w:rPr>
          <w:rFonts w:ascii="Times New Roman" w:hAnsi="Times New Roman" w:cs="Times New Roman"/>
          <w:sz w:val="24"/>
          <w:szCs w:val="24"/>
        </w:rPr>
        <w:t xml:space="preserve"> plants</w:t>
      </w:r>
      <w:r w:rsidRPr="00A33129">
        <w:rPr>
          <w:rFonts w:ascii="Times New Roman" w:hAnsi="Times New Roman" w:cs="Times New Roman"/>
          <w:sz w:val="24"/>
          <w:szCs w:val="24"/>
        </w:rPr>
        <w:t xml:space="preserve">. Healthy soils, characterized by balanced macronutrients and micronutrients, along with optimal pH (5.5–7.0) and high organic matter (1.0–3.0%), enhance nutrient uptake, chlorophyll synthesis, and protein content in leaves, which are vital for </w:t>
      </w:r>
      <w:r w:rsidR="00D039D1" w:rsidRPr="00A33129">
        <w:rPr>
          <w:rFonts w:ascii="Times New Roman" w:hAnsi="Times New Roman" w:cs="Times New Roman"/>
          <w:i/>
          <w:iCs/>
          <w:sz w:val="24"/>
          <w:szCs w:val="24"/>
        </w:rPr>
        <w:t>A.</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xml:space="preserve"> larval development.</w:t>
      </w:r>
      <w:r w:rsidR="009D4E89" w:rsidRPr="00A33129">
        <w:rPr>
          <w:rFonts w:ascii="Times New Roman" w:hAnsi="Times New Roman" w:cs="Times New Roman"/>
          <w:sz w:val="24"/>
          <w:szCs w:val="24"/>
        </w:rPr>
        <w:t xml:space="preserve"> </w:t>
      </w:r>
      <w:r w:rsidRPr="00A33129">
        <w:rPr>
          <w:rFonts w:ascii="Times New Roman" w:hAnsi="Times New Roman" w:cs="Times New Roman"/>
          <w:sz w:val="24"/>
          <w:szCs w:val="24"/>
        </w:rPr>
        <w:t xml:space="preserve">For instance, nitrogen-rich soils (120–300 mg/kg) promote leaf protein levels (8–15%), improving cocoon weight (7.0–10.0 g) and silk ratio (10–15%), while organic matter supports microbial activity and nutrient cycling, boosting plant </w:t>
      </w:r>
      <w:proofErr w:type="spellStart"/>
      <w:r w:rsidRPr="00A33129">
        <w:rPr>
          <w:rFonts w:ascii="Times New Roman" w:hAnsi="Times New Roman" w:cs="Times New Roman"/>
          <w:sz w:val="24"/>
          <w:szCs w:val="24"/>
        </w:rPr>
        <w:t>vigor</w:t>
      </w:r>
      <w:proofErr w:type="spellEnd"/>
      <w:r w:rsidRPr="00A33129">
        <w:rPr>
          <w:rFonts w:ascii="Times New Roman" w:hAnsi="Times New Roman" w:cs="Times New Roman"/>
          <w:sz w:val="24"/>
          <w:szCs w:val="24"/>
        </w:rPr>
        <w:t xml:space="preserve"> and resilience. In Odisha’s lateritic and alluvial soils, maintaining soil health through organic amendments and pH correction can mitigate deficiencies, ensuring robust host plants and higher cocoon yields for ecoraces like Daba and Sukinda.</w:t>
      </w:r>
    </w:p>
    <w:p w14:paraId="7F3988B8" w14:textId="38C1D454" w:rsidR="009D4E89" w:rsidRPr="00A33129" w:rsidRDefault="00C37409"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Host plant vitality describes the overall health, strength and resilience of the plant, including its growth, canopy development and ability to withstand stress. </w:t>
      </w:r>
      <w:r w:rsidR="009D4E89" w:rsidRPr="00A33129">
        <w:rPr>
          <w:rFonts w:ascii="Times New Roman" w:hAnsi="Times New Roman" w:cs="Times New Roman"/>
          <w:sz w:val="24"/>
          <w:szCs w:val="24"/>
        </w:rPr>
        <w:t xml:space="preserve">When essential nutrients like </w:t>
      </w:r>
      <w:r w:rsidRPr="00A33129">
        <w:rPr>
          <w:rFonts w:ascii="Times New Roman" w:hAnsi="Times New Roman" w:cs="Times New Roman"/>
          <w:sz w:val="24"/>
          <w:szCs w:val="24"/>
        </w:rPr>
        <w:t>N, P, and K</w:t>
      </w:r>
      <w:r w:rsidR="009D4E89" w:rsidRPr="00A33129">
        <w:rPr>
          <w:rFonts w:ascii="Times New Roman" w:hAnsi="Times New Roman" w:cs="Times New Roman"/>
          <w:sz w:val="24"/>
          <w:szCs w:val="24"/>
        </w:rPr>
        <w:t xml:space="preserve"> are deficient, plants often exhibit reduced biomass, chlorosis, poor root development and weak flowering, which lowers their vitality and resilience. Micronutrient imbalances further disturb metabolic pathways, compromising defense responses and the quality of tissues available to associated organisms. Water supply is equally crucial because both drought and waterlogging impair root function, nutrient uptake and gas exchange, leading to stress symptoms and higher susceptibility to pests and diseases</w:t>
      </w:r>
      <w:r w:rsidR="00091F2D" w:rsidRPr="00A33129">
        <w:rPr>
          <w:rFonts w:ascii="Times New Roman" w:hAnsi="Times New Roman" w:cs="Times New Roman"/>
          <w:sz w:val="24"/>
          <w:szCs w:val="24"/>
        </w:rPr>
        <w:t xml:space="preserve"> </w:t>
      </w:r>
      <w:r w:rsidR="00091F2D"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{"citationItems":[{"id":"ITEM-1","itemData":{"author":[{"dropping-particle":"","family":"Karmakar","given":"Soma","non-dropping-particle":"","parse-names":false,"suffix":""},{"dropping-particle":"","family":"Srivastava","given":"A K","non-dropping-particle":"","parse-names":false,"suffix":""},{"dropping-particle":"","family":"Pandiaraj","given":"T","non-dropping-particle":"","parse-names":false,"suffix":""}],"container-title":"International Journal of Multidisciplinary Research and Growth Evaluation","id":"ITEM-1","issue":"2","issued":{"date-parts":[["2023"]]},"page":"383-388","title":"Influence of inorganic , organic and bio fertilizer on chlorophyll content , relative water and EC content of leaf of host plant of Tasar silkworm (Antheraea mylitta Drury )","type":"article-journal","volume":"4"},"uris":["http://www.mendeley.com/documents/?uuid=62e50d4a-525b-4168-8bff-3bee30adb186"]}],"mendeley":{"formattedCitation":"(Karmakar et al., 2023)","plainTextFormattedCitation":"(Karmakar et al., 2023)","previouslyFormattedCitation":"(Karmakar et al., 2023)"},"properties":{"noteIndex":0},"schema":"https://github.com/citation-style-language/schema/raw/master/csl-citation.json"}</w:instrText>
      </w:r>
      <w:r w:rsidR="00091F2D" w:rsidRPr="00A33129">
        <w:rPr>
          <w:rFonts w:ascii="Times New Roman" w:hAnsi="Times New Roman" w:cs="Times New Roman"/>
          <w:sz w:val="24"/>
          <w:szCs w:val="24"/>
        </w:rPr>
        <w:fldChar w:fldCharType="separate"/>
      </w:r>
      <w:r w:rsidR="00091F2D" w:rsidRPr="00A33129">
        <w:rPr>
          <w:rFonts w:ascii="Times New Roman" w:hAnsi="Times New Roman" w:cs="Times New Roman"/>
          <w:noProof/>
          <w:sz w:val="24"/>
          <w:szCs w:val="24"/>
        </w:rPr>
        <w:t>(Karmakar et al., 2023)</w:t>
      </w:r>
      <w:r w:rsidR="00091F2D" w:rsidRPr="00A33129">
        <w:rPr>
          <w:rFonts w:ascii="Times New Roman" w:hAnsi="Times New Roman" w:cs="Times New Roman"/>
          <w:sz w:val="24"/>
          <w:szCs w:val="24"/>
        </w:rPr>
        <w:fldChar w:fldCharType="end"/>
      </w:r>
      <w:r w:rsidR="009D4E89" w:rsidRPr="00A33129">
        <w:rPr>
          <w:rFonts w:ascii="Times New Roman" w:hAnsi="Times New Roman" w:cs="Times New Roman"/>
          <w:sz w:val="24"/>
          <w:szCs w:val="24"/>
        </w:rPr>
        <w:t>.</w:t>
      </w:r>
    </w:p>
    <w:p w14:paraId="3AF2BBFE" w14:textId="620FFC75"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Leaf </w:t>
      </w:r>
      <w:r w:rsidR="001F39EC" w:rsidRPr="00A33129">
        <w:rPr>
          <w:rFonts w:ascii="Times New Roman" w:hAnsi="Times New Roman" w:cs="Times New Roman"/>
          <w:b/>
          <w:bCs/>
          <w:sz w:val="24"/>
          <w:szCs w:val="24"/>
        </w:rPr>
        <w:t>n</w:t>
      </w:r>
      <w:r w:rsidRPr="00A33129">
        <w:rPr>
          <w:rFonts w:ascii="Times New Roman" w:hAnsi="Times New Roman" w:cs="Times New Roman"/>
          <w:b/>
          <w:bCs/>
          <w:sz w:val="24"/>
          <w:szCs w:val="24"/>
        </w:rPr>
        <w:t xml:space="preserve">utrient </w:t>
      </w:r>
      <w:r w:rsidR="001F39EC" w:rsidRPr="00A33129">
        <w:rPr>
          <w:rFonts w:ascii="Times New Roman" w:hAnsi="Times New Roman" w:cs="Times New Roman"/>
          <w:b/>
          <w:bCs/>
          <w:sz w:val="24"/>
          <w:szCs w:val="24"/>
        </w:rPr>
        <w:t>c</w:t>
      </w:r>
      <w:r w:rsidRPr="00A33129">
        <w:rPr>
          <w:rFonts w:ascii="Times New Roman" w:hAnsi="Times New Roman" w:cs="Times New Roman"/>
          <w:b/>
          <w:bCs/>
          <w:sz w:val="24"/>
          <w:szCs w:val="24"/>
        </w:rPr>
        <w:t>omposition</w:t>
      </w:r>
    </w:p>
    <w:p w14:paraId="568C1B94" w14:textId="67111AA6" w:rsidR="00602628" w:rsidRPr="00A33129" w:rsidRDefault="00D731B3"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nutrient composition refers to the types and concentrations of essential elements in leaves and is a key indicator of plant nutrient status and health</w:t>
      </w:r>
      <w:r w:rsidR="00AA2B17" w:rsidRPr="00A33129">
        <w:rPr>
          <w:rFonts w:ascii="Times New Roman" w:hAnsi="Times New Roman" w:cs="Times New Roman"/>
          <w:sz w:val="24"/>
          <w:szCs w:val="24"/>
        </w:rPr>
        <w:t xml:space="preserve"> </w:t>
      </w:r>
      <w:r w:rsidR="00AA2B17" w:rsidRPr="00A33129">
        <w:rPr>
          <w:rFonts w:ascii="Times New Roman" w:hAnsi="Times New Roman" w:cs="Times New Roman"/>
          <w:sz w:val="24"/>
          <w:szCs w:val="24"/>
        </w:rPr>
        <w:fldChar w:fldCharType="begin" w:fldLock="1"/>
      </w:r>
      <w:r w:rsidR="00121BB5" w:rsidRPr="00A33129">
        <w:rPr>
          <w:rFonts w:ascii="Times New Roman" w:hAnsi="Times New Roman" w:cs="Times New Roman"/>
          <w:sz w:val="24"/>
          <w:szCs w:val="24"/>
        </w:rPr>
        <w:instrText>ADDIN CSL_CITATION {"citationItems":[{"id":"ITEM-1","itemData":{"author":[{"dropping-particle":"","family":"Srivastava","given":"PP","non-dropping-particle":"","parse-names":false,"suffix":""},{"dropping-particle":"","family":"Pandiaraj","given":"T","non-dropping-particle":"","parse-names":false,"suffix":""},{"dropping-particle":"","family":"Das","given":"Susmita","non-dropping-particle":"","parse-names":false,"suffix":""},{"dropping-particle":"","family":"AK Sinha","given":"","non-dropping-particle":"","parse-names":false,"suffix":""}],"container-title":"International Journal of Chemical Studies","id":"ITEM-1","issue":"5","issued":{"date-parts":[["2018"]]},"page":"1118-1121","title":"Status of micronutrients in the tasar host plants growing soils in Purulia district of West Bengal","type":"article-journal","volume":"6"},"uris":["http://www.mendeley.com/documents/?uuid=24c13af8-e88b-4cec-8092-73316c3b5640"]}],"mendeley":{"formattedCitation":"(Srivastava et al., 2018)","plainTextFormattedCitation":"(Srivastava et al., 2018)","previouslyFormattedCitation":"(Srivastava et al., 2018)"},"properties":{"noteIndex":0},"schema":"https://github.com/citation-style-language/schema/raw/master/csl-citation.json"}</w:instrText>
      </w:r>
      <w:r w:rsidR="00AA2B17"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(Srivastava et al., 2018)</w:t>
      </w:r>
      <w:r w:rsidR="00AA2B17"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It includes macronutrients such as N, P, K, Ca, Mg, and S, and micronutrients such as Fe, Mn, Zn, Cu, B, Mo, and Cl. N is vital for chlorophyll, amino acids and proteins, while P supports energy transfer and K is important in enzyme activation and osmotic regulation. Ca contributes to cell wall structure, Mg to enzyme activation and chlorophyll, and S to amino acids and vitamins. Micronutrients support processes such as chlorophyll synthesis, photosynthesis, protein synthesis, lignin formation, nitrogen metabolism and ionic balance. Leaf tissue analysis </w:t>
      </w:r>
      <w:r w:rsidR="00AA2B17" w:rsidRPr="00A33129">
        <w:rPr>
          <w:rFonts w:ascii="Times New Roman" w:hAnsi="Times New Roman" w:cs="Times New Roman"/>
          <w:sz w:val="24"/>
          <w:szCs w:val="24"/>
        </w:rPr>
        <w:t xml:space="preserve">or foliar analysis </w:t>
      </w:r>
      <w:r w:rsidRPr="00A33129">
        <w:rPr>
          <w:rFonts w:ascii="Times New Roman" w:hAnsi="Times New Roman" w:cs="Times New Roman"/>
          <w:sz w:val="24"/>
          <w:szCs w:val="24"/>
        </w:rPr>
        <w:t>is widely used to diagnose nutrient status and guide fertilizer management</w:t>
      </w:r>
      <w:r w:rsidR="00AA2B17" w:rsidRPr="00A33129">
        <w:rPr>
          <w:rFonts w:ascii="Times New Roman" w:hAnsi="Times New Roman" w:cs="Times New Roman"/>
          <w:sz w:val="24"/>
          <w:szCs w:val="24"/>
        </w:rPr>
        <w:t xml:space="preserve"> </w:t>
      </w:r>
      <w:r w:rsidR="00AA2B17" w:rsidRPr="00A33129">
        <w:rPr>
          <w:rFonts w:ascii="Times New Roman" w:hAnsi="Times New Roman" w:cs="Times New Roman"/>
          <w:sz w:val="24"/>
          <w:szCs w:val="24"/>
        </w:rPr>
        <w:fldChar w:fldCharType="begin" w:fldLock="1"/>
      </w:r>
      <w:r w:rsidR="00AA2B17" w:rsidRPr="00A33129">
        <w:rPr>
          <w:rFonts w:ascii="Times New Roman" w:hAnsi="Times New Roman" w:cs="Times New Roman"/>
          <w:sz w:val="24"/>
          <w:szCs w:val="24"/>
        </w:rPr>
        <w:instrText>ADDIN CSL_CITATION {"citationItems":[{"id":"ITEM-1","itemData":{"author":[{"dropping-particle":"","family":"Sharma","given":"K. B.","non-dropping-particle":"","parse-names":false,"suffix":""},{"dropping-particle":"","family":"Ali","given":"Sarfaraz","non-dropping-particle":"","parse-names":false,"suffix":""}],"container-title":"The Ecoscan","id":"ITEM-1","issued":{"date-parts":[["2013"]]},"page":"255-260","title":"Impact of environmental factors on the indoor rearing performances of tropical tasar silkworm, Antheraea mylitta D.(Saturniidae: Lepidoptera)","type":"article-journal","volume":"4"},"uris":["http://www.mendeley.com/documents/?uuid=9b82c4cc-1394-4448-ba73-5375520a6dfa"]}],"mendeley":{"formattedCitation":"(Sharma &amp; Ali, 2013)","plainTextFormattedCitation":"(Sharma &amp; Ali, 2013)","previouslyFormattedCitation":"(Sharma &amp; Ali, 2013)"},"properties":{"noteIndex":0},"schema":"https://github.com/citation-style-language/schema/raw/master/csl-citation.json"}</w:instrText>
      </w:r>
      <w:r w:rsidR="00AA2B17" w:rsidRPr="00A33129">
        <w:rPr>
          <w:rFonts w:ascii="Times New Roman" w:hAnsi="Times New Roman" w:cs="Times New Roman"/>
          <w:sz w:val="24"/>
          <w:szCs w:val="24"/>
        </w:rPr>
        <w:fldChar w:fldCharType="separate"/>
      </w:r>
      <w:r w:rsidR="00AA2B17" w:rsidRPr="00A33129">
        <w:rPr>
          <w:rFonts w:ascii="Times New Roman" w:hAnsi="Times New Roman" w:cs="Times New Roman"/>
          <w:noProof/>
          <w:sz w:val="24"/>
          <w:szCs w:val="24"/>
        </w:rPr>
        <w:t>(Sharma &amp; Ali, 2013)</w:t>
      </w:r>
      <w:r w:rsidR="00AA2B17" w:rsidRPr="00A33129">
        <w:rPr>
          <w:rFonts w:ascii="Times New Roman" w:hAnsi="Times New Roman" w:cs="Times New Roman"/>
          <w:sz w:val="24"/>
          <w:szCs w:val="24"/>
        </w:rPr>
        <w:fldChar w:fldCharType="end"/>
      </w:r>
      <w:r w:rsidRPr="00A33129">
        <w:rPr>
          <w:rFonts w:ascii="Times New Roman" w:hAnsi="Times New Roman" w:cs="Times New Roman"/>
          <w:sz w:val="24"/>
          <w:szCs w:val="24"/>
        </w:rPr>
        <w:t>.</w:t>
      </w:r>
    </w:p>
    <w:p w14:paraId="16383177" w14:textId="77777777"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lastRenderedPageBreak/>
        <w:br w:type="page"/>
      </w:r>
    </w:p>
    <w:p w14:paraId="4C0785A1" w14:textId="77777777" w:rsidR="00602628" w:rsidRPr="00A33129" w:rsidRDefault="00602628" w:rsidP="00AC4D17">
      <w:pPr>
        <w:spacing w:after="120" w:line="360" w:lineRule="auto"/>
        <w:rPr>
          <w:rFonts w:ascii="Times New Roman" w:hAnsi="Times New Roman" w:cs="Times New Roman"/>
          <w:b/>
          <w:bCs/>
          <w:sz w:val="24"/>
          <w:szCs w:val="24"/>
        </w:rPr>
        <w:sectPr w:rsidR="00602628" w:rsidRPr="00A33129" w:rsidSect="008566A7">
          <w:pgSz w:w="11906" w:h="16838"/>
          <w:pgMar w:top="1440" w:right="1440" w:bottom="1440" w:left="1440" w:header="706" w:footer="706" w:gutter="0"/>
          <w:cols w:space="708"/>
          <w:docGrid w:linePitch="360"/>
        </w:sectPr>
      </w:pPr>
    </w:p>
    <w:p w14:paraId="68DAFA8A" w14:textId="783A70FA" w:rsidR="009D4E89"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lastRenderedPageBreak/>
        <w:t>4.1</w:t>
      </w:r>
      <w:r w:rsidR="009D4E89"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Nutrient uptake mechanisms</w:t>
      </w:r>
    </w:p>
    <w:p w14:paraId="7CB0A724" w14:textId="245DA6D1" w:rsidR="00602628" w:rsidRPr="00A33129" w:rsidRDefault="00602628"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Table</w:t>
      </w:r>
      <w:r w:rsidR="00B05DF4" w:rsidRPr="00A33129">
        <w:rPr>
          <w:rFonts w:ascii="Times New Roman" w:hAnsi="Times New Roman" w:cs="Times New Roman"/>
          <w:b/>
          <w:bCs/>
          <w:sz w:val="24"/>
          <w:szCs w:val="24"/>
        </w:rPr>
        <w:t xml:space="preserve"> 2</w:t>
      </w:r>
      <w:r w:rsidRPr="00A33129">
        <w:rPr>
          <w:rFonts w:ascii="Times New Roman" w:hAnsi="Times New Roman" w:cs="Times New Roman"/>
          <w:b/>
          <w:bCs/>
          <w:sz w:val="24"/>
          <w:szCs w:val="24"/>
        </w:rPr>
        <w:t xml:space="preserve">: </w:t>
      </w:r>
      <w:r w:rsidR="00B05DF4" w:rsidRPr="00A33129">
        <w:rPr>
          <w:rFonts w:ascii="Times New Roman" w:hAnsi="Times New Roman" w:cs="Times New Roman"/>
          <w:b/>
          <w:bCs/>
          <w:sz w:val="24"/>
          <w:szCs w:val="24"/>
        </w:rPr>
        <w:t>Mechanisms of nutrient uptake in plants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1631"/>
        <w:gridCol w:w="1563"/>
        <w:gridCol w:w="1833"/>
        <w:gridCol w:w="2777"/>
        <w:gridCol w:w="2487"/>
        <w:gridCol w:w="3035"/>
      </w:tblGrid>
      <w:tr w:rsidR="00602628" w:rsidRPr="00A33129" w14:paraId="012C1E89" w14:textId="77777777" w:rsidTr="00602628">
        <w:tc>
          <w:tcPr>
            <w:tcW w:w="882" w:type="pct"/>
            <w:gridSpan w:val="2"/>
            <w:tcBorders>
              <w:top w:val="single" w:sz="18" w:space="0" w:color="auto"/>
              <w:bottom w:val="single" w:sz="18" w:space="0" w:color="auto"/>
            </w:tcBorders>
            <w:hideMark/>
          </w:tcPr>
          <w:p w14:paraId="5CC41E4D"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Mechanism</w:t>
            </w:r>
          </w:p>
        </w:tc>
        <w:tc>
          <w:tcPr>
            <w:tcW w:w="530" w:type="pct"/>
            <w:tcBorders>
              <w:top w:val="single" w:sz="18" w:space="0" w:color="auto"/>
              <w:bottom w:val="single" w:sz="18" w:space="0" w:color="auto"/>
            </w:tcBorders>
            <w:hideMark/>
          </w:tcPr>
          <w:p w14:paraId="6ACB6096"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Energy Required</w:t>
            </w:r>
          </w:p>
        </w:tc>
        <w:tc>
          <w:tcPr>
            <w:tcW w:w="650" w:type="pct"/>
            <w:tcBorders>
              <w:top w:val="single" w:sz="18" w:space="0" w:color="auto"/>
              <w:bottom w:val="single" w:sz="18" w:space="0" w:color="auto"/>
            </w:tcBorders>
            <w:hideMark/>
          </w:tcPr>
          <w:p w14:paraId="17455AEC"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Driving Force</w:t>
            </w:r>
          </w:p>
        </w:tc>
        <w:tc>
          <w:tcPr>
            <w:tcW w:w="983" w:type="pct"/>
            <w:tcBorders>
              <w:top w:val="single" w:sz="18" w:space="0" w:color="auto"/>
              <w:bottom w:val="single" w:sz="18" w:space="0" w:color="auto"/>
            </w:tcBorders>
            <w:hideMark/>
          </w:tcPr>
          <w:p w14:paraId="5ABDD019"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Key Features</w:t>
            </w:r>
          </w:p>
        </w:tc>
        <w:tc>
          <w:tcPr>
            <w:tcW w:w="881" w:type="pct"/>
            <w:tcBorders>
              <w:top w:val="single" w:sz="18" w:space="0" w:color="auto"/>
              <w:bottom w:val="single" w:sz="18" w:space="0" w:color="auto"/>
            </w:tcBorders>
            <w:hideMark/>
          </w:tcPr>
          <w:p w14:paraId="3EE52A0C"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Major Nutrients Involved</w:t>
            </w:r>
          </w:p>
        </w:tc>
        <w:tc>
          <w:tcPr>
            <w:tcW w:w="1062" w:type="pct"/>
            <w:tcBorders>
              <w:top w:val="single" w:sz="18" w:space="0" w:color="auto"/>
              <w:bottom w:val="single" w:sz="8" w:space="0" w:color="auto"/>
            </w:tcBorders>
            <w:hideMark/>
          </w:tcPr>
          <w:p w14:paraId="788AD577" w14:textId="77777777"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Importance/Conditions</w:t>
            </w:r>
          </w:p>
        </w:tc>
      </w:tr>
      <w:tr w:rsidR="00602628" w:rsidRPr="00A33129" w14:paraId="43CE49E8" w14:textId="77777777" w:rsidTr="00602628">
        <w:tc>
          <w:tcPr>
            <w:tcW w:w="5000" w:type="pct"/>
            <w:gridSpan w:val="7"/>
            <w:tcBorders>
              <w:top w:val="single" w:sz="18" w:space="0" w:color="auto"/>
              <w:bottom w:val="single" w:sz="8" w:space="0" w:color="auto"/>
            </w:tcBorders>
          </w:tcPr>
          <w:p w14:paraId="149C1B41" w14:textId="381C27AC"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Passive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14:paraId="26056C90" w14:textId="77777777" w:rsidTr="00602628">
        <w:tc>
          <w:tcPr>
            <w:tcW w:w="882" w:type="pct"/>
            <w:gridSpan w:val="2"/>
            <w:tcBorders>
              <w:top w:val="single" w:sz="8" w:space="0" w:color="auto"/>
              <w:bottom w:val="single" w:sz="8" w:space="0" w:color="auto"/>
            </w:tcBorders>
            <w:hideMark/>
          </w:tcPr>
          <w:p w14:paraId="5BF61E9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Diffusion</w:t>
            </w:r>
          </w:p>
        </w:tc>
        <w:tc>
          <w:tcPr>
            <w:tcW w:w="530" w:type="pct"/>
            <w:tcBorders>
              <w:top w:val="single" w:sz="8" w:space="0" w:color="auto"/>
              <w:bottom w:val="single" w:sz="8" w:space="0" w:color="auto"/>
            </w:tcBorders>
            <w:hideMark/>
          </w:tcPr>
          <w:p w14:paraId="0C0045CC"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14:paraId="01826CC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Concentration gradient</w:t>
            </w:r>
          </w:p>
        </w:tc>
        <w:tc>
          <w:tcPr>
            <w:tcW w:w="983" w:type="pct"/>
            <w:tcBorders>
              <w:top w:val="single" w:sz="8" w:space="0" w:color="auto"/>
              <w:bottom w:val="single" w:sz="8" w:space="0" w:color="auto"/>
            </w:tcBorders>
            <w:hideMark/>
          </w:tcPr>
          <w:p w14:paraId="039363E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Slow movement of ions/molecules from high to low concentration</w:t>
            </w:r>
          </w:p>
        </w:tc>
        <w:tc>
          <w:tcPr>
            <w:tcW w:w="881" w:type="pct"/>
            <w:tcBorders>
              <w:top w:val="single" w:sz="8" w:space="0" w:color="auto"/>
              <w:bottom w:val="single" w:sz="8" w:space="0" w:color="auto"/>
            </w:tcBorders>
            <w:hideMark/>
          </w:tcPr>
          <w:p w14:paraId="486BB64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Uncharged or weakly charged forms (e.g., H₃PO₄, H₂PO₄⁻, boric acid, silicic acid)</w:t>
            </w:r>
          </w:p>
        </w:tc>
        <w:tc>
          <w:tcPr>
            <w:tcW w:w="1062" w:type="pct"/>
            <w:tcBorders>
              <w:top w:val="single" w:sz="8" w:space="0" w:color="auto"/>
              <w:bottom w:val="single" w:sz="8" w:space="0" w:color="auto"/>
            </w:tcBorders>
            <w:hideMark/>
          </w:tcPr>
          <w:p w14:paraId="673CE40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Dominant when soil solution concentration is high</w:t>
            </w:r>
          </w:p>
        </w:tc>
      </w:tr>
      <w:tr w:rsidR="00602628" w:rsidRPr="00A33129" w14:paraId="46836E60" w14:textId="77777777" w:rsidTr="00602628">
        <w:tc>
          <w:tcPr>
            <w:tcW w:w="882" w:type="pct"/>
            <w:gridSpan w:val="2"/>
            <w:tcBorders>
              <w:top w:val="single" w:sz="8" w:space="0" w:color="auto"/>
              <w:bottom w:val="single" w:sz="8" w:space="0" w:color="auto"/>
            </w:tcBorders>
            <w:hideMark/>
          </w:tcPr>
          <w:p w14:paraId="39229FBD"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Mass flow/</w:t>
            </w:r>
          </w:p>
          <w:p w14:paraId="0056DDD2"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bulk flow</w:t>
            </w:r>
          </w:p>
        </w:tc>
        <w:tc>
          <w:tcPr>
            <w:tcW w:w="530" w:type="pct"/>
            <w:tcBorders>
              <w:top w:val="single" w:sz="8" w:space="0" w:color="auto"/>
              <w:bottom w:val="single" w:sz="8" w:space="0" w:color="auto"/>
            </w:tcBorders>
            <w:hideMark/>
          </w:tcPr>
          <w:p w14:paraId="1F8871B2"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tc>
        <w:tc>
          <w:tcPr>
            <w:tcW w:w="650" w:type="pct"/>
            <w:tcBorders>
              <w:top w:val="single" w:sz="8" w:space="0" w:color="auto"/>
              <w:bottom w:val="single" w:sz="8" w:space="0" w:color="auto"/>
            </w:tcBorders>
            <w:hideMark/>
          </w:tcPr>
          <w:p w14:paraId="507E7A2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Transpiration-induced water movement</w:t>
            </w:r>
          </w:p>
        </w:tc>
        <w:tc>
          <w:tcPr>
            <w:tcW w:w="983" w:type="pct"/>
            <w:tcBorders>
              <w:top w:val="single" w:sz="8" w:space="0" w:color="auto"/>
              <w:bottom w:val="single" w:sz="8" w:space="0" w:color="auto"/>
            </w:tcBorders>
            <w:hideMark/>
          </w:tcPr>
          <w:p w14:paraId="1F2207A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Nutrients dissolved in soil water are carried to root surface with water flow</w:t>
            </w:r>
          </w:p>
        </w:tc>
        <w:tc>
          <w:tcPr>
            <w:tcW w:w="881" w:type="pct"/>
            <w:tcBorders>
              <w:top w:val="single" w:sz="8" w:space="0" w:color="auto"/>
              <w:bottom w:val="single" w:sz="8" w:space="0" w:color="auto"/>
            </w:tcBorders>
            <w:hideMark/>
          </w:tcPr>
          <w:p w14:paraId="778BB24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Nitrate (NO₃⁻), Calcium (Ca²⁺), Magnesium (Mg²⁺), </w:t>
            </w:r>
            <w:proofErr w:type="spellStart"/>
            <w:r w:rsidRPr="00A33129">
              <w:rPr>
                <w:rFonts w:ascii="Times New Roman" w:eastAsia="Times New Roman" w:hAnsi="Times New Roman" w:cs="Times New Roman"/>
                <w:sz w:val="24"/>
                <w:szCs w:val="24"/>
                <w:lang w:eastAsia="en-IN"/>
              </w:rPr>
              <w:t>Sulfate</w:t>
            </w:r>
            <w:proofErr w:type="spellEnd"/>
            <w:r w:rsidRPr="00A33129">
              <w:rPr>
                <w:rFonts w:ascii="Times New Roman" w:eastAsia="Times New Roman" w:hAnsi="Times New Roman" w:cs="Times New Roman"/>
                <w:sz w:val="24"/>
                <w:szCs w:val="24"/>
                <w:lang w:eastAsia="en-IN"/>
              </w:rPr>
              <w:t xml:space="preserve"> (SO₄²⁻)</w:t>
            </w:r>
          </w:p>
        </w:tc>
        <w:tc>
          <w:tcPr>
            <w:tcW w:w="1062" w:type="pct"/>
            <w:tcBorders>
              <w:top w:val="single" w:sz="8" w:space="0" w:color="auto"/>
              <w:bottom w:val="single" w:sz="8" w:space="0" w:color="auto"/>
            </w:tcBorders>
            <w:hideMark/>
          </w:tcPr>
          <w:p w14:paraId="45436B9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important in well-watered soils and during high transpiration</w:t>
            </w:r>
          </w:p>
        </w:tc>
      </w:tr>
      <w:tr w:rsidR="00602628" w:rsidRPr="00A33129" w14:paraId="0B3FA407" w14:textId="77777777" w:rsidTr="00602628">
        <w:tc>
          <w:tcPr>
            <w:tcW w:w="882" w:type="pct"/>
            <w:gridSpan w:val="2"/>
            <w:tcBorders>
              <w:top w:val="single" w:sz="8" w:space="0" w:color="auto"/>
              <w:bottom w:val="single" w:sz="8" w:space="0" w:color="auto"/>
            </w:tcBorders>
            <w:hideMark/>
          </w:tcPr>
          <w:p w14:paraId="3B2E2FA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Ion exchange/</w:t>
            </w:r>
          </w:p>
          <w:p w14:paraId="75E68D74"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root interception</w:t>
            </w:r>
          </w:p>
        </w:tc>
        <w:tc>
          <w:tcPr>
            <w:tcW w:w="530" w:type="pct"/>
            <w:tcBorders>
              <w:top w:val="single" w:sz="8" w:space="0" w:color="auto"/>
              <w:bottom w:val="single" w:sz="8" w:space="0" w:color="auto"/>
            </w:tcBorders>
            <w:hideMark/>
          </w:tcPr>
          <w:p w14:paraId="28CD840B"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w:t>
            </w:r>
          </w:p>
          <w:p w14:paraId="6F4F58DC"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(passive displacement)</w:t>
            </w:r>
          </w:p>
        </w:tc>
        <w:tc>
          <w:tcPr>
            <w:tcW w:w="650" w:type="pct"/>
            <w:tcBorders>
              <w:top w:val="single" w:sz="8" w:space="0" w:color="auto"/>
              <w:bottom w:val="single" w:sz="8" w:space="0" w:color="auto"/>
            </w:tcBorders>
            <w:hideMark/>
          </w:tcPr>
          <w:p w14:paraId="5210D8F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Release of H⁺ or HCO₃⁻/OH⁻ from roots</w:t>
            </w:r>
          </w:p>
        </w:tc>
        <w:tc>
          <w:tcPr>
            <w:tcW w:w="983" w:type="pct"/>
            <w:tcBorders>
              <w:top w:val="single" w:sz="8" w:space="0" w:color="auto"/>
              <w:bottom w:val="single" w:sz="8" w:space="0" w:color="auto"/>
            </w:tcBorders>
            <w:hideMark/>
          </w:tcPr>
          <w:p w14:paraId="6B60956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Cations/anions adsorbed on clay/humus are displaced by root exudates</w:t>
            </w:r>
          </w:p>
        </w:tc>
        <w:tc>
          <w:tcPr>
            <w:tcW w:w="881" w:type="pct"/>
            <w:tcBorders>
              <w:top w:val="single" w:sz="8" w:space="0" w:color="auto"/>
              <w:bottom w:val="single" w:sz="8" w:space="0" w:color="auto"/>
            </w:tcBorders>
            <w:hideMark/>
          </w:tcPr>
          <w:p w14:paraId="7350A58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K⁺, NH₄⁺, Ca²⁺, Mg²⁺, PO₄³⁻ (to some extent)</w:t>
            </w:r>
          </w:p>
        </w:tc>
        <w:tc>
          <w:tcPr>
            <w:tcW w:w="1062" w:type="pct"/>
            <w:tcBorders>
              <w:top w:val="single" w:sz="8" w:space="0" w:color="auto"/>
              <w:bottom w:val="single" w:sz="8" w:space="0" w:color="auto"/>
            </w:tcBorders>
            <w:hideMark/>
          </w:tcPr>
          <w:p w14:paraId="77EAF180"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Significant in soils rich in clay or organic matter</w:t>
            </w:r>
          </w:p>
        </w:tc>
      </w:tr>
      <w:tr w:rsidR="00602628" w:rsidRPr="00A33129" w14:paraId="28D6FBA0" w14:textId="77777777" w:rsidTr="00602628">
        <w:tc>
          <w:tcPr>
            <w:tcW w:w="5000" w:type="pct"/>
            <w:gridSpan w:val="7"/>
            <w:tcBorders>
              <w:top w:val="single" w:sz="8" w:space="0" w:color="auto"/>
              <w:bottom w:val="single" w:sz="8" w:space="0" w:color="auto"/>
            </w:tcBorders>
          </w:tcPr>
          <w:p w14:paraId="23846302" w14:textId="24B875F6" w:rsidR="00602628" w:rsidRPr="00A33129" w:rsidRDefault="00602628" w:rsidP="00602628">
            <w:pPr>
              <w:spacing w:before="40" w:after="60" w:line="276" w:lineRule="auto"/>
              <w:jc w:val="center"/>
              <w:rPr>
                <w:rFonts w:ascii="Times New Roman" w:eastAsia="Times New Roman" w:hAnsi="Times New Roman" w:cs="Times New Roman"/>
                <w:b/>
                <w:bCs/>
                <w:sz w:val="24"/>
                <w:szCs w:val="24"/>
                <w:lang w:eastAsia="en-IN"/>
              </w:rPr>
            </w:pPr>
            <w:r w:rsidRPr="00A33129">
              <w:rPr>
                <w:rFonts w:ascii="Times New Roman" w:eastAsia="Times New Roman" w:hAnsi="Times New Roman" w:cs="Times New Roman"/>
                <w:b/>
                <w:bCs/>
                <w:sz w:val="24"/>
                <w:szCs w:val="24"/>
                <w:lang w:eastAsia="en-IN"/>
              </w:rPr>
              <w:t xml:space="preserve">Active </w:t>
            </w:r>
            <w:r w:rsidR="00A50835" w:rsidRPr="00A33129">
              <w:rPr>
                <w:rFonts w:ascii="Times New Roman" w:eastAsia="Times New Roman" w:hAnsi="Times New Roman" w:cs="Times New Roman"/>
                <w:b/>
                <w:bCs/>
                <w:sz w:val="24"/>
                <w:szCs w:val="24"/>
                <w:lang w:eastAsia="en-IN"/>
              </w:rPr>
              <w:t>u</w:t>
            </w:r>
            <w:r w:rsidRPr="00A33129">
              <w:rPr>
                <w:rFonts w:ascii="Times New Roman" w:eastAsia="Times New Roman" w:hAnsi="Times New Roman" w:cs="Times New Roman"/>
                <w:b/>
                <w:bCs/>
                <w:sz w:val="24"/>
                <w:szCs w:val="24"/>
                <w:lang w:eastAsia="en-IN"/>
              </w:rPr>
              <w:t>ptake</w:t>
            </w:r>
          </w:p>
        </w:tc>
      </w:tr>
      <w:tr w:rsidR="00602628" w:rsidRPr="00A33129" w14:paraId="5EF0C983" w14:textId="77777777" w:rsidTr="00602628">
        <w:tc>
          <w:tcPr>
            <w:tcW w:w="882" w:type="pct"/>
            <w:gridSpan w:val="2"/>
            <w:tcBorders>
              <w:top w:val="single" w:sz="8" w:space="0" w:color="auto"/>
            </w:tcBorders>
            <w:hideMark/>
          </w:tcPr>
          <w:p w14:paraId="5A7FEFE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Carrier/channel-mediated transport</w:t>
            </w:r>
          </w:p>
        </w:tc>
        <w:tc>
          <w:tcPr>
            <w:tcW w:w="530" w:type="pct"/>
            <w:tcBorders>
              <w:top w:val="single" w:sz="8" w:space="0" w:color="auto"/>
              <w:bottom w:val="single" w:sz="8" w:space="0" w:color="auto"/>
            </w:tcBorders>
            <w:hideMark/>
          </w:tcPr>
          <w:p w14:paraId="7924703F"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Yes </w:t>
            </w:r>
          </w:p>
          <w:p w14:paraId="05F32B9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(ATP)</w:t>
            </w:r>
          </w:p>
        </w:tc>
        <w:tc>
          <w:tcPr>
            <w:tcW w:w="650" w:type="pct"/>
            <w:tcBorders>
              <w:top w:val="single" w:sz="8" w:space="0" w:color="auto"/>
              <w:bottom w:val="single" w:sz="8" w:space="0" w:color="auto"/>
            </w:tcBorders>
            <w:hideMark/>
          </w:tcPr>
          <w:p w14:paraId="5CDBAEF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983" w:type="pct"/>
            <w:tcBorders>
              <w:top w:val="single" w:sz="8" w:space="0" w:color="auto"/>
              <w:bottom w:val="single" w:sz="8" w:space="0" w:color="auto"/>
            </w:tcBorders>
            <w:hideMark/>
          </w:tcPr>
          <w:p w14:paraId="72D54B7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Involves specific membrane proteins (carriers, channels, transporters)</w:t>
            </w:r>
          </w:p>
        </w:tc>
        <w:tc>
          <w:tcPr>
            <w:tcW w:w="881" w:type="pct"/>
            <w:tcBorders>
              <w:top w:val="single" w:sz="8" w:space="0" w:color="auto"/>
              <w:bottom w:val="single" w:sz="8" w:space="0" w:color="auto"/>
            </w:tcBorders>
            <w:hideMark/>
          </w:tcPr>
          <w:p w14:paraId="7BBE1F5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All essential nutrients (especially at low soil levels)</w:t>
            </w:r>
          </w:p>
        </w:tc>
        <w:tc>
          <w:tcPr>
            <w:tcW w:w="1062" w:type="pct"/>
            <w:tcBorders>
              <w:top w:val="single" w:sz="8" w:space="0" w:color="auto"/>
              <w:bottom w:val="single" w:sz="8" w:space="0" w:color="auto"/>
            </w:tcBorders>
            <w:hideMark/>
          </w:tcPr>
          <w:p w14:paraId="47C4AB6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Essential when soil nutrient concentration is low</w:t>
            </w:r>
          </w:p>
        </w:tc>
      </w:tr>
      <w:tr w:rsidR="00602628" w:rsidRPr="00A33129" w14:paraId="3F2B2B84" w14:textId="77777777" w:rsidTr="00602628">
        <w:tc>
          <w:tcPr>
            <w:tcW w:w="303" w:type="pct"/>
            <w:hideMark/>
          </w:tcPr>
          <w:p w14:paraId="566F95C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11D208C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Primary active transport</w:t>
            </w:r>
          </w:p>
        </w:tc>
        <w:tc>
          <w:tcPr>
            <w:tcW w:w="530" w:type="pct"/>
            <w:tcBorders>
              <w:top w:val="single" w:sz="8" w:space="0" w:color="auto"/>
              <w:bottom w:val="single" w:sz="8" w:space="0" w:color="auto"/>
            </w:tcBorders>
            <w:hideMark/>
          </w:tcPr>
          <w:p w14:paraId="41A77C1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Direct ATP use</w:t>
            </w:r>
          </w:p>
        </w:tc>
        <w:tc>
          <w:tcPr>
            <w:tcW w:w="650" w:type="pct"/>
            <w:tcBorders>
              <w:top w:val="single" w:sz="8" w:space="0" w:color="auto"/>
              <w:bottom w:val="single" w:sz="8" w:space="0" w:color="auto"/>
            </w:tcBorders>
            <w:hideMark/>
          </w:tcPr>
          <w:p w14:paraId="514FF78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H⁺-ATPase pumps</w:t>
            </w:r>
          </w:p>
        </w:tc>
        <w:tc>
          <w:tcPr>
            <w:tcW w:w="983" w:type="pct"/>
            <w:tcBorders>
              <w:top w:val="single" w:sz="8" w:space="0" w:color="auto"/>
              <w:bottom w:val="single" w:sz="8" w:space="0" w:color="auto"/>
            </w:tcBorders>
            <w:hideMark/>
          </w:tcPr>
          <w:p w14:paraId="03D82EAC"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 xml:space="preserve">Directly uses ATP to pump ions (mainly H⁺ </w:t>
            </w:r>
            <w:r w:rsidRPr="00A33129">
              <w:rPr>
                <w:rFonts w:ascii="Times New Roman" w:eastAsia="Times New Roman" w:hAnsi="Times New Roman" w:cs="Times New Roman"/>
                <w:sz w:val="24"/>
                <w:szCs w:val="24"/>
                <w:lang w:eastAsia="en-IN"/>
              </w:rPr>
              <w:lastRenderedPageBreak/>
              <w:t>out) to create proton motive force</w:t>
            </w:r>
          </w:p>
        </w:tc>
        <w:tc>
          <w:tcPr>
            <w:tcW w:w="881" w:type="pct"/>
            <w:tcBorders>
              <w:top w:val="single" w:sz="8" w:space="0" w:color="auto"/>
              <w:bottom w:val="single" w:sz="8" w:space="0" w:color="auto"/>
            </w:tcBorders>
            <w:hideMark/>
          </w:tcPr>
          <w:p w14:paraId="17831F2E"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lastRenderedPageBreak/>
              <w:t>Mainly H⁺ (creates gradient for others)</w:t>
            </w:r>
          </w:p>
        </w:tc>
        <w:tc>
          <w:tcPr>
            <w:tcW w:w="1062" w:type="pct"/>
            <w:tcBorders>
              <w:top w:val="single" w:sz="8" w:space="0" w:color="auto"/>
              <w:bottom w:val="single" w:sz="8" w:space="0" w:color="auto"/>
            </w:tcBorders>
            <w:hideMark/>
          </w:tcPr>
          <w:p w14:paraId="1C4FDF0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Foundation of most active uptake</w:t>
            </w:r>
          </w:p>
        </w:tc>
      </w:tr>
      <w:tr w:rsidR="00602628" w:rsidRPr="00A33129" w14:paraId="5780DA44" w14:textId="77777777" w:rsidTr="00602628">
        <w:tc>
          <w:tcPr>
            <w:tcW w:w="303" w:type="pct"/>
            <w:tcBorders>
              <w:bottom w:val="single" w:sz="8" w:space="0" w:color="auto"/>
            </w:tcBorders>
            <w:hideMark/>
          </w:tcPr>
          <w:p w14:paraId="76312DF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57BDFDE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Secondary active transport</w:t>
            </w:r>
          </w:p>
        </w:tc>
        <w:tc>
          <w:tcPr>
            <w:tcW w:w="530" w:type="pct"/>
            <w:tcBorders>
              <w:top w:val="single" w:sz="8" w:space="0" w:color="auto"/>
              <w:bottom w:val="single" w:sz="8" w:space="0" w:color="auto"/>
            </w:tcBorders>
            <w:hideMark/>
          </w:tcPr>
          <w:p w14:paraId="2EC178C8"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Indirect (uses proton gradient)</w:t>
            </w:r>
          </w:p>
        </w:tc>
        <w:tc>
          <w:tcPr>
            <w:tcW w:w="650" w:type="pct"/>
            <w:tcBorders>
              <w:top w:val="single" w:sz="8" w:space="0" w:color="auto"/>
              <w:bottom w:val="single" w:sz="8" w:space="0" w:color="auto"/>
            </w:tcBorders>
            <w:hideMark/>
          </w:tcPr>
          <w:p w14:paraId="4F43548A"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motive force (</w:t>
            </w:r>
            <w:proofErr w:type="spellStart"/>
            <w:r w:rsidRPr="00A33129">
              <w:rPr>
                <w:rFonts w:ascii="Times New Roman" w:eastAsia="Times New Roman" w:hAnsi="Times New Roman" w:cs="Times New Roman"/>
                <w:sz w:val="24"/>
                <w:szCs w:val="24"/>
                <w:lang w:eastAsia="en-IN"/>
              </w:rPr>
              <w:t>ΔpH</w:t>
            </w:r>
            <w:proofErr w:type="spellEnd"/>
            <w:r w:rsidRPr="00A33129">
              <w:rPr>
                <w:rFonts w:ascii="Times New Roman" w:eastAsia="Times New Roman" w:hAnsi="Times New Roman" w:cs="Times New Roman"/>
                <w:sz w:val="24"/>
                <w:szCs w:val="24"/>
                <w:lang w:eastAsia="en-IN"/>
              </w:rPr>
              <w:t xml:space="preserve"> + </w:t>
            </w:r>
            <w:proofErr w:type="spellStart"/>
            <w:r w:rsidRPr="00A33129">
              <w:rPr>
                <w:rFonts w:ascii="Times New Roman" w:eastAsia="Times New Roman" w:hAnsi="Times New Roman" w:cs="Times New Roman"/>
                <w:sz w:val="24"/>
                <w:szCs w:val="24"/>
                <w:lang w:eastAsia="en-IN"/>
              </w:rPr>
              <w:t>Δψ</w:t>
            </w:r>
            <w:proofErr w:type="spellEnd"/>
            <w:r w:rsidRPr="00A33129">
              <w:rPr>
                <w:rFonts w:ascii="Times New Roman" w:eastAsia="Times New Roman" w:hAnsi="Times New Roman" w:cs="Times New Roman"/>
                <w:sz w:val="24"/>
                <w:szCs w:val="24"/>
                <w:lang w:eastAsia="en-IN"/>
              </w:rPr>
              <w:t>)</w:t>
            </w:r>
          </w:p>
        </w:tc>
        <w:tc>
          <w:tcPr>
            <w:tcW w:w="983" w:type="pct"/>
            <w:tcBorders>
              <w:top w:val="single" w:sz="8" w:space="0" w:color="auto"/>
              <w:bottom w:val="single" w:sz="8" w:space="0" w:color="auto"/>
            </w:tcBorders>
            <w:hideMark/>
          </w:tcPr>
          <w:p w14:paraId="650F21B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Uses energy stored in H⁺ gradient created by primary active transport</w:t>
            </w:r>
          </w:p>
        </w:tc>
        <w:tc>
          <w:tcPr>
            <w:tcW w:w="881" w:type="pct"/>
            <w:tcBorders>
              <w:top w:val="single" w:sz="8" w:space="0" w:color="auto"/>
              <w:bottom w:val="single" w:sz="8" w:space="0" w:color="auto"/>
            </w:tcBorders>
            <w:hideMark/>
          </w:tcPr>
          <w:p w14:paraId="108CBBA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NO₃⁻, PO₄³⁻, K⁺, NH₄⁺, amino acids, sugars, etc.</w:t>
            </w:r>
          </w:p>
        </w:tc>
        <w:tc>
          <w:tcPr>
            <w:tcW w:w="1062" w:type="pct"/>
            <w:tcBorders>
              <w:top w:val="single" w:sz="8" w:space="0" w:color="auto"/>
            </w:tcBorders>
            <w:hideMark/>
          </w:tcPr>
          <w:p w14:paraId="0206BCAD"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Most common mechanism for nutrient ions</w:t>
            </w:r>
          </w:p>
        </w:tc>
      </w:tr>
      <w:tr w:rsidR="00602628" w:rsidRPr="00A33129" w14:paraId="6DD19F05" w14:textId="77777777" w:rsidTr="00602628">
        <w:tc>
          <w:tcPr>
            <w:tcW w:w="882" w:type="pct"/>
            <w:gridSpan w:val="2"/>
            <w:tcBorders>
              <w:top w:val="single" w:sz="8" w:space="0" w:color="auto"/>
              <w:bottom w:val="single" w:sz="8" w:space="0" w:color="auto"/>
            </w:tcBorders>
            <w:hideMark/>
          </w:tcPr>
          <w:p w14:paraId="05423CF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Co-transport Mechanisms</w:t>
            </w:r>
          </w:p>
        </w:tc>
        <w:tc>
          <w:tcPr>
            <w:tcW w:w="530" w:type="pct"/>
            <w:tcBorders>
              <w:top w:val="single" w:sz="8" w:space="0" w:color="auto"/>
              <w:bottom w:val="single" w:sz="8" w:space="0" w:color="auto"/>
            </w:tcBorders>
            <w:hideMark/>
          </w:tcPr>
          <w:p w14:paraId="592AC865" w14:textId="77777777" w:rsidR="00602628" w:rsidRPr="00A33129" w:rsidRDefault="00602628" w:rsidP="00602628">
            <w:pPr>
              <w:spacing w:before="40" w:after="60" w:line="276" w:lineRule="auto"/>
              <w:jc w:val="center"/>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Yes (secondary)</w:t>
            </w:r>
          </w:p>
        </w:tc>
        <w:tc>
          <w:tcPr>
            <w:tcW w:w="650" w:type="pct"/>
            <w:tcBorders>
              <w:top w:val="single" w:sz="8" w:space="0" w:color="auto"/>
              <w:bottom w:val="single" w:sz="8" w:space="0" w:color="auto"/>
            </w:tcBorders>
            <w:hideMark/>
          </w:tcPr>
          <w:p w14:paraId="5956A8A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Proton gradient</w:t>
            </w:r>
          </w:p>
        </w:tc>
        <w:tc>
          <w:tcPr>
            <w:tcW w:w="983" w:type="pct"/>
            <w:tcBorders>
              <w:top w:val="single" w:sz="8" w:space="0" w:color="auto"/>
              <w:bottom w:val="single" w:sz="8" w:space="0" w:color="auto"/>
            </w:tcBorders>
            <w:hideMark/>
          </w:tcPr>
          <w:p w14:paraId="6C90DFF6"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881" w:type="pct"/>
            <w:tcBorders>
              <w:top w:val="single" w:sz="8" w:space="0" w:color="auto"/>
              <w:bottom w:val="single" w:sz="8" w:space="0" w:color="auto"/>
            </w:tcBorders>
            <w:hideMark/>
          </w:tcPr>
          <w:p w14:paraId="0CECE3A5"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1062" w:type="pct"/>
            <w:tcBorders>
              <w:top w:val="single" w:sz="8" w:space="0" w:color="auto"/>
              <w:bottom w:val="single" w:sz="8" w:space="0" w:color="auto"/>
            </w:tcBorders>
            <w:hideMark/>
          </w:tcPr>
          <w:p w14:paraId="76E5ED6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r>
      <w:tr w:rsidR="00602628" w:rsidRPr="00A33129" w14:paraId="135FA82D" w14:textId="77777777" w:rsidTr="00602628">
        <w:tc>
          <w:tcPr>
            <w:tcW w:w="303" w:type="pct"/>
            <w:tcBorders>
              <w:top w:val="single" w:sz="8" w:space="0" w:color="auto"/>
            </w:tcBorders>
          </w:tcPr>
          <w:p w14:paraId="1DCE86E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8" w:space="0" w:color="auto"/>
            </w:tcBorders>
          </w:tcPr>
          <w:p w14:paraId="171AA1D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Symport</w:t>
            </w:r>
          </w:p>
        </w:tc>
        <w:tc>
          <w:tcPr>
            <w:tcW w:w="530" w:type="pct"/>
            <w:tcBorders>
              <w:top w:val="single" w:sz="8" w:space="0" w:color="auto"/>
              <w:bottom w:val="single" w:sz="8" w:space="0" w:color="auto"/>
            </w:tcBorders>
            <w:hideMark/>
          </w:tcPr>
          <w:p w14:paraId="73BF7EFB"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8" w:space="0" w:color="auto"/>
            </w:tcBorders>
            <w:hideMark/>
          </w:tcPr>
          <w:p w14:paraId="14776723"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H⁺ and nutrient enter together</w:t>
            </w:r>
          </w:p>
        </w:tc>
        <w:tc>
          <w:tcPr>
            <w:tcW w:w="983" w:type="pct"/>
            <w:tcBorders>
              <w:top w:val="single" w:sz="8" w:space="0" w:color="auto"/>
              <w:bottom w:val="single" w:sz="8" w:space="0" w:color="auto"/>
            </w:tcBorders>
            <w:hideMark/>
          </w:tcPr>
          <w:p w14:paraId="43BC583F"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H⁺/NO₃⁻, H⁺/PO₄³⁻, H⁺/K⁺, H⁺-amino acid, H⁺-sucrose symporters</w:t>
            </w:r>
          </w:p>
        </w:tc>
        <w:tc>
          <w:tcPr>
            <w:tcW w:w="881" w:type="pct"/>
            <w:tcBorders>
              <w:top w:val="single" w:sz="8" w:space="0" w:color="auto"/>
              <w:bottom w:val="single" w:sz="8" w:space="0" w:color="auto"/>
            </w:tcBorders>
            <w:hideMark/>
          </w:tcPr>
          <w:p w14:paraId="2B923B02"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Nitrate, phosphate, potassium, amino acids, sugars</w:t>
            </w:r>
          </w:p>
        </w:tc>
        <w:tc>
          <w:tcPr>
            <w:tcW w:w="1062" w:type="pct"/>
            <w:tcBorders>
              <w:top w:val="single" w:sz="8" w:space="0" w:color="auto"/>
              <w:bottom w:val="single" w:sz="8" w:space="0" w:color="auto"/>
            </w:tcBorders>
            <w:hideMark/>
          </w:tcPr>
          <w:p w14:paraId="23EE989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Very common in root epidermis and cortex</w:t>
            </w:r>
          </w:p>
        </w:tc>
      </w:tr>
      <w:tr w:rsidR="00602628" w:rsidRPr="00A33129" w14:paraId="5FBE7E7F" w14:textId="77777777" w:rsidTr="00602628">
        <w:tc>
          <w:tcPr>
            <w:tcW w:w="303" w:type="pct"/>
            <w:tcBorders>
              <w:bottom w:val="single" w:sz="18" w:space="0" w:color="auto"/>
            </w:tcBorders>
          </w:tcPr>
          <w:p w14:paraId="57C39459"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579" w:type="pct"/>
            <w:tcBorders>
              <w:top w:val="single" w:sz="8" w:space="0" w:color="auto"/>
              <w:bottom w:val="single" w:sz="18" w:space="0" w:color="auto"/>
            </w:tcBorders>
          </w:tcPr>
          <w:p w14:paraId="051EF78C"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Antiport</w:t>
            </w:r>
          </w:p>
        </w:tc>
        <w:tc>
          <w:tcPr>
            <w:tcW w:w="530" w:type="pct"/>
            <w:tcBorders>
              <w:top w:val="single" w:sz="8" w:space="0" w:color="auto"/>
              <w:bottom w:val="single" w:sz="18" w:space="0" w:color="auto"/>
            </w:tcBorders>
            <w:hideMark/>
          </w:tcPr>
          <w:p w14:paraId="100B67D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p>
        </w:tc>
        <w:tc>
          <w:tcPr>
            <w:tcW w:w="650" w:type="pct"/>
            <w:tcBorders>
              <w:top w:val="single" w:sz="8" w:space="0" w:color="auto"/>
              <w:bottom w:val="single" w:sz="18" w:space="0" w:color="auto"/>
            </w:tcBorders>
            <w:hideMark/>
          </w:tcPr>
          <w:p w14:paraId="209B5C81"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One ion in, another (usually H⁺) out</w:t>
            </w:r>
          </w:p>
        </w:tc>
        <w:tc>
          <w:tcPr>
            <w:tcW w:w="983" w:type="pct"/>
            <w:tcBorders>
              <w:top w:val="single" w:sz="8" w:space="0" w:color="auto"/>
              <w:bottom w:val="single" w:sz="18" w:space="0" w:color="auto"/>
            </w:tcBorders>
            <w:hideMark/>
          </w:tcPr>
          <w:p w14:paraId="03387997"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e.g., H⁺/Na⁺ antiport (SOS1 in salinity tolerance), H⁺/cation antiporters</w:t>
            </w:r>
          </w:p>
        </w:tc>
        <w:tc>
          <w:tcPr>
            <w:tcW w:w="881" w:type="pct"/>
            <w:tcBorders>
              <w:top w:val="single" w:sz="8" w:space="0" w:color="auto"/>
              <w:bottom w:val="single" w:sz="18" w:space="0" w:color="auto"/>
            </w:tcBorders>
            <w:hideMark/>
          </w:tcPr>
          <w:p w14:paraId="289D363A"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Na⁺ extrusion, K⁺/H⁺, Ca²⁺/H⁺ exchange</w:t>
            </w:r>
          </w:p>
        </w:tc>
        <w:tc>
          <w:tcPr>
            <w:tcW w:w="1062" w:type="pct"/>
            <w:tcBorders>
              <w:top w:val="single" w:sz="8" w:space="0" w:color="auto"/>
              <w:bottom w:val="single" w:sz="18" w:space="0" w:color="auto"/>
            </w:tcBorders>
            <w:hideMark/>
          </w:tcPr>
          <w:p w14:paraId="32361488" w14:textId="77777777" w:rsidR="00602628" w:rsidRPr="00A33129" w:rsidRDefault="00602628" w:rsidP="00602628">
            <w:pPr>
              <w:spacing w:before="40" w:after="60" w:line="276" w:lineRule="auto"/>
              <w:rPr>
                <w:rFonts w:ascii="Times New Roman" w:eastAsia="Times New Roman" w:hAnsi="Times New Roman" w:cs="Times New Roman"/>
                <w:sz w:val="24"/>
                <w:szCs w:val="24"/>
                <w:lang w:eastAsia="en-IN"/>
              </w:rPr>
            </w:pPr>
            <w:r w:rsidRPr="00A33129">
              <w:rPr>
                <w:rFonts w:ascii="Times New Roman" w:eastAsia="Times New Roman" w:hAnsi="Times New Roman" w:cs="Times New Roman"/>
                <w:sz w:val="24"/>
                <w:szCs w:val="24"/>
                <w:lang w:eastAsia="en-IN"/>
              </w:rPr>
              <w:t>Important in ion homeostasis and stress response</w:t>
            </w:r>
          </w:p>
        </w:tc>
      </w:tr>
    </w:tbl>
    <w:p w14:paraId="7EA8E528" w14:textId="7F33CF72" w:rsidR="00602628" w:rsidRPr="00A33129" w:rsidRDefault="00602628"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ATP:</w:t>
      </w:r>
      <w:r w:rsidRPr="00A33129">
        <w:t xml:space="preserve"> </w:t>
      </w:r>
      <w:r w:rsidRPr="00A33129">
        <w:rPr>
          <w:rFonts w:ascii="Times New Roman" w:hAnsi="Times New Roman" w:cs="Times New Roman"/>
          <w:sz w:val="24"/>
          <w:szCs w:val="24"/>
        </w:rPr>
        <w:t>Adenosine triphosphate</w:t>
      </w:r>
    </w:p>
    <w:p w14:paraId="6E49AC5C" w14:textId="77777777" w:rsidR="00602628" w:rsidRPr="00A33129" w:rsidRDefault="00602628">
      <w:pPr>
        <w:rPr>
          <w:rFonts w:ascii="Times New Roman" w:hAnsi="Times New Roman" w:cs="Times New Roman"/>
          <w:sz w:val="24"/>
          <w:szCs w:val="24"/>
        </w:rPr>
      </w:pPr>
      <w:r w:rsidRPr="00A33129">
        <w:rPr>
          <w:rFonts w:ascii="Times New Roman" w:hAnsi="Times New Roman" w:cs="Times New Roman"/>
          <w:sz w:val="24"/>
          <w:szCs w:val="24"/>
        </w:rPr>
        <w:br w:type="page"/>
      </w:r>
    </w:p>
    <w:p w14:paraId="1B662A34" w14:textId="77777777" w:rsidR="00602628" w:rsidRPr="00A33129" w:rsidRDefault="00602628" w:rsidP="00AC4D17">
      <w:pPr>
        <w:spacing w:after="120" w:line="360" w:lineRule="auto"/>
        <w:rPr>
          <w:rFonts w:ascii="Times New Roman" w:hAnsi="Times New Roman" w:cs="Times New Roman"/>
          <w:sz w:val="24"/>
          <w:szCs w:val="24"/>
        </w:rPr>
        <w:sectPr w:rsidR="00602628" w:rsidRPr="00A33129" w:rsidSect="00602628">
          <w:pgSz w:w="16838" w:h="11906" w:orient="landscape"/>
          <w:pgMar w:top="1440" w:right="1440" w:bottom="1440" w:left="1440" w:header="706" w:footer="706" w:gutter="0"/>
          <w:cols w:space="708"/>
          <w:docGrid w:linePitch="360"/>
        </w:sectPr>
      </w:pPr>
    </w:p>
    <w:p w14:paraId="619773FD" w14:textId="4BE22C6D" w:rsidR="00AA2B17" w:rsidRPr="00A33129" w:rsidRDefault="00DD662B"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lastRenderedPageBreak/>
        <w:t>Plants absorb nutrients from the soil mainly through their roots, using coordinated physical and biological mechanisms that bring ions from the soil solution into root cells and then throughout the plant</w:t>
      </w:r>
      <w:r w:rsidR="00121BB5" w:rsidRPr="00A33129">
        <w:rPr>
          <w:rFonts w:ascii="Times New Roman" w:hAnsi="Times New Roman" w:cs="Times New Roman"/>
          <w:sz w:val="24"/>
          <w:szCs w:val="24"/>
        </w:rPr>
        <w:t xml:space="preserve"> </w:t>
      </w:r>
      <w:r w:rsidR="00121BB5" w:rsidRPr="00A33129">
        <w:rPr>
          <w:rFonts w:ascii="Times New Roman" w:hAnsi="Times New Roman" w:cs="Times New Roman"/>
          <w:sz w:val="24"/>
          <w:szCs w:val="24"/>
        </w:rPr>
        <w:fldChar w:fldCharType="begin" w:fldLock="1"/>
      </w:r>
      <w:r w:rsidR="00B05DF4" w:rsidRPr="00A33129">
        <w:rPr>
          <w:rFonts w:ascii="Times New Roman" w:hAnsi="Times New Roman" w:cs="Times New Roman"/>
          <w:sz w:val="24"/>
          <w:szCs w:val="24"/>
        </w:rPr>
        <w:instrText>ADDIN CSL_CITATION {"citationItems":[{"id":"ITEM-1","itemData":{"author":[{"dropping-particle":"","family":"Ameena","given":"Muhammad","non-dropping-particle":"","parse-names":false,"suffix":""},{"dropping-particle":"","family":"Akhtarb","given":"Javaid","non-dropping-particle":"","parse-names":false,"suffix":""},{"dropping-particle":"","family":"Anwar-Ul-Haqb","given":"Muhammad","non-dropping-particle":"","parse-names":false,"suffix":""},{"dropping-particle":"","family":"Abbasic","given":"Ghulam Hassan","non-dropping-particle":"","parse-names":false,"suffix":""},{"dropping-particle":"","family":"Jamila","given":"Moazzam","non-dropping-particle":"","parse-names":false,"suffix":""},{"dropping-particle":"","family":"Alic","given":"Muhammad","non-dropping-particle":"","parse-names":false,"suffix":""},{"dropping-particle":"","family":"Athar","given":"Tabinda","non-dropping-particle":"","parse-names":false,"suffix":""}],"container-title":"Sustainable plant nutrition","id":"ITEM-1","issued":{"date-parts":[["2023"]]},"page":"51-70","title":"Nutrient acquisition, transport and metabolism within the plant cells","type":"chapter"},"uris":["http://www.mendeley.com/documents/?uuid=f77e1ecc-02e7-4bd0-92d8-f99df261f9a8"]}],"mendeley":{"formattedCitation":"(Ameena et al., 2023)","plainTextFormattedCitation":"(Ameena et al., 2023)","previouslyFormattedCitation":"(Ameena et al., 2023)"},"properties":{"noteIndex":0},"schema":"https://github.com/citation-style-language/schema/raw/master/csl-citation.json"}</w:instrText>
      </w:r>
      <w:r w:rsidR="00121BB5" w:rsidRPr="00A33129">
        <w:rPr>
          <w:rFonts w:ascii="Times New Roman" w:hAnsi="Times New Roman" w:cs="Times New Roman"/>
          <w:sz w:val="24"/>
          <w:szCs w:val="24"/>
        </w:rPr>
        <w:fldChar w:fldCharType="separate"/>
      </w:r>
      <w:r w:rsidR="00121BB5" w:rsidRPr="00A33129">
        <w:rPr>
          <w:rFonts w:ascii="Times New Roman" w:hAnsi="Times New Roman" w:cs="Times New Roman"/>
          <w:noProof/>
          <w:sz w:val="24"/>
          <w:szCs w:val="24"/>
        </w:rPr>
        <w:t>(Ameena et al., 2023)</w:t>
      </w:r>
      <w:r w:rsidR="00121BB5"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These mechanisms ensure that essential macro- and micronutrients are continuously transported into the plant, where they support cell division, expansion and differentiation needed for growth. They also supply nutrients required for photosynthesis, respiration and enzymatic reactions that drive overall metabolism and the formation of new tissues and reproductive structures, thereby sustaining normal development. Different types of mechanisms involved in nutrient uptake by plant roots are </w:t>
      </w:r>
      <w:r w:rsidR="00B05DF4" w:rsidRPr="00A33129">
        <w:rPr>
          <w:rFonts w:ascii="Times New Roman" w:hAnsi="Times New Roman" w:cs="Times New Roman"/>
          <w:sz w:val="24"/>
          <w:szCs w:val="24"/>
        </w:rPr>
        <w:t xml:space="preserve">represented in Table 2 </w:t>
      </w:r>
      <w:r w:rsidR="00B05DF4" w:rsidRPr="00A33129">
        <w:rPr>
          <w:rFonts w:ascii="Times New Roman" w:hAnsi="Times New Roman" w:cs="Times New Roman"/>
          <w:sz w:val="24"/>
          <w:szCs w:val="24"/>
        </w:rPr>
        <w:fldChar w:fldCharType="begin" w:fldLock="1"/>
      </w:r>
      <w:r w:rsidR="006870F7" w:rsidRPr="00A33129">
        <w:rPr>
          <w:rFonts w:ascii="Times New Roman" w:hAnsi="Times New Roman" w:cs="Times New Roman"/>
          <w:sz w:val="24"/>
          <w:szCs w:val="24"/>
        </w:rPr>
        <w:instrText>ADDIN CSL_CITATION {"citationItems":[{"id":"ITEM-1","itemData":{"author":[{"dropping-particle":"","family":"Iqbal","given":"Majid","non-dropping-particle":"","parse-names":false,"suffix":""},{"dropping-particle":"","family":"Khan","given":"Muhammad Nauman","non-dropping-particle":"","parse-names":false,"suffix":""},{"dropping-particle":"","family":"Afzal","given":"Affan","non-dropping-particle":"","parse-names":false,"suffix":""},{"dropping-particle":"","family":"Kaplan","given":"Alevcan","non-dropping-particle":"","parse-names":false,"suffix":""},{"dropping-particle":"","family":"Ali","given":"Baber","non-dropping-particle":"","parse-names":false,"suffix":""},{"dropping-particle":"","family":"Fahad","given":"Shah","non-dropping-particle":"","parse-names":false,"suffix":""}],"container-title":"Sustainable Soil Chemistry and Plant Nutrition","id":"ITEM-1","issued":{"date-parts":[["2026"]]},"page":"71-114","title":"Plant uptake and transport of soil nutrients","type":"chapter"},"uris":["http://www.mendeley.com/documents/?uuid=a4302bfb-336c-41c8-8a5b-254d047efe1d"]}],"mendeley":{"formattedCitation":"(Iqbal et al., 2026)","plainTextFormattedCitation":"(Iqbal et al., 2026)","previouslyFormattedCitation":"(Iqbal et al., 2026)"},"properties":{"noteIndex":0},"schema":"https://github.com/citation-style-language/schema/raw/master/csl-citation.json"}</w:instrText>
      </w:r>
      <w:r w:rsidR="00B05DF4" w:rsidRPr="00A33129">
        <w:rPr>
          <w:rFonts w:ascii="Times New Roman" w:hAnsi="Times New Roman" w:cs="Times New Roman"/>
          <w:sz w:val="24"/>
          <w:szCs w:val="24"/>
        </w:rPr>
        <w:fldChar w:fldCharType="separate"/>
      </w:r>
      <w:r w:rsidR="00B05DF4" w:rsidRPr="00A33129">
        <w:rPr>
          <w:rFonts w:ascii="Times New Roman" w:hAnsi="Times New Roman" w:cs="Times New Roman"/>
          <w:noProof/>
          <w:sz w:val="24"/>
          <w:szCs w:val="24"/>
        </w:rPr>
        <w:t>(Iqbal et al., 2026)</w:t>
      </w:r>
      <w:r w:rsidR="00B05DF4" w:rsidRPr="00A33129">
        <w:rPr>
          <w:rFonts w:ascii="Times New Roman" w:hAnsi="Times New Roman" w:cs="Times New Roman"/>
          <w:sz w:val="24"/>
          <w:szCs w:val="24"/>
        </w:rPr>
        <w:fldChar w:fldCharType="end"/>
      </w:r>
      <w:r w:rsidRPr="00A33129">
        <w:rPr>
          <w:rFonts w:ascii="Times New Roman" w:hAnsi="Times New Roman" w:cs="Times New Roman"/>
          <w:sz w:val="24"/>
          <w:szCs w:val="24"/>
        </w:rPr>
        <w:t xml:space="preserve">. </w:t>
      </w:r>
    </w:p>
    <w:p w14:paraId="0C8B63BD" w14:textId="2D030B73"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4.2 Leaf quality and its impact on larval development</w:t>
      </w:r>
    </w:p>
    <w:p w14:paraId="0AC07DA2" w14:textId="1CC15FD2" w:rsidR="00C074CA" w:rsidRPr="00A33129" w:rsidRDefault="006870F7"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The quality of leaves fed to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plays a critical role in determining larval development, silk yield and overall production performance. Leaf quality strongly influences larval survival, growth rate, development time, body size and fitness, because it governs the supply of nutrients, water and defensive compounds ingested during feeding </w:t>
      </w:r>
      <w:r w:rsidRPr="00A33129">
        <w:rPr>
          <w:rFonts w:ascii="Times New Roman" w:hAnsi="Times New Roman" w:cs="Times New Roman"/>
          <w:sz w:val="24"/>
          <w:szCs w:val="24"/>
        </w:rPr>
        <w:fldChar w:fldCharType="begin" w:fldLock="1"/>
      </w:r>
      <w:r w:rsidR="00A17232" w:rsidRPr="00A33129">
        <w:rPr>
          <w:rFonts w:ascii="Times New Roman" w:hAnsi="Times New Roman" w:cs="Times New Roman"/>
          <w:sz w:val="24"/>
          <w:szCs w:val="24"/>
        </w:rPr>
        <w:instrText>ADDIN CSL_CITATION {"citationItems":[{"id":"ITEM-1","itemData":{"author":[{"dropping-particle":"","family":"Gattu","given":"Renuka","non-dropping-particle":"","parse-names":false,"suffix":""},{"dropping-particle":"","family":"Manda","given":"Sreenivas","non-dropping-particle":"","parse-names":false,"suffix":""},{"dropping-particle":"","family":"Gangupantula","given":"Shamitha","non-dropping-particle":"","parse-names":false,"suffix":""}],"container-title":"Asian Journal of Biology and Life Science","id":"ITEM-1","issue":"1","issued":{"date-parts":[["2017"]]},"page":"347-357","title":"Breeding perspective for silk quality tropical tasar silkworm, Antheraea mylitta Drury","type":"article-journal","volume":"6"},"uris":["http://www.mendeley.com/documents/?uuid=fff12604-be12-4c73-8bfb-7ec0569b8d49"]},{"id":"ITEM-2","itemData":{"DOI":"10.51470/plantarchives.2022.v22.specialissue.024","ISSN":"09725210","abstract":"Synthesis of silk involves a cascade of biochemical pathways involving numerous enzymatic reactions involving conformation transition of the liquid silk protein to silk fibre which is induced by several factors including changes in the cationic concentration and agro-climatic conditions. Tropical tasar silkworm produces Vanya silk of commercial importance. A study was carried out in two locations of Mayurbhanj district in Odisha having difference in altitude (Kendujuani, as well as agronomic conditions involving host plants (Asan and Arjun) during autumn season to determine the impact of soil macronutrients on tasar commercial traits. Physiochemical properties of the soil and leaf samples were analysed using standard analytical methods and tools. Results indicated acidic soil at both Kendujuani (pH 5.438±0.091) and Chandua (pH 5.337±0.092) with EC values of 0.076±0.13 dS/m and 0.081±0.012 dS/m respectively. Available soil and leaf nutrients (N, P, K, OC) were found to have higher value in Kendujuani (P &lt; 0.01) in Asan plant in comparison to Chandua as revealed by ANOVA. The values were comparatively less in Arjun in comparison to Asan, however, the trend of soil and leaf macronutrients over two places were similar to that of Asan. The leaf biochemical parameters viz. total proteins, total carbohydrates and chlorophyll content were also significantly high (P &lt; 0.01) in Kendujuani with higher phenol content in Chandua. Commercial traits of cocoon viz. cocoon weight, shell weight, cocoon volume, shell ratio and silk filament length had significantly higher values at Kendujuani (P &lt; 0.05 to &lt; 0.001). In both the sites there was no nutrient replenishment, however, there was a difference in pattern of canopy and leaf fall. In Kendujuani, the natural nutrient cycle might have contributed to rich nutrient conditions in terms of macronutrients. This study highlights the importance of soil nutrients on the expression of commercial traits of tasar silkworm.","author":[{"dropping-particle":"","family":"Panda","given":"Sasmita","non-dropping-particle":"","parse-names":false,"suffix":""},{"dropping-particle":"","family":"Kar","given":"Prasanta Kumar","non-dropping-particle":"","parse-names":false,"suffix":""},{"dropping-particle":"","family":"Hota","given":"Debesh Shankar","non-dropping-particle":"","parse-names":false,"suffix":""},{"dropping-particle":"","family":"Satapathy","given":"Pramod Kumar","non-dropping-particle":"","parse-names":false,"suffix":""}],"container-title":"Plant Archives","id":"ITEM-2","issue":"Spl. Issue (VSOG)","issued":{"date-parts":[["2022"]]},"page":"116-121","title":"Nutrients From Soil To Host Plant Leaves and Its Impact on Commercial Traits of Tropical Tasar Silkworm","type":"article-journal","volume":"22"},"uris":["http://www.mendeley.com/documents/?uuid=9b9a3eed-3dac-4846-bc23-b749eb919d2c"]}],"mendeley":{"formattedCitation":"(Gattu et al., 2017; Panda et al., 2022)","plainTextFormattedCitation":"(Gattu et al., 2017; Panda et al., 2022)","previouslyFormattedCitation":"(Gattu et al., 2017; Panda et al., 2022)"},"properties":{"noteIndex":0},"schema":"https://github.com/citation-style-language/schema/raw/master/csl-citation.json"}</w:instrText>
      </w:r>
      <w:r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(Gattu et al., 2017; Panda et al., 2022)</w:t>
      </w:r>
      <w:r w:rsidRPr="00A33129">
        <w:rPr>
          <w:rFonts w:ascii="Times New Roman" w:hAnsi="Times New Roman" w:cs="Times New Roman"/>
          <w:sz w:val="24"/>
          <w:szCs w:val="24"/>
        </w:rPr>
        <w:fldChar w:fldCharType="end"/>
      </w:r>
      <w:r w:rsidRPr="00A33129">
        <w:rPr>
          <w:rFonts w:ascii="Times New Roman" w:hAnsi="Times New Roman" w:cs="Times New Roman"/>
          <w:sz w:val="24"/>
          <w:szCs w:val="24"/>
        </w:rPr>
        <w:t>. Important aspects of leaf quality include the host plant (leaf species identity), which differs in nutritional profile and secondary metabolites, and leaf age or condition, since younger, healthy leaves generally provide more digestible nutrients and fewer structural carbohydrates than older or senescing leaves.</w:t>
      </w:r>
    </w:p>
    <w:p w14:paraId="62D969F5" w14:textId="5EBF64E8" w:rsidR="00A36CDD" w:rsidRPr="00A33129" w:rsidRDefault="00A36CDD"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4.2.1 Nutrient content</w:t>
      </w:r>
    </w:p>
    <w:p w14:paraId="2B94DA97" w14:textId="550853D8"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Nutrient content is a major determinant of leaf quality for </w:t>
      </w:r>
      <w:r w:rsidRPr="00A33129">
        <w:rPr>
          <w:rFonts w:ascii="Times New Roman" w:hAnsi="Times New Roman" w:cs="Times New Roman"/>
          <w:i/>
          <w:iCs/>
          <w:sz w:val="24"/>
          <w:szCs w:val="24"/>
        </w:rPr>
        <w:t>A</w:t>
      </w:r>
      <w:r w:rsidR="005660A5" w:rsidRPr="00A33129">
        <w:rPr>
          <w:rFonts w:ascii="Times New Roman" w:hAnsi="Times New Roman" w:cs="Times New Roman"/>
          <w:i/>
          <w:iCs/>
          <w:sz w:val="24"/>
          <w:szCs w:val="24"/>
        </w:rPr>
        <w:t>.</w:t>
      </w:r>
      <w:r w:rsidRPr="00A33129">
        <w:rPr>
          <w:rFonts w:ascii="Times New Roman" w:hAnsi="Times New Roman" w:cs="Times New Roman"/>
          <w:i/>
          <w:iCs/>
          <w:sz w:val="24"/>
          <w:szCs w:val="24"/>
        </w:rPr>
        <w:t xml:space="preserve"> mylitta</w:t>
      </w:r>
      <w:r w:rsidRPr="00A33129">
        <w:rPr>
          <w:rFonts w:ascii="Times New Roman" w:hAnsi="Times New Roman" w:cs="Times New Roman"/>
          <w:sz w:val="24"/>
          <w:szCs w:val="24"/>
        </w:rPr>
        <w:t>, because proteins support body tissue synthesis and high-protein leaves promote faster and more efficient larval growth, while carbohydrates (mainly sugars) provide energy for maintenance and activity. The balance between proteins and carbohydrates directly affects how effectively larvae can channel energy into growth and metabolism, and lipids, though present at lower levels, are important for membrane formation and energy storage. Nutrient levels vary with host plant species and season, with Arjun leaves generally regarded as more nutritious than Sal, particularly in the early crop season.​</w:t>
      </w:r>
    </w:p>
    <w:p w14:paraId="08929373" w14:textId="047C58C6" w:rsidR="00A36CDD" w:rsidRPr="00A33129" w:rsidRDefault="00A36CDD" w:rsidP="00A36CDD">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4.2.2 Leaf maturity</w:t>
      </w:r>
    </w:p>
    <w:p w14:paraId="7A2F45EA" w14:textId="716C5A25"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Leaf maturity also plays a key role: tender leaves are preferred by early instar larvae (1st and 2nd instars) because they are softer, richer in nutrients and easier to chew and digest, whereas later instars (3rd to 5th) perform better on mature leaves that provide more </w:t>
      </w:r>
      <w:r w:rsidR="005660A5" w:rsidRPr="00A33129">
        <w:rPr>
          <w:rFonts w:ascii="Times New Roman" w:hAnsi="Times New Roman" w:cs="Times New Roman"/>
          <w:sz w:val="24"/>
          <w:szCs w:val="24"/>
        </w:rPr>
        <w:t>fibre</w:t>
      </w:r>
      <w:r w:rsidRPr="00A33129">
        <w:rPr>
          <w:rFonts w:ascii="Times New Roman" w:hAnsi="Times New Roman" w:cs="Times New Roman"/>
          <w:sz w:val="24"/>
          <w:szCs w:val="24"/>
        </w:rPr>
        <w:t xml:space="preserve"> and </w:t>
      </w:r>
      <w:r w:rsidRPr="00A33129">
        <w:rPr>
          <w:rFonts w:ascii="Times New Roman" w:hAnsi="Times New Roman" w:cs="Times New Roman"/>
          <w:sz w:val="24"/>
          <w:szCs w:val="24"/>
        </w:rPr>
        <w:lastRenderedPageBreak/>
        <w:t>structural support and are suitable for cocoon formation. This stage-specific preference helps match larval feeding capacity and nutritional demand with leaf texture and composition.​</w:t>
      </w:r>
    </w:p>
    <w:p w14:paraId="029A297B" w14:textId="769DA35B" w:rsidR="00A36CDD" w:rsidRPr="00A33129" w:rsidRDefault="00A36CDD" w:rsidP="00A36CDD">
      <w:pPr>
        <w:spacing w:after="120" w:line="360" w:lineRule="auto"/>
        <w:rPr>
          <w:rFonts w:ascii="Times New Roman" w:hAnsi="Times New Roman" w:cs="Times New Roman"/>
          <w:b/>
          <w:bCs/>
          <w:i/>
          <w:iCs/>
          <w:sz w:val="24"/>
          <w:szCs w:val="24"/>
        </w:rPr>
      </w:pPr>
      <w:r w:rsidRPr="00DB048C">
        <w:rPr>
          <w:rFonts w:ascii="Times New Roman" w:hAnsi="Times New Roman" w:cs="Times New Roman"/>
          <w:b/>
          <w:bCs/>
          <w:color w:val="FF0000"/>
          <w:sz w:val="24"/>
          <w:szCs w:val="24"/>
        </w:rPr>
        <w:t>4.2.3</w:t>
      </w:r>
      <w:r w:rsidRPr="00DB048C">
        <w:rPr>
          <w:rFonts w:ascii="Times New Roman" w:hAnsi="Times New Roman" w:cs="Times New Roman"/>
          <w:b/>
          <w:bCs/>
          <w:i/>
          <w:iCs/>
          <w:color w:val="FF0000"/>
          <w:sz w:val="24"/>
          <w:szCs w:val="24"/>
        </w:rPr>
        <w:t xml:space="preserve"> </w:t>
      </w:r>
      <w:r w:rsidRPr="00A33129">
        <w:rPr>
          <w:rFonts w:ascii="Times New Roman" w:hAnsi="Times New Roman" w:cs="Times New Roman"/>
          <w:b/>
          <w:bCs/>
          <w:i/>
          <w:iCs/>
          <w:sz w:val="24"/>
          <w:szCs w:val="24"/>
        </w:rPr>
        <w:t>Moisture content</w:t>
      </w:r>
    </w:p>
    <w:p w14:paraId="6F3616BE" w14:textId="77777777"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Moisture content of leaves strongly influences digestibility and feed efficiency, as fresh leaves with higher moisture facilitate chewing, swallowing and nutrient extraction, thereby supporting rapid growth. In contrast, dry or wilted leaves can stress larvae, reduce feed intake and slow development due to lower palatability and impaired digestion.​</w:t>
      </w:r>
    </w:p>
    <w:p w14:paraId="091366AC" w14:textId="5B39356F" w:rsidR="00A36CDD" w:rsidRPr="00A33129" w:rsidRDefault="00A36CDD" w:rsidP="00A36CDD">
      <w:pPr>
        <w:spacing w:after="120" w:line="360" w:lineRule="auto"/>
        <w:rPr>
          <w:rFonts w:ascii="Times New Roman" w:hAnsi="Times New Roman" w:cs="Times New Roman"/>
          <w:b/>
          <w:bCs/>
          <w:i/>
          <w:iCs/>
          <w:sz w:val="24"/>
          <w:szCs w:val="24"/>
        </w:rPr>
      </w:pPr>
      <w:r w:rsidRPr="00DB048C">
        <w:rPr>
          <w:rFonts w:ascii="Times New Roman" w:hAnsi="Times New Roman" w:cs="Times New Roman"/>
          <w:b/>
          <w:bCs/>
          <w:color w:val="FF0000"/>
          <w:sz w:val="24"/>
          <w:szCs w:val="24"/>
        </w:rPr>
        <w:t>4.2.4</w:t>
      </w:r>
      <w:r w:rsidRPr="00DB048C">
        <w:rPr>
          <w:rFonts w:ascii="Times New Roman" w:hAnsi="Times New Roman" w:cs="Times New Roman"/>
          <w:b/>
          <w:bCs/>
          <w:i/>
          <w:iCs/>
          <w:color w:val="FF0000"/>
          <w:sz w:val="24"/>
          <w:szCs w:val="24"/>
        </w:rPr>
        <w:t xml:space="preserve"> </w:t>
      </w:r>
      <w:r w:rsidRPr="00A33129">
        <w:rPr>
          <w:rFonts w:ascii="Times New Roman" w:hAnsi="Times New Roman" w:cs="Times New Roman"/>
          <w:b/>
          <w:bCs/>
          <w:i/>
          <w:iCs/>
          <w:sz w:val="24"/>
          <w:szCs w:val="24"/>
        </w:rPr>
        <w:t>Tannin content</w:t>
      </w:r>
    </w:p>
    <w:p w14:paraId="48569167" w14:textId="4B0A6CC4"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Tannin content is another critical factor, since some tasar host plants such as Asan and Sal possess relatively high tannin levels that can bind proteins and other nutrients, reducing their availability and potentially depressing larval growth if the levels are excessive or not properly managed. However, moderate tannin levels may contribute to plant defense without severely compromising larval performance when other nutritional qualities are </w:t>
      </w:r>
      <w:r w:rsidR="005660A5" w:rsidRPr="00A33129">
        <w:rPr>
          <w:rFonts w:ascii="Times New Roman" w:hAnsi="Times New Roman" w:cs="Times New Roman"/>
          <w:sz w:val="24"/>
          <w:szCs w:val="24"/>
        </w:rPr>
        <w:t>favourable</w:t>
      </w:r>
      <w:r w:rsidRPr="00A33129">
        <w:rPr>
          <w:rFonts w:ascii="Times New Roman" w:hAnsi="Times New Roman" w:cs="Times New Roman"/>
          <w:sz w:val="24"/>
          <w:szCs w:val="24"/>
        </w:rPr>
        <w:t>.​</w:t>
      </w:r>
    </w:p>
    <w:p w14:paraId="3C14E9BF" w14:textId="4B3E7B7A" w:rsidR="00A36CDD" w:rsidRPr="00A33129" w:rsidRDefault="00A36CDD" w:rsidP="00A36CDD">
      <w:pPr>
        <w:spacing w:after="120" w:line="360" w:lineRule="auto"/>
        <w:rPr>
          <w:rFonts w:ascii="Times New Roman" w:hAnsi="Times New Roman" w:cs="Times New Roman"/>
          <w:b/>
          <w:bCs/>
          <w:i/>
          <w:iCs/>
          <w:sz w:val="24"/>
          <w:szCs w:val="24"/>
        </w:rPr>
      </w:pPr>
      <w:r w:rsidRPr="00DB048C">
        <w:rPr>
          <w:rFonts w:ascii="Times New Roman" w:hAnsi="Times New Roman" w:cs="Times New Roman"/>
          <w:b/>
          <w:bCs/>
          <w:color w:val="FF0000"/>
          <w:sz w:val="24"/>
          <w:szCs w:val="24"/>
        </w:rPr>
        <w:t>4.2.5</w:t>
      </w:r>
      <w:r w:rsidRPr="00DB048C">
        <w:rPr>
          <w:rFonts w:ascii="Times New Roman" w:hAnsi="Times New Roman" w:cs="Times New Roman"/>
          <w:b/>
          <w:bCs/>
          <w:i/>
          <w:iCs/>
          <w:color w:val="FF0000"/>
          <w:sz w:val="24"/>
          <w:szCs w:val="24"/>
        </w:rPr>
        <w:t xml:space="preserve"> </w:t>
      </w:r>
      <w:r w:rsidRPr="00A33129">
        <w:rPr>
          <w:rFonts w:ascii="Times New Roman" w:hAnsi="Times New Roman" w:cs="Times New Roman"/>
          <w:b/>
          <w:bCs/>
          <w:i/>
          <w:iCs/>
          <w:sz w:val="24"/>
          <w:szCs w:val="24"/>
        </w:rPr>
        <w:t>Leaf surface and texture</w:t>
      </w:r>
    </w:p>
    <w:p w14:paraId="757BE9CF" w14:textId="015571F2" w:rsidR="006870F7"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Leaf surface and texture affect palatability and feeding rate, as smooth, soft leaves are more readily accepted and rapidly consumed by larvae, leading to better intake of nutrients. In contrast, hard, thick or dusty leaves tend to be avoided or eaten more slowly, which can reduce overall ingestion and thereby negatively impact growth and cocoon characteristics</w:t>
      </w:r>
      <w:r w:rsidR="005660A5" w:rsidRPr="00A33129">
        <w:rPr>
          <w:rFonts w:ascii="Times New Roman" w:hAnsi="Times New Roman" w:cs="Times New Roman"/>
          <w:sz w:val="24"/>
          <w:szCs w:val="24"/>
        </w:rPr>
        <w:t>.</w:t>
      </w:r>
    </w:p>
    <w:p w14:paraId="10542C29" w14:textId="7FEED114" w:rsidR="00A36CDD" w:rsidRPr="00A33129" w:rsidRDefault="00A36CDD" w:rsidP="00A36CDD">
      <w:pPr>
        <w:spacing w:after="120" w:line="360" w:lineRule="auto"/>
        <w:rPr>
          <w:rFonts w:ascii="Times New Roman" w:hAnsi="Times New Roman" w:cs="Times New Roman"/>
          <w:b/>
          <w:bCs/>
          <w:i/>
          <w:iCs/>
          <w:sz w:val="24"/>
          <w:szCs w:val="24"/>
        </w:rPr>
      </w:pPr>
      <w:r w:rsidRPr="00DB048C">
        <w:rPr>
          <w:rFonts w:ascii="Times New Roman" w:hAnsi="Times New Roman" w:cs="Times New Roman"/>
          <w:b/>
          <w:bCs/>
          <w:color w:val="FF0000"/>
          <w:sz w:val="24"/>
          <w:szCs w:val="24"/>
        </w:rPr>
        <w:t>4.2.6</w:t>
      </w:r>
      <w:r w:rsidRPr="00DB048C">
        <w:rPr>
          <w:rFonts w:ascii="Times New Roman" w:hAnsi="Times New Roman" w:cs="Times New Roman"/>
          <w:b/>
          <w:bCs/>
          <w:i/>
          <w:iCs/>
          <w:color w:val="FF0000"/>
          <w:sz w:val="24"/>
          <w:szCs w:val="24"/>
        </w:rPr>
        <w:t xml:space="preserve"> </w:t>
      </w:r>
      <w:r w:rsidRPr="00A33129">
        <w:rPr>
          <w:rFonts w:ascii="Times New Roman" w:hAnsi="Times New Roman" w:cs="Times New Roman"/>
          <w:b/>
          <w:bCs/>
          <w:i/>
          <w:iCs/>
          <w:sz w:val="24"/>
          <w:szCs w:val="24"/>
        </w:rPr>
        <w:t>Consequences of poor leaf quality</w:t>
      </w:r>
    </w:p>
    <w:p w14:paraId="003E98DD" w14:textId="50B0AE8F" w:rsidR="00A36CDD" w:rsidRPr="00A33129" w:rsidRDefault="00A36CDD" w:rsidP="00A36CDD">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Poor leaf quality in tasar host plants has several negative consequences for </w:t>
      </w:r>
      <w:r w:rsidRPr="00A33129">
        <w:rPr>
          <w:rFonts w:ascii="Times New Roman" w:hAnsi="Times New Roman" w:cs="Times New Roman"/>
          <w:i/>
          <w:iCs/>
          <w:sz w:val="24"/>
          <w:szCs w:val="24"/>
        </w:rPr>
        <w:t xml:space="preserve">A. </w:t>
      </w:r>
      <w:proofErr w:type="spellStart"/>
      <w:r w:rsidRPr="00A33129">
        <w:rPr>
          <w:rFonts w:ascii="Times New Roman" w:hAnsi="Times New Roman" w:cs="Times New Roman"/>
          <w:i/>
          <w:iCs/>
          <w:sz w:val="24"/>
          <w:szCs w:val="24"/>
        </w:rPr>
        <w:t>mylitta</w:t>
      </w:r>
      <w:proofErr w:type="spellEnd"/>
      <w:r w:rsidRPr="00A33129">
        <w:rPr>
          <w:rFonts w:ascii="Times New Roman" w:hAnsi="Times New Roman" w:cs="Times New Roman"/>
          <w:sz w:val="24"/>
          <w:szCs w:val="24"/>
        </w:rPr>
        <w:t xml:space="preserve"> and the </w:t>
      </w:r>
      <w:proofErr w:type="spellStart"/>
      <w:r w:rsidRPr="00A33129">
        <w:rPr>
          <w:rFonts w:ascii="Times New Roman" w:hAnsi="Times New Roman" w:cs="Times New Roman"/>
          <w:sz w:val="24"/>
          <w:szCs w:val="24"/>
        </w:rPr>
        <w:t>rearer</w:t>
      </w:r>
      <w:proofErr w:type="spellEnd"/>
      <w:r w:rsidRPr="00A33129">
        <w:rPr>
          <w:rFonts w:ascii="Times New Roman" w:hAnsi="Times New Roman" w:cs="Times New Roman"/>
          <w:sz w:val="24"/>
          <w:szCs w:val="24"/>
        </w:rPr>
        <w:t>. It reduces larval survival rates, as larvae fail to obtain sufficient nutrients to complete development. Inad</w:t>
      </w:r>
      <w:bookmarkStart w:id="1" w:name="_GoBack"/>
      <w:bookmarkEnd w:id="1"/>
      <w:r w:rsidRPr="00A33129">
        <w:rPr>
          <w:rFonts w:ascii="Times New Roman" w:hAnsi="Times New Roman" w:cs="Times New Roman"/>
          <w:sz w:val="24"/>
          <w:szCs w:val="24"/>
        </w:rPr>
        <w:t>equate or imbalanced nutrition leads to stunted growth and prolongs the larval period, increasing exposure time to environmental stress and predators. Under such stress, larvae also become more susceptible to diseases and other health disorders. As a result, cocoons are fewer, lighter and of poorer quality, leading to lower silk yield. Together, these biological impacts translate into significant economic losses for rearers due to reduced output and inferior market value of cocoons.</w:t>
      </w:r>
    </w:p>
    <w:p w14:paraId="5A7DF378" w14:textId="2777C512"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Influence on </w:t>
      </w:r>
      <w:r w:rsidR="004C4F51" w:rsidRPr="00A33129">
        <w:rPr>
          <w:rFonts w:ascii="Times New Roman" w:hAnsi="Times New Roman" w:cs="Times New Roman"/>
          <w:b/>
          <w:bCs/>
          <w:sz w:val="24"/>
          <w:szCs w:val="24"/>
        </w:rPr>
        <w:t>c</w:t>
      </w:r>
      <w:r w:rsidRPr="00A33129">
        <w:rPr>
          <w:rFonts w:ascii="Times New Roman" w:hAnsi="Times New Roman" w:cs="Times New Roman"/>
          <w:b/>
          <w:bCs/>
          <w:sz w:val="24"/>
          <w:szCs w:val="24"/>
        </w:rPr>
        <w:t xml:space="preserve">ocoon </w:t>
      </w:r>
      <w:r w:rsidR="004C4F51" w:rsidRPr="00A33129">
        <w:rPr>
          <w:rFonts w:ascii="Times New Roman" w:hAnsi="Times New Roman" w:cs="Times New Roman"/>
          <w:b/>
          <w:bCs/>
          <w:sz w:val="24"/>
          <w:szCs w:val="24"/>
        </w:rPr>
        <w:t>p</w:t>
      </w:r>
      <w:r w:rsidRPr="00A33129">
        <w:rPr>
          <w:rFonts w:ascii="Times New Roman" w:hAnsi="Times New Roman" w:cs="Times New Roman"/>
          <w:b/>
          <w:bCs/>
          <w:sz w:val="24"/>
          <w:szCs w:val="24"/>
        </w:rPr>
        <w:t>arameters</w:t>
      </w:r>
    </w:p>
    <w:p w14:paraId="48665A6A" w14:textId="6395B534" w:rsidR="00EE33E1" w:rsidRPr="00A33129" w:rsidRDefault="00A17232"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Higher cocoon quality in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is closely linked to leaf nutrient status, as cocoon weight, shell ratio and silk yield show positive correlations with key biochemical traits of foliage. Leaf macronutrients, especially nitrogen (reflected in protein content) together with balanced </w:t>
      </w:r>
      <w:r w:rsidRPr="00A33129">
        <w:rPr>
          <w:rFonts w:ascii="Times New Roman" w:hAnsi="Times New Roman" w:cs="Times New Roman"/>
          <w:sz w:val="24"/>
          <w:szCs w:val="24"/>
        </w:rPr>
        <w:lastRenderedPageBreak/>
        <w:t xml:space="preserve">carbohydrates and lipids, provide the structural and energetic basis for larval growth and silk protein synthesis, while micronutrients such as Fe, Mn, Cu and Zn support enzymatic processes and metabolism. Adequate leaf moisture content improves digestibility and feed efficiency, whereas high levels of secondary metabolites like tannins can reduce nutrient availability and hinder digestion. Studies report that when leaf nitrogen and leaf water content increase within optimal ranges, cocoon weight and shell weight rise significantly, and shell ratio may reach or exceed about 22–25% under favourable nutrition (good host plant, season and management), resulting in higher silk yield and more compact cocoon </w:t>
      </w:r>
      <w:r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DOI":"10.5829/idosi.aje.2015.8.1.85160","author":[{"dropping-particle":"","family":"Renuka","given":"G","non-dropping-particle":"","parse-names":false,"suffix":""},{"dropping-particle":"","family":"Shamitha","given":"G","non-dropping-particle":"","parse-names":false,"suffix":""}],"container-title":"Academic Journal of Entomology","id":"ITEM-1","issue":"1","issued":{"date-parts":[["2015"]]},"page":"19-23","title":"Ecology and Post-Cocoon Characters of the Ecoraces Tasar Silkworm, Antheraea mylitta","type":"article-journal","volume":"8"},"uris":["http://www.mendeley.com/documents/?uuid=9252938d-5c36-4a6e-a367-c60645579d97"]},{"id":"ITEM-2","itemData":{"DOI":"10.31018/jans.v9i1.1163","ISSN":"0974-9411","abstract":"Tasar silkworm, Antheraeamylitta Drury (Lepidoptera: Saturniidae) is one of the commercially exploited non-mulberry silkworms mainly reared outdoor on many wild plants. The ecorace of tasar silkworm occurring in cashew (Anacardiumoccidentale L.) plantations of Puttur was identified as A. mylitta KE-02. Pooled egg, larval and pupal period of tasar silkworm upon indoor rearing on cashew recorded were 6.43, 28.69 and 25.36 days, respec-tively, with the effective rate of rearing of 40 %. The average cocoon weight, pupal weight and shell weight recorded were 6.24 g, 5.30 and 1.18 g, respectively. The high shell ratio of 22.26 %, shows a healthy trend for high yielding tasar rearing on cashew. The commercial silk properties of cashew reared cocoons were assessed in comparison to silk properties of cocoons reared on Terminalia paniculata. Average filament length, average non-breakable filament length, denier, strength and elongation were found 547.2 m, 1231.6 m, 8.92 D, 1.57 gpd and 16.9 %, respectively on cashew and 518.2 m, 161.94 m, 9.13 D, 1.73 gpd and 18.7 % , respectively on T. paniculata. The present study has documented the biology of tasar silk worm on cashew and also the commercial silk properties of cocoon reared on cashew at preliminary level.","author":[{"dropping-particle":"","family":"Vanitha","given":"K.","non-dropping-particle":"","parse-names":false,"suffix":""},{"dropping-particle":"","family":"Javali","given":"U. C.","non-dropping-particle":"","parse-names":false,"suffix":""},{"dropping-particle":"","family":"Bhat","given":"P. S.","non-dropping-particle":"","parse-names":false,"suffix":""}],"container-title":"Journal of Applied and Natural Science","id":"ITEM-2","issue":"1","issued":{"date-parts":[["2017"]]},"page":"150-155","title":"Rearing performance of tropical Tasar silkworm (Antheraea mylitta Drury) on Cashew (Anacardium occidentale L.) and its commercial silk properties","type":"article-journal","volume":"9"},"uris":["http://www.mendeley.com/documents/?uuid=9d1dbb30-dd43-430f-8929-3b7ef8377fd9"]}],"mendeley":{"formattedCitation":"(Renuka &amp; Shamitha, 2015a; Vanitha et al., 2017)","plainTextFormattedCitation":"(Renuka &amp; Shamitha, 2015a; Vanitha et al., 2017)","previouslyFormattedCitation":"(Renuka &amp; Shamitha, 2015a; Vanitha et al., 2017)"},"properties":{"noteIndex":0},"schema":"https://github.com/citation-style-language/schema/raw/master/csl-citation.json"}</w:instrText>
      </w:r>
      <w:r w:rsidRPr="00A33129">
        <w:rPr>
          <w:rFonts w:ascii="Times New Roman" w:hAnsi="Times New Roman" w:cs="Times New Roman"/>
          <w:sz w:val="24"/>
          <w:szCs w:val="24"/>
        </w:rPr>
        <w:fldChar w:fldCharType="separate"/>
      </w:r>
      <w:r w:rsidRPr="00A33129">
        <w:rPr>
          <w:rFonts w:ascii="Times New Roman" w:hAnsi="Times New Roman" w:cs="Times New Roman"/>
          <w:noProof/>
          <w:sz w:val="24"/>
          <w:szCs w:val="24"/>
        </w:rPr>
        <w:t>(Renuka &amp; Shamitha, 2015a; Vanitha et al., 2017)</w:t>
      </w:r>
      <w:r w:rsidRPr="00A33129">
        <w:rPr>
          <w:rFonts w:ascii="Times New Roman" w:hAnsi="Times New Roman" w:cs="Times New Roman"/>
          <w:sz w:val="24"/>
          <w:szCs w:val="24"/>
        </w:rPr>
        <w:fldChar w:fldCharType="end"/>
      </w:r>
      <w:r w:rsidR="005660A5" w:rsidRPr="00A33129">
        <w:rPr>
          <w:rFonts w:ascii="Times New Roman" w:hAnsi="Times New Roman" w:cs="Times New Roman"/>
          <w:sz w:val="24"/>
          <w:szCs w:val="24"/>
        </w:rPr>
        <w:t>.</w:t>
      </w:r>
    </w:p>
    <w:p w14:paraId="2CF22A12" w14:textId="2126B961"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5.1</w:t>
      </w:r>
      <w:r w:rsidR="00A17232"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Correlation between nutrient levels and cocoon weight, shell ratio, silk yield</w:t>
      </w:r>
    </w:p>
    <w:p w14:paraId="77764E29" w14:textId="44600800" w:rsidR="00F62E69" w:rsidRPr="00A33129" w:rsidRDefault="00F62E69" w:rsidP="00F62E69">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5.1.1 Correlation data for A. mylitta performance of BDR-10 rare in different agroclimatic zones</w:t>
      </w:r>
    </w:p>
    <w:p w14:paraId="4A09FDEE" w14:textId="2EAAEBB1" w:rsidR="00EE33E1"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3F4822" w:rsidRPr="00A33129">
        <w:rPr>
          <w:rFonts w:ascii="Times New Roman" w:hAnsi="Times New Roman" w:cs="Times New Roman"/>
          <w:sz w:val="24"/>
          <w:szCs w:val="24"/>
        </w:rPr>
        <w:fldChar w:fldCharType="begin" w:fldLock="1"/>
      </w:r>
      <w:r w:rsidR="003F4822" w:rsidRPr="00A33129">
        <w:rPr>
          <w:rFonts w:ascii="Times New Roman" w:hAnsi="Times New Roman" w:cs="Times New Roman"/>
          <w:sz w:val="24"/>
          <w:szCs w:val="24"/>
        </w:rPr>
        <w:instrText>ADDIN CSL_CITATION {"citationItems":[{"id":"ITEM-1","itemData":{"author":[{"dropping-particle":"","family":"Chandrashekharaiah","given":"M.","non-dropping-particle":"","parse-names":false,"suffix":""},{"dropping-particle":"","family":"Rathore","given":"MS","non-dropping-particle":"","parse-names":false,"suffix":""},{"dropping-particle":"","family":"Sinha","given":"RB","non-dropping-particle":"","parse-names":false,"suffix":""}],"container-title":"Journal of Pharmacognosy and Phytochemistry","id":"ITEM-1","issue":"6","issued":{"date-parts":[["2019"]]},"page":"274-277","title":"Performance of BDR-10 A newly authorized race of Antheraea mylitta D. in different agro climatic zones in India","type":"article-journal","volume":"8"},"uris":["http://www.mendeley.com/documents/?uuid=44329344-481c-4472-a006-afdba3dd973b"]}],"mendeley":{"formattedCitation":"(Chandrashekharaiah et al., 2019)","manualFormatting":"Chandrashekharaiah et al., (2019)","plainTextFormattedCitation":"(Chandrashekharaiah et al., 2019)","previouslyFormattedCitation":"(Chandrashekharaiah et al., 2019)"},"properties":{"noteIndex":0},"schema":"https://github.com/citation-style-language/schema/raw/master/csl-citation.json"}</w:instrText>
      </w:r>
      <w:r w:rsidR="003F4822"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Chandrashekharaiah et al., (2019)</w:t>
      </w:r>
      <w:r w:rsidR="003F4822"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evaluated the tasar ecorace BDR‑10 across different zones and reported that cocoon, pupal and shell weights varied approximately from 9.59 to 14.00 g for cocoons, 9.60 to 12.28 g for pupae and 1.50 to 1.95 g for shells, reflecting substantial environmental influence on these traits. They observed positive correlations between cocoon and shell weight, cocoon and pupal weight and pupal and shell weight, indicating that improvement in one trait is generally associated with improvement in the others. In contrast, altitude exerted a negative effect on cocoon weight, pupal weight, shell weight and shell ratio, meaning that these economically important parameters declined as elevation increased in their data set. </w:t>
      </w:r>
    </w:p>
    <w:p w14:paraId="45F274F8" w14:textId="45E88A3C" w:rsidR="00C074CA"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5.1.2 RAP</w:t>
      </w:r>
      <w:r w:rsidR="0095143E" w:rsidRPr="00A33129">
        <w:rPr>
          <w:rFonts w:ascii="Times New Roman" w:hAnsi="Times New Roman" w:cs="Times New Roman"/>
          <w:b/>
          <w:bCs/>
          <w:i/>
          <w:iCs/>
          <w:sz w:val="24"/>
          <w:szCs w:val="24"/>
        </w:rPr>
        <w:t>D</w:t>
      </w:r>
      <w:r w:rsidRPr="00A33129">
        <w:rPr>
          <w:rFonts w:ascii="Times New Roman" w:hAnsi="Times New Roman" w:cs="Times New Roman"/>
          <w:b/>
          <w:bCs/>
          <w:i/>
          <w:iCs/>
          <w:sz w:val="24"/>
          <w:szCs w:val="24"/>
        </w:rPr>
        <w:t>/SCAR marker study comparing high low cocoon/shell weigh</w:t>
      </w:r>
      <w:r w:rsidR="0095143E" w:rsidRPr="00A33129">
        <w:rPr>
          <w:rFonts w:ascii="Times New Roman" w:hAnsi="Times New Roman" w:cs="Times New Roman"/>
          <w:b/>
          <w:bCs/>
          <w:i/>
          <w:iCs/>
          <w:sz w:val="24"/>
          <w:szCs w:val="24"/>
        </w:rPr>
        <w:t>t</w:t>
      </w:r>
      <w:r w:rsidRPr="00A33129">
        <w:rPr>
          <w:rFonts w:ascii="Times New Roman" w:hAnsi="Times New Roman" w:cs="Times New Roman"/>
          <w:b/>
          <w:bCs/>
          <w:i/>
          <w:iCs/>
          <w:sz w:val="24"/>
          <w:szCs w:val="24"/>
        </w:rPr>
        <w:t xml:space="preserve"> </w:t>
      </w:r>
    </w:p>
    <w:p w14:paraId="321E04AA" w14:textId="6C175A06"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3F4822" w:rsidRPr="00A33129">
        <w:rPr>
          <w:rFonts w:ascii="Times New Roman" w:hAnsi="Times New Roman" w:cs="Times New Roman"/>
          <w:sz w:val="24"/>
          <w:szCs w:val="24"/>
        </w:rPr>
        <w:t xml:space="preserve">A RAPD/SCAR marker study by </w:t>
      </w:r>
      <w:r w:rsidR="003F4822"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{"citationItems":[{"id":"ITEM-1","itemData":{"author":[{"dropping-particle":"","family":"Dutta","given":"Suhrid R","non-dropping-particle":"","parse-names":false,"suffix":""},{"dropping-particle":"","family":"Kar","given":"Prasanta K","non-dropping-particle":"","parse-names":false,"suffix":""},{"dropping-particle":"","family":"Srivastava","given":"Ashok K","non-dropping-particle":"","parse-names":false,"suffix":""},{"dropping-particle":"","family":"Sinha","given":"Manoj K","non-dropping-particle":"","parse-names":false,"suffix":""},{"dropping-particle":"","family":"Shankar","given":"Jai","non-dropping-particle":"","parse-names":false,"suffix":""},{"dropping-particle":"","family":"Ghosh","given":"Ananta K","non-dropping-particle":"","parse-names":false,"suffix":""}],"container-title":"Genetics and Molecular Biology","id":"ITEM-1","issue":"4","issued":{"date-parts":[["2012"]]},"page":"743-751","title":"Identification of RAPD and SCAR markers associated with yield traits in the Indian tropical tasar silkworm Antheraea mylitta drury","type":"article-journal","volume":"35"},"uris":["http://www.mendeley.com/documents/?uuid=ff2175ad-20fd-4091-89ce-9e8dcab9ff9e"]}],"mendeley":{"formattedCitation":"(S. R. Dutta et al., 2012)","manualFormatting":"Dutta et al., (2012)","plainTextFormattedCitation":"(S. R. Dutta et al., 2012)","previouslyFormattedCitation":"(S. R. Dutta et al., 2012)"},"properties":{"noteIndex":0},"schema":"https://github.com/citation-style-language/schema/raw/master/csl-citation.json"}</w:instrText>
      </w:r>
      <w:r w:rsidR="003F4822" w:rsidRPr="00A33129">
        <w:rPr>
          <w:rFonts w:ascii="Times New Roman" w:hAnsi="Times New Roman" w:cs="Times New Roman"/>
          <w:sz w:val="24"/>
          <w:szCs w:val="24"/>
        </w:rPr>
        <w:fldChar w:fldCharType="separate"/>
      </w:r>
      <w:r w:rsidR="003F4822" w:rsidRPr="00A33129">
        <w:rPr>
          <w:rFonts w:ascii="Times New Roman" w:hAnsi="Times New Roman" w:cs="Times New Roman"/>
          <w:noProof/>
          <w:sz w:val="24"/>
          <w:szCs w:val="24"/>
        </w:rPr>
        <w:t xml:space="preserve">Dutta et al., </w:t>
      </w:r>
      <w:r w:rsidR="009928D9" w:rsidRPr="00A33129">
        <w:rPr>
          <w:rFonts w:ascii="Times New Roman" w:hAnsi="Times New Roman" w:cs="Times New Roman"/>
          <w:noProof/>
          <w:sz w:val="24"/>
          <w:szCs w:val="24"/>
        </w:rPr>
        <w:t>(</w:t>
      </w:r>
      <w:r w:rsidR="003F4822" w:rsidRPr="00A33129">
        <w:rPr>
          <w:rFonts w:ascii="Times New Roman" w:hAnsi="Times New Roman" w:cs="Times New Roman"/>
          <w:noProof/>
          <w:sz w:val="24"/>
          <w:szCs w:val="24"/>
        </w:rPr>
        <w:t>2012)</w:t>
      </w:r>
      <w:r w:rsidR="003F4822" w:rsidRPr="00A33129">
        <w:rPr>
          <w:rFonts w:ascii="Times New Roman" w:hAnsi="Times New Roman" w:cs="Times New Roman"/>
          <w:sz w:val="24"/>
          <w:szCs w:val="24"/>
        </w:rPr>
        <w:fldChar w:fldCharType="end"/>
      </w:r>
      <w:r w:rsidR="003F4822" w:rsidRPr="00A33129">
        <w:rPr>
          <w:rFonts w:ascii="Times New Roman" w:hAnsi="Times New Roman" w:cs="Times New Roman"/>
          <w:sz w:val="24"/>
          <w:szCs w:val="24"/>
        </w:rPr>
        <w:t xml:space="preserve"> compared high and low cocoon/shell weight lines in Indian tropical tasar silkworm. They classified strains into a high cocoon and shell weight group (HCSW) and a low cocoon and shell weight group (LCSW). In the parental HCSW line, mean cocoon weight was about 14.52 ± 0.87 g and shell weight 2.53 ± 0.38 g, whereas in the LCSW line cocoon weight was around 9.31 ± 0.25 g and shell weight 0.85 ± 0.23 g. The F₂ population showed intermediate means of 11.32 ± 0.27 g for cocoon weight and 1.53 ± 0.31 g for shell weight. These results demonstrate substantial genetic variation in cocoon and shell weight under comparable rearing conditions, likely interacting with host plant nutrition and larval nutrient-use efficiency.</w:t>
      </w:r>
    </w:p>
    <w:p w14:paraId="3CC93F66" w14:textId="77777777" w:rsidR="0095143E" w:rsidRPr="00A33129" w:rsidRDefault="0095143E" w:rsidP="00AC4D17">
      <w:pPr>
        <w:spacing w:after="120" w:line="360" w:lineRule="auto"/>
        <w:rPr>
          <w:rFonts w:ascii="Times New Roman" w:hAnsi="Times New Roman" w:cs="Times New Roman"/>
          <w:b/>
          <w:bCs/>
          <w:i/>
          <w:iCs/>
          <w:sz w:val="24"/>
          <w:szCs w:val="24"/>
        </w:rPr>
      </w:pPr>
    </w:p>
    <w:p w14:paraId="01029845" w14:textId="09F2A5A4"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lastRenderedPageBreak/>
        <w:t>5.1.3 Consumption of fresh terminalia leaf vs leaf cocoon ration</w:t>
      </w:r>
    </w:p>
    <w:p w14:paraId="560C4942" w14:textId="2713A2A6"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418DF"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{"citationItems":[{"id":"ITEM-1","itemData":{"author":[{"dropping-particle":"","family":"Dash","given":"Amulya Kumar","non-dropping-particle":"","parse-names":false,"suffix":""},{"dropping-particle":"","family":"Jena","given":"Urbasi Rani","non-dropping-particle":"","parse-names":false,"suffix":""},{"dropping-particle":"","family":"Behera","given":"and Bhaskar","non-dropping-particle":"","parse-names":false,"suffix":""}],"container-title":"International Journal of Advanced Research (IJAR)","id":"ITEM-1","issue":"8","issued":{"date-parts":[["2016"]]},"page":"666-668","title":"CONSUMPTION OF FRESH LEAF OF TERMINALIA ARJUNA AND LEAF – COCOON RATIO OF INDIAN TASAR SILK WORM ANTHERAEA MYLITTA DRURY","type":"article-journal","volume":"4"},"uris":["http://www.mendeley.com/documents/?uuid=f9372c1a-e6e3-4e7a-af55-bdc2cebef7d6"]}],"mendeley":{"formattedCitation":"(Dash et al., 2016)","manualFormatting":"Dash et al., (2016)","plainTextFormattedCitation":"(Dash et al., 2016)","previouslyFormattedCitation":"(Dash et al., 2016)"},"properties":{"noteIndex":0},"schema":"https://github.com/citation-style-language/schema/raw/master/csl-citation.json"}</w:instrText>
      </w:r>
      <w:r w:rsidR="00A418DF"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Dash et al., (2016)</w:t>
      </w:r>
      <w:r w:rsidR="00A418DF"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measured the relationship between fresh </w:t>
      </w:r>
      <w:r w:rsidR="00A418DF" w:rsidRPr="00A33129">
        <w:rPr>
          <w:rFonts w:ascii="Times New Roman" w:hAnsi="Times New Roman" w:cs="Times New Roman"/>
          <w:i/>
          <w:iCs/>
          <w:sz w:val="24"/>
          <w:szCs w:val="24"/>
        </w:rPr>
        <w:t xml:space="preserve">Terminalia </w:t>
      </w:r>
      <w:r w:rsidR="00A418DF" w:rsidRPr="00A33129">
        <w:rPr>
          <w:rFonts w:ascii="Times New Roman" w:hAnsi="Times New Roman" w:cs="Times New Roman"/>
          <w:sz w:val="24"/>
          <w:szCs w:val="24"/>
        </w:rPr>
        <w:t xml:space="preserve">foliage intake and cocoon production by measuring total fresh leaf consumption per larva and calculating the leaf-cocoon ratio. They reported that about 136.31 g of fresh </w:t>
      </w:r>
      <w:r w:rsidR="00A418DF" w:rsidRPr="00A33129">
        <w:rPr>
          <w:rFonts w:ascii="Times New Roman" w:hAnsi="Times New Roman" w:cs="Times New Roman"/>
          <w:i/>
          <w:iCs/>
          <w:sz w:val="24"/>
          <w:szCs w:val="24"/>
        </w:rPr>
        <w:t>T. arjuna</w:t>
      </w:r>
      <w:r w:rsidR="00A418DF" w:rsidRPr="00A33129">
        <w:rPr>
          <w:rFonts w:ascii="Times New Roman" w:hAnsi="Times New Roman" w:cs="Times New Roman"/>
          <w:sz w:val="24"/>
          <w:szCs w:val="24"/>
        </w:rPr>
        <w:t xml:space="preserve"> leaves were required to produce a single tasar cocoon, providing a coarse conversion index between leaf biomass input and cocoon output under their experimental conditions. This ratio is useful for estimating foliage requirements and planning host plant resources, although it does not directly link leaf nutrient concentration or biochemical composition to specific cocoon traits such as shell ratio, filament length or silk quality.</w:t>
      </w:r>
    </w:p>
    <w:p w14:paraId="70EF41D8" w14:textId="57B375B5" w:rsidR="003F4822" w:rsidRPr="00A33129" w:rsidRDefault="003F4822" w:rsidP="00AC4D17">
      <w:pPr>
        <w:spacing w:after="120" w:line="360" w:lineRule="auto"/>
        <w:rPr>
          <w:rFonts w:ascii="Times New Roman" w:hAnsi="Times New Roman" w:cs="Times New Roman"/>
          <w:b/>
          <w:bCs/>
          <w:i/>
          <w:iCs/>
          <w:sz w:val="24"/>
          <w:szCs w:val="24"/>
        </w:rPr>
      </w:pPr>
      <w:r w:rsidRPr="00A33129">
        <w:rPr>
          <w:rFonts w:ascii="Times New Roman" w:hAnsi="Times New Roman" w:cs="Times New Roman"/>
          <w:b/>
          <w:bCs/>
          <w:i/>
          <w:iCs/>
          <w:sz w:val="24"/>
          <w:szCs w:val="24"/>
        </w:rPr>
        <w:t>5.1.4 Attitude specific leaf quality study (</w:t>
      </w:r>
      <w:proofErr w:type="spellStart"/>
      <w:r w:rsidRPr="00A33129">
        <w:rPr>
          <w:rFonts w:ascii="Times New Roman" w:hAnsi="Times New Roman" w:cs="Times New Roman"/>
          <w:b/>
          <w:bCs/>
          <w:i/>
          <w:iCs/>
          <w:sz w:val="24"/>
          <w:szCs w:val="24"/>
        </w:rPr>
        <w:t>odisha</w:t>
      </w:r>
      <w:proofErr w:type="spellEnd"/>
      <w:r w:rsidRPr="00A33129">
        <w:rPr>
          <w:rFonts w:ascii="Times New Roman" w:hAnsi="Times New Roman" w:cs="Times New Roman"/>
          <w:b/>
          <w:bCs/>
          <w:i/>
          <w:iCs/>
          <w:sz w:val="24"/>
          <w:szCs w:val="24"/>
        </w:rPr>
        <w:t xml:space="preserve"> host plant </w:t>
      </w:r>
      <w:proofErr w:type="spellStart"/>
      <w:r w:rsidRPr="00A33129">
        <w:rPr>
          <w:rFonts w:ascii="Times New Roman" w:hAnsi="Times New Roman" w:cs="Times New Roman"/>
          <w:b/>
          <w:bCs/>
          <w:i/>
          <w:iCs/>
          <w:sz w:val="24"/>
          <w:szCs w:val="24"/>
        </w:rPr>
        <w:t>asan</w:t>
      </w:r>
      <w:proofErr w:type="spellEnd"/>
      <w:r w:rsidRPr="00A33129">
        <w:rPr>
          <w:rFonts w:ascii="Times New Roman" w:hAnsi="Times New Roman" w:cs="Times New Roman"/>
          <w:b/>
          <w:bCs/>
          <w:i/>
          <w:iCs/>
          <w:sz w:val="24"/>
          <w:szCs w:val="24"/>
        </w:rPr>
        <w:t xml:space="preserve"> and arjun)</w:t>
      </w:r>
    </w:p>
    <w:p w14:paraId="0DC9D52B" w14:textId="648F1C31" w:rsidR="003F4822" w:rsidRPr="00A33129" w:rsidRDefault="0095143E"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418DF" w:rsidRPr="00A33129">
        <w:rPr>
          <w:rFonts w:ascii="Times New Roman" w:hAnsi="Times New Roman" w:cs="Times New Roman"/>
          <w:sz w:val="24"/>
          <w:szCs w:val="24"/>
        </w:rPr>
        <w:fldChar w:fldCharType="begin" w:fldLock="1"/>
      </w:r>
      <w:r w:rsidR="00A418DF" w:rsidRPr="00A33129">
        <w:rPr>
          <w:rFonts w:ascii="Times New Roman" w:hAnsi="Times New Roman" w:cs="Times New Roman"/>
          <w:sz w:val="24"/>
          <w:szCs w:val="24"/>
        </w:rPr>
        <w:instrText>ADDIN CSL_CITATION {"citationItems":[{"id":"ITEM-1","itemData":{"DOI":"10.33307/entomon.v47i4.795","ISSN":"0377-9335","abstract":"Altitudinal variation and role of leaf nutrients in the host plants of tasar silkworm Anthraea mylitta Drury (Lepidoptera, Saturniidae) influences, the rearing, grainage and quantitative traits of tasar and in the quality of cocoon formed. The present works analysed the nutritional status of the tasar host plant leaves of asan (Terminalia tomentosa) and arjun (T. arjuna) collected from Kendujuani (508 m ASL), Mudrajodi (223 m ASL) and Kuliana (64 m ASL) in the district of Mayurbhanj, in Similipal Biosphre Reserve, Odisha. The study revealed that, nutritional value of asan leaves is better at a higher altitude (Kendujuani). The concentration of ascorbic acid in the leaves of asan and arjun was found higher in the leaves from Kendujuani.","author":[{"dropping-particle":"","family":"Mohapatra","given":"Sucheta","non-dropping-particle":"","parse-names":false,"suffix":""},{"dropping-particle":"","family":"Mohanty","given":"Nakulananda","non-dropping-particle":"","parse-names":false,"suffix":""},{"dropping-particle":"","family":"Kar","given":"Prasanta Kumar","non-dropping-particle":"","parse-names":false,"suffix":""}],"container-title":"Entomon","id":"ITEM-1","issue":"4","issued":{"date-parts":[["2022"]]},"page":"421-424","title":"Altitude specific leaf quality in the host plants of tasar silkworm Anthraea mylitta Drury (Lepidoptera, Saturniidae) in Similipal Biosphere Reserve, Odisha, India","type":"article-journal","volume":"47"},"uris":["http://www.mendeley.com/documents/?uuid=2b35eaa3-b8c0-4f7e-8a76-fd7859edc199"]}],"mendeley":{"formattedCitation":"(Mohapatra et al., 2022)","plainTextFormattedCitation":"(Mohapatra et al., 2022)"},"properties":{"noteIndex":0},"schema":"https://github.com/citation-style-language/schema/raw/master/csl-citation.json"}</w:instrText>
      </w:r>
      <w:r w:rsidR="00A418DF"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szCs w:val="24"/>
        </w:rPr>
        <w:t>Mohapatra et al., (2022)</w:t>
      </w:r>
      <w:r w:rsidR="00A418DF" w:rsidRPr="00A33129">
        <w:rPr>
          <w:rFonts w:ascii="Times New Roman" w:hAnsi="Times New Roman" w:cs="Times New Roman"/>
          <w:sz w:val="24"/>
          <w:szCs w:val="24"/>
        </w:rPr>
        <w:fldChar w:fldCharType="end"/>
      </w:r>
      <w:r w:rsidR="00A418DF" w:rsidRPr="00A33129">
        <w:rPr>
          <w:rFonts w:ascii="Times New Roman" w:hAnsi="Times New Roman" w:cs="Times New Roman"/>
          <w:sz w:val="24"/>
          <w:szCs w:val="24"/>
        </w:rPr>
        <w:t xml:space="preserve"> investigated how altitude influences leaf nutrient quality of T</w:t>
      </w:r>
      <w:r w:rsidR="00A418DF" w:rsidRPr="00A33129">
        <w:rPr>
          <w:rFonts w:ascii="Times New Roman" w:hAnsi="Times New Roman" w:cs="Times New Roman"/>
          <w:i/>
          <w:iCs/>
          <w:sz w:val="24"/>
          <w:szCs w:val="24"/>
        </w:rPr>
        <w:t xml:space="preserve">. tomentosa </w:t>
      </w:r>
      <w:r w:rsidR="00A418DF" w:rsidRPr="00A33129">
        <w:rPr>
          <w:rFonts w:ascii="Times New Roman" w:hAnsi="Times New Roman" w:cs="Times New Roman"/>
          <w:sz w:val="24"/>
          <w:szCs w:val="24"/>
        </w:rPr>
        <w:t>and</w:t>
      </w:r>
      <w:r w:rsidR="00A418DF" w:rsidRPr="00A33129">
        <w:rPr>
          <w:rFonts w:ascii="Times New Roman" w:hAnsi="Times New Roman" w:cs="Times New Roman"/>
          <w:i/>
          <w:iCs/>
          <w:sz w:val="24"/>
          <w:szCs w:val="24"/>
        </w:rPr>
        <w:t xml:space="preserve"> T. arjuna</w:t>
      </w:r>
      <w:r w:rsidR="00A418DF" w:rsidRPr="00A33129">
        <w:rPr>
          <w:rFonts w:ascii="Times New Roman" w:hAnsi="Times New Roman" w:cs="Times New Roman"/>
          <w:sz w:val="24"/>
          <w:szCs w:val="24"/>
        </w:rPr>
        <w:t xml:space="preserve"> in Odisha and related this to tasar rearing performance and cocoon traits. They observed that leaves collected from higher altitudes had superior nutritional status, reflected in improved leaf biochemical parameters, and that these nutritionally richer leaves supported better larval performance and enhanced cocoon characteristics compared with lower-altitude sites. </w:t>
      </w:r>
    </w:p>
    <w:p w14:paraId="6144C875" w14:textId="1B210F5C"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 xml:space="preserve">Research </w:t>
      </w:r>
      <w:r w:rsidR="00EE33E1" w:rsidRPr="00A33129">
        <w:rPr>
          <w:rFonts w:ascii="Times New Roman" w:hAnsi="Times New Roman" w:cs="Times New Roman"/>
          <w:b/>
          <w:bCs/>
          <w:sz w:val="24"/>
          <w:szCs w:val="24"/>
        </w:rPr>
        <w:t>g</w:t>
      </w:r>
      <w:r w:rsidRPr="00A33129">
        <w:rPr>
          <w:rFonts w:ascii="Times New Roman" w:hAnsi="Times New Roman" w:cs="Times New Roman"/>
          <w:b/>
          <w:bCs/>
          <w:sz w:val="24"/>
          <w:szCs w:val="24"/>
        </w:rPr>
        <w:t xml:space="preserve">aps and </w:t>
      </w:r>
      <w:r w:rsidR="00EE33E1" w:rsidRPr="00A33129">
        <w:rPr>
          <w:rFonts w:ascii="Times New Roman" w:hAnsi="Times New Roman" w:cs="Times New Roman"/>
          <w:b/>
          <w:bCs/>
          <w:sz w:val="24"/>
          <w:szCs w:val="24"/>
        </w:rPr>
        <w:t>f</w:t>
      </w:r>
      <w:r w:rsidRPr="00A33129">
        <w:rPr>
          <w:rFonts w:ascii="Times New Roman" w:hAnsi="Times New Roman" w:cs="Times New Roman"/>
          <w:b/>
          <w:bCs/>
          <w:sz w:val="24"/>
          <w:szCs w:val="24"/>
        </w:rPr>
        <w:t xml:space="preserve">uture </w:t>
      </w:r>
      <w:r w:rsidR="00EE33E1" w:rsidRPr="00A33129">
        <w:rPr>
          <w:rFonts w:ascii="Times New Roman" w:hAnsi="Times New Roman" w:cs="Times New Roman"/>
          <w:b/>
          <w:bCs/>
          <w:sz w:val="24"/>
          <w:szCs w:val="24"/>
        </w:rPr>
        <w:t>d</w:t>
      </w:r>
      <w:r w:rsidRPr="00A33129">
        <w:rPr>
          <w:rFonts w:ascii="Times New Roman" w:hAnsi="Times New Roman" w:cs="Times New Roman"/>
          <w:b/>
          <w:bCs/>
          <w:sz w:val="24"/>
          <w:szCs w:val="24"/>
        </w:rPr>
        <w:t>irections</w:t>
      </w:r>
    </w:p>
    <w:p w14:paraId="26CB1B21" w14:textId="57C06BDE"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6.1</w:t>
      </w:r>
      <w:r w:rsidR="00EE33E1" w:rsidRPr="00A33129">
        <w:rPr>
          <w:rFonts w:ascii="Times New Roman" w:hAnsi="Times New Roman" w:cs="Times New Roman"/>
          <w:b/>
          <w:bCs/>
          <w:sz w:val="24"/>
          <w:szCs w:val="24"/>
        </w:rPr>
        <w:t xml:space="preserve"> </w:t>
      </w:r>
      <w:r w:rsidRPr="00A33129">
        <w:rPr>
          <w:rFonts w:ascii="Times New Roman" w:hAnsi="Times New Roman" w:cs="Times New Roman"/>
          <w:b/>
          <w:bCs/>
          <w:sz w:val="24"/>
          <w:szCs w:val="24"/>
        </w:rPr>
        <w:t>Limitations in current studies</w:t>
      </w:r>
    </w:p>
    <w:p w14:paraId="305235AD" w14:textId="33338616" w:rsidR="00A64471" w:rsidRPr="00A33129" w:rsidRDefault="004C4F51" w:rsidP="004C4F51">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Current studies on tasar sericulture reveal several biological, environmental, technical and socio-economic limitations that create clear research gaps and future directions. Tasar silkworms remain heavily dependent on forest-based host plants such as Asan and Sal, restricting large-scale, year-round production and making yields highly seasonal and location-specific. Climatic vulnerability is marked, as temperature, humidity, rainfall variability, drought, heavy rain and deforestation can drastically reduce cocoon yield, yet systematic climate-resilience studies and adaptive rearing protocols are limited. Semi-domesticated status, high disease incidence (</w:t>
      </w:r>
      <w:proofErr w:type="spellStart"/>
      <w:r w:rsidRPr="00A33129">
        <w:rPr>
          <w:rFonts w:ascii="Times New Roman" w:hAnsi="Times New Roman" w:cs="Times New Roman"/>
          <w:sz w:val="24"/>
          <w:szCs w:val="24"/>
        </w:rPr>
        <w:t>urosis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bacteriosis</w:t>
      </w:r>
      <w:proofErr w:type="spellEnd"/>
      <w:r w:rsidRPr="00A33129">
        <w:rPr>
          <w:rFonts w:ascii="Times New Roman" w:hAnsi="Times New Roman" w:cs="Times New Roman"/>
          <w:sz w:val="24"/>
          <w:szCs w:val="24"/>
        </w:rPr>
        <w:t xml:space="preserve">, </w:t>
      </w:r>
      <w:proofErr w:type="spellStart"/>
      <w:r w:rsidRPr="00A33129">
        <w:rPr>
          <w:rFonts w:ascii="Times New Roman" w:hAnsi="Times New Roman" w:cs="Times New Roman"/>
          <w:sz w:val="24"/>
          <w:szCs w:val="24"/>
        </w:rPr>
        <w:t>pebrine</w:t>
      </w:r>
      <w:proofErr w:type="spellEnd"/>
      <w:r w:rsidRPr="00A33129">
        <w:rPr>
          <w:rFonts w:ascii="Times New Roman" w:hAnsi="Times New Roman" w:cs="Times New Roman"/>
          <w:sz w:val="24"/>
          <w:szCs w:val="24"/>
        </w:rPr>
        <w:t xml:space="preserve">, fungal infections), and dependence on traditional, labour-intensive methods contribute to high production risk, low efficiency and variable quality, while research on improved seed technology, health management and mechanization remains inadequate. Technically, low cocoon yield per rearing cycle and difficult reeling due to hard, pedunculated cocoons constrain silk recovery, but optimized reeling technologies for wild silk are still underdeveloped. Market and economic restrictions, such as price fluctuations, inadequate marketing channels, limited </w:t>
      </w:r>
      <w:r w:rsidRPr="00A33129">
        <w:rPr>
          <w:rFonts w:ascii="Times New Roman" w:hAnsi="Times New Roman" w:cs="Times New Roman"/>
          <w:sz w:val="24"/>
          <w:szCs w:val="24"/>
        </w:rPr>
        <w:lastRenderedPageBreak/>
        <w:t xml:space="preserve">access to financing, and deficient infrastructure, are acknowledged but inadequately addressed in integrated value-chain or livelihood studies. Sustainability gaps include limited work on the ecological impacts of overharvesting, host plant regeneration and biodiversity conservation. </w:t>
      </w:r>
    </w:p>
    <w:p w14:paraId="58DC86AC" w14:textId="77777777" w:rsidR="00AC4D17" w:rsidRPr="00A33129" w:rsidRDefault="00AC4D17"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6.2 Recommendations for future research</w:t>
      </w:r>
    </w:p>
    <w:p w14:paraId="1DA8CA64" w14:textId="32CF92FD" w:rsidR="00A6447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B931D5" w:rsidRPr="00A33129">
        <w:rPr>
          <w:rFonts w:ascii="Times New Roman" w:hAnsi="Times New Roman" w:cs="Times New Roman"/>
          <w:sz w:val="24"/>
          <w:szCs w:val="24"/>
        </w:rPr>
        <w:t>The sericulture industry should follow an integrated, multi‑scale framework spanning genes to ecosystems. Priority should be given to genotype-environment interaction studies across locations and fertility gradients to relate soil properties, leaf nutrient profiles and cocoon traits, and to identify ecoraces with stable performance. Work must move beyond NPK to include secondary nutrients and micronutrients, using long</w:t>
      </w:r>
      <w:r w:rsidR="004C4F51" w:rsidRPr="00A33129">
        <w:rPr>
          <w:rFonts w:ascii="Times New Roman" w:hAnsi="Times New Roman" w:cs="Times New Roman"/>
          <w:sz w:val="24"/>
          <w:szCs w:val="24"/>
        </w:rPr>
        <w:t>-</w:t>
      </w:r>
      <w:r w:rsidR="00B931D5" w:rsidRPr="00A33129">
        <w:rPr>
          <w:rFonts w:ascii="Times New Roman" w:hAnsi="Times New Roman" w:cs="Times New Roman"/>
          <w:sz w:val="24"/>
          <w:szCs w:val="24"/>
        </w:rPr>
        <w:t>term trials with organic amendments, biofertilizers and site‑specific nutrient management to link soil organic carbon, pH and nutrient availability with foliage quality and cocoon yield stability. Parallel advances in molecular breeding should target markers for cocoon weight, shell ratio, denier and silk yield, while detailed host plant-silkworm interaction studies refine agro</w:t>
      </w:r>
      <w:r w:rsidR="004C4F51" w:rsidRPr="00A33129">
        <w:rPr>
          <w:rFonts w:ascii="Times New Roman" w:hAnsi="Times New Roman" w:cs="Times New Roman"/>
          <w:sz w:val="24"/>
          <w:szCs w:val="24"/>
        </w:rPr>
        <w:t>-</w:t>
      </w:r>
      <w:proofErr w:type="spellStart"/>
      <w:r w:rsidR="00B931D5" w:rsidRPr="00A33129">
        <w:rPr>
          <w:rFonts w:ascii="Times New Roman" w:hAnsi="Times New Roman" w:cs="Times New Roman"/>
          <w:sz w:val="24"/>
          <w:szCs w:val="24"/>
        </w:rPr>
        <w:t>silvicultural</w:t>
      </w:r>
      <w:proofErr w:type="spellEnd"/>
      <w:r w:rsidR="00B931D5" w:rsidRPr="00A33129">
        <w:rPr>
          <w:rFonts w:ascii="Times New Roman" w:hAnsi="Times New Roman" w:cs="Times New Roman"/>
          <w:sz w:val="24"/>
          <w:szCs w:val="24"/>
        </w:rPr>
        <w:t xml:space="preserve"> practices for nutrient‑rich foliage. Climate resilience, disease resistance, improved rearing environments and wild‑silk processing technologies, combined with socio‑economic and technology‑adoption research, are essential to generate practically adoptable, livelihood enhancing nutrient management strategies for Odisha’s tasar sector.</w:t>
      </w:r>
    </w:p>
    <w:p w14:paraId="72AB473B" w14:textId="61D9B311" w:rsidR="00EE33E1" w:rsidRPr="00A33129" w:rsidRDefault="00EE33E1" w:rsidP="00AC4D17">
      <w:pPr>
        <w:spacing w:after="120" w:line="360" w:lineRule="auto"/>
        <w:rPr>
          <w:rFonts w:ascii="Times New Roman" w:hAnsi="Times New Roman" w:cs="Times New Roman"/>
          <w:b/>
          <w:bCs/>
          <w:sz w:val="24"/>
          <w:szCs w:val="24"/>
        </w:rPr>
      </w:pPr>
      <w:r w:rsidRPr="00A33129">
        <w:rPr>
          <w:rFonts w:ascii="Times New Roman" w:hAnsi="Times New Roman" w:cs="Times New Roman"/>
          <w:b/>
          <w:bCs/>
          <w:sz w:val="24"/>
          <w:szCs w:val="24"/>
        </w:rPr>
        <w:t>6.3 Implications for sustainable tasar sericulture</w:t>
      </w:r>
    </w:p>
    <w:p w14:paraId="6D58483D" w14:textId="4F6252D2" w:rsidR="00A64471" w:rsidRPr="00A33129" w:rsidRDefault="00C641C4"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t xml:space="preserve">                    </w:t>
      </w:r>
      <w:r w:rsidR="00A64471" w:rsidRPr="00A33129">
        <w:rPr>
          <w:rFonts w:ascii="Times New Roman" w:hAnsi="Times New Roman" w:cs="Times New Roman"/>
          <w:sz w:val="24"/>
          <w:szCs w:val="24"/>
        </w:rPr>
        <w:t xml:space="preserve">This study highlights that improved cocoon quality in tasar sericulture has direct implications for sustainable rural livelihoods, ecological integrity and regional economies, particularly in tribal and forest-dependent areas. Tasar rearers rely on healthy forest-based host plant stands, so enhancing soil fertility through eco-friendly practices such as organic manures, composting, green manuring, vermicompost, mycorrhizal inoculation and biofertilizers can simultaneously improve cocoon traits and maintain biodiversity, soil structure and long-term fertility. Reducing dependence on synthetic fertilizers further mitigates risks of soil degradation and ecosystem disturbance. Capacity building via farmer training, participatory soil restoration and site-specific nutrient management can strengthen local technical competence. Policy supports, including soil health cards, </w:t>
      </w:r>
      <w:proofErr w:type="spellStart"/>
      <w:r w:rsidR="00A64471" w:rsidRPr="00A33129">
        <w:rPr>
          <w:rFonts w:ascii="Times New Roman" w:hAnsi="Times New Roman" w:cs="Times New Roman"/>
          <w:sz w:val="24"/>
          <w:szCs w:val="24"/>
        </w:rPr>
        <w:t>silvi</w:t>
      </w:r>
      <w:proofErr w:type="spellEnd"/>
      <w:r w:rsidR="00A64471" w:rsidRPr="00A33129">
        <w:rPr>
          <w:rFonts w:ascii="Times New Roman" w:hAnsi="Times New Roman" w:cs="Times New Roman"/>
          <w:sz w:val="24"/>
          <w:szCs w:val="24"/>
        </w:rPr>
        <w:t xml:space="preserve">‑sericulture models and community-based plantation management, are essential to institutionalize these practices. Prioritizing soil and foliage nutrition thus provides a robust scientific and </w:t>
      </w:r>
      <w:r w:rsidR="00A64471" w:rsidRPr="00A33129">
        <w:rPr>
          <w:rFonts w:ascii="Times New Roman" w:hAnsi="Times New Roman" w:cs="Times New Roman"/>
          <w:sz w:val="24"/>
          <w:szCs w:val="24"/>
        </w:rPr>
        <w:lastRenderedPageBreak/>
        <w:t>ecological basis for enhancing cocoon yield and quality while improving socio-economic resilience of tasar-rearing communities and conserving natural forest ecosystems.</w:t>
      </w:r>
    </w:p>
    <w:p w14:paraId="3ED4BE92" w14:textId="77777777" w:rsidR="001B0425" w:rsidRPr="00A33129" w:rsidRDefault="001B0425" w:rsidP="00AC4D17">
      <w:pPr>
        <w:spacing w:after="120" w:line="360" w:lineRule="auto"/>
        <w:rPr>
          <w:rFonts w:ascii="Times New Roman" w:hAnsi="Times New Roman" w:cs="Times New Roman"/>
          <w:b/>
          <w:bCs/>
          <w:sz w:val="24"/>
          <w:szCs w:val="24"/>
        </w:rPr>
      </w:pPr>
    </w:p>
    <w:p w14:paraId="1F274B7A" w14:textId="35290C20" w:rsidR="00AC4D17" w:rsidRPr="00C133E8" w:rsidRDefault="00AC4D17" w:rsidP="00AC4D17">
      <w:pPr>
        <w:spacing w:after="120" w:line="360" w:lineRule="auto"/>
        <w:rPr>
          <w:rFonts w:ascii="Times New Roman" w:hAnsi="Times New Roman" w:cs="Times New Roman"/>
          <w:b/>
          <w:bCs/>
          <w:color w:val="FF0000"/>
          <w:sz w:val="24"/>
          <w:szCs w:val="24"/>
        </w:rPr>
      </w:pPr>
      <w:r w:rsidRPr="00A33129">
        <w:rPr>
          <w:rFonts w:ascii="Times New Roman" w:hAnsi="Times New Roman" w:cs="Times New Roman"/>
          <w:b/>
          <w:bCs/>
          <w:sz w:val="24"/>
          <w:szCs w:val="24"/>
        </w:rPr>
        <w:t>7.</w:t>
      </w:r>
      <w:r w:rsidR="00EE33E1" w:rsidRPr="00A33129">
        <w:rPr>
          <w:rFonts w:ascii="Times New Roman" w:hAnsi="Times New Roman" w:cs="Times New Roman"/>
          <w:b/>
          <w:bCs/>
          <w:sz w:val="24"/>
          <w:szCs w:val="24"/>
        </w:rPr>
        <w:t xml:space="preserve"> </w:t>
      </w:r>
      <w:r w:rsidR="00C133E8" w:rsidRPr="00C133E8">
        <w:rPr>
          <w:rFonts w:ascii="Times New Roman" w:hAnsi="Times New Roman" w:cs="Times New Roman"/>
          <w:b/>
          <w:bCs/>
          <w:color w:val="FF0000"/>
          <w:sz w:val="24"/>
          <w:szCs w:val="24"/>
        </w:rPr>
        <w:t>CONCLUSION</w:t>
      </w:r>
    </w:p>
    <w:p w14:paraId="75F09D9F" w14:textId="116808D4" w:rsidR="00EE33E1" w:rsidRPr="00A33129" w:rsidRDefault="00EE33E1" w:rsidP="00AC4D17">
      <w:pPr>
        <w:spacing w:after="120" w:line="360" w:lineRule="auto"/>
        <w:rPr>
          <w:rFonts w:ascii="Times New Roman" w:hAnsi="Times New Roman" w:cs="Times New Roman"/>
          <w:sz w:val="24"/>
          <w:szCs w:val="24"/>
        </w:rPr>
      </w:pPr>
      <w:r w:rsidRPr="00C133E8">
        <w:rPr>
          <w:rFonts w:ascii="Times New Roman" w:hAnsi="Times New Roman" w:cs="Times New Roman"/>
          <w:color w:val="FF0000"/>
          <w:sz w:val="24"/>
          <w:szCs w:val="24"/>
        </w:rPr>
        <w:t>C</w:t>
      </w:r>
      <w:r w:rsidRPr="00A33129">
        <w:rPr>
          <w:rFonts w:ascii="Times New Roman" w:hAnsi="Times New Roman" w:cs="Times New Roman"/>
          <w:sz w:val="24"/>
          <w:szCs w:val="24"/>
        </w:rPr>
        <w:t xml:space="preserve">ocoon quality of the tasar silkworm </w:t>
      </w:r>
      <w:r w:rsidRPr="00A33129">
        <w:rPr>
          <w:rFonts w:ascii="Times New Roman" w:hAnsi="Times New Roman" w:cs="Times New Roman"/>
          <w:i/>
          <w:iCs/>
          <w:sz w:val="24"/>
          <w:szCs w:val="24"/>
        </w:rPr>
        <w:t>A. mylitta</w:t>
      </w:r>
      <w:r w:rsidRPr="00A33129">
        <w:rPr>
          <w:rFonts w:ascii="Times New Roman" w:hAnsi="Times New Roman" w:cs="Times New Roman"/>
          <w:sz w:val="24"/>
          <w:szCs w:val="24"/>
        </w:rPr>
        <w:t xml:space="preserve"> is primarily determined by the nutritional status of host plant leaves, which is directly governed by soil fertility. Soil acts both as physical support for host trees such as </w:t>
      </w:r>
      <w:r w:rsidRPr="00A33129">
        <w:rPr>
          <w:rFonts w:ascii="Times New Roman" w:hAnsi="Times New Roman" w:cs="Times New Roman"/>
          <w:i/>
          <w:iCs/>
          <w:sz w:val="24"/>
          <w:szCs w:val="24"/>
        </w:rPr>
        <w:t xml:space="preserve">Terminalia arjuna, Terminalia tomentosa </w:t>
      </w:r>
      <w:r w:rsidRPr="00A33129">
        <w:rPr>
          <w:rFonts w:ascii="Times New Roman" w:hAnsi="Times New Roman" w:cs="Times New Roman"/>
          <w:sz w:val="24"/>
          <w:szCs w:val="24"/>
        </w:rPr>
        <w:t>and</w:t>
      </w:r>
      <w:r w:rsidRPr="00A33129">
        <w:rPr>
          <w:rFonts w:ascii="Times New Roman" w:hAnsi="Times New Roman" w:cs="Times New Roman"/>
          <w:i/>
          <w:iCs/>
          <w:sz w:val="24"/>
          <w:szCs w:val="24"/>
        </w:rPr>
        <w:t xml:space="preserve"> Shorea robusta</w:t>
      </w:r>
      <w:r w:rsidRPr="00A33129">
        <w:rPr>
          <w:rFonts w:ascii="Times New Roman" w:hAnsi="Times New Roman" w:cs="Times New Roman"/>
          <w:sz w:val="24"/>
          <w:szCs w:val="24"/>
        </w:rPr>
        <w:t xml:space="preserve">, and as the main source of essential macro- and micronutrients that determine foliage quality. Nutrient-rich soils with adequate N, P, K, and micronutrients like Zn, Fe, Mn, and B enhance photosynthesis, nitrogen assimilation and protein synthesis in leaves, leading to higher protein, carbohydrate and mineral contents that </w:t>
      </w:r>
      <w:r w:rsidR="00A64471" w:rsidRPr="00A33129">
        <w:rPr>
          <w:rFonts w:ascii="Times New Roman" w:hAnsi="Times New Roman" w:cs="Times New Roman"/>
          <w:sz w:val="24"/>
          <w:szCs w:val="24"/>
        </w:rPr>
        <w:t>favour</w:t>
      </w:r>
      <w:r w:rsidRPr="00A33129">
        <w:rPr>
          <w:rFonts w:ascii="Times New Roman" w:hAnsi="Times New Roman" w:cs="Times New Roman"/>
          <w:sz w:val="24"/>
          <w:szCs w:val="24"/>
        </w:rPr>
        <w:t xml:space="preserve"> larval development. Such foliage promotes greater larval weight gain, metabolic efficiency, silk gland growth and spinning performance, resulting in cocoons with higher weight, shell ratio, filament length, uniform denier and better reelability, all of which increase commercial value. In contrast, nutrient-deficient soils produce biochemically poor leaves that cause reduced larval vigo</w:t>
      </w:r>
      <w:r w:rsidR="0095143E" w:rsidRPr="00A33129">
        <w:rPr>
          <w:rFonts w:ascii="Times New Roman" w:hAnsi="Times New Roman" w:cs="Times New Roman"/>
          <w:sz w:val="24"/>
          <w:szCs w:val="24"/>
        </w:rPr>
        <w:t>u</w:t>
      </w:r>
      <w:r w:rsidRPr="00A33129">
        <w:rPr>
          <w:rFonts w:ascii="Times New Roman" w:hAnsi="Times New Roman" w:cs="Times New Roman"/>
          <w:sz w:val="24"/>
          <w:szCs w:val="24"/>
        </w:rPr>
        <w:t>r, slower growth, weak silk gland development and inferior cocoons. Therefore, soil nutrient management is a cornerstone of tasar culture, and practices such as regular soil testing, balanced fertilization and enhancement of organic matter in host plant stands are crucial, especially in forest-based systems, to sustain and improve tasar cocoon yield and quality.</w:t>
      </w:r>
    </w:p>
    <w:p w14:paraId="16E1B924" w14:textId="77777777" w:rsidR="00D1310B" w:rsidRPr="00A33129" w:rsidRDefault="00D1310B" w:rsidP="00AC4D17">
      <w:pPr>
        <w:spacing w:after="120" w:line="360" w:lineRule="auto"/>
        <w:rPr>
          <w:rFonts w:ascii="Times New Roman" w:hAnsi="Times New Roman" w:cs="Times New Roman"/>
          <w:b/>
          <w:bCs/>
          <w:sz w:val="24"/>
          <w:szCs w:val="24"/>
        </w:rPr>
      </w:pPr>
    </w:p>
    <w:p w14:paraId="46221A97" w14:textId="5EB81E68" w:rsidR="00230D35" w:rsidRPr="00A33129" w:rsidRDefault="00230D35">
      <w:pPr>
        <w:rPr>
          <w:rFonts w:ascii="Times New Roman" w:hAnsi="Times New Roman" w:cs="Times New Roman"/>
          <w:b/>
          <w:bCs/>
          <w:sz w:val="24"/>
          <w:szCs w:val="24"/>
        </w:rPr>
      </w:pPr>
      <w:r w:rsidRPr="00A33129">
        <w:rPr>
          <w:rFonts w:ascii="Times New Roman" w:hAnsi="Times New Roman" w:cs="Times New Roman"/>
          <w:b/>
          <w:bCs/>
          <w:sz w:val="24"/>
          <w:szCs w:val="24"/>
        </w:rPr>
        <w:br w:type="page"/>
      </w:r>
    </w:p>
    <w:p w14:paraId="56BFE3CB" w14:textId="16781375" w:rsidR="00230D35" w:rsidRPr="00C133E8" w:rsidRDefault="00C133E8" w:rsidP="00AC4D17">
      <w:pPr>
        <w:spacing w:after="120" w:line="360" w:lineRule="auto"/>
        <w:rPr>
          <w:rFonts w:ascii="Times New Roman" w:hAnsi="Times New Roman" w:cs="Times New Roman"/>
          <w:b/>
          <w:bCs/>
          <w:color w:val="FF0000"/>
          <w:sz w:val="24"/>
          <w:szCs w:val="24"/>
        </w:rPr>
      </w:pPr>
      <w:r w:rsidRPr="00C133E8">
        <w:rPr>
          <w:rFonts w:ascii="Times New Roman" w:hAnsi="Times New Roman" w:cs="Times New Roman"/>
          <w:b/>
          <w:bCs/>
          <w:color w:val="FF0000"/>
          <w:sz w:val="24"/>
          <w:szCs w:val="24"/>
        </w:rPr>
        <w:lastRenderedPageBreak/>
        <w:t>REFERENCES</w:t>
      </w:r>
    </w:p>
    <w:p w14:paraId="598507F2" w14:textId="1AE2F5FC" w:rsidR="00A418DF" w:rsidRPr="00A33129" w:rsidRDefault="00230D35"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sz w:val="24"/>
          <w:szCs w:val="24"/>
        </w:rPr>
        <w:fldChar w:fldCharType="begin" w:fldLock="1"/>
      </w:r>
      <w:r w:rsidRPr="00A33129">
        <w:rPr>
          <w:rFonts w:ascii="Times New Roman" w:hAnsi="Times New Roman" w:cs="Times New Roman"/>
          <w:sz w:val="24"/>
          <w:szCs w:val="24"/>
        </w:rPr>
        <w:instrText xml:space="preserve">ADDIN Mendeley Bibliography CSL_BIBLIOGRAPHY </w:instrText>
      </w:r>
      <w:r w:rsidRPr="00A33129">
        <w:rPr>
          <w:rFonts w:ascii="Times New Roman" w:hAnsi="Times New Roman" w:cs="Times New Roman"/>
          <w:sz w:val="24"/>
          <w:szCs w:val="24"/>
        </w:rPr>
        <w:fldChar w:fldCharType="separate"/>
      </w:r>
      <w:r w:rsidR="00A418DF" w:rsidRPr="00A33129">
        <w:rPr>
          <w:rFonts w:ascii="Times New Roman" w:hAnsi="Times New Roman" w:cs="Times New Roman"/>
          <w:noProof/>
          <w:sz w:val="24"/>
        </w:rPr>
        <w:t xml:space="preserve">Ameena, M., Akhtarb, J., Anwar-Ul-Haqb, M., Abbasic, G. H., Jamila, M., Alic, M., &amp; Athar, T. (2023). Nutrient acquisition, transport and metabolism within the plant cells. In </w:t>
      </w:r>
      <w:r w:rsidR="00A418DF" w:rsidRPr="00A33129">
        <w:rPr>
          <w:rFonts w:ascii="Times New Roman" w:hAnsi="Times New Roman" w:cs="Times New Roman"/>
          <w:i/>
          <w:iCs/>
          <w:noProof/>
          <w:sz w:val="24"/>
        </w:rPr>
        <w:t>Sustainable plant nutrition</w:t>
      </w:r>
      <w:r w:rsidR="00A418DF" w:rsidRPr="00A33129">
        <w:rPr>
          <w:rFonts w:ascii="Times New Roman" w:hAnsi="Times New Roman" w:cs="Times New Roman"/>
          <w:noProof/>
          <w:sz w:val="24"/>
        </w:rPr>
        <w:t xml:space="preserve"> (pp. 51–70).</w:t>
      </w:r>
    </w:p>
    <w:p w14:paraId="5F8EBB55"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Chakrapani, Ananta, S., Sinha, A., N., M., Mishra, R., Jena, K., Prabhu, I. G., &amp; Sathyanarayana, K. (2022). IMPACT OF SOIL NUTRIENTS ON TASAR SILK WORM FECUNDITY.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 181–184.</w:t>
      </w:r>
    </w:p>
    <w:p w14:paraId="01B5A5B7"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Chandrashekharaiah, M., Rathore, M., &amp; Sinha, R. (2019). Performance of BDR-10 A newly authorized race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 in different agro climatic zones in India.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(6), 274–277.</w:t>
      </w:r>
    </w:p>
    <w:p w14:paraId="30A31E4B"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 D. Barsagade. (2017). Tropical Tasar Sericulture. In </w:t>
      </w:r>
      <w:r w:rsidRPr="00A33129">
        <w:rPr>
          <w:rFonts w:ascii="Times New Roman" w:hAnsi="Times New Roman" w:cs="Times New Roman"/>
          <w:i/>
          <w:iCs/>
          <w:noProof/>
          <w:sz w:val="24"/>
        </w:rPr>
        <w:t>Industrial Entomology</w:t>
      </w:r>
      <w:r w:rsidRPr="00A33129">
        <w:rPr>
          <w:rFonts w:ascii="Times New Roman" w:hAnsi="Times New Roman" w:cs="Times New Roman"/>
          <w:noProof/>
          <w:sz w:val="24"/>
        </w:rPr>
        <w:t xml:space="preserve"> (pp. 291–319). https://doi.org/10.1007/978-981-10-3304-9</w:t>
      </w:r>
    </w:p>
    <w:p w14:paraId="7CCE01A8"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Dash, A. K., Jena, U. R., &amp; Behera,  and B. (2016). CONSUMPTION OF FRESH LEAF OF TERMINALIA ARJUNA AND LEAF – COCOON RATIO OF INDIAN TASAR SILK 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International Journal of Advanced Research (IJAR)</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(8), 666–668.</w:t>
      </w:r>
    </w:p>
    <w:p w14:paraId="062275C8"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H., Yadav, H., &amp; Roy, A. (2024). IMPORTANCE OF AGROFORESTRY IN RELATION WITH.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 144–149.</w:t>
      </w:r>
    </w:p>
    <w:p w14:paraId="730D34EC"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Dutta, S. R., Kar, P. K., Srivastava, A. K., Sinha, M. K., Shankar, J., &amp; Ghosh, A. K. (2012). Identification of RAPD and SCAR markers associated with yield traits in the Indian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Genetics and Molecular Biology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35</w:t>
      </w:r>
      <w:r w:rsidRPr="00A33129">
        <w:rPr>
          <w:rFonts w:ascii="Times New Roman" w:hAnsi="Times New Roman" w:cs="Times New Roman"/>
          <w:noProof/>
          <w:sz w:val="24"/>
        </w:rPr>
        <w:t>(4), 743–751.</w:t>
      </w:r>
    </w:p>
    <w:p w14:paraId="5CB43592"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Gattu, R., Manda, S., &amp; Gangupantula, S. (2017). Breeding perspective for silk quality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Asian Journal of Biology and Life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(1), 347–357.</w:t>
      </w:r>
    </w:p>
    <w:p w14:paraId="08781B5A"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Kumar, D., Jitendra Singh, &amp; N.B.Chowdary. (2024). Nutrient status of host plants and cocoon parameters of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D-A correlation study.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(Special Issue (VS)), 238–242.</w:t>
      </w:r>
    </w:p>
    <w:p w14:paraId="02BE021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Giri, S., Das, S., &amp; Sathyanarayana, K. (2023). Nutrient dynamics and sustainability of wild tasar silkworm on Sal flora.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23</w:t>
      </w:r>
      <w:r w:rsidRPr="00A33129">
        <w:rPr>
          <w:rFonts w:ascii="Times New Roman" w:hAnsi="Times New Roman" w:cs="Times New Roman"/>
          <w:noProof/>
          <w:sz w:val="24"/>
        </w:rPr>
        <w:t>(1), 397–402.</w:t>
      </w:r>
    </w:p>
    <w:p w14:paraId="4E63279D"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lastRenderedPageBreak/>
        <w:t xml:space="preserve">GV, V., MS, R., M, C., HA, N., &amp; RB, S. (2020). Tasar for Tribes: A way of life.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374–377.</w:t>
      </w:r>
    </w:p>
    <w:p w14:paraId="4CF3842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Iqbal, M., Khan, M. N., Afzal, A., Kaplan, A., Ali, B., &amp; Fahad, S. (2026). Plant uptake and transport of soil nutrients. In </w:t>
      </w:r>
      <w:r w:rsidRPr="00A33129">
        <w:rPr>
          <w:rFonts w:ascii="Times New Roman" w:hAnsi="Times New Roman" w:cs="Times New Roman"/>
          <w:i/>
          <w:iCs/>
          <w:noProof/>
          <w:sz w:val="24"/>
        </w:rPr>
        <w:t>Sustainable Soil Chemistry and Plant Nutrition</w:t>
      </w:r>
      <w:r w:rsidRPr="00A33129">
        <w:rPr>
          <w:rFonts w:ascii="Times New Roman" w:hAnsi="Times New Roman" w:cs="Times New Roman"/>
          <w:noProof/>
          <w:sz w:val="24"/>
        </w:rPr>
        <w:t xml:space="preserve"> (pp. 71–114).</w:t>
      </w:r>
    </w:p>
    <w:p w14:paraId="3521E65F"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Karmakar, S., Srivastava, A. K., &amp; Pandiaraj, T. (2023). Influence of inorganic , organic and bio fertilizer on chlorophyll content , relative water and EC content of leaf of host plant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 </w:t>
      </w:r>
      <w:r w:rsidRPr="00A33129">
        <w:rPr>
          <w:rFonts w:ascii="Times New Roman" w:hAnsi="Times New Roman" w:cs="Times New Roman"/>
          <w:i/>
          <w:iCs/>
          <w:noProof/>
          <w:sz w:val="24"/>
        </w:rPr>
        <w:t>International Journal of Multidisciplinary Research and Growth Evaluation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(2), 383–388.</w:t>
      </w:r>
    </w:p>
    <w:p w14:paraId="708F9D4E"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Mohapatra, S., Mohanty, N., &amp; Kar, P. K. (2022). Altitude specific leaf quality in the host plants of tasar silkworm </w:t>
      </w:r>
      <w:r w:rsidRPr="00A33129">
        <w:rPr>
          <w:rFonts w:ascii="Times New Roman" w:hAnsi="Times New Roman" w:cs="Times New Roman"/>
          <w:i/>
          <w:iCs/>
          <w:noProof/>
          <w:sz w:val="24"/>
        </w:rPr>
        <w:t>Anthraea mylitta</w:t>
      </w:r>
      <w:r w:rsidRPr="00A33129">
        <w:rPr>
          <w:rFonts w:ascii="Times New Roman" w:hAnsi="Times New Roman" w:cs="Times New Roman"/>
          <w:noProof/>
          <w:sz w:val="24"/>
        </w:rPr>
        <w:t xml:space="preserve"> Drury (Lepidoptera, Saturniidae) in Similipal Biosphere Reserve, Odisha, India. </w:t>
      </w:r>
      <w:r w:rsidRPr="00A33129">
        <w:rPr>
          <w:rFonts w:ascii="Times New Roman" w:hAnsi="Times New Roman" w:cs="Times New Roman"/>
          <w:i/>
          <w:iCs/>
          <w:noProof/>
          <w:sz w:val="24"/>
        </w:rPr>
        <w:t>Entomon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47</w:t>
      </w:r>
      <w:r w:rsidRPr="00A33129">
        <w:rPr>
          <w:rFonts w:ascii="Times New Roman" w:hAnsi="Times New Roman" w:cs="Times New Roman"/>
          <w:noProof/>
          <w:sz w:val="24"/>
        </w:rPr>
        <w:t>(4), 421–424. https://doi.org/10.33307/entomon.v47i4.795</w:t>
      </w:r>
    </w:p>
    <w:p w14:paraId="5092AE86"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Panda, S., Kar, P. K., Hota, D. S., &amp; Satapathy, P. K. (2022). Nutrients From Soil To Host Plant Leaves and Its Impact on Commercial Traits of Tropical Tasar Silkworm. </w:t>
      </w:r>
      <w:r w:rsidRPr="00A33129">
        <w:rPr>
          <w:rFonts w:ascii="Times New Roman" w:hAnsi="Times New Roman" w:cs="Times New Roman"/>
          <w:i/>
          <w:iCs/>
          <w:noProof/>
          <w:sz w:val="24"/>
        </w:rPr>
        <w:t>Plant Archives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22</w:t>
      </w:r>
      <w:r w:rsidRPr="00A33129">
        <w:rPr>
          <w:rFonts w:ascii="Times New Roman" w:hAnsi="Times New Roman" w:cs="Times New Roman"/>
          <w:noProof/>
          <w:sz w:val="24"/>
        </w:rPr>
        <w:t>(Spl. Issue (VSOG)), 116–121. https://doi.org/10.51470/plantarchives.2022.v22.specialissue.024</w:t>
      </w:r>
    </w:p>
    <w:p w14:paraId="263E27D1"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Das, S., Kar, P., Manjappa, &amp; Bajpeyi, C. (2020). An extensive soil survey on plant micronutrients status in tasar silkworm host plants growing sites in Mayurbhank districy of Odisha State. </w:t>
      </w:r>
      <w:r w:rsidRPr="00A33129">
        <w:rPr>
          <w:rFonts w:ascii="Times New Roman" w:hAnsi="Times New Roman" w:cs="Times New Roman"/>
          <w:i/>
          <w:iCs/>
          <w:noProof/>
          <w:sz w:val="24"/>
        </w:rPr>
        <w:t>International Journal of Ecology and Environmental Sciences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w:t>
      </w:r>
      <w:r w:rsidRPr="00A33129">
        <w:rPr>
          <w:rFonts w:ascii="Times New Roman" w:hAnsi="Times New Roman" w:cs="Times New Roman"/>
          <w:noProof/>
          <w:sz w:val="24"/>
        </w:rPr>
        <w:t>(3), 174–177.</w:t>
      </w:r>
    </w:p>
    <w:p w14:paraId="398A4E4C"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Pandiaraj, T., Srivastava, P. P., Das, S., &amp; Sinha, A. K. (2018). Assessing soil fertility status of tasar host plants growing soils in Purulia district of West Bengal state. </w:t>
      </w:r>
      <w:r w:rsidRPr="00A33129">
        <w:rPr>
          <w:rFonts w:ascii="Times New Roman" w:hAnsi="Times New Roman" w:cs="Times New Roman"/>
          <w:i/>
          <w:iCs/>
          <w:noProof/>
          <w:sz w:val="24"/>
        </w:rPr>
        <w:t>Journal of Pharmacognosy and Phytochemistry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7</w:t>
      </w:r>
      <w:r w:rsidRPr="00A33129">
        <w:rPr>
          <w:rFonts w:ascii="Times New Roman" w:hAnsi="Times New Roman" w:cs="Times New Roman"/>
          <w:noProof/>
          <w:sz w:val="24"/>
        </w:rPr>
        <w:t>(2), 2966–2970.</w:t>
      </w:r>
    </w:p>
    <w:p w14:paraId="09EA9D7E"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Ray, P. P., &amp; Barala, B. (2023). Geospatial mapping of ecoraces of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using remote sensing and geographic information system techniques. </w:t>
      </w:r>
      <w:r w:rsidRPr="00A33129">
        <w:rPr>
          <w:rFonts w:ascii="Times New Roman" w:hAnsi="Times New Roman" w:cs="Times New Roman"/>
          <w:i/>
          <w:iCs/>
          <w:noProof/>
          <w:sz w:val="24"/>
        </w:rPr>
        <w:t>Environment Conservation Journal</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(3), 98–104. https://doi.org/10.36953/ECJ.15052468</w:t>
      </w:r>
    </w:p>
    <w:p w14:paraId="08A8A320"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Ray, P. P., Barala, B., &amp; Dash, P. (2025).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A Propitious Ecological Indicator of Forest Ecosystems in India. </w:t>
      </w:r>
      <w:r w:rsidRPr="00A33129">
        <w:rPr>
          <w:rFonts w:ascii="Times New Roman" w:hAnsi="Times New Roman" w:cs="Times New Roman"/>
          <w:i/>
          <w:iCs/>
          <w:noProof/>
          <w:sz w:val="24"/>
        </w:rPr>
        <w:t>Asian Journal of Environment &amp; Ecology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24</w:t>
      </w:r>
      <w:r w:rsidRPr="00A33129">
        <w:rPr>
          <w:rFonts w:ascii="Times New Roman" w:hAnsi="Times New Roman" w:cs="Times New Roman"/>
          <w:noProof/>
          <w:sz w:val="24"/>
        </w:rPr>
        <w:t>(7), 177–186. https://doi.org/10.9734/ajee/2025/v24i7760</w:t>
      </w:r>
    </w:p>
    <w:p w14:paraId="4886A684"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lastRenderedPageBreak/>
        <w:t xml:space="preserve">Renuka, G., &amp; Shamitha, G. (2015a). Ecology and Post-Cocoon Characters of the Ecoraces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Academic Journal of Entomology</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8</w:t>
      </w:r>
      <w:r w:rsidRPr="00A33129">
        <w:rPr>
          <w:rFonts w:ascii="Times New Roman" w:hAnsi="Times New Roman" w:cs="Times New Roman"/>
          <w:noProof/>
          <w:sz w:val="24"/>
        </w:rPr>
        <w:t>(1), 19–23. https://doi.org/10.5829/idosi.aje.2015.8.1.85160</w:t>
      </w:r>
    </w:p>
    <w:p w14:paraId="70AEF004"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Renuka, G., &amp; Shamitha, G. (2015b). Studies on the biodiversity of tasar ecoraces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Drury. </w:t>
      </w:r>
      <w:r w:rsidRPr="00A33129">
        <w:rPr>
          <w:rFonts w:ascii="Times New Roman" w:hAnsi="Times New Roman" w:cs="Times New Roman"/>
          <w:i/>
          <w:iCs/>
          <w:noProof/>
          <w:sz w:val="24"/>
        </w:rPr>
        <w:t>Journal of Entomology and Zoology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3</w:t>
      </w:r>
      <w:r w:rsidRPr="00A33129">
        <w:rPr>
          <w:rFonts w:ascii="Times New Roman" w:hAnsi="Times New Roman" w:cs="Times New Roman"/>
          <w:noProof/>
          <w:sz w:val="24"/>
        </w:rPr>
        <w:t>(6), 241–245.</w:t>
      </w:r>
    </w:p>
    <w:p w14:paraId="023AB009"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Sharma, K. B., &amp; Ali, S. (2013). Impact of environmental factors on the indoor rearing performances of tropical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D.(Saturniidae: Lepidoptera). </w:t>
      </w:r>
      <w:r w:rsidRPr="00A33129">
        <w:rPr>
          <w:rFonts w:ascii="Times New Roman" w:hAnsi="Times New Roman" w:cs="Times New Roman"/>
          <w:i/>
          <w:iCs/>
          <w:noProof/>
          <w:sz w:val="24"/>
        </w:rPr>
        <w:t>The Ecoscan</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4</w:t>
      </w:r>
      <w:r w:rsidRPr="00A33129">
        <w:rPr>
          <w:rFonts w:ascii="Times New Roman" w:hAnsi="Times New Roman" w:cs="Times New Roman"/>
          <w:noProof/>
          <w:sz w:val="24"/>
        </w:rPr>
        <w:t>, 255–260.</w:t>
      </w:r>
    </w:p>
    <w:p w14:paraId="207FF002"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 xml:space="preserve">Srivastava, P., Pandiaraj, T., Das, S., &amp; AK Sinha. (2018). Status of micronutrients in the tasar host plants growing soils in Purulia district of West Bengal. </w:t>
      </w:r>
      <w:r w:rsidRPr="00A33129">
        <w:rPr>
          <w:rFonts w:ascii="Times New Roman" w:hAnsi="Times New Roman" w:cs="Times New Roman"/>
          <w:i/>
          <w:iCs/>
          <w:noProof/>
          <w:sz w:val="24"/>
        </w:rPr>
        <w:t>International Journal of Chemical Studies</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6</w:t>
      </w:r>
      <w:r w:rsidRPr="00A33129">
        <w:rPr>
          <w:rFonts w:ascii="Times New Roman" w:hAnsi="Times New Roman" w:cs="Times New Roman"/>
          <w:noProof/>
          <w:sz w:val="24"/>
        </w:rPr>
        <w:t>(5), 1118–1121.</w:t>
      </w:r>
    </w:p>
    <w:p w14:paraId="6727530B"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Thakur, R. R., Nandi, D., Bera, D. K., Singh, S., Beuria, R., Mishra, P., Hasher, F. F. Ben, Kumari, M., &amp; Zhran, M. (2025). Predicting Potential Habitats and the Conservation of the Tasar Silkworm (</w:t>
      </w:r>
      <w:r w:rsidRPr="00A33129">
        <w:rPr>
          <w:rFonts w:ascii="Times New Roman" w:hAnsi="Times New Roman" w:cs="Times New Roman"/>
          <w:i/>
          <w:iCs/>
          <w:noProof/>
          <w:sz w:val="24"/>
        </w:rPr>
        <w:t>Antheraea mylitta</w:t>
      </w:r>
      <w:r w:rsidRPr="00A33129">
        <w:rPr>
          <w:rFonts w:ascii="Times New Roman" w:hAnsi="Times New Roman" w:cs="Times New Roman"/>
          <w:noProof/>
          <w:sz w:val="24"/>
        </w:rPr>
        <w:t xml:space="preserve">) in the Similipal Biosphere Reserve, Odisha, India. </w:t>
      </w:r>
      <w:r w:rsidRPr="00A33129">
        <w:rPr>
          <w:rFonts w:ascii="Times New Roman" w:hAnsi="Times New Roman" w:cs="Times New Roman"/>
          <w:i/>
          <w:iCs/>
          <w:noProof/>
          <w:sz w:val="24"/>
        </w:rPr>
        <w:t>Sustainability (Switzerland)</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17</w:t>
      </w:r>
      <w:r w:rsidRPr="00A33129">
        <w:rPr>
          <w:rFonts w:ascii="Times New Roman" w:hAnsi="Times New Roman" w:cs="Times New Roman"/>
          <w:noProof/>
          <w:sz w:val="24"/>
        </w:rPr>
        <w:t>(13), 1–17. https://doi.org/10.3390/su17135824</w:t>
      </w:r>
    </w:p>
    <w:p w14:paraId="6AA9C76D" w14:textId="77777777" w:rsidR="00A418DF" w:rsidRPr="00A33129" w:rsidRDefault="00A418DF" w:rsidP="00A418DF">
      <w:pPr>
        <w:widowControl w:val="0"/>
        <w:autoSpaceDE w:val="0"/>
        <w:autoSpaceDN w:val="0"/>
        <w:adjustRightInd w:val="0"/>
        <w:spacing w:after="120" w:line="360" w:lineRule="auto"/>
        <w:ind w:left="480" w:hanging="480"/>
        <w:rPr>
          <w:rFonts w:ascii="Times New Roman" w:hAnsi="Times New Roman" w:cs="Times New Roman"/>
          <w:noProof/>
          <w:sz w:val="24"/>
        </w:rPr>
      </w:pPr>
      <w:r w:rsidRPr="00A33129">
        <w:rPr>
          <w:rFonts w:ascii="Times New Roman" w:hAnsi="Times New Roman" w:cs="Times New Roman"/>
          <w:noProof/>
          <w:sz w:val="24"/>
        </w:rPr>
        <w:t>Vanitha, K., Javali, U. C., &amp; Bhat, P. S. (2017). Rearing performance of tropical Tasar silkworm (</w:t>
      </w:r>
      <w:r w:rsidRPr="00A33129">
        <w:rPr>
          <w:rFonts w:ascii="Times New Roman" w:hAnsi="Times New Roman" w:cs="Times New Roman"/>
          <w:i/>
          <w:iCs/>
          <w:noProof/>
          <w:sz w:val="24"/>
        </w:rPr>
        <w:t xml:space="preserve">Antheraea mylitta </w:t>
      </w:r>
      <w:r w:rsidRPr="00A33129">
        <w:rPr>
          <w:rFonts w:ascii="Times New Roman" w:hAnsi="Times New Roman" w:cs="Times New Roman"/>
          <w:noProof/>
          <w:sz w:val="24"/>
        </w:rPr>
        <w:t xml:space="preserve">Drury) on Cashew (Anacardium occidentale L.) and its commercial silk properties. </w:t>
      </w:r>
      <w:r w:rsidRPr="00A33129">
        <w:rPr>
          <w:rFonts w:ascii="Times New Roman" w:hAnsi="Times New Roman" w:cs="Times New Roman"/>
          <w:i/>
          <w:iCs/>
          <w:noProof/>
          <w:sz w:val="24"/>
        </w:rPr>
        <w:t>Journal of Applied and Natural Science</w:t>
      </w:r>
      <w:r w:rsidRPr="00A33129">
        <w:rPr>
          <w:rFonts w:ascii="Times New Roman" w:hAnsi="Times New Roman" w:cs="Times New Roman"/>
          <w:noProof/>
          <w:sz w:val="24"/>
        </w:rPr>
        <w:t xml:space="preserve">, </w:t>
      </w:r>
      <w:r w:rsidRPr="00A33129">
        <w:rPr>
          <w:rFonts w:ascii="Times New Roman" w:hAnsi="Times New Roman" w:cs="Times New Roman"/>
          <w:i/>
          <w:iCs/>
          <w:noProof/>
          <w:sz w:val="24"/>
        </w:rPr>
        <w:t>9</w:t>
      </w:r>
      <w:r w:rsidRPr="00A33129">
        <w:rPr>
          <w:rFonts w:ascii="Times New Roman" w:hAnsi="Times New Roman" w:cs="Times New Roman"/>
          <w:noProof/>
          <w:sz w:val="24"/>
        </w:rPr>
        <w:t>(1), 150–155. https://doi.org/10.31018/jans.v9i1.1163</w:t>
      </w:r>
    </w:p>
    <w:p w14:paraId="78F82761" w14:textId="10CBCE95" w:rsidR="000C4B69" w:rsidRPr="0029723D" w:rsidRDefault="00230D35" w:rsidP="00AC4D17">
      <w:pPr>
        <w:spacing w:after="120" w:line="360" w:lineRule="auto"/>
        <w:rPr>
          <w:rFonts w:ascii="Times New Roman" w:hAnsi="Times New Roman" w:cs="Times New Roman"/>
          <w:sz w:val="24"/>
          <w:szCs w:val="24"/>
        </w:rPr>
      </w:pPr>
      <w:r w:rsidRPr="00A33129">
        <w:rPr>
          <w:rFonts w:ascii="Times New Roman" w:hAnsi="Times New Roman" w:cs="Times New Roman"/>
          <w:sz w:val="24"/>
          <w:szCs w:val="24"/>
        </w:rPr>
        <w:fldChar w:fldCharType="end"/>
      </w:r>
      <w:r w:rsidR="000C4B69" w:rsidRPr="0029723D">
        <w:rPr>
          <w:rFonts w:ascii="Times New Roman" w:hAnsi="Times New Roman" w:cs="Times New Roman"/>
          <w:sz w:val="24"/>
          <w:szCs w:val="24"/>
        </w:rPr>
        <w:br w:type="page"/>
      </w:r>
    </w:p>
    <w:p w14:paraId="2CCD74A6" w14:textId="77777777" w:rsidR="0015660D" w:rsidRPr="0029723D" w:rsidRDefault="0015660D" w:rsidP="0029723D">
      <w:pPr>
        <w:spacing w:after="120" w:line="360" w:lineRule="auto"/>
        <w:rPr>
          <w:rFonts w:ascii="Times New Roman" w:hAnsi="Times New Roman" w:cs="Times New Roman"/>
          <w:sz w:val="24"/>
          <w:szCs w:val="24"/>
        </w:rPr>
      </w:pPr>
    </w:p>
    <w:sectPr w:rsidR="0015660D" w:rsidRPr="0029723D" w:rsidSect="0060262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A3995C" w14:textId="77777777" w:rsidR="00C133E8" w:rsidRDefault="00C133E8" w:rsidP="00E4792B">
      <w:pPr>
        <w:spacing w:after="0" w:line="240" w:lineRule="auto"/>
      </w:pPr>
      <w:r>
        <w:separator/>
      </w:r>
    </w:p>
  </w:endnote>
  <w:endnote w:type="continuationSeparator" w:id="0">
    <w:p w14:paraId="22F67501" w14:textId="77777777" w:rsidR="00C133E8" w:rsidRDefault="00C133E8" w:rsidP="00E47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96EDA" w14:textId="77777777" w:rsidR="00C133E8" w:rsidRDefault="00C133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B9AA8" w14:textId="77777777" w:rsidR="00C133E8" w:rsidRDefault="00C133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5902" w14:textId="77777777" w:rsidR="00C133E8" w:rsidRDefault="00C133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FD02F" w14:textId="77777777" w:rsidR="00C133E8" w:rsidRDefault="00C133E8" w:rsidP="00E4792B">
      <w:pPr>
        <w:spacing w:after="0" w:line="240" w:lineRule="auto"/>
      </w:pPr>
      <w:r>
        <w:separator/>
      </w:r>
    </w:p>
  </w:footnote>
  <w:footnote w:type="continuationSeparator" w:id="0">
    <w:p w14:paraId="7A11B57F" w14:textId="77777777" w:rsidR="00C133E8" w:rsidRDefault="00C133E8" w:rsidP="00E479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A0DAF" w14:textId="4BB58076" w:rsidR="00C133E8" w:rsidRDefault="00C133E8">
    <w:pPr>
      <w:pStyle w:val="Header"/>
    </w:pPr>
    <w:r>
      <w:rPr>
        <w:noProof/>
      </w:rPr>
      <w:pict w14:anchorId="67448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5"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91FE7" w14:textId="7FD3A118" w:rsidR="00C133E8" w:rsidRDefault="00C133E8">
    <w:pPr>
      <w:pStyle w:val="Header"/>
    </w:pPr>
    <w:r>
      <w:rPr>
        <w:noProof/>
      </w:rPr>
      <w:pict w14:anchorId="51172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6"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677A" w14:textId="7F16550E" w:rsidR="00C133E8" w:rsidRDefault="00C133E8">
    <w:pPr>
      <w:pStyle w:val="Header"/>
    </w:pPr>
    <w:r>
      <w:rPr>
        <w:noProof/>
      </w:rPr>
      <w:pict w14:anchorId="59572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1734"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C116D"/>
    <w:multiLevelType w:val="hybridMultilevel"/>
    <w:tmpl w:val="753E25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F527878"/>
    <w:multiLevelType w:val="hybridMultilevel"/>
    <w:tmpl w:val="9F4249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4B510BD"/>
    <w:multiLevelType w:val="hybridMultilevel"/>
    <w:tmpl w:val="AE5C7B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75E6D39"/>
    <w:multiLevelType w:val="hybridMultilevel"/>
    <w:tmpl w:val="CCE4D12E"/>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67A90E06"/>
    <w:multiLevelType w:val="hybridMultilevel"/>
    <w:tmpl w:val="0526E4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76B56142"/>
    <w:multiLevelType w:val="hybridMultilevel"/>
    <w:tmpl w:val="38FA5E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mailMerge>
    <w:mainDocumentType w:val="formLetters"/>
    <w:dataType w:val="textFile"/>
    <w:activeRecord w:val="-1"/>
    <w:odso/>
  </w:mailMerg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5D4"/>
    <w:rsid w:val="000139AE"/>
    <w:rsid w:val="00063751"/>
    <w:rsid w:val="0008023A"/>
    <w:rsid w:val="00091F2D"/>
    <w:rsid w:val="000C4B69"/>
    <w:rsid w:val="000E10E4"/>
    <w:rsid w:val="000F2FF1"/>
    <w:rsid w:val="00121BB5"/>
    <w:rsid w:val="0014190C"/>
    <w:rsid w:val="00141D0A"/>
    <w:rsid w:val="0015660D"/>
    <w:rsid w:val="001566C6"/>
    <w:rsid w:val="00171B90"/>
    <w:rsid w:val="00186013"/>
    <w:rsid w:val="00192446"/>
    <w:rsid w:val="001B0425"/>
    <w:rsid w:val="001C1D06"/>
    <w:rsid w:val="001C3A3D"/>
    <w:rsid w:val="001C5AD4"/>
    <w:rsid w:val="001E5181"/>
    <w:rsid w:val="001F39EC"/>
    <w:rsid w:val="001F7DA9"/>
    <w:rsid w:val="002149A2"/>
    <w:rsid w:val="00223D66"/>
    <w:rsid w:val="00230D35"/>
    <w:rsid w:val="002407E0"/>
    <w:rsid w:val="00260C9A"/>
    <w:rsid w:val="00280F04"/>
    <w:rsid w:val="002825D4"/>
    <w:rsid w:val="00293796"/>
    <w:rsid w:val="0029723D"/>
    <w:rsid w:val="002B1C96"/>
    <w:rsid w:val="002C6BBE"/>
    <w:rsid w:val="002D2A83"/>
    <w:rsid w:val="002D75CF"/>
    <w:rsid w:val="00321511"/>
    <w:rsid w:val="00355DE5"/>
    <w:rsid w:val="00363A3F"/>
    <w:rsid w:val="003967D0"/>
    <w:rsid w:val="003D121C"/>
    <w:rsid w:val="003D7774"/>
    <w:rsid w:val="003F4822"/>
    <w:rsid w:val="0040171B"/>
    <w:rsid w:val="00426784"/>
    <w:rsid w:val="00434088"/>
    <w:rsid w:val="0044125D"/>
    <w:rsid w:val="00450FFC"/>
    <w:rsid w:val="0046483D"/>
    <w:rsid w:val="00474389"/>
    <w:rsid w:val="004954E4"/>
    <w:rsid w:val="004B4BFD"/>
    <w:rsid w:val="004B722E"/>
    <w:rsid w:val="004C2852"/>
    <w:rsid w:val="004C4F51"/>
    <w:rsid w:val="004C7547"/>
    <w:rsid w:val="004D52B5"/>
    <w:rsid w:val="004F1E8C"/>
    <w:rsid w:val="005313EA"/>
    <w:rsid w:val="00542195"/>
    <w:rsid w:val="005652DD"/>
    <w:rsid w:val="005660A5"/>
    <w:rsid w:val="0059479B"/>
    <w:rsid w:val="005A1B2A"/>
    <w:rsid w:val="005C605D"/>
    <w:rsid w:val="005E42ED"/>
    <w:rsid w:val="00602628"/>
    <w:rsid w:val="006038DE"/>
    <w:rsid w:val="006132E3"/>
    <w:rsid w:val="00641BFE"/>
    <w:rsid w:val="00683B99"/>
    <w:rsid w:val="006870F7"/>
    <w:rsid w:val="006B0110"/>
    <w:rsid w:val="006B2018"/>
    <w:rsid w:val="006B4532"/>
    <w:rsid w:val="006B7A92"/>
    <w:rsid w:val="006C36DF"/>
    <w:rsid w:val="006C5671"/>
    <w:rsid w:val="006F6CE2"/>
    <w:rsid w:val="007029E5"/>
    <w:rsid w:val="007512BF"/>
    <w:rsid w:val="007547DB"/>
    <w:rsid w:val="00766629"/>
    <w:rsid w:val="00772B04"/>
    <w:rsid w:val="00810AD9"/>
    <w:rsid w:val="00821434"/>
    <w:rsid w:val="008309B4"/>
    <w:rsid w:val="00831E9F"/>
    <w:rsid w:val="00855377"/>
    <w:rsid w:val="008566A7"/>
    <w:rsid w:val="00873715"/>
    <w:rsid w:val="008B2728"/>
    <w:rsid w:val="008C6E72"/>
    <w:rsid w:val="008D2803"/>
    <w:rsid w:val="008F5A11"/>
    <w:rsid w:val="00926F00"/>
    <w:rsid w:val="00933AA9"/>
    <w:rsid w:val="00934D7D"/>
    <w:rsid w:val="0095143E"/>
    <w:rsid w:val="0095293D"/>
    <w:rsid w:val="0098021B"/>
    <w:rsid w:val="009928D9"/>
    <w:rsid w:val="009A0B40"/>
    <w:rsid w:val="009A3F30"/>
    <w:rsid w:val="009B46AF"/>
    <w:rsid w:val="009B49D6"/>
    <w:rsid w:val="009D4E89"/>
    <w:rsid w:val="009F29A8"/>
    <w:rsid w:val="009F6E73"/>
    <w:rsid w:val="00A06A9A"/>
    <w:rsid w:val="00A17232"/>
    <w:rsid w:val="00A33129"/>
    <w:rsid w:val="00A36CDD"/>
    <w:rsid w:val="00A418DF"/>
    <w:rsid w:val="00A50835"/>
    <w:rsid w:val="00A51390"/>
    <w:rsid w:val="00A64471"/>
    <w:rsid w:val="00A652FD"/>
    <w:rsid w:val="00A72688"/>
    <w:rsid w:val="00A8578E"/>
    <w:rsid w:val="00A902F6"/>
    <w:rsid w:val="00AA2B17"/>
    <w:rsid w:val="00AA7B9B"/>
    <w:rsid w:val="00AB0931"/>
    <w:rsid w:val="00AC4D17"/>
    <w:rsid w:val="00AC670E"/>
    <w:rsid w:val="00AD179E"/>
    <w:rsid w:val="00AD3829"/>
    <w:rsid w:val="00B055DA"/>
    <w:rsid w:val="00B05DF4"/>
    <w:rsid w:val="00B23B41"/>
    <w:rsid w:val="00B41425"/>
    <w:rsid w:val="00B55CBB"/>
    <w:rsid w:val="00B676B9"/>
    <w:rsid w:val="00B70A35"/>
    <w:rsid w:val="00B77D71"/>
    <w:rsid w:val="00B931D5"/>
    <w:rsid w:val="00B9496E"/>
    <w:rsid w:val="00BC56B4"/>
    <w:rsid w:val="00BD0A1B"/>
    <w:rsid w:val="00BD5B25"/>
    <w:rsid w:val="00BF2770"/>
    <w:rsid w:val="00C01D99"/>
    <w:rsid w:val="00C074CA"/>
    <w:rsid w:val="00C133E8"/>
    <w:rsid w:val="00C20B5B"/>
    <w:rsid w:val="00C37409"/>
    <w:rsid w:val="00C641C4"/>
    <w:rsid w:val="00C77DED"/>
    <w:rsid w:val="00C94096"/>
    <w:rsid w:val="00CA5551"/>
    <w:rsid w:val="00CF59DD"/>
    <w:rsid w:val="00D039D1"/>
    <w:rsid w:val="00D1310B"/>
    <w:rsid w:val="00D52120"/>
    <w:rsid w:val="00D532F4"/>
    <w:rsid w:val="00D731B3"/>
    <w:rsid w:val="00D90143"/>
    <w:rsid w:val="00D91739"/>
    <w:rsid w:val="00DB048C"/>
    <w:rsid w:val="00DD662B"/>
    <w:rsid w:val="00E0597A"/>
    <w:rsid w:val="00E33449"/>
    <w:rsid w:val="00E44416"/>
    <w:rsid w:val="00E4792B"/>
    <w:rsid w:val="00E53C6D"/>
    <w:rsid w:val="00E76B6D"/>
    <w:rsid w:val="00EB0AA0"/>
    <w:rsid w:val="00EE33E1"/>
    <w:rsid w:val="00EE43BC"/>
    <w:rsid w:val="00F359E5"/>
    <w:rsid w:val="00F5497F"/>
    <w:rsid w:val="00F62E69"/>
    <w:rsid w:val="00F74F0B"/>
    <w:rsid w:val="00F779B0"/>
    <w:rsid w:val="00FB6D12"/>
    <w:rsid w:val="00FC06D7"/>
    <w:rsid w:val="00FD2DCF"/>
    <w:rsid w:val="00FE3931"/>
    <w:rsid w:val="00FF43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3C8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F"/>
  </w:style>
  <w:style w:type="paragraph" w:styleId="Heading1">
    <w:name w:val="heading 1"/>
    <w:basedOn w:val="Normal"/>
    <w:next w:val="Normal"/>
    <w:link w:val="Heading1Char"/>
    <w:uiPriority w:val="9"/>
    <w:qFormat/>
    <w:rsid w:val="00F74F0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74F0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74F0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74F0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74F0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74F0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74F0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74F0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74F0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4F0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74F0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74F0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74F0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74F0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74F0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74F0B"/>
    <w:rPr>
      <w:i/>
      <w:iCs/>
    </w:rPr>
  </w:style>
  <w:style w:type="character" w:customStyle="1" w:styleId="Heading8Char">
    <w:name w:val="Heading 8 Char"/>
    <w:basedOn w:val="DefaultParagraphFont"/>
    <w:link w:val="Heading8"/>
    <w:uiPriority w:val="9"/>
    <w:semiHidden/>
    <w:rsid w:val="00F74F0B"/>
    <w:rPr>
      <w:b/>
      <w:bCs/>
    </w:rPr>
  </w:style>
  <w:style w:type="character" w:customStyle="1" w:styleId="Heading9Char">
    <w:name w:val="Heading 9 Char"/>
    <w:basedOn w:val="DefaultParagraphFont"/>
    <w:link w:val="Heading9"/>
    <w:uiPriority w:val="9"/>
    <w:semiHidden/>
    <w:rsid w:val="00F74F0B"/>
    <w:rPr>
      <w:i/>
      <w:iCs/>
    </w:rPr>
  </w:style>
  <w:style w:type="paragraph" w:styleId="Caption">
    <w:name w:val="caption"/>
    <w:basedOn w:val="Normal"/>
    <w:next w:val="Normal"/>
    <w:uiPriority w:val="35"/>
    <w:semiHidden/>
    <w:unhideWhenUsed/>
    <w:qFormat/>
    <w:rsid w:val="00F74F0B"/>
    <w:rPr>
      <w:b/>
      <w:bCs/>
      <w:sz w:val="18"/>
      <w:szCs w:val="18"/>
    </w:rPr>
  </w:style>
  <w:style w:type="paragraph" w:styleId="Title">
    <w:name w:val="Title"/>
    <w:basedOn w:val="Normal"/>
    <w:next w:val="Normal"/>
    <w:link w:val="TitleChar"/>
    <w:uiPriority w:val="10"/>
    <w:qFormat/>
    <w:rsid w:val="00F74F0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74F0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74F0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4F0B"/>
    <w:rPr>
      <w:rFonts w:asciiTheme="majorHAnsi" w:eastAsiaTheme="majorEastAsia" w:hAnsiTheme="majorHAnsi" w:cstheme="majorBidi"/>
      <w:sz w:val="24"/>
      <w:szCs w:val="24"/>
    </w:rPr>
  </w:style>
  <w:style w:type="character" w:styleId="Strong">
    <w:name w:val="Strong"/>
    <w:basedOn w:val="DefaultParagraphFont"/>
    <w:uiPriority w:val="22"/>
    <w:qFormat/>
    <w:rsid w:val="00F74F0B"/>
    <w:rPr>
      <w:b/>
      <w:bCs/>
      <w:color w:val="auto"/>
    </w:rPr>
  </w:style>
  <w:style w:type="character" w:styleId="Emphasis">
    <w:name w:val="Emphasis"/>
    <w:basedOn w:val="DefaultParagraphFont"/>
    <w:uiPriority w:val="20"/>
    <w:qFormat/>
    <w:rsid w:val="00F74F0B"/>
    <w:rPr>
      <w:i/>
      <w:iCs/>
      <w:color w:val="auto"/>
    </w:rPr>
  </w:style>
  <w:style w:type="paragraph" w:styleId="NoSpacing">
    <w:name w:val="No Spacing"/>
    <w:uiPriority w:val="1"/>
    <w:qFormat/>
    <w:rsid w:val="00F74F0B"/>
    <w:pPr>
      <w:spacing w:after="0" w:line="240" w:lineRule="auto"/>
    </w:pPr>
  </w:style>
  <w:style w:type="paragraph" w:styleId="Quote">
    <w:name w:val="Quote"/>
    <w:basedOn w:val="Normal"/>
    <w:next w:val="Normal"/>
    <w:link w:val="QuoteChar"/>
    <w:uiPriority w:val="29"/>
    <w:qFormat/>
    <w:rsid w:val="00F74F0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74F0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74F0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74F0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74F0B"/>
    <w:rPr>
      <w:i/>
      <w:iCs/>
      <w:color w:val="auto"/>
    </w:rPr>
  </w:style>
  <w:style w:type="character" w:styleId="IntenseEmphasis">
    <w:name w:val="Intense Emphasis"/>
    <w:basedOn w:val="DefaultParagraphFont"/>
    <w:uiPriority w:val="21"/>
    <w:qFormat/>
    <w:rsid w:val="00F74F0B"/>
    <w:rPr>
      <w:b/>
      <w:bCs/>
      <w:i/>
      <w:iCs/>
      <w:color w:val="auto"/>
    </w:rPr>
  </w:style>
  <w:style w:type="character" w:styleId="SubtleReference">
    <w:name w:val="Subtle Reference"/>
    <w:basedOn w:val="DefaultParagraphFont"/>
    <w:uiPriority w:val="31"/>
    <w:qFormat/>
    <w:rsid w:val="00F74F0B"/>
    <w:rPr>
      <w:smallCaps/>
      <w:color w:val="auto"/>
      <w:u w:val="single" w:color="7F7F7F" w:themeColor="text1" w:themeTint="80"/>
    </w:rPr>
  </w:style>
  <w:style w:type="character" w:styleId="IntenseReference">
    <w:name w:val="Intense Reference"/>
    <w:basedOn w:val="DefaultParagraphFont"/>
    <w:uiPriority w:val="32"/>
    <w:qFormat/>
    <w:rsid w:val="00F74F0B"/>
    <w:rPr>
      <w:b/>
      <w:bCs/>
      <w:smallCaps/>
      <w:color w:val="auto"/>
      <w:u w:val="single"/>
    </w:rPr>
  </w:style>
  <w:style w:type="character" w:styleId="BookTitle">
    <w:name w:val="Book Title"/>
    <w:basedOn w:val="DefaultParagraphFont"/>
    <w:uiPriority w:val="33"/>
    <w:qFormat/>
    <w:rsid w:val="00F74F0B"/>
    <w:rPr>
      <w:b/>
      <w:bCs/>
      <w:smallCaps/>
      <w:color w:val="auto"/>
    </w:rPr>
  </w:style>
  <w:style w:type="paragraph" w:styleId="TOCHeading">
    <w:name w:val="TOC Heading"/>
    <w:basedOn w:val="Heading1"/>
    <w:next w:val="Normal"/>
    <w:uiPriority w:val="39"/>
    <w:semiHidden/>
    <w:unhideWhenUsed/>
    <w:qFormat/>
    <w:rsid w:val="00F74F0B"/>
    <w:pPr>
      <w:outlineLvl w:val="9"/>
    </w:pPr>
  </w:style>
  <w:style w:type="paragraph" w:styleId="ListParagraph">
    <w:name w:val="List Paragraph"/>
    <w:basedOn w:val="Normal"/>
    <w:uiPriority w:val="34"/>
    <w:qFormat/>
    <w:rsid w:val="001F7DA9"/>
    <w:pPr>
      <w:ind w:left="720"/>
      <w:contextualSpacing/>
    </w:pPr>
  </w:style>
  <w:style w:type="paragraph" w:styleId="NormalWeb">
    <w:name w:val="Normal (Web)"/>
    <w:basedOn w:val="Normal"/>
    <w:uiPriority w:val="99"/>
    <w:semiHidden/>
    <w:unhideWhenUsed/>
    <w:rsid w:val="003967D0"/>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597A"/>
    <w:rPr>
      <w:color w:val="0563C1" w:themeColor="hyperlink"/>
      <w:u w:val="single"/>
    </w:rPr>
  </w:style>
  <w:style w:type="character" w:customStyle="1" w:styleId="UnresolvedMention">
    <w:name w:val="Unresolved Mention"/>
    <w:basedOn w:val="DefaultParagraphFont"/>
    <w:uiPriority w:val="99"/>
    <w:semiHidden/>
    <w:unhideWhenUsed/>
    <w:rsid w:val="00E0597A"/>
    <w:rPr>
      <w:color w:val="605E5C"/>
      <w:shd w:val="clear" w:color="auto" w:fill="E1DFDD"/>
    </w:rPr>
  </w:style>
  <w:style w:type="paragraph" w:styleId="Header">
    <w:name w:val="header"/>
    <w:basedOn w:val="Normal"/>
    <w:link w:val="HeaderChar"/>
    <w:uiPriority w:val="99"/>
    <w:unhideWhenUsed/>
    <w:rsid w:val="00E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2B"/>
  </w:style>
  <w:style w:type="paragraph" w:styleId="Footer">
    <w:name w:val="footer"/>
    <w:basedOn w:val="Normal"/>
    <w:link w:val="FooterChar"/>
    <w:uiPriority w:val="99"/>
    <w:unhideWhenUsed/>
    <w:rsid w:val="00E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2B"/>
  </w:style>
  <w:style w:type="paragraph" w:styleId="BalloonText">
    <w:name w:val="Balloon Text"/>
    <w:basedOn w:val="Normal"/>
    <w:link w:val="BalloonTextChar"/>
    <w:uiPriority w:val="99"/>
    <w:semiHidden/>
    <w:unhideWhenUsed/>
    <w:rsid w:val="00C77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D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F"/>
  </w:style>
  <w:style w:type="paragraph" w:styleId="Heading1">
    <w:name w:val="heading 1"/>
    <w:basedOn w:val="Normal"/>
    <w:next w:val="Normal"/>
    <w:link w:val="Heading1Char"/>
    <w:uiPriority w:val="9"/>
    <w:qFormat/>
    <w:rsid w:val="00F74F0B"/>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74F0B"/>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74F0B"/>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74F0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74F0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74F0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74F0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74F0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74F0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5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74F0B"/>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74F0B"/>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74F0B"/>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74F0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74F0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74F0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74F0B"/>
    <w:rPr>
      <w:i/>
      <w:iCs/>
    </w:rPr>
  </w:style>
  <w:style w:type="character" w:customStyle="1" w:styleId="Heading8Char">
    <w:name w:val="Heading 8 Char"/>
    <w:basedOn w:val="DefaultParagraphFont"/>
    <w:link w:val="Heading8"/>
    <w:uiPriority w:val="9"/>
    <w:semiHidden/>
    <w:rsid w:val="00F74F0B"/>
    <w:rPr>
      <w:b/>
      <w:bCs/>
    </w:rPr>
  </w:style>
  <w:style w:type="character" w:customStyle="1" w:styleId="Heading9Char">
    <w:name w:val="Heading 9 Char"/>
    <w:basedOn w:val="DefaultParagraphFont"/>
    <w:link w:val="Heading9"/>
    <w:uiPriority w:val="9"/>
    <w:semiHidden/>
    <w:rsid w:val="00F74F0B"/>
    <w:rPr>
      <w:i/>
      <w:iCs/>
    </w:rPr>
  </w:style>
  <w:style w:type="paragraph" w:styleId="Caption">
    <w:name w:val="caption"/>
    <w:basedOn w:val="Normal"/>
    <w:next w:val="Normal"/>
    <w:uiPriority w:val="35"/>
    <w:semiHidden/>
    <w:unhideWhenUsed/>
    <w:qFormat/>
    <w:rsid w:val="00F74F0B"/>
    <w:rPr>
      <w:b/>
      <w:bCs/>
      <w:sz w:val="18"/>
      <w:szCs w:val="18"/>
    </w:rPr>
  </w:style>
  <w:style w:type="paragraph" w:styleId="Title">
    <w:name w:val="Title"/>
    <w:basedOn w:val="Normal"/>
    <w:next w:val="Normal"/>
    <w:link w:val="TitleChar"/>
    <w:uiPriority w:val="10"/>
    <w:qFormat/>
    <w:rsid w:val="00F74F0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74F0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74F0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4F0B"/>
    <w:rPr>
      <w:rFonts w:asciiTheme="majorHAnsi" w:eastAsiaTheme="majorEastAsia" w:hAnsiTheme="majorHAnsi" w:cstheme="majorBidi"/>
      <w:sz w:val="24"/>
      <w:szCs w:val="24"/>
    </w:rPr>
  </w:style>
  <w:style w:type="character" w:styleId="Strong">
    <w:name w:val="Strong"/>
    <w:basedOn w:val="DefaultParagraphFont"/>
    <w:uiPriority w:val="22"/>
    <w:qFormat/>
    <w:rsid w:val="00F74F0B"/>
    <w:rPr>
      <w:b/>
      <w:bCs/>
      <w:color w:val="auto"/>
    </w:rPr>
  </w:style>
  <w:style w:type="character" w:styleId="Emphasis">
    <w:name w:val="Emphasis"/>
    <w:basedOn w:val="DefaultParagraphFont"/>
    <w:uiPriority w:val="20"/>
    <w:qFormat/>
    <w:rsid w:val="00F74F0B"/>
    <w:rPr>
      <w:i/>
      <w:iCs/>
      <w:color w:val="auto"/>
    </w:rPr>
  </w:style>
  <w:style w:type="paragraph" w:styleId="NoSpacing">
    <w:name w:val="No Spacing"/>
    <w:uiPriority w:val="1"/>
    <w:qFormat/>
    <w:rsid w:val="00F74F0B"/>
    <w:pPr>
      <w:spacing w:after="0" w:line="240" w:lineRule="auto"/>
    </w:pPr>
  </w:style>
  <w:style w:type="paragraph" w:styleId="Quote">
    <w:name w:val="Quote"/>
    <w:basedOn w:val="Normal"/>
    <w:next w:val="Normal"/>
    <w:link w:val="QuoteChar"/>
    <w:uiPriority w:val="29"/>
    <w:qFormat/>
    <w:rsid w:val="00F74F0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74F0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74F0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74F0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74F0B"/>
    <w:rPr>
      <w:i/>
      <w:iCs/>
      <w:color w:val="auto"/>
    </w:rPr>
  </w:style>
  <w:style w:type="character" w:styleId="IntenseEmphasis">
    <w:name w:val="Intense Emphasis"/>
    <w:basedOn w:val="DefaultParagraphFont"/>
    <w:uiPriority w:val="21"/>
    <w:qFormat/>
    <w:rsid w:val="00F74F0B"/>
    <w:rPr>
      <w:b/>
      <w:bCs/>
      <w:i/>
      <w:iCs/>
      <w:color w:val="auto"/>
    </w:rPr>
  </w:style>
  <w:style w:type="character" w:styleId="SubtleReference">
    <w:name w:val="Subtle Reference"/>
    <w:basedOn w:val="DefaultParagraphFont"/>
    <w:uiPriority w:val="31"/>
    <w:qFormat/>
    <w:rsid w:val="00F74F0B"/>
    <w:rPr>
      <w:smallCaps/>
      <w:color w:val="auto"/>
      <w:u w:val="single" w:color="7F7F7F" w:themeColor="text1" w:themeTint="80"/>
    </w:rPr>
  </w:style>
  <w:style w:type="character" w:styleId="IntenseReference">
    <w:name w:val="Intense Reference"/>
    <w:basedOn w:val="DefaultParagraphFont"/>
    <w:uiPriority w:val="32"/>
    <w:qFormat/>
    <w:rsid w:val="00F74F0B"/>
    <w:rPr>
      <w:b/>
      <w:bCs/>
      <w:smallCaps/>
      <w:color w:val="auto"/>
      <w:u w:val="single"/>
    </w:rPr>
  </w:style>
  <w:style w:type="character" w:styleId="BookTitle">
    <w:name w:val="Book Title"/>
    <w:basedOn w:val="DefaultParagraphFont"/>
    <w:uiPriority w:val="33"/>
    <w:qFormat/>
    <w:rsid w:val="00F74F0B"/>
    <w:rPr>
      <w:b/>
      <w:bCs/>
      <w:smallCaps/>
      <w:color w:val="auto"/>
    </w:rPr>
  </w:style>
  <w:style w:type="paragraph" w:styleId="TOCHeading">
    <w:name w:val="TOC Heading"/>
    <w:basedOn w:val="Heading1"/>
    <w:next w:val="Normal"/>
    <w:uiPriority w:val="39"/>
    <w:semiHidden/>
    <w:unhideWhenUsed/>
    <w:qFormat/>
    <w:rsid w:val="00F74F0B"/>
    <w:pPr>
      <w:outlineLvl w:val="9"/>
    </w:pPr>
  </w:style>
  <w:style w:type="paragraph" w:styleId="ListParagraph">
    <w:name w:val="List Paragraph"/>
    <w:basedOn w:val="Normal"/>
    <w:uiPriority w:val="34"/>
    <w:qFormat/>
    <w:rsid w:val="001F7DA9"/>
    <w:pPr>
      <w:ind w:left="720"/>
      <w:contextualSpacing/>
    </w:pPr>
  </w:style>
  <w:style w:type="paragraph" w:styleId="NormalWeb">
    <w:name w:val="Normal (Web)"/>
    <w:basedOn w:val="Normal"/>
    <w:uiPriority w:val="99"/>
    <w:semiHidden/>
    <w:unhideWhenUsed/>
    <w:rsid w:val="003967D0"/>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E0597A"/>
    <w:rPr>
      <w:color w:val="0563C1" w:themeColor="hyperlink"/>
      <w:u w:val="single"/>
    </w:rPr>
  </w:style>
  <w:style w:type="character" w:customStyle="1" w:styleId="UnresolvedMention">
    <w:name w:val="Unresolved Mention"/>
    <w:basedOn w:val="DefaultParagraphFont"/>
    <w:uiPriority w:val="99"/>
    <w:semiHidden/>
    <w:unhideWhenUsed/>
    <w:rsid w:val="00E0597A"/>
    <w:rPr>
      <w:color w:val="605E5C"/>
      <w:shd w:val="clear" w:color="auto" w:fill="E1DFDD"/>
    </w:rPr>
  </w:style>
  <w:style w:type="paragraph" w:styleId="Header">
    <w:name w:val="header"/>
    <w:basedOn w:val="Normal"/>
    <w:link w:val="HeaderChar"/>
    <w:uiPriority w:val="99"/>
    <w:unhideWhenUsed/>
    <w:rsid w:val="00E47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92B"/>
  </w:style>
  <w:style w:type="paragraph" w:styleId="Footer">
    <w:name w:val="footer"/>
    <w:basedOn w:val="Normal"/>
    <w:link w:val="FooterChar"/>
    <w:uiPriority w:val="99"/>
    <w:unhideWhenUsed/>
    <w:rsid w:val="00E47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2B"/>
  </w:style>
  <w:style w:type="paragraph" w:styleId="BalloonText">
    <w:name w:val="Balloon Text"/>
    <w:basedOn w:val="Normal"/>
    <w:link w:val="BalloonTextChar"/>
    <w:uiPriority w:val="99"/>
    <w:semiHidden/>
    <w:unhideWhenUsed/>
    <w:rsid w:val="00C77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D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E1D05-BC5B-48B8-BE99-E780C428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15309</Words>
  <Characters>87265</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SOURAV KUMAR SAMAL</dc:creator>
  <cp:keywords/>
  <dc:description/>
  <cp:lastModifiedBy>DELL</cp:lastModifiedBy>
  <cp:revision>27</cp:revision>
  <dcterms:created xsi:type="dcterms:W3CDTF">2026-01-23T07:15:00Z</dcterms:created>
  <dcterms:modified xsi:type="dcterms:W3CDTF">2026-03-15T14:51:00Z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470cd95d-786a-3b2f-9a40-03a4dbd70257</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http://www.zotero.org/styles/waste-management</vt:lpwstr>
  </property>
  <property fmtid="{D5CDD505-2E9C-101B-9397-08002B2CF9AE}" pid="24" name="Mendeley Recent Style Name 9_1">
    <vt:lpwstr>Waste Management</vt:lpwstr>
  </property>
</Properties>
</file>