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F0AC8" w14:textId="5A11D7FE" w:rsidR="00754C9A" w:rsidRDefault="00716890" w:rsidP="00441B6F">
      <w:pPr>
        <w:pStyle w:val="Title"/>
        <w:spacing w:after="0"/>
        <w:jc w:val="both"/>
        <w:rPr>
          <w:rFonts w:ascii="Arial" w:hAnsi="Arial" w:cs="Arial"/>
        </w:rPr>
      </w:pPr>
      <w:r w:rsidRPr="00716890">
        <w:rPr>
          <w:rFonts w:ascii="Arial" w:hAnsi="Arial" w:cs="Arial"/>
        </w:rPr>
        <w:t>Original Research Article</w:t>
      </w:r>
    </w:p>
    <w:p w14:paraId="1B37C98D" w14:textId="77777777" w:rsidR="00716890" w:rsidRDefault="00716890" w:rsidP="00441B6F">
      <w:pPr>
        <w:pStyle w:val="Title"/>
        <w:spacing w:after="0"/>
        <w:jc w:val="both"/>
        <w:rPr>
          <w:rFonts w:ascii="Arial" w:hAnsi="Arial" w:cs="Arial"/>
        </w:rPr>
      </w:pPr>
    </w:p>
    <w:p w14:paraId="1DC3FEA9" w14:textId="77777777" w:rsidR="00716890" w:rsidRDefault="00716890" w:rsidP="00441B6F">
      <w:pPr>
        <w:pStyle w:val="Title"/>
        <w:spacing w:after="0"/>
        <w:jc w:val="both"/>
        <w:rPr>
          <w:rFonts w:ascii="Arial" w:hAnsi="Arial" w:cs="Arial"/>
        </w:rPr>
      </w:pPr>
    </w:p>
    <w:p w14:paraId="1A1D8B6D" w14:textId="62DE4D5E" w:rsidR="00163BC4" w:rsidRDefault="009C1ECF" w:rsidP="00441B6F">
      <w:pPr>
        <w:pStyle w:val="Author"/>
        <w:spacing w:line="240" w:lineRule="auto"/>
        <w:rPr>
          <w:rFonts w:ascii="Arial" w:hAnsi="Arial" w:cs="Arial"/>
          <w:bCs/>
          <w:iCs/>
          <w:kern w:val="28"/>
          <w:sz w:val="36"/>
        </w:rPr>
      </w:pPr>
      <w:commentRangeStart w:id="0"/>
      <w:r>
        <w:rPr>
          <w:rFonts w:ascii="Arial" w:hAnsi="Arial" w:cs="Arial"/>
          <w:bCs/>
          <w:iCs/>
          <w:kern w:val="28"/>
          <w:sz w:val="36"/>
        </w:rPr>
        <w:t xml:space="preserve">Secondhand Smoke Knowledge, Attitude, and, Avoidance Behavior in a Highly Urbanized Area </w:t>
      </w:r>
      <w:commentRangeEnd w:id="0"/>
      <w:r w:rsidR="000427C7">
        <w:rPr>
          <w:rStyle w:val="CommentReference"/>
          <w:rFonts w:ascii="Times New Roman" w:hAnsi="Times New Roman"/>
          <w:b w:val="0"/>
          <w:lang w:val="nb-NO" w:eastAsia="nb-NO"/>
        </w:rPr>
        <w:commentReference w:id="0"/>
      </w:r>
    </w:p>
    <w:p w14:paraId="71D43BE5" w14:textId="77777777" w:rsidR="00BB26BD" w:rsidRPr="00163BC4" w:rsidRDefault="00BB26BD" w:rsidP="00441B6F">
      <w:pPr>
        <w:pStyle w:val="Author"/>
        <w:spacing w:line="240" w:lineRule="auto"/>
        <w:rPr>
          <w:rFonts w:ascii="Arial" w:hAnsi="Arial" w:cs="Arial"/>
          <w:bCs/>
          <w:iCs/>
          <w:kern w:val="28"/>
          <w:sz w:val="36"/>
        </w:rPr>
      </w:pPr>
    </w:p>
    <w:p w14:paraId="7A7A963B" w14:textId="77777777" w:rsidR="00A258C3" w:rsidRPr="00790ADA" w:rsidRDefault="00A258C3" w:rsidP="00441B6F">
      <w:pPr>
        <w:pStyle w:val="Author"/>
        <w:spacing w:line="240" w:lineRule="auto"/>
        <w:jc w:val="both"/>
        <w:rPr>
          <w:rFonts w:ascii="Arial" w:hAnsi="Arial" w:cs="Arial"/>
          <w:sz w:val="36"/>
        </w:rPr>
      </w:pPr>
    </w:p>
    <w:p w14:paraId="0FA608BA" w14:textId="67F66516" w:rsidR="00161541" w:rsidRDefault="00161541" w:rsidP="00161541">
      <w:pPr>
        <w:pStyle w:val="Affiliation"/>
        <w:spacing w:after="0" w:line="240" w:lineRule="auto"/>
        <w:jc w:val="left"/>
        <w:rPr>
          <w:rFonts w:ascii="Arial" w:hAnsi="Arial" w:cs="Arial"/>
          <w:i/>
          <w:lang w:val="en-PH"/>
        </w:rPr>
      </w:pPr>
    </w:p>
    <w:p w14:paraId="7290F699" w14:textId="3E514438" w:rsidR="002D470B" w:rsidRDefault="002D470B" w:rsidP="00161541">
      <w:pPr>
        <w:pStyle w:val="Affiliation"/>
        <w:spacing w:after="0" w:line="240" w:lineRule="auto"/>
        <w:jc w:val="left"/>
        <w:rPr>
          <w:rFonts w:ascii="Arial" w:hAnsi="Arial" w:cs="Arial"/>
          <w:i/>
          <w:lang w:val="en-PH"/>
        </w:rPr>
      </w:pPr>
    </w:p>
    <w:p w14:paraId="4EB2DCE7" w14:textId="3ED16B7A" w:rsidR="002D470B" w:rsidRDefault="002D470B" w:rsidP="00161541">
      <w:pPr>
        <w:pStyle w:val="Affiliation"/>
        <w:spacing w:after="0" w:line="240" w:lineRule="auto"/>
        <w:jc w:val="left"/>
        <w:rPr>
          <w:rFonts w:ascii="Arial" w:hAnsi="Arial" w:cs="Arial"/>
          <w:i/>
          <w:lang w:val="en-PH"/>
        </w:rPr>
      </w:pPr>
    </w:p>
    <w:p w14:paraId="0314EDD5" w14:textId="54F4B4EE" w:rsidR="002D470B" w:rsidRDefault="002D470B" w:rsidP="00161541">
      <w:pPr>
        <w:pStyle w:val="Affiliation"/>
        <w:spacing w:after="0" w:line="240" w:lineRule="auto"/>
        <w:jc w:val="left"/>
        <w:rPr>
          <w:rFonts w:ascii="Arial" w:hAnsi="Arial" w:cs="Arial"/>
          <w:i/>
          <w:lang w:val="en-PH"/>
        </w:rPr>
      </w:pPr>
    </w:p>
    <w:p w14:paraId="4ACE0347" w14:textId="77777777" w:rsidR="002D470B" w:rsidRDefault="002D470B" w:rsidP="00161541">
      <w:pPr>
        <w:pStyle w:val="Affiliation"/>
        <w:spacing w:after="0" w:line="240" w:lineRule="auto"/>
        <w:jc w:val="left"/>
        <w:rPr>
          <w:rFonts w:ascii="Arial" w:hAnsi="Arial" w:cs="Arial"/>
          <w:i/>
          <w:lang w:val="en-PH"/>
        </w:rPr>
      </w:pPr>
    </w:p>
    <w:p w14:paraId="60A22890" w14:textId="77777777" w:rsidR="00BB26BD" w:rsidRDefault="00BB26BD" w:rsidP="009C1ECF">
      <w:pPr>
        <w:pStyle w:val="Affiliation"/>
        <w:spacing w:after="0" w:line="240" w:lineRule="auto"/>
        <w:rPr>
          <w:rFonts w:ascii="Arial" w:hAnsi="Arial" w:cs="Arial"/>
          <w:i/>
          <w:lang w:val="en-PH"/>
        </w:rPr>
      </w:pPr>
    </w:p>
    <w:p w14:paraId="56C8DB2A" w14:textId="77777777" w:rsidR="00BB26BD" w:rsidRPr="009C1ECF" w:rsidRDefault="00BB26BD" w:rsidP="009C1ECF">
      <w:pPr>
        <w:pStyle w:val="Affiliation"/>
        <w:spacing w:after="0" w:line="240" w:lineRule="auto"/>
        <w:rPr>
          <w:rFonts w:ascii="Arial" w:hAnsi="Arial" w:cs="Arial"/>
          <w:i/>
          <w:lang w:val="en-PH"/>
        </w:rPr>
      </w:pPr>
    </w:p>
    <w:p w14:paraId="6B2E5688" w14:textId="77777777" w:rsidR="00790ADA" w:rsidRDefault="00790ADA" w:rsidP="00441B6F">
      <w:pPr>
        <w:pStyle w:val="Affiliation"/>
        <w:spacing w:after="0" w:line="240" w:lineRule="auto"/>
        <w:jc w:val="both"/>
        <w:rPr>
          <w:rFonts w:ascii="Arial" w:hAnsi="Arial" w:cs="Arial"/>
        </w:rPr>
      </w:pPr>
    </w:p>
    <w:p w14:paraId="6BBA8B3A" w14:textId="77777777" w:rsidR="002C57D2" w:rsidRPr="00FB3A86" w:rsidRDefault="002C57D2" w:rsidP="00441B6F">
      <w:pPr>
        <w:pStyle w:val="Affiliation"/>
        <w:spacing w:after="0" w:line="240" w:lineRule="auto"/>
        <w:jc w:val="both"/>
        <w:rPr>
          <w:rFonts w:ascii="Arial" w:hAnsi="Arial" w:cs="Arial"/>
        </w:rPr>
      </w:pPr>
    </w:p>
    <w:p w14:paraId="6E7C1898" w14:textId="3D050C05" w:rsidR="00B01FCD" w:rsidRPr="00FB3A86" w:rsidRDefault="00960F1F" w:rsidP="00441B6F">
      <w:pPr>
        <w:pStyle w:val="Copyright"/>
        <w:spacing w:after="0" w:line="240" w:lineRule="auto"/>
        <w:jc w:val="both"/>
        <w:rPr>
          <w:rFonts w:ascii="Arial" w:hAnsi="Arial" w:cs="Arial"/>
        </w:rPr>
        <w:sectPr w:rsidR="00B01FCD" w:rsidRPr="00FB3A86" w:rsidSect="0021677F">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46E2F5" wp14:editId="3F1252F3">
                <wp:extent cx="5303520" cy="635"/>
                <wp:effectExtent l="15240" t="15875" r="15240" b="12700"/>
                <wp:docPr id="16270680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EDBB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9C8680C" w14:textId="7D3A4EB4" w:rsidR="00B01FCD" w:rsidRDefault="00B01FCD" w:rsidP="00441B6F">
      <w:pPr>
        <w:pStyle w:val="AbstHead"/>
        <w:spacing w:after="0"/>
        <w:jc w:val="both"/>
        <w:rPr>
          <w:rFonts w:ascii="Arial" w:hAnsi="Arial" w:cs="Arial"/>
        </w:rPr>
      </w:pPr>
      <w:commentRangeStart w:id="1"/>
      <w:r w:rsidRPr="00FB3A86">
        <w:rPr>
          <w:rFonts w:ascii="Arial" w:hAnsi="Arial" w:cs="Arial"/>
        </w:rPr>
        <w:t>ABSTRACT</w:t>
      </w:r>
      <w:commentRangeEnd w:id="1"/>
      <w:r w:rsidR="000427C7">
        <w:rPr>
          <w:rStyle w:val="CommentReference"/>
          <w:rFonts w:ascii="Times New Roman" w:hAnsi="Times New Roman"/>
          <w:b w:val="0"/>
          <w:caps w:val="0"/>
          <w:lang w:val="nb-NO" w:eastAsia="nb-NO"/>
        </w:rPr>
        <w:commentReference w:id="1"/>
      </w:r>
    </w:p>
    <w:p w14:paraId="084C4C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EEB959" w14:textId="77777777" w:rsidTr="001E44FE">
        <w:tc>
          <w:tcPr>
            <w:tcW w:w="9576" w:type="dxa"/>
            <w:shd w:val="clear" w:color="auto" w:fill="F2F2F2"/>
          </w:tcPr>
          <w:p w14:paraId="4044D908"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 xml:space="preserve">Aims: </w:t>
            </w:r>
            <w:r w:rsidRPr="009C1ECF">
              <w:rPr>
                <w:rFonts w:ascii="Arial" w:eastAsia="Calibri" w:hAnsi="Arial" w:cs="Arial"/>
                <w:szCs w:val="22"/>
                <w:lang w:val="en-PH"/>
              </w:rPr>
              <w:t>This study aimed to determine the level of knowledge, attitudes, and avoidance behaviors regarding secondhand smoke exposure among household heads in a highly urbanized area in Iloilo City. Specifically, the study sought to describe the respondents’ demographic profile and examine the relationships among knowledge, attitudes, and avoidance behaviors toward secondhand smoke exposure.</w:t>
            </w:r>
          </w:p>
          <w:p w14:paraId="2C46D130"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Study design:</w:t>
            </w:r>
            <w:r w:rsidRPr="009C1ECF">
              <w:rPr>
                <w:rFonts w:ascii="Arial" w:eastAsia="Calibri" w:hAnsi="Arial" w:cs="Arial"/>
                <w:szCs w:val="22"/>
                <w:lang w:val="en-PH"/>
              </w:rPr>
              <w:t xml:space="preserve"> This study utilized a descriptive-correlational research design.</w:t>
            </w:r>
          </w:p>
          <w:p w14:paraId="33D3EAA4" w14:textId="77777777"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Place and Duration of Study:</w:t>
            </w:r>
            <w:r w:rsidRPr="009C1ECF">
              <w:rPr>
                <w:rFonts w:ascii="Arial" w:eastAsia="Calibri" w:hAnsi="Arial" w:cs="Arial"/>
                <w:szCs w:val="22"/>
                <w:lang w:val="en-PH"/>
              </w:rPr>
              <w:t xml:space="preserve"> The study was conducted in Barangay Calumpang, Molo, Iloilo City, Philippines, a highly urbanized area characterized by densely populated households. Data collection was conducted between January and February 2026.</w:t>
            </w:r>
          </w:p>
          <w:p w14:paraId="63DD6500" w14:textId="3412480E"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Methodology:</w:t>
            </w:r>
            <w:r w:rsidRPr="009C1ECF">
              <w:rPr>
                <w:rFonts w:ascii="Arial" w:eastAsia="Calibri" w:hAnsi="Arial" w:cs="Arial"/>
                <w:szCs w:val="22"/>
                <w:lang w:val="en-PH"/>
              </w:rPr>
              <w:t xml:space="preserve"> The study included 361 household heads aged 18 years and above residing in a selected barangay in Iloilo City</w:t>
            </w:r>
            <w:r>
              <w:rPr>
                <w:rFonts w:ascii="Arial" w:eastAsia="Calibri" w:hAnsi="Arial" w:cs="Arial"/>
                <w:szCs w:val="22"/>
                <w:lang w:val="en-PH"/>
              </w:rPr>
              <w:t>,</w:t>
            </w:r>
            <w:r w:rsidRPr="009C1ECF">
              <w:rPr>
                <w:rFonts w:ascii="Arial" w:eastAsia="Calibri" w:hAnsi="Arial" w:cs="Arial"/>
                <w:szCs w:val="22"/>
                <w:lang w:val="en-PH"/>
              </w:rPr>
              <w:t xml:space="preserve"> </w:t>
            </w:r>
            <w:r>
              <w:rPr>
                <w:rFonts w:ascii="Arial" w:eastAsia="Calibri" w:hAnsi="Arial" w:cs="Arial"/>
                <w:szCs w:val="22"/>
                <w:lang w:val="en-PH"/>
              </w:rPr>
              <w:t>selected</w:t>
            </w:r>
            <w:r w:rsidRPr="009C1ECF">
              <w:rPr>
                <w:rFonts w:ascii="Arial" w:eastAsia="Calibri" w:hAnsi="Arial" w:cs="Arial"/>
                <w:szCs w:val="22"/>
                <w:lang w:val="en-PH"/>
              </w:rPr>
              <w:t xml:space="preserve"> using convenience sampling. Data were collected using adopted questionnaires measuring demographic profile, knowledge, attitudes, and avoidance behaviors regarding secondhand smoke exposure. The instruments underwent validation by three expert validators, and reliability testing showed acceptable to excellent internal consistency. Ethical clearance was obtained prior to data collection.</w:t>
            </w:r>
          </w:p>
          <w:p w14:paraId="3F789F85" w14:textId="4D656EA6" w:rsidR="009C1ECF" w:rsidRPr="009C1ECF" w:rsidRDefault="009C1ECF" w:rsidP="009C1ECF">
            <w:pPr>
              <w:pStyle w:val="Body"/>
              <w:spacing w:after="0"/>
              <w:rPr>
                <w:rFonts w:ascii="Arial" w:eastAsia="Calibri" w:hAnsi="Arial" w:cs="Arial"/>
                <w:szCs w:val="22"/>
                <w:lang w:val="en-PH"/>
              </w:rPr>
            </w:pPr>
            <w:r w:rsidRPr="009C1ECF">
              <w:rPr>
                <w:rFonts w:ascii="Arial" w:eastAsia="Calibri" w:hAnsi="Arial" w:cs="Arial"/>
                <w:b/>
                <w:bCs/>
                <w:szCs w:val="22"/>
                <w:lang w:val="en-PH"/>
              </w:rPr>
              <w:t>Results:</w:t>
            </w:r>
            <w:r w:rsidRPr="009C1ECF">
              <w:rPr>
                <w:rFonts w:ascii="Arial" w:eastAsia="Calibri" w:hAnsi="Arial" w:cs="Arial"/>
                <w:szCs w:val="22"/>
                <w:lang w:val="en-PH"/>
              </w:rPr>
              <w:t xml:space="preserve"> A total of 361 respondents participated in the study. The majority of respondents were female (65.1%), aged 18–25 years (37.1%), and had college-level education (40.2%). Most respondents reported that the smoker in their environment was a neighbor (30.5%).The findings revealed that respondents generally demonstrated favorable knowledge and attitudes toward secondhand smoke exposure, while avoidance behaviors varied across households. Correlation analysis using Spearman’s rho indicated significant relationships among knowledge, attitudes, and avoidance behaviors regarding secondhand smoke exposure, suggesting that higher knowledge and more favorable attitudes were associated with stronger avoidance practices.</w:t>
            </w:r>
          </w:p>
          <w:p w14:paraId="192AB858" w14:textId="118C8816" w:rsidR="00505F06" w:rsidRPr="00BA1B01" w:rsidRDefault="009C1ECF" w:rsidP="009C1ECF">
            <w:pPr>
              <w:pStyle w:val="Body"/>
              <w:spacing w:after="0"/>
              <w:rPr>
                <w:rFonts w:ascii="Arial" w:eastAsia="Calibri" w:hAnsi="Arial" w:cs="Arial"/>
                <w:szCs w:val="22"/>
              </w:rPr>
            </w:pPr>
            <w:r w:rsidRPr="009C1ECF">
              <w:rPr>
                <w:rFonts w:ascii="Arial" w:eastAsia="Calibri" w:hAnsi="Arial" w:cs="Arial"/>
                <w:b/>
                <w:bCs/>
                <w:szCs w:val="22"/>
                <w:lang w:val="en-PH"/>
              </w:rPr>
              <w:t>Conclusion:</w:t>
            </w:r>
            <w:r w:rsidRPr="009C1ECF">
              <w:rPr>
                <w:rFonts w:ascii="Arial" w:eastAsia="Calibri" w:hAnsi="Arial" w:cs="Arial"/>
                <w:szCs w:val="22"/>
                <w:lang w:val="en-PH"/>
              </w:rPr>
              <w:t xml:space="preserve"> Household heads generally showed favorable knowledge of the health risks of secondhand smoke exposure, though avoidance behaviors varied across households. Strengthening health education and community interventions may help improve consistent </w:t>
            </w:r>
            <w:r w:rsidRPr="009C1ECF">
              <w:rPr>
                <w:rFonts w:ascii="Arial" w:eastAsia="Calibri" w:hAnsi="Arial" w:cs="Arial"/>
                <w:szCs w:val="22"/>
                <w:lang w:val="en-PH"/>
              </w:rPr>
              <w:lastRenderedPageBreak/>
              <w:t>avoidance practices. Further studies in different settings are recommended to enhance the generalizability of the findings.</w:t>
            </w:r>
          </w:p>
        </w:tc>
      </w:tr>
    </w:tbl>
    <w:p w14:paraId="5F4959B5" w14:textId="77777777" w:rsidR="00636EB2" w:rsidRDefault="00636EB2" w:rsidP="00441B6F">
      <w:pPr>
        <w:pStyle w:val="Body"/>
        <w:spacing w:after="0"/>
        <w:rPr>
          <w:rFonts w:ascii="Arial" w:hAnsi="Arial" w:cs="Arial"/>
          <w:i/>
        </w:rPr>
      </w:pPr>
    </w:p>
    <w:p w14:paraId="2CA6D1E9" w14:textId="214715D7" w:rsidR="0024282C" w:rsidRPr="00142767" w:rsidRDefault="00A24E7E" w:rsidP="00441B6F">
      <w:pPr>
        <w:pStyle w:val="Body"/>
        <w:spacing w:after="0"/>
        <w:rPr>
          <w:rFonts w:ascii="Arial" w:hAnsi="Arial" w:cs="Arial"/>
          <w:i/>
        </w:rPr>
      </w:pPr>
      <w:r>
        <w:rPr>
          <w:rFonts w:ascii="Arial" w:hAnsi="Arial" w:cs="Arial"/>
          <w:i/>
        </w:rPr>
        <w:t>Keywords</w:t>
      </w:r>
      <w:r w:rsidR="009C1ECF">
        <w:rPr>
          <w:rFonts w:ascii="Arial" w:hAnsi="Arial" w:cs="Arial"/>
          <w:i/>
        </w:rPr>
        <w:t>: secondhand smoke, highly urbanized households, knowledge, attitudes, avoidance behaviors</w:t>
      </w:r>
    </w:p>
    <w:p w14:paraId="16CFB4C9" w14:textId="77777777" w:rsidR="00505F06" w:rsidRPr="00A24E7E" w:rsidRDefault="00505F06" w:rsidP="00441B6F">
      <w:pPr>
        <w:pStyle w:val="Body"/>
        <w:spacing w:after="0"/>
        <w:rPr>
          <w:rFonts w:ascii="Arial" w:hAnsi="Arial" w:cs="Arial"/>
          <w:i/>
        </w:rPr>
      </w:pPr>
    </w:p>
    <w:p w14:paraId="39572E07" w14:textId="160EFC46" w:rsidR="007F7B32" w:rsidRDefault="00902823" w:rsidP="00441B6F">
      <w:pPr>
        <w:pStyle w:val="AbstHead"/>
        <w:spacing w:after="0"/>
        <w:jc w:val="both"/>
        <w:rPr>
          <w:rFonts w:ascii="Arial" w:hAnsi="Arial" w:cs="Arial"/>
        </w:rPr>
      </w:pPr>
      <w:r>
        <w:rPr>
          <w:rFonts w:ascii="Arial" w:hAnsi="Arial" w:cs="Arial"/>
        </w:rPr>
        <w:t xml:space="preserve">1. </w:t>
      </w:r>
      <w:commentRangeStart w:id="2"/>
      <w:r w:rsidR="00B01FCD" w:rsidRPr="00FB3A86">
        <w:rPr>
          <w:rFonts w:ascii="Arial" w:hAnsi="Arial" w:cs="Arial"/>
        </w:rPr>
        <w:t>INTRODUCTION</w:t>
      </w:r>
      <w:commentRangeEnd w:id="2"/>
      <w:r w:rsidR="000427C7">
        <w:rPr>
          <w:rStyle w:val="CommentReference"/>
          <w:rFonts w:ascii="Times New Roman" w:hAnsi="Times New Roman"/>
          <w:b w:val="0"/>
          <w:caps w:val="0"/>
          <w:lang w:val="nb-NO" w:eastAsia="nb-NO"/>
        </w:rPr>
        <w:commentReference w:id="2"/>
      </w:r>
    </w:p>
    <w:p w14:paraId="608DA66C" w14:textId="77777777" w:rsidR="00790ADA" w:rsidRPr="00FB3A86" w:rsidRDefault="00790ADA" w:rsidP="00441B6F">
      <w:pPr>
        <w:pStyle w:val="AbstHead"/>
        <w:spacing w:after="0"/>
        <w:jc w:val="both"/>
        <w:rPr>
          <w:rFonts w:ascii="Arial" w:hAnsi="Arial" w:cs="Arial"/>
        </w:rPr>
      </w:pPr>
    </w:p>
    <w:p w14:paraId="7420E905" w14:textId="3D558BB5" w:rsidR="00142767" w:rsidRPr="00142767" w:rsidRDefault="00142767" w:rsidP="00142767">
      <w:pPr>
        <w:pStyle w:val="Body"/>
        <w:rPr>
          <w:rFonts w:ascii="Arial" w:hAnsi="Arial" w:cs="Arial"/>
          <w:lang w:val="en-PH"/>
        </w:rPr>
      </w:pPr>
      <w:r w:rsidRPr="00142767">
        <w:rPr>
          <w:rFonts w:ascii="Arial" w:hAnsi="Arial" w:cs="Arial"/>
          <w:lang w:val="en-PH"/>
        </w:rPr>
        <w:t>Secondhand smoke (SHS) is a combination of smoke emitted by cigars and cigarettes and the smoke exhaled by a smoker (US EPA, 2021). SHS increases the risk of serious health problems among children, pregnant women, and adults and contains approximately 7,000 chemicals, including 70 known carcinogens (World Health Organization [WHO], 2025). In the Philippines, 21.8%, or 16.8 million, individuals were constantly exposed to secondhand smoke in their homes, making households a substantial cause of exposure despite existing smoke-free mandates (Global Adult Tobacco Survey Philippine 2021, 2022). Ideally, no individual should be exposed to SHS, as global and national regulations require a smoke-free environment. The WHO Framework Convention on Tobacco Control (2021) has strived for comprehensive regulations that prohibit SHS in public areas, workplaces and public transportation, while also advocating for smoke-free homes. This advocacy was aligned with Sustainable Development Goal (SDG) 3, Good Health and Well-being, which aimed to strengthen the implementation of the WHO FCTC on tobacco control in all countries and also sought to reduce the mortalities and morbidities from hazardous chemicals and air (The Global Goals, 2025). Implementing effective tobacco control policies as well as encouraging behavior changes within households have been necessary to achieve these goals.</w:t>
      </w:r>
    </w:p>
    <w:p w14:paraId="4945EFB3" w14:textId="72D0F3C8" w:rsidR="00142767" w:rsidRPr="00142767" w:rsidRDefault="00142767" w:rsidP="00142767">
      <w:pPr>
        <w:pStyle w:val="Body"/>
        <w:rPr>
          <w:rFonts w:ascii="Arial" w:hAnsi="Arial" w:cs="Arial"/>
          <w:lang w:val="en-PH"/>
        </w:rPr>
      </w:pPr>
      <w:r w:rsidRPr="00142767">
        <w:rPr>
          <w:rFonts w:ascii="Arial" w:hAnsi="Arial" w:cs="Arial"/>
          <w:lang w:val="en-PH"/>
        </w:rPr>
        <w:t>Exposure of children to SHS was increased due to the existence of a smoker in a household, while nonsmoking households are less likely to be exposed (Robin et al., 2020). In India, half of the teenagers were exposed to SHS even though almost three-fourths had sufficient knowledge. However, attitudes towards preventing SHS in public places were revealed to be deficient (Arikrishnan et al., 2020). Participants from Bangladesh presented a moderate level of knowledge and attitude regarding SHS. Age, gender, and those living with their parents appeared to be significant predictors of attitude (Islam et al., 2025).</w:t>
      </w:r>
    </w:p>
    <w:p w14:paraId="57A34C00" w14:textId="55E45995" w:rsidR="00142767" w:rsidRPr="00142767" w:rsidRDefault="00142767" w:rsidP="00142767">
      <w:pPr>
        <w:pStyle w:val="Body"/>
        <w:rPr>
          <w:rFonts w:ascii="Arial" w:hAnsi="Arial" w:cs="Arial"/>
          <w:lang w:val="en-PH"/>
        </w:rPr>
      </w:pPr>
      <w:r w:rsidRPr="00142767">
        <w:rPr>
          <w:rFonts w:ascii="Arial" w:hAnsi="Arial" w:cs="Arial"/>
          <w:lang w:val="en-PH"/>
        </w:rPr>
        <w:t>Smoke-free public spaces in the Philippines have been mandated by the Republic Act 9211 and Executive Order No. 26, and the Department of Health (Department of Health, 2021), which promoted stronger enforcement and awareness to strengthen safety in households. These programs were further supported by the Philippine National Objectives for Health (Philippine NOH) (2023-2028), which prioritized reduction of tobacco use and SHS exposure in line with the global health goals (DOH, 2023). Implementation of several tobacco control regulations in the Philippines might have been the key in reducing SHS exposure (Kress et al., 2023). It showed that prevalence of SHS exposure at work and in public places significantly decreased between 2009 and 2015. In addition, local findings from Iloilo suggested that awareness campaigns affect attitudes towards smoking and SHS, underlining the significance of further examining household-level knowledge and avoidance behaviors regarding SHS (Tupas &amp; Agreda, 2020). </w:t>
      </w:r>
    </w:p>
    <w:p w14:paraId="68F06FD2" w14:textId="0D5B44A8" w:rsidR="00142767" w:rsidRPr="00142767" w:rsidRDefault="00142767" w:rsidP="00142767">
      <w:pPr>
        <w:pStyle w:val="Body"/>
        <w:rPr>
          <w:rFonts w:ascii="Arial" w:hAnsi="Arial" w:cs="Arial"/>
          <w:lang w:val="en-PH"/>
        </w:rPr>
      </w:pPr>
      <w:r w:rsidRPr="00142767">
        <w:rPr>
          <w:rFonts w:ascii="Arial" w:hAnsi="Arial" w:cs="Arial"/>
          <w:lang w:val="en-PH"/>
        </w:rPr>
        <w:t xml:space="preserve">Although studies from different settings demonstrated a high level of awareness and understanding regarding the health risks associated with SHS, avoidance behaviors remain inadequate, indicating a persistent gap between knowledge and behavior. Studies from Bangladesh and India revealed that awareness of SHS threats did not directly result in avoidance. However, how these factors interacted at a household level and the certain challenges faced by households in a congested urban area was not taken into consideration.  In the Philippine setting, information about household knowledge, attitudes, </w:t>
      </w:r>
      <w:r w:rsidRPr="00142767">
        <w:rPr>
          <w:rFonts w:ascii="Arial" w:hAnsi="Arial" w:cs="Arial"/>
          <w:lang w:val="en-PH"/>
        </w:rPr>
        <w:lastRenderedPageBreak/>
        <w:t>and avoidance behaviors, particularly in densely populated areas, remains insufficient, emphasizing the need for localized study. </w:t>
      </w:r>
    </w:p>
    <w:p w14:paraId="534D2427" w14:textId="5395DD33" w:rsidR="00790ADA" w:rsidRPr="005B426F" w:rsidRDefault="00142767" w:rsidP="005B426F">
      <w:pPr>
        <w:pStyle w:val="Body"/>
        <w:rPr>
          <w:rFonts w:ascii="Arial" w:hAnsi="Arial" w:cs="Arial"/>
          <w:lang w:val="en-PH"/>
        </w:rPr>
      </w:pPr>
      <w:r w:rsidRPr="00142767">
        <w:rPr>
          <w:rFonts w:ascii="Arial" w:hAnsi="Arial" w:cs="Arial"/>
          <w:lang w:val="en-PH"/>
        </w:rPr>
        <w:t>Addressing this gap aligned with directly supporting Sustainable Development Goal (SDG) 3 and Philippine National Objectives for Health, which seek to reduce exposure to hazardous air and SHS to promote health and well-being. This study assessed the knowledge, attitudes, and avoidance behaviors related to secondhand smoke exposure among households living in a congested community. The findings contribute to both national and global public health efforts aimed at reducing SHS exposure and promoting healthier living environments.</w:t>
      </w:r>
    </w:p>
    <w:p w14:paraId="5170C4B2" w14:textId="4CAD77F9" w:rsidR="007F7B32" w:rsidRDefault="00902823" w:rsidP="00441B6F">
      <w:pPr>
        <w:pStyle w:val="AbstHead"/>
        <w:spacing w:after="0"/>
        <w:jc w:val="both"/>
        <w:rPr>
          <w:rFonts w:ascii="Arial" w:hAnsi="Arial" w:cs="Arial"/>
        </w:rPr>
      </w:pPr>
      <w:commentRangeStart w:id="3"/>
      <w:r>
        <w:rPr>
          <w:rFonts w:ascii="Arial" w:hAnsi="Arial" w:cs="Arial"/>
        </w:rPr>
        <w:t>2. material and method</w:t>
      </w:r>
      <w:r w:rsidR="00000F8F">
        <w:rPr>
          <w:rFonts w:ascii="Arial" w:hAnsi="Arial" w:cs="Arial"/>
        </w:rPr>
        <w:t xml:space="preserve">s </w:t>
      </w:r>
      <w:commentRangeEnd w:id="3"/>
      <w:r w:rsidR="00C34059">
        <w:rPr>
          <w:rStyle w:val="CommentReference"/>
          <w:rFonts w:ascii="Times New Roman" w:hAnsi="Times New Roman"/>
          <w:b w:val="0"/>
          <w:caps w:val="0"/>
          <w:lang w:val="nb-NO" w:eastAsia="nb-NO"/>
        </w:rPr>
        <w:commentReference w:id="3"/>
      </w:r>
    </w:p>
    <w:p w14:paraId="6E36BE9F" w14:textId="77777777" w:rsidR="00790ADA" w:rsidRPr="00FB3A86" w:rsidRDefault="00790ADA" w:rsidP="00441B6F">
      <w:pPr>
        <w:pStyle w:val="AbstHead"/>
        <w:spacing w:after="0"/>
        <w:jc w:val="both"/>
        <w:rPr>
          <w:rFonts w:ascii="Arial" w:hAnsi="Arial" w:cs="Arial"/>
        </w:rPr>
      </w:pPr>
    </w:p>
    <w:p w14:paraId="089B88F0" w14:textId="1A4A8D6B"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2.1 Research Design</w:t>
      </w:r>
    </w:p>
    <w:p w14:paraId="41904133" w14:textId="78ED910B" w:rsidR="00142767" w:rsidRPr="00142767" w:rsidRDefault="00142767" w:rsidP="00142767">
      <w:pPr>
        <w:pStyle w:val="Body"/>
        <w:rPr>
          <w:rFonts w:ascii="Arial" w:hAnsi="Arial" w:cs="Arial"/>
          <w:lang w:val="en-PH"/>
        </w:rPr>
      </w:pPr>
      <w:r w:rsidRPr="00142767">
        <w:rPr>
          <w:rFonts w:ascii="Arial" w:hAnsi="Arial" w:cs="Arial"/>
          <w:lang w:val="en-PH"/>
        </w:rPr>
        <w:t>This study utilized a descriptive-correlational research design which aims to assess and describe the relationship between variables without establishing a cause-and-effect relationship. It allowed  researchers to measure the degree of relationship between two or more variables and identify patterns or relationships that may be present among them (</w:t>
      </w:r>
      <w:proofErr w:type="spellStart"/>
      <w:r w:rsidRPr="00142767">
        <w:rPr>
          <w:rFonts w:ascii="Arial" w:hAnsi="Arial" w:cs="Arial"/>
          <w:lang w:val="en-PH"/>
        </w:rPr>
        <w:t>Clarete</w:t>
      </w:r>
      <w:proofErr w:type="spellEnd"/>
      <w:r w:rsidRPr="00142767">
        <w:rPr>
          <w:rFonts w:ascii="Arial" w:hAnsi="Arial" w:cs="Arial"/>
          <w:lang w:val="en-PH"/>
        </w:rPr>
        <w:t xml:space="preserve"> et al., 2023). In this study, the design was used to assess the knowledge, attitudes, and avoidance behaviors regarding secondhand smoke exposure among household heads. Furthermore, it  allowed the researchers to examine the relationships among the variables and describe patterns within the selected community. </w:t>
      </w:r>
    </w:p>
    <w:p w14:paraId="7424E677" w14:textId="51C6433A"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2.2 Study Setting</w:t>
      </w:r>
    </w:p>
    <w:p w14:paraId="11A14BE8" w14:textId="3BA9769C" w:rsidR="00142767" w:rsidRPr="00142767" w:rsidRDefault="00142767" w:rsidP="00142767">
      <w:pPr>
        <w:pStyle w:val="Body"/>
        <w:rPr>
          <w:rFonts w:ascii="Arial" w:hAnsi="Arial" w:cs="Arial"/>
          <w:lang w:val="en-PH"/>
        </w:rPr>
      </w:pPr>
      <w:r w:rsidRPr="00142767">
        <w:rPr>
          <w:rFonts w:ascii="Arial" w:hAnsi="Arial" w:cs="Arial"/>
          <w:lang w:val="en-PH"/>
        </w:rPr>
        <w:t>The study was conducted in Barangay Calumpang, Molo, Iloilo City, Philippines, a highly urbanized area characterized by densely populated households. The setting was applicable for the study because crowded households with poor ventilation significantly raised secondhand smoke exposure indoors (Tan et al., 2022). Highly populated and poorly ventilated areas raise the risk of secondhand smoke exposure, and may eventually lead to major health problems (Boey et al., 2022). Similarly, poorly ventilated and densely populated environments have been known to exacerbate air quality indoors and strengthen inhalation risks from air pollutants such as secondhand smoke (</w:t>
      </w:r>
      <w:proofErr w:type="spellStart"/>
      <w:r w:rsidRPr="00142767">
        <w:rPr>
          <w:rFonts w:ascii="Arial" w:hAnsi="Arial" w:cs="Arial"/>
          <w:lang w:val="en-PH"/>
        </w:rPr>
        <w:t>Derikvand</w:t>
      </w:r>
      <w:proofErr w:type="spellEnd"/>
      <w:r w:rsidRPr="00142767">
        <w:rPr>
          <w:rFonts w:ascii="Arial" w:hAnsi="Arial" w:cs="Arial"/>
          <w:lang w:val="en-PH"/>
        </w:rPr>
        <w:t xml:space="preserve"> et al., 2023).</w:t>
      </w:r>
    </w:p>
    <w:p w14:paraId="6696B359" w14:textId="20AB9D59"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2.3 Population and Sampling</w:t>
      </w:r>
    </w:p>
    <w:p w14:paraId="33C8924B" w14:textId="4CCE12A9" w:rsidR="00142767" w:rsidRPr="00142767" w:rsidRDefault="00142767" w:rsidP="00142767">
      <w:pPr>
        <w:pStyle w:val="Body"/>
        <w:rPr>
          <w:rFonts w:ascii="Arial" w:hAnsi="Arial" w:cs="Arial"/>
          <w:lang w:val="en-PH"/>
        </w:rPr>
      </w:pPr>
      <w:r w:rsidRPr="00142767">
        <w:rPr>
          <w:rFonts w:ascii="Arial" w:hAnsi="Arial" w:cs="Arial"/>
          <w:lang w:val="en-PH"/>
        </w:rPr>
        <w:t xml:space="preserve">The study focused on households located in a highly urbanized area in Iloilo City. Household heads serve as respondents, as they are usually familiar with their family’s daily routine, health habits, and how they respond to smoking (Lim et al., 2025). The study included 361 household heads aged 18 years and above residing in the selected barangay. The sample size was determined using the </w:t>
      </w:r>
      <w:proofErr w:type="spellStart"/>
      <w:r w:rsidRPr="00142767">
        <w:rPr>
          <w:rFonts w:ascii="Arial" w:hAnsi="Arial" w:cs="Arial"/>
          <w:lang w:val="en-PH"/>
        </w:rPr>
        <w:t>Raosoft</w:t>
      </w:r>
      <w:proofErr w:type="spellEnd"/>
      <w:r w:rsidRPr="00142767">
        <w:rPr>
          <w:rFonts w:ascii="Arial" w:hAnsi="Arial" w:cs="Arial"/>
          <w:lang w:val="en-PH"/>
        </w:rPr>
        <w:t xml:space="preserve"> sample size calculator based on a population of 5,857 households, a 95% confidence level, 5% margin of error, and 50% response distribution. Due to the absence of an official household sampling frame and restrictions under the Data Privacy Act of 2012, probability sampling could not be implemented. Therefore, convenience sampling was employed. Respondents were obtained from different zones within the barangay to ensure geographical representation.</w:t>
      </w:r>
    </w:p>
    <w:p w14:paraId="30A116E5" w14:textId="79C3ED5C" w:rsidR="00142767" w:rsidRPr="00142767" w:rsidRDefault="00142767" w:rsidP="00142767">
      <w:pPr>
        <w:pStyle w:val="Body"/>
        <w:rPr>
          <w:rFonts w:ascii="Arial" w:hAnsi="Arial" w:cs="Arial"/>
          <w:lang w:val="en-PH"/>
        </w:rPr>
      </w:pPr>
      <w:r w:rsidRPr="00142767">
        <w:rPr>
          <w:rFonts w:ascii="Arial" w:hAnsi="Arial" w:cs="Arial"/>
          <w:noProof/>
          <w:lang w:val="en-PH"/>
        </w:rPr>
        <w:lastRenderedPageBreak/>
        <w:drawing>
          <wp:inline distT="0" distB="0" distL="0" distR="0" wp14:anchorId="4BD454A6" wp14:editId="7483A7A9">
            <wp:extent cx="5207000" cy="2489200"/>
            <wp:effectExtent l="0" t="0" r="0" b="0"/>
            <wp:docPr id="1368252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7000" cy="2489200"/>
                    </a:xfrm>
                    <a:prstGeom prst="rect">
                      <a:avLst/>
                    </a:prstGeom>
                    <a:noFill/>
                    <a:ln>
                      <a:noFill/>
                    </a:ln>
                  </pic:spPr>
                </pic:pic>
              </a:graphicData>
            </a:graphic>
          </wp:inline>
        </w:drawing>
      </w:r>
    </w:p>
    <w:p w14:paraId="01C68405" w14:textId="6C63A879" w:rsidR="00142767" w:rsidRPr="00142767" w:rsidRDefault="00142767" w:rsidP="00142767">
      <w:pPr>
        <w:pStyle w:val="Body"/>
        <w:rPr>
          <w:rFonts w:ascii="Arial" w:hAnsi="Arial" w:cs="Arial"/>
          <w:lang w:val="en-PH"/>
        </w:rPr>
      </w:pPr>
      <w:r w:rsidRPr="00142767">
        <w:rPr>
          <w:rFonts w:ascii="Arial" w:hAnsi="Arial" w:cs="Arial"/>
          <w:b/>
          <w:bCs/>
          <w:lang w:val="en-PH"/>
        </w:rPr>
        <w:t xml:space="preserve">Fig. 1. Result of </w:t>
      </w:r>
      <w:proofErr w:type="spellStart"/>
      <w:r w:rsidRPr="00142767">
        <w:rPr>
          <w:rFonts w:ascii="Arial" w:hAnsi="Arial" w:cs="Arial"/>
          <w:b/>
          <w:bCs/>
          <w:lang w:val="en-PH"/>
        </w:rPr>
        <w:t>Raosoft</w:t>
      </w:r>
      <w:proofErr w:type="spellEnd"/>
      <w:r w:rsidRPr="00142767">
        <w:rPr>
          <w:rFonts w:ascii="Arial" w:hAnsi="Arial" w:cs="Arial"/>
          <w:b/>
          <w:bCs/>
          <w:lang w:val="en-PH"/>
        </w:rPr>
        <w:t xml:space="preserve"> Sample Size Calculator</w:t>
      </w:r>
    </w:p>
    <w:p w14:paraId="607DC17A" w14:textId="466A4666"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2.4 Instrumentation</w:t>
      </w:r>
    </w:p>
    <w:p w14:paraId="2F4B86B0" w14:textId="3212E2A1" w:rsidR="00142767" w:rsidRPr="00142767" w:rsidRDefault="00142767" w:rsidP="00142767">
      <w:pPr>
        <w:pStyle w:val="Body"/>
        <w:rPr>
          <w:rFonts w:ascii="Arial" w:hAnsi="Arial" w:cs="Arial"/>
          <w:lang w:val="en-PH"/>
        </w:rPr>
      </w:pPr>
      <w:r w:rsidRPr="00142767">
        <w:rPr>
          <w:rFonts w:ascii="Arial" w:hAnsi="Arial" w:cs="Arial"/>
          <w:lang w:val="en-PH"/>
        </w:rPr>
        <w:t xml:space="preserve">Data were collected using a printed questionnaire designed to assess knowledge, attitudes, and avoidance behaviors regarding secondhand smoke exposure. The questionnaire required approximately 15–20 minutes to complete and consisted of four sections: (1) demographic profile of respondents, (2) knowledge on secondhand smoke exposure with 16 dichotomous items adopted from Nor </w:t>
      </w:r>
      <w:proofErr w:type="spellStart"/>
      <w:r w:rsidRPr="00142767">
        <w:rPr>
          <w:rFonts w:ascii="Arial" w:hAnsi="Arial" w:cs="Arial"/>
          <w:lang w:val="en-PH"/>
        </w:rPr>
        <w:t>Afiah</w:t>
      </w:r>
      <w:proofErr w:type="spellEnd"/>
      <w:r w:rsidRPr="00142767">
        <w:rPr>
          <w:rFonts w:ascii="Arial" w:hAnsi="Arial" w:cs="Arial"/>
          <w:lang w:val="en-PH"/>
        </w:rPr>
        <w:t xml:space="preserve"> et al. (2017), (3) attitudes toward secondhand smoke exposure with 12 items measured using a 5-point Likert scale, and (4) avoidance behaviors toward secondhand smoke exposure with 19 items measured using a 4-point frequency Likert scale adopted from </w:t>
      </w:r>
      <w:proofErr w:type="spellStart"/>
      <w:r w:rsidRPr="00142767">
        <w:rPr>
          <w:rFonts w:ascii="Arial" w:hAnsi="Arial" w:cs="Arial"/>
          <w:lang w:val="en-PH"/>
        </w:rPr>
        <w:t>Gharaibeh</w:t>
      </w:r>
      <w:proofErr w:type="spellEnd"/>
      <w:r w:rsidRPr="00142767">
        <w:rPr>
          <w:rFonts w:ascii="Arial" w:hAnsi="Arial" w:cs="Arial"/>
          <w:lang w:val="en-PH"/>
        </w:rPr>
        <w:t xml:space="preserve"> et al. (2011).</w:t>
      </w:r>
    </w:p>
    <w:p w14:paraId="251B3D02" w14:textId="68EB00C5" w:rsidR="00142767" w:rsidRPr="00142767" w:rsidRDefault="00142767" w:rsidP="00142767">
      <w:pPr>
        <w:pStyle w:val="Body"/>
        <w:rPr>
          <w:rFonts w:ascii="Arial" w:hAnsi="Arial" w:cs="Arial"/>
          <w:lang w:val="en-PH"/>
        </w:rPr>
      </w:pPr>
      <w:r w:rsidRPr="00142767">
        <w:rPr>
          <w:rFonts w:ascii="Arial" w:hAnsi="Arial" w:cs="Arial"/>
          <w:lang w:val="en-PH"/>
        </w:rPr>
        <w:t>The instrument underwent content validation by three expert validators, yielding an overall validity mean of 4.46, indicating high validity. Reliability testing during pilot testing showed acceptable to excellent internal consistency. The knowledge section yielded a KR-20 coefficient of 0.60, while the attitude and avoidance behavior sections obtained Cronbach’s alpha values of 0.93 and 0.81, respectively. These results indicate that the instrument was reliable and appropriate for assessing knowledge, attitudes, and avoidance behaviors regarding secondhand smoke exposure.</w:t>
      </w:r>
    </w:p>
    <w:p w14:paraId="1F92720C" w14:textId="205B677B"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2.6 Data Gathering Procedure</w:t>
      </w:r>
    </w:p>
    <w:p w14:paraId="0D0041F3" w14:textId="0D062668" w:rsidR="00142767" w:rsidRPr="00142767" w:rsidRDefault="00142767" w:rsidP="00142767">
      <w:pPr>
        <w:pStyle w:val="Body"/>
        <w:rPr>
          <w:rFonts w:ascii="Arial" w:hAnsi="Arial" w:cs="Arial"/>
          <w:lang w:val="en-PH"/>
        </w:rPr>
      </w:pPr>
      <w:r w:rsidRPr="00142767">
        <w:rPr>
          <w:rFonts w:ascii="Arial" w:hAnsi="Arial" w:cs="Arial"/>
          <w:lang w:val="en-PH"/>
        </w:rPr>
        <w:t>Data collection commenced after obtaining ethical clearance from the Iloilo Doctors’ Institutional Research Ethics Committee (IDIREC). Permission to conduct the study was secured from the Office of Student and Alumni Affairs, Dean of Students, Dean of Academic Affairs, and the Dean of the College of Nursing. Approval was also obtained from the barangay officials of the selected community in Iloilo City. The researchers coordinated with barangay leaders to schedule the distribution of questionnaires and conduct data collection within the community during the second semester of Academic Year 2025–2026.</w:t>
      </w:r>
    </w:p>
    <w:p w14:paraId="2E0BA6EB" w14:textId="01A59CE9"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2.7 Data Analysis Procedure</w:t>
      </w:r>
    </w:p>
    <w:p w14:paraId="70DBB085" w14:textId="5D9216C0" w:rsidR="00790ADA" w:rsidRPr="00142767" w:rsidRDefault="00142767" w:rsidP="00142767">
      <w:pPr>
        <w:pStyle w:val="Body"/>
        <w:rPr>
          <w:rFonts w:ascii="Arial" w:hAnsi="Arial" w:cs="Arial"/>
          <w:lang w:val="en-PH"/>
        </w:rPr>
      </w:pPr>
      <w:r w:rsidRPr="00142767">
        <w:rPr>
          <w:rFonts w:ascii="Arial" w:hAnsi="Arial" w:cs="Arial"/>
          <w:lang w:val="en-PH"/>
        </w:rPr>
        <w:t xml:space="preserve">The encoded data were analyzed using </w:t>
      </w:r>
      <w:proofErr w:type="spellStart"/>
      <w:r w:rsidRPr="00142767">
        <w:rPr>
          <w:rFonts w:ascii="Arial" w:hAnsi="Arial" w:cs="Arial"/>
          <w:lang w:val="en-PH"/>
        </w:rPr>
        <w:t>Jamovi</w:t>
      </w:r>
      <w:proofErr w:type="spellEnd"/>
      <w:r w:rsidRPr="00142767">
        <w:rPr>
          <w:rFonts w:ascii="Arial" w:hAnsi="Arial" w:cs="Arial"/>
          <w:lang w:val="en-PH"/>
        </w:rPr>
        <w:t xml:space="preserve"> (Version 2.7) statistical software to perform both descriptive and inferential analyses. Mean and standard deviation were used to </w:t>
      </w:r>
      <w:r w:rsidRPr="00142767">
        <w:rPr>
          <w:rFonts w:ascii="Arial" w:hAnsi="Arial" w:cs="Arial"/>
          <w:lang w:val="en-PH"/>
        </w:rPr>
        <w:lastRenderedPageBreak/>
        <w:t>determine the central tendency and variability of the respondents’ knowledge, attitudes, and avoidance behaviors regarding secondhand smoke exposure. The Kolmogorov–Smirnov test was used to assess the normality of the data. Since the data were non-normally distributed, Spearman’s rho was applied to determine the significance of the relationships among knowledge, attitudes, and avoidance behaviors toward secondhand smoke exposure among household heads in a selected barangay in Iloilo City.</w:t>
      </w:r>
    </w:p>
    <w:p w14:paraId="7CBBD9C9" w14:textId="67046D3C" w:rsidR="00142767" w:rsidRDefault="00000F8F" w:rsidP="00142767">
      <w:pPr>
        <w:pStyle w:val="Head1"/>
        <w:spacing w:after="0"/>
        <w:jc w:val="both"/>
        <w:rPr>
          <w:rFonts w:ascii="Arial" w:hAnsi="Arial" w:cs="Arial"/>
        </w:rPr>
      </w:pPr>
      <w:commentRangeStart w:id="5"/>
      <w:r>
        <w:rPr>
          <w:rFonts w:ascii="Arial" w:hAnsi="Arial" w:cs="Arial"/>
        </w:rPr>
        <w:t>3</w:t>
      </w:r>
      <w:r w:rsidR="00902823">
        <w:rPr>
          <w:rFonts w:ascii="Arial" w:hAnsi="Arial" w:cs="Arial"/>
        </w:rPr>
        <w:t xml:space="preserve">. </w:t>
      </w:r>
      <w:r>
        <w:rPr>
          <w:rFonts w:ascii="Arial" w:hAnsi="Arial" w:cs="Arial"/>
        </w:rPr>
        <w:t>results and discussion</w:t>
      </w:r>
      <w:commentRangeEnd w:id="5"/>
      <w:r w:rsidR="00952F1C">
        <w:rPr>
          <w:rStyle w:val="CommentReference"/>
          <w:rFonts w:ascii="Times New Roman" w:hAnsi="Times New Roman"/>
          <w:b w:val="0"/>
          <w:caps w:val="0"/>
          <w:lang w:val="nb-NO" w:eastAsia="nb-NO"/>
        </w:rPr>
        <w:commentReference w:id="5"/>
      </w:r>
    </w:p>
    <w:p w14:paraId="4BF1F15D" w14:textId="77777777" w:rsidR="00142767" w:rsidRPr="00142767" w:rsidRDefault="00142767" w:rsidP="00142767">
      <w:pPr>
        <w:pStyle w:val="Head1"/>
        <w:spacing w:after="0"/>
        <w:jc w:val="both"/>
        <w:rPr>
          <w:rFonts w:ascii="Arial" w:hAnsi="Arial" w:cs="Arial"/>
        </w:rPr>
      </w:pPr>
    </w:p>
    <w:p w14:paraId="01720133" w14:textId="77777777" w:rsidR="00142767" w:rsidRDefault="00142767" w:rsidP="00142767">
      <w:pPr>
        <w:pStyle w:val="Body"/>
        <w:rPr>
          <w:rFonts w:ascii="Arial" w:hAnsi="Arial" w:cs="Arial"/>
          <w:lang w:val="en-PH"/>
        </w:rPr>
      </w:pPr>
      <w:r w:rsidRPr="00142767">
        <w:rPr>
          <w:rFonts w:ascii="Arial" w:hAnsi="Arial" w:cs="Arial"/>
          <w:lang w:val="en-PH"/>
        </w:rPr>
        <w:t>Among the 361 respondents who participated in the study, female respondents had the greater percentage of the sample at 65.1% (235 respondents), while male respondents had a number of 34.9% (126 respondents). Age distribution showed that the respondents aged 18-25 years old formed the largest age group, representing 37.1% of the total population. This group was followed by respondents aged 46 years old and above, who made up 32.7% of the sample. The remaining respondents belonged to the 26-35 (17.7%) and 36-45 years old (12.5%) age groups.</w:t>
      </w:r>
    </w:p>
    <w:p w14:paraId="3A9BB3DA" w14:textId="4144A4C5" w:rsidR="00142767" w:rsidRPr="00142767" w:rsidRDefault="00142767" w:rsidP="00142767">
      <w:pPr>
        <w:pStyle w:val="Body"/>
        <w:rPr>
          <w:rFonts w:ascii="Arial" w:hAnsi="Arial" w:cs="Arial"/>
          <w:lang w:val="en-PH"/>
        </w:rPr>
      </w:pPr>
      <w:r w:rsidRPr="00142767">
        <w:rPr>
          <w:rFonts w:ascii="Arial" w:hAnsi="Arial" w:cs="Arial"/>
          <w:lang w:val="en-PH"/>
        </w:rPr>
        <w:t>Regarding educational attainment, most respondents reported reaching college level (40.2%), suggesting a higher level of educational exposure among participants. College graduates made up 25.5% of the respondents, followed by high school graduates with 21.1%, while those at the high school level accounted for 10.2%. Only a small fraction reported being elementary graduates at 2.8% and 0.6% at the elementary level.</w:t>
      </w:r>
    </w:p>
    <w:p w14:paraId="47EC2757" w14:textId="15E8BDDD" w:rsidR="00142767" w:rsidRPr="00142767" w:rsidRDefault="00142767" w:rsidP="00142767">
      <w:pPr>
        <w:pStyle w:val="Body"/>
        <w:rPr>
          <w:rFonts w:ascii="Arial" w:hAnsi="Arial" w:cs="Arial"/>
          <w:lang w:val="en-PH"/>
        </w:rPr>
      </w:pPr>
      <w:r w:rsidRPr="00142767">
        <w:rPr>
          <w:rFonts w:ascii="Arial" w:hAnsi="Arial" w:cs="Arial"/>
          <w:lang w:val="en-PH"/>
        </w:rPr>
        <w:t>Considering the respondents' relationship to the smoker, the most common exposure was being a neighbor, reported by 30.5% of the participants. Other relatives followed at 24.4%, showing that exposure to smokers often extends beyond the immediate household. Respondents who identified themselves as smokers comprised 12.7%, while spouses accounted for 10.8%. Smaller proportions were observed among siblings (8.6%), parents (6.9%), and son or daughter (6.1%). Table 1 shows the demographic characteristics of the respondents.</w:t>
      </w:r>
    </w:p>
    <w:p w14:paraId="3305D8C3" w14:textId="63E520DD" w:rsidR="00142767" w:rsidRPr="00142767" w:rsidRDefault="00142767" w:rsidP="00142767">
      <w:pPr>
        <w:pStyle w:val="Body"/>
        <w:rPr>
          <w:rFonts w:ascii="Arial" w:hAnsi="Arial" w:cs="Arial"/>
          <w:lang w:val="en-PH"/>
        </w:rPr>
      </w:pPr>
      <w:r w:rsidRPr="00142767">
        <w:rPr>
          <w:rFonts w:ascii="Arial" w:hAnsi="Arial" w:cs="Arial"/>
          <w:b/>
          <w:bCs/>
          <w:lang w:val="en-PH"/>
        </w:rPr>
        <w:t>Table 1.</w:t>
      </w:r>
      <w:r w:rsidRPr="00142767">
        <w:rPr>
          <w:rFonts w:ascii="Arial" w:hAnsi="Arial" w:cs="Arial"/>
          <w:b/>
          <w:bCs/>
          <w:lang w:val="en-PH"/>
        </w:rPr>
        <w:tab/>
        <w:t>Demographics of respondents according to sex, age, educational attainment, and relationship to the smoker (n = 361)</w:t>
      </w:r>
    </w:p>
    <w:tbl>
      <w:tblPr>
        <w:tblW w:w="0" w:type="auto"/>
        <w:tblCellMar>
          <w:top w:w="15" w:type="dxa"/>
          <w:left w:w="15" w:type="dxa"/>
          <w:bottom w:w="15" w:type="dxa"/>
          <w:right w:w="15" w:type="dxa"/>
        </w:tblCellMar>
        <w:tblLook w:val="04A0" w:firstRow="1" w:lastRow="0" w:firstColumn="1" w:lastColumn="0" w:noHBand="0" w:noVBand="1"/>
      </w:tblPr>
      <w:tblGrid>
        <w:gridCol w:w="6775"/>
        <w:gridCol w:w="706"/>
        <w:gridCol w:w="707"/>
      </w:tblGrid>
      <w:tr w:rsidR="00142767" w:rsidRPr="00142767" w14:paraId="241B3592" w14:textId="77777777" w:rsidTr="00142767">
        <w:trPr>
          <w:trHeight w:val="317"/>
        </w:trPr>
        <w:tc>
          <w:tcPr>
            <w:tcW w:w="6819" w:type="dxa"/>
            <w:tcBorders>
              <w:top w:val="single" w:sz="8" w:space="0" w:color="000000"/>
              <w:left w:val="single" w:sz="8" w:space="0" w:color="FFFFFF"/>
              <w:bottom w:val="single" w:sz="8" w:space="0" w:color="000000"/>
              <w:right w:val="single" w:sz="8" w:space="0" w:color="FFFFFF"/>
            </w:tcBorders>
            <w:hideMark/>
          </w:tcPr>
          <w:p w14:paraId="025989C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Variables</w:t>
            </w:r>
          </w:p>
        </w:tc>
        <w:tc>
          <w:tcPr>
            <w:tcW w:w="709" w:type="dxa"/>
            <w:tcBorders>
              <w:top w:val="single" w:sz="8" w:space="0" w:color="000000"/>
              <w:left w:val="single" w:sz="8" w:space="0" w:color="FFFFFF"/>
              <w:bottom w:val="single" w:sz="8" w:space="0" w:color="000000"/>
              <w:right w:val="single" w:sz="8" w:space="0" w:color="FFFFFF"/>
            </w:tcBorders>
            <w:hideMark/>
          </w:tcPr>
          <w:p w14:paraId="4007886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f</w:t>
            </w:r>
          </w:p>
        </w:tc>
        <w:tc>
          <w:tcPr>
            <w:tcW w:w="709" w:type="dxa"/>
            <w:tcBorders>
              <w:top w:val="single" w:sz="8" w:space="0" w:color="000000"/>
              <w:left w:val="single" w:sz="8" w:space="0" w:color="FFFFFF"/>
              <w:bottom w:val="single" w:sz="8" w:space="0" w:color="000000"/>
              <w:right w:val="single" w:sz="8" w:space="0" w:color="FFFFFF"/>
            </w:tcBorders>
            <w:hideMark/>
          </w:tcPr>
          <w:p w14:paraId="7C09EEC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w:t>
            </w:r>
          </w:p>
        </w:tc>
      </w:tr>
      <w:tr w:rsidR="00142767" w:rsidRPr="00142767" w14:paraId="5386BB16"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42E2E8B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Sex</w:t>
            </w:r>
          </w:p>
        </w:tc>
        <w:tc>
          <w:tcPr>
            <w:tcW w:w="709" w:type="dxa"/>
            <w:tcBorders>
              <w:top w:val="single" w:sz="8" w:space="0" w:color="000000"/>
              <w:left w:val="single" w:sz="8" w:space="0" w:color="FFFFFF"/>
              <w:bottom w:val="single" w:sz="8" w:space="0" w:color="FFFFFF"/>
              <w:right w:val="single" w:sz="8" w:space="0" w:color="FFFFFF"/>
            </w:tcBorders>
            <w:hideMark/>
          </w:tcPr>
          <w:p w14:paraId="1605D985"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79768985" w14:textId="77777777" w:rsidR="00142767" w:rsidRPr="00142767" w:rsidRDefault="00142767" w:rsidP="00142767">
            <w:pPr>
              <w:pStyle w:val="Body"/>
              <w:spacing w:after="0"/>
              <w:jc w:val="center"/>
              <w:rPr>
                <w:rFonts w:ascii="Arial" w:hAnsi="Arial" w:cs="Arial"/>
                <w:lang w:val="en-PH"/>
              </w:rPr>
            </w:pPr>
          </w:p>
        </w:tc>
      </w:tr>
      <w:tr w:rsidR="00142767" w:rsidRPr="00142767" w14:paraId="4C22194A"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2C419EC"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Male</w:t>
            </w:r>
          </w:p>
        </w:tc>
        <w:tc>
          <w:tcPr>
            <w:tcW w:w="709" w:type="dxa"/>
            <w:tcBorders>
              <w:top w:val="single" w:sz="8" w:space="0" w:color="FFFFFF"/>
              <w:left w:val="single" w:sz="8" w:space="0" w:color="FFFFFF"/>
              <w:bottom w:val="single" w:sz="8" w:space="0" w:color="FFFFFF"/>
              <w:right w:val="single" w:sz="8" w:space="0" w:color="FFFFFF"/>
            </w:tcBorders>
            <w:hideMark/>
          </w:tcPr>
          <w:p w14:paraId="6823784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126</w:t>
            </w:r>
          </w:p>
        </w:tc>
        <w:tc>
          <w:tcPr>
            <w:tcW w:w="709" w:type="dxa"/>
            <w:tcBorders>
              <w:top w:val="single" w:sz="8" w:space="0" w:color="FFFFFF"/>
              <w:left w:val="single" w:sz="8" w:space="0" w:color="FFFFFF"/>
              <w:bottom w:val="single" w:sz="8" w:space="0" w:color="FFFFFF"/>
              <w:right w:val="single" w:sz="8" w:space="0" w:color="FFFFFF"/>
            </w:tcBorders>
            <w:hideMark/>
          </w:tcPr>
          <w:p w14:paraId="33C949D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34.9</w:t>
            </w:r>
          </w:p>
        </w:tc>
      </w:tr>
      <w:tr w:rsidR="00142767" w:rsidRPr="00142767" w14:paraId="4EEA1276"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53310C7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Female</w:t>
            </w:r>
          </w:p>
        </w:tc>
        <w:tc>
          <w:tcPr>
            <w:tcW w:w="709" w:type="dxa"/>
            <w:tcBorders>
              <w:top w:val="single" w:sz="8" w:space="0" w:color="FFFFFF"/>
              <w:left w:val="single" w:sz="8" w:space="0" w:color="FFFFFF"/>
              <w:bottom w:val="single" w:sz="8" w:space="0" w:color="000000"/>
              <w:right w:val="single" w:sz="8" w:space="0" w:color="FFFFFF"/>
            </w:tcBorders>
            <w:hideMark/>
          </w:tcPr>
          <w:p w14:paraId="1BB8103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235</w:t>
            </w:r>
          </w:p>
        </w:tc>
        <w:tc>
          <w:tcPr>
            <w:tcW w:w="709" w:type="dxa"/>
            <w:tcBorders>
              <w:top w:val="single" w:sz="8" w:space="0" w:color="FFFFFF"/>
              <w:left w:val="single" w:sz="8" w:space="0" w:color="FFFFFF"/>
              <w:bottom w:val="single" w:sz="8" w:space="0" w:color="000000"/>
              <w:right w:val="single" w:sz="8" w:space="0" w:color="FFFFFF"/>
            </w:tcBorders>
            <w:hideMark/>
          </w:tcPr>
          <w:p w14:paraId="7F53DA4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65.1</w:t>
            </w:r>
          </w:p>
        </w:tc>
      </w:tr>
      <w:tr w:rsidR="00142767" w:rsidRPr="00142767" w14:paraId="35552811"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04D3211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Age </w:t>
            </w:r>
          </w:p>
        </w:tc>
        <w:tc>
          <w:tcPr>
            <w:tcW w:w="709" w:type="dxa"/>
            <w:tcBorders>
              <w:top w:val="single" w:sz="8" w:space="0" w:color="000000"/>
              <w:left w:val="single" w:sz="8" w:space="0" w:color="FFFFFF"/>
              <w:bottom w:val="single" w:sz="8" w:space="0" w:color="FFFFFF"/>
              <w:right w:val="single" w:sz="8" w:space="0" w:color="FFFFFF"/>
            </w:tcBorders>
            <w:hideMark/>
          </w:tcPr>
          <w:p w14:paraId="32A96299"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273848FF" w14:textId="77777777" w:rsidR="00142767" w:rsidRPr="00142767" w:rsidRDefault="00142767" w:rsidP="00142767">
            <w:pPr>
              <w:pStyle w:val="Body"/>
              <w:spacing w:after="0"/>
              <w:jc w:val="center"/>
              <w:rPr>
                <w:rFonts w:ascii="Arial" w:hAnsi="Arial" w:cs="Arial"/>
                <w:lang w:val="en-PH"/>
              </w:rPr>
            </w:pPr>
          </w:p>
        </w:tc>
      </w:tr>
      <w:tr w:rsidR="00142767" w:rsidRPr="00142767" w14:paraId="0548427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EEEEE5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18–25 years old</w:t>
            </w:r>
          </w:p>
        </w:tc>
        <w:tc>
          <w:tcPr>
            <w:tcW w:w="709" w:type="dxa"/>
            <w:tcBorders>
              <w:top w:val="single" w:sz="8" w:space="0" w:color="FFFFFF"/>
              <w:left w:val="single" w:sz="8" w:space="0" w:color="FFFFFF"/>
              <w:bottom w:val="single" w:sz="8" w:space="0" w:color="FFFFFF"/>
              <w:right w:val="single" w:sz="8" w:space="0" w:color="FFFFFF"/>
            </w:tcBorders>
            <w:hideMark/>
          </w:tcPr>
          <w:p w14:paraId="4F39609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134</w:t>
            </w:r>
          </w:p>
        </w:tc>
        <w:tc>
          <w:tcPr>
            <w:tcW w:w="709" w:type="dxa"/>
            <w:tcBorders>
              <w:top w:val="single" w:sz="8" w:space="0" w:color="FFFFFF"/>
              <w:left w:val="single" w:sz="8" w:space="0" w:color="FFFFFF"/>
              <w:bottom w:val="single" w:sz="8" w:space="0" w:color="FFFFFF"/>
              <w:right w:val="single" w:sz="8" w:space="0" w:color="FFFFFF"/>
            </w:tcBorders>
            <w:hideMark/>
          </w:tcPr>
          <w:p w14:paraId="673C099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37.1</w:t>
            </w:r>
          </w:p>
        </w:tc>
      </w:tr>
      <w:tr w:rsidR="00142767" w:rsidRPr="00142767" w14:paraId="713BA36C"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402B997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26–35 years old</w:t>
            </w:r>
          </w:p>
        </w:tc>
        <w:tc>
          <w:tcPr>
            <w:tcW w:w="709" w:type="dxa"/>
            <w:tcBorders>
              <w:top w:val="single" w:sz="8" w:space="0" w:color="FFFFFF"/>
              <w:left w:val="single" w:sz="8" w:space="0" w:color="FFFFFF"/>
              <w:bottom w:val="single" w:sz="8" w:space="0" w:color="FFFFFF"/>
              <w:right w:val="single" w:sz="8" w:space="0" w:color="FFFFFF"/>
            </w:tcBorders>
            <w:hideMark/>
          </w:tcPr>
          <w:p w14:paraId="63AA4A5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64</w:t>
            </w:r>
          </w:p>
        </w:tc>
        <w:tc>
          <w:tcPr>
            <w:tcW w:w="709" w:type="dxa"/>
            <w:tcBorders>
              <w:top w:val="single" w:sz="8" w:space="0" w:color="FFFFFF"/>
              <w:left w:val="single" w:sz="8" w:space="0" w:color="FFFFFF"/>
              <w:bottom w:val="single" w:sz="8" w:space="0" w:color="FFFFFF"/>
              <w:right w:val="single" w:sz="8" w:space="0" w:color="FFFFFF"/>
            </w:tcBorders>
            <w:hideMark/>
          </w:tcPr>
          <w:p w14:paraId="16F2874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17.7</w:t>
            </w:r>
          </w:p>
        </w:tc>
      </w:tr>
      <w:tr w:rsidR="00142767" w:rsidRPr="00142767" w14:paraId="3D51F517"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7F96C2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36–45 years old</w:t>
            </w:r>
          </w:p>
        </w:tc>
        <w:tc>
          <w:tcPr>
            <w:tcW w:w="709" w:type="dxa"/>
            <w:tcBorders>
              <w:top w:val="single" w:sz="8" w:space="0" w:color="FFFFFF"/>
              <w:left w:val="single" w:sz="8" w:space="0" w:color="FFFFFF"/>
              <w:bottom w:val="single" w:sz="8" w:space="0" w:color="FFFFFF"/>
              <w:right w:val="single" w:sz="8" w:space="0" w:color="FFFFFF"/>
            </w:tcBorders>
            <w:hideMark/>
          </w:tcPr>
          <w:p w14:paraId="56B61E9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45</w:t>
            </w:r>
          </w:p>
        </w:tc>
        <w:tc>
          <w:tcPr>
            <w:tcW w:w="709" w:type="dxa"/>
            <w:tcBorders>
              <w:top w:val="single" w:sz="8" w:space="0" w:color="FFFFFF"/>
              <w:left w:val="single" w:sz="8" w:space="0" w:color="FFFFFF"/>
              <w:bottom w:val="single" w:sz="8" w:space="0" w:color="FFFFFF"/>
              <w:right w:val="single" w:sz="8" w:space="0" w:color="FFFFFF"/>
            </w:tcBorders>
            <w:hideMark/>
          </w:tcPr>
          <w:p w14:paraId="23C0FA6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12.5</w:t>
            </w:r>
          </w:p>
        </w:tc>
      </w:tr>
      <w:tr w:rsidR="00142767" w:rsidRPr="00142767" w14:paraId="33BE3AE8"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0C34406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46 years old and above</w:t>
            </w:r>
          </w:p>
        </w:tc>
        <w:tc>
          <w:tcPr>
            <w:tcW w:w="709" w:type="dxa"/>
            <w:tcBorders>
              <w:top w:val="single" w:sz="8" w:space="0" w:color="FFFFFF"/>
              <w:left w:val="single" w:sz="8" w:space="0" w:color="FFFFFF"/>
              <w:bottom w:val="single" w:sz="8" w:space="0" w:color="000000"/>
              <w:right w:val="single" w:sz="8" w:space="0" w:color="FFFFFF"/>
            </w:tcBorders>
            <w:hideMark/>
          </w:tcPr>
          <w:p w14:paraId="4B96BEF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118</w:t>
            </w:r>
          </w:p>
        </w:tc>
        <w:tc>
          <w:tcPr>
            <w:tcW w:w="709" w:type="dxa"/>
            <w:tcBorders>
              <w:top w:val="single" w:sz="8" w:space="0" w:color="FFFFFF"/>
              <w:left w:val="single" w:sz="8" w:space="0" w:color="FFFFFF"/>
              <w:bottom w:val="single" w:sz="8" w:space="0" w:color="000000"/>
              <w:right w:val="single" w:sz="8" w:space="0" w:color="FFFFFF"/>
            </w:tcBorders>
            <w:hideMark/>
          </w:tcPr>
          <w:p w14:paraId="712857D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32.7</w:t>
            </w:r>
          </w:p>
        </w:tc>
      </w:tr>
      <w:tr w:rsidR="00142767" w:rsidRPr="00142767" w14:paraId="78E0BEDB"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23E6967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Educational Attainment</w:t>
            </w:r>
          </w:p>
        </w:tc>
        <w:tc>
          <w:tcPr>
            <w:tcW w:w="709" w:type="dxa"/>
            <w:tcBorders>
              <w:top w:val="single" w:sz="8" w:space="0" w:color="000000"/>
              <w:left w:val="single" w:sz="8" w:space="0" w:color="FFFFFF"/>
              <w:bottom w:val="single" w:sz="8" w:space="0" w:color="FFFFFF"/>
              <w:right w:val="single" w:sz="8" w:space="0" w:color="FFFFFF"/>
            </w:tcBorders>
            <w:hideMark/>
          </w:tcPr>
          <w:p w14:paraId="60285329"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060B419C" w14:textId="77777777" w:rsidR="00142767" w:rsidRPr="00142767" w:rsidRDefault="00142767" w:rsidP="00142767">
            <w:pPr>
              <w:pStyle w:val="Body"/>
              <w:spacing w:after="0"/>
              <w:jc w:val="center"/>
              <w:rPr>
                <w:rFonts w:ascii="Arial" w:hAnsi="Arial" w:cs="Arial"/>
                <w:lang w:val="en-PH"/>
              </w:rPr>
            </w:pPr>
          </w:p>
        </w:tc>
      </w:tr>
      <w:tr w:rsidR="00142767" w:rsidRPr="00142767" w14:paraId="2A0B9724"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106D8C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Elementary Level</w:t>
            </w:r>
          </w:p>
        </w:tc>
        <w:tc>
          <w:tcPr>
            <w:tcW w:w="709" w:type="dxa"/>
            <w:tcBorders>
              <w:top w:val="single" w:sz="8" w:space="0" w:color="FFFFFF"/>
              <w:left w:val="single" w:sz="8" w:space="0" w:color="FFFFFF"/>
              <w:bottom w:val="single" w:sz="8" w:space="0" w:color="FFFFFF"/>
              <w:right w:val="single" w:sz="8" w:space="0" w:color="FFFFFF"/>
            </w:tcBorders>
            <w:hideMark/>
          </w:tcPr>
          <w:p w14:paraId="5EB863C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w:t>
            </w:r>
          </w:p>
        </w:tc>
        <w:tc>
          <w:tcPr>
            <w:tcW w:w="709" w:type="dxa"/>
            <w:tcBorders>
              <w:top w:val="single" w:sz="8" w:space="0" w:color="FFFFFF"/>
              <w:left w:val="single" w:sz="8" w:space="0" w:color="FFFFFF"/>
              <w:bottom w:val="single" w:sz="8" w:space="0" w:color="FFFFFF"/>
              <w:right w:val="single" w:sz="8" w:space="0" w:color="FFFFFF"/>
            </w:tcBorders>
            <w:hideMark/>
          </w:tcPr>
          <w:p w14:paraId="62D8965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0.6</w:t>
            </w:r>
          </w:p>
        </w:tc>
      </w:tr>
      <w:tr w:rsidR="00142767" w:rsidRPr="00142767" w14:paraId="1E85427B"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9B20145"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Elementary Graduate</w:t>
            </w:r>
          </w:p>
        </w:tc>
        <w:tc>
          <w:tcPr>
            <w:tcW w:w="709" w:type="dxa"/>
            <w:tcBorders>
              <w:top w:val="single" w:sz="8" w:space="0" w:color="FFFFFF"/>
              <w:left w:val="single" w:sz="8" w:space="0" w:color="FFFFFF"/>
              <w:bottom w:val="single" w:sz="8" w:space="0" w:color="FFFFFF"/>
              <w:right w:val="single" w:sz="8" w:space="0" w:color="FFFFFF"/>
            </w:tcBorders>
            <w:hideMark/>
          </w:tcPr>
          <w:p w14:paraId="5CE7689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w:t>
            </w:r>
          </w:p>
        </w:tc>
        <w:tc>
          <w:tcPr>
            <w:tcW w:w="709" w:type="dxa"/>
            <w:tcBorders>
              <w:top w:val="single" w:sz="8" w:space="0" w:color="FFFFFF"/>
              <w:left w:val="single" w:sz="8" w:space="0" w:color="FFFFFF"/>
              <w:bottom w:val="single" w:sz="8" w:space="0" w:color="FFFFFF"/>
              <w:right w:val="single" w:sz="8" w:space="0" w:color="FFFFFF"/>
            </w:tcBorders>
            <w:hideMark/>
          </w:tcPr>
          <w:p w14:paraId="34A44F5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2.8</w:t>
            </w:r>
          </w:p>
        </w:tc>
      </w:tr>
      <w:tr w:rsidR="00142767" w:rsidRPr="00142767" w14:paraId="0CE976DB"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9543C2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lastRenderedPageBreak/>
              <w:t>High School Level</w:t>
            </w:r>
          </w:p>
        </w:tc>
        <w:tc>
          <w:tcPr>
            <w:tcW w:w="709" w:type="dxa"/>
            <w:tcBorders>
              <w:top w:val="single" w:sz="8" w:space="0" w:color="FFFFFF"/>
              <w:left w:val="single" w:sz="8" w:space="0" w:color="FFFFFF"/>
              <w:bottom w:val="single" w:sz="8" w:space="0" w:color="FFFFFF"/>
              <w:right w:val="single" w:sz="8" w:space="0" w:color="FFFFFF"/>
            </w:tcBorders>
            <w:hideMark/>
          </w:tcPr>
          <w:p w14:paraId="2F948B5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w:t>
            </w:r>
          </w:p>
        </w:tc>
        <w:tc>
          <w:tcPr>
            <w:tcW w:w="709" w:type="dxa"/>
            <w:tcBorders>
              <w:top w:val="single" w:sz="8" w:space="0" w:color="FFFFFF"/>
              <w:left w:val="single" w:sz="8" w:space="0" w:color="FFFFFF"/>
              <w:bottom w:val="single" w:sz="8" w:space="0" w:color="FFFFFF"/>
              <w:right w:val="single" w:sz="8" w:space="0" w:color="FFFFFF"/>
            </w:tcBorders>
            <w:hideMark/>
          </w:tcPr>
          <w:p w14:paraId="70B28D7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10.2</w:t>
            </w:r>
          </w:p>
        </w:tc>
      </w:tr>
      <w:tr w:rsidR="00142767" w:rsidRPr="00142767" w14:paraId="63989495"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73816F9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High School Graduate</w:t>
            </w:r>
          </w:p>
        </w:tc>
        <w:tc>
          <w:tcPr>
            <w:tcW w:w="709" w:type="dxa"/>
            <w:tcBorders>
              <w:top w:val="single" w:sz="8" w:space="0" w:color="FFFFFF"/>
              <w:left w:val="single" w:sz="8" w:space="0" w:color="FFFFFF"/>
              <w:bottom w:val="single" w:sz="8" w:space="0" w:color="FFFFFF"/>
              <w:right w:val="single" w:sz="8" w:space="0" w:color="FFFFFF"/>
            </w:tcBorders>
            <w:hideMark/>
          </w:tcPr>
          <w:p w14:paraId="47A40C3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76</w:t>
            </w:r>
          </w:p>
        </w:tc>
        <w:tc>
          <w:tcPr>
            <w:tcW w:w="709" w:type="dxa"/>
            <w:tcBorders>
              <w:top w:val="single" w:sz="8" w:space="0" w:color="FFFFFF"/>
              <w:left w:val="single" w:sz="8" w:space="0" w:color="FFFFFF"/>
              <w:bottom w:val="single" w:sz="8" w:space="0" w:color="FFFFFF"/>
              <w:right w:val="single" w:sz="8" w:space="0" w:color="FFFFFF"/>
            </w:tcBorders>
            <w:hideMark/>
          </w:tcPr>
          <w:p w14:paraId="7B7571B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21.1</w:t>
            </w:r>
          </w:p>
        </w:tc>
      </w:tr>
      <w:tr w:rsidR="00142767" w:rsidRPr="00142767" w14:paraId="10517543"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F88F1F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College Level</w:t>
            </w:r>
          </w:p>
        </w:tc>
        <w:tc>
          <w:tcPr>
            <w:tcW w:w="709" w:type="dxa"/>
            <w:tcBorders>
              <w:top w:val="single" w:sz="8" w:space="0" w:color="FFFFFF"/>
              <w:left w:val="single" w:sz="8" w:space="0" w:color="FFFFFF"/>
              <w:bottom w:val="single" w:sz="8" w:space="0" w:color="FFFFFF"/>
              <w:right w:val="single" w:sz="8" w:space="0" w:color="FFFFFF"/>
            </w:tcBorders>
            <w:hideMark/>
          </w:tcPr>
          <w:p w14:paraId="73B788C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145</w:t>
            </w:r>
          </w:p>
        </w:tc>
        <w:tc>
          <w:tcPr>
            <w:tcW w:w="709" w:type="dxa"/>
            <w:tcBorders>
              <w:top w:val="single" w:sz="8" w:space="0" w:color="FFFFFF"/>
              <w:left w:val="single" w:sz="8" w:space="0" w:color="FFFFFF"/>
              <w:bottom w:val="single" w:sz="8" w:space="0" w:color="FFFFFF"/>
              <w:right w:val="single" w:sz="8" w:space="0" w:color="FFFFFF"/>
            </w:tcBorders>
            <w:hideMark/>
          </w:tcPr>
          <w:p w14:paraId="6306A0B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40.2</w:t>
            </w:r>
          </w:p>
        </w:tc>
      </w:tr>
      <w:tr w:rsidR="00142767" w:rsidRPr="00142767" w14:paraId="0E44EBEF"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200C55D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College Graduate</w:t>
            </w:r>
          </w:p>
        </w:tc>
        <w:tc>
          <w:tcPr>
            <w:tcW w:w="709" w:type="dxa"/>
            <w:tcBorders>
              <w:top w:val="single" w:sz="8" w:space="0" w:color="FFFFFF"/>
              <w:left w:val="single" w:sz="8" w:space="0" w:color="FFFFFF"/>
              <w:bottom w:val="single" w:sz="8" w:space="0" w:color="000000"/>
              <w:right w:val="single" w:sz="8" w:space="0" w:color="FFFFFF"/>
            </w:tcBorders>
            <w:hideMark/>
          </w:tcPr>
          <w:p w14:paraId="144521E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91</w:t>
            </w:r>
          </w:p>
        </w:tc>
        <w:tc>
          <w:tcPr>
            <w:tcW w:w="709" w:type="dxa"/>
            <w:tcBorders>
              <w:top w:val="single" w:sz="8" w:space="0" w:color="FFFFFF"/>
              <w:left w:val="single" w:sz="8" w:space="0" w:color="FFFFFF"/>
              <w:bottom w:val="single" w:sz="8" w:space="0" w:color="000000"/>
              <w:right w:val="single" w:sz="8" w:space="0" w:color="FFFFFF"/>
            </w:tcBorders>
            <w:hideMark/>
          </w:tcPr>
          <w:p w14:paraId="3B32286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25.2</w:t>
            </w:r>
          </w:p>
        </w:tc>
      </w:tr>
      <w:tr w:rsidR="00142767" w:rsidRPr="00142767" w14:paraId="27A032F2" w14:textId="77777777" w:rsidTr="00142767">
        <w:trPr>
          <w:trHeight w:val="317"/>
        </w:trPr>
        <w:tc>
          <w:tcPr>
            <w:tcW w:w="6819" w:type="dxa"/>
            <w:tcBorders>
              <w:top w:val="single" w:sz="8" w:space="0" w:color="000000"/>
              <w:left w:val="single" w:sz="8" w:space="0" w:color="FFFFFF"/>
              <w:bottom w:val="single" w:sz="8" w:space="0" w:color="FFFFFF"/>
              <w:right w:val="single" w:sz="8" w:space="0" w:color="FFFFFF"/>
            </w:tcBorders>
            <w:hideMark/>
          </w:tcPr>
          <w:p w14:paraId="051BF49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Relationship to the Smoker</w:t>
            </w:r>
          </w:p>
        </w:tc>
        <w:tc>
          <w:tcPr>
            <w:tcW w:w="709" w:type="dxa"/>
            <w:tcBorders>
              <w:top w:val="single" w:sz="8" w:space="0" w:color="000000"/>
              <w:left w:val="single" w:sz="8" w:space="0" w:color="FFFFFF"/>
              <w:bottom w:val="single" w:sz="8" w:space="0" w:color="FFFFFF"/>
              <w:right w:val="single" w:sz="8" w:space="0" w:color="FFFFFF"/>
            </w:tcBorders>
            <w:hideMark/>
          </w:tcPr>
          <w:p w14:paraId="1C83D4C6" w14:textId="77777777" w:rsidR="00142767" w:rsidRPr="00142767" w:rsidRDefault="00142767" w:rsidP="00142767">
            <w:pPr>
              <w:pStyle w:val="Body"/>
              <w:spacing w:after="0"/>
              <w:jc w:val="center"/>
              <w:rPr>
                <w:rFonts w:ascii="Arial" w:hAnsi="Arial" w:cs="Arial"/>
                <w:lang w:val="en-PH"/>
              </w:rPr>
            </w:pPr>
          </w:p>
        </w:tc>
        <w:tc>
          <w:tcPr>
            <w:tcW w:w="709" w:type="dxa"/>
            <w:tcBorders>
              <w:top w:val="single" w:sz="8" w:space="0" w:color="000000"/>
              <w:left w:val="single" w:sz="8" w:space="0" w:color="FFFFFF"/>
              <w:bottom w:val="single" w:sz="8" w:space="0" w:color="FFFFFF"/>
              <w:right w:val="single" w:sz="8" w:space="0" w:color="FFFFFF"/>
            </w:tcBorders>
            <w:hideMark/>
          </w:tcPr>
          <w:p w14:paraId="08866A14" w14:textId="77777777" w:rsidR="00142767" w:rsidRPr="00142767" w:rsidRDefault="00142767" w:rsidP="00142767">
            <w:pPr>
              <w:pStyle w:val="Body"/>
              <w:spacing w:after="0"/>
              <w:jc w:val="center"/>
              <w:rPr>
                <w:rFonts w:ascii="Arial" w:hAnsi="Arial" w:cs="Arial"/>
                <w:lang w:val="en-PH"/>
              </w:rPr>
            </w:pPr>
          </w:p>
        </w:tc>
      </w:tr>
      <w:tr w:rsidR="00142767" w:rsidRPr="00142767" w14:paraId="17039EF6"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47CF31C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Self</w:t>
            </w:r>
          </w:p>
        </w:tc>
        <w:tc>
          <w:tcPr>
            <w:tcW w:w="709" w:type="dxa"/>
            <w:tcBorders>
              <w:top w:val="single" w:sz="8" w:space="0" w:color="FFFFFF"/>
              <w:left w:val="single" w:sz="8" w:space="0" w:color="FFFFFF"/>
              <w:bottom w:val="single" w:sz="8" w:space="0" w:color="FFFFFF"/>
              <w:right w:val="single" w:sz="8" w:space="0" w:color="FFFFFF"/>
            </w:tcBorders>
            <w:hideMark/>
          </w:tcPr>
          <w:p w14:paraId="72B64EA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46</w:t>
            </w:r>
          </w:p>
        </w:tc>
        <w:tc>
          <w:tcPr>
            <w:tcW w:w="709" w:type="dxa"/>
            <w:tcBorders>
              <w:top w:val="single" w:sz="8" w:space="0" w:color="FFFFFF"/>
              <w:left w:val="single" w:sz="8" w:space="0" w:color="FFFFFF"/>
              <w:bottom w:val="single" w:sz="8" w:space="0" w:color="FFFFFF"/>
              <w:right w:val="single" w:sz="8" w:space="0" w:color="FFFFFF"/>
            </w:tcBorders>
            <w:hideMark/>
          </w:tcPr>
          <w:p w14:paraId="56F52E7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12.7</w:t>
            </w:r>
          </w:p>
        </w:tc>
      </w:tr>
      <w:tr w:rsidR="00142767" w:rsidRPr="00142767" w14:paraId="15A4C04F"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00F60B2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Spouse</w:t>
            </w:r>
          </w:p>
        </w:tc>
        <w:tc>
          <w:tcPr>
            <w:tcW w:w="709" w:type="dxa"/>
            <w:tcBorders>
              <w:top w:val="single" w:sz="8" w:space="0" w:color="FFFFFF"/>
              <w:left w:val="single" w:sz="8" w:space="0" w:color="FFFFFF"/>
              <w:bottom w:val="single" w:sz="8" w:space="0" w:color="FFFFFF"/>
              <w:right w:val="single" w:sz="8" w:space="0" w:color="FFFFFF"/>
            </w:tcBorders>
            <w:hideMark/>
          </w:tcPr>
          <w:p w14:paraId="7A168B1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w:t>
            </w:r>
          </w:p>
        </w:tc>
        <w:tc>
          <w:tcPr>
            <w:tcW w:w="709" w:type="dxa"/>
            <w:tcBorders>
              <w:top w:val="single" w:sz="8" w:space="0" w:color="FFFFFF"/>
              <w:left w:val="single" w:sz="8" w:space="0" w:color="FFFFFF"/>
              <w:bottom w:val="single" w:sz="8" w:space="0" w:color="FFFFFF"/>
              <w:right w:val="single" w:sz="8" w:space="0" w:color="FFFFFF"/>
            </w:tcBorders>
            <w:hideMark/>
          </w:tcPr>
          <w:p w14:paraId="4DE2ECD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10.8</w:t>
            </w:r>
          </w:p>
        </w:tc>
      </w:tr>
      <w:tr w:rsidR="00142767" w:rsidRPr="00142767" w14:paraId="4BA6920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6C72661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Siblings</w:t>
            </w:r>
          </w:p>
        </w:tc>
        <w:tc>
          <w:tcPr>
            <w:tcW w:w="709" w:type="dxa"/>
            <w:tcBorders>
              <w:top w:val="single" w:sz="8" w:space="0" w:color="FFFFFF"/>
              <w:left w:val="single" w:sz="8" w:space="0" w:color="FFFFFF"/>
              <w:bottom w:val="single" w:sz="8" w:space="0" w:color="FFFFFF"/>
              <w:right w:val="single" w:sz="8" w:space="0" w:color="FFFFFF"/>
            </w:tcBorders>
            <w:hideMark/>
          </w:tcPr>
          <w:p w14:paraId="7BC4A1C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31</w:t>
            </w:r>
          </w:p>
        </w:tc>
        <w:tc>
          <w:tcPr>
            <w:tcW w:w="709" w:type="dxa"/>
            <w:tcBorders>
              <w:top w:val="single" w:sz="8" w:space="0" w:color="FFFFFF"/>
              <w:left w:val="single" w:sz="8" w:space="0" w:color="FFFFFF"/>
              <w:bottom w:val="single" w:sz="8" w:space="0" w:color="FFFFFF"/>
              <w:right w:val="single" w:sz="8" w:space="0" w:color="FFFFFF"/>
            </w:tcBorders>
            <w:hideMark/>
          </w:tcPr>
          <w:p w14:paraId="417F4C8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8.6</w:t>
            </w:r>
          </w:p>
        </w:tc>
      </w:tr>
      <w:tr w:rsidR="00142767" w:rsidRPr="00142767" w14:paraId="7C9234B0"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503E0ED5"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Parent</w:t>
            </w:r>
          </w:p>
        </w:tc>
        <w:tc>
          <w:tcPr>
            <w:tcW w:w="709" w:type="dxa"/>
            <w:tcBorders>
              <w:top w:val="single" w:sz="8" w:space="0" w:color="FFFFFF"/>
              <w:left w:val="single" w:sz="8" w:space="0" w:color="FFFFFF"/>
              <w:bottom w:val="single" w:sz="8" w:space="0" w:color="FFFFFF"/>
              <w:right w:val="single" w:sz="8" w:space="0" w:color="FFFFFF"/>
            </w:tcBorders>
            <w:hideMark/>
          </w:tcPr>
          <w:p w14:paraId="77CBE2D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w:t>
            </w:r>
          </w:p>
        </w:tc>
        <w:tc>
          <w:tcPr>
            <w:tcW w:w="709" w:type="dxa"/>
            <w:tcBorders>
              <w:top w:val="single" w:sz="8" w:space="0" w:color="FFFFFF"/>
              <w:left w:val="single" w:sz="8" w:space="0" w:color="FFFFFF"/>
              <w:bottom w:val="single" w:sz="8" w:space="0" w:color="FFFFFF"/>
              <w:right w:val="single" w:sz="8" w:space="0" w:color="FFFFFF"/>
            </w:tcBorders>
            <w:hideMark/>
          </w:tcPr>
          <w:p w14:paraId="63CAF7D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6.9</w:t>
            </w:r>
          </w:p>
        </w:tc>
      </w:tr>
      <w:tr w:rsidR="00142767" w:rsidRPr="00142767" w14:paraId="6BC2543F"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0FFC386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Son/Daughter</w:t>
            </w:r>
          </w:p>
        </w:tc>
        <w:tc>
          <w:tcPr>
            <w:tcW w:w="709" w:type="dxa"/>
            <w:tcBorders>
              <w:top w:val="single" w:sz="8" w:space="0" w:color="FFFFFF"/>
              <w:left w:val="single" w:sz="8" w:space="0" w:color="FFFFFF"/>
              <w:bottom w:val="single" w:sz="8" w:space="0" w:color="FFFFFF"/>
              <w:right w:val="single" w:sz="8" w:space="0" w:color="FFFFFF"/>
            </w:tcBorders>
            <w:hideMark/>
          </w:tcPr>
          <w:p w14:paraId="5A0B9F3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22</w:t>
            </w:r>
          </w:p>
        </w:tc>
        <w:tc>
          <w:tcPr>
            <w:tcW w:w="709" w:type="dxa"/>
            <w:tcBorders>
              <w:top w:val="single" w:sz="8" w:space="0" w:color="FFFFFF"/>
              <w:left w:val="single" w:sz="8" w:space="0" w:color="FFFFFF"/>
              <w:bottom w:val="single" w:sz="8" w:space="0" w:color="FFFFFF"/>
              <w:right w:val="single" w:sz="8" w:space="0" w:color="FFFFFF"/>
            </w:tcBorders>
            <w:hideMark/>
          </w:tcPr>
          <w:p w14:paraId="0AE7700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6.1</w:t>
            </w:r>
          </w:p>
        </w:tc>
      </w:tr>
      <w:tr w:rsidR="00142767" w:rsidRPr="00142767" w14:paraId="463553BE" w14:textId="77777777" w:rsidTr="00142767">
        <w:trPr>
          <w:trHeight w:val="317"/>
        </w:trPr>
        <w:tc>
          <w:tcPr>
            <w:tcW w:w="6819" w:type="dxa"/>
            <w:tcBorders>
              <w:top w:val="single" w:sz="8" w:space="0" w:color="FFFFFF"/>
              <w:left w:val="single" w:sz="8" w:space="0" w:color="FFFFFF"/>
              <w:bottom w:val="single" w:sz="8" w:space="0" w:color="FFFFFF"/>
              <w:right w:val="single" w:sz="8" w:space="0" w:color="FFFFFF"/>
            </w:tcBorders>
            <w:hideMark/>
          </w:tcPr>
          <w:p w14:paraId="1926F790"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Other Relatives</w:t>
            </w:r>
          </w:p>
        </w:tc>
        <w:tc>
          <w:tcPr>
            <w:tcW w:w="709" w:type="dxa"/>
            <w:tcBorders>
              <w:top w:val="single" w:sz="8" w:space="0" w:color="FFFFFF"/>
              <w:left w:val="single" w:sz="8" w:space="0" w:color="FFFFFF"/>
              <w:bottom w:val="single" w:sz="8" w:space="0" w:color="FFFFFF"/>
              <w:right w:val="single" w:sz="8" w:space="0" w:color="FFFFFF"/>
            </w:tcBorders>
            <w:hideMark/>
          </w:tcPr>
          <w:p w14:paraId="06F420C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88</w:t>
            </w:r>
          </w:p>
        </w:tc>
        <w:tc>
          <w:tcPr>
            <w:tcW w:w="709" w:type="dxa"/>
            <w:tcBorders>
              <w:top w:val="single" w:sz="8" w:space="0" w:color="FFFFFF"/>
              <w:left w:val="single" w:sz="8" w:space="0" w:color="FFFFFF"/>
              <w:bottom w:val="single" w:sz="8" w:space="0" w:color="FFFFFF"/>
              <w:right w:val="single" w:sz="8" w:space="0" w:color="FFFFFF"/>
            </w:tcBorders>
            <w:hideMark/>
          </w:tcPr>
          <w:p w14:paraId="5E999D5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24.4</w:t>
            </w:r>
          </w:p>
        </w:tc>
      </w:tr>
      <w:tr w:rsidR="00142767" w:rsidRPr="00142767" w14:paraId="5749ABC1" w14:textId="77777777" w:rsidTr="00142767">
        <w:trPr>
          <w:trHeight w:val="317"/>
        </w:trPr>
        <w:tc>
          <w:tcPr>
            <w:tcW w:w="6819" w:type="dxa"/>
            <w:tcBorders>
              <w:top w:val="single" w:sz="8" w:space="0" w:color="FFFFFF"/>
              <w:left w:val="single" w:sz="8" w:space="0" w:color="FFFFFF"/>
              <w:bottom w:val="single" w:sz="8" w:space="0" w:color="000000"/>
              <w:right w:val="single" w:sz="8" w:space="0" w:color="FFFFFF"/>
            </w:tcBorders>
            <w:hideMark/>
          </w:tcPr>
          <w:p w14:paraId="06DA6AA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Neighbor</w:t>
            </w:r>
          </w:p>
        </w:tc>
        <w:tc>
          <w:tcPr>
            <w:tcW w:w="709" w:type="dxa"/>
            <w:tcBorders>
              <w:top w:val="single" w:sz="8" w:space="0" w:color="FFFFFF"/>
              <w:left w:val="single" w:sz="8" w:space="0" w:color="FFFFFF"/>
              <w:bottom w:val="single" w:sz="8" w:space="0" w:color="000000"/>
              <w:right w:val="single" w:sz="8" w:space="0" w:color="FFFFFF"/>
            </w:tcBorders>
            <w:hideMark/>
          </w:tcPr>
          <w:p w14:paraId="043A5F3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110</w:t>
            </w:r>
          </w:p>
        </w:tc>
        <w:tc>
          <w:tcPr>
            <w:tcW w:w="709" w:type="dxa"/>
            <w:tcBorders>
              <w:top w:val="single" w:sz="8" w:space="0" w:color="FFFFFF"/>
              <w:left w:val="single" w:sz="8" w:space="0" w:color="FFFFFF"/>
              <w:bottom w:val="single" w:sz="8" w:space="0" w:color="0D0D0D"/>
              <w:right w:val="single" w:sz="8" w:space="0" w:color="FFFFFF"/>
            </w:tcBorders>
            <w:hideMark/>
          </w:tcPr>
          <w:p w14:paraId="4E636C9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30.5</w:t>
            </w:r>
          </w:p>
        </w:tc>
      </w:tr>
      <w:tr w:rsidR="00142767" w:rsidRPr="00142767" w14:paraId="23894026" w14:textId="77777777" w:rsidTr="00142767">
        <w:trPr>
          <w:trHeight w:val="317"/>
        </w:trPr>
        <w:tc>
          <w:tcPr>
            <w:tcW w:w="6819" w:type="dxa"/>
            <w:tcBorders>
              <w:top w:val="single" w:sz="8" w:space="0" w:color="000000"/>
              <w:left w:val="single" w:sz="8" w:space="0" w:color="FFFFFF"/>
              <w:bottom w:val="single" w:sz="8" w:space="0" w:color="000000"/>
              <w:right w:val="single" w:sz="8" w:space="0" w:color="FFFFFF"/>
            </w:tcBorders>
            <w:hideMark/>
          </w:tcPr>
          <w:p w14:paraId="404EEF3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Total</w:t>
            </w:r>
          </w:p>
        </w:tc>
        <w:tc>
          <w:tcPr>
            <w:tcW w:w="709" w:type="dxa"/>
            <w:tcBorders>
              <w:top w:val="single" w:sz="8" w:space="0" w:color="000000"/>
              <w:left w:val="single" w:sz="8" w:space="0" w:color="FFFFFF"/>
              <w:bottom w:val="single" w:sz="8" w:space="0" w:color="000000"/>
              <w:right w:val="single" w:sz="8" w:space="0" w:color="FFFFFF"/>
            </w:tcBorders>
            <w:hideMark/>
          </w:tcPr>
          <w:p w14:paraId="2F3C049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361</w:t>
            </w:r>
          </w:p>
        </w:tc>
        <w:tc>
          <w:tcPr>
            <w:tcW w:w="709" w:type="dxa"/>
            <w:tcBorders>
              <w:top w:val="single" w:sz="8" w:space="0" w:color="0D0D0D"/>
              <w:left w:val="single" w:sz="8" w:space="0" w:color="FFFFFF"/>
              <w:bottom w:val="single" w:sz="8" w:space="0" w:color="0D0D0D"/>
              <w:right w:val="single" w:sz="8" w:space="0" w:color="FFFFFF"/>
            </w:tcBorders>
            <w:hideMark/>
          </w:tcPr>
          <w:p w14:paraId="2C891F7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100</w:t>
            </w:r>
          </w:p>
        </w:tc>
      </w:tr>
    </w:tbl>
    <w:p w14:paraId="636EA774" w14:textId="77777777" w:rsidR="00142767" w:rsidRPr="00142767" w:rsidRDefault="00142767" w:rsidP="00142767">
      <w:pPr>
        <w:pStyle w:val="Body"/>
        <w:rPr>
          <w:rFonts w:ascii="Arial" w:hAnsi="Arial" w:cs="Arial"/>
          <w:lang w:val="en-PH"/>
        </w:rPr>
      </w:pPr>
    </w:p>
    <w:p w14:paraId="4E6C793C" w14:textId="0EC63955"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Level of Knowledge on Secondhand Smoke Exposure</w:t>
      </w:r>
    </w:p>
    <w:p w14:paraId="1F619C2F" w14:textId="2235FD51" w:rsidR="00142767" w:rsidRPr="00142767" w:rsidRDefault="00142767" w:rsidP="00142767">
      <w:pPr>
        <w:pStyle w:val="Body"/>
        <w:rPr>
          <w:rFonts w:ascii="Arial" w:hAnsi="Arial" w:cs="Arial"/>
          <w:lang w:val="en-PH"/>
        </w:rPr>
      </w:pPr>
      <w:r w:rsidRPr="00142767">
        <w:rPr>
          <w:rFonts w:ascii="Arial" w:hAnsi="Arial" w:cs="Arial"/>
          <w:lang w:val="en-PH"/>
        </w:rPr>
        <w:t>Table 2 presents the mean responses to the specific indicators assessing respondents' knowledge of secondhand smoke exposure. The findings indicated that most respondents answered correctly for the knowledge. The computed mean score of 13.88 out of 16 was equivalent to 86.74% of the total possible score, showing that most of the indicators were correctly answered.</w:t>
      </w:r>
    </w:p>
    <w:p w14:paraId="77AD70C1" w14:textId="7BC7AB69" w:rsidR="00142767" w:rsidRPr="00142767" w:rsidRDefault="00142767" w:rsidP="00142767">
      <w:pPr>
        <w:pStyle w:val="Body"/>
        <w:rPr>
          <w:rFonts w:ascii="Arial" w:hAnsi="Arial" w:cs="Arial"/>
          <w:lang w:val="en-PH"/>
        </w:rPr>
      </w:pPr>
      <w:r w:rsidRPr="00142767">
        <w:rPr>
          <w:rFonts w:ascii="Arial" w:hAnsi="Arial" w:cs="Arial"/>
          <w:lang w:val="en-PH"/>
        </w:rPr>
        <w:t>The majority of the correct responses were observed for the indicator stating that asthmatic children living with smokers were more likely to experience an asthma attack, with 98.81%. Similarly, most respondents correctly identified that long-term exposure to secondhand smoke had harmful effects on health (98.34%) and that secondhand smoke had a toxic mixture consisting of carcinogenic substances (97.51%). These findings showed that most of the respondents correctly identified the health risks associated with secondhand smoke, particularly on children and long-term exposure.</w:t>
      </w:r>
    </w:p>
    <w:p w14:paraId="42A93EA9" w14:textId="17EB744E" w:rsidR="00142767" w:rsidRPr="00142767" w:rsidRDefault="00142767" w:rsidP="00142767">
      <w:pPr>
        <w:pStyle w:val="Body"/>
        <w:rPr>
          <w:rFonts w:ascii="Arial" w:hAnsi="Arial" w:cs="Arial"/>
          <w:lang w:val="en-PH"/>
        </w:rPr>
      </w:pPr>
      <w:r w:rsidRPr="00142767">
        <w:rPr>
          <w:rFonts w:ascii="Arial" w:hAnsi="Arial" w:cs="Arial"/>
          <w:lang w:val="en-PH"/>
        </w:rPr>
        <w:t>In contrast, lower proportions of correct responses were observed for indicators related to the composition and indirect exposure of secondhand smoke. Only 60.94% correctly identified that secondhand smoke contains nicotine. Similarly, 69.81% correctly recognized that secondhand smoke originated from the side stream of the cigarette, while 64.82% acknowledged that a lit cigarette burning in an ashtray can affect the health of the people nearby.</w:t>
      </w:r>
    </w:p>
    <w:p w14:paraId="2C588CD8" w14:textId="533AC8BA" w:rsidR="00142767" w:rsidRPr="00142767" w:rsidRDefault="00142767" w:rsidP="00142767">
      <w:pPr>
        <w:pStyle w:val="Body"/>
        <w:rPr>
          <w:rFonts w:ascii="Arial" w:hAnsi="Arial" w:cs="Arial"/>
          <w:lang w:val="en-PH"/>
        </w:rPr>
      </w:pPr>
      <w:r w:rsidRPr="00142767">
        <w:rPr>
          <w:rFonts w:ascii="Arial" w:hAnsi="Arial" w:cs="Arial"/>
          <w:lang w:val="en-PH"/>
        </w:rPr>
        <w:t>These findings have been consistent with a study from Saudi Arabia among medical students, which found that while many students correctly identified certain health risks of secondhand smoke, such as lung cancer and asthma, a proportion still demonstrated incomplete overall knowledge (Alzahrani, 2020). Table 2 presents the corresponding data.</w:t>
      </w:r>
    </w:p>
    <w:p w14:paraId="5C2003F9" w14:textId="77777777" w:rsidR="00142767" w:rsidRPr="00142767" w:rsidRDefault="00142767" w:rsidP="00142767">
      <w:pPr>
        <w:pStyle w:val="Body"/>
        <w:rPr>
          <w:rFonts w:ascii="Arial" w:hAnsi="Arial" w:cs="Arial"/>
          <w:lang w:val="en-PH"/>
        </w:rPr>
      </w:pPr>
      <w:r w:rsidRPr="00142767">
        <w:rPr>
          <w:rFonts w:ascii="Arial" w:hAnsi="Arial" w:cs="Arial"/>
          <w:b/>
          <w:bCs/>
          <w:lang w:val="en-PH"/>
        </w:rPr>
        <w:t>Table 2. Level of knowledge regarding secondhand smoke exposure among household heads (n=361)</w:t>
      </w:r>
    </w:p>
    <w:tbl>
      <w:tblPr>
        <w:tblW w:w="0" w:type="auto"/>
        <w:tblCellMar>
          <w:top w:w="15" w:type="dxa"/>
          <w:left w:w="15" w:type="dxa"/>
          <w:bottom w:w="15" w:type="dxa"/>
          <w:right w:w="15" w:type="dxa"/>
        </w:tblCellMar>
        <w:tblLook w:val="04A0" w:firstRow="1" w:lastRow="0" w:firstColumn="1" w:lastColumn="0" w:noHBand="0" w:noVBand="1"/>
      </w:tblPr>
      <w:tblGrid>
        <w:gridCol w:w="6401"/>
        <w:gridCol w:w="1090"/>
        <w:gridCol w:w="697"/>
      </w:tblGrid>
      <w:tr w:rsidR="00142767" w:rsidRPr="00142767" w14:paraId="50B86220" w14:textId="77777777">
        <w:tc>
          <w:tcPr>
            <w:tcW w:w="0" w:type="auto"/>
            <w:tcBorders>
              <w:top w:val="single" w:sz="8" w:space="0" w:color="000000"/>
              <w:left w:val="single" w:sz="8" w:space="0" w:color="FFFFFF"/>
              <w:bottom w:val="single" w:sz="8" w:space="0" w:color="000000"/>
              <w:right w:val="single" w:sz="8" w:space="0" w:color="FFFFFF"/>
            </w:tcBorders>
            <w:hideMark/>
          </w:tcPr>
          <w:p w14:paraId="53454890" w14:textId="77777777" w:rsidR="00142767" w:rsidRPr="00142767" w:rsidRDefault="00142767" w:rsidP="00142767">
            <w:pPr>
              <w:pStyle w:val="Body"/>
              <w:spacing w:after="0"/>
              <w:rPr>
                <w:rFonts w:ascii="Arial" w:hAnsi="Arial" w:cs="Arial"/>
                <w:lang w:val="en-PH"/>
              </w:rPr>
            </w:pPr>
          </w:p>
          <w:p w14:paraId="23FDA5B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Level of Knowledge</w:t>
            </w:r>
          </w:p>
        </w:tc>
        <w:tc>
          <w:tcPr>
            <w:tcW w:w="0" w:type="auto"/>
            <w:tcBorders>
              <w:top w:val="single" w:sz="8" w:space="0" w:color="000000"/>
              <w:left w:val="single" w:sz="8" w:space="0" w:color="FFFFFF"/>
              <w:bottom w:val="single" w:sz="8" w:space="0" w:color="000000"/>
              <w:right w:val="single" w:sz="8" w:space="0" w:color="FFFFFF"/>
            </w:tcBorders>
            <w:hideMark/>
          </w:tcPr>
          <w:p w14:paraId="54CC0CF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Correct Answer</w:t>
            </w:r>
          </w:p>
          <w:p w14:paraId="331945C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f</w:t>
            </w:r>
          </w:p>
        </w:tc>
        <w:tc>
          <w:tcPr>
            <w:tcW w:w="0" w:type="auto"/>
            <w:tcBorders>
              <w:top w:val="single" w:sz="8" w:space="0" w:color="000000"/>
              <w:left w:val="single" w:sz="8" w:space="0" w:color="FFFFFF"/>
              <w:bottom w:val="single" w:sz="8" w:space="0" w:color="000000"/>
              <w:right w:val="single" w:sz="8" w:space="0" w:color="FFFFFF"/>
            </w:tcBorders>
            <w:hideMark/>
          </w:tcPr>
          <w:p w14:paraId="6B95CC8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Correct</w:t>
            </w:r>
          </w:p>
          <w:p w14:paraId="6CD49249"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Answer</w:t>
            </w:r>
          </w:p>
          <w:p w14:paraId="31FCF7B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i/>
                <w:iCs/>
                <w:lang w:val="en-PH"/>
              </w:rPr>
              <w:t>%</w:t>
            </w:r>
          </w:p>
        </w:tc>
      </w:tr>
      <w:tr w:rsidR="00142767" w:rsidRPr="00142767" w14:paraId="06145164" w14:textId="77777777">
        <w:trPr>
          <w:trHeight w:val="431"/>
        </w:trPr>
        <w:tc>
          <w:tcPr>
            <w:tcW w:w="0" w:type="auto"/>
            <w:tcBorders>
              <w:top w:val="single" w:sz="8" w:space="0" w:color="000000"/>
              <w:left w:val="single" w:sz="8" w:space="0" w:color="FFFFFF"/>
              <w:bottom w:val="single" w:sz="8" w:space="0" w:color="FFFFFF"/>
              <w:right w:val="single" w:sz="8" w:space="0" w:color="FFFFFF"/>
            </w:tcBorders>
            <w:hideMark/>
          </w:tcPr>
          <w:p w14:paraId="4C99515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Asthmatic children living with smokers are more likely to have asthma attack</w:t>
            </w:r>
          </w:p>
        </w:tc>
        <w:tc>
          <w:tcPr>
            <w:tcW w:w="0" w:type="auto"/>
            <w:tcBorders>
              <w:top w:val="single" w:sz="8" w:space="0" w:color="000000"/>
              <w:left w:val="single" w:sz="8" w:space="0" w:color="FFFFFF"/>
              <w:bottom w:val="single" w:sz="8" w:space="0" w:color="FFFFFF"/>
              <w:right w:val="single" w:sz="8" w:space="0" w:color="FFFFFF"/>
            </w:tcBorders>
            <w:hideMark/>
          </w:tcPr>
          <w:p w14:paraId="30D38AF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356</w:t>
            </w:r>
          </w:p>
        </w:tc>
        <w:tc>
          <w:tcPr>
            <w:tcW w:w="0" w:type="auto"/>
            <w:tcBorders>
              <w:top w:val="single" w:sz="8" w:space="0" w:color="000000"/>
              <w:left w:val="single" w:sz="8" w:space="0" w:color="FFFFFF"/>
              <w:bottom w:val="single" w:sz="8" w:space="0" w:color="FFFFFF"/>
              <w:right w:val="single" w:sz="8" w:space="0" w:color="FFFFFF"/>
            </w:tcBorders>
            <w:hideMark/>
          </w:tcPr>
          <w:p w14:paraId="3E88182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98.61</w:t>
            </w:r>
          </w:p>
        </w:tc>
      </w:tr>
      <w:tr w:rsidR="00142767" w:rsidRPr="00142767" w14:paraId="4B3A8BCA"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5483110A"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will not be harmful to my health</w:t>
            </w:r>
          </w:p>
        </w:tc>
        <w:tc>
          <w:tcPr>
            <w:tcW w:w="0" w:type="auto"/>
            <w:tcBorders>
              <w:top w:val="single" w:sz="8" w:space="0" w:color="FFFFFF"/>
              <w:left w:val="single" w:sz="8" w:space="0" w:color="FFFFFF"/>
              <w:bottom w:val="single" w:sz="8" w:space="0" w:color="FFFFFF"/>
              <w:right w:val="single" w:sz="8" w:space="0" w:color="FFFFFF"/>
            </w:tcBorders>
            <w:hideMark/>
          </w:tcPr>
          <w:p w14:paraId="433190D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355</w:t>
            </w:r>
          </w:p>
        </w:tc>
        <w:tc>
          <w:tcPr>
            <w:tcW w:w="0" w:type="auto"/>
            <w:tcBorders>
              <w:top w:val="single" w:sz="8" w:space="0" w:color="FFFFFF"/>
              <w:left w:val="single" w:sz="8" w:space="0" w:color="FFFFFF"/>
              <w:bottom w:val="single" w:sz="8" w:space="0" w:color="FFFFFF"/>
              <w:right w:val="single" w:sz="8" w:space="0" w:color="FFFFFF"/>
            </w:tcBorders>
            <w:hideMark/>
          </w:tcPr>
          <w:p w14:paraId="5F8D4FC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98.34</w:t>
            </w:r>
          </w:p>
        </w:tc>
      </w:tr>
      <w:tr w:rsidR="00142767" w:rsidRPr="00142767" w14:paraId="1AF80F61"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20119FF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is a toxic mixture consisting of carcinogens.</w:t>
            </w:r>
          </w:p>
        </w:tc>
        <w:tc>
          <w:tcPr>
            <w:tcW w:w="0" w:type="auto"/>
            <w:tcBorders>
              <w:top w:val="single" w:sz="8" w:space="0" w:color="FFFFFF"/>
              <w:left w:val="single" w:sz="8" w:space="0" w:color="FFFFFF"/>
              <w:bottom w:val="single" w:sz="8" w:space="0" w:color="FFFFFF"/>
              <w:right w:val="single" w:sz="8" w:space="0" w:color="FFFFFF"/>
            </w:tcBorders>
            <w:hideMark/>
          </w:tcPr>
          <w:p w14:paraId="5F31DF6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352</w:t>
            </w:r>
          </w:p>
        </w:tc>
        <w:tc>
          <w:tcPr>
            <w:tcW w:w="0" w:type="auto"/>
            <w:tcBorders>
              <w:top w:val="single" w:sz="8" w:space="0" w:color="FFFFFF"/>
              <w:left w:val="single" w:sz="8" w:space="0" w:color="FFFFFF"/>
              <w:bottom w:val="single" w:sz="8" w:space="0" w:color="FFFFFF"/>
              <w:right w:val="single" w:sz="8" w:space="0" w:color="FFFFFF"/>
            </w:tcBorders>
            <w:hideMark/>
          </w:tcPr>
          <w:p w14:paraId="1754601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97.51</w:t>
            </w:r>
          </w:p>
        </w:tc>
      </w:tr>
      <w:tr w:rsidR="00142767" w:rsidRPr="00142767" w14:paraId="671E4850"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3972C3B8"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Bus passengers are prohibited to smoke in the bus.</w:t>
            </w:r>
          </w:p>
        </w:tc>
        <w:tc>
          <w:tcPr>
            <w:tcW w:w="0" w:type="auto"/>
            <w:tcBorders>
              <w:top w:val="single" w:sz="8" w:space="0" w:color="FFFFFF"/>
              <w:left w:val="single" w:sz="8" w:space="0" w:color="FFFFFF"/>
              <w:bottom w:val="single" w:sz="8" w:space="0" w:color="FFFFFF"/>
              <w:right w:val="single" w:sz="8" w:space="0" w:color="FFFFFF"/>
            </w:tcBorders>
            <w:hideMark/>
          </w:tcPr>
          <w:p w14:paraId="02CB4EA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348</w:t>
            </w:r>
          </w:p>
        </w:tc>
        <w:tc>
          <w:tcPr>
            <w:tcW w:w="0" w:type="auto"/>
            <w:tcBorders>
              <w:top w:val="single" w:sz="8" w:space="0" w:color="FFFFFF"/>
              <w:left w:val="single" w:sz="8" w:space="0" w:color="FFFFFF"/>
              <w:bottom w:val="single" w:sz="8" w:space="0" w:color="FFFFFF"/>
              <w:right w:val="single" w:sz="8" w:space="0" w:color="FFFFFF"/>
            </w:tcBorders>
            <w:hideMark/>
          </w:tcPr>
          <w:p w14:paraId="4C940F5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96.40</w:t>
            </w:r>
          </w:p>
        </w:tc>
      </w:tr>
      <w:tr w:rsidR="00142767" w:rsidRPr="00142767" w14:paraId="5CEF9922"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0FC91AA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Passive smokers are more likely to have heart disease</w:t>
            </w:r>
          </w:p>
        </w:tc>
        <w:tc>
          <w:tcPr>
            <w:tcW w:w="0" w:type="auto"/>
            <w:tcBorders>
              <w:top w:val="single" w:sz="8" w:space="0" w:color="FFFFFF"/>
              <w:left w:val="single" w:sz="8" w:space="0" w:color="FFFFFF"/>
              <w:bottom w:val="single" w:sz="8" w:space="0" w:color="FFFFFF"/>
              <w:right w:val="single" w:sz="8" w:space="0" w:color="FFFFFF"/>
            </w:tcBorders>
            <w:hideMark/>
          </w:tcPr>
          <w:p w14:paraId="310F45B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348</w:t>
            </w:r>
          </w:p>
        </w:tc>
        <w:tc>
          <w:tcPr>
            <w:tcW w:w="0" w:type="auto"/>
            <w:tcBorders>
              <w:top w:val="single" w:sz="8" w:space="0" w:color="FFFFFF"/>
              <w:left w:val="single" w:sz="8" w:space="0" w:color="FFFFFF"/>
              <w:bottom w:val="single" w:sz="8" w:space="0" w:color="FFFFFF"/>
              <w:right w:val="single" w:sz="8" w:space="0" w:color="FFFFFF"/>
            </w:tcBorders>
            <w:hideMark/>
          </w:tcPr>
          <w:p w14:paraId="31F346C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96.40</w:t>
            </w:r>
          </w:p>
        </w:tc>
      </w:tr>
      <w:tr w:rsidR="00142767" w:rsidRPr="00142767" w14:paraId="1B3E4CE8"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6ED2A0D0"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comes from the exhaled mainstream (the smoke puffed out by smokers) of cigarettes</w:t>
            </w:r>
          </w:p>
        </w:tc>
        <w:tc>
          <w:tcPr>
            <w:tcW w:w="0" w:type="auto"/>
            <w:tcBorders>
              <w:top w:val="single" w:sz="8" w:space="0" w:color="FFFFFF"/>
              <w:left w:val="single" w:sz="8" w:space="0" w:color="FFFFFF"/>
              <w:bottom w:val="single" w:sz="8" w:space="0" w:color="FFFFFF"/>
              <w:right w:val="single" w:sz="8" w:space="0" w:color="FFFFFF"/>
            </w:tcBorders>
            <w:hideMark/>
          </w:tcPr>
          <w:p w14:paraId="2170483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346</w:t>
            </w:r>
          </w:p>
        </w:tc>
        <w:tc>
          <w:tcPr>
            <w:tcW w:w="0" w:type="auto"/>
            <w:tcBorders>
              <w:top w:val="single" w:sz="8" w:space="0" w:color="FFFFFF"/>
              <w:left w:val="single" w:sz="8" w:space="0" w:color="FFFFFF"/>
              <w:bottom w:val="single" w:sz="8" w:space="0" w:color="FFFFFF"/>
              <w:right w:val="single" w:sz="8" w:space="0" w:color="FFFFFF"/>
            </w:tcBorders>
            <w:hideMark/>
          </w:tcPr>
          <w:p w14:paraId="6B9055F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95.84</w:t>
            </w:r>
          </w:p>
        </w:tc>
      </w:tr>
      <w:tr w:rsidR="00142767" w:rsidRPr="00142767" w14:paraId="27F7078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0191D0C"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contributes to a high incidence of lung cancer among second-hand smokers</w:t>
            </w:r>
          </w:p>
        </w:tc>
        <w:tc>
          <w:tcPr>
            <w:tcW w:w="0" w:type="auto"/>
            <w:tcBorders>
              <w:top w:val="single" w:sz="8" w:space="0" w:color="FFFFFF"/>
              <w:left w:val="single" w:sz="8" w:space="0" w:color="FFFFFF"/>
              <w:bottom w:val="single" w:sz="8" w:space="0" w:color="FFFFFF"/>
              <w:right w:val="single" w:sz="8" w:space="0" w:color="FFFFFF"/>
            </w:tcBorders>
            <w:hideMark/>
          </w:tcPr>
          <w:p w14:paraId="1E7C3B1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345</w:t>
            </w:r>
          </w:p>
        </w:tc>
        <w:tc>
          <w:tcPr>
            <w:tcW w:w="0" w:type="auto"/>
            <w:tcBorders>
              <w:top w:val="single" w:sz="8" w:space="0" w:color="FFFFFF"/>
              <w:left w:val="single" w:sz="8" w:space="0" w:color="FFFFFF"/>
              <w:bottom w:val="single" w:sz="8" w:space="0" w:color="FFFFFF"/>
              <w:right w:val="single" w:sz="8" w:space="0" w:color="FFFFFF"/>
            </w:tcBorders>
            <w:hideMark/>
          </w:tcPr>
          <w:p w14:paraId="1EF494A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95.57</w:t>
            </w:r>
          </w:p>
        </w:tc>
      </w:tr>
      <w:tr w:rsidR="00142767" w:rsidRPr="00142767" w14:paraId="27AF6CC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AE8CFD6"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If one is a current smoker, one's spouse has a higher risk of developing lung cancer</w:t>
            </w:r>
          </w:p>
        </w:tc>
        <w:tc>
          <w:tcPr>
            <w:tcW w:w="0" w:type="auto"/>
            <w:tcBorders>
              <w:top w:val="single" w:sz="8" w:space="0" w:color="FFFFFF"/>
              <w:left w:val="single" w:sz="8" w:space="0" w:color="FFFFFF"/>
              <w:bottom w:val="single" w:sz="8" w:space="0" w:color="FFFFFF"/>
              <w:right w:val="single" w:sz="8" w:space="0" w:color="FFFFFF"/>
            </w:tcBorders>
            <w:hideMark/>
          </w:tcPr>
          <w:p w14:paraId="607A2001"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333</w:t>
            </w:r>
          </w:p>
        </w:tc>
        <w:tc>
          <w:tcPr>
            <w:tcW w:w="0" w:type="auto"/>
            <w:tcBorders>
              <w:top w:val="single" w:sz="8" w:space="0" w:color="FFFFFF"/>
              <w:left w:val="single" w:sz="8" w:space="0" w:color="FFFFFF"/>
              <w:bottom w:val="single" w:sz="8" w:space="0" w:color="FFFFFF"/>
              <w:right w:val="single" w:sz="8" w:space="0" w:color="FFFFFF"/>
            </w:tcBorders>
            <w:hideMark/>
          </w:tcPr>
          <w:p w14:paraId="482AA95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92.24</w:t>
            </w:r>
          </w:p>
        </w:tc>
      </w:tr>
      <w:tr w:rsidR="00142767" w:rsidRPr="00142767" w14:paraId="128C57BC" w14:textId="77777777">
        <w:trPr>
          <w:trHeight w:val="308"/>
        </w:trPr>
        <w:tc>
          <w:tcPr>
            <w:tcW w:w="0" w:type="auto"/>
            <w:tcBorders>
              <w:top w:val="single" w:sz="8" w:space="0" w:color="FFFFFF"/>
              <w:left w:val="single" w:sz="8" w:space="0" w:color="FFFFFF"/>
              <w:bottom w:val="single" w:sz="8" w:space="0" w:color="FFFFFF"/>
              <w:right w:val="single" w:sz="8" w:space="0" w:color="FFFFFF"/>
            </w:tcBorders>
            <w:hideMark/>
          </w:tcPr>
          <w:p w14:paraId="0FED305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Smoking in the home affects children's health</w:t>
            </w:r>
          </w:p>
        </w:tc>
        <w:tc>
          <w:tcPr>
            <w:tcW w:w="0" w:type="auto"/>
            <w:tcBorders>
              <w:top w:val="single" w:sz="8" w:space="0" w:color="FFFFFF"/>
              <w:left w:val="single" w:sz="8" w:space="0" w:color="FFFFFF"/>
              <w:bottom w:val="single" w:sz="8" w:space="0" w:color="FFFFFF"/>
              <w:right w:val="single" w:sz="8" w:space="0" w:color="FFFFFF"/>
            </w:tcBorders>
            <w:hideMark/>
          </w:tcPr>
          <w:p w14:paraId="1965355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332</w:t>
            </w:r>
          </w:p>
        </w:tc>
        <w:tc>
          <w:tcPr>
            <w:tcW w:w="0" w:type="auto"/>
            <w:tcBorders>
              <w:top w:val="single" w:sz="8" w:space="0" w:color="FFFFFF"/>
              <w:left w:val="single" w:sz="8" w:space="0" w:color="FFFFFF"/>
              <w:bottom w:val="single" w:sz="8" w:space="0" w:color="FFFFFF"/>
              <w:right w:val="single" w:sz="8" w:space="0" w:color="FFFFFF"/>
            </w:tcBorders>
            <w:hideMark/>
          </w:tcPr>
          <w:p w14:paraId="5ABCA82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91.97</w:t>
            </w:r>
          </w:p>
        </w:tc>
      </w:tr>
      <w:tr w:rsidR="00142767" w:rsidRPr="00142767" w14:paraId="6E08E010"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2D0E802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exposure during pregnancy contributes to low birth weight</w:t>
            </w:r>
          </w:p>
        </w:tc>
        <w:tc>
          <w:tcPr>
            <w:tcW w:w="0" w:type="auto"/>
            <w:tcBorders>
              <w:top w:val="single" w:sz="8" w:space="0" w:color="FFFFFF"/>
              <w:left w:val="single" w:sz="8" w:space="0" w:color="FFFFFF"/>
              <w:bottom w:val="single" w:sz="8" w:space="0" w:color="FFFFFF"/>
              <w:right w:val="single" w:sz="8" w:space="0" w:color="FFFFFF"/>
            </w:tcBorders>
            <w:hideMark/>
          </w:tcPr>
          <w:p w14:paraId="2057C64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323</w:t>
            </w:r>
          </w:p>
        </w:tc>
        <w:tc>
          <w:tcPr>
            <w:tcW w:w="0" w:type="auto"/>
            <w:tcBorders>
              <w:top w:val="single" w:sz="8" w:space="0" w:color="FFFFFF"/>
              <w:left w:val="single" w:sz="8" w:space="0" w:color="FFFFFF"/>
              <w:bottom w:val="single" w:sz="8" w:space="0" w:color="FFFFFF"/>
              <w:right w:val="single" w:sz="8" w:space="0" w:color="FFFFFF"/>
            </w:tcBorders>
            <w:hideMark/>
          </w:tcPr>
          <w:p w14:paraId="625EE87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89.47</w:t>
            </w:r>
          </w:p>
        </w:tc>
      </w:tr>
      <w:tr w:rsidR="00142767" w:rsidRPr="00142767" w14:paraId="27B26601"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6588C6E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Long-term exposure to second-hand smoke decreases lung function among second-hand smokers</w:t>
            </w:r>
          </w:p>
        </w:tc>
        <w:tc>
          <w:tcPr>
            <w:tcW w:w="0" w:type="auto"/>
            <w:tcBorders>
              <w:top w:val="single" w:sz="8" w:space="0" w:color="FFFFFF"/>
              <w:left w:val="single" w:sz="8" w:space="0" w:color="FFFFFF"/>
              <w:bottom w:val="single" w:sz="8" w:space="0" w:color="FFFFFF"/>
              <w:right w:val="single" w:sz="8" w:space="0" w:color="FFFFFF"/>
            </w:tcBorders>
            <w:hideMark/>
          </w:tcPr>
          <w:p w14:paraId="4B43D7A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310</w:t>
            </w:r>
          </w:p>
        </w:tc>
        <w:tc>
          <w:tcPr>
            <w:tcW w:w="0" w:type="auto"/>
            <w:tcBorders>
              <w:top w:val="single" w:sz="8" w:space="0" w:color="FFFFFF"/>
              <w:left w:val="single" w:sz="8" w:space="0" w:color="FFFFFF"/>
              <w:bottom w:val="single" w:sz="8" w:space="0" w:color="FFFFFF"/>
              <w:right w:val="single" w:sz="8" w:space="0" w:color="FFFFFF"/>
            </w:tcBorders>
            <w:hideMark/>
          </w:tcPr>
          <w:p w14:paraId="04B4D09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85.87</w:t>
            </w:r>
          </w:p>
        </w:tc>
      </w:tr>
      <w:tr w:rsidR="00142767" w:rsidRPr="00142767" w14:paraId="091499F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01FFFC9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Smokers do not have to worry about damage to another person's health from second-hand smoke</w:t>
            </w:r>
          </w:p>
        </w:tc>
        <w:tc>
          <w:tcPr>
            <w:tcW w:w="0" w:type="auto"/>
            <w:tcBorders>
              <w:top w:val="single" w:sz="8" w:space="0" w:color="FFFFFF"/>
              <w:left w:val="single" w:sz="8" w:space="0" w:color="FFFFFF"/>
              <w:bottom w:val="single" w:sz="8" w:space="0" w:color="FFFFFF"/>
              <w:right w:val="single" w:sz="8" w:space="0" w:color="FFFFFF"/>
            </w:tcBorders>
            <w:hideMark/>
          </w:tcPr>
          <w:p w14:paraId="548A30F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279</w:t>
            </w:r>
          </w:p>
        </w:tc>
        <w:tc>
          <w:tcPr>
            <w:tcW w:w="0" w:type="auto"/>
            <w:tcBorders>
              <w:top w:val="single" w:sz="8" w:space="0" w:color="FFFFFF"/>
              <w:left w:val="single" w:sz="8" w:space="0" w:color="FFFFFF"/>
              <w:bottom w:val="single" w:sz="8" w:space="0" w:color="FFFFFF"/>
              <w:right w:val="single" w:sz="8" w:space="0" w:color="FFFFFF"/>
            </w:tcBorders>
            <w:hideMark/>
          </w:tcPr>
          <w:p w14:paraId="5484E36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77.29</w:t>
            </w:r>
          </w:p>
        </w:tc>
      </w:tr>
      <w:tr w:rsidR="00142767" w:rsidRPr="00142767" w14:paraId="01D7ACC5"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766397B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If the husband is a current smoker, the wife has a higher risk of developing cervical cancer</w:t>
            </w:r>
          </w:p>
        </w:tc>
        <w:tc>
          <w:tcPr>
            <w:tcW w:w="0" w:type="auto"/>
            <w:tcBorders>
              <w:top w:val="single" w:sz="8" w:space="0" w:color="FFFFFF"/>
              <w:left w:val="single" w:sz="8" w:space="0" w:color="FFFFFF"/>
              <w:bottom w:val="single" w:sz="8" w:space="0" w:color="FFFFFF"/>
              <w:right w:val="single" w:sz="8" w:space="0" w:color="FFFFFF"/>
            </w:tcBorders>
            <w:hideMark/>
          </w:tcPr>
          <w:p w14:paraId="65C0DC90"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277</w:t>
            </w:r>
          </w:p>
        </w:tc>
        <w:tc>
          <w:tcPr>
            <w:tcW w:w="0" w:type="auto"/>
            <w:tcBorders>
              <w:top w:val="single" w:sz="8" w:space="0" w:color="FFFFFF"/>
              <w:left w:val="single" w:sz="8" w:space="0" w:color="FFFFFF"/>
              <w:bottom w:val="single" w:sz="8" w:space="0" w:color="FFFFFF"/>
              <w:right w:val="single" w:sz="8" w:space="0" w:color="FFFFFF"/>
            </w:tcBorders>
            <w:hideMark/>
          </w:tcPr>
          <w:p w14:paraId="32DA756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76.73</w:t>
            </w:r>
          </w:p>
        </w:tc>
      </w:tr>
      <w:tr w:rsidR="00142767" w:rsidRPr="00142767" w14:paraId="6E11A959"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4A0BB0B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Second-hand smoke comes from the side-stream (the burning end) of a cigarette</w:t>
            </w:r>
          </w:p>
        </w:tc>
        <w:tc>
          <w:tcPr>
            <w:tcW w:w="0" w:type="auto"/>
            <w:tcBorders>
              <w:top w:val="single" w:sz="8" w:space="0" w:color="FFFFFF"/>
              <w:left w:val="single" w:sz="8" w:space="0" w:color="FFFFFF"/>
              <w:bottom w:val="single" w:sz="8" w:space="0" w:color="FFFFFF"/>
              <w:right w:val="single" w:sz="8" w:space="0" w:color="FFFFFF"/>
            </w:tcBorders>
            <w:hideMark/>
          </w:tcPr>
          <w:p w14:paraId="3D86802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252</w:t>
            </w:r>
          </w:p>
        </w:tc>
        <w:tc>
          <w:tcPr>
            <w:tcW w:w="0" w:type="auto"/>
            <w:tcBorders>
              <w:top w:val="single" w:sz="8" w:space="0" w:color="FFFFFF"/>
              <w:left w:val="single" w:sz="8" w:space="0" w:color="FFFFFF"/>
              <w:bottom w:val="single" w:sz="8" w:space="0" w:color="FFFFFF"/>
              <w:right w:val="single" w:sz="8" w:space="0" w:color="FFFFFF"/>
            </w:tcBorders>
            <w:hideMark/>
          </w:tcPr>
          <w:p w14:paraId="6BEFEAD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69.81</w:t>
            </w:r>
          </w:p>
        </w:tc>
      </w:tr>
      <w:tr w:rsidR="00142767" w:rsidRPr="00142767" w14:paraId="14EC3524" w14:textId="77777777">
        <w:trPr>
          <w:trHeight w:val="495"/>
        </w:trPr>
        <w:tc>
          <w:tcPr>
            <w:tcW w:w="0" w:type="auto"/>
            <w:tcBorders>
              <w:top w:val="single" w:sz="8" w:space="0" w:color="FFFFFF"/>
              <w:left w:val="single" w:sz="8" w:space="0" w:color="FFFFFF"/>
              <w:bottom w:val="single" w:sz="8" w:space="0" w:color="FFFFFF"/>
              <w:right w:val="single" w:sz="8" w:space="0" w:color="FFFFFF"/>
            </w:tcBorders>
            <w:hideMark/>
          </w:tcPr>
          <w:p w14:paraId="369ABAC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 lit cigarette burning in an ashtray will not affect the health of people nearby</w:t>
            </w:r>
          </w:p>
        </w:tc>
        <w:tc>
          <w:tcPr>
            <w:tcW w:w="0" w:type="auto"/>
            <w:tcBorders>
              <w:top w:val="single" w:sz="8" w:space="0" w:color="FFFFFF"/>
              <w:left w:val="single" w:sz="8" w:space="0" w:color="FFFFFF"/>
              <w:bottom w:val="single" w:sz="8" w:space="0" w:color="FFFFFF"/>
              <w:right w:val="single" w:sz="8" w:space="0" w:color="FFFFFF"/>
            </w:tcBorders>
            <w:hideMark/>
          </w:tcPr>
          <w:p w14:paraId="68FC89C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234</w:t>
            </w:r>
          </w:p>
        </w:tc>
        <w:tc>
          <w:tcPr>
            <w:tcW w:w="0" w:type="auto"/>
            <w:tcBorders>
              <w:top w:val="single" w:sz="8" w:space="0" w:color="FFFFFF"/>
              <w:left w:val="single" w:sz="8" w:space="0" w:color="FFFFFF"/>
              <w:bottom w:val="single" w:sz="8" w:space="0" w:color="FFFFFF"/>
              <w:right w:val="single" w:sz="8" w:space="0" w:color="FFFFFF"/>
            </w:tcBorders>
            <w:hideMark/>
          </w:tcPr>
          <w:p w14:paraId="3B3FAD6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64.82</w:t>
            </w:r>
          </w:p>
        </w:tc>
      </w:tr>
      <w:tr w:rsidR="00142767" w:rsidRPr="00142767" w14:paraId="5678D591" w14:textId="77777777">
        <w:trPr>
          <w:trHeight w:val="308"/>
        </w:trPr>
        <w:tc>
          <w:tcPr>
            <w:tcW w:w="0" w:type="auto"/>
            <w:tcBorders>
              <w:top w:val="single" w:sz="8" w:space="0" w:color="FFFFFF"/>
              <w:left w:val="single" w:sz="8" w:space="0" w:color="FFFFFF"/>
              <w:bottom w:val="single" w:sz="8" w:space="0" w:color="000000"/>
              <w:right w:val="single" w:sz="8" w:space="0" w:color="FFFFFF"/>
            </w:tcBorders>
            <w:hideMark/>
          </w:tcPr>
          <w:p w14:paraId="44BF6F0F"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Second Hand Smoke does not contain nicotine</w:t>
            </w:r>
          </w:p>
        </w:tc>
        <w:tc>
          <w:tcPr>
            <w:tcW w:w="0" w:type="auto"/>
            <w:tcBorders>
              <w:top w:val="single" w:sz="8" w:space="0" w:color="FFFFFF"/>
              <w:left w:val="single" w:sz="8" w:space="0" w:color="FFFFFF"/>
              <w:bottom w:val="single" w:sz="8" w:space="0" w:color="000000"/>
              <w:right w:val="single" w:sz="8" w:space="0" w:color="FFFFFF"/>
            </w:tcBorders>
            <w:hideMark/>
          </w:tcPr>
          <w:p w14:paraId="7F14692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220</w:t>
            </w:r>
          </w:p>
        </w:tc>
        <w:tc>
          <w:tcPr>
            <w:tcW w:w="0" w:type="auto"/>
            <w:tcBorders>
              <w:top w:val="single" w:sz="8" w:space="0" w:color="FFFFFF"/>
              <w:left w:val="single" w:sz="8" w:space="0" w:color="FFFFFF"/>
              <w:bottom w:val="single" w:sz="8" w:space="0" w:color="000000"/>
              <w:right w:val="single" w:sz="8" w:space="0" w:color="FFFFFF"/>
            </w:tcBorders>
            <w:hideMark/>
          </w:tcPr>
          <w:p w14:paraId="4D1269F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60.94</w:t>
            </w:r>
          </w:p>
        </w:tc>
      </w:tr>
      <w:tr w:rsidR="00142767" w:rsidRPr="00142767" w14:paraId="35DB14DB" w14:textId="77777777">
        <w:trPr>
          <w:trHeight w:val="255"/>
        </w:trPr>
        <w:tc>
          <w:tcPr>
            <w:tcW w:w="0" w:type="auto"/>
            <w:tcBorders>
              <w:top w:val="single" w:sz="8" w:space="0" w:color="000000"/>
              <w:left w:val="single" w:sz="8" w:space="0" w:color="FFFFFF"/>
              <w:bottom w:val="single" w:sz="8" w:space="0" w:color="000000"/>
              <w:right w:val="single" w:sz="8" w:space="0" w:color="FFFFFF"/>
            </w:tcBorders>
            <w:hideMark/>
          </w:tcPr>
          <w:p w14:paraId="74A6008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Total</w:t>
            </w:r>
          </w:p>
        </w:tc>
        <w:tc>
          <w:tcPr>
            <w:tcW w:w="0" w:type="auto"/>
            <w:tcBorders>
              <w:top w:val="single" w:sz="8" w:space="0" w:color="000000"/>
              <w:left w:val="single" w:sz="8" w:space="0" w:color="FFFFFF"/>
              <w:bottom w:val="single" w:sz="8" w:space="0" w:color="000000"/>
              <w:right w:val="single" w:sz="8" w:space="0" w:color="FFFFFF"/>
            </w:tcBorders>
            <w:hideMark/>
          </w:tcPr>
          <w:p w14:paraId="1F6F279E" w14:textId="77777777" w:rsidR="00142767" w:rsidRPr="00142767" w:rsidRDefault="00142767" w:rsidP="00142767">
            <w:pPr>
              <w:pStyle w:val="Body"/>
              <w:spacing w:after="0"/>
              <w:jc w:val="center"/>
              <w:rPr>
                <w:rFonts w:ascii="Arial" w:hAnsi="Arial" w:cs="Arial"/>
                <w:lang w:val="en-PH"/>
              </w:rPr>
            </w:pPr>
          </w:p>
        </w:tc>
        <w:tc>
          <w:tcPr>
            <w:tcW w:w="0" w:type="auto"/>
            <w:tcBorders>
              <w:top w:val="single" w:sz="8" w:space="0" w:color="000000"/>
              <w:left w:val="single" w:sz="8" w:space="0" w:color="FFFFFF"/>
              <w:bottom w:val="single" w:sz="8" w:space="0" w:color="000000"/>
              <w:right w:val="single" w:sz="8" w:space="0" w:color="FFFFFF"/>
            </w:tcBorders>
            <w:hideMark/>
          </w:tcPr>
          <w:p w14:paraId="064F938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86.74</w:t>
            </w:r>
          </w:p>
        </w:tc>
      </w:tr>
      <w:tr w:rsidR="00142767" w:rsidRPr="00142767" w14:paraId="58A27036" w14:textId="77777777">
        <w:trPr>
          <w:trHeight w:val="255"/>
        </w:trPr>
        <w:tc>
          <w:tcPr>
            <w:tcW w:w="0" w:type="auto"/>
            <w:tcBorders>
              <w:top w:val="single" w:sz="8" w:space="0" w:color="000000"/>
              <w:left w:val="single" w:sz="8" w:space="0" w:color="FFFFFF"/>
              <w:bottom w:val="single" w:sz="8" w:space="0" w:color="000000"/>
              <w:right w:val="single" w:sz="8" w:space="0" w:color="FFFFFF"/>
            </w:tcBorders>
            <w:hideMark/>
          </w:tcPr>
          <w:p w14:paraId="30BBF09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Overall Mean </w:t>
            </w:r>
          </w:p>
        </w:tc>
        <w:tc>
          <w:tcPr>
            <w:tcW w:w="0" w:type="auto"/>
            <w:gridSpan w:val="2"/>
            <w:tcBorders>
              <w:top w:val="single" w:sz="8" w:space="0" w:color="000000"/>
              <w:left w:val="single" w:sz="8" w:space="0" w:color="FFFFFF"/>
              <w:bottom w:val="single" w:sz="8" w:space="0" w:color="000000"/>
              <w:right w:val="single" w:sz="8" w:space="0" w:color="FFFFFF"/>
            </w:tcBorders>
            <w:hideMark/>
          </w:tcPr>
          <w:p w14:paraId="3509EBA9"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13.88 / 16 </w:t>
            </w:r>
          </w:p>
        </w:tc>
      </w:tr>
    </w:tbl>
    <w:p w14:paraId="6AB79BD6" w14:textId="77777777" w:rsidR="00142767" w:rsidRPr="00142767" w:rsidRDefault="00142767" w:rsidP="00142767">
      <w:pPr>
        <w:pStyle w:val="Body"/>
        <w:spacing w:after="0"/>
        <w:rPr>
          <w:rFonts w:ascii="Arial" w:hAnsi="Arial" w:cs="Arial"/>
          <w:lang w:val="en-PH"/>
        </w:rPr>
      </w:pPr>
    </w:p>
    <w:p w14:paraId="22DFACF1" w14:textId="3D643C7E"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Level of Attitude on Secondhand Smoke Exposure</w:t>
      </w:r>
    </w:p>
    <w:p w14:paraId="1236198C" w14:textId="65D02BB1" w:rsidR="00142767" w:rsidRPr="00142767" w:rsidRDefault="00142767" w:rsidP="00142767">
      <w:pPr>
        <w:pStyle w:val="Body"/>
        <w:rPr>
          <w:rFonts w:ascii="Arial" w:hAnsi="Arial" w:cs="Arial"/>
          <w:lang w:val="en-PH"/>
        </w:rPr>
      </w:pPr>
      <w:r w:rsidRPr="00142767">
        <w:rPr>
          <w:rFonts w:ascii="Arial" w:hAnsi="Arial" w:cs="Arial"/>
          <w:lang w:val="en-PH"/>
        </w:rPr>
        <w:t>Mean scores for each attitude indicator were analyzed to determine respondents’ attitudes regarding secondhand smoke exposure among household heads. The overall mean score was 4.09 out of 5.00, indicating that the majority of respondents agreed or strongly agreed with statements supporting preventive measures against secondhand smoke exposure.</w:t>
      </w:r>
    </w:p>
    <w:p w14:paraId="59A59116" w14:textId="1282D35D" w:rsidR="00142767" w:rsidRPr="00142767" w:rsidRDefault="00142767" w:rsidP="00142767">
      <w:pPr>
        <w:pStyle w:val="Body"/>
        <w:rPr>
          <w:rFonts w:ascii="Arial" w:hAnsi="Arial" w:cs="Arial"/>
          <w:lang w:val="en-PH"/>
        </w:rPr>
      </w:pPr>
      <w:r w:rsidRPr="00142767">
        <w:rPr>
          <w:rFonts w:ascii="Arial" w:hAnsi="Arial" w:cs="Arial"/>
          <w:lang w:val="en-PH"/>
        </w:rPr>
        <w:t>The highest mean score was observed for the statement that parents have no right to smoke around children (M = 4.34). This was closely followed by the belief that selling cigarettes to minors should be prohibited (M = 4.33) and that banning smoking in public places helps protect the health of non-smokers (M = 4.26). The majority of respondents also acknowledged the harmful effects of cigarette smoke on one’s health and supported the placement of smoking bans in public places.</w:t>
      </w:r>
    </w:p>
    <w:p w14:paraId="2537B42C" w14:textId="768AD6AB" w:rsidR="00142767" w:rsidRPr="00142767" w:rsidRDefault="00142767" w:rsidP="00142767">
      <w:pPr>
        <w:pStyle w:val="Body"/>
        <w:rPr>
          <w:rFonts w:ascii="Arial" w:hAnsi="Arial" w:cs="Arial"/>
          <w:lang w:val="en-PH"/>
        </w:rPr>
      </w:pPr>
      <w:r w:rsidRPr="00142767">
        <w:rPr>
          <w:rFonts w:ascii="Arial" w:hAnsi="Arial" w:cs="Arial"/>
          <w:lang w:val="en-PH"/>
        </w:rPr>
        <w:lastRenderedPageBreak/>
        <w:t>Findings also revealed that many respondents tried to avoid secondhand smoke. Most agreed that they avoided friends who smoke, refused to dine in establishments that allowed smoking, and asked others to put down their cigarettes, with mean scores ranging from 3.79 to 3.99. These findings suggest that respondents are willing to take active steps to limit their exposure to secondhand smoke in social settings.</w:t>
      </w:r>
    </w:p>
    <w:p w14:paraId="74A37F5C" w14:textId="6EADCA59" w:rsidR="00142767" w:rsidRPr="00142767" w:rsidRDefault="00142767" w:rsidP="00142767">
      <w:pPr>
        <w:pStyle w:val="Body"/>
        <w:rPr>
          <w:rFonts w:ascii="Arial" w:hAnsi="Arial" w:cs="Arial"/>
          <w:lang w:val="en-PH"/>
        </w:rPr>
      </w:pPr>
      <w:r w:rsidRPr="00142767">
        <w:rPr>
          <w:rFonts w:ascii="Arial" w:hAnsi="Arial" w:cs="Arial"/>
          <w:lang w:val="en-PH"/>
        </w:rPr>
        <w:t>These findings have been consistent with a recent study conducted in China, which reported that the majority of participants held positive attitudes toward smoke-free public places and protecting others from secondhand smoke exposure (Wang et al., 2024). Table 3 presents the data.</w:t>
      </w:r>
    </w:p>
    <w:p w14:paraId="792AB89C" w14:textId="32FAAC73" w:rsidR="00142767" w:rsidRPr="00142767" w:rsidRDefault="00142767" w:rsidP="00142767">
      <w:pPr>
        <w:pStyle w:val="Body"/>
        <w:rPr>
          <w:rFonts w:ascii="Arial" w:hAnsi="Arial" w:cs="Arial"/>
          <w:lang w:val="en-PH"/>
        </w:rPr>
      </w:pPr>
      <w:r w:rsidRPr="00142767">
        <w:rPr>
          <w:rFonts w:ascii="Arial" w:hAnsi="Arial" w:cs="Arial"/>
          <w:b/>
          <w:bCs/>
          <w:lang w:val="en-PH"/>
        </w:rPr>
        <w:t>Table 3. Level of attitude regarding secondhand smoke exposure among household heads (n=361)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536"/>
        <w:gridCol w:w="709"/>
        <w:gridCol w:w="993"/>
      </w:tblGrid>
      <w:tr w:rsidR="00142767" w:rsidRPr="00142767" w14:paraId="67E81354" w14:textId="77777777" w:rsidTr="00142767">
        <w:trPr>
          <w:trHeight w:val="308"/>
        </w:trPr>
        <w:tc>
          <w:tcPr>
            <w:tcW w:w="6536" w:type="dxa"/>
            <w:tcBorders>
              <w:top w:val="single" w:sz="8" w:space="0" w:color="000000"/>
              <w:left w:val="single" w:sz="8" w:space="0" w:color="FFFFFF"/>
              <w:bottom w:val="single" w:sz="8" w:space="0" w:color="000000"/>
              <w:right w:val="single" w:sz="8" w:space="0" w:color="FFFFFF"/>
            </w:tcBorders>
            <w:hideMark/>
          </w:tcPr>
          <w:p w14:paraId="76F9257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Level of attitude</w:t>
            </w:r>
          </w:p>
        </w:tc>
        <w:tc>
          <w:tcPr>
            <w:tcW w:w="709" w:type="dxa"/>
            <w:tcBorders>
              <w:top w:val="single" w:sz="8" w:space="0" w:color="000000"/>
              <w:left w:val="single" w:sz="8" w:space="0" w:color="FFFFFF"/>
              <w:bottom w:val="single" w:sz="8" w:space="0" w:color="000000"/>
              <w:right w:val="single" w:sz="8" w:space="0" w:color="FFFFFF"/>
            </w:tcBorders>
            <w:hideMark/>
          </w:tcPr>
          <w:p w14:paraId="4F1F3C8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Mean</w:t>
            </w:r>
          </w:p>
        </w:tc>
        <w:tc>
          <w:tcPr>
            <w:tcW w:w="993" w:type="dxa"/>
            <w:tcBorders>
              <w:top w:val="single" w:sz="8" w:space="0" w:color="000000"/>
              <w:left w:val="single" w:sz="8" w:space="0" w:color="FFFFFF"/>
              <w:bottom w:val="single" w:sz="8" w:space="0" w:color="000000"/>
              <w:right w:val="single" w:sz="8" w:space="0" w:color="FFFFFF"/>
            </w:tcBorders>
            <w:hideMark/>
          </w:tcPr>
          <w:p w14:paraId="7C62732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Standard Deviation</w:t>
            </w:r>
          </w:p>
        </w:tc>
      </w:tr>
      <w:tr w:rsidR="00142767" w:rsidRPr="00142767" w14:paraId="3311E803" w14:textId="77777777" w:rsidTr="00142767">
        <w:trPr>
          <w:trHeight w:val="180"/>
        </w:trPr>
        <w:tc>
          <w:tcPr>
            <w:tcW w:w="6536" w:type="dxa"/>
            <w:tcBorders>
              <w:top w:val="single" w:sz="8" w:space="0" w:color="000000"/>
              <w:left w:val="single" w:sz="8" w:space="0" w:color="FFFFFF"/>
              <w:bottom w:val="single" w:sz="8" w:space="0" w:color="FFFFFF"/>
              <w:right w:val="single" w:sz="8" w:space="0" w:color="FFFFFF"/>
            </w:tcBorders>
            <w:hideMark/>
          </w:tcPr>
          <w:p w14:paraId="4D3A630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Parents have no right to smoke around children.</w:t>
            </w:r>
          </w:p>
        </w:tc>
        <w:tc>
          <w:tcPr>
            <w:tcW w:w="709" w:type="dxa"/>
            <w:tcBorders>
              <w:top w:val="single" w:sz="8" w:space="0" w:color="000000"/>
              <w:left w:val="single" w:sz="8" w:space="0" w:color="FFFFFF"/>
              <w:bottom w:val="single" w:sz="8" w:space="0" w:color="FFFFFF"/>
              <w:right w:val="single" w:sz="8" w:space="0" w:color="FFFFFF"/>
            </w:tcBorders>
            <w:hideMark/>
          </w:tcPr>
          <w:p w14:paraId="53F67B8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4.34</w:t>
            </w:r>
          </w:p>
        </w:tc>
        <w:tc>
          <w:tcPr>
            <w:tcW w:w="993" w:type="dxa"/>
            <w:tcBorders>
              <w:top w:val="single" w:sz="8" w:space="0" w:color="000000"/>
              <w:left w:val="single" w:sz="8" w:space="0" w:color="FFFFFF"/>
              <w:bottom w:val="single" w:sz="8" w:space="0" w:color="FFFFFF"/>
              <w:right w:val="single" w:sz="8" w:space="0" w:color="FFFFFF"/>
            </w:tcBorders>
            <w:hideMark/>
          </w:tcPr>
          <w:p w14:paraId="31EED9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1.111</w:t>
            </w:r>
          </w:p>
        </w:tc>
      </w:tr>
      <w:tr w:rsidR="00142767" w:rsidRPr="00142767" w14:paraId="2EBBCCE0"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0FE7A8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The act of selling cigarettes to minors (18 years old and below) should be banned.</w:t>
            </w:r>
          </w:p>
        </w:tc>
        <w:tc>
          <w:tcPr>
            <w:tcW w:w="709" w:type="dxa"/>
            <w:tcBorders>
              <w:top w:val="single" w:sz="8" w:space="0" w:color="FFFFFF"/>
              <w:left w:val="single" w:sz="8" w:space="0" w:color="FFFFFF"/>
              <w:bottom w:val="single" w:sz="8" w:space="0" w:color="FFFFFF"/>
              <w:right w:val="single" w:sz="8" w:space="0" w:color="FFFFFF"/>
            </w:tcBorders>
            <w:hideMark/>
          </w:tcPr>
          <w:p w14:paraId="4DB06DA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4.33</w:t>
            </w:r>
          </w:p>
        </w:tc>
        <w:tc>
          <w:tcPr>
            <w:tcW w:w="993" w:type="dxa"/>
            <w:tcBorders>
              <w:top w:val="single" w:sz="8" w:space="0" w:color="FFFFFF"/>
              <w:left w:val="single" w:sz="8" w:space="0" w:color="FFFFFF"/>
              <w:bottom w:val="single" w:sz="8" w:space="0" w:color="FFFFFF"/>
              <w:right w:val="single" w:sz="8" w:space="0" w:color="FFFFFF"/>
            </w:tcBorders>
            <w:hideMark/>
          </w:tcPr>
          <w:p w14:paraId="046B983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1.183</w:t>
            </w:r>
          </w:p>
        </w:tc>
      </w:tr>
      <w:tr w:rsidR="00142767" w:rsidRPr="00142767" w14:paraId="6E3FD1BC" w14:textId="77777777" w:rsidTr="00142767">
        <w:trPr>
          <w:trHeight w:val="291"/>
        </w:trPr>
        <w:tc>
          <w:tcPr>
            <w:tcW w:w="6536" w:type="dxa"/>
            <w:tcBorders>
              <w:top w:val="single" w:sz="8" w:space="0" w:color="FFFFFF"/>
              <w:left w:val="single" w:sz="8" w:space="0" w:color="FFFFFF"/>
              <w:bottom w:val="single" w:sz="8" w:space="0" w:color="FFFFFF"/>
              <w:right w:val="single" w:sz="8" w:space="0" w:color="FFFFFF"/>
            </w:tcBorders>
            <w:hideMark/>
          </w:tcPr>
          <w:p w14:paraId="75AF851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Banning smoking in public places will protect the health of non-smokers.</w:t>
            </w:r>
          </w:p>
        </w:tc>
        <w:tc>
          <w:tcPr>
            <w:tcW w:w="709" w:type="dxa"/>
            <w:tcBorders>
              <w:top w:val="single" w:sz="8" w:space="0" w:color="FFFFFF"/>
              <w:left w:val="single" w:sz="8" w:space="0" w:color="FFFFFF"/>
              <w:bottom w:val="single" w:sz="8" w:space="0" w:color="FFFFFF"/>
              <w:right w:val="single" w:sz="8" w:space="0" w:color="FFFFFF"/>
            </w:tcBorders>
            <w:hideMark/>
          </w:tcPr>
          <w:p w14:paraId="69929E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4.26</w:t>
            </w:r>
          </w:p>
        </w:tc>
        <w:tc>
          <w:tcPr>
            <w:tcW w:w="993" w:type="dxa"/>
            <w:tcBorders>
              <w:top w:val="single" w:sz="8" w:space="0" w:color="FFFFFF"/>
              <w:left w:val="single" w:sz="8" w:space="0" w:color="FFFFFF"/>
              <w:bottom w:val="single" w:sz="8" w:space="0" w:color="FFFFFF"/>
              <w:right w:val="single" w:sz="8" w:space="0" w:color="FFFFFF"/>
            </w:tcBorders>
            <w:hideMark/>
          </w:tcPr>
          <w:p w14:paraId="38CEBD4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1.205</w:t>
            </w:r>
          </w:p>
        </w:tc>
      </w:tr>
      <w:tr w:rsidR="00142767" w:rsidRPr="00142767" w14:paraId="5FEC43C6"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215E190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Smoke from other people's cigarettes will shorten my life.</w:t>
            </w:r>
          </w:p>
        </w:tc>
        <w:tc>
          <w:tcPr>
            <w:tcW w:w="709" w:type="dxa"/>
            <w:tcBorders>
              <w:top w:val="single" w:sz="8" w:space="0" w:color="FFFFFF"/>
              <w:left w:val="single" w:sz="8" w:space="0" w:color="FFFFFF"/>
              <w:bottom w:val="single" w:sz="8" w:space="0" w:color="FFFFFF"/>
              <w:right w:val="single" w:sz="8" w:space="0" w:color="FFFFFF"/>
            </w:tcBorders>
            <w:hideMark/>
          </w:tcPr>
          <w:p w14:paraId="31F3D60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4.25</w:t>
            </w:r>
          </w:p>
        </w:tc>
        <w:tc>
          <w:tcPr>
            <w:tcW w:w="993" w:type="dxa"/>
            <w:tcBorders>
              <w:top w:val="single" w:sz="8" w:space="0" w:color="FFFFFF"/>
              <w:left w:val="single" w:sz="8" w:space="0" w:color="FFFFFF"/>
              <w:bottom w:val="single" w:sz="8" w:space="0" w:color="FFFFFF"/>
              <w:right w:val="single" w:sz="8" w:space="0" w:color="FFFFFF"/>
            </w:tcBorders>
            <w:hideMark/>
          </w:tcPr>
          <w:p w14:paraId="726676E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1.071</w:t>
            </w:r>
          </w:p>
        </w:tc>
      </w:tr>
      <w:tr w:rsidR="00142767" w:rsidRPr="00142767" w14:paraId="1C89C7BA"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05F0E444"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let visitors smoke in my house*</w:t>
            </w:r>
          </w:p>
        </w:tc>
        <w:tc>
          <w:tcPr>
            <w:tcW w:w="709" w:type="dxa"/>
            <w:tcBorders>
              <w:top w:val="single" w:sz="8" w:space="0" w:color="FFFFFF"/>
              <w:left w:val="single" w:sz="8" w:space="0" w:color="FFFFFF"/>
              <w:bottom w:val="single" w:sz="8" w:space="0" w:color="FFFFFF"/>
              <w:right w:val="single" w:sz="8" w:space="0" w:color="FFFFFF"/>
            </w:tcBorders>
            <w:hideMark/>
          </w:tcPr>
          <w:p w14:paraId="0571B64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4.15</w:t>
            </w:r>
          </w:p>
        </w:tc>
        <w:tc>
          <w:tcPr>
            <w:tcW w:w="993" w:type="dxa"/>
            <w:tcBorders>
              <w:top w:val="single" w:sz="8" w:space="0" w:color="FFFFFF"/>
              <w:left w:val="single" w:sz="8" w:space="0" w:color="FFFFFF"/>
              <w:bottom w:val="single" w:sz="8" w:space="0" w:color="FFFFFF"/>
              <w:right w:val="single" w:sz="8" w:space="0" w:color="FFFFFF"/>
            </w:tcBorders>
            <w:hideMark/>
          </w:tcPr>
          <w:p w14:paraId="766BB19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1.042</w:t>
            </w:r>
          </w:p>
        </w:tc>
      </w:tr>
      <w:tr w:rsidR="00142767" w:rsidRPr="00142767" w14:paraId="6C78609E"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CBFEF6D"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Smoking should be banned in all public places.</w:t>
            </w:r>
          </w:p>
        </w:tc>
        <w:tc>
          <w:tcPr>
            <w:tcW w:w="709" w:type="dxa"/>
            <w:tcBorders>
              <w:top w:val="single" w:sz="8" w:space="0" w:color="FFFFFF"/>
              <w:left w:val="single" w:sz="8" w:space="0" w:color="FFFFFF"/>
              <w:bottom w:val="single" w:sz="8" w:space="0" w:color="FFFFFF"/>
              <w:right w:val="single" w:sz="8" w:space="0" w:color="FFFFFF"/>
            </w:tcBorders>
            <w:hideMark/>
          </w:tcPr>
          <w:p w14:paraId="1A512608"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4.14</w:t>
            </w:r>
          </w:p>
        </w:tc>
        <w:tc>
          <w:tcPr>
            <w:tcW w:w="993" w:type="dxa"/>
            <w:tcBorders>
              <w:top w:val="single" w:sz="8" w:space="0" w:color="FFFFFF"/>
              <w:left w:val="single" w:sz="8" w:space="0" w:color="FFFFFF"/>
              <w:bottom w:val="single" w:sz="8" w:space="0" w:color="FFFFFF"/>
              <w:right w:val="single" w:sz="8" w:space="0" w:color="FFFFFF"/>
            </w:tcBorders>
            <w:hideMark/>
          </w:tcPr>
          <w:p w14:paraId="362CB715"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1.284</w:t>
            </w:r>
          </w:p>
        </w:tc>
      </w:tr>
      <w:tr w:rsidR="00142767" w:rsidRPr="00142767" w14:paraId="727ABE40"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11F6BE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All cigarette advertisements should be banned.</w:t>
            </w:r>
          </w:p>
        </w:tc>
        <w:tc>
          <w:tcPr>
            <w:tcW w:w="709" w:type="dxa"/>
            <w:tcBorders>
              <w:top w:val="single" w:sz="8" w:space="0" w:color="FFFFFF"/>
              <w:left w:val="single" w:sz="8" w:space="0" w:color="FFFFFF"/>
              <w:bottom w:val="single" w:sz="8" w:space="0" w:color="FFFFFF"/>
              <w:right w:val="single" w:sz="8" w:space="0" w:color="FFFFFF"/>
            </w:tcBorders>
            <w:hideMark/>
          </w:tcPr>
          <w:p w14:paraId="0D7A98E4"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4.04</w:t>
            </w:r>
          </w:p>
        </w:tc>
        <w:tc>
          <w:tcPr>
            <w:tcW w:w="993" w:type="dxa"/>
            <w:tcBorders>
              <w:top w:val="single" w:sz="8" w:space="0" w:color="FFFFFF"/>
              <w:left w:val="single" w:sz="8" w:space="0" w:color="FFFFFF"/>
              <w:bottom w:val="single" w:sz="8" w:space="0" w:color="FFFFFF"/>
              <w:right w:val="single" w:sz="8" w:space="0" w:color="FFFFFF"/>
            </w:tcBorders>
            <w:hideMark/>
          </w:tcPr>
          <w:p w14:paraId="334829DC"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1.166</w:t>
            </w:r>
          </w:p>
        </w:tc>
      </w:tr>
      <w:tr w:rsidR="00142767" w:rsidRPr="00142767" w14:paraId="6B4CED93"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69E19B94"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will not go near to my friends when they are smoking.</w:t>
            </w:r>
          </w:p>
        </w:tc>
        <w:tc>
          <w:tcPr>
            <w:tcW w:w="709" w:type="dxa"/>
            <w:tcBorders>
              <w:top w:val="single" w:sz="8" w:space="0" w:color="FFFFFF"/>
              <w:left w:val="single" w:sz="8" w:space="0" w:color="FFFFFF"/>
              <w:bottom w:val="single" w:sz="8" w:space="0" w:color="FFFFFF"/>
              <w:right w:val="single" w:sz="8" w:space="0" w:color="FFFFFF"/>
            </w:tcBorders>
            <w:hideMark/>
          </w:tcPr>
          <w:p w14:paraId="0F1A6033"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3.99</w:t>
            </w:r>
          </w:p>
        </w:tc>
        <w:tc>
          <w:tcPr>
            <w:tcW w:w="993" w:type="dxa"/>
            <w:tcBorders>
              <w:top w:val="single" w:sz="8" w:space="0" w:color="FFFFFF"/>
              <w:left w:val="single" w:sz="8" w:space="0" w:color="FFFFFF"/>
              <w:bottom w:val="single" w:sz="8" w:space="0" w:color="FFFFFF"/>
              <w:right w:val="single" w:sz="8" w:space="0" w:color="FFFFFF"/>
            </w:tcBorders>
            <w:hideMark/>
          </w:tcPr>
          <w:p w14:paraId="01E9396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1.136</w:t>
            </w:r>
          </w:p>
        </w:tc>
      </w:tr>
      <w:tr w:rsidR="00142767" w:rsidRPr="00142767" w14:paraId="4561F2FB"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01431E9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will not go to restaurants that allow smoking.</w:t>
            </w:r>
          </w:p>
        </w:tc>
        <w:tc>
          <w:tcPr>
            <w:tcW w:w="709" w:type="dxa"/>
            <w:tcBorders>
              <w:top w:val="single" w:sz="8" w:space="0" w:color="FFFFFF"/>
              <w:left w:val="single" w:sz="8" w:space="0" w:color="FFFFFF"/>
              <w:bottom w:val="single" w:sz="8" w:space="0" w:color="FFFFFF"/>
              <w:right w:val="single" w:sz="8" w:space="0" w:color="FFFFFF"/>
            </w:tcBorders>
            <w:hideMark/>
          </w:tcPr>
          <w:p w14:paraId="06F9268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3.96</w:t>
            </w:r>
          </w:p>
        </w:tc>
        <w:tc>
          <w:tcPr>
            <w:tcW w:w="993" w:type="dxa"/>
            <w:tcBorders>
              <w:top w:val="single" w:sz="8" w:space="0" w:color="FFFFFF"/>
              <w:left w:val="single" w:sz="8" w:space="0" w:color="FFFFFF"/>
              <w:bottom w:val="single" w:sz="8" w:space="0" w:color="FFFFFF"/>
              <w:right w:val="single" w:sz="8" w:space="0" w:color="FFFFFF"/>
            </w:tcBorders>
            <w:hideMark/>
          </w:tcPr>
          <w:p w14:paraId="1F48C2B2"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1.163</w:t>
            </w:r>
          </w:p>
        </w:tc>
      </w:tr>
      <w:tr w:rsidR="00142767" w:rsidRPr="00142767" w14:paraId="389F8FF7"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9B34DE1"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dislike my friends smoking around me.</w:t>
            </w:r>
          </w:p>
        </w:tc>
        <w:tc>
          <w:tcPr>
            <w:tcW w:w="709" w:type="dxa"/>
            <w:tcBorders>
              <w:top w:val="single" w:sz="8" w:space="0" w:color="FFFFFF"/>
              <w:left w:val="single" w:sz="8" w:space="0" w:color="FFFFFF"/>
              <w:bottom w:val="single" w:sz="8" w:space="0" w:color="FFFFFF"/>
              <w:right w:val="single" w:sz="8" w:space="0" w:color="FFFFFF"/>
            </w:tcBorders>
            <w:hideMark/>
          </w:tcPr>
          <w:p w14:paraId="4EBF85D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3.94</w:t>
            </w:r>
          </w:p>
        </w:tc>
        <w:tc>
          <w:tcPr>
            <w:tcW w:w="993" w:type="dxa"/>
            <w:tcBorders>
              <w:top w:val="single" w:sz="8" w:space="0" w:color="FFFFFF"/>
              <w:left w:val="single" w:sz="8" w:space="0" w:color="FFFFFF"/>
              <w:bottom w:val="single" w:sz="8" w:space="0" w:color="FFFFFF"/>
              <w:right w:val="single" w:sz="8" w:space="0" w:color="FFFFFF"/>
            </w:tcBorders>
            <w:hideMark/>
          </w:tcPr>
          <w:p w14:paraId="247F0996"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1.206</w:t>
            </w:r>
          </w:p>
        </w:tc>
      </w:tr>
      <w:tr w:rsidR="00142767" w:rsidRPr="00142767" w14:paraId="21E886F8" w14:textId="77777777" w:rsidTr="00142767">
        <w:trPr>
          <w:trHeight w:val="180"/>
        </w:trPr>
        <w:tc>
          <w:tcPr>
            <w:tcW w:w="6536" w:type="dxa"/>
            <w:tcBorders>
              <w:top w:val="single" w:sz="8" w:space="0" w:color="FFFFFF"/>
              <w:left w:val="single" w:sz="8" w:space="0" w:color="FFFFFF"/>
              <w:bottom w:val="single" w:sz="8" w:space="0" w:color="FFFFFF"/>
              <w:right w:val="single" w:sz="8" w:space="0" w:color="FFFFFF"/>
            </w:tcBorders>
            <w:hideMark/>
          </w:tcPr>
          <w:p w14:paraId="5C62D3B7"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ask people to put their cigarettes out when they are talking to me</w:t>
            </w:r>
          </w:p>
        </w:tc>
        <w:tc>
          <w:tcPr>
            <w:tcW w:w="709" w:type="dxa"/>
            <w:tcBorders>
              <w:top w:val="single" w:sz="8" w:space="0" w:color="FFFFFF"/>
              <w:left w:val="single" w:sz="8" w:space="0" w:color="FFFFFF"/>
              <w:bottom w:val="single" w:sz="8" w:space="0" w:color="FFFFFF"/>
              <w:right w:val="single" w:sz="8" w:space="0" w:color="FFFFFF"/>
            </w:tcBorders>
            <w:hideMark/>
          </w:tcPr>
          <w:p w14:paraId="5660FD47"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3.87</w:t>
            </w:r>
          </w:p>
        </w:tc>
        <w:tc>
          <w:tcPr>
            <w:tcW w:w="993" w:type="dxa"/>
            <w:tcBorders>
              <w:top w:val="single" w:sz="8" w:space="0" w:color="FFFFFF"/>
              <w:left w:val="single" w:sz="8" w:space="0" w:color="FFFFFF"/>
              <w:bottom w:val="single" w:sz="8" w:space="0" w:color="FFFFFF"/>
              <w:right w:val="single" w:sz="8" w:space="0" w:color="FFFFFF"/>
            </w:tcBorders>
            <w:hideMark/>
          </w:tcPr>
          <w:p w14:paraId="61E178EA"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1.237</w:t>
            </w:r>
          </w:p>
        </w:tc>
      </w:tr>
      <w:tr w:rsidR="00142767" w:rsidRPr="00142767" w14:paraId="67FAB627" w14:textId="77777777" w:rsidTr="00142767">
        <w:trPr>
          <w:trHeight w:val="180"/>
        </w:trPr>
        <w:tc>
          <w:tcPr>
            <w:tcW w:w="6536" w:type="dxa"/>
            <w:tcBorders>
              <w:top w:val="single" w:sz="8" w:space="0" w:color="FFFFFF"/>
              <w:left w:val="single" w:sz="8" w:space="0" w:color="FFFFFF"/>
              <w:bottom w:val="single" w:sz="8" w:space="0" w:color="000000"/>
              <w:right w:val="single" w:sz="8" w:space="0" w:color="FFFFFF"/>
            </w:tcBorders>
            <w:hideMark/>
          </w:tcPr>
          <w:p w14:paraId="708EA963"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 do not chat with friends while they are smoking.</w:t>
            </w:r>
          </w:p>
        </w:tc>
        <w:tc>
          <w:tcPr>
            <w:tcW w:w="709" w:type="dxa"/>
            <w:tcBorders>
              <w:top w:val="single" w:sz="8" w:space="0" w:color="FFFFFF"/>
              <w:left w:val="single" w:sz="8" w:space="0" w:color="FFFFFF"/>
              <w:bottom w:val="single" w:sz="8" w:space="0" w:color="000000"/>
              <w:right w:val="single" w:sz="8" w:space="0" w:color="FFFFFF"/>
            </w:tcBorders>
            <w:hideMark/>
          </w:tcPr>
          <w:p w14:paraId="2C053E3E"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3.79</w:t>
            </w:r>
          </w:p>
        </w:tc>
        <w:tc>
          <w:tcPr>
            <w:tcW w:w="993" w:type="dxa"/>
            <w:tcBorders>
              <w:top w:val="single" w:sz="8" w:space="0" w:color="FFFFFF"/>
              <w:left w:val="single" w:sz="8" w:space="0" w:color="FFFFFF"/>
              <w:bottom w:val="single" w:sz="8" w:space="0" w:color="000000"/>
              <w:right w:val="single" w:sz="8" w:space="0" w:color="FFFFFF"/>
            </w:tcBorders>
            <w:hideMark/>
          </w:tcPr>
          <w:p w14:paraId="60318CFD"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1.179</w:t>
            </w:r>
          </w:p>
        </w:tc>
      </w:tr>
      <w:tr w:rsidR="00142767" w:rsidRPr="00142767" w14:paraId="701285C6" w14:textId="77777777" w:rsidTr="00142767">
        <w:trPr>
          <w:trHeight w:val="240"/>
        </w:trPr>
        <w:tc>
          <w:tcPr>
            <w:tcW w:w="6536" w:type="dxa"/>
            <w:tcBorders>
              <w:top w:val="single" w:sz="8" w:space="0" w:color="000000"/>
              <w:left w:val="single" w:sz="8" w:space="0" w:color="FFFFFF"/>
              <w:bottom w:val="single" w:sz="8" w:space="0" w:color="000000"/>
              <w:right w:val="single" w:sz="8" w:space="0" w:color="FFFFFF"/>
            </w:tcBorders>
            <w:hideMark/>
          </w:tcPr>
          <w:p w14:paraId="182AD3C2"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Overall Mean </w:t>
            </w:r>
          </w:p>
        </w:tc>
        <w:tc>
          <w:tcPr>
            <w:tcW w:w="709" w:type="dxa"/>
            <w:tcBorders>
              <w:top w:val="single" w:sz="8" w:space="0" w:color="000000"/>
              <w:left w:val="single" w:sz="8" w:space="0" w:color="FFFFFF"/>
              <w:bottom w:val="single" w:sz="8" w:space="0" w:color="000000"/>
              <w:right w:val="single" w:sz="8" w:space="0" w:color="FFFFFF"/>
            </w:tcBorders>
            <w:hideMark/>
          </w:tcPr>
          <w:p w14:paraId="3E0A67EF"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4.09</w:t>
            </w:r>
          </w:p>
        </w:tc>
        <w:tc>
          <w:tcPr>
            <w:tcW w:w="993" w:type="dxa"/>
            <w:tcBorders>
              <w:top w:val="single" w:sz="8" w:space="0" w:color="000000"/>
              <w:left w:val="single" w:sz="8" w:space="0" w:color="FFFFFF"/>
              <w:bottom w:val="single" w:sz="8" w:space="0" w:color="000000"/>
              <w:right w:val="single" w:sz="8" w:space="0" w:color="FFFFFF"/>
            </w:tcBorders>
            <w:hideMark/>
          </w:tcPr>
          <w:p w14:paraId="304206FB" w14:textId="77777777" w:rsidR="00142767" w:rsidRPr="00142767" w:rsidRDefault="00142767" w:rsidP="00142767">
            <w:pPr>
              <w:pStyle w:val="Body"/>
              <w:spacing w:after="0"/>
              <w:jc w:val="center"/>
              <w:rPr>
                <w:rFonts w:ascii="Arial" w:hAnsi="Arial" w:cs="Arial"/>
                <w:lang w:val="en-PH"/>
              </w:rPr>
            </w:pPr>
            <w:r w:rsidRPr="00142767">
              <w:rPr>
                <w:rFonts w:ascii="Arial" w:hAnsi="Arial" w:cs="Arial"/>
                <w:lang w:val="en-PH"/>
              </w:rPr>
              <w:t>0.853</w:t>
            </w:r>
          </w:p>
        </w:tc>
      </w:tr>
    </w:tbl>
    <w:p w14:paraId="11A2FEC9" w14:textId="77777777" w:rsidR="00142767" w:rsidRPr="00142767" w:rsidRDefault="00142767" w:rsidP="00142767">
      <w:pPr>
        <w:pStyle w:val="Body"/>
        <w:rPr>
          <w:rFonts w:ascii="Arial" w:hAnsi="Arial" w:cs="Arial"/>
          <w:lang w:val="en-PH"/>
        </w:rPr>
      </w:pPr>
      <w:r w:rsidRPr="00142767">
        <w:rPr>
          <w:rFonts w:ascii="Arial" w:hAnsi="Arial" w:cs="Arial"/>
          <w:b/>
          <w:bCs/>
          <w:i/>
          <w:iCs/>
          <w:lang w:val="en-PH"/>
        </w:rPr>
        <w:t>*</w:t>
      </w:r>
      <w:r w:rsidRPr="00142767">
        <w:rPr>
          <w:rFonts w:ascii="Arial" w:hAnsi="Arial" w:cs="Arial"/>
          <w:i/>
          <w:iCs/>
          <w:lang w:val="en-PH"/>
        </w:rPr>
        <w:t>Items were reverse scored</w:t>
      </w:r>
    </w:p>
    <w:p w14:paraId="041D600A" w14:textId="50E809B1"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Extent of Avoidance Behavior on Secondhand Smoke Exposure</w:t>
      </w:r>
    </w:p>
    <w:p w14:paraId="149C77C7" w14:textId="28D31BDD" w:rsidR="00142767" w:rsidRPr="00142767" w:rsidRDefault="00142767" w:rsidP="00142767">
      <w:pPr>
        <w:pStyle w:val="Body"/>
        <w:rPr>
          <w:rFonts w:ascii="Arial" w:hAnsi="Arial" w:cs="Arial"/>
          <w:lang w:val="en-PH"/>
        </w:rPr>
      </w:pPr>
      <w:r w:rsidRPr="00142767">
        <w:rPr>
          <w:rFonts w:ascii="Arial" w:hAnsi="Arial" w:cs="Arial"/>
          <w:lang w:val="en-PH"/>
        </w:rPr>
        <w:t>Avoidance behavior related to SHS exposure was evaluated by examining the mean scores of the indicators presented in Table 4. These indicators reflect the extent to which household heads actively avoid exposure to cigarette smoke in various settings. The overall mean score of 2.95 out of 4.00 showed that respondents engaged in avoidance behaviors in many instances, though not consistently across all situations.</w:t>
      </w:r>
    </w:p>
    <w:p w14:paraId="4947E69D" w14:textId="4EB7C926" w:rsidR="00142767" w:rsidRPr="00142767" w:rsidRDefault="00142767" w:rsidP="00142767">
      <w:pPr>
        <w:pStyle w:val="Body"/>
        <w:rPr>
          <w:rFonts w:ascii="Arial" w:hAnsi="Arial" w:cs="Arial"/>
          <w:lang w:val="en-PH"/>
        </w:rPr>
      </w:pPr>
      <w:r w:rsidRPr="00142767">
        <w:rPr>
          <w:rFonts w:ascii="Arial" w:hAnsi="Arial" w:cs="Arial"/>
          <w:lang w:val="en-PH"/>
        </w:rPr>
        <w:t>The majority of the respondents reported that they almost always distance themselves from smokers to avoid exposure (M = 3.45). This was followed by expressing discomfort around secondhand smoke (M = 3.32) and avoiding outdoor activities where smoking is present, whether from cigarettes (M = 3.26) or water pipe (M = 3.24), reflecting that these behaviors are usually practiced. Other avoidance behaviors, such as requesting drivers not to smoke, asking others to refrain from smoking, choosing non-smoking sections, and washing clothes after exposure, were generally reported as being performed usually to almost always.</w:t>
      </w:r>
    </w:p>
    <w:p w14:paraId="1396B3B1" w14:textId="2EFE5033" w:rsidR="00142767" w:rsidRPr="00142767" w:rsidRDefault="00142767" w:rsidP="00142767">
      <w:pPr>
        <w:pStyle w:val="Body"/>
        <w:rPr>
          <w:rFonts w:ascii="Arial" w:hAnsi="Arial" w:cs="Arial"/>
          <w:lang w:val="en-PH"/>
        </w:rPr>
      </w:pPr>
      <w:r w:rsidRPr="00142767">
        <w:rPr>
          <w:rFonts w:ascii="Arial" w:hAnsi="Arial" w:cs="Arial"/>
          <w:lang w:val="en-PH"/>
        </w:rPr>
        <w:t xml:space="preserve">Behaviors such as remaining in smoking sections when no alternative seating was available (M = 2.58), staying with friends or relatives who were smoking (M = 2.64), and continuing to </w:t>
      </w:r>
      <w:r w:rsidRPr="00142767">
        <w:rPr>
          <w:rFonts w:ascii="Arial" w:hAnsi="Arial" w:cs="Arial"/>
          <w:lang w:val="en-PH"/>
        </w:rPr>
        <w:lastRenderedPageBreak/>
        <w:t>stay in groups where someone began to smoke (M = 2.70) indicated that respondents did not consistently avoid exposure in social situations. Similarly, allowing smoking in private spaces such as the home or care, frequenting places where smoking has been prevalent, and associating with smokers obtained mean scores ranging from 2.79 to 2.83. These results suggest that respondents usually engage in these behaviors. However, their avoidance of secondhand smoke was less consistent in settings influenced by social interactions or personal routines.</w:t>
      </w:r>
    </w:p>
    <w:p w14:paraId="7C065C34" w14:textId="1C740A93" w:rsidR="00142767" w:rsidRPr="00142767" w:rsidRDefault="00142767" w:rsidP="00142767">
      <w:pPr>
        <w:pStyle w:val="Body"/>
        <w:rPr>
          <w:rFonts w:ascii="Arial" w:hAnsi="Arial" w:cs="Arial"/>
          <w:lang w:val="en-PH"/>
        </w:rPr>
      </w:pPr>
      <w:r w:rsidRPr="00142767">
        <w:rPr>
          <w:rFonts w:ascii="Arial" w:hAnsi="Arial" w:cs="Arial"/>
          <w:lang w:val="en-PH"/>
        </w:rPr>
        <w:t>These findings have been supported by a cross</w:t>
      </w:r>
      <w:r w:rsidRPr="00142767">
        <w:rPr>
          <w:rFonts w:ascii="Arial" w:hAnsi="Arial" w:cs="Arial"/>
          <w:lang w:val="en-PH"/>
        </w:rPr>
        <w:noBreakHyphen/>
        <w:t>sectional study in Japan, which reported that nearly six out of ten participants always tried to avoid secondhand smoke, although some still experienced unavoidable exposure in certain environments (Odani &amp; Tabuchi, 2023). Table 4 shows the corresponding data.</w:t>
      </w:r>
    </w:p>
    <w:p w14:paraId="3C09C3BA" w14:textId="48DE3562" w:rsidR="00142767" w:rsidRPr="00142767" w:rsidRDefault="00142767" w:rsidP="00142767">
      <w:pPr>
        <w:pStyle w:val="Body"/>
        <w:rPr>
          <w:rFonts w:ascii="Arial" w:hAnsi="Arial" w:cs="Arial"/>
          <w:lang w:val="en-PH"/>
        </w:rPr>
      </w:pPr>
      <w:r w:rsidRPr="00142767">
        <w:rPr>
          <w:rFonts w:ascii="Arial" w:hAnsi="Arial" w:cs="Arial"/>
          <w:b/>
          <w:bCs/>
          <w:lang w:val="en-PH"/>
        </w:rPr>
        <w:t>Table 4. Extent of avoidance behavior regarding secondhand smoke exposure among household heads (n=361)</w:t>
      </w:r>
    </w:p>
    <w:tbl>
      <w:tblPr>
        <w:tblW w:w="0" w:type="auto"/>
        <w:tblCellMar>
          <w:top w:w="15" w:type="dxa"/>
          <w:left w:w="15" w:type="dxa"/>
          <w:bottom w:w="15" w:type="dxa"/>
          <w:right w:w="15" w:type="dxa"/>
        </w:tblCellMar>
        <w:tblLook w:val="04A0" w:firstRow="1" w:lastRow="0" w:firstColumn="1" w:lastColumn="0" w:noHBand="0" w:noVBand="1"/>
      </w:tblPr>
      <w:tblGrid>
        <w:gridCol w:w="6382"/>
        <w:gridCol w:w="813"/>
        <w:gridCol w:w="993"/>
      </w:tblGrid>
      <w:tr w:rsidR="00142767" w:rsidRPr="00142767" w14:paraId="4398457C" w14:textId="77777777" w:rsidTr="00142767">
        <w:trPr>
          <w:trHeight w:val="308"/>
        </w:trPr>
        <w:tc>
          <w:tcPr>
            <w:tcW w:w="0" w:type="auto"/>
            <w:tcBorders>
              <w:top w:val="single" w:sz="8" w:space="0" w:color="000000"/>
              <w:left w:val="single" w:sz="8" w:space="0" w:color="FFFFFF"/>
              <w:bottom w:val="single" w:sz="8" w:space="0" w:color="000000"/>
              <w:right w:val="single" w:sz="8" w:space="0" w:color="FFFFFF"/>
            </w:tcBorders>
            <w:hideMark/>
          </w:tcPr>
          <w:p w14:paraId="5DA69C2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Extent of avoidance behavior</w:t>
            </w:r>
          </w:p>
        </w:tc>
        <w:tc>
          <w:tcPr>
            <w:tcW w:w="813" w:type="dxa"/>
            <w:tcBorders>
              <w:top w:val="single" w:sz="8" w:space="0" w:color="000000"/>
              <w:left w:val="single" w:sz="8" w:space="0" w:color="FFFFFF"/>
              <w:bottom w:val="single" w:sz="8" w:space="0" w:color="000000"/>
              <w:right w:val="single" w:sz="8" w:space="0" w:color="FFFFFF"/>
            </w:tcBorders>
            <w:hideMark/>
          </w:tcPr>
          <w:p w14:paraId="5BC22983"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Mean</w:t>
            </w:r>
          </w:p>
        </w:tc>
        <w:tc>
          <w:tcPr>
            <w:tcW w:w="993" w:type="dxa"/>
            <w:tcBorders>
              <w:top w:val="single" w:sz="8" w:space="0" w:color="000000"/>
              <w:left w:val="single" w:sz="8" w:space="0" w:color="FFFFFF"/>
              <w:bottom w:val="single" w:sz="8" w:space="0" w:color="000000"/>
              <w:right w:val="single" w:sz="8" w:space="0" w:color="FFFFFF"/>
            </w:tcBorders>
            <w:hideMark/>
          </w:tcPr>
          <w:p w14:paraId="42BF652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Standard Deviation</w:t>
            </w:r>
          </w:p>
        </w:tc>
      </w:tr>
      <w:tr w:rsidR="00142767" w:rsidRPr="00142767" w14:paraId="7D4779F1" w14:textId="77777777" w:rsidTr="00142767">
        <w:trPr>
          <w:trHeight w:val="180"/>
        </w:trPr>
        <w:tc>
          <w:tcPr>
            <w:tcW w:w="0" w:type="auto"/>
            <w:tcBorders>
              <w:top w:val="single" w:sz="8" w:space="0" w:color="000000"/>
              <w:left w:val="single" w:sz="8" w:space="0" w:color="FFFFFF"/>
              <w:bottom w:val="single" w:sz="8" w:space="0" w:color="FFFFFF"/>
              <w:right w:val="single" w:sz="8" w:space="0" w:color="FFFFFF"/>
            </w:tcBorders>
            <w:hideMark/>
          </w:tcPr>
          <w:p w14:paraId="43AE885A"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encounter someone who is smoking, I distance myself to ensure that I will not be exposed to smoke.</w:t>
            </w:r>
          </w:p>
        </w:tc>
        <w:tc>
          <w:tcPr>
            <w:tcW w:w="813" w:type="dxa"/>
            <w:tcBorders>
              <w:top w:val="single" w:sz="8" w:space="0" w:color="000000"/>
              <w:left w:val="single" w:sz="8" w:space="0" w:color="FFFFFF"/>
              <w:bottom w:val="single" w:sz="8" w:space="0" w:color="FFFFFF"/>
              <w:right w:val="single" w:sz="8" w:space="0" w:color="FFFFFF"/>
            </w:tcBorders>
            <w:hideMark/>
          </w:tcPr>
          <w:p w14:paraId="19B1CA87"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3.45</w:t>
            </w:r>
          </w:p>
        </w:tc>
        <w:tc>
          <w:tcPr>
            <w:tcW w:w="993" w:type="dxa"/>
            <w:tcBorders>
              <w:top w:val="single" w:sz="8" w:space="0" w:color="000000"/>
              <w:left w:val="single" w:sz="8" w:space="0" w:color="FFFFFF"/>
              <w:bottom w:val="single" w:sz="8" w:space="0" w:color="FFFFFF"/>
              <w:right w:val="single" w:sz="8" w:space="0" w:color="FFFFFF"/>
            </w:tcBorders>
            <w:hideMark/>
          </w:tcPr>
          <w:p w14:paraId="54B34AC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0.748</w:t>
            </w:r>
          </w:p>
        </w:tc>
      </w:tr>
      <w:tr w:rsidR="00142767" w:rsidRPr="00142767" w14:paraId="2F230C57"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A1E1CB8"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find it unpleasant to be around secondhand smoke.</w:t>
            </w:r>
          </w:p>
        </w:tc>
        <w:tc>
          <w:tcPr>
            <w:tcW w:w="813" w:type="dxa"/>
            <w:tcBorders>
              <w:top w:val="single" w:sz="8" w:space="0" w:color="FFFFFF"/>
              <w:left w:val="single" w:sz="8" w:space="0" w:color="FFFFFF"/>
              <w:bottom w:val="single" w:sz="8" w:space="0" w:color="FFFFFF"/>
              <w:right w:val="single" w:sz="8" w:space="0" w:color="FFFFFF"/>
            </w:tcBorders>
            <w:hideMark/>
          </w:tcPr>
          <w:p w14:paraId="3040969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3.32</w:t>
            </w:r>
          </w:p>
        </w:tc>
        <w:tc>
          <w:tcPr>
            <w:tcW w:w="993" w:type="dxa"/>
            <w:tcBorders>
              <w:top w:val="single" w:sz="8" w:space="0" w:color="FFFFFF"/>
              <w:left w:val="single" w:sz="8" w:space="0" w:color="FFFFFF"/>
              <w:bottom w:val="single" w:sz="8" w:space="0" w:color="FFFFFF"/>
              <w:right w:val="single" w:sz="8" w:space="0" w:color="FFFFFF"/>
            </w:tcBorders>
            <w:hideMark/>
          </w:tcPr>
          <w:p w14:paraId="38DDC6D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0.934</w:t>
            </w:r>
          </w:p>
        </w:tc>
      </w:tr>
      <w:tr w:rsidR="00142767" w:rsidRPr="00142767" w14:paraId="2ED8FCE2"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E9D2957"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an outdoor function where smoking is present, I will move away to avoid it.</w:t>
            </w:r>
          </w:p>
        </w:tc>
        <w:tc>
          <w:tcPr>
            <w:tcW w:w="813" w:type="dxa"/>
            <w:tcBorders>
              <w:top w:val="single" w:sz="8" w:space="0" w:color="FFFFFF"/>
              <w:left w:val="single" w:sz="8" w:space="0" w:color="FFFFFF"/>
              <w:bottom w:val="single" w:sz="8" w:space="0" w:color="FFFFFF"/>
              <w:right w:val="single" w:sz="8" w:space="0" w:color="FFFFFF"/>
            </w:tcBorders>
            <w:hideMark/>
          </w:tcPr>
          <w:p w14:paraId="1E47D03D"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3.26</w:t>
            </w:r>
          </w:p>
        </w:tc>
        <w:tc>
          <w:tcPr>
            <w:tcW w:w="993" w:type="dxa"/>
            <w:tcBorders>
              <w:top w:val="single" w:sz="8" w:space="0" w:color="FFFFFF"/>
              <w:left w:val="single" w:sz="8" w:space="0" w:color="FFFFFF"/>
              <w:bottom w:val="single" w:sz="8" w:space="0" w:color="FFFFFF"/>
              <w:right w:val="single" w:sz="8" w:space="0" w:color="FFFFFF"/>
            </w:tcBorders>
            <w:hideMark/>
          </w:tcPr>
          <w:p w14:paraId="440C81B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0.916</w:t>
            </w:r>
          </w:p>
        </w:tc>
      </w:tr>
      <w:tr w:rsidR="00142767" w:rsidRPr="00142767" w14:paraId="37C08E59"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556A34C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an outdoor function where water pipe smoking is present, I will move away to avoid it.</w:t>
            </w:r>
          </w:p>
        </w:tc>
        <w:tc>
          <w:tcPr>
            <w:tcW w:w="813" w:type="dxa"/>
            <w:tcBorders>
              <w:top w:val="single" w:sz="8" w:space="0" w:color="FFFFFF"/>
              <w:left w:val="single" w:sz="8" w:space="0" w:color="FFFFFF"/>
              <w:bottom w:val="single" w:sz="8" w:space="0" w:color="FFFFFF"/>
              <w:right w:val="single" w:sz="8" w:space="0" w:color="FFFFFF"/>
            </w:tcBorders>
            <w:hideMark/>
          </w:tcPr>
          <w:p w14:paraId="6678A058"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3.24</w:t>
            </w:r>
          </w:p>
        </w:tc>
        <w:tc>
          <w:tcPr>
            <w:tcW w:w="993" w:type="dxa"/>
            <w:tcBorders>
              <w:top w:val="single" w:sz="8" w:space="0" w:color="FFFFFF"/>
              <w:left w:val="single" w:sz="8" w:space="0" w:color="FFFFFF"/>
              <w:bottom w:val="single" w:sz="8" w:space="0" w:color="FFFFFF"/>
              <w:right w:val="single" w:sz="8" w:space="0" w:color="FFFFFF"/>
            </w:tcBorders>
            <w:hideMark/>
          </w:tcPr>
          <w:p w14:paraId="3CAC442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0.944</w:t>
            </w:r>
          </w:p>
        </w:tc>
      </w:tr>
      <w:tr w:rsidR="00142767" w:rsidRPr="00142767" w14:paraId="7DC0ACB4"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7121CCE9"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trip by taxi I will ask the driver not to smoke.</w:t>
            </w:r>
          </w:p>
        </w:tc>
        <w:tc>
          <w:tcPr>
            <w:tcW w:w="813" w:type="dxa"/>
            <w:tcBorders>
              <w:top w:val="single" w:sz="8" w:space="0" w:color="FFFFFF"/>
              <w:left w:val="single" w:sz="8" w:space="0" w:color="FFFFFF"/>
              <w:bottom w:val="single" w:sz="8" w:space="0" w:color="FFFFFF"/>
              <w:right w:val="single" w:sz="8" w:space="0" w:color="FFFFFF"/>
            </w:tcBorders>
            <w:hideMark/>
          </w:tcPr>
          <w:p w14:paraId="38BF0C0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3.18</w:t>
            </w:r>
          </w:p>
        </w:tc>
        <w:tc>
          <w:tcPr>
            <w:tcW w:w="993" w:type="dxa"/>
            <w:tcBorders>
              <w:top w:val="single" w:sz="8" w:space="0" w:color="FFFFFF"/>
              <w:left w:val="single" w:sz="8" w:space="0" w:color="FFFFFF"/>
              <w:bottom w:val="single" w:sz="8" w:space="0" w:color="FFFFFF"/>
              <w:right w:val="single" w:sz="8" w:space="0" w:color="FFFFFF"/>
            </w:tcBorders>
            <w:hideMark/>
          </w:tcPr>
          <w:p w14:paraId="143CDB9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0.973</w:t>
            </w:r>
          </w:p>
        </w:tc>
      </w:tr>
      <w:tr w:rsidR="00142767" w:rsidRPr="00142767" w14:paraId="01A637FD"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3AE83D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I am with people who are smoking and I cannot leave, I will ask them to refine from smoking.</w:t>
            </w:r>
          </w:p>
        </w:tc>
        <w:tc>
          <w:tcPr>
            <w:tcW w:w="813" w:type="dxa"/>
            <w:tcBorders>
              <w:top w:val="single" w:sz="8" w:space="0" w:color="FFFFFF"/>
              <w:left w:val="single" w:sz="8" w:space="0" w:color="FFFFFF"/>
              <w:bottom w:val="single" w:sz="8" w:space="0" w:color="FFFFFF"/>
              <w:right w:val="single" w:sz="8" w:space="0" w:color="FFFFFF"/>
            </w:tcBorders>
            <w:hideMark/>
          </w:tcPr>
          <w:p w14:paraId="3904416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3.07</w:t>
            </w:r>
          </w:p>
        </w:tc>
        <w:tc>
          <w:tcPr>
            <w:tcW w:w="993" w:type="dxa"/>
            <w:tcBorders>
              <w:top w:val="single" w:sz="8" w:space="0" w:color="FFFFFF"/>
              <w:left w:val="single" w:sz="8" w:space="0" w:color="FFFFFF"/>
              <w:bottom w:val="single" w:sz="8" w:space="0" w:color="FFFFFF"/>
              <w:right w:val="single" w:sz="8" w:space="0" w:color="FFFFFF"/>
            </w:tcBorders>
            <w:hideMark/>
          </w:tcPr>
          <w:p w14:paraId="734D905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0.923</w:t>
            </w:r>
          </w:p>
        </w:tc>
      </w:tr>
      <w:tr w:rsidR="00142767" w:rsidRPr="00142767" w14:paraId="3744EED6" w14:textId="77777777" w:rsidTr="00142767">
        <w:trPr>
          <w:trHeight w:val="291"/>
        </w:trPr>
        <w:tc>
          <w:tcPr>
            <w:tcW w:w="0" w:type="auto"/>
            <w:tcBorders>
              <w:top w:val="single" w:sz="8" w:space="0" w:color="FFFFFF"/>
              <w:left w:val="single" w:sz="8" w:space="0" w:color="FFFFFF"/>
              <w:bottom w:val="single" w:sz="8" w:space="0" w:color="FFFFFF"/>
              <w:right w:val="single" w:sz="8" w:space="0" w:color="FFFFFF"/>
            </w:tcBorders>
            <w:hideMark/>
          </w:tcPr>
          <w:p w14:paraId="60BEA02D"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eating out, I always sit in the nonsmoking section.</w:t>
            </w:r>
          </w:p>
        </w:tc>
        <w:tc>
          <w:tcPr>
            <w:tcW w:w="813" w:type="dxa"/>
            <w:tcBorders>
              <w:top w:val="single" w:sz="8" w:space="0" w:color="FFFFFF"/>
              <w:left w:val="single" w:sz="8" w:space="0" w:color="FFFFFF"/>
              <w:bottom w:val="single" w:sz="8" w:space="0" w:color="FFFFFF"/>
              <w:right w:val="single" w:sz="8" w:space="0" w:color="FFFFFF"/>
            </w:tcBorders>
            <w:hideMark/>
          </w:tcPr>
          <w:p w14:paraId="0C13D23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3.05</w:t>
            </w:r>
          </w:p>
        </w:tc>
        <w:tc>
          <w:tcPr>
            <w:tcW w:w="993" w:type="dxa"/>
            <w:tcBorders>
              <w:top w:val="single" w:sz="8" w:space="0" w:color="FFFFFF"/>
              <w:left w:val="single" w:sz="8" w:space="0" w:color="FFFFFF"/>
              <w:bottom w:val="single" w:sz="8" w:space="0" w:color="FFFFFF"/>
              <w:right w:val="single" w:sz="8" w:space="0" w:color="FFFFFF"/>
            </w:tcBorders>
            <w:hideMark/>
          </w:tcPr>
          <w:p w14:paraId="6F7359B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0.95</w:t>
            </w:r>
          </w:p>
        </w:tc>
      </w:tr>
      <w:tr w:rsidR="00142767" w:rsidRPr="00142767" w14:paraId="6DE1C77E"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A8B543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exposed to secondhand smoke, I wash my clothes solely to remove the smell of smoke from them even if they are otherwise clean.</w:t>
            </w:r>
          </w:p>
        </w:tc>
        <w:tc>
          <w:tcPr>
            <w:tcW w:w="813" w:type="dxa"/>
            <w:tcBorders>
              <w:top w:val="single" w:sz="8" w:space="0" w:color="FFFFFF"/>
              <w:left w:val="single" w:sz="8" w:space="0" w:color="FFFFFF"/>
              <w:bottom w:val="single" w:sz="8" w:space="0" w:color="FFFFFF"/>
              <w:right w:val="single" w:sz="8" w:space="0" w:color="FFFFFF"/>
            </w:tcBorders>
            <w:hideMark/>
          </w:tcPr>
          <w:p w14:paraId="7E2BB9D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3.04</w:t>
            </w:r>
          </w:p>
        </w:tc>
        <w:tc>
          <w:tcPr>
            <w:tcW w:w="993" w:type="dxa"/>
            <w:tcBorders>
              <w:top w:val="single" w:sz="8" w:space="0" w:color="FFFFFF"/>
              <w:left w:val="single" w:sz="8" w:space="0" w:color="FFFFFF"/>
              <w:bottom w:val="single" w:sz="8" w:space="0" w:color="FFFFFF"/>
              <w:right w:val="single" w:sz="8" w:space="0" w:color="FFFFFF"/>
            </w:tcBorders>
            <w:hideMark/>
          </w:tcPr>
          <w:p w14:paraId="6E848B5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0.945</w:t>
            </w:r>
          </w:p>
        </w:tc>
      </w:tr>
      <w:tr w:rsidR="00142767" w:rsidRPr="00142767" w14:paraId="09497EC8"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09AF0C9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my husband, or friends or relatives are gathering in a designated smoking area to smoke, I will join them rather than be alone.*</w:t>
            </w:r>
          </w:p>
        </w:tc>
        <w:tc>
          <w:tcPr>
            <w:tcW w:w="813" w:type="dxa"/>
            <w:tcBorders>
              <w:top w:val="single" w:sz="8" w:space="0" w:color="FFFFFF"/>
              <w:left w:val="single" w:sz="8" w:space="0" w:color="FFFFFF"/>
              <w:bottom w:val="single" w:sz="8" w:space="0" w:color="FFFFFF"/>
              <w:right w:val="single" w:sz="8" w:space="0" w:color="FFFFFF"/>
            </w:tcBorders>
            <w:hideMark/>
          </w:tcPr>
          <w:p w14:paraId="1B837C7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2.91</w:t>
            </w:r>
          </w:p>
        </w:tc>
        <w:tc>
          <w:tcPr>
            <w:tcW w:w="993" w:type="dxa"/>
            <w:tcBorders>
              <w:top w:val="single" w:sz="8" w:space="0" w:color="FFFFFF"/>
              <w:left w:val="single" w:sz="8" w:space="0" w:color="FFFFFF"/>
              <w:bottom w:val="single" w:sz="8" w:space="0" w:color="FFFFFF"/>
              <w:right w:val="single" w:sz="8" w:space="0" w:color="FFFFFF"/>
            </w:tcBorders>
            <w:hideMark/>
          </w:tcPr>
          <w:p w14:paraId="1E499E45"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1.158</w:t>
            </w:r>
          </w:p>
        </w:tc>
      </w:tr>
      <w:tr w:rsidR="00142767" w:rsidRPr="00142767" w14:paraId="0BD0F54A"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3917D98"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do not find secondhand smoke offensive.*</w:t>
            </w:r>
          </w:p>
        </w:tc>
        <w:tc>
          <w:tcPr>
            <w:tcW w:w="813" w:type="dxa"/>
            <w:tcBorders>
              <w:top w:val="single" w:sz="8" w:space="0" w:color="FFFFFF"/>
              <w:left w:val="single" w:sz="8" w:space="0" w:color="FFFFFF"/>
              <w:bottom w:val="single" w:sz="8" w:space="0" w:color="FFFFFF"/>
              <w:right w:val="single" w:sz="8" w:space="0" w:color="FFFFFF"/>
            </w:tcBorders>
            <w:hideMark/>
          </w:tcPr>
          <w:p w14:paraId="5F8C203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2.86</w:t>
            </w:r>
          </w:p>
        </w:tc>
        <w:tc>
          <w:tcPr>
            <w:tcW w:w="993" w:type="dxa"/>
            <w:tcBorders>
              <w:top w:val="single" w:sz="8" w:space="0" w:color="FFFFFF"/>
              <w:left w:val="single" w:sz="8" w:space="0" w:color="FFFFFF"/>
              <w:bottom w:val="single" w:sz="8" w:space="0" w:color="FFFFFF"/>
              <w:right w:val="single" w:sz="8" w:space="0" w:color="FFFFFF"/>
            </w:tcBorders>
            <w:hideMark/>
          </w:tcPr>
          <w:p w14:paraId="1DBD8CD8"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1.174</w:t>
            </w:r>
          </w:p>
        </w:tc>
      </w:tr>
      <w:tr w:rsidR="00142767" w:rsidRPr="00142767" w14:paraId="4675616E" w14:textId="77777777" w:rsidTr="00142767">
        <w:trPr>
          <w:trHeight w:val="774"/>
        </w:trPr>
        <w:tc>
          <w:tcPr>
            <w:tcW w:w="0" w:type="auto"/>
            <w:tcBorders>
              <w:top w:val="single" w:sz="8" w:space="0" w:color="FFFFFF"/>
              <w:left w:val="single" w:sz="8" w:space="0" w:color="FFFFFF"/>
              <w:bottom w:val="single" w:sz="8" w:space="0" w:color="FFFFFF"/>
              <w:right w:val="single" w:sz="8" w:space="0" w:color="FFFFFF"/>
            </w:tcBorders>
            <w:hideMark/>
          </w:tcPr>
          <w:p w14:paraId="6A5EE1E9"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am in public place such as restaurant or offices or clinic, I will leave if unable to sit in the nonsmoking section.</w:t>
            </w:r>
          </w:p>
        </w:tc>
        <w:tc>
          <w:tcPr>
            <w:tcW w:w="813" w:type="dxa"/>
            <w:tcBorders>
              <w:top w:val="single" w:sz="8" w:space="0" w:color="FFFFFF"/>
              <w:left w:val="single" w:sz="8" w:space="0" w:color="FFFFFF"/>
              <w:bottom w:val="single" w:sz="8" w:space="0" w:color="FFFFFF"/>
              <w:right w:val="single" w:sz="8" w:space="0" w:color="FFFFFF"/>
            </w:tcBorders>
            <w:hideMark/>
          </w:tcPr>
          <w:p w14:paraId="550D932A"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2.84</w:t>
            </w:r>
          </w:p>
        </w:tc>
        <w:tc>
          <w:tcPr>
            <w:tcW w:w="993" w:type="dxa"/>
            <w:tcBorders>
              <w:top w:val="single" w:sz="8" w:space="0" w:color="FFFFFF"/>
              <w:left w:val="single" w:sz="8" w:space="0" w:color="FFFFFF"/>
              <w:bottom w:val="single" w:sz="8" w:space="0" w:color="FFFFFF"/>
              <w:right w:val="single" w:sz="8" w:space="0" w:color="FFFFFF"/>
            </w:tcBorders>
            <w:hideMark/>
          </w:tcPr>
          <w:p w14:paraId="04D3A53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1.008</w:t>
            </w:r>
          </w:p>
        </w:tc>
      </w:tr>
      <w:tr w:rsidR="00142767" w:rsidRPr="00142767" w14:paraId="7FE691CE"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202792E1"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routinely associate with people who smoke.*</w:t>
            </w:r>
          </w:p>
        </w:tc>
        <w:tc>
          <w:tcPr>
            <w:tcW w:w="813" w:type="dxa"/>
            <w:tcBorders>
              <w:top w:val="single" w:sz="8" w:space="0" w:color="FFFFFF"/>
              <w:left w:val="single" w:sz="8" w:space="0" w:color="FFFFFF"/>
              <w:bottom w:val="single" w:sz="8" w:space="0" w:color="FFFFFF"/>
              <w:right w:val="single" w:sz="8" w:space="0" w:color="FFFFFF"/>
            </w:tcBorders>
            <w:hideMark/>
          </w:tcPr>
          <w:p w14:paraId="293A740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2.83</w:t>
            </w:r>
          </w:p>
        </w:tc>
        <w:tc>
          <w:tcPr>
            <w:tcW w:w="993" w:type="dxa"/>
            <w:tcBorders>
              <w:top w:val="single" w:sz="8" w:space="0" w:color="FFFFFF"/>
              <w:left w:val="single" w:sz="8" w:space="0" w:color="FFFFFF"/>
              <w:bottom w:val="single" w:sz="8" w:space="0" w:color="FFFFFF"/>
              <w:right w:val="single" w:sz="8" w:space="0" w:color="FFFFFF"/>
            </w:tcBorders>
            <w:hideMark/>
          </w:tcPr>
          <w:p w14:paraId="428192B9"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1.092</w:t>
            </w:r>
          </w:p>
        </w:tc>
      </w:tr>
      <w:tr w:rsidR="00142767" w:rsidRPr="00142767" w14:paraId="3A0C2825"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4B747A6E"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frequently go to places where smoking is prevalent.*</w:t>
            </w:r>
          </w:p>
        </w:tc>
        <w:tc>
          <w:tcPr>
            <w:tcW w:w="813" w:type="dxa"/>
            <w:tcBorders>
              <w:top w:val="single" w:sz="8" w:space="0" w:color="FFFFFF"/>
              <w:left w:val="single" w:sz="8" w:space="0" w:color="FFFFFF"/>
              <w:bottom w:val="single" w:sz="8" w:space="0" w:color="FFFFFF"/>
              <w:right w:val="single" w:sz="8" w:space="0" w:color="FFFFFF"/>
            </w:tcBorders>
            <w:hideMark/>
          </w:tcPr>
          <w:p w14:paraId="4E89ABB2"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2.82</w:t>
            </w:r>
          </w:p>
        </w:tc>
        <w:tc>
          <w:tcPr>
            <w:tcW w:w="993" w:type="dxa"/>
            <w:tcBorders>
              <w:top w:val="single" w:sz="8" w:space="0" w:color="FFFFFF"/>
              <w:left w:val="single" w:sz="8" w:space="0" w:color="FFFFFF"/>
              <w:bottom w:val="single" w:sz="8" w:space="0" w:color="FFFFFF"/>
              <w:right w:val="single" w:sz="8" w:space="0" w:color="FFFFFF"/>
            </w:tcBorders>
            <w:hideMark/>
          </w:tcPr>
          <w:p w14:paraId="128CAE6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1.167</w:t>
            </w:r>
          </w:p>
        </w:tc>
      </w:tr>
      <w:tr w:rsidR="00142767" w:rsidRPr="00142767" w14:paraId="3955E32B"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7F6CF52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allow people smoking in my car.*</w:t>
            </w:r>
          </w:p>
        </w:tc>
        <w:tc>
          <w:tcPr>
            <w:tcW w:w="813" w:type="dxa"/>
            <w:tcBorders>
              <w:top w:val="single" w:sz="8" w:space="0" w:color="FFFFFF"/>
              <w:left w:val="single" w:sz="8" w:space="0" w:color="FFFFFF"/>
              <w:bottom w:val="single" w:sz="8" w:space="0" w:color="FFFFFF"/>
              <w:right w:val="single" w:sz="8" w:space="0" w:color="FFFFFF"/>
            </w:tcBorders>
            <w:hideMark/>
          </w:tcPr>
          <w:p w14:paraId="12058741"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2.81</w:t>
            </w:r>
          </w:p>
        </w:tc>
        <w:tc>
          <w:tcPr>
            <w:tcW w:w="993" w:type="dxa"/>
            <w:tcBorders>
              <w:top w:val="single" w:sz="8" w:space="0" w:color="FFFFFF"/>
              <w:left w:val="single" w:sz="8" w:space="0" w:color="FFFFFF"/>
              <w:bottom w:val="single" w:sz="8" w:space="0" w:color="FFFFFF"/>
              <w:right w:val="single" w:sz="8" w:space="0" w:color="FFFFFF"/>
            </w:tcBorders>
            <w:hideMark/>
          </w:tcPr>
          <w:p w14:paraId="792270F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1.268</w:t>
            </w:r>
          </w:p>
        </w:tc>
      </w:tr>
      <w:tr w:rsidR="00142767" w:rsidRPr="00142767" w14:paraId="2F85AC8D" w14:textId="77777777" w:rsidTr="00142767">
        <w:trPr>
          <w:trHeight w:val="330"/>
        </w:trPr>
        <w:tc>
          <w:tcPr>
            <w:tcW w:w="0" w:type="auto"/>
            <w:tcBorders>
              <w:top w:val="single" w:sz="8" w:space="0" w:color="FFFFFF"/>
              <w:left w:val="single" w:sz="8" w:space="0" w:color="FFFFFF"/>
              <w:bottom w:val="single" w:sz="8" w:space="0" w:color="FFFFFF"/>
              <w:right w:val="single" w:sz="8" w:space="0" w:color="FFFFFF"/>
            </w:tcBorders>
            <w:hideMark/>
          </w:tcPr>
          <w:p w14:paraId="2EF8BE4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allow people to smoke in my home.*</w:t>
            </w:r>
          </w:p>
        </w:tc>
        <w:tc>
          <w:tcPr>
            <w:tcW w:w="813" w:type="dxa"/>
            <w:tcBorders>
              <w:top w:val="single" w:sz="8" w:space="0" w:color="FFFFFF"/>
              <w:left w:val="single" w:sz="8" w:space="0" w:color="FFFFFF"/>
              <w:bottom w:val="single" w:sz="8" w:space="0" w:color="FFFFFF"/>
              <w:right w:val="single" w:sz="8" w:space="0" w:color="FFFFFF"/>
            </w:tcBorders>
            <w:hideMark/>
          </w:tcPr>
          <w:p w14:paraId="17A801C9"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2.79</w:t>
            </w:r>
          </w:p>
        </w:tc>
        <w:tc>
          <w:tcPr>
            <w:tcW w:w="993" w:type="dxa"/>
            <w:tcBorders>
              <w:top w:val="single" w:sz="8" w:space="0" w:color="FFFFFF"/>
              <w:left w:val="single" w:sz="8" w:space="0" w:color="FFFFFF"/>
              <w:bottom w:val="single" w:sz="8" w:space="0" w:color="FFFFFF"/>
              <w:right w:val="single" w:sz="8" w:space="0" w:color="FFFFFF"/>
            </w:tcBorders>
            <w:hideMark/>
          </w:tcPr>
          <w:p w14:paraId="23592FA6"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1.17</w:t>
            </w:r>
          </w:p>
        </w:tc>
      </w:tr>
      <w:tr w:rsidR="00142767" w:rsidRPr="00142767" w14:paraId="2DECB765"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6396E5F"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When I trip by bus, or any other public transportation I would request a nonsmoking seat.</w:t>
            </w:r>
          </w:p>
        </w:tc>
        <w:tc>
          <w:tcPr>
            <w:tcW w:w="813" w:type="dxa"/>
            <w:tcBorders>
              <w:top w:val="single" w:sz="8" w:space="0" w:color="FFFFFF"/>
              <w:left w:val="single" w:sz="8" w:space="0" w:color="FFFFFF"/>
              <w:bottom w:val="single" w:sz="8" w:space="0" w:color="FFFFFF"/>
              <w:right w:val="single" w:sz="8" w:space="0" w:color="FFFFFF"/>
            </w:tcBorders>
            <w:hideMark/>
          </w:tcPr>
          <w:p w14:paraId="544C017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2.76</w:t>
            </w:r>
          </w:p>
        </w:tc>
        <w:tc>
          <w:tcPr>
            <w:tcW w:w="993" w:type="dxa"/>
            <w:tcBorders>
              <w:top w:val="single" w:sz="8" w:space="0" w:color="FFFFFF"/>
              <w:left w:val="single" w:sz="8" w:space="0" w:color="FFFFFF"/>
              <w:bottom w:val="single" w:sz="8" w:space="0" w:color="FFFFFF"/>
              <w:right w:val="single" w:sz="8" w:space="0" w:color="FFFFFF"/>
            </w:tcBorders>
            <w:hideMark/>
          </w:tcPr>
          <w:p w14:paraId="02E1DD20"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0.973</w:t>
            </w:r>
          </w:p>
        </w:tc>
      </w:tr>
      <w:tr w:rsidR="00142767" w:rsidRPr="00142767" w14:paraId="5BBE6304"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6D445BF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If I am with a group of people, and someone begins to smoke, I will remain with the group.*</w:t>
            </w:r>
          </w:p>
        </w:tc>
        <w:tc>
          <w:tcPr>
            <w:tcW w:w="813" w:type="dxa"/>
            <w:tcBorders>
              <w:top w:val="single" w:sz="8" w:space="0" w:color="FFFFFF"/>
              <w:left w:val="single" w:sz="8" w:space="0" w:color="FFFFFF"/>
              <w:bottom w:val="single" w:sz="8" w:space="0" w:color="FFFFFF"/>
              <w:right w:val="single" w:sz="8" w:space="0" w:color="FFFFFF"/>
            </w:tcBorders>
            <w:hideMark/>
          </w:tcPr>
          <w:p w14:paraId="7288B4AC"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2.70</w:t>
            </w:r>
          </w:p>
        </w:tc>
        <w:tc>
          <w:tcPr>
            <w:tcW w:w="993" w:type="dxa"/>
            <w:tcBorders>
              <w:top w:val="single" w:sz="8" w:space="0" w:color="FFFFFF"/>
              <w:left w:val="single" w:sz="8" w:space="0" w:color="FFFFFF"/>
              <w:bottom w:val="single" w:sz="8" w:space="0" w:color="FFFFFF"/>
              <w:right w:val="single" w:sz="8" w:space="0" w:color="FFFFFF"/>
            </w:tcBorders>
            <w:hideMark/>
          </w:tcPr>
          <w:p w14:paraId="01880F44"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1.026</w:t>
            </w:r>
          </w:p>
        </w:tc>
      </w:tr>
      <w:tr w:rsidR="00142767" w:rsidRPr="00142767" w14:paraId="67E732D3" w14:textId="77777777" w:rsidTr="00142767">
        <w:trPr>
          <w:trHeight w:val="180"/>
        </w:trPr>
        <w:tc>
          <w:tcPr>
            <w:tcW w:w="0" w:type="auto"/>
            <w:tcBorders>
              <w:top w:val="single" w:sz="8" w:space="0" w:color="FFFFFF"/>
              <w:left w:val="single" w:sz="8" w:space="0" w:color="FFFFFF"/>
              <w:bottom w:val="single" w:sz="8" w:space="0" w:color="FFFFFF"/>
              <w:right w:val="single" w:sz="8" w:space="0" w:color="FFFFFF"/>
            </w:tcBorders>
            <w:hideMark/>
          </w:tcPr>
          <w:p w14:paraId="31E97CF4"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lastRenderedPageBreak/>
              <w:t>If I encounter a friend or relative who is smoking, I will sit and talk with him/her while he/she is smoking.*</w:t>
            </w:r>
          </w:p>
        </w:tc>
        <w:tc>
          <w:tcPr>
            <w:tcW w:w="813" w:type="dxa"/>
            <w:tcBorders>
              <w:top w:val="single" w:sz="8" w:space="0" w:color="FFFFFF"/>
              <w:left w:val="single" w:sz="8" w:space="0" w:color="FFFFFF"/>
              <w:bottom w:val="single" w:sz="8" w:space="0" w:color="FFFFFF"/>
              <w:right w:val="single" w:sz="8" w:space="0" w:color="FFFFFF"/>
            </w:tcBorders>
            <w:hideMark/>
          </w:tcPr>
          <w:p w14:paraId="656B5C2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2.64</w:t>
            </w:r>
          </w:p>
        </w:tc>
        <w:tc>
          <w:tcPr>
            <w:tcW w:w="993" w:type="dxa"/>
            <w:tcBorders>
              <w:top w:val="single" w:sz="8" w:space="0" w:color="FFFFFF"/>
              <w:left w:val="single" w:sz="8" w:space="0" w:color="FFFFFF"/>
              <w:bottom w:val="single" w:sz="8" w:space="0" w:color="FFFFFF"/>
              <w:right w:val="single" w:sz="8" w:space="0" w:color="FFFFFF"/>
            </w:tcBorders>
            <w:hideMark/>
          </w:tcPr>
          <w:p w14:paraId="62BC2BB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1.079</w:t>
            </w:r>
          </w:p>
        </w:tc>
      </w:tr>
      <w:tr w:rsidR="00142767" w:rsidRPr="00142767" w14:paraId="3409140B" w14:textId="77777777" w:rsidTr="00142767">
        <w:trPr>
          <w:trHeight w:val="180"/>
        </w:trPr>
        <w:tc>
          <w:tcPr>
            <w:tcW w:w="0" w:type="auto"/>
            <w:tcBorders>
              <w:top w:val="single" w:sz="8" w:space="0" w:color="FFFFFF"/>
              <w:left w:val="single" w:sz="8" w:space="0" w:color="FFFFFF"/>
              <w:bottom w:val="single" w:sz="8" w:space="0" w:color="000000"/>
              <w:right w:val="single" w:sz="8" w:space="0" w:color="FFFFFF"/>
            </w:tcBorders>
            <w:hideMark/>
          </w:tcPr>
          <w:p w14:paraId="2B95ACD5"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I will sit in the smoking section of a public place or bus station if there are no seats available elsewhere.*</w:t>
            </w:r>
          </w:p>
        </w:tc>
        <w:tc>
          <w:tcPr>
            <w:tcW w:w="813" w:type="dxa"/>
            <w:tcBorders>
              <w:top w:val="single" w:sz="8" w:space="0" w:color="FFFFFF"/>
              <w:left w:val="single" w:sz="8" w:space="0" w:color="FFFFFF"/>
              <w:bottom w:val="single" w:sz="8" w:space="0" w:color="000000"/>
              <w:right w:val="single" w:sz="8" w:space="0" w:color="FFFFFF"/>
            </w:tcBorders>
            <w:hideMark/>
          </w:tcPr>
          <w:p w14:paraId="28143B9A"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2.58</w:t>
            </w:r>
          </w:p>
        </w:tc>
        <w:tc>
          <w:tcPr>
            <w:tcW w:w="993" w:type="dxa"/>
            <w:tcBorders>
              <w:top w:val="single" w:sz="8" w:space="0" w:color="FFFFFF"/>
              <w:left w:val="single" w:sz="8" w:space="0" w:color="FFFFFF"/>
              <w:bottom w:val="single" w:sz="8" w:space="0" w:color="000000"/>
              <w:right w:val="single" w:sz="8" w:space="0" w:color="FFFFFF"/>
            </w:tcBorders>
            <w:hideMark/>
          </w:tcPr>
          <w:p w14:paraId="2B3F3CB7"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1.044</w:t>
            </w:r>
          </w:p>
        </w:tc>
      </w:tr>
      <w:tr w:rsidR="00142767" w:rsidRPr="00142767" w14:paraId="7DCE9B20" w14:textId="77777777" w:rsidTr="00142767">
        <w:trPr>
          <w:trHeight w:val="240"/>
        </w:trPr>
        <w:tc>
          <w:tcPr>
            <w:tcW w:w="0" w:type="auto"/>
            <w:tcBorders>
              <w:top w:val="single" w:sz="8" w:space="0" w:color="000000"/>
              <w:left w:val="single" w:sz="8" w:space="0" w:color="FFFFFF"/>
              <w:bottom w:val="single" w:sz="8" w:space="0" w:color="000000"/>
              <w:right w:val="single" w:sz="8" w:space="0" w:color="FFFFFF"/>
            </w:tcBorders>
            <w:hideMark/>
          </w:tcPr>
          <w:p w14:paraId="5B52C27C" w14:textId="77777777" w:rsidR="00142767" w:rsidRPr="00142767" w:rsidRDefault="00142767" w:rsidP="00FB3B25">
            <w:pPr>
              <w:pStyle w:val="Body"/>
              <w:spacing w:after="0"/>
              <w:rPr>
                <w:rFonts w:ascii="Arial" w:hAnsi="Arial" w:cs="Arial"/>
                <w:lang w:val="en-PH"/>
              </w:rPr>
            </w:pPr>
            <w:r w:rsidRPr="00142767">
              <w:rPr>
                <w:rFonts w:ascii="Arial" w:hAnsi="Arial" w:cs="Arial"/>
                <w:lang w:val="en-PH"/>
              </w:rPr>
              <w:t>Overall Mean</w:t>
            </w:r>
          </w:p>
        </w:tc>
        <w:tc>
          <w:tcPr>
            <w:tcW w:w="813" w:type="dxa"/>
            <w:tcBorders>
              <w:top w:val="single" w:sz="8" w:space="0" w:color="000000"/>
              <w:left w:val="single" w:sz="8" w:space="0" w:color="FFFFFF"/>
              <w:bottom w:val="single" w:sz="8" w:space="0" w:color="000000"/>
              <w:right w:val="single" w:sz="8" w:space="0" w:color="FFFFFF"/>
            </w:tcBorders>
            <w:hideMark/>
          </w:tcPr>
          <w:p w14:paraId="10FBFCBF"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2.95</w:t>
            </w:r>
          </w:p>
        </w:tc>
        <w:tc>
          <w:tcPr>
            <w:tcW w:w="993" w:type="dxa"/>
            <w:tcBorders>
              <w:top w:val="single" w:sz="8" w:space="0" w:color="000000"/>
              <w:left w:val="single" w:sz="8" w:space="0" w:color="FFFFFF"/>
              <w:bottom w:val="single" w:sz="8" w:space="0" w:color="000000"/>
              <w:right w:val="single" w:sz="8" w:space="0" w:color="FFFFFF"/>
            </w:tcBorders>
            <w:hideMark/>
          </w:tcPr>
          <w:p w14:paraId="2E1BDBDE" w14:textId="77777777" w:rsidR="00142767" w:rsidRPr="00142767" w:rsidRDefault="00142767" w:rsidP="00FB3B25">
            <w:pPr>
              <w:pStyle w:val="Body"/>
              <w:spacing w:after="0"/>
              <w:jc w:val="center"/>
              <w:rPr>
                <w:rFonts w:ascii="Arial" w:hAnsi="Arial" w:cs="Arial"/>
                <w:lang w:val="en-PH"/>
              </w:rPr>
            </w:pPr>
            <w:r w:rsidRPr="00142767">
              <w:rPr>
                <w:rFonts w:ascii="Arial" w:hAnsi="Arial" w:cs="Arial"/>
                <w:lang w:val="en-PH"/>
              </w:rPr>
              <w:t>0.543</w:t>
            </w:r>
          </w:p>
        </w:tc>
      </w:tr>
    </w:tbl>
    <w:p w14:paraId="0B0FB5E2" w14:textId="7C4BFE82" w:rsidR="00142767" w:rsidRPr="00142767" w:rsidRDefault="00142767" w:rsidP="00142767">
      <w:pPr>
        <w:pStyle w:val="Body"/>
        <w:rPr>
          <w:rFonts w:ascii="Arial" w:hAnsi="Arial" w:cs="Arial"/>
          <w:lang w:val="en-PH"/>
        </w:rPr>
      </w:pPr>
      <w:r w:rsidRPr="00142767">
        <w:rPr>
          <w:rFonts w:ascii="Arial" w:hAnsi="Arial" w:cs="Arial"/>
          <w:i/>
          <w:iCs/>
          <w:lang w:val="en-PH"/>
        </w:rPr>
        <w:t>*Items were reverse scored</w:t>
      </w:r>
    </w:p>
    <w:p w14:paraId="74C1654E" w14:textId="77777777" w:rsidR="00142767" w:rsidRPr="00142767" w:rsidRDefault="00142767" w:rsidP="00142767">
      <w:pPr>
        <w:pStyle w:val="Body"/>
        <w:rPr>
          <w:rFonts w:ascii="Arial" w:hAnsi="Arial" w:cs="Arial"/>
          <w:sz w:val="22"/>
          <w:szCs w:val="22"/>
          <w:lang w:val="en-PH"/>
        </w:rPr>
      </w:pPr>
      <w:r w:rsidRPr="00142767">
        <w:rPr>
          <w:rFonts w:ascii="Arial" w:hAnsi="Arial" w:cs="Arial"/>
          <w:b/>
          <w:bCs/>
          <w:sz w:val="22"/>
          <w:szCs w:val="22"/>
          <w:lang w:val="en-PH"/>
        </w:rPr>
        <w:t>3.1 Relationship of the Variables</w:t>
      </w:r>
    </w:p>
    <w:p w14:paraId="3A58691B"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Tables 5–7 present the relationships among knowledge, attitude, and avoidance behavior regarding secondhand smoke exposure among household heads. Spearman’s rho analysis revealed a significant relationship between knowledge and attitude (</w:t>
      </w:r>
      <w:proofErr w:type="spellStart"/>
      <w:r w:rsidRPr="00142767">
        <w:rPr>
          <w:rFonts w:ascii="Arial" w:hAnsi="Arial" w:cs="Arial"/>
          <w:lang w:val="en-PH"/>
        </w:rPr>
        <w:t>rs</w:t>
      </w:r>
      <w:proofErr w:type="spellEnd"/>
      <w:r w:rsidRPr="00142767">
        <w:rPr>
          <w:rFonts w:ascii="Arial" w:hAnsi="Arial" w:cs="Arial"/>
          <w:lang w:val="en-PH"/>
        </w:rPr>
        <w:t xml:space="preserve"> = 0.175, </w:t>
      </w:r>
      <w:r w:rsidRPr="00142767">
        <w:rPr>
          <w:rFonts w:ascii="Arial" w:hAnsi="Arial" w:cs="Arial"/>
          <w:i/>
          <w:iCs/>
          <w:lang w:val="en-PH"/>
        </w:rPr>
        <w:t>P</w:t>
      </w:r>
      <w:r w:rsidRPr="00142767">
        <w:rPr>
          <w:rFonts w:ascii="Arial" w:hAnsi="Arial" w:cs="Arial"/>
          <w:lang w:val="en-PH"/>
        </w:rPr>
        <w:t xml:space="preserve"> &lt; .001), indicating a very weak positive correlation, suggesting that higher knowledge levels were associated with more favorable attitudes toward secondhand smoke exposure. This finding corroborates the study of Malik et al. (2025), which reported that individuals with greater knowledge tend to develop more favorable attitudes toward smoke-free environments.</w:t>
      </w:r>
    </w:p>
    <w:p w14:paraId="6CC50FBE" w14:textId="77777777" w:rsidR="00142767" w:rsidRPr="00142767" w:rsidRDefault="00142767" w:rsidP="00142767">
      <w:pPr>
        <w:pStyle w:val="Body"/>
        <w:spacing w:after="0"/>
        <w:rPr>
          <w:rFonts w:ascii="Arial" w:hAnsi="Arial" w:cs="Arial"/>
          <w:lang w:val="en-PH"/>
        </w:rPr>
      </w:pPr>
      <w:r w:rsidRPr="00142767">
        <w:rPr>
          <w:rFonts w:ascii="Arial" w:hAnsi="Arial" w:cs="Arial"/>
          <w:lang w:val="en-PH"/>
        </w:rPr>
        <w:t>In contrast, no significant relationship was found between knowledge and avoidance behavior (</w:t>
      </w:r>
      <w:proofErr w:type="spellStart"/>
      <w:r w:rsidRPr="00142767">
        <w:rPr>
          <w:rFonts w:ascii="Arial" w:hAnsi="Arial" w:cs="Arial"/>
          <w:lang w:val="en-PH"/>
        </w:rPr>
        <w:t>rs</w:t>
      </w:r>
      <w:proofErr w:type="spellEnd"/>
      <w:r w:rsidRPr="00142767">
        <w:rPr>
          <w:rFonts w:ascii="Arial" w:hAnsi="Arial" w:cs="Arial"/>
          <w:lang w:val="en-PH"/>
        </w:rPr>
        <w:t xml:space="preserve"> = −0.045, </w:t>
      </w:r>
      <w:r w:rsidRPr="00142767">
        <w:rPr>
          <w:rFonts w:ascii="Arial" w:hAnsi="Arial" w:cs="Arial"/>
          <w:i/>
          <w:iCs/>
          <w:lang w:val="en-PH"/>
        </w:rPr>
        <w:t>P</w:t>
      </w:r>
      <w:r w:rsidRPr="00142767">
        <w:rPr>
          <w:rFonts w:ascii="Arial" w:hAnsi="Arial" w:cs="Arial"/>
          <w:lang w:val="en-PH"/>
        </w:rPr>
        <w:t xml:space="preserve"> = .397), indicating that higher knowledge did not necessarily translate into greater avoidance of secondhand smoke exposure. This result is consistent with the findings of Chen et al. (2020), which showed that awareness of the dangers of secondhand smoke alone may not be sufficient to reduce exposure.</w:t>
      </w:r>
    </w:p>
    <w:p w14:paraId="2FF497ED" w14:textId="6307E797" w:rsidR="00142767" w:rsidRDefault="00142767" w:rsidP="00FB3B25">
      <w:pPr>
        <w:pStyle w:val="Body"/>
        <w:spacing w:after="0"/>
        <w:rPr>
          <w:rFonts w:ascii="Arial" w:hAnsi="Arial" w:cs="Arial"/>
          <w:lang w:val="en-PH"/>
        </w:rPr>
      </w:pPr>
      <w:r w:rsidRPr="00142767">
        <w:rPr>
          <w:rFonts w:ascii="Arial" w:hAnsi="Arial" w:cs="Arial"/>
          <w:lang w:val="en-PH"/>
        </w:rPr>
        <w:t>However, a significant relationship was observed between attitude and avoidance behavior (</w:t>
      </w:r>
      <w:proofErr w:type="spellStart"/>
      <w:r w:rsidRPr="00142767">
        <w:rPr>
          <w:rFonts w:ascii="Arial" w:hAnsi="Arial" w:cs="Arial"/>
          <w:lang w:val="en-PH"/>
        </w:rPr>
        <w:t>rs</w:t>
      </w:r>
      <w:proofErr w:type="spellEnd"/>
      <w:r w:rsidRPr="00142767">
        <w:rPr>
          <w:rFonts w:ascii="Arial" w:hAnsi="Arial" w:cs="Arial"/>
          <w:lang w:val="en-PH"/>
        </w:rPr>
        <w:t xml:space="preserve"> = 0.398, </w:t>
      </w:r>
      <w:r w:rsidRPr="00142767">
        <w:rPr>
          <w:rFonts w:ascii="Arial" w:hAnsi="Arial" w:cs="Arial"/>
          <w:i/>
          <w:iCs/>
          <w:lang w:val="en-PH"/>
        </w:rPr>
        <w:t>P</w:t>
      </w:r>
      <w:r w:rsidRPr="00142767">
        <w:rPr>
          <w:rFonts w:ascii="Arial" w:hAnsi="Arial" w:cs="Arial"/>
          <w:lang w:val="en-PH"/>
        </w:rPr>
        <w:t xml:space="preserve"> &lt; .001), demonstrating a weak positive correlation, suggesting that respondents with more favorable attitudes toward preventing secondhand smoke exposure were more likely to practice avoidance behaviors. This finding supports the study of </w:t>
      </w:r>
      <w:proofErr w:type="spellStart"/>
      <w:r w:rsidRPr="00142767">
        <w:rPr>
          <w:rFonts w:ascii="Arial" w:hAnsi="Arial" w:cs="Arial"/>
          <w:lang w:val="en-PH"/>
        </w:rPr>
        <w:t>Ambawarti</w:t>
      </w:r>
      <w:proofErr w:type="spellEnd"/>
      <w:r w:rsidRPr="00142767">
        <w:rPr>
          <w:rFonts w:ascii="Arial" w:hAnsi="Arial" w:cs="Arial"/>
          <w:lang w:val="en-PH"/>
        </w:rPr>
        <w:t xml:space="preserve"> et al. (2025), which reported that individuals with more positive attitudes were significantly more likely to avoid passive smoking. These results indicate that while knowledge contributes to shaping attitudes, attitudes appear to play a more influential role in encouraging avoidance behaviors toward secondhand smoke exposure.</w:t>
      </w:r>
    </w:p>
    <w:p w14:paraId="4BE33A57" w14:textId="77777777" w:rsidR="00FB3B25" w:rsidRPr="00142767" w:rsidRDefault="00FB3B25" w:rsidP="00FB3B25">
      <w:pPr>
        <w:pStyle w:val="Body"/>
        <w:spacing w:after="0"/>
        <w:rPr>
          <w:rFonts w:ascii="Arial" w:hAnsi="Arial" w:cs="Arial"/>
          <w:lang w:val="en-PH"/>
        </w:rPr>
      </w:pPr>
    </w:p>
    <w:p w14:paraId="0B80D319" w14:textId="7422AEC9" w:rsidR="00142767" w:rsidRPr="00142767" w:rsidRDefault="00142767" w:rsidP="00142767">
      <w:pPr>
        <w:pStyle w:val="Body"/>
        <w:rPr>
          <w:rFonts w:ascii="Arial" w:hAnsi="Arial" w:cs="Arial"/>
          <w:lang w:val="en-PH"/>
        </w:rPr>
      </w:pPr>
      <w:r w:rsidRPr="00142767">
        <w:rPr>
          <w:rFonts w:ascii="Arial" w:hAnsi="Arial" w:cs="Arial"/>
          <w:b/>
          <w:bCs/>
          <w:lang w:val="en-PH"/>
        </w:rPr>
        <w:t>Table 5. Relationship between the level of knowledge and level of attitude regarding secondhand smoke exposure among household heads (n=361)</w:t>
      </w:r>
    </w:p>
    <w:tbl>
      <w:tblPr>
        <w:tblW w:w="8228" w:type="dxa"/>
        <w:tblCellMar>
          <w:top w:w="15" w:type="dxa"/>
          <w:left w:w="15" w:type="dxa"/>
          <w:bottom w:w="15" w:type="dxa"/>
          <w:right w:w="15" w:type="dxa"/>
        </w:tblCellMar>
        <w:tblLook w:val="04A0" w:firstRow="1" w:lastRow="0" w:firstColumn="1" w:lastColumn="0" w:noHBand="0" w:noVBand="1"/>
      </w:tblPr>
      <w:tblGrid>
        <w:gridCol w:w="2621"/>
        <w:gridCol w:w="2472"/>
        <w:gridCol w:w="3135"/>
      </w:tblGrid>
      <w:tr w:rsidR="00142767" w:rsidRPr="00142767" w14:paraId="7E59BB9A" w14:textId="77777777" w:rsidTr="00FB3B25">
        <w:trPr>
          <w:trHeight w:val="222"/>
        </w:trPr>
        <w:tc>
          <w:tcPr>
            <w:tcW w:w="0" w:type="auto"/>
            <w:tcBorders>
              <w:top w:val="single" w:sz="4" w:space="0" w:color="000000"/>
              <w:left w:val="single" w:sz="8" w:space="0" w:color="FFFFFF"/>
              <w:bottom w:val="single" w:sz="8" w:space="0" w:color="FFFFFF"/>
              <w:right w:val="single" w:sz="8" w:space="0" w:color="FFFFFF"/>
            </w:tcBorders>
            <w:hideMark/>
          </w:tcPr>
          <w:p w14:paraId="682F1EBA" w14:textId="77777777" w:rsidR="00142767" w:rsidRPr="00142767" w:rsidRDefault="00142767" w:rsidP="00142767">
            <w:pPr>
              <w:pStyle w:val="Body"/>
              <w:rPr>
                <w:rFonts w:ascii="Arial" w:hAnsi="Arial" w:cs="Arial"/>
                <w:lang w:val="en-PH"/>
              </w:rPr>
            </w:pPr>
          </w:p>
        </w:tc>
        <w:tc>
          <w:tcPr>
            <w:tcW w:w="0" w:type="auto"/>
            <w:gridSpan w:val="2"/>
            <w:tcBorders>
              <w:top w:val="single" w:sz="4" w:space="0" w:color="000000"/>
              <w:left w:val="single" w:sz="8" w:space="0" w:color="FFFFFF"/>
              <w:bottom w:val="single" w:sz="4" w:space="0" w:color="000000"/>
              <w:right w:val="single" w:sz="8" w:space="0" w:color="FFFFFF"/>
            </w:tcBorders>
            <w:hideMark/>
          </w:tcPr>
          <w:p w14:paraId="72BAABB2"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Attitude</w:t>
            </w:r>
          </w:p>
        </w:tc>
      </w:tr>
      <w:tr w:rsidR="00142767" w:rsidRPr="00142767" w14:paraId="79F28C29" w14:textId="77777777" w:rsidTr="00FB3B25">
        <w:trPr>
          <w:trHeight w:val="222"/>
        </w:trPr>
        <w:tc>
          <w:tcPr>
            <w:tcW w:w="0" w:type="auto"/>
            <w:tcBorders>
              <w:top w:val="single" w:sz="8" w:space="0" w:color="FFFFFF"/>
              <w:left w:val="single" w:sz="8" w:space="0" w:color="FFFFFF"/>
              <w:bottom w:val="single" w:sz="4" w:space="0" w:color="000000"/>
              <w:right w:val="single" w:sz="8" w:space="0" w:color="FFFFFF"/>
            </w:tcBorders>
            <w:hideMark/>
          </w:tcPr>
          <w:p w14:paraId="537F1188" w14:textId="77777777" w:rsidR="00142767" w:rsidRPr="00142767" w:rsidRDefault="00142767" w:rsidP="00142767">
            <w:pPr>
              <w:pStyle w:val="Body"/>
              <w:rPr>
                <w:rFonts w:ascii="Arial" w:hAnsi="Arial" w:cs="Arial"/>
                <w:lang w:val="en-PH"/>
              </w:rPr>
            </w:pPr>
          </w:p>
        </w:tc>
        <w:tc>
          <w:tcPr>
            <w:tcW w:w="0" w:type="auto"/>
            <w:tcBorders>
              <w:top w:val="single" w:sz="4" w:space="0" w:color="000000"/>
              <w:left w:val="single" w:sz="8" w:space="0" w:color="FFFFFF"/>
              <w:bottom w:val="single" w:sz="8" w:space="0" w:color="FFFFFF"/>
              <w:right w:val="single" w:sz="8" w:space="0" w:color="FFFFFF"/>
            </w:tcBorders>
            <w:hideMark/>
          </w:tcPr>
          <w:p w14:paraId="4CD081B8" w14:textId="77777777" w:rsidR="00142767" w:rsidRPr="00142767" w:rsidRDefault="00142767" w:rsidP="00FB3B25">
            <w:pPr>
              <w:pStyle w:val="Body"/>
              <w:jc w:val="center"/>
              <w:rPr>
                <w:rFonts w:ascii="Arial" w:hAnsi="Arial" w:cs="Arial"/>
                <w:lang w:val="en-PH"/>
              </w:rPr>
            </w:pPr>
            <w:proofErr w:type="spellStart"/>
            <w:r w:rsidRPr="00142767">
              <w:rPr>
                <w:rFonts w:ascii="Arial" w:hAnsi="Arial" w:cs="Arial"/>
                <w:lang w:val="en-PH"/>
              </w:rPr>
              <w:t>r-value</w:t>
            </w:r>
            <w:proofErr w:type="spellEnd"/>
            <w:r w:rsidRPr="00142767">
              <w:rPr>
                <w:rFonts w:ascii="Arial" w:hAnsi="Arial" w:cs="Arial"/>
                <w:lang w:val="en-PH"/>
              </w:rPr>
              <w:t xml:space="preserve"> (</w:t>
            </w:r>
            <w:proofErr w:type="spellStart"/>
            <w:r w:rsidRPr="00142767">
              <w:rPr>
                <w:rFonts w:ascii="Arial" w:hAnsi="Arial" w:cs="Arial"/>
                <w:i/>
                <w:iCs/>
                <w:lang w:val="en-PH"/>
              </w:rPr>
              <w:t>r</w:t>
            </w:r>
            <w:r w:rsidRPr="00142767">
              <w:rPr>
                <w:rFonts w:ascii="Arial" w:hAnsi="Arial" w:cs="Arial"/>
                <w:i/>
                <w:iCs/>
                <w:vertAlign w:val="subscript"/>
                <w:lang w:val="en-PH"/>
              </w:rPr>
              <w:t>s</w:t>
            </w:r>
            <w:proofErr w:type="spellEnd"/>
            <w:r w:rsidRPr="00142767">
              <w:rPr>
                <w:rFonts w:ascii="Arial" w:hAnsi="Arial" w:cs="Arial"/>
                <w:lang w:val="en-PH"/>
              </w:rPr>
              <w:t>)</w:t>
            </w:r>
          </w:p>
        </w:tc>
        <w:tc>
          <w:tcPr>
            <w:tcW w:w="0" w:type="auto"/>
            <w:tcBorders>
              <w:top w:val="single" w:sz="4" w:space="0" w:color="000000"/>
              <w:left w:val="single" w:sz="8" w:space="0" w:color="FFFFFF"/>
              <w:bottom w:val="single" w:sz="8" w:space="0" w:color="FFFFFF"/>
              <w:right w:val="single" w:sz="8" w:space="0" w:color="FFFFFF"/>
            </w:tcBorders>
            <w:hideMark/>
          </w:tcPr>
          <w:p w14:paraId="760D5E96"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46BD5502" w14:textId="77777777" w:rsidTr="00FB3B25">
        <w:trPr>
          <w:trHeight w:val="222"/>
        </w:trPr>
        <w:tc>
          <w:tcPr>
            <w:tcW w:w="0" w:type="auto"/>
            <w:tcBorders>
              <w:top w:val="single" w:sz="4" w:space="0" w:color="000000"/>
              <w:left w:val="single" w:sz="8" w:space="0" w:color="FFFFFF"/>
              <w:bottom w:val="single" w:sz="4" w:space="0" w:color="000000"/>
              <w:right w:val="single" w:sz="8" w:space="0" w:color="FFFFFF"/>
            </w:tcBorders>
            <w:hideMark/>
          </w:tcPr>
          <w:p w14:paraId="68F801D8" w14:textId="77777777" w:rsidR="00142767" w:rsidRPr="00142767" w:rsidRDefault="00142767" w:rsidP="00142767">
            <w:pPr>
              <w:pStyle w:val="Body"/>
              <w:rPr>
                <w:rFonts w:ascii="Arial" w:hAnsi="Arial" w:cs="Arial"/>
                <w:lang w:val="en-PH"/>
              </w:rPr>
            </w:pPr>
            <w:r w:rsidRPr="00142767">
              <w:rPr>
                <w:rFonts w:ascii="Arial" w:hAnsi="Arial" w:cs="Arial"/>
                <w:lang w:val="en-PH"/>
              </w:rPr>
              <w:t>Knowledge</w:t>
            </w:r>
          </w:p>
        </w:tc>
        <w:tc>
          <w:tcPr>
            <w:tcW w:w="0" w:type="auto"/>
            <w:tcBorders>
              <w:top w:val="single" w:sz="8" w:space="0" w:color="FFFFFF"/>
              <w:left w:val="single" w:sz="8" w:space="0" w:color="FFFFFF"/>
              <w:bottom w:val="single" w:sz="4" w:space="0" w:color="000000"/>
              <w:right w:val="single" w:sz="8" w:space="0" w:color="FFFFFF"/>
            </w:tcBorders>
            <w:hideMark/>
          </w:tcPr>
          <w:p w14:paraId="0D6BAC8A" w14:textId="0DECBB68" w:rsidR="00142767" w:rsidRPr="00142767" w:rsidRDefault="00142767" w:rsidP="00FB3B25">
            <w:pPr>
              <w:pStyle w:val="Body"/>
              <w:jc w:val="center"/>
              <w:rPr>
                <w:rFonts w:ascii="Arial" w:hAnsi="Arial" w:cs="Arial"/>
                <w:lang w:val="en-PH"/>
              </w:rPr>
            </w:pPr>
            <w:r w:rsidRPr="00142767">
              <w:rPr>
                <w:rFonts w:ascii="Arial" w:hAnsi="Arial" w:cs="Arial"/>
                <w:lang w:val="en-PH"/>
              </w:rPr>
              <w:t>0.175***</w:t>
            </w:r>
          </w:p>
        </w:tc>
        <w:tc>
          <w:tcPr>
            <w:tcW w:w="0" w:type="auto"/>
            <w:tcBorders>
              <w:top w:val="single" w:sz="8" w:space="0" w:color="FFFFFF"/>
              <w:left w:val="single" w:sz="8" w:space="0" w:color="FFFFFF"/>
              <w:bottom w:val="single" w:sz="4" w:space="0" w:color="000000"/>
              <w:right w:val="single" w:sz="8" w:space="0" w:color="FFFFFF"/>
            </w:tcBorders>
            <w:hideMark/>
          </w:tcPr>
          <w:p w14:paraId="76C6E147"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0.001</w:t>
            </w:r>
          </w:p>
        </w:tc>
      </w:tr>
    </w:tbl>
    <w:p w14:paraId="6872FD13" w14:textId="77777777" w:rsidR="00142767" w:rsidRPr="00142767" w:rsidRDefault="00142767" w:rsidP="00142767">
      <w:pPr>
        <w:pStyle w:val="Body"/>
        <w:rPr>
          <w:rFonts w:ascii="Arial" w:hAnsi="Arial" w:cs="Arial"/>
          <w:lang w:val="en-PH"/>
        </w:rPr>
      </w:pPr>
      <w:r w:rsidRPr="00142767">
        <w:rPr>
          <w:rFonts w:ascii="Arial" w:hAnsi="Arial" w:cs="Arial"/>
          <w:i/>
          <w:iCs/>
          <w:lang w:val="en-PH"/>
        </w:rPr>
        <w:t>*Sig at 0.05</w:t>
      </w:r>
    </w:p>
    <w:p w14:paraId="7068A207" w14:textId="2ECB5440" w:rsidR="00142767" w:rsidRPr="00142767" w:rsidRDefault="00142767" w:rsidP="00142767">
      <w:pPr>
        <w:pStyle w:val="Body"/>
        <w:rPr>
          <w:rFonts w:ascii="Arial" w:hAnsi="Arial" w:cs="Arial"/>
          <w:lang w:val="en-PH"/>
        </w:rPr>
      </w:pPr>
      <w:r w:rsidRPr="00142767">
        <w:rPr>
          <w:rFonts w:ascii="Arial" w:hAnsi="Arial" w:cs="Arial"/>
          <w:b/>
          <w:bCs/>
          <w:lang w:val="en-PH"/>
        </w:rPr>
        <w:t>Table 6. Relationship between the level of knowledge and extent of avoidance behavior regarding secondhand smoke exposure among household heads (n=361)</w:t>
      </w:r>
    </w:p>
    <w:tbl>
      <w:tblPr>
        <w:tblW w:w="8213" w:type="dxa"/>
        <w:tblCellMar>
          <w:top w:w="15" w:type="dxa"/>
          <w:left w:w="15" w:type="dxa"/>
          <w:bottom w:w="15" w:type="dxa"/>
          <w:right w:w="15" w:type="dxa"/>
        </w:tblCellMar>
        <w:tblLook w:val="04A0" w:firstRow="1" w:lastRow="0" w:firstColumn="1" w:lastColumn="0" w:noHBand="0" w:noVBand="1"/>
      </w:tblPr>
      <w:tblGrid>
        <w:gridCol w:w="2617"/>
        <w:gridCol w:w="2467"/>
        <w:gridCol w:w="3129"/>
      </w:tblGrid>
      <w:tr w:rsidR="00142767" w:rsidRPr="00142767" w14:paraId="6709DB6A" w14:textId="77777777" w:rsidTr="00FB3B25">
        <w:trPr>
          <w:trHeight w:val="261"/>
        </w:trPr>
        <w:tc>
          <w:tcPr>
            <w:tcW w:w="0" w:type="auto"/>
            <w:tcBorders>
              <w:top w:val="single" w:sz="8" w:space="0" w:color="000000"/>
              <w:left w:val="single" w:sz="8" w:space="0" w:color="FFFFFF"/>
              <w:bottom w:val="single" w:sz="8" w:space="0" w:color="FFFFFF"/>
              <w:right w:val="single" w:sz="8" w:space="0" w:color="FFFFFF"/>
            </w:tcBorders>
            <w:hideMark/>
          </w:tcPr>
          <w:p w14:paraId="791CCD0B" w14:textId="77777777" w:rsidR="00142767" w:rsidRPr="00142767" w:rsidRDefault="00142767" w:rsidP="00142767">
            <w:pPr>
              <w:pStyle w:val="Body"/>
              <w:rPr>
                <w:rFonts w:ascii="Arial" w:hAnsi="Arial" w:cs="Arial"/>
                <w:lang w:val="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60F30B6A"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Avoidance</w:t>
            </w:r>
          </w:p>
        </w:tc>
      </w:tr>
      <w:tr w:rsidR="00142767" w:rsidRPr="00142767" w14:paraId="2E2F31AD" w14:textId="77777777" w:rsidTr="00FB3B25">
        <w:trPr>
          <w:trHeight w:val="261"/>
        </w:trPr>
        <w:tc>
          <w:tcPr>
            <w:tcW w:w="0" w:type="auto"/>
            <w:tcBorders>
              <w:top w:val="single" w:sz="8" w:space="0" w:color="FFFFFF"/>
              <w:left w:val="single" w:sz="8" w:space="0" w:color="FFFFFF"/>
              <w:bottom w:val="single" w:sz="8" w:space="0" w:color="000000"/>
              <w:right w:val="single" w:sz="8" w:space="0" w:color="FFFFFF"/>
            </w:tcBorders>
            <w:hideMark/>
          </w:tcPr>
          <w:p w14:paraId="00335FA8" w14:textId="77777777" w:rsidR="00142767" w:rsidRPr="00142767" w:rsidRDefault="00142767" w:rsidP="00142767">
            <w:pPr>
              <w:pStyle w:val="Body"/>
              <w:rPr>
                <w:rFonts w:ascii="Arial" w:hAnsi="Arial" w:cs="Arial"/>
                <w:lang w:val="en-PH"/>
              </w:rPr>
            </w:pPr>
          </w:p>
        </w:tc>
        <w:tc>
          <w:tcPr>
            <w:tcW w:w="0" w:type="auto"/>
            <w:tcBorders>
              <w:top w:val="single" w:sz="8" w:space="0" w:color="000000"/>
              <w:left w:val="single" w:sz="8" w:space="0" w:color="FFFFFF"/>
              <w:bottom w:val="single" w:sz="8" w:space="0" w:color="FFFFFF"/>
              <w:right w:val="single" w:sz="8" w:space="0" w:color="FFFFFF"/>
            </w:tcBorders>
            <w:hideMark/>
          </w:tcPr>
          <w:p w14:paraId="4DE963F5" w14:textId="77777777" w:rsidR="00142767" w:rsidRPr="00142767" w:rsidRDefault="00142767" w:rsidP="00FB3B25">
            <w:pPr>
              <w:pStyle w:val="Body"/>
              <w:jc w:val="center"/>
              <w:rPr>
                <w:rFonts w:ascii="Arial" w:hAnsi="Arial" w:cs="Arial"/>
                <w:lang w:val="en-PH"/>
              </w:rPr>
            </w:pPr>
            <w:proofErr w:type="spellStart"/>
            <w:r w:rsidRPr="00142767">
              <w:rPr>
                <w:rFonts w:ascii="Arial" w:hAnsi="Arial" w:cs="Arial"/>
                <w:lang w:val="en-PH"/>
              </w:rPr>
              <w:t>r-value</w:t>
            </w:r>
            <w:proofErr w:type="spellEnd"/>
            <w:r w:rsidRPr="00142767">
              <w:rPr>
                <w:rFonts w:ascii="Arial" w:hAnsi="Arial" w:cs="Arial"/>
                <w:lang w:val="en-PH"/>
              </w:rPr>
              <w:t xml:space="preserve"> (</w:t>
            </w:r>
            <w:proofErr w:type="spellStart"/>
            <w:r w:rsidRPr="00142767">
              <w:rPr>
                <w:rFonts w:ascii="Arial" w:hAnsi="Arial" w:cs="Arial"/>
                <w:i/>
                <w:iCs/>
                <w:lang w:val="en-PH"/>
              </w:rPr>
              <w:t>r</w:t>
            </w:r>
            <w:r w:rsidRPr="00142767">
              <w:rPr>
                <w:rFonts w:ascii="Arial" w:hAnsi="Arial" w:cs="Arial"/>
                <w:i/>
                <w:iCs/>
                <w:vertAlign w:val="subscript"/>
                <w:lang w:val="en-PH"/>
              </w:rPr>
              <w:t>s</w:t>
            </w:r>
            <w:proofErr w:type="spellEnd"/>
            <w:r w:rsidRPr="00142767">
              <w:rPr>
                <w:rFonts w:ascii="Arial" w:hAnsi="Arial" w:cs="Arial"/>
                <w:lang w:val="en-PH"/>
              </w:rPr>
              <w:t>)</w:t>
            </w:r>
          </w:p>
        </w:tc>
        <w:tc>
          <w:tcPr>
            <w:tcW w:w="0" w:type="auto"/>
            <w:tcBorders>
              <w:top w:val="single" w:sz="8" w:space="0" w:color="000000"/>
              <w:left w:val="single" w:sz="8" w:space="0" w:color="FFFFFF"/>
              <w:bottom w:val="single" w:sz="8" w:space="0" w:color="FFFFFF"/>
              <w:right w:val="single" w:sz="8" w:space="0" w:color="FFFFFF"/>
            </w:tcBorders>
            <w:hideMark/>
          </w:tcPr>
          <w:p w14:paraId="0DAC8321"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0E1F67B8" w14:textId="77777777" w:rsidTr="00FB3B25">
        <w:trPr>
          <w:trHeight w:val="261"/>
        </w:trPr>
        <w:tc>
          <w:tcPr>
            <w:tcW w:w="0" w:type="auto"/>
            <w:tcBorders>
              <w:top w:val="single" w:sz="8" w:space="0" w:color="000000"/>
              <w:left w:val="single" w:sz="8" w:space="0" w:color="FFFFFF"/>
              <w:bottom w:val="single" w:sz="8" w:space="0" w:color="000000"/>
              <w:right w:val="single" w:sz="8" w:space="0" w:color="FFFFFF"/>
            </w:tcBorders>
            <w:hideMark/>
          </w:tcPr>
          <w:p w14:paraId="63918586" w14:textId="77777777" w:rsidR="00142767" w:rsidRPr="00142767" w:rsidRDefault="00142767" w:rsidP="00142767">
            <w:pPr>
              <w:pStyle w:val="Body"/>
              <w:rPr>
                <w:rFonts w:ascii="Arial" w:hAnsi="Arial" w:cs="Arial"/>
                <w:lang w:val="en-PH"/>
              </w:rPr>
            </w:pPr>
            <w:r w:rsidRPr="00142767">
              <w:rPr>
                <w:rFonts w:ascii="Arial" w:hAnsi="Arial" w:cs="Arial"/>
                <w:lang w:val="en-PH"/>
              </w:rPr>
              <w:t>Knowledge</w:t>
            </w:r>
          </w:p>
        </w:tc>
        <w:tc>
          <w:tcPr>
            <w:tcW w:w="0" w:type="auto"/>
            <w:tcBorders>
              <w:top w:val="single" w:sz="8" w:space="0" w:color="FFFFFF"/>
              <w:left w:val="single" w:sz="8" w:space="0" w:color="FFFFFF"/>
              <w:bottom w:val="single" w:sz="8" w:space="0" w:color="000000"/>
              <w:right w:val="single" w:sz="8" w:space="0" w:color="FFFFFF"/>
            </w:tcBorders>
            <w:hideMark/>
          </w:tcPr>
          <w:p w14:paraId="60BC510D" w14:textId="4FB23B94" w:rsidR="00142767" w:rsidRPr="00142767" w:rsidRDefault="00142767" w:rsidP="00FB3B25">
            <w:pPr>
              <w:pStyle w:val="Body"/>
              <w:jc w:val="center"/>
              <w:rPr>
                <w:rFonts w:ascii="Arial" w:hAnsi="Arial" w:cs="Arial"/>
                <w:lang w:val="en-PH"/>
              </w:rPr>
            </w:pPr>
            <w:r w:rsidRPr="00142767">
              <w:rPr>
                <w:rFonts w:ascii="Arial" w:hAnsi="Arial" w:cs="Arial"/>
                <w:lang w:val="en-PH"/>
              </w:rPr>
              <w:t>– 0.045</w:t>
            </w:r>
          </w:p>
        </w:tc>
        <w:tc>
          <w:tcPr>
            <w:tcW w:w="0" w:type="auto"/>
            <w:tcBorders>
              <w:top w:val="single" w:sz="8" w:space="0" w:color="FFFFFF"/>
              <w:left w:val="single" w:sz="8" w:space="0" w:color="FFFFFF"/>
              <w:bottom w:val="single" w:sz="8" w:space="0" w:color="000000"/>
              <w:right w:val="single" w:sz="8" w:space="0" w:color="FFFFFF"/>
            </w:tcBorders>
            <w:hideMark/>
          </w:tcPr>
          <w:p w14:paraId="337E44BA"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0.397</w:t>
            </w:r>
          </w:p>
        </w:tc>
      </w:tr>
    </w:tbl>
    <w:p w14:paraId="65DAB0A5" w14:textId="77777777" w:rsidR="00142767" w:rsidRPr="00142767" w:rsidRDefault="00142767" w:rsidP="00142767">
      <w:pPr>
        <w:pStyle w:val="Body"/>
        <w:rPr>
          <w:rFonts w:ascii="Arial" w:hAnsi="Arial" w:cs="Arial"/>
          <w:lang w:val="en-PH"/>
        </w:rPr>
      </w:pPr>
      <w:r w:rsidRPr="00142767">
        <w:rPr>
          <w:rFonts w:ascii="Arial" w:hAnsi="Arial" w:cs="Arial"/>
          <w:i/>
          <w:iCs/>
          <w:lang w:val="en-PH"/>
        </w:rPr>
        <w:t>*Sig at 0.05</w:t>
      </w:r>
    </w:p>
    <w:p w14:paraId="11B789A1" w14:textId="77777777" w:rsidR="00142767" w:rsidRPr="00142767" w:rsidRDefault="00142767" w:rsidP="00142767">
      <w:pPr>
        <w:pStyle w:val="Body"/>
        <w:rPr>
          <w:rFonts w:ascii="Arial" w:hAnsi="Arial" w:cs="Arial"/>
          <w:lang w:val="en-PH"/>
        </w:rPr>
      </w:pPr>
      <w:r w:rsidRPr="00142767">
        <w:rPr>
          <w:rFonts w:ascii="Arial" w:hAnsi="Arial" w:cs="Arial"/>
          <w:b/>
          <w:bCs/>
          <w:lang w:val="en-PH"/>
        </w:rPr>
        <w:lastRenderedPageBreak/>
        <w:t>Table 7. Relationship between the level of attitude and extent of avoidance behavior regarding secondhand smoke exposure among household heads (n=361)</w:t>
      </w:r>
    </w:p>
    <w:tbl>
      <w:tblPr>
        <w:tblW w:w="8218" w:type="dxa"/>
        <w:tblCellMar>
          <w:top w:w="15" w:type="dxa"/>
          <w:left w:w="15" w:type="dxa"/>
          <w:bottom w:w="15" w:type="dxa"/>
          <w:right w:w="15" w:type="dxa"/>
        </w:tblCellMar>
        <w:tblLook w:val="04A0" w:firstRow="1" w:lastRow="0" w:firstColumn="1" w:lastColumn="0" w:noHBand="0" w:noVBand="1"/>
      </w:tblPr>
      <w:tblGrid>
        <w:gridCol w:w="2015"/>
        <w:gridCol w:w="2735"/>
        <w:gridCol w:w="3468"/>
      </w:tblGrid>
      <w:tr w:rsidR="00142767" w:rsidRPr="00142767" w14:paraId="0CCF7E53" w14:textId="77777777" w:rsidTr="00FB3B25">
        <w:trPr>
          <w:trHeight w:val="239"/>
        </w:trPr>
        <w:tc>
          <w:tcPr>
            <w:tcW w:w="0" w:type="auto"/>
            <w:tcBorders>
              <w:top w:val="single" w:sz="8" w:space="0" w:color="000000"/>
              <w:left w:val="single" w:sz="8" w:space="0" w:color="FFFFFF"/>
              <w:bottom w:val="single" w:sz="8" w:space="0" w:color="FFFFFF"/>
              <w:right w:val="single" w:sz="8" w:space="0" w:color="FFFFFF"/>
            </w:tcBorders>
            <w:hideMark/>
          </w:tcPr>
          <w:p w14:paraId="4927973E" w14:textId="77777777" w:rsidR="00142767" w:rsidRPr="00142767" w:rsidRDefault="00142767" w:rsidP="00142767">
            <w:pPr>
              <w:pStyle w:val="Body"/>
              <w:rPr>
                <w:rFonts w:ascii="Arial" w:hAnsi="Arial" w:cs="Arial"/>
                <w:lang w:val="en-PH"/>
              </w:rPr>
            </w:pPr>
          </w:p>
        </w:tc>
        <w:tc>
          <w:tcPr>
            <w:tcW w:w="0" w:type="auto"/>
            <w:gridSpan w:val="2"/>
            <w:tcBorders>
              <w:top w:val="single" w:sz="8" w:space="0" w:color="000000"/>
              <w:left w:val="single" w:sz="8" w:space="0" w:color="FFFFFF"/>
              <w:bottom w:val="single" w:sz="8" w:space="0" w:color="000000"/>
              <w:right w:val="single" w:sz="8" w:space="0" w:color="FFFFFF"/>
            </w:tcBorders>
            <w:hideMark/>
          </w:tcPr>
          <w:p w14:paraId="0EE1F061"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Avoidance</w:t>
            </w:r>
          </w:p>
        </w:tc>
      </w:tr>
      <w:tr w:rsidR="00142767" w:rsidRPr="00142767" w14:paraId="3A6F64E4" w14:textId="77777777" w:rsidTr="00FB3B25">
        <w:trPr>
          <w:trHeight w:val="239"/>
        </w:trPr>
        <w:tc>
          <w:tcPr>
            <w:tcW w:w="0" w:type="auto"/>
            <w:tcBorders>
              <w:top w:val="single" w:sz="8" w:space="0" w:color="FFFFFF"/>
              <w:left w:val="single" w:sz="8" w:space="0" w:color="FFFFFF"/>
              <w:bottom w:val="single" w:sz="8" w:space="0" w:color="000000"/>
              <w:right w:val="single" w:sz="8" w:space="0" w:color="FFFFFF"/>
            </w:tcBorders>
            <w:hideMark/>
          </w:tcPr>
          <w:p w14:paraId="0F2DFBC4" w14:textId="77777777" w:rsidR="00142767" w:rsidRPr="00142767" w:rsidRDefault="00142767" w:rsidP="00142767">
            <w:pPr>
              <w:pStyle w:val="Body"/>
              <w:rPr>
                <w:rFonts w:ascii="Arial" w:hAnsi="Arial" w:cs="Arial"/>
                <w:lang w:val="en-PH"/>
              </w:rPr>
            </w:pPr>
          </w:p>
        </w:tc>
        <w:tc>
          <w:tcPr>
            <w:tcW w:w="0" w:type="auto"/>
            <w:tcBorders>
              <w:top w:val="single" w:sz="8" w:space="0" w:color="000000"/>
              <w:left w:val="single" w:sz="8" w:space="0" w:color="FFFFFF"/>
              <w:bottom w:val="single" w:sz="8" w:space="0" w:color="FFFFFF"/>
              <w:right w:val="single" w:sz="8" w:space="0" w:color="FFFFFF"/>
            </w:tcBorders>
            <w:hideMark/>
          </w:tcPr>
          <w:p w14:paraId="722037DC" w14:textId="77777777" w:rsidR="00142767" w:rsidRPr="00142767" w:rsidRDefault="00142767" w:rsidP="00FB3B25">
            <w:pPr>
              <w:pStyle w:val="Body"/>
              <w:jc w:val="center"/>
              <w:rPr>
                <w:rFonts w:ascii="Arial" w:hAnsi="Arial" w:cs="Arial"/>
                <w:lang w:val="en-PH"/>
              </w:rPr>
            </w:pPr>
            <w:proofErr w:type="spellStart"/>
            <w:r w:rsidRPr="00142767">
              <w:rPr>
                <w:rFonts w:ascii="Arial" w:hAnsi="Arial" w:cs="Arial"/>
                <w:lang w:val="en-PH"/>
              </w:rPr>
              <w:t>r-value</w:t>
            </w:r>
            <w:proofErr w:type="spellEnd"/>
            <w:r w:rsidRPr="00142767">
              <w:rPr>
                <w:rFonts w:ascii="Arial" w:hAnsi="Arial" w:cs="Arial"/>
                <w:lang w:val="en-PH"/>
              </w:rPr>
              <w:t xml:space="preserve"> (</w:t>
            </w:r>
            <w:proofErr w:type="spellStart"/>
            <w:r w:rsidRPr="00142767">
              <w:rPr>
                <w:rFonts w:ascii="Arial" w:hAnsi="Arial" w:cs="Arial"/>
                <w:i/>
                <w:iCs/>
                <w:lang w:val="en-PH"/>
              </w:rPr>
              <w:t>r</w:t>
            </w:r>
            <w:r w:rsidRPr="00142767">
              <w:rPr>
                <w:rFonts w:ascii="Arial" w:hAnsi="Arial" w:cs="Arial"/>
                <w:i/>
                <w:iCs/>
                <w:vertAlign w:val="subscript"/>
                <w:lang w:val="en-PH"/>
              </w:rPr>
              <w:t>s</w:t>
            </w:r>
            <w:proofErr w:type="spellEnd"/>
            <w:r w:rsidRPr="00142767">
              <w:rPr>
                <w:rFonts w:ascii="Arial" w:hAnsi="Arial" w:cs="Arial"/>
                <w:lang w:val="en-PH"/>
              </w:rPr>
              <w:t>)</w:t>
            </w:r>
          </w:p>
        </w:tc>
        <w:tc>
          <w:tcPr>
            <w:tcW w:w="0" w:type="auto"/>
            <w:tcBorders>
              <w:top w:val="single" w:sz="4" w:space="0" w:color="000000"/>
              <w:left w:val="single" w:sz="8" w:space="0" w:color="FFFFFF"/>
              <w:bottom w:val="single" w:sz="8" w:space="0" w:color="FFFFFF"/>
              <w:right w:val="single" w:sz="8" w:space="0" w:color="FFFFFF"/>
            </w:tcBorders>
            <w:hideMark/>
          </w:tcPr>
          <w:p w14:paraId="590BF2D3"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Sig. (2-tailed)</w:t>
            </w:r>
          </w:p>
        </w:tc>
      </w:tr>
      <w:tr w:rsidR="00142767" w:rsidRPr="00142767" w14:paraId="58BF555F" w14:textId="77777777" w:rsidTr="00FB3B25">
        <w:trPr>
          <w:trHeight w:val="239"/>
        </w:trPr>
        <w:tc>
          <w:tcPr>
            <w:tcW w:w="0" w:type="auto"/>
            <w:tcBorders>
              <w:top w:val="single" w:sz="8" w:space="0" w:color="000000"/>
              <w:left w:val="single" w:sz="8" w:space="0" w:color="FFFFFF"/>
              <w:bottom w:val="single" w:sz="8" w:space="0" w:color="000000"/>
              <w:right w:val="single" w:sz="8" w:space="0" w:color="FFFFFF"/>
            </w:tcBorders>
            <w:hideMark/>
          </w:tcPr>
          <w:p w14:paraId="5E7E494E" w14:textId="77777777" w:rsidR="00142767" w:rsidRPr="00142767" w:rsidRDefault="00142767" w:rsidP="00142767">
            <w:pPr>
              <w:pStyle w:val="Body"/>
              <w:rPr>
                <w:rFonts w:ascii="Arial" w:hAnsi="Arial" w:cs="Arial"/>
                <w:lang w:val="en-PH"/>
              </w:rPr>
            </w:pPr>
            <w:r w:rsidRPr="00142767">
              <w:rPr>
                <w:rFonts w:ascii="Arial" w:hAnsi="Arial" w:cs="Arial"/>
                <w:lang w:val="en-PH"/>
              </w:rPr>
              <w:t>Attitude</w:t>
            </w:r>
          </w:p>
        </w:tc>
        <w:tc>
          <w:tcPr>
            <w:tcW w:w="0" w:type="auto"/>
            <w:tcBorders>
              <w:top w:val="single" w:sz="8" w:space="0" w:color="FFFFFF"/>
              <w:left w:val="single" w:sz="8" w:space="0" w:color="FFFFFF"/>
              <w:bottom w:val="single" w:sz="8" w:space="0" w:color="000000"/>
              <w:right w:val="single" w:sz="8" w:space="0" w:color="FFFFFF"/>
            </w:tcBorders>
            <w:hideMark/>
          </w:tcPr>
          <w:p w14:paraId="2DCF244E" w14:textId="2DA52FFD" w:rsidR="00142767" w:rsidRPr="00142767" w:rsidRDefault="00142767" w:rsidP="00FB3B25">
            <w:pPr>
              <w:pStyle w:val="Body"/>
              <w:jc w:val="center"/>
              <w:rPr>
                <w:rFonts w:ascii="Arial" w:hAnsi="Arial" w:cs="Arial"/>
                <w:lang w:val="en-PH"/>
              </w:rPr>
            </w:pPr>
            <w:r w:rsidRPr="00142767">
              <w:rPr>
                <w:rFonts w:ascii="Arial" w:hAnsi="Arial" w:cs="Arial"/>
                <w:lang w:val="en-PH"/>
              </w:rPr>
              <w:t>0.398***</w:t>
            </w:r>
          </w:p>
        </w:tc>
        <w:tc>
          <w:tcPr>
            <w:tcW w:w="0" w:type="auto"/>
            <w:tcBorders>
              <w:top w:val="single" w:sz="8" w:space="0" w:color="FFFFFF"/>
              <w:left w:val="single" w:sz="8" w:space="0" w:color="FFFFFF"/>
              <w:bottom w:val="single" w:sz="8" w:space="0" w:color="000000"/>
              <w:right w:val="single" w:sz="8" w:space="0" w:color="FFFFFF"/>
            </w:tcBorders>
            <w:hideMark/>
          </w:tcPr>
          <w:p w14:paraId="7EB09E8C" w14:textId="77777777" w:rsidR="00142767" w:rsidRPr="00142767" w:rsidRDefault="00142767" w:rsidP="00FB3B25">
            <w:pPr>
              <w:pStyle w:val="Body"/>
              <w:jc w:val="center"/>
              <w:rPr>
                <w:rFonts w:ascii="Arial" w:hAnsi="Arial" w:cs="Arial"/>
                <w:lang w:val="en-PH"/>
              </w:rPr>
            </w:pPr>
            <w:r w:rsidRPr="00142767">
              <w:rPr>
                <w:rFonts w:ascii="Arial" w:hAnsi="Arial" w:cs="Arial"/>
                <w:lang w:val="en-PH"/>
              </w:rPr>
              <w:t>&lt; 0.001</w:t>
            </w:r>
          </w:p>
        </w:tc>
      </w:tr>
    </w:tbl>
    <w:p w14:paraId="39E23AC3" w14:textId="35F4F2CE" w:rsidR="00790ADA" w:rsidRPr="00FB3B25" w:rsidRDefault="00142767" w:rsidP="00FB3B25">
      <w:pPr>
        <w:pStyle w:val="Body"/>
        <w:rPr>
          <w:rFonts w:ascii="Arial" w:hAnsi="Arial" w:cs="Arial"/>
          <w:lang w:val="en-PH"/>
        </w:rPr>
      </w:pPr>
      <w:r w:rsidRPr="00142767">
        <w:rPr>
          <w:rFonts w:ascii="Arial" w:hAnsi="Arial" w:cs="Arial"/>
          <w:i/>
          <w:iCs/>
          <w:lang w:val="en-PH"/>
        </w:rPr>
        <w:t>*Sig at 0.05</w:t>
      </w:r>
    </w:p>
    <w:p w14:paraId="36F52761" w14:textId="77777777" w:rsidR="00B01FCD" w:rsidRDefault="00000F8F" w:rsidP="00441B6F">
      <w:pPr>
        <w:pStyle w:val="ConcHead"/>
        <w:spacing w:after="0"/>
        <w:jc w:val="both"/>
        <w:rPr>
          <w:rFonts w:ascii="Arial" w:hAnsi="Arial" w:cs="Arial"/>
        </w:rPr>
      </w:pPr>
      <w:commentRangeStart w:id="6"/>
      <w:r>
        <w:rPr>
          <w:rFonts w:ascii="Arial" w:hAnsi="Arial" w:cs="Arial"/>
        </w:rPr>
        <w:t xml:space="preserve">4. </w:t>
      </w:r>
      <w:r w:rsidR="00B01FCD" w:rsidRPr="00FB3A86">
        <w:rPr>
          <w:rFonts w:ascii="Arial" w:hAnsi="Arial" w:cs="Arial"/>
        </w:rPr>
        <w:t>Conclusion</w:t>
      </w:r>
      <w:commentRangeEnd w:id="6"/>
      <w:r w:rsidR="00952F1C">
        <w:rPr>
          <w:rStyle w:val="CommentReference"/>
          <w:rFonts w:ascii="Times New Roman" w:hAnsi="Times New Roman"/>
          <w:b w:val="0"/>
          <w:caps w:val="0"/>
          <w:lang w:val="nb-NO" w:eastAsia="nb-NO"/>
        </w:rPr>
        <w:commentReference w:id="6"/>
      </w:r>
    </w:p>
    <w:p w14:paraId="75F47439" w14:textId="77777777" w:rsidR="00790ADA" w:rsidRPr="00FB3A86" w:rsidRDefault="00790ADA" w:rsidP="00441B6F">
      <w:pPr>
        <w:pStyle w:val="ConcHead"/>
        <w:spacing w:after="0"/>
        <w:jc w:val="both"/>
        <w:rPr>
          <w:rFonts w:ascii="Arial" w:hAnsi="Arial" w:cs="Arial"/>
        </w:rPr>
      </w:pPr>
    </w:p>
    <w:p w14:paraId="71E30C67" w14:textId="77777777" w:rsidR="00FB3B25" w:rsidRPr="00FB3B25" w:rsidRDefault="00FB3B25" w:rsidP="00FB3B25">
      <w:pPr>
        <w:pStyle w:val="Body"/>
        <w:spacing w:after="0"/>
        <w:rPr>
          <w:rFonts w:ascii="Arial" w:hAnsi="Arial" w:cs="Arial"/>
          <w:lang w:val="en-PH"/>
        </w:rPr>
      </w:pPr>
      <w:r w:rsidRPr="00FB3B25">
        <w:rPr>
          <w:rFonts w:ascii="Arial" w:hAnsi="Arial" w:cs="Arial"/>
          <w:lang w:val="en-PH"/>
        </w:rPr>
        <w:t>Major findings revealed that the majority of the respondents were female, aged 18–25, generally had college-level education. Most of the smokers were neighbors of the respondents. </w:t>
      </w:r>
    </w:p>
    <w:p w14:paraId="2D2D9461" w14:textId="77777777" w:rsidR="00FB3B25" w:rsidRDefault="00FB3B25" w:rsidP="00FB3B25">
      <w:pPr>
        <w:pStyle w:val="Body"/>
        <w:spacing w:after="0"/>
        <w:rPr>
          <w:rFonts w:ascii="Arial" w:hAnsi="Arial" w:cs="Arial"/>
          <w:lang w:val="en-PH"/>
        </w:rPr>
      </w:pPr>
    </w:p>
    <w:p w14:paraId="2E5FACFA" w14:textId="0DB9D503" w:rsidR="00FB3B25" w:rsidRPr="00FB3B25" w:rsidRDefault="00FB3B25" w:rsidP="00FB3B25">
      <w:pPr>
        <w:pStyle w:val="Body"/>
        <w:spacing w:after="0"/>
        <w:rPr>
          <w:rFonts w:ascii="Arial" w:hAnsi="Arial" w:cs="Arial"/>
          <w:lang w:val="en-PH"/>
        </w:rPr>
      </w:pPr>
      <w:r w:rsidRPr="00FB3B25">
        <w:rPr>
          <w:rFonts w:ascii="Arial" w:hAnsi="Arial" w:cs="Arial"/>
          <w:lang w:val="en-PH"/>
        </w:rPr>
        <w:t>In terms of the level of knowledge, most respondents answered the majority of the knowledge items correctly, especially regarding its health risks and impact on children, although fewer were able to accurately identify details related to its composition and specific sources of exposure. Similarly, the majority of respondents agreed or strongly agreed with statements supporting preventive measures against secondhand smoke exposure attitude toward preventing secondhand smoke exposure, expressing strong support for protecting children, prohibiting cigarette sales to minors, enforcing public smoking bans, and practicing personal avoidance behaviors. Meanwhile, respondents demonstrated avoidance behaviors to a certain extent, actively practicing situational and personal avoidance behaviors but showing limited avoidance in settings with limited control and moderate tolerance in certain social and private situations. </w:t>
      </w:r>
    </w:p>
    <w:p w14:paraId="2DB7CC3A" w14:textId="77777777" w:rsidR="00FB3B25" w:rsidRDefault="00FB3B25" w:rsidP="00FB3B25">
      <w:pPr>
        <w:pStyle w:val="Body"/>
        <w:spacing w:after="0"/>
        <w:rPr>
          <w:rFonts w:ascii="Arial" w:hAnsi="Arial" w:cs="Arial"/>
          <w:lang w:val="en-PH"/>
        </w:rPr>
      </w:pPr>
    </w:p>
    <w:p w14:paraId="277BB97B" w14:textId="7AD08CD5" w:rsidR="00FB3B25" w:rsidRPr="00FB3B25" w:rsidRDefault="00FB3B25" w:rsidP="00FB3B25">
      <w:pPr>
        <w:pStyle w:val="Body"/>
        <w:spacing w:after="0"/>
        <w:rPr>
          <w:rFonts w:ascii="Arial" w:hAnsi="Arial" w:cs="Arial"/>
          <w:lang w:val="en-PH"/>
        </w:rPr>
      </w:pPr>
      <w:r w:rsidRPr="00FB3B25">
        <w:rPr>
          <w:rFonts w:ascii="Arial" w:hAnsi="Arial" w:cs="Arial"/>
          <w:lang w:val="en-PH"/>
        </w:rPr>
        <w:t>Certainly, the inferential analysis revealed a significant but very weak positive correlation between knowledge and attitude, no significant relationship between knowledge and avoidance, and a significant weak positive correlation between attitude and avoidance, indicating that while greater knowledge is associated with more favorable attitudes, only supportive attitudes and not knowledge alone are linked to increased avoidance of secondhand smoke exposure.</w:t>
      </w:r>
    </w:p>
    <w:p w14:paraId="47C42A5F" w14:textId="77777777" w:rsidR="00790ADA" w:rsidRPr="00FB3A86" w:rsidRDefault="00790ADA" w:rsidP="00441B6F">
      <w:pPr>
        <w:pStyle w:val="Body"/>
        <w:spacing w:after="0"/>
        <w:rPr>
          <w:rFonts w:ascii="Arial" w:hAnsi="Arial" w:cs="Arial"/>
        </w:rPr>
      </w:pPr>
    </w:p>
    <w:p w14:paraId="197BB831" w14:textId="77777777" w:rsidR="00FB3B25" w:rsidRDefault="00FB3B25" w:rsidP="00441B6F">
      <w:pPr>
        <w:pStyle w:val="ReferHead"/>
        <w:spacing w:after="0"/>
        <w:jc w:val="both"/>
        <w:rPr>
          <w:rFonts w:ascii="Arial" w:hAnsi="Arial" w:cs="Arial"/>
        </w:rPr>
      </w:pPr>
    </w:p>
    <w:p w14:paraId="034D35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136D0D" w14:textId="77777777" w:rsidR="00790ADA" w:rsidRPr="00FB3A86" w:rsidRDefault="00790ADA" w:rsidP="00441B6F">
      <w:pPr>
        <w:pStyle w:val="ReferHead"/>
        <w:spacing w:after="0"/>
        <w:jc w:val="both"/>
        <w:rPr>
          <w:rFonts w:ascii="Arial" w:hAnsi="Arial" w:cs="Arial"/>
        </w:rPr>
      </w:pPr>
    </w:p>
    <w:p w14:paraId="11C2B75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Arikrishnan, K., Sarveswaran, G., Krishnamoorthy, Y., Sakthivel, M., Majella, M. G., &amp; Lakshminarayanan, S. (2020). Prevalence and factors related to second-hand smoking exposure, knowledge and response among adolescents in rural Puducherry. </w:t>
      </w:r>
      <w:r w:rsidRPr="00FB3B25">
        <w:rPr>
          <w:rFonts w:ascii="Arial" w:hAnsi="Arial" w:cs="Arial"/>
          <w:i/>
          <w:iCs/>
          <w:lang w:val="en-PH"/>
        </w:rPr>
        <w:t>International Journal of Adolescent Medicine and Health</w:t>
      </w:r>
      <w:r w:rsidRPr="00FB3B25">
        <w:rPr>
          <w:rFonts w:ascii="Arial" w:hAnsi="Arial" w:cs="Arial"/>
          <w:lang w:val="en-PH"/>
        </w:rPr>
        <w:t>.</w:t>
      </w:r>
      <w:hyperlink r:id="rId18" w:history="1">
        <w:r w:rsidRPr="00FB3B25">
          <w:rPr>
            <w:rStyle w:val="Hyperlink"/>
            <w:rFonts w:ascii="Arial" w:hAnsi="Arial" w:cs="Arial"/>
            <w:color w:val="auto"/>
            <w:lang w:val="en-PH"/>
          </w:rPr>
          <w:t xml:space="preserve"> https://doi.org/10.1515/ijamh-2019-0014</w:t>
        </w:r>
      </w:hyperlink>
    </w:p>
    <w:p w14:paraId="76000DE5"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Boey, C. P. H., Quaye, S. E. D., Cook, A. R., Seow, W. J., &amp; van der Eijk, Y. (2022). Secondhand smoke in the densely populated urban setting: A cross-sectional survey of exposure, knowledge, attitudes, and respiratory symptoms. </w:t>
      </w:r>
      <w:r w:rsidRPr="00FB3B25">
        <w:rPr>
          <w:rFonts w:ascii="Arial" w:hAnsi="Arial" w:cs="Arial"/>
          <w:i/>
          <w:iCs/>
          <w:lang w:val="en-PH"/>
        </w:rPr>
        <w:t>Indoor Air, 32</w:t>
      </w:r>
      <w:r w:rsidRPr="00FB3B25">
        <w:rPr>
          <w:rFonts w:ascii="Arial" w:hAnsi="Arial" w:cs="Arial"/>
          <w:lang w:val="en-PH"/>
        </w:rPr>
        <w:t>(6).</w:t>
      </w:r>
      <w:hyperlink r:id="rId19" w:history="1">
        <w:r w:rsidRPr="00FB3B25">
          <w:rPr>
            <w:rStyle w:val="Hyperlink"/>
            <w:rFonts w:ascii="Arial" w:hAnsi="Arial" w:cs="Arial"/>
            <w:color w:val="auto"/>
            <w:lang w:val="en-PH"/>
          </w:rPr>
          <w:t xml:space="preserve"> https://doi.org/10.1111/ina.13069</w:t>
        </w:r>
      </w:hyperlink>
    </w:p>
    <w:p w14:paraId="7B21F81C" w14:textId="77777777" w:rsidR="00FB3B25" w:rsidRPr="00FB3B25" w:rsidRDefault="00FB3B25" w:rsidP="00FB3B25">
      <w:pPr>
        <w:pStyle w:val="Body"/>
        <w:rPr>
          <w:rFonts w:ascii="Arial" w:hAnsi="Arial" w:cs="Arial"/>
          <w:lang w:val="en-PH"/>
        </w:rPr>
      </w:pPr>
      <w:proofErr w:type="spellStart"/>
      <w:r w:rsidRPr="00FB3B25">
        <w:rPr>
          <w:rFonts w:ascii="Arial" w:hAnsi="Arial" w:cs="Arial"/>
          <w:lang w:val="en-PH"/>
        </w:rPr>
        <w:t>Clarete</w:t>
      </w:r>
      <w:proofErr w:type="spellEnd"/>
      <w:r w:rsidRPr="00FB3B25">
        <w:rPr>
          <w:rFonts w:ascii="Arial" w:hAnsi="Arial" w:cs="Arial"/>
          <w:lang w:val="en-PH"/>
        </w:rPr>
        <w:t xml:space="preserve">, P. M. D., Mondejar, M. A. D., </w:t>
      </w:r>
      <w:proofErr w:type="spellStart"/>
      <w:r w:rsidRPr="00FB3B25">
        <w:rPr>
          <w:rFonts w:ascii="Arial" w:hAnsi="Arial" w:cs="Arial"/>
          <w:lang w:val="en-PH"/>
        </w:rPr>
        <w:t>Quimba</w:t>
      </w:r>
      <w:proofErr w:type="spellEnd"/>
      <w:r w:rsidRPr="00FB3B25">
        <w:rPr>
          <w:rFonts w:ascii="Arial" w:hAnsi="Arial" w:cs="Arial"/>
          <w:lang w:val="en-PH"/>
        </w:rPr>
        <w:t xml:space="preserve">, N. R. L., &amp; Carlos, J. G. (2023). A Descriptive-Correlational Study on Personality Traits and Entrepreneurial Intentions of Senior High School </w:t>
      </w:r>
      <w:r w:rsidRPr="00FB3B25">
        <w:rPr>
          <w:rFonts w:ascii="Arial" w:hAnsi="Arial" w:cs="Arial"/>
          <w:lang w:val="en-PH"/>
        </w:rPr>
        <w:lastRenderedPageBreak/>
        <w:t xml:space="preserve">Learners. </w:t>
      </w:r>
      <w:r w:rsidRPr="00FB3B25">
        <w:rPr>
          <w:rFonts w:ascii="Arial" w:hAnsi="Arial" w:cs="Arial"/>
          <w:i/>
          <w:iCs/>
          <w:lang w:val="en-PH"/>
        </w:rPr>
        <w:t>International Journal of Multidisciplinary: Applied Business and Education Research</w:t>
      </w:r>
      <w:r w:rsidRPr="00FB3B25">
        <w:rPr>
          <w:rFonts w:ascii="Arial" w:hAnsi="Arial" w:cs="Arial"/>
          <w:lang w:val="en-PH"/>
        </w:rPr>
        <w:t>, 4(12), 4460–4472. https://doi.org/10.11594/ijmaber.04.12.22</w:t>
      </w:r>
    </w:p>
    <w:p w14:paraId="613835FE"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Department of Health. (2021). </w:t>
      </w:r>
      <w:r w:rsidRPr="00FB3B25">
        <w:rPr>
          <w:rFonts w:ascii="Arial" w:hAnsi="Arial" w:cs="Arial"/>
          <w:i/>
          <w:iCs/>
          <w:lang w:val="en-PH"/>
        </w:rPr>
        <w:t>Tobacco control program: Situational analysis</w:t>
      </w:r>
      <w:r w:rsidRPr="00FB3B25">
        <w:rPr>
          <w:rFonts w:ascii="Arial" w:hAnsi="Arial" w:cs="Arial"/>
          <w:lang w:val="en-PH"/>
        </w:rPr>
        <w:t>.</w:t>
      </w:r>
      <w:hyperlink r:id="rId20" w:history="1">
        <w:r w:rsidRPr="00FB3B25">
          <w:rPr>
            <w:rStyle w:val="Hyperlink"/>
            <w:rFonts w:ascii="Arial" w:hAnsi="Arial" w:cs="Arial"/>
            <w:color w:val="auto"/>
            <w:lang w:val="en-PH"/>
          </w:rPr>
          <w:t xml:space="preserve"> https://caro.doh.gov.ph/tobacco-control-program-situational-analysis</w:t>
        </w:r>
      </w:hyperlink>
    </w:p>
    <w:p w14:paraId="447C39CC"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Department of Health. (2023). </w:t>
      </w:r>
      <w:r w:rsidRPr="00FB3B25">
        <w:rPr>
          <w:rFonts w:ascii="Arial" w:hAnsi="Arial" w:cs="Arial"/>
          <w:i/>
          <w:iCs/>
          <w:lang w:val="en-PH"/>
        </w:rPr>
        <w:t>Philippine national objectives for health 2023–2028</w:t>
      </w:r>
      <w:r w:rsidRPr="00FB3B25">
        <w:rPr>
          <w:rFonts w:ascii="Arial" w:hAnsi="Arial" w:cs="Arial"/>
          <w:lang w:val="en-PH"/>
        </w:rPr>
        <w:t>.</w:t>
      </w:r>
      <w:hyperlink r:id="rId21" w:history="1">
        <w:r w:rsidRPr="00FB3B25">
          <w:rPr>
            <w:rStyle w:val="Hyperlink"/>
            <w:rFonts w:ascii="Arial" w:hAnsi="Arial" w:cs="Arial"/>
            <w:color w:val="auto"/>
            <w:lang w:val="en-PH"/>
          </w:rPr>
          <w:t xml:space="preserve"> https://thepafp.org/wp-content/uploads/2025/07/National-Objectives-for-Health-2023-2028.pdf</w:t>
        </w:r>
      </w:hyperlink>
    </w:p>
    <w:p w14:paraId="6CC22FDB" w14:textId="77777777" w:rsidR="00FB3B25" w:rsidRPr="00FB3B25" w:rsidRDefault="00FB3B25" w:rsidP="00FB3B25">
      <w:pPr>
        <w:pStyle w:val="Body"/>
        <w:rPr>
          <w:rFonts w:ascii="Arial" w:hAnsi="Arial" w:cs="Arial"/>
          <w:lang w:val="en-PH"/>
        </w:rPr>
      </w:pPr>
      <w:proofErr w:type="spellStart"/>
      <w:r w:rsidRPr="00FB3B25">
        <w:rPr>
          <w:rFonts w:ascii="Arial" w:hAnsi="Arial" w:cs="Arial"/>
          <w:lang w:val="en-PH"/>
        </w:rPr>
        <w:t>Derikvand</w:t>
      </w:r>
      <w:proofErr w:type="spellEnd"/>
      <w:r w:rsidRPr="00FB3B25">
        <w:rPr>
          <w:rFonts w:ascii="Arial" w:hAnsi="Arial" w:cs="Arial"/>
          <w:lang w:val="en-PH"/>
        </w:rPr>
        <w:t xml:space="preserve">, A., Taherkhani, A., </w:t>
      </w:r>
      <w:proofErr w:type="spellStart"/>
      <w:r w:rsidRPr="00FB3B25">
        <w:rPr>
          <w:rFonts w:ascii="Arial" w:hAnsi="Arial" w:cs="Arial"/>
          <w:lang w:val="en-PH"/>
        </w:rPr>
        <w:t>Hassanvand</w:t>
      </w:r>
      <w:proofErr w:type="spellEnd"/>
      <w:r w:rsidRPr="00FB3B25">
        <w:rPr>
          <w:rFonts w:ascii="Arial" w:hAnsi="Arial" w:cs="Arial"/>
          <w:lang w:val="en-PH"/>
        </w:rPr>
        <w:t xml:space="preserve">, M. S., Naddafi, K., Nabizadeh, R., </w:t>
      </w:r>
      <w:proofErr w:type="spellStart"/>
      <w:r w:rsidRPr="00FB3B25">
        <w:rPr>
          <w:rFonts w:ascii="Arial" w:hAnsi="Arial" w:cs="Arial"/>
          <w:lang w:val="en-PH"/>
        </w:rPr>
        <w:t>Shamsipour</w:t>
      </w:r>
      <w:proofErr w:type="spellEnd"/>
      <w:r w:rsidRPr="00FB3B25">
        <w:rPr>
          <w:rFonts w:ascii="Arial" w:hAnsi="Arial" w:cs="Arial"/>
          <w:lang w:val="en-PH"/>
        </w:rPr>
        <w:t xml:space="preserve">, M., Niazi, S., Heidari, M., Mokammel, A., &amp; Faridi, S. (2023). Indoor air quality in the most crowded public places of Tehran: An inhalation health risk assessment. </w:t>
      </w:r>
      <w:r w:rsidRPr="00FB3B25">
        <w:rPr>
          <w:rFonts w:ascii="Arial" w:hAnsi="Arial" w:cs="Arial"/>
          <w:i/>
          <w:iCs/>
          <w:lang w:val="en-PH"/>
        </w:rPr>
        <w:t>Atmosphere, 14</w:t>
      </w:r>
      <w:r w:rsidRPr="00FB3B25">
        <w:rPr>
          <w:rFonts w:ascii="Arial" w:hAnsi="Arial" w:cs="Arial"/>
          <w:lang w:val="en-PH"/>
        </w:rPr>
        <w:t>(7), 1080.</w:t>
      </w:r>
      <w:hyperlink r:id="rId22" w:history="1">
        <w:r w:rsidRPr="00FB3B25">
          <w:rPr>
            <w:rStyle w:val="Hyperlink"/>
            <w:rFonts w:ascii="Arial" w:hAnsi="Arial" w:cs="Arial"/>
            <w:color w:val="auto"/>
            <w:lang w:val="en-PH"/>
          </w:rPr>
          <w:t xml:space="preserve"> https://doi.org/10.3390/atmos14071080</w:t>
        </w:r>
      </w:hyperlink>
    </w:p>
    <w:p w14:paraId="70B2E23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Global Adult Tobacco Survey, &amp; Centers for Disease Control and Prevention. (2015). </w:t>
      </w:r>
      <w:r w:rsidRPr="00FB3B25">
        <w:rPr>
          <w:rFonts w:ascii="Arial" w:hAnsi="Arial" w:cs="Arial"/>
          <w:i/>
          <w:iCs/>
          <w:lang w:val="en-PH"/>
        </w:rPr>
        <w:t>Global adult tobacco survey: Philippines country report 2015</w:t>
      </w:r>
      <w:r w:rsidRPr="00FB3B25">
        <w:rPr>
          <w:rFonts w:ascii="Arial" w:hAnsi="Arial" w:cs="Arial"/>
          <w:lang w:val="en-PH"/>
        </w:rPr>
        <w:t>.</w:t>
      </w:r>
      <w:hyperlink r:id="rId23" w:history="1">
        <w:r w:rsidRPr="00FB3B25">
          <w:rPr>
            <w:rStyle w:val="Hyperlink"/>
            <w:rFonts w:ascii="Arial" w:hAnsi="Arial" w:cs="Arial"/>
            <w:color w:val="auto"/>
            <w:lang w:val="en-PH"/>
          </w:rPr>
          <w:t xml:space="preserve"> https://cdn.who.int/media/docs/default-source/ncds/ncd-surveillance/data-reporting/philippines/gats/phl-country-report-2015-gats.pdf</w:t>
        </w:r>
      </w:hyperlink>
    </w:p>
    <w:p w14:paraId="199D22FD" w14:textId="77777777" w:rsidR="00FB3B25" w:rsidRPr="00FB3B25" w:rsidRDefault="00FB3B25" w:rsidP="00FB3B25">
      <w:pPr>
        <w:pStyle w:val="Body"/>
        <w:rPr>
          <w:rFonts w:ascii="Arial" w:hAnsi="Arial" w:cs="Arial"/>
          <w:lang w:val="en-PH"/>
        </w:rPr>
      </w:pPr>
      <w:proofErr w:type="spellStart"/>
      <w:r w:rsidRPr="00FB3B25">
        <w:rPr>
          <w:rFonts w:ascii="Arial" w:hAnsi="Arial" w:cs="Arial"/>
          <w:lang w:val="en-PH"/>
        </w:rPr>
        <w:t>Gharaibeh</w:t>
      </w:r>
      <w:proofErr w:type="spellEnd"/>
      <w:r w:rsidRPr="00FB3B25">
        <w:rPr>
          <w:rFonts w:ascii="Arial" w:hAnsi="Arial" w:cs="Arial"/>
          <w:lang w:val="en-PH"/>
        </w:rPr>
        <w:t xml:space="preserve">, H., Haddad, L., </w:t>
      </w:r>
      <w:proofErr w:type="spellStart"/>
      <w:r w:rsidRPr="00FB3B25">
        <w:rPr>
          <w:rFonts w:ascii="Arial" w:hAnsi="Arial" w:cs="Arial"/>
          <w:lang w:val="en-PH"/>
        </w:rPr>
        <w:t>Alzyoud</w:t>
      </w:r>
      <w:proofErr w:type="spellEnd"/>
      <w:r w:rsidRPr="00FB3B25">
        <w:rPr>
          <w:rFonts w:ascii="Arial" w:hAnsi="Arial" w:cs="Arial"/>
          <w:lang w:val="en-PH"/>
        </w:rPr>
        <w:t>, S., El-</w:t>
      </w:r>
      <w:proofErr w:type="spellStart"/>
      <w:r w:rsidRPr="00FB3B25">
        <w:rPr>
          <w:rFonts w:ascii="Arial" w:hAnsi="Arial" w:cs="Arial"/>
          <w:lang w:val="en-PH"/>
        </w:rPr>
        <w:t>Shahawy</w:t>
      </w:r>
      <w:proofErr w:type="spellEnd"/>
      <w:r w:rsidRPr="00FB3B25">
        <w:rPr>
          <w:rFonts w:ascii="Arial" w:hAnsi="Arial" w:cs="Arial"/>
          <w:lang w:val="en-PH"/>
        </w:rPr>
        <w:t xml:space="preserve">, O., Baker, N. A., &amp; Umlauf, M. (2011). Knowledge, attitudes, and behavior in avoiding secondhand smoke exposure among non-smoking employed women with higher education in Jordan. </w:t>
      </w:r>
      <w:r w:rsidRPr="00FB3B25">
        <w:rPr>
          <w:rFonts w:ascii="Arial" w:hAnsi="Arial" w:cs="Arial"/>
          <w:i/>
          <w:iCs/>
          <w:lang w:val="en-PH"/>
        </w:rPr>
        <w:t>International Journal of Environmental Research and Public Health, 8</w:t>
      </w:r>
      <w:r w:rsidRPr="00FB3B25">
        <w:rPr>
          <w:rFonts w:ascii="Arial" w:hAnsi="Arial" w:cs="Arial"/>
          <w:lang w:val="en-PH"/>
        </w:rPr>
        <w:t>(11), 4207–4219.</w:t>
      </w:r>
      <w:hyperlink r:id="rId24" w:history="1">
        <w:r w:rsidRPr="00FB3B25">
          <w:rPr>
            <w:rStyle w:val="Hyperlink"/>
            <w:rFonts w:ascii="Arial" w:hAnsi="Arial" w:cs="Arial"/>
            <w:color w:val="auto"/>
            <w:lang w:val="en-PH"/>
          </w:rPr>
          <w:t xml:space="preserve"> https://doi.org/10.3390/ijerph8114207</w:t>
        </w:r>
      </w:hyperlink>
    </w:p>
    <w:p w14:paraId="3C53F0A5"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Islam, M. M., Al-Mamun, F., </w:t>
      </w:r>
      <w:proofErr w:type="spellStart"/>
      <w:r w:rsidRPr="00FB3B25">
        <w:rPr>
          <w:rFonts w:ascii="Arial" w:hAnsi="Arial" w:cs="Arial"/>
          <w:lang w:val="en-PH"/>
        </w:rPr>
        <w:t>Almerab</w:t>
      </w:r>
      <w:proofErr w:type="spellEnd"/>
      <w:r w:rsidRPr="00FB3B25">
        <w:rPr>
          <w:rFonts w:ascii="Arial" w:hAnsi="Arial" w:cs="Arial"/>
          <w:lang w:val="en-PH"/>
        </w:rPr>
        <w:t xml:space="preserve">, M. M., </w:t>
      </w:r>
      <w:proofErr w:type="spellStart"/>
      <w:r w:rsidRPr="00FB3B25">
        <w:rPr>
          <w:rFonts w:ascii="Arial" w:hAnsi="Arial" w:cs="Arial"/>
          <w:lang w:val="en-PH"/>
        </w:rPr>
        <w:t>Moonajilin</w:t>
      </w:r>
      <w:proofErr w:type="spellEnd"/>
      <w:r w:rsidRPr="00FB3B25">
        <w:rPr>
          <w:rFonts w:ascii="Arial" w:hAnsi="Arial" w:cs="Arial"/>
          <w:lang w:val="en-PH"/>
        </w:rPr>
        <w:t xml:space="preserve">, M. S., &amp; Mamun, M. A. (2025). Factors influencing knowledge and attitudes towards second-hand smoking exposure among university students: An exploratory study. </w:t>
      </w:r>
      <w:r w:rsidRPr="00FB3B25">
        <w:rPr>
          <w:rFonts w:ascii="Arial" w:hAnsi="Arial" w:cs="Arial"/>
          <w:i/>
          <w:iCs/>
          <w:lang w:val="en-PH"/>
        </w:rPr>
        <w:t>INQUIRY: The Journal of Health Care Organization, Provision, and Financing, 62</w:t>
      </w:r>
      <w:r w:rsidRPr="00FB3B25">
        <w:rPr>
          <w:rFonts w:ascii="Arial" w:hAnsi="Arial" w:cs="Arial"/>
          <w:lang w:val="en-PH"/>
        </w:rPr>
        <w:t>.</w:t>
      </w:r>
      <w:hyperlink r:id="rId25" w:history="1">
        <w:r w:rsidRPr="00FB3B25">
          <w:rPr>
            <w:rStyle w:val="Hyperlink"/>
            <w:rFonts w:ascii="Arial" w:hAnsi="Arial" w:cs="Arial"/>
            <w:color w:val="auto"/>
            <w:lang w:val="en-PH"/>
          </w:rPr>
          <w:t xml:space="preserve"> https://doi.org/10.1177/00469580251314783</w:t>
        </w:r>
      </w:hyperlink>
    </w:p>
    <w:p w14:paraId="7B43AE46"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Nor Afiah, M. Z., Suriani, I., Hf, R. A., &amp; </w:t>
      </w:r>
      <w:proofErr w:type="spellStart"/>
      <w:r w:rsidRPr="00FB3B25">
        <w:rPr>
          <w:rFonts w:ascii="Arial" w:hAnsi="Arial" w:cs="Arial"/>
          <w:lang w:val="en-PH"/>
        </w:rPr>
        <w:t>Ar</w:t>
      </w:r>
      <w:proofErr w:type="spellEnd"/>
      <w:r w:rsidRPr="00FB3B25">
        <w:rPr>
          <w:rFonts w:ascii="Arial" w:hAnsi="Arial" w:cs="Arial"/>
          <w:lang w:val="en-PH"/>
        </w:rPr>
        <w:t>, M. (2017). Knowledge, attitude and perceptions on second-hand smoke (SHS) exposure among undergraduate students contribute to avoidance of second-hand smoke.</w:t>
      </w:r>
    </w:p>
    <w:p w14:paraId="6E81A671"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Tan, G. P. P., Teo, O., &amp; van der Eijk, Y. (2022). Residential secondhand smoke in a densely populated urban setting: A qualitative exploration of psychosocial impacts, views and experiences. </w:t>
      </w:r>
      <w:r w:rsidRPr="00FB3B25">
        <w:rPr>
          <w:rFonts w:ascii="Arial" w:hAnsi="Arial" w:cs="Arial"/>
          <w:i/>
          <w:iCs/>
          <w:lang w:val="en-PH"/>
        </w:rPr>
        <w:t>BMC Public Health, 22</w:t>
      </w:r>
      <w:r w:rsidRPr="00FB3B25">
        <w:rPr>
          <w:rFonts w:ascii="Arial" w:hAnsi="Arial" w:cs="Arial"/>
          <w:lang w:val="en-PH"/>
        </w:rPr>
        <w:t>(1).</w:t>
      </w:r>
      <w:hyperlink r:id="rId26" w:history="1">
        <w:r w:rsidRPr="00FB3B25">
          <w:rPr>
            <w:rStyle w:val="Hyperlink"/>
            <w:rFonts w:ascii="Arial" w:hAnsi="Arial" w:cs="Arial"/>
            <w:color w:val="auto"/>
            <w:lang w:val="en-PH"/>
          </w:rPr>
          <w:t xml:space="preserve"> https://doi.org/10.1186/s12889-022-13561-7</w:t>
        </w:r>
      </w:hyperlink>
    </w:p>
    <w:p w14:paraId="7EDB365B"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The Global Goals. (2025). </w:t>
      </w:r>
      <w:r w:rsidRPr="00FB3B25">
        <w:rPr>
          <w:rFonts w:ascii="Arial" w:hAnsi="Arial" w:cs="Arial"/>
          <w:i/>
          <w:iCs/>
          <w:lang w:val="en-PH"/>
        </w:rPr>
        <w:t>Goal 3: Good health and well-being</w:t>
      </w:r>
      <w:r w:rsidRPr="00FB3B25">
        <w:rPr>
          <w:rFonts w:ascii="Arial" w:hAnsi="Arial" w:cs="Arial"/>
          <w:lang w:val="en-PH"/>
        </w:rPr>
        <w:t>.</w:t>
      </w:r>
      <w:hyperlink r:id="rId27" w:history="1">
        <w:r w:rsidRPr="00FB3B25">
          <w:rPr>
            <w:rStyle w:val="Hyperlink"/>
            <w:rFonts w:ascii="Arial" w:hAnsi="Arial" w:cs="Arial"/>
            <w:color w:val="auto"/>
            <w:lang w:val="en-PH"/>
          </w:rPr>
          <w:t xml:space="preserve"> https://globalgoals.org/goals/3-good-health-and-well-being/</w:t>
        </w:r>
      </w:hyperlink>
    </w:p>
    <w:p w14:paraId="3AC14442"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Tupas, F. P., &amp; Agreda, I. V. (2020). How to stop before it starts: The case of an anti-smoking campaign for high schools in the Philippines. </w:t>
      </w:r>
      <w:r w:rsidRPr="00FB3B25">
        <w:rPr>
          <w:rFonts w:ascii="Arial" w:hAnsi="Arial" w:cs="Arial"/>
          <w:i/>
          <w:iCs/>
          <w:lang w:val="en-PH"/>
        </w:rPr>
        <w:t>Journal of Educational and Social Research, 10</w:t>
      </w:r>
      <w:r w:rsidRPr="00FB3B25">
        <w:rPr>
          <w:rFonts w:ascii="Arial" w:hAnsi="Arial" w:cs="Arial"/>
          <w:lang w:val="en-PH"/>
        </w:rPr>
        <w:t>(3), 85–94.</w:t>
      </w:r>
      <w:hyperlink r:id="rId28" w:history="1">
        <w:r w:rsidRPr="00FB3B25">
          <w:rPr>
            <w:rStyle w:val="Hyperlink"/>
            <w:rFonts w:ascii="Arial" w:hAnsi="Arial" w:cs="Arial"/>
            <w:color w:val="auto"/>
            <w:lang w:val="en-PH"/>
          </w:rPr>
          <w:t xml:space="preserve"> https://doi.org/10.36941/jesr-2020-0048</w:t>
        </w:r>
      </w:hyperlink>
    </w:p>
    <w:p w14:paraId="236473EA"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US EPA, O. (2021, March 17). </w:t>
      </w:r>
      <w:r w:rsidRPr="00FB3B25">
        <w:rPr>
          <w:rFonts w:ascii="Arial" w:hAnsi="Arial" w:cs="Arial"/>
          <w:i/>
          <w:iCs/>
          <w:lang w:val="en-PH"/>
        </w:rPr>
        <w:t>Secondhand Tobacco Smoke and Indoor Air Quality.</w:t>
      </w:r>
      <w:r w:rsidRPr="00FB3B25">
        <w:rPr>
          <w:rFonts w:ascii="Arial" w:hAnsi="Arial" w:cs="Arial"/>
          <w:lang w:val="en-PH"/>
        </w:rPr>
        <w:t xml:space="preserve"> Www.epa.gov. https://www.epa.gov/indoor-air-quality-iaq/secondhand-tobacco-smoke-and-indoor-air-quality</w:t>
      </w:r>
    </w:p>
    <w:p w14:paraId="5FBFACFA" w14:textId="77777777" w:rsidR="00FB3B25" w:rsidRPr="00FB3B25" w:rsidRDefault="00FB3B25" w:rsidP="00FB3B25">
      <w:pPr>
        <w:pStyle w:val="Body"/>
        <w:rPr>
          <w:rFonts w:ascii="Arial" w:hAnsi="Arial" w:cs="Arial"/>
          <w:lang w:val="en-PH"/>
        </w:rPr>
      </w:pPr>
      <w:r w:rsidRPr="00FB3B25">
        <w:rPr>
          <w:rFonts w:ascii="Arial" w:hAnsi="Arial" w:cs="Arial"/>
          <w:lang w:val="en-PH"/>
        </w:rPr>
        <w:t xml:space="preserve">World Health Organization. (2025, June 25). </w:t>
      </w:r>
      <w:r w:rsidRPr="00FB3B25">
        <w:rPr>
          <w:rFonts w:ascii="Arial" w:hAnsi="Arial" w:cs="Arial"/>
          <w:i/>
          <w:iCs/>
          <w:lang w:val="en-PH"/>
        </w:rPr>
        <w:t>Tobacco</w:t>
      </w:r>
      <w:r w:rsidRPr="00FB3B25">
        <w:rPr>
          <w:rFonts w:ascii="Arial" w:hAnsi="Arial" w:cs="Arial"/>
          <w:lang w:val="en-PH"/>
        </w:rPr>
        <w:t xml:space="preserve">. </w:t>
      </w:r>
      <w:hyperlink r:id="rId29" w:history="1">
        <w:r w:rsidRPr="00FB3B25">
          <w:rPr>
            <w:rStyle w:val="Hyperlink"/>
            <w:rFonts w:ascii="Arial" w:hAnsi="Arial" w:cs="Arial"/>
            <w:color w:val="auto"/>
            <w:lang w:val="en-PH"/>
          </w:rPr>
          <w:t>https://www.who.int/news-room/fact-sheets/detail/tobacco</w:t>
        </w:r>
      </w:hyperlink>
    </w:p>
    <w:p w14:paraId="5340383C" w14:textId="668CC1F2" w:rsidR="004D4277" w:rsidRPr="00FB3A86" w:rsidRDefault="004D4277" w:rsidP="00441B6F">
      <w:pPr>
        <w:pStyle w:val="Appendix"/>
        <w:spacing w:after="0"/>
        <w:jc w:val="both"/>
        <w:rPr>
          <w:rFonts w:ascii="Arial" w:hAnsi="Arial" w:cs="Arial"/>
          <w:b w:val="0"/>
        </w:rPr>
        <w:sectPr w:rsidR="004D4277" w:rsidRPr="00FB3A86" w:rsidSect="0021677F">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61BA25BE" w14:textId="77777777" w:rsidR="00B01FCD" w:rsidRPr="00FB3A86" w:rsidRDefault="00B01FCD" w:rsidP="00441B6F">
      <w:pPr>
        <w:pStyle w:val="Appendix"/>
        <w:spacing w:after="0"/>
        <w:jc w:val="both"/>
        <w:rPr>
          <w:rFonts w:ascii="Arial" w:hAnsi="Arial" w:cs="Arial"/>
          <w:b w:val="0"/>
        </w:rPr>
      </w:pPr>
    </w:p>
    <w:sectPr w:rsidR="00B01FCD" w:rsidRPr="00FB3A86" w:rsidSect="0021677F">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hoe 26.1_IMR" w:date="2026-03-17T10:39:00Z" w:initials="IMR">
    <w:p w14:paraId="244A5C1F" w14:textId="77777777" w:rsidR="000427C7" w:rsidRDefault="000427C7" w:rsidP="000427C7">
      <w:r>
        <w:rPr>
          <w:rStyle w:val="CommentReference"/>
        </w:rPr>
        <w:annotationRef/>
      </w:r>
      <w:r>
        <w:rPr>
          <w:rFonts w:ascii="Times New Roman" w:hAnsi="Times New Roman"/>
          <w:color w:val="000000"/>
          <w:lang w:val="nb-NO" w:eastAsia="nb-NO"/>
        </w:rPr>
        <w:t>Make sure the title follows AJRNH style. It is recommended that the titles be concise, factual, and include setting if possible. For example: “Knowledge, Attitudes and Avoidance Behaviors Toward Secondhand Smoke Among Household Heads in a Highly Urbanized Barangay, Iloilo City: A Descriptive‑Correlational Study”</w:t>
      </w:r>
    </w:p>
  </w:comment>
  <w:comment w:id="1" w:author="Tahoe 26.1_IMR" w:date="2026-03-17T10:43:00Z" w:initials="IMR">
    <w:p w14:paraId="1844408D" w14:textId="77777777" w:rsidR="000427C7" w:rsidRDefault="000427C7" w:rsidP="000427C7">
      <w:r>
        <w:rPr>
          <w:rStyle w:val="CommentReference"/>
        </w:rPr>
        <w:annotationRef/>
      </w:r>
      <w:r>
        <w:rPr>
          <w:rFonts w:ascii="Times New Roman" w:hAnsi="Times New Roman"/>
          <w:color w:val="000000"/>
          <w:lang w:val="nb-NO" w:eastAsia="nb-NO"/>
        </w:rPr>
        <w:t>1. Use a structured abstract with headings (Background/Objective/Methods/Results/Conclusion).</w:t>
      </w:r>
    </w:p>
    <w:p w14:paraId="0D6D15AD" w14:textId="77777777" w:rsidR="000427C7" w:rsidRDefault="000427C7" w:rsidP="000427C7">
      <w:r>
        <w:rPr>
          <w:rFonts w:ascii="Times New Roman" w:hAnsi="Times New Roman"/>
          <w:color w:val="000000"/>
          <w:lang w:val="nb-NO" w:eastAsia="nb-NO"/>
        </w:rPr>
        <w:t>2. State sampling (convenience), sample size and response rate (if known), study dates, instrument validation, key numerical results (means ± SD, correlation coefficients with p-values), and ethics approval.</w:t>
      </w:r>
    </w:p>
    <w:p w14:paraId="5313F0E1" w14:textId="77777777" w:rsidR="000427C7" w:rsidRDefault="000427C7" w:rsidP="000427C7">
      <w:r>
        <w:rPr>
          <w:rFonts w:ascii="Times New Roman" w:hAnsi="Times New Roman"/>
          <w:color w:val="000000"/>
          <w:lang w:val="nb-NO" w:eastAsia="nb-NO"/>
        </w:rPr>
        <w:t>3. Avoid general statements; include exact statistics (e.g., rs values and p).</w:t>
      </w:r>
    </w:p>
  </w:comment>
  <w:comment w:id="2" w:author="Tahoe 26.1_IMR" w:date="2026-03-17T10:46:00Z" w:initials="IMR">
    <w:p w14:paraId="3EBEECBD" w14:textId="77777777" w:rsidR="000427C7" w:rsidRDefault="000427C7" w:rsidP="000427C7">
      <w:pPr>
        <w:rPr>
          <w:rFonts w:ascii="Times New Roman" w:hAnsi="Times New Roman"/>
          <w:lang w:val="nb-NO" w:eastAsia="nb-NO"/>
        </w:rPr>
      </w:pPr>
      <w:r>
        <w:rPr>
          <w:rStyle w:val="CommentReference"/>
        </w:rPr>
        <w:annotationRef/>
      </w:r>
    </w:p>
    <w:p w14:paraId="3D8CDA7D" w14:textId="77777777" w:rsidR="000427C7" w:rsidRDefault="000427C7" w:rsidP="000427C7">
      <w:r>
        <w:rPr>
          <w:rFonts w:ascii="Times New Roman" w:hAnsi="Times New Roman"/>
          <w:color w:val="000000"/>
          <w:lang w:val="nb-NO" w:eastAsia="nb-NO"/>
        </w:rPr>
        <w:t>1. Kindly remove long passages of global policy background that are not essential. AJRNH prefers concise rationale leading to the study question.</w:t>
      </w:r>
    </w:p>
    <w:p w14:paraId="5FA6C05B" w14:textId="77777777" w:rsidR="000427C7" w:rsidRDefault="000427C7" w:rsidP="000427C7">
      <w:r>
        <w:rPr>
          <w:rFonts w:ascii="Times New Roman" w:hAnsi="Times New Roman"/>
          <w:color w:val="000000"/>
          <w:lang w:val="nb-NO" w:eastAsia="nb-NO"/>
        </w:rPr>
        <w:t>2. Add a sentence that explicitly states the knowledge gap and why Barangay Calumpang (high density) is an appropriate study site.</w:t>
      </w:r>
    </w:p>
    <w:p w14:paraId="6FE38DBB" w14:textId="77777777" w:rsidR="000427C7" w:rsidRDefault="000427C7" w:rsidP="000427C7">
      <w:r>
        <w:rPr>
          <w:rFonts w:ascii="Times New Roman" w:hAnsi="Times New Roman"/>
          <w:color w:val="000000"/>
          <w:lang w:val="nb-NO" w:eastAsia="nb-NO"/>
        </w:rPr>
        <w:t>3. Add recent local/regional prevalence data (GATS Philippines 2015 or more recent GATS) and clearly link the outcomes (knowledge, attitudes, behavior) to nursing/public health relevance</w:t>
      </w:r>
    </w:p>
  </w:comment>
  <w:comment w:id="3" w:author="Tahoe 26.1_IMR" w:date="2026-03-17T10:58:00Z" w:initials="IMR">
    <w:p w14:paraId="2B78EFB3" w14:textId="77777777" w:rsidR="00C34059" w:rsidRDefault="00C34059" w:rsidP="00C34059">
      <w:r>
        <w:rPr>
          <w:rStyle w:val="CommentReference"/>
        </w:rPr>
        <w:annotationRef/>
      </w:r>
      <w:r>
        <w:rPr>
          <w:rFonts w:ascii="Times New Roman" w:hAnsi="Times New Roman"/>
          <w:color w:val="000000"/>
          <w:lang w:val="nb-NO" w:eastAsia="nb-NO"/>
        </w:rPr>
        <w:t>1. Clarify study dates and who collected data.</w:t>
      </w:r>
    </w:p>
    <w:p w14:paraId="599064F7" w14:textId="77777777" w:rsidR="00C34059" w:rsidRDefault="00C34059" w:rsidP="00C34059">
      <w:r>
        <w:rPr>
          <w:rFonts w:ascii="Times New Roman" w:hAnsi="Times New Roman"/>
          <w:color w:val="000000"/>
          <w:lang w:val="nb-NO" w:eastAsia="nb-NO"/>
        </w:rPr>
        <w:t>2. State inclusion/exclusion criteria explicitly (e.g., household head defined; residence duration; ability to respond).</w:t>
      </w:r>
    </w:p>
    <w:p w14:paraId="137E47C0" w14:textId="77777777" w:rsidR="00C34059" w:rsidRDefault="00C34059" w:rsidP="00C34059">
      <w:r>
        <w:rPr>
          <w:rFonts w:ascii="Times New Roman" w:hAnsi="Times New Roman"/>
          <w:color w:val="000000"/>
          <w:lang w:val="nb-NO" w:eastAsia="nb-NO"/>
        </w:rPr>
        <w:t>3. Report how households were approached (door‑to‑door, at barangay events), response rate (number approached vs completed), and any refusals.</w:t>
      </w:r>
    </w:p>
    <w:p w14:paraId="6E93596E" w14:textId="77777777" w:rsidR="00C34059" w:rsidRDefault="00C34059" w:rsidP="00C34059">
      <w:r>
        <w:rPr>
          <w:rFonts w:ascii="Times New Roman" w:hAnsi="Times New Roman"/>
          <w:color w:val="000000"/>
          <w:lang w:val="nb-NO" w:eastAsia="nb-NO"/>
        </w:rPr>
        <w:t>4. Explain convenience sampling limitations and how you attempted to reduce selection bias (e.g., sampling across zones).</w:t>
      </w:r>
    </w:p>
    <w:p w14:paraId="25DAB225" w14:textId="77777777" w:rsidR="00C34059" w:rsidRDefault="00C34059" w:rsidP="00C34059">
      <w:r>
        <w:rPr>
          <w:rFonts w:ascii="Times New Roman" w:hAnsi="Times New Roman"/>
          <w:color w:val="000000"/>
          <w:lang w:val="nb-NO" w:eastAsia="nb-NO"/>
        </w:rPr>
        <w:t>5. Provide justification for sample size calculation (you mention Raosoft: include inputs — population size, margin of error, confidence level, assumed proportion). Report final sample target and actual n.</w:t>
      </w:r>
    </w:p>
    <w:p w14:paraId="51F0FF8B" w14:textId="77777777" w:rsidR="00C34059" w:rsidRDefault="00C34059" w:rsidP="00C34059">
      <w:r>
        <w:rPr>
          <w:rFonts w:ascii="Times New Roman" w:hAnsi="Times New Roman"/>
          <w:color w:val="000000"/>
          <w:lang w:val="nb-NO" w:eastAsia="nb-NO"/>
        </w:rPr>
        <w:t>6. Describe questionnaire items more precisely and provide scoring details: How were knowledge, attitude and avoidance scales scored and interpreted? (e.g., knowledge: 1 point per correct answer, range 0–16; what cutoffs define “good” knowledge if used?)</w:t>
      </w:r>
    </w:p>
    <w:p w14:paraId="258869FD" w14:textId="77777777" w:rsidR="00C34059" w:rsidRDefault="00C34059" w:rsidP="00C34059">
      <w:r>
        <w:rPr>
          <w:rFonts w:ascii="Times New Roman" w:hAnsi="Times New Roman"/>
          <w:color w:val="000000"/>
          <w:lang w:val="nb-NO" w:eastAsia="nb-NO"/>
        </w:rPr>
        <w:t>7. Report how content validation was performed (selection of three experts: their qualifications; criteria used e.g., relevance, clarity; what scale used to compute “mean validity 4.46”).</w:t>
      </w:r>
    </w:p>
    <w:p w14:paraId="7D56D75D" w14:textId="77777777" w:rsidR="00C34059" w:rsidRDefault="00C34059" w:rsidP="00C34059">
      <w:r>
        <w:rPr>
          <w:rFonts w:ascii="Times New Roman" w:hAnsi="Times New Roman"/>
          <w:color w:val="000000"/>
          <w:lang w:val="nb-NO" w:eastAsia="nb-NO"/>
        </w:rPr>
        <w:t>8. Provide data collector training details, mode (self‑administered vs interviewer‑administered), language of questionnaire (English/Filipino), and whether responses were anonymous.</w:t>
      </w:r>
    </w:p>
    <w:p w14:paraId="0790FD6E" w14:textId="77777777" w:rsidR="00C34059" w:rsidRDefault="00C34059" w:rsidP="00C34059">
      <w:r>
        <w:rPr>
          <w:rFonts w:ascii="Times New Roman" w:hAnsi="Times New Roman"/>
          <w:color w:val="000000"/>
          <w:lang w:val="nb-NO" w:eastAsia="nb-NO"/>
        </w:rPr>
        <w:t>9. State measures to reduce social desirability bias.</w:t>
      </w:r>
    </w:p>
    <w:p w14:paraId="605714FD" w14:textId="77777777" w:rsidR="00C34059" w:rsidRDefault="00C34059" w:rsidP="00C34059"/>
    <w:p w14:paraId="07CD1850" w14:textId="64FDE901" w:rsidR="00C34059" w:rsidRDefault="00C34059" w:rsidP="00C34059"/>
    <w:p w14:paraId="622A65D7" w14:textId="74BB6739" w:rsidR="00C34059" w:rsidRDefault="00C34059" w:rsidP="00C34059">
      <w:r>
        <w:rPr>
          <w:rFonts w:ascii="Times New Roman" w:hAnsi="Times New Roman"/>
          <w:color w:val="000000"/>
          <w:lang w:val="nb-NO" w:eastAsia="nb-NO"/>
        </w:rPr>
        <w:t>1</w:t>
      </w:r>
      <w:r w:rsidR="00180316">
        <w:rPr>
          <w:rFonts w:ascii="Times New Roman" w:hAnsi="Times New Roman"/>
          <w:color w:val="000000"/>
          <w:lang w:val="nb-NO" w:eastAsia="nb-NO"/>
        </w:rPr>
        <w:t>0</w:t>
      </w:r>
      <w:bookmarkStart w:id="4" w:name="_GoBack"/>
      <w:bookmarkEnd w:id="4"/>
      <w:r>
        <w:rPr>
          <w:rFonts w:ascii="Times New Roman" w:hAnsi="Times New Roman"/>
          <w:color w:val="000000"/>
          <w:lang w:val="nb-NO" w:eastAsia="nb-NO"/>
        </w:rPr>
        <w:t>. Explain choice of normality test (Kolmogorov–Smirnov used, but you used Spearman—appropriate). Indicate exact thresholds and whether transformation was attempted.</w:t>
      </w:r>
    </w:p>
    <w:p w14:paraId="4ABAC03D" w14:textId="77777777" w:rsidR="00C34059" w:rsidRDefault="00C34059" w:rsidP="00C34059">
      <w:r>
        <w:rPr>
          <w:rFonts w:ascii="Times New Roman" w:hAnsi="Times New Roman"/>
          <w:color w:val="000000"/>
          <w:lang w:val="nb-NO" w:eastAsia="nb-NO"/>
        </w:rPr>
        <w:t xml:space="preserve">        </w:t>
      </w:r>
    </w:p>
  </w:comment>
  <w:comment w:id="5" w:author="Tahoe 26.1_IMR" w:date="2026-03-17T11:00:00Z" w:initials="IMR">
    <w:p w14:paraId="2FDF3E8E" w14:textId="77777777" w:rsidR="00952F1C" w:rsidRDefault="00952F1C" w:rsidP="00952F1C">
      <w:r>
        <w:rPr>
          <w:rStyle w:val="CommentReference"/>
        </w:rPr>
        <w:annotationRef/>
      </w:r>
      <w:r>
        <w:rPr>
          <w:rFonts w:ascii="Times New Roman" w:hAnsi="Times New Roman"/>
          <w:lang w:val="nb-NO" w:eastAsia="nb-NO"/>
        </w:rPr>
        <w:t>1. resent sample flow and response rate (number eligible vs completed).</w:t>
      </w:r>
      <w:r>
        <w:rPr>
          <w:rFonts w:ascii="Times New Roman" w:hAnsi="Times New Roman"/>
          <w:lang w:val="nb-NO" w:eastAsia="nb-NO"/>
        </w:rPr>
        <w:cr/>
        <w:t>2. Provide descriptive statistics with measures of variance in the text for mean scores (you give means but often missing SDs).</w:t>
      </w:r>
      <w:r>
        <w:rPr>
          <w:rFonts w:ascii="Times New Roman" w:hAnsi="Times New Roman"/>
          <w:lang w:val="nb-NO" w:eastAsia="nb-NO"/>
        </w:rPr>
        <w:cr/>
        <w:t>3. For knowledge, attitude and avoidance provide score ranges, means ± SD, and percent of participants in pre‑defined categories (e.g., good vs poor knowledge) if categories are used.</w:t>
      </w:r>
      <w:r>
        <w:rPr>
          <w:rFonts w:ascii="Times New Roman" w:hAnsi="Times New Roman"/>
          <w:lang w:val="nb-NO" w:eastAsia="nb-NO"/>
        </w:rPr>
        <w:cr/>
        <w:t>4. Add cross‑tabulations showing e.g., presence of a household smoker vs avoidance behaviors.</w:t>
      </w:r>
    </w:p>
    <w:p w14:paraId="226FA45B" w14:textId="77777777" w:rsidR="00952F1C" w:rsidRDefault="00952F1C" w:rsidP="00952F1C"/>
    <w:p w14:paraId="3000F793" w14:textId="77777777" w:rsidR="00952F1C" w:rsidRDefault="00952F1C" w:rsidP="00952F1C">
      <w:r>
        <w:rPr>
          <w:rFonts w:ascii="Times New Roman" w:hAnsi="Times New Roman"/>
          <w:lang w:val="nb-NO" w:eastAsia="nb-NO"/>
        </w:rPr>
        <w:t>Discussion:</w:t>
      </w:r>
    </w:p>
    <w:p w14:paraId="302684F1" w14:textId="77777777" w:rsidR="00952F1C" w:rsidRDefault="00952F1C" w:rsidP="00952F1C">
      <w:r>
        <w:rPr>
          <w:rFonts w:ascii="Times New Roman" w:hAnsi="Times New Roman"/>
          <w:lang w:val="nb-NO" w:eastAsia="nb-NO"/>
        </w:rPr>
        <w:t>1. Start with a succinct restatement of main findings in one or two sentences.</w:t>
      </w:r>
    </w:p>
    <w:p w14:paraId="50C6D06A" w14:textId="77777777" w:rsidR="00952F1C" w:rsidRDefault="00952F1C" w:rsidP="00952F1C">
      <w:r>
        <w:rPr>
          <w:rFonts w:ascii="Times New Roman" w:hAnsi="Times New Roman"/>
          <w:lang w:val="nb-NO" w:eastAsia="nb-NO"/>
        </w:rPr>
        <w:t>2. Discuss your key correlation findings in context of prior literature — why knowledge did not translate to avoidance but attitude did.</w:t>
      </w:r>
    </w:p>
    <w:p w14:paraId="038A59C4" w14:textId="77777777" w:rsidR="00952F1C" w:rsidRDefault="00952F1C" w:rsidP="00952F1C">
      <w:r>
        <w:rPr>
          <w:rFonts w:ascii="Times New Roman" w:hAnsi="Times New Roman"/>
          <w:lang w:val="nb-NO" w:eastAsia="nb-NO"/>
        </w:rPr>
        <w:t>3. Address the borderline KR‑20 for knowledge and how that might affect internal validity.</w:t>
      </w:r>
    </w:p>
  </w:comment>
  <w:comment w:id="6" w:author="Tahoe 26.1_IMR" w:date="2026-03-17T11:02:00Z" w:initials="IMR">
    <w:p w14:paraId="13BC3E00" w14:textId="77777777" w:rsidR="00952F1C" w:rsidRDefault="00952F1C" w:rsidP="00952F1C">
      <w:r>
        <w:rPr>
          <w:rStyle w:val="CommentReference"/>
        </w:rPr>
        <w:annotationRef/>
      </w:r>
      <w:r>
        <w:rPr>
          <w:rFonts w:ascii="Times New Roman" w:hAnsi="Times New Roman"/>
          <w:color w:val="000000"/>
          <w:lang w:val="nb-NO" w:eastAsia="nb-NO"/>
        </w:rPr>
        <w:t>1. Make concise, actionable, and aligned with findings: summarize key observations, emphasize caution about generalizability, and suggest next steps (intervention studies, broader surveys).</w:t>
      </w:r>
    </w:p>
    <w:p w14:paraId="62112BA1" w14:textId="77777777" w:rsidR="00952F1C" w:rsidRDefault="00952F1C" w:rsidP="00952F1C">
      <w:r>
        <w:rPr>
          <w:rFonts w:ascii="Times New Roman" w:hAnsi="Times New Roman"/>
          <w:color w:val="000000"/>
          <w:lang w:val="nb-NO" w:eastAsia="nb-NO"/>
        </w:rPr>
        <w:t>2. Avoid overgeneralization that interventions will definitively change behavior—frame as recommended.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4A5C1F" w15:done="0"/>
  <w15:commentEx w15:paraId="5313F0E1" w15:done="0"/>
  <w15:commentEx w15:paraId="6FE38DBB" w15:done="0"/>
  <w15:commentEx w15:paraId="4ABAC03D" w15:done="0"/>
  <w15:commentEx w15:paraId="038A59C4" w15:done="0"/>
  <w15:commentEx w15:paraId="62112B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A34C3" w16cex:dateUtc="2026-03-17T02:39:00Z"/>
  <w16cex:commentExtensible w16cex:durableId="4BC3C8FD" w16cex:dateUtc="2026-03-17T02:43:00Z"/>
  <w16cex:commentExtensible w16cex:durableId="2370097A" w16cex:dateUtc="2026-03-17T02:46:00Z"/>
  <w16cex:commentExtensible w16cex:durableId="6C03DFE4" w16cex:dateUtc="2026-03-17T02:58:00Z"/>
  <w16cex:commentExtensible w16cex:durableId="2E01789D" w16cex:dateUtc="2026-03-17T03:00:00Z"/>
  <w16cex:commentExtensible w16cex:durableId="3E61D3FC" w16cex:dateUtc="2026-03-17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4A5C1F" w16cid:durableId="444A34C3"/>
  <w16cid:commentId w16cid:paraId="5313F0E1" w16cid:durableId="4BC3C8FD"/>
  <w16cid:commentId w16cid:paraId="6FE38DBB" w16cid:durableId="2370097A"/>
  <w16cid:commentId w16cid:paraId="4ABAC03D" w16cid:durableId="6C03DFE4"/>
  <w16cid:commentId w16cid:paraId="038A59C4" w16cid:durableId="2E01789D"/>
  <w16cid:commentId w16cid:paraId="62112BA1" w16cid:durableId="3E61D3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8C04" w14:textId="77777777" w:rsidR="00EC4DEF" w:rsidRDefault="00EC4DEF" w:rsidP="00C37E61">
      <w:r>
        <w:separator/>
      </w:r>
    </w:p>
  </w:endnote>
  <w:endnote w:type="continuationSeparator" w:id="0">
    <w:p w14:paraId="5F1165C8" w14:textId="77777777" w:rsidR="00EC4DEF" w:rsidRDefault="00EC4D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F0F4" w14:textId="77777777" w:rsidR="00F22047" w:rsidRDefault="00F2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C247" w14:textId="77777777" w:rsidR="00F22047" w:rsidRDefault="00F2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9702" w14:textId="77777777" w:rsidR="009E048A" w:rsidRDefault="009E048A">
    <w:pPr>
      <w:pStyle w:val="Footer"/>
      <w:rPr>
        <w:rFonts w:ascii="Arial" w:hAnsi="Arial" w:cs="Arial"/>
        <w:sz w:val="16"/>
      </w:rPr>
    </w:pPr>
  </w:p>
  <w:p w14:paraId="478B08F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E47C8C" w14:textId="77777777" w:rsidR="009E048A" w:rsidRDefault="009E048A">
    <w:pPr>
      <w:pStyle w:val="Footer"/>
      <w:rPr>
        <w:rFonts w:ascii="Arial" w:hAnsi="Arial" w:cs="Arial"/>
        <w:sz w:val="16"/>
      </w:rPr>
    </w:pPr>
  </w:p>
  <w:p w14:paraId="478AC7E6" w14:textId="71BBE55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36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C9393" w14:textId="77777777" w:rsidR="00EC4DEF" w:rsidRDefault="00EC4DEF" w:rsidP="00C37E61">
      <w:r>
        <w:separator/>
      </w:r>
    </w:p>
  </w:footnote>
  <w:footnote w:type="continuationSeparator" w:id="0">
    <w:p w14:paraId="2725625F" w14:textId="77777777" w:rsidR="00EC4DEF" w:rsidRDefault="00EC4D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5148" w14:textId="0A33C55A" w:rsidR="00F22047" w:rsidRDefault="00EC4DEF">
    <w:pPr>
      <w:pStyle w:val="Header"/>
    </w:pPr>
    <w:r>
      <w:rPr>
        <w:noProof/>
      </w:rPr>
      <w:pict w14:anchorId="1B183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19"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E49C" w14:textId="42BE2854" w:rsidR="00F22047" w:rsidRDefault="00EC4DEF">
    <w:pPr>
      <w:pStyle w:val="Header"/>
    </w:pPr>
    <w:r>
      <w:rPr>
        <w:noProof/>
      </w:rPr>
      <w:pict w14:anchorId="21367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0"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D300A" w14:textId="7A40E49F" w:rsidR="00296529" w:rsidRPr="00296529" w:rsidRDefault="00EC4DEF" w:rsidP="00296529">
    <w:pPr>
      <w:ind w:left="2160"/>
      <w:jc w:val="center"/>
      <w:rPr>
        <w:rFonts w:ascii="Times New Roman" w:eastAsia="Calibri" w:hAnsi="Times New Roman"/>
        <w:i/>
        <w:sz w:val="18"/>
        <w:szCs w:val="22"/>
      </w:rPr>
    </w:pPr>
    <w:r>
      <w:rPr>
        <w:noProof/>
      </w:rPr>
      <w:pict w14:anchorId="165FF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18"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AC89D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5FE3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B1BF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08AD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E7B0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5B7D6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4572" w14:textId="16A462FA" w:rsidR="00F22047" w:rsidRDefault="00EC4DEF">
    <w:pPr>
      <w:pStyle w:val="Header"/>
    </w:pPr>
    <w:r>
      <w:rPr>
        <w:noProof/>
      </w:rPr>
      <w:pict w14:anchorId="70AF7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2"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6313" w14:textId="77477BF9" w:rsidR="00F22047" w:rsidRDefault="00EC4DEF">
    <w:pPr>
      <w:pStyle w:val="Header"/>
    </w:pPr>
    <w:r>
      <w:rPr>
        <w:noProof/>
      </w:rPr>
      <w:pict w14:anchorId="37DEB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3"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8BBF" w14:textId="4698DA2C" w:rsidR="00F22047" w:rsidRDefault="00EC4DEF">
    <w:pPr>
      <w:pStyle w:val="Header"/>
    </w:pPr>
    <w:r>
      <w:rPr>
        <w:noProof/>
      </w:rPr>
      <w:pict w14:anchorId="2BD5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33221"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oe 26.1_IMR">
    <w15:presenceInfo w15:providerId="None" w15:userId="Tahoe 26.1_I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7C7"/>
    <w:rsid w:val="0004579C"/>
    <w:rsid w:val="000477B9"/>
    <w:rsid w:val="000A47FA"/>
    <w:rsid w:val="000A65D3"/>
    <w:rsid w:val="000B1E33"/>
    <w:rsid w:val="000D689F"/>
    <w:rsid w:val="000E7B7B"/>
    <w:rsid w:val="000E7D62"/>
    <w:rsid w:val="0010151C"/>
    <w:rsid w:val="00103357"/>
    <w:rsid w:val="00123C9F"/>
    <w:rsid w:val="00126190"/>
    <w:rsid w:val="00130F17"/>
    <w:rsid w:val="001320BF"/>
    <w:rsid w:val="00142767"/>
    <w:rsid w:val="00161541"/>
    <w:rsid w:val="00163BC4"/>
    <w:rsid w:val="00180316"/>
    <w:rsid w:val="00191062"/>
    <w:rsid w:val="00192B72"/>
    <w:rsid w:val="001A29D8"/>
    <w:rsid w:val="001A5CAA"/>
    <w:rsid w:val="001B0427"/>
    <w:rsid w:val="001D3A51"/>
    <w:rsid w:val="001E10D2"/>
    <w:rsid w:val="001E25B4"/>
    <w:rsid w:val="001E44FE"/>
    <w:rsid w:val="00200595"/>
    <w:rsid w:val="00204835"/>
    <w:rsid w:val="0021677F"/>
    <w:rsid w:val="00231920"/>
    <w:rsid w:val="0023195C"/>
    <w:rsid w:val="00242444"/>
    <w:rsid w:val="0024282C"/>
    <w:rsid w:val="002460DC"/>
    <w:rsid w:val="00250985"/>
    <w:rsid w:val="002556F6"/>
    <w:rsid w:val="00283105"/>
    <w:rsid w:val="00284C4C"/>
    <w:rsid w:val="00287E68"/>
    <w:rsid w:val="00296529"/>
    <w:rsid w:val="002B27FB"/>
    <w:rsid w:val="002B685A"/>
    <w:rsid w:val="002C57D2"/>
    <w:rsid w:val="002D470B"/>
    <w:rsid w:val="002E0D56"/>
    <w:rsid w:val="00315186"/>
    <w:rsid w:val="0033343E"/>
    <w:rsid w:val="003512C2"/>
    <w:rsid w:val="00371FB6"/>
    <w:rsid w:val="003763C1"/>
    <w:rsid w:val="00376BBE"/>
    <w:rsid w:val="0039224F"/>
    <w:rsid w:val="003A43A4"/>
    <w:rsid w:val="003A5EEA"/>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5E1F"/>
    <w:rsid w:val="00502516"/>
    <w:rsid w:val="00505F06"/>
    <w:rsid w:val="00506828"/>
    <w:rsid w:val="0053056E"/>
    <w:rsid w:val="00554FDA"/>
    <w:rsid w:val="005B426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890"/>
    <w:rsid w:val="007369E6"/>
    <w:rsid w:val="00746E59"/>
    <w:rsid w:val="00754C9A"/>
    <w:rsid w:val="0075599A"/>
    <w:rsid w:val="00761D52"/>
    <w:rsid w:val="0077749E"/>
    <w:rsid w:val="00790ADA"/>
    <w:rsid w:val="007D2288"/>
    <w:rsid w:val="007E088F"/>
    <w:rsid w:val="007F7B32"/>
    <w:rsid w:val="00804162"/>
    <w:rsid w:val="00804BC2"/>
    <w:rsid w:val="0081431A"/>
    <w:rsid w:val="0083216F"/>
    <w:rsid w:val="00860000"/>
    <w:rsid w:val="00863BD3"/>
    <w:rsid w:val="008641ED"/>
    <w:rsid w:val="00866D66"/>
    <w:rsid w:val="008671C6"/>
    <w:rsid w:val="00875803"/>
    <w:rsid w:val="008B459E"/>
    <w:rsid w:val="008E13AE"/>
    <w:rsid w:val="008E1506"/>
    <w:rsid w:val="008E710C"/>
    <w:rsid w:val="008F01A1"/>
    <w:rsid w:val="008F69D6"/>
    <w:rsid w:val="00902823"/>
    <w:rsid w:val="00915CA6"/>
    <w:rsid w:val="00927834"/>
    <w:rsid w:val="009500A6"/>
    <w:rsid w:val="00952F1C"/>
    <w:rsid w:val="00957C18"/>
    <w:rsid w:val="00960F1F"/>
    <w:rsid w:val="009659BA"/>
    <w:rsid w:val="00983040"/>
    <w:rsid w:val="009B3FB9"/>
    <w:rsid w:val="009C1EC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931"/>
    <w:rsid w:val="00AC6BB8"/>
    <w:rsid w:val="00AD705D"/>
    <w:rsid w:val="00AE008F"/>
    <w:rsid w:val="00B01FCD"/>
    <w:rsid w:val="00B1776C"/>
    <w:rsid w:val="00B52583"/>
    <w:rsid w:val="00B52896"/>
    <w:rsid w:val="00B95236"/>
    <w:rsid w:val="00B96BD9"/>
    <w:rsid w:val="00BA1B01"/>
    <w:rsid w:val="00BA2641"/>
    <w:rsid w:val="00BB26BD"/>
    <w:rsid w:val="00BB37AA"/>
    <w:rsid w:val="00BC53A0"/>
    <w:rsid w:val="00BE62AD"/>
    <w:rsid w:val="00BF121F"/>
    <w:rsid w:val="00BF1F80"/>
    <w:rsid w:val="00C166EF"/>
    <w:rsid w:val="00C17EB0"/>
    <w:rsid w:val="00C27F5F"/>
    <w:rsid w:val="00C30A0F"/>
    <w:rsid w:val="00C34059"/>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4D69"/>
    <w:rsid w:val="00E15994"/>
    <w:rsid w:val="00E3114E"/>
    <w:rsid w:val="00E31A70"/>
    <w:rsid w:val="00E32019"/>
    <w:rsid w:val="00E35B02"/>
    <w:rsid w:val="00E66496"/>
    <w:rsid w:val="00E66B35"/>
    <w:rsid w:val="00E66E10"/>
    <w:rsid w:val="00E769F6"/>
    <w:rsid w:val="00E8407C"/>
    <w:rsid w:val="00E84F3C"/>
    <w:rsid w:val="00EA012C"/>
    <w:rsid w:val="00EC4DEF"/>
    <w:rsid w:val="00EC6A55"/>
    <w:rsid w:val="00ED0288"/>
    <w:rsid w:val="00EE52CB"/>
    <w:rsid w:val="00EF581D"/>
    <w:rsid w:val="00EF7FD8"/>
    <w:rsid w:val="00F06F59"/>
    <w:rsid w:val="00F17988"/>
    <w:rsid w:val="00F22047"/>
    <w:rsid w:val="00F469F0"/>
    <w:rsid w:val="00F53273"/>
    <w:rsid w:val="00F755E4"/>
    <w:rsid w:val="00F77D02"/>
    <w:rsid w:val="00FB3A86"/>
    <w:rsid w:val="00FB3B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1EF6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0427C7"/>
    <w:rPr>
      <w:rFonts w:ascii="Helvetica" w:hAnsi="Helvetica"/>
      <w:b/>
      <w:bCs/>
      <w:lang w:val="en-US" w:eastAsia="en-US"/>
    </w:rPr>
  </w:style>
  <w:style w:type="character" w:customStyle="1" w:styleId="CommentSubjectChar">
    <w:name w:val="Comment Subject Char"/>
    <w:basedOn w:val="CommentTextChar"/>
    <w:link w:val="CommentSubject"/>
    <w:semiHidden/>
    <w:rsid w:val="000427C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515/ijamh-2019-0014" TargetMode="External"/><Relationship Id="rId26" Type="http://schemas.openxmlformats.org/officeDocument/2006/relationships/hyperlink" Target="https://doi.org/10.1186/s12889-022-13561-7" TargetMode="External"/><Relationship Id="rId21" Type="http://schemas.openxmlformats.org/officeDocument/2006/relationships/hyperlink" Target="https://thepafp.org/wp-content/uploads/2025/07/National-Objectives-for-Health-2023-2028.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1177/00469580251314783"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caro.doh.gov.ph/tobacco-control-program-situational-analysis" TargetMode="External"/><Relationship Id="rId29" Type="http://schemas.openxmlformats.org/officeDocument/2006/relationships/hyperlink" Target="https://www.who.int/news-room/fact-sheets/detail/tobac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3390/ijerph8114207" TargetMode="External"/><Relationship Id="rId32" Type="http://schemas.openxmlformats.org/officeDocument/2006/relationships/footer" Target="footer4.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cdn.who.int/media/docs/default-source/ncds/ncd-surveillance/data-reporting/philippines/gats/phl-country-report-2015-gats.pdf" TargetMode="External"/><Relationship Id="rId28" Type="http://schemas.openxmlformats.org/officeDocument/2006/relationships/hyperlink" Target="https://doi.org/10.36941/jesr-2020-0048" TargetMode="Externa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111/ina.13069" TargetMode="External"/><Relationship Id="rId31"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doi.org/10.3390/atmos14071080" TargetMode="External"/><Relationship Id="rId27" Type="http://schemas.openxmlformats.org/officeDocument/2006/relationships/hyperlink" Target="https://globalgoals.org/goals/3-good-health-and-well-being/" TargetMode="External"/><Relationship Id="rId30" Type="http://schemas.openxmlformats.org/officeDocument/2006/relationships/header" Target="header4.xml"/><Relationship Id="rId35"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EEEF-D166-4EEB-9392-860CB1EA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13</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22</cp:revision>
  <cp:lastPrinted>1999-07-06T11:00:00Z</cp:lastPrinted>
  <dcterms:created xsi:type="dcterms:W3CDTF">2026-03-14T15:25:00Z</dcterms:created>
  <dcterms:modified xsi:type="dcterms:W3CDTF">2026-03-18T10:29:00Z</dcterms:modified>
</cp:coreProperties>
</file>