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4F219"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RELATIONSHIP BETWEEN COPING STRATEGIES AND QUALITY OF LIFE AMONG PATIENTS WITH TYPE 2 DIABETES MELLITUS IN SELECTED SECONDARY HEALTHCARE FACILITIES IN KADUNA STATE, NIGERIA</w:t>
      </w:r>
    </w:p>
    <w:p w14:paraId="2937A6DA" w14:textId="77777777" w:rsidR="005630CF" w:rsidRPr="00E76487" w:rsidRDefault="005630CF" w:rsidP="00E76487">
      <w:pPr>
        <w:spacing w:after="0" w:line="480" w:lineRule="auto"/>
        <w:jc w:val="both"/>
        <w:rPr>
          <w:rFonts w:ascii="Times New Roman" w:hAnsi="Times New Roman" w:cs="Times New Roman"/>
          <w:sz w:val="24"/>
          <w:szCs w:val="24"/>
        </w:rPr>
      </w:pPr>
    </w:p>
    <w:p w14:paraId="5708BCC8"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Abstract</w:t>
      </w:r>
    </w:p>
    <w:p w14:paraId="053F185B"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Background:</w:t>
      </w:r>
      <w:r w:rsidRPr="00E76487">
        <w:rPr>
          <w:rFonts w:ascii="Times New Roman" w:hAnsi="Times New Roman" w:cs="Times New Roman"/>
          <w:sz w:val="24"/>
          <w:szCs w:val="24"/>
        </w:rPr>
        <w:t xml:space="preserve"> Coping strategies play a central role in determining psychological adjustment, self-management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and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individuals with chronic illnesses such as type 2 diabetes mellitus (T2DM). However, limited evidence exists on how specific coping styles influence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 Nigerian populations.</w:t>
      </w:r>
    </w:p>
    <w:p w14:paraId="60960A69"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Objective:</w:t>
      </w:r>
      <w:r w:rsidRPr="00E76487">
        <w:rPr>
          <w:rFonts w:ascii="Times New Roman" w:hAnsi="Times New Roman" w:cs="Times New Roman"/>
          <w:sz w:val="24"/>
          <w:szCs w:val="24"/>
        </w:rPr>
        <w:t xml:space="preserve"> 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T2DM attending selected secondary healthcare facilities in Kaduna State.</w:t>
      </w:r>
    </w:p>
    <w:p w14:paraId="771A568D" w14:textId="77777777" w:rsidR="00475415" w:rsidRPr="00E76487" w:rsidRDefault="00475415" w:rsidP="00E76487">
      <w:pPr>
        <w:spacing w:after="0" w:line="480" w:lineRule="auto"/>
        <w:jc w:val="both"/>
        <w:rPr>
          <w:rFonts w:ascii="Times New Roman" w:hAnsi="Times New Roman" w:cs="Times New Roman"/>
          <w:b/>
          <w:sz w:val="24"/>
          <w:szCs w:val="24"/>
        </w:rPr>
      </w:pPr>
      <w:r w:rsidRPr="00E76487">
        <w:rPr>
          <w:rFonts w:ascii="Times New Roman" w:hAnsi="Times New Roman" w:cs="Times New Roman"/>
          <w:b/>
          <w:bCs/>
          <w:sz w:val="24"/>
          <w:szCs w:val="24"/>
        </w:rPr>
        <w:t>Methods:</w:t>
      </w:r>
      <w:r w:rsidRPr="00E76487">
        <w:rPr>
          <w:rFonts w:ascii="Times New Roman" w:hAnsi="Times New Roman" w:cs="Times New Roman"/>
          <w:b/>
          <w:sz w:val="24"/>
          <w:szCs w:val="24"/>
        </w:rPr>
        <w:t> </w:t>
      </w:r>
      <w:r w:rsidRPr="00E76487">
        <w:rPr>
          <w:rFonts w:ascii="Times New Roman" w:hAnsi="Times New Roman" w:cs="Times New Roman"/>
          <w:sz w:val="24"/>
          <w:szCs w:val="24"/>
        </w:rPr>
        <w:t xml:space="preserve">A descriptive cross-sectional study was conducted among 332 adults with T2DM recruited from secondary healthcare facilities in Kaduna State, Nigeria. Data were collected using interviewer-administered questionnaires, including the Brief COPE Inventory and the WHOQOL-BREF. Coping strategies were categorized into five domains derived from the Brief COPE: Problem-focused, Social Support, Spiritual, Emotion-focused, and Cognitive Reframing. Spearman's rank-order correlation was used to assess associations between these coping domains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Statistical significance was set at p &lt; 0.05</w:t>
      </w:r>
      <w:r w:rsidRPr="00E76487">
        <w:rPr>
          <w:rFonts w:ascii="Times New Roman" w:hAnsi="Times New Roman" w:cs="Times New Roman"/>
          <w:b/>
          <w:sz w:val="24"/>
          <w:szCs w:val="24"/>
        </w:rPr>
        <w:t>.</w:t>
      </w:r>
    </w:p>
    <w:p w14:paraId="48775B74" w14:textId="77777777" w:rsidR="00475415"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Results</w:t>
      </w:r>
      <w:r w:rsidRPr="00E76487">
        <w:rPr>
          <w:rFonts w:ascii="Times New Roman" w:hAnsi="Times New Roman" w:cs="Times New Roman"/>
          <w:bCs/>
          <w:sz w:val="24"/>
          <w:szCs w:val="24"/>
        </w:rPr>
        <w:t>:</w:t>
      </w:r>
      <w:r w:rsidRPr="00E76487">
        <w:rPr>
          <w:rFonts w:ascii="Times New Roman" w:hAnsi="Times New Roman" w:cs="Times New Roman"/>
          <w:sz w:val="24"/>
          <w:szCs w:val="24"/>
        </w:rPr>
        <w:t xml:space="preserve"> The majority of coping strategies showed no statistically significant correlation with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domains. Social support coping demonstrated a weak, negative correlation with physical functioning (r&lt;sub&gt;s&lt;/sub&gt; = -0.125, p = 0.023). Cognitive reframing showed a weak, positive correlation with the pain impact facet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(r&lt;sub&gt;s&lt;/sub&gt; = 0.184, p &lt; 0.001). No other </w:t>
      </w:r>
      <w:r w:rsidRPr="00E76487">
        <w:rPr>
          <w:rFonts w:ascii="Times New Roman" w:hAnsi="Times New Roman" w:cs="Times New Roman"/>
          <w:sz w:val="24"/>
          <w:szCs w:val="24"/>
        </w:rPr>
        <w:lastRenderedPageBreak/>
        <w:t xml:space="preserve">significant relationships were found between problem-focused, emotion-focused, or spiritual coping and any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w:t>
      </w:r>
    </w:p>
    <w:p w14:paraId="25FC5147" w14:textId="77777777" w:rsidR="008546DC"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 xml:space="preserve"> </w:t>
      </w:r>
      <w:r w:rsidR="008546DC" w:rsidRPr="00E76487">
        <w:rPr>
          <w:rFonts w:ascii="Times New Roman" w:hAnsi="Times New Roman" w:cs="Times New Roman"/>
          <w:b/>
          <w:sz w:val="24"/>
          <w:szCs w:val="24"/>
        </w:rPr>
        <w:t>Conclusion:</w:t>
      </w:r>
      <w:r w:rsidR="008546DC" w:rsidRPr="00E76487">
        <w:rPr>
          <w:rFonts w:ascii="Times New Roman" w:hAnsi="Times New Roman" w:cs="Times New Roman"/>
          <w:sz w:val="24"/>
          <w:szCs w:val="24"/>
        </w:rPr>
        <w:t xml:space="preserve"> Cognitive reframing appears modestly beneficial for pain management in T2DM patients, while </w:t>
      </w:r>
      <w:commentRangeStart w:id="0"/>
      <w:r w:rsidR="008546DC" w:rsidRPr="00E76487">
        <w:rPr>
          <w:rFonts w:ascii="Times New Roman" w:hAnsi="Times New Roman" w:cs="Times New Roman"/>
          <w:sz w:val="24"/>
          <w:szCs w:val="24"/>
        </w:rPr>
        <w:t>excessive reliance on social support may reduce physical functioning</w:t>
      </w:r>
      <w:commentRangeEnd w:id="0"/>
      <w:r w:rsidR="00A24512">
        <w:rPr>
          <w:rStyle w:val="CommentReference"/>
        </w:rPr>
        <w:commentReference w:id="0"/>
      </w:r>
      <w:r w:rsidR="008546DC" w:rsidRPr="00E76487">
        <w:rPr>
          <w:rFonts w:ascii="Times New Roman" w:hAnsi="Times New Roman" w:cs="Times New Roman"/>
          <w:sz w:val="24"/>
          <w:szCs w:val="24"/>
        </w:rPr>
        <w:t>. These findings underscore the importance of promoting adaptive coping strategies within diabetes education programs.</w:t>
      </w:r>
    </w:p>
    <w:p w14:paraId="5BC6C5FE" w14:textId="77777777" w:rsidR="008546DC" w:rsidRPr="00E76487" w:rsidRDefault="008546DC" w:rsidP="00E76487">
      <w:pPr>
        <w:spacing w:after="0" w:line="480" w:lineRule="auto"/>
        <w:jc w:val="both"/>
        <w:rPr>
          <w:rFonts w:ascii="Times New Roman" w:hAnsi="Times New Roman" w:cs="Times New Roman"/>
          <w:sz w:val="24"/>
          <w:szCs w:val="24"/>
        </w:rPr>
      </w:pPr>
    </w:p>
    <w:p w14:paraId="73A679C3" w14:textId="77777777" w:rsidR="008546DC" w:rsidRPr="00E76487" w:rsidRDefault="008546DC" w:rsidP="00E76487">
      <w:pPr>
        <w:spacing w:after="0" w:line="480" w:lineRule="auto"/>
        <w:jc w:val="both"/>
        <w:rPr>
          <w:rFonts w:ascii="Times New Roman" w:hAnsi="Times New Roman" w:cs="Times New Roman"/>
          <w:b/>
          <w:sz w:val="24"/>
          <w:szCs w:val="24"/>
        </w:rPr>
      </w:pPr>
      <w:r w:rsidRPr="00E76487">
        <w:rPr>
          <w:rFonts w:ascii="Times New Roman" w:hAnsi="Times New Roman" w:cs="Times New Roman"/>
          <w:b/>
          <w:sz w:val="24"/>
          <w:szCs w:val="24"/>
        </w:rPr>
        <w:t>Keywords:</w:t>
      </w:r>
    </w:p>
    <w:p w14:paraId="549A1B89"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Type 2 Diabetes Mellitus, Coping Strategies, Quality of Life, Psychosocial Adaptation, Nigeria.</w:t>
      </w:r>
    </w:p>
    <w:p w14:paraId="246A868A"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b/>
          <w:bCs/>
          <w:sz w:val="24"/>
          <w:szCs w:val="24"/>
        </w:rPr>
        <w:t>Introduction</w:t>
      </w:r>
      <w:r w:rsidRPr="00E76487">
        <w:rPr>
          <w:rFonts w:ascii="Times New Roman" w:hAnsi="Times New Roman" w:cs="Times New Roman"/>
          <w:sz w:val="24"/>
          <w:szCs w:val="24"/>
        </w:rPr>
        <w:t> </w:t>
      </w:r>
    </w:p>
    <w:p w14:paraId="25B81B4D"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Type 2 diabetes mellitus (T2DM) is one of the most prevalent non-communicable diseases worldwide and remains a major contributor to morbidity, disability, and premature mortality. Its global burden has escalated significantly over recent decades due to </w:t>
      </w:r>
      <w:proofErr w:type="spellStart"/>
      <w:r w:rsidRPr="00E76487">
        <w:rPr>
          <w:rFonts w:ascii="Times New Roman" w:hAnsi="Times New Roman" w:cs="Times New Roman"/>
          <w:sz w:val="24"/>
          <w:szCs w:val="24"/>
        </w:rPr>
        <w:t>urbanisation</w:t>
      </w:r>
      <w:proofErr w:type="spellEnd"/>
      <w:r w:rsidRPr="00E76487">
        <w:rPr>
          <w:rFonts w:ascii="Times New Roman" w:hAnsi="Times New Roman" w:cs="Times New Roman"/>
          <w:sz w:val="24"/>
          <w:szCs w:val="24"/>
        </w:rPr>
        <w:t xml:space="preserve">, nutrition transition, sedentary lifestyles, and demographic aging </w:t>
      </w:r>
      <w:commentRangeStart w:id="1"/>
      <w:r w:rsidRPr="00E76487">
        <w:rPr>
          <w:rFonts w:ascii="Times New Roman" w:hAnsi="Times New Roman" w:cs="Times New Roman"/>
          <w:sz w:val="24"/>
          <w:szCs w:val="24"/>
        </w:rPr>
        <w:t>(International Diabetes Federation [IDF],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Khan et al., 2019)</w:t>
      </w:r>
      <w:commentRangeEnd w:id="1"/>
      <w:r w:rsidR="005E5DC6">
        <w:rPr>
          <w:rStyle w:val="CommentReference"/>
        </w:rPr>
        <w:commentReference w:id="1"/>
      </w:r>
      <w:r w:rsidRPr="00E76487">
        <w:rPr>
          <w:rFonts w:ascii="Times New Roman" w:hAnsi="Times New Roman" w:cs="Times New Roman"/>
          <w:sz w:val="24"/>
          <w:szCs w:val="24"/>
        </w:rPr>
        <w:t>​. According to the IDF (2021), more than 537 million adults currently live with diabetes, with projections indicating increases to 643 million by 2030 and 783 million by 2045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Hossain et al., 2024)​. The burden is particularly profound in low- and middle-income countries (LMICs) such as Nigeria, where limited healthcare resources, low health literacy, and socioeconomic constraints hinder effective disease management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 xml:space="preserve">Adeniyi </w:t>
      </w:r>
      <w:proofErr w:type="spellStart"/>
      <w:r w:rsidRPr="00E76487">
        <w:rPr>
          <w:rFonts w:ascii="Times New Roman" w:hAnsi="Times New Roman" w:cs="Times New Roman"/>
          <w:sz w:val="24"/>
          <w:szCs w:val="24"/>
        </w:rPr>
        <w:t>Jamiu</w:t>
      </w:r>
      <w:proofErr w:type="spellEnd"/>
      <w:r w:rsidRPr="00E76487">
        <w:rPr>
          <w:rFonts w:ascii="Times New Roman" w:hAnsi="Times New Roman" w:cs="Times New Roman"/>
          <w:sz w:val="24"/>
          <w:szCs w:val="24"/>
        </w:rPr>
        <w:t xml:space="preserve"> et al., 2025)​. Individuals living with T2DM often experience persistent challenges related to fluctuating glucose levels, comorbidities, and lifestyle modification demands, all of which impair their functional capacity and overall well-being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Nikpour</w:t>
      </w:r>
      <w:proofErr w:type="spellEnd"/>
      <w:r w:rsidRPr="00E76487">
        <w:rPr>
          <w:rFonts w:ascii="Times New Roman" w:hAnsi="Times New Roman" w:cs="Times New Roman"/>
          <w:sz w:val="24"/>
          <w:szCs w:val="24"/>
        </w:rPr>
        <w:t xml:space="preserve"> et al., 2022)​ . </w:t>
      </w:r>
    </w:p>
    <w:p w14:paraId="22FC112C"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lastRenderedPageBreak/>
        <w:t>The self-management demands of T2DM are extensive and continuous. Effective control requires medication adherence, regular blood glucose monitoring, dietary modification, adequate physical activity, and frequent consultations with healthcare providers. These rigorous and lifelong responsibilities often generate psychological strain and diabetes-related distress, contributing to burnout, anxiety, and depressive symptoms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Mahlare</w:t>
      </w:r>
      <w:proofErr w:type="spellEnd"/>
      <w:r w:rsidRPr="00E76487">
        <w:rPr>
          <w:rFonts w:ascii="Times New Roman" w:hAnsi="Times New Roman" w:cs="Times New Roman"/>
          <w:sz w:val="24"/>
          <w:szCs w:val="24"/>
        </w:rPr>
        <w:t xml:space="preserve"> et al., 2024)​. </w:t>
      </w:r>
      <w:commentRangeStart w:id="2"/>
      <w:r w:rsidRPr="00E76487">
        <w:rPr>
          <w:rFonts w:ascii="Times New Roman" w:hAnsi="Times New Roman" w:cs="Times New Roman"/>
          <w:sz w:val="24"/>
          <w:szCs w:val="24"/>
        </w:rPr>
        <w:t>Studies have shown that emotional distress adversely affects patient motivation and decision-</w:t>
      </w:r>
      <w:proofErr w:type="gramStart"/>
      <w:r w:rsidRPr="00E76487">
        <w:rPr>
          <w:rFonts w:ascii="Times New Roman" w:hAnsi="Times New Roman" w:cs="Times New Roman"/>
          <w:sz w:val="24"/>
          <w:szCs w:val="24"/>
        </w:rPr>
        <w:t>making  Consequently</w:t>
      </w:r>
      <w:proofErr w:type="gramEnd"/>
      <w:r w:rsidRPr="00E76487">
        <w:rPr>
          <w:rFonts w:ascii="Times New Roman" w:hAnsi="Times New Roman" w:cs="Times New Roman"/>
          <w:sz w:val="24"/>
          <w:szCs w:val="24"/>
        </w:rPr>
        <w:t>, T2DM impacts not only biological functioning but also psychological, social, and environmental dimensions of patients’ lives capabilities,</w:t>
      </w:r>
      <w:commentRangeEnd w:id="2"/>
      <w:r w:rsidR="00D12E8B">
        <w:rPr>
          <w:rStyle w:val="CommentReference"/>
        </w:rPr>
        <w:commentReference w:id="2"/>
      </w:r>
      <w:r w:rsidRPr="00E76487">
        <w:rPr>
          <w:rFonts w:ascii="Times New Roman" w:hAnsi="Times New Roman" w:cs="Times New Roman"/>
          <w:sz w:val="24"/>
          <w:szCs w:val="24"/>
        </w:rPr>
        <w:t xml:space="preserve"> resulting in suboptimal adherence and deteriorating </w:t>
      </w:r>
      <w:proofErr w:type="spellStart"/>
      <w:r w:rsidRPr="00E76487">
        <w:rPr>
          <w:rFonts w:ascii="Times New Roman" w:hAnsi="Times New Roman" w:cs="Times New Roman"/>
          <w:sz w:val="24"/>
          <w:szCs w:val="24"/>
        </w:rPr>
        <w:t>glycaemic</w:t>
      </w:r>
      <w:proofErr w:type="spellEnd"/>
      <w:r w:rsidRPr="00E76487">
        <w:rPr>
          <w:rFonts w:ascii="Times New Roman" w:hAnsi="Times New Roman" w:cs="Times New Roman"/>
          <w:sz w:val="24"/>
          <w:szCs w:val="24"/>
        </w:rPr>
        <w:t> outcomes ​(</w:t>
      </w:r>
      <w:proofErr w:type="spellStart"/>
      <w:r w:rsidRPr="00E76487">
        <w:rPr>
          <w:rFonts w:ascii="Times New Roman" w:hAnsi="Times New Roman" w:cs="Times New Roman"/>
          <w:sz w:val="24"/>
          <w:szCs w:val="24"/>
        </w:rPr>
        <w:t>Rariden</w:t>
      </w:r>
      <w:proofErr w:type="spellEnd"/>
      <w:r w:rsidRPr="00E76487">
        <w:rPr>
          <w:rFonts w:ascii="Times New Roman" w:hAnsi="Times New Roman" w:cs="Times New Roman"/>
          <w:sz w:val="24"/>
          <w:szCs w:val="24"/>
        </w:rPr>
        <w:t>, 2019)​ </w:t>
      </w:r>
    </w:p>
    <w:p w14:paraId="3B2B814D"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has therefore emerged as a critical indicator for evaluating the overall impact of chronic diseases and the effectiveness of diabetes care interventions.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encompasses individuals’ subjective assessments of their physical health, psychological well-being, social relationships, and interaction with their environment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Hu et al., 2024)​. In people with T2DM,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is often compromised due to complications such as neuropathy, retinopathy, chronic pain, fatigue, and limited mobility, as well as psychological challenges such as fear of complications, frustration, and social isolation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Wali</w:t>
      </w:r>
      <w:proofErr w:type="spellEnd"/>
      <w:r w:rsidRPr="00E76487">
        <w:rPr>
          <w:rFonts w:ascii="Times New Roman" w:hAnsi="Times New Roman" w:cs="Times New Roman"/>
          <w:sz w:val="24"/>
          <w:szCs w:val="24"/>
        </w:rPr>
        <w:t xml:space="preserve"> Ahmed et al., 2025)​. Evidence suggests that poor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is associated with reduced adherence to treatment, inadequate metabolic control, increased healthcare </w:t>
      </w:r>
      <w:proofErr w:type="spellStart"/>
      <w:r w:rsidRPr="00E76487">
        <w:rPr>
          <w:rFonts w:ascii="Times New Roman" w:hAnsi="Times New Roman" w:cs="Times New Roman"/>
          <w:sz w:val="24"/>
          <w:szCs w:val="24"/>
        </w:rPr>
        <w:t>utilisation</w:t>
      </w:r>
      <w:proofErr w:type="spellEnd"/>
      <w:r w:rsidRPr="00E76487">
        <w:rPr>
          <w:rFonts w:ascii="Times New Roman" w:hAnsi="Times New Roman" w:cs="Times New Roman"/>
          <w:sz w:val="24"/>
          <w:szCs w:val="24"/>
        </w:rPr>
        <w:t>, and higher mortality risk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Religioni</w:t>
      </w:r>
      <w:proofErr w:type="spellEnd"/>
      <w:r w:rsidRPr="00E76487">
        <w:rPr>
          <w:rFonts w:ascii="Times New Roman" w:hAnsi="Times New Roman" w:cs="Times New Roman"/>
          <w:sz w:val="24"/>
          <w:szCs w:val="24"/>
        </w:rPr>
        <w:t xml:space="preserve"> et al., 2025)​. </w:t>
      </w:r>
    </w:p>
    <w:p w14:paraId="0F0C4948"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Coping strategies are essential to understanding how individuals psychologically and </w:t>
      </w:r>
      <w:proofErr w:type="spellStart"/>
      <w:r w:rsidRPr="00E76487">
        <w:rPr>
          <w:rFonts w:ascii="Times New Roman" w:hAnsi="Times New Roman" w:cs="Times New Roman"/>
          <w:sz w:val="24"/>
          <w:szCs w:val="24"/>
        </w:rPr>
        <w:t>behaviourally</w:t>
      </w:r>
      <w:proofErr w:type="spellEnd"/>
      <w:r w:rsidRPr="00E76487">
        <w:rPr>
          <w:rFonts w:ascii="Times New Roman" w:hAnsi="Times New Roman" w:cs="Times New Roman"/>
          <w:sz w:val="24"/>
          <w:szCs w:val="24"/>
        </w:rPr>
        <w:t> adjust to the demands of chronic illnesses. Coping refers to the cognitive and </w:t>
      </w:r>
      <w:proofErr w:type="spellStart"/>
      <w:r w:rsidRPr="00E76487">
        <w:rPr>
          <w:rFonts w:ascii="Times New Roman" w:hAnsi="Times New Roman" w:cs="Times New Roman"/>
          <w:sz w:val="24"/>
          <w:szCs w:val="24"/>
        </w:rPr>
        <w:t>behavioural</w:t>
      </w:r>
      <w:proofErr w:type="spellEnd"/>
      <w:r w:rsidRPr="00E76487">
        <w:rPr>
          <w:rFonts w:ascii="Times New Roman" w:hAnsi="Times New Roman" w:cs="Times New Roman"/>
          <w:sz w:val="24"/>
          <w:szCs w:val="24"/>
        </w:rPr>
        <w:t> efforts employed to manage stressors perceived as overwhelming or threatening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2025a)​. Adaptive coping strategies such as acceptance, positive reframing, </w:t>
      </w:r>
      <w:r w:rsidRPr="00E76487">
        <w:rPr>
          <w:rFonts w:ascii="Times New Roman" w:hAnsi="Times New Roman" w:cs="Times New Roman"/>
          <w:sz w:val="24"/>
          <w:szCs w:val="24"/>
        </w:rPr>
        <w:lastRenderedPageBreak/>
        <w:t>emotional support, and problem-solving are associated with better psychological outcomes, improved self-care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and greater resilience among patients with chronic diseases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2025b)​. Conversely, maladaptive coping strategies including denial, avoidance, self-blame, and </w:t>
      </w:r>
      <w:proofErr w:type="spellStart"/>
      <w:r w:rsidRPr="00E76487">
        <w:rPr>
          <w:rFonts w:ascii="Times New Roman" w:hAnsi="Times New Roman" w:cs="Times New Roman"/>
          <w:sz w:val="24"/>
          <w:szCs w:val="24"/>
        </w:rPr>
        <w:t>behavioural</w:t>
      </w:r>
      <w:proofErr w:type="spellEnd"/>
      <w:r w:rsidRPr="00E76487">
        <w:rPr>
          <w:rFonts w:ascii="Times New Roman" w:hAnsi="Times New Roman" w:cs="Times New Roman"/>
          <w:sz w:val="24"/>
          <w:szCs w:val="24"/>
        </w:rPr>
        <w:t> disengagement have been linked to elevated diabetes distress, diminished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and poorer </w:t>
      </w:r>
      <w:proofErr w:type="spellStart"/>
      <w:r w:rsidRPr="00E76487">
        <w:rPr>
          <w:rFonts w:ascii="Times New Roman" w:hAnsi="Times New Roman" w:cs="Times New Roman"/>
          <w:sz w:val="24"/>
          <w:szCs w:val="24"/>
        </w:rPr>
        <w:t>glycaemic</w:t>
      </w:r>
      <w:proofErr w:type="spellEnd"/>
      <w:r w:rsidRPr="00E76487">
        <w:rPr>
          <w:rFonts w:ascii="Times New Roman" w:hAnsi="Times New Roman" w:cs="Times New Roman"/>
          <w:sz w:val="24"/>
          <w:szCs w:val="24"/>
        </w:rPr>
        <w:t> control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2025b)​. The way individuals cope with T2DM therefore has significant implications for their psychological adjustment and overall health outcomes. </w:t>
      </w:r>
    </w:p>
    <w:p w14:paraId="65640E9E"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In Nigeria, coping strategies are strongly shaped by cultural norms, religious beliefs, extended family structures, and socioeconomic conditions. Many individuals rely on prayer, faith-based healing, community networks, and family support as primary coping mechanisms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Amadi</w:t>
      </w:r>
      <w:proofErr w:type="spellEnd"/>
      <w:r w:rsidRPr="00E76487">
        <w:rPr>
          <w:rFonts w:ascii="Times New Roman" w:hAnsi="Times New Roman" w:cs="Times New Roman"/>
          <w:sz w:val="24"/>
          <w:szCs w:val="24"/>
        </w:rPr>
        <w:t xml:space="preserve"> et al., 2016)​ . While these approaches may enhance emotional comfort and provide social reinforcement, they may also lead to delayed treatment-seeking or reduced engagement with medical advice when not properly integrated with biomedical care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Reblin</w:t>
      </w:r>
      <w:proofErr w:type="spellEnd"/>
      <w:r w:rsidRPr="00E76487">
        <w:rPr>
          <w:rFonts w:ascii="Times New Roman" w:hAnsi="Times New Roman" w:cs="Times New Roman"/>
          <w:sz w:val="24"/>
          <w:szCs w:val="24"/>
        </w:rPr>
        <w:t xml:space="preserve"> &amp; Uchino, 2008)​. Despite the importance of these cultural dynamics, there is limited empirical evidence examining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among patients with diabetes in Nigeria. Existing studies have largely focused on clinical indicators, knowledge of diabetes, and prevalence of complications, with insufficient attention to psychosocial determinants of well-being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Jackson et al., 2023)​ . This gap underscores the need for context-specific research exploring how coping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influence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w:t>
      </w:r>
    </w:p>
    <w:p w14:paraId="4A91BDD5" w14:textId="77777777" w:rsidR="00E76487" w:rsidRPr="00E76487" w:rsidRDefault="00E76487" w:rsidP="00E76487">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Given these considerations, understanding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is crucial for designing culturally sensitive psychosocial interventions that address both the psychological and clinical aspects of diabetes care. Such insights can support healthcare professionals particularly nurses who play a frontline role in patient education </w:t>
      </w:r>
      <w:r w:rsidRPr="00E76487">
        <w:rPr>
          <w:rFonts w:ascii="Times New Roman" w:hAnsi="Times New Roman" w:cs="Times New Roman"/>
          <w:sz w:val="24"/>
          <w:szCs w:val="24"/>
        </w:rPr>
        <w:lastRenderedPageBreak/>
        <w:t>to identify individuals at risk of maladaptive coping, strengthen adaptive </w:t>
      </w:r>
      <w:proofErr w:type="spellStart"/>
      <w:r w:rsidRPr="00E76487">
        <w:rPr>
          <w:rFonts w:ascii="Times New Roman" w:hAnsi="Times New Roman" w:cs="Times New Roman"/>
          <w:sz w:val="24"/>
          <w:szCs w:val="24"/>
        </w:rPr>
        <w:t>behavioural</w:t>
      </w:r>
      <w:proofErr w:type="spellEnd"/>
      <w:r w:rsidRPr="00E76487">
        <w:rPr>
          <w:rFonts w:ascii="Times New Roman" w:hAnsi="Times New Roman" w:cs="Times New Roman"/>
          <w:sz w:val="24"/>
          <w:szCs w:val="24"/>
        </w:rPr>
        <w:t> patterns, and implement tailored counselling and educational strategies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Hapunda</w:t>
      </w:r>
      <w:proofErr w:type="spellEnd"/>
      <w:r w:rsidRPr="00E76487">
        <w:rPr>
          <w:rFonts w:ascii="Times New Roman" w:hAnsi="Times New Roman" w:cs="Times New Roman"/>
          <w:sz w:val="24"/>
          <w:szCs w:val="24"/>
        </w:rPr>
        <w:t xml:space="preserve">, 2022)​. </w:t>
      </w:r>
      <w:commentRangeStart w:id="3"/>
      <w:r w:rsidRPr="00E76487">
        <w:rPr>
          <w:rFonts w:ascii="Times New Roman" w:hAnsi="Times New Roman" w:cs="Times New Roman"/>
          <w:sz w:val="24"/>
          <w:szCs w:val="24"/>
        </w:rPr>
        <w:t xml:space="preserve">This study therefore examines </w:t>
      </w:r>
      <w:commentRangeEnd w:id="3"/>
      <w:r w:rsidR="007E58D2">
        <w:rPr>
          <w:rStyle w:val="CommentReference"/>
        </w:rPr>
        <w:commentReference w:id="3"/>
      </w:r>
      <w:r w:rsidRPr="00E76487">
        <w:rPr>
          <w:rFonts w:ascii="Times New Roman" w:hAnsi="Times New Roman" w:cs="Times New Roman"/>
          <w:sz w:val="24"/>
          <w:szCs w:val="24"/>
        </w:rPr>
        <w:t>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domains among patients with T2DM in Kaduna State, providing evidence to inform patient-</w:t>
      </w:r>
      <w:proofErr w:type="spellStart"/>
      <w:r w:rsidRPr="00E76487">
        <w:rPr>
          <w:rFonts w:ascii="Times New Roman" w:hAnsi="Times New Roman" w:cs="Times New Roman"/>
          <w:sz w:val="24"/>
          <w:szCs w:val="24"/>
        </w:rPr>
        <w:t>centred</w:t>
      </w:r>
      <w:proofErr w:type="spellEnd"/>
      <w:r w:rsidRPr="00E76487">
        <w:rPr>
          <w:rFonts w:ascii="Times New Roman" w:hAnsi="Times New Roman" w:cs="Times New Roman"/>
          <w:sz w:val="24"/>
          <w:szCs w:val="24"/>
        </w:rPr>
        <w:t> and nurse-led interventions aimed at improving overall well-being. </w:t>
      </w:r>
    </w:p>
    <w:p w14:paraId="542C6693" w14:textId="77777777" w:rsidR="008546DC" w:rsidRPr="00E76487" w:rsidRDefault="008546DC" w:rsidP="00E76487">
      <w:pPr>
        <w:spacing w:after="0" w:line="480" w:lineRule="auto"/>
        <w:jc w:val="both"/>
        <w:rPr>
          <w:rFonts w:ascii="Times New Roman" w:hAnsi="Times New Roman" w:cs="Times New Roman"/>
          <w:b/>
          <w:sz w:val="24"/>
          <w:szCs w:val="24"/>
        </w:rPr>
      </w:pPr>
      <w:commentRangeStart w:id="4"/>
      <w:r w:rsidRPr="00E76487">
        <w:rPr>
          <w:rFonts w:ascii="Times New Roman" w:hAnsi="Times New Roman" w:cs="Times New Roman"/>
          <w:b/>
          <w:sz w:val="24"/>
          <w:szCs w:val="24"/>
        </w:rPr>
        <w:t>Methods</w:t>
      </w:r>
      <w:commentRangeEnd w:id="4"/>
      <w:r w:rsidR="005470B8">
        <w:rPr>
          <w:rStyle w:val="CommentReference"/>
        </w:rPr>
        <w:commentReference w:id="4"/>
      </w:r>
    </w:p>
    <w:p w14:paraId="4667F935" w14:textId="77777777" w:rsidR="00CE181F" w:rsidRPr="00E76487" w:rsidRDefault="00CE181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Design:</w:t>
      </w:r>
      <w:r w:rsidRPr="00E76487">
        <w:rPr>
          <w:rFonts w:ascii="Times New Roman" w:hAnsi="Times New Roman" w:cs="Times New Roman"/>
          <w:sz w:val="24"/>
          <w:szCs w:val="24"/>
        </w:rPr>
        <w:t xml:space="preserve"> This study employed a descriptive cross-sectional correlational design to examine the association between coping strategies and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type 2 diabetes mellitus (T2DM). This design was selected because it enables the assessment of variables as they naturally occur in the population at a single point in time, without manipulation or intervention. The correlational component of the design allowed for the identification of statistical relationships between coping patterns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domains.</w:t>
      </w:r>
    </w:p>
    <w:p w14:paraId="1DD03DFF" w14:textId="77777777" w:rsidR="00CE181F" w:rsidRPr="00E76487" w:rsidRDefault="00CE181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Setting:</w:t>
      </w:r>
      <w:r w:rsidRPr="00E76487">
        <w:rPr>
          <w:rFonts w:ascii="Times New Roman" w:hAnsi="Times New Roman" w:cs="Times New Roman"/>
          <w:sz w:val="24"/>
          <w:szCs w:val="24"/>
        </w:rPr>
        <w:t xml:space="preserve"> The study was conducted in selected secondary healthcare facilities in Kaduna South and </w:t>
      </w:r>
      <w:proofErr w:type="spellStart"/>
      <w:r w:rsidRPr="00E76487">
        <w:rPr>
          <w:rFonts w:ascii="Times New Roman" w:hAnsi="Times New Roman" w:cs="Times New Roman"/>
          <w:sz w:val="24"/>
          <w:szCs w:val="24"/>
        </w:rPr>
        <w:t>Chikun</w:t>
      </w:r>
      <w:proofErr w:type="spellEnd"/>
      <w:r w:rsidRPr="00E76487">
        <w:rPr>
          <w:rFonts w:ascii="Times New Roman" w:hAnsi="Times New Roman" w:cs="Times New Roman"/>
          <w:sz w:val="24"/>
          <w:szCs w:val="24"/>
        </w:rPr>
        <w:t xml:space="preserve"> Local Government Areas (LGAs) of Kaduna State, Nigeria. These LGAs were chosen for their high patient load, established diabetes clinics, and accessibility to both urban and peri-urban populations. The facilities provide routine diabetes care and attract a diverse patient population suitable for assessing coping strategies in a clinical context.</w:t>
      </w:r>
    </w:p>
    <w:p w14:paraId="58E72E03" w14:textId="77777777" w:rsidR="00CE181F" w:rsidRPr="00E76487" w:rsidRDefault="00CE181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Participants:</w:t>
      </w:r>
      <w:r w:rsidRPr="00E76487">
        <w:rPr>
          <w:rFonts w:ascii="Times New Roman" w:hAnsi="Times New Roman" w:cs="Times New Roman"/>
          <w:sz w:val="24"/>
          <w:szCs w:val="24"/>
        </w:rPr>
        <w:t xml:space="preserve"> The study population consisted of adult male and female patients aged 18 years and above with a clinically confirmed diagnosis of T2DM for at least six months, ensuring adequate experience with the condition to develop coping strategies. Only individuals able to communicate in English or Hausa were included. Patients with gestational diabetes, severe cognitive impairment, acute medical crises, major comorbidities that hindered communication, </w:t>
      </w:r>
      <w:r w:rsidRPr="00E76487">
        <w:rPr>
          <w:rFonts w:ascii="Times New Roman" w:hAnsi="Times New Roman" w:cs="Times New Roman"/>
          <w:sz w:val="24"/>
          <w:szCs w:val="24"/>
        </w:rPr>
        <w:lastRenderedPageBreak/>
        <w:t>or those unwilling or too ill to provide consent were excluded. Eligible participants were recruited consecutively during routine clinic visits.</w:t>
      </w:r>
    </w:p>
    <w:p w14:paraId="37DD02C8" w14:textId="77777777" w:rsidR="00475415"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Variables</w:t>
      </w:r>
    </w:p>
    <w:p w14:paraId="34C07664" w14:textId="77777777" w:rsidR="00475415"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Quantitative Variables:</w:t>
      </w:r>
    </w:p>
    <w:p w14:paraId="568ABBF5" w14:textId="77777777" w:rsidR="00475415" w:rsidRPr="00E76487" w:rsidRDefault="00475415" w:rsidP="00E76487">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Dependent Variable:</w:t>
      </w:r>
      <w:r w:rsidRPr="00E76487">
        <w:rPr>
          <w:rFonts w:ascii="Times New Roman" w:hAnsi="Times New Roman" w:cs="Times New Roman"/>
          <w:sz w:val="24"/>
          <w:szCs w:val="24"/>
        </w:rPr>
        <w:t>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This was measured using the WHOQOL-BREF, which assesses four domains: Physical Health, Psychological Health, Social Relationships, and Environment. For this analysis, specific facets within these domains (e.g., Pain Impact, which is an item within the Physical Health domain) were also examined as key indicators, in line with the study's objectives.</w:t>
      </w:r>
    </w:p>
    <w:p w14:paraId="235999D8" w14:textId="77777777" w:rsidR="00475415" w:rsidRPr="00E76487" w:rsidRDefault="00475415" w:rsidP="00E76487">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Independent Variable:</w:t>
      </w:r>
      <w:r w:rsidRPr="00E76487">
        <w:rPr>
          <w:rFonts w:ascii="Times New Roman" w:hAnsi="Times New Roman" w:cs="Times New Roman"/>
          <w:sz w:val="24"/>
          <w:szCs w:val="24"/>
        </w:rPr>
        <w:t> Coping Strategies. These were measured using the 28-item Brief COPE Inventory. For this study, specific coping subscales were grouped into five conceptually distinct domains based on prior factor analytic studies and the research context:</w:t>
      </w:r>
    </w:p>
    <w:p w14:paraId="3F6FC644"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Problem-Focused Coping:</w:t>
      </w:r>
      <w:r w:rsidRPr="00E76487">
        <w:rPr>
          <w:rFonts w:ascii="Times New Roman" w:hAnsi="Times New Roman" w:cs="Times New Roman"/>
          <w:sz w:val="24"/>
          <w:szCs w:val="24"/>
        </w:rPr>
        <w:t> Comprising the Active Coping and Planning subscales.</w:t>
      </w:r>
    </w:p>
    <w:p w14:paraId="3E15ED87"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Emotion-Focused Coping:</w:t>
      </w:r>
      <w:r w:rsidRPr="00E76487">
        <w:rPr>
          <w:rFonts w:ascii="Times New Roman" w:hAnsi="Times New Roman" w:cs="Times New Roman"/>
          <w:sz w:val="24"/>
          <w:szCs w:val="24"/>
        </w:rPr>
        <w:t> Comprising the Positive Reframing</w:t>
      </w:r>
      <w:r w:rsidRPr="00E76487">
        <w:rPr>
          <w:rFonts w:ascii="Times New Roman" w:hAnsi="Times New Roman" w:cs="Times New Roman"/>
          <w:i/>
          <w:iCs/>
          <w:sz w:val="24"/>
          <w:szCs w:val="24"/>
        </w:rPr>
        <w:t>, Acceptance, Humor, and Emotional Support</w:t>
      </w:r>
      <w:r w:rsidRPr="00E76487">
        <w:rPr>
          <w:rFonts w:ascii="Times New Roman" w:hAnsi="Times New Roman" w:cs="Times New Roman"/>
          <w:sz w:val="24"/>
          <w:szCs w:val="24"/>
        </w:rPr>
        <w:t> subscales.</w:t>
      </w:r>
    </w:p>
    <w:p w14:paraId="6A46312D"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Social Support Coping:</w:t>
      </w:r>
      <w:r w:rsidRPr="00E76487">
        <w:rPr>
          <w:rFonts w:ascii="Times New Roman" w:hAnsi="Times New Roman" w:cs="Times New Roman"/>
          <w:sz w:val="24"/>
          <w:szCs w:val="24"/>
        </w:rPr>
        <w:t> Comprising the Emotional Support* and Instrumental Support subscales. (Note: *These subscales are noted where they overlap conceptually).</w:t>
      </w:r>
    </w:p>
    <w:p w14:paraId="21D98316"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Spiritual Coping:</w:t>
      </w:r>
      <w:r w:rsidRPr="00E76487">
        <w:rPr>
          <w:rFonts w:ascii="Times New Roman" w:hAnsi="Times New Roman" w:cs="Times New Roman"/>
          <w:sz w:val="24"/>
          <w:szCs w:val="24"/>
        </w:rPr>
        <w:t> Comprising the Religion subscale.</w:t>
      </w:r>
    </w:p>
    <w:p w14:paraId="3086A082" w14:textId="77777777" w:rsidR="00475415" w:rsidRPr="00E76487" w:rsidRDefault="00475415" w:rsidP="00E76487">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Cognitive Reframing:</w:t>
      </w:r>
      <w:r w:rsidRPr="00E76487">
        <w:rPr>
          <w:rFonts w:ascii="Times New Roman" w:hAnsi="Times New Roman" w:cs="Times New Roman"/>
          <w:sz w:val="24"/>
          <w:szCs w:val="24"/>
        </w:rPr>
        <w:t> </w:t>
      </w:r>
      <w:commentRangeStart w:id="5"/>
      <w:r w:rsidRPr="00E76487">
        <w:rPr>
          <w:rFonts w:ascii="Times New Roman" w:hAnsi="Times New Roman" w:cs="Times New Roman"/>
          <w:sz w:val="24"/>
          <w:szCs w:val="24"/>
        </w:rPr>
        <w:t xml:space="preserve">Comprising the Positive Reframing* </w:t>
      </w:r>
      <w:commentRangeEnd w:id="5"/>
      <w:r w:rsidR="00AC7558">
        <w:rPr>
          <w:rStyle w:val="CommentReference"/>
        </w:rPr>
        <w:commentReference w:id="5"/>
      </w:r>
      <w:r w:rsidRPr="00E76487">
        <w:rPr>
          <w:rFonts w:ascii="Times New Roman" w:hAnsi="Times New Roman" w:cs="Times New Roman"/>
          <w:sz w:val="24"/>
          <w:szCs w:val="24"/>
        </w:rPr>
        <w:t>subscale. (Note: This was analyzed separately due to its specific hypothesized role in pain perception).</w:t>
      </w:r>
    </w:p>
    <w:p w14:paraId="37C879F0" w14:textId="77777777" w:rsidR="00475415" w:rsidRPr="00E76487" w:rsidRDefault="00475415" w:rsidP="00E76487">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lastRenderedPageBreak/>
        <w:t>Covariates:</w:t>
      </w:r>
      <w:r w:rsidRPr="00E76487">
        <w:rPr>
          <w:rFonts w:ascii="Times New Roman" w:hAnsi="Times New Roman" w:cs="Times New Roman"/>
          <w:sz w:val="24"/>
          <w:szCs w:val="24"/>
        </w:rPr>
        <w:t> Sociodemographic and clinical characteristics, including age, gender, marital status, educational level, employment status, and duration since T2DM diagnosis.</w:t>
      </w:r>
    </w:p>
    <w:p w14:paraId="20FAB672" w14:textId="77777777" w:rsidR="00475415"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Qualitative Variables:</w:t>
      </w:r>
      <w:r w:rsidRPr="00E76487">
        <w:rPr>
          <w:rFonts w:ascii="Times New Roman" w:hAnsi="Times New Roman" w:cs="Times New Roman"/>
          <w:sz w:val="24"/>
          <w:szCs w:val="24"/>
        </w:rPr>
        <w:t> Not applicable to the core quantitative analysis presented in this paper. Any narrative data collected will be reported in a separate qualitative study.</w:t>
      </w:r>
    </w:p>
    <w:p w14:paraId="4D35E71D" w14:textId="77777777" w:rsidR="00CE181F" w:rsidRPr="00E76487" w:rsidRDefault="00475415"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 xml:space="preserve"> </w:t>
      </w:r>
      <w:r w:rsidR="00CE181F" w:rsidRPr="00E76487">
        <w:rPr>
          <w:rFonts w:ascii="Times New Roman" w:hAnsi="Times New Roman" w:cs="Times New Roman"/>
          <w:b/>
          <w:sz w:val="24"/>
          <w:szCs w:val="24"/>
        </w:rPr>
        <w:t>Sam</w:t>
      </w:r>
      <w:r w:rsidR="00DA06D8" w:rsidRPr="00E76487">
        <w:rPr>
          <w:rFonts w:ascii="Times New Roman" w:hAnsi="Times New Roman" w:cs="Times New Roman"/>
          <w:b/>
          <w:sz w:val="24"/>
          <w:szCs w:val="24"/>
        </w:rPr>
        <w:t>ple Size and Sampling Technique:</w:t>
      </w:r>
      <w:r w:rsidR="00DA06D8" w:rsidRPr="00E76487">
        <w:rPr>
          <w:rFonts w:ascii="Times New Roman" w:hAnsi="Times New Roman" w:cs="Times New Roman"/>
          <w:sz w:val="24"/>
          <w:szCs w:val="24"/>
        </w:rPr>
        <w:t xml:space="preserve"> </w:t>
      </w:r>
      <w:r w:rsidR="00CE181F" w:rsidRPr="00E76487">
        <w:rPr>
          <w:rFonts w:ascii="Times New Roman" w:hAnsi="Times New Roman" w:cs="Times New Roman"/>
          <w:sz w:val="24"/>
          <w:szCs w:val="24"/>
        </w:rPr>
        <w:t>A total sample size of 332 participants was obtained. The sample size was determined using Cochran’s formula for cross-sectional studies, adjusted for anticipated non-response to ensure adequate statistical power. A multistage sampling technique was adopted. First, the two LGAs were purposively selected. Next, secondary healthcare facilities within the LGAs were stratified and randomly selected. Finally, within each facility, convenience sampling was used to recruit participants consecutively as they presented for clinic appointments until the required sample size was achieved.</w:t>
      </w:r>
    </w:p>
    <w:p w14:paraId="27F02A1D" w14:textId="77777777" w:rsidR="00146A5B" w:rsidRPr="00E76487" w:rsidRDefault="00146A5B"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Data Measurement/Sources:</w:t>
      </w:r>
      <w:r w:rsidRPr="00E76487">
        <w:rPr>
          <w:rFonts w:ascii="Times New Roman" w:hAnsi="Times New Roman" w:cs="Times New Roman"/>
          <w:sz w:val="24"/>
          <w:szCs w:val="24"/>
        </w:rPr>
        <w:t xml:space="preserve"> Data were collected using a structured, interviewer-administered questionnaire that comprised three sections: sociodemographic information, coping strategies measured using the Brief COPE Inventory,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measured using the WHOQOL-BREF. Both tools were adapted for cultural relevance, translated into Hausa, and pre-tested to ensure clarity and reliability. Additional narrative data on coping experiences were obtained through open-ended questions included in the questionnaire.</w:t>
      </w:r>
    </w:p>
    <w:p w14:paraId="438C6790" w14:textId="77777777" w:rsidR="00475415" w:rsidRPr="00E76487" w:rsidRDefault="00475415" w:rsidP="00E76487">
      <w:pPr>
        <w:spacing w:after="0" w:line="480" w:lineRule="auto"/>
        <w:jc w:val="both"/>
        <w:rPr>
          <w:rFonts w:ascii="Times New Roman" w:hAnsi="Times New Roman" w:cs="Times New Roman"/>
          <w:b/>
          <w:sz w:val="24"/>
          <w:szCs w:val="24"/>
        </w:rPr>
      </w:pPr>
      <w:r w:rsidRPr="00E76487">
        <w:rPr>
          <w:rFonts w:ascii="Times New Roman" w:hAnsi="Times New Roman" w:cs="Times New Roman"/>
          <w:b/>
          <w:bCs/>
          <w:sz w:val="24"/>
          <w:szCs w:val="24"/>
        </w:rPr>
        <w:t>Statistics</w:t>
      </w:r>
      <w:r w:rsidRPr="00E76487">
        <w:rPr>
          <w:rFonts w:ascii="Times New Roman" w:hAnsi="Times New Roman" w:cs="Times New Roman"/>
          <w:sz w:val="24"/>
          <w:szCs w:val="24"/>
        </w:rPr>
        <w:br/>
        <w:t xml:space="preserve">Data were </w:t>
      </w:r>
      <w:proofErr w:type="spellStart"/>
      <w:r w:rsidRPr="00E76487">
        <w:rPr>
          <w:rFonts w:ascii="Times New Roman" w:hAnsi="Times New Roman" w:cs="Times New Roman"/>
          <w:sz w:val="24"/>
          <w:szCs w:val="24"/>
        </w:rPr>
        <w:t>analysed</w:t>
      </w:r>
      <w:proofErr w:type="spellEnd"/>
      <w:r w:rsidRPr="00E76487">
        <w:rPr>
          <w:rFonts w:ascii="Times New Roman" w:hAnsi="Times New Roman" w:cs="Times New Roman"/>
          <w:sz w:val="24"/>
          <w:szCs w:val="24"/>
        </w:rPr>
        <w:t xml:space="preserve"> using SPSS version 25. Descriptive statistics (frequencies, percentages, means, standard deviations) were used to </w:t>
      </w:r>
      <w:proofErr w:type="spellStart"/>
      <w:r w:rsidRPr="00E76487">
        <w:rPr>
          <w:rFonts w:ascii="Times New Roman" w:hAnsi="Times New Roman" w:cs="Times New Roman"/>
          <w:sz w:val="24"/>
          <w:szCs w:val="24"/>
        </w:rPr>
        <w:t>summarise</w:t>
      </w:r>
      <w:proofErr w:type="spellEnd"/>
      <w:r w:rsidRPr="00E76487">
        <w:rPr>
          <w:rFonts w:ascii="Times New Roman" w:hAnsi="Times New Roman" w:cs="Times New Roman"/>
          <w:sz w:val="24"/>
          <w:szCs w:val="24"/>
        </w:rPr>
        <w:t xml:space="preserve"> participant characteristics, coping strategy scores,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 scores. The internal consistency of the Brief COPE and WHOQOL-BREF scales within this sample was assessed using </w:t>
      </w:r>
      <w:commentRangeStart w:id="6"/>
      <w:r w:rsidRPr="00E76487">
        <w:rPr>
          <w:rFonts w:ascii="Times New Roman" w:hAnsi="Times New Roman" w:cs="Times New Roman"/>
          <w:sz w:val="24"/>
          <w:szCs w:val="24"/>
        </w:rPr>
        <w:t>Cronbach's alpha.</w:t>
      </w:r>
      <w:commentRangeEnd w:id="6"/>
      <w:r w:rsidR="00D5370E">
        <w:rPr>
          <w:rStyle w:val="CommentReference"/>
        </w:rPr>
        <w:commentReference w:id="6"/>
      </w:r>
      <w:r w:rsidRPr="00E76487">
        <w:rPr>
          <w:rFonts w:ascii="Times New Roman" w:hAnsi="Times New Roman" w:cs="Times New Roman"/>
          <w:sz w:val="24"/>
          <w:szCs w:val="24"/>
        </w:rPr>
        <w:t xml:space="preserve"> 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Spearman's rank-order correlation </w:t>
      </w:r>
      <w:r w:rsidRPr="00E76487">
        <w:rPr>
          <w:rFonts w:ascii="Times New Roman" w:hAnsi="Times New Roman" w:cs="Times New Roman"/>
          <w:sz w:val="24"/>
          <w:szCs w:val="24"/>
        </w:rPr>
        <w:lastRenderedPageBreak/>
        <w:t>was employed, as the data for several variables were not normally distributed (assessed using the Shapiro-Wilk test). Due to the multiple statistical tests performed, which increases the risk of Type I error, a more conservative alpha level was considered. While the threshold for statistical significance was maintained at p &lt; 0.05, the results are interpreted with caution, and the exact p-values are reported to allow readers to assess the strength of the evidence. The Holm-Bonferroni method was considered to correct for multiple comparisons, but given the exploratory nature of the study, unadjusted p-values are presented with this explicit limitation acknowledged.</w:t>
      </w:r>
      <w:r w:rsidRPr="00E76487">
        <w:rPr>
          <w:rFonts w:ascii="Times New Roman" w:hAnsi="Times New Roman" w:cs="Times New Roman"/>
          <w:b/>
          <w:sz w:val="24"/>
          <w:szCs w:val="24"/>
        </w:rPr>
        <w:t xml:space="preserve"> </w:t>
      </w:r>
    </w:p>
    <w:p w14:paraId="7C6DCEA8" w14:textId="77777777" w:rsidR="00146A5B" w:rsidRPr="00E76487" w:rsidRDefault="00146A5B"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Bias:</w:t>
      </w:r>
      <w:r w:rsidRPr="00E76487">
        <w:rPr>
          <w:rFonts w:ascii="Times New Roman" w:hAnsi="Times New Roman" w:cs="Times New Roman"/>
          <w:sz w:val="24"/>
          <w:szCs w:val="24"/>
        </w:rPr>
        <w:t xml:space="preserve"> Selection bias was </w:t>
      </w:r>
      <w:proofErr w:type="spellStart"/>
      <w:r w:rsidRPr="00E76487">
        <w:rPr>
          <w:rFonts w:ascii="Times New Roman" w:hAnsi="Times New Roman" w:cs="Times New Roman"/>
          <w:sz w:val="24"/>
          <w:szCs w:val="24"/>
        </w:rPr>
        <w:t>minimised</w:t>
      </w:r>
      <w:proofErr w:type="spellEnd"/>
      <w:r w:rsidRPr="00E76487">
        <w:rPr>
          <w:rFonts w:ascii="Times New Roman" w:hAnsi="Times New Roman" w:cs="Times New Roman"/>
          <w:sz w:val="24"/>
          <w:szCs w:val="24"/>
        </w:rPr>
        <w:t xml:space="preserve"> by recruiting participants consecutively during clinic visits and applying clear inclusion and exclusion criteria. Information bias was addressed through interviewer administration of questionnaires to ensure consistent interpretation of items, especially for participants with low literacy. Recall bias was reduced by framing questions around recent coping experiences rather than long-term recollections. Pre-testing of the instruments further enhanced reliability and cultural appropriateness.</w:t>
      </w:r>
    </w:p>
    <w:p w14:paraId="1B9E10F3" w14:textId="77777777" w:rsidR="008546DC" w:rsidRPr="00E76487" w:rsidRDefault="008546DC"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Results</w:t>
      </w:r>
    </w:p>
    <w:p w14:paraId="19FCEEF4" w14:textId="77777777" w:rsidR="00146A5B" w:rsidRPr="00E76487" w:rsidRDefault="00146A5B" w:rsidP="00E76487">
      <w:pPr>
        <w:spacing w:after="0" w:line="480" w:lineRule="auto"/>
        <w:jc w:val="both"/>
        <w:rPr>
          <w:rStyle w:val="Strong"/>
          <w:rFonts w:ascii="Times New Roman" w:hAnsi="Times New Roman" w:cs="Times New Roman"/>
          <w:bCs w:val="0"/>
          <w:sz w:val="24"/>
          <w:szCs w:val="24"/>
        </w:rPr>
      </w:pPr>
      <w:r w:rsidRPr="00E76487">
        <w:rPr>
          <w:rStyle w:val="Strong"/>
          <w:rFonts w:ascii="Times New Roman" w:hAnsi="Times New Roman" w:cs="Times New Roman"/>
          <w:sz w:val="24"/>
          <w:szCs w:val="24"/>
        </w:rPr>
        <w:t>Demographic Characteristics of Participants</w:t>
      </w:r>
    </w:p>
    <w:p w14:paraId="1767D4B8" w14:textId="77777777" w:rsidR="00146A5B" w:rsidRPr="00E76487" w:rsidRDefault="00146A5B" w:rsidP="00E76487">
      <w:pPr>
        <w:spacing w:after="0" w:line="480" w:lineRule="auto"/>
        <w:jc w:val="both"/>
        <w:rPr>
          <w:rStyle w:val="Strong"/>
          <w:rFonts w:ascii="Times New Roman" w:hAnsi="Times New Roman" w:cs="Times New Roman"/>
          <w:b w:val="0"/>
          <w:bCs w:val="0"/>
          <w:sz w:val="24"/>
          <w:szCs w:val="24"/>
        </w:rPr>
      </w:pPr>
      <w:r w:rsidRPr="00E76487">
        <w:rPr>
          <w:rStyle w:val="Strong"/>
          <w:rFonts w:ascii="Times New Roman" w:hAnsi="Times New Roman" w:cs="Times New Roman"/>
          <w:b w:val="0"/>
          <w:sz w:val="24"/>
          <w:szCs w:val="24"/>
        </w:rPr>
        <w:t>This section present information on the demographic characteristics of participants in the area</w:t>
      </w:r>
    </w:p>
    <w:p w14:paraId="055854AA" w14:textId="77777777" w:rsidR="00146A5B" w:rsidRPr="00E76487" w:rsidRDefault="00146A5B" w:rsidP="00E76487">
      <w:pPr>
        <w:spacing w:after="0" w:line="480" w:lineRule="auto"/>
        <w:jc w:val="both"/>
        <w:rPr>
          <w:rFonts w:ascii="Times New Roman" w:hAnsi="Times New Roman" w:cs="Times New Roman"/>
          <w:sz w:val="24"/>
          <w:szCs w:val="24"/>
        </w:rPr>
      </w:pPr>
      <w:r w:rsidRPr="00E76487">
        <w:rPr>
          <w:rStyle w:val="Strong"/>
          <w:rFonts w:ascii="Times New Roman" w:hAnsi="Times New Roman" w:cs="Times New Roman"/>
          <w:sz w:val="24"/>
          <w:szCs w:val="24"/>
        </w:rPr>
        <w:t>Table 1: Demographic Characteristics of Participants</w:t>
      </w:r>
    </w:p>
    <w:tbl>
      <w:tblPr>
        <w:tblStyle w:val="LightShading"/>
        <w:tblW w:w="0" w:type="auto"/>
        <w:tblLook w:val="04A0" w:firstRow="1" w:lastRow="0" w:firstColumn="1" w:lastColumn="0" w:noHBand="0" w:noVBand="1"/>
      </w:tblPr>
      <w:tblGrid>
        <w:gridCol w:w="3510"/>
        <w:gridCol w:w="2268"/>
        <w:gridCol w:w="2835"/>
      </w:tblGrid>
      <w:tr w:rsidR="00146A5B" w:rsidRPr="00E76487" w14:paraId="39441291" w14:textId="77777777" w:rsidTr="00D528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28B4AB9E"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Variable</w:t>
            </w:r>
          </w:p>
        </w:tc>
        <w:tc>
          <w:tcPr>
            <w:tcW w:w="2268" w:type="dxa"/>
            <w:hideMark/>
          </w:tcPr>
          <w:p w14:paraId="3628862B" w14:textId="77777777" w:rsidR="00146A5B" w:rsidRPr="00E76487" w:rsidRDefault="00146A5B" w:rsidP="00E7648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6487">
              <w:rPr>
                <w:rStyle w:val="Strong"/>
                <w:rFonts w:ascii="Times New Roman" w:hAnsi="Times New Roman" w:cs="Times New Roman"/>
                <w:sz w:val="24"/>
                <w:szCs w:val="24"/>
              </w:rPr>
              <w:t>Frequency</w:t>
            </w:r>
          </w:p>
        </w:tc>
        <w:tc>
          <w:tcPr>
            <w:tcW w:w="2835" w:type="dxa"/>
            <w:hideMark/>
          </w:tcPr>
          <w:p w14:paraId="4BAFFB2F" w14:textId="77777777" w:rsidR="00146A5B" w:rsidRPr="00E76487" w:rsidRDefault="00146A5B" w:rsidP="00E7648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6487">
              <w:rPr>
                <w:rStyle w:val="Strong"/>
                <w:rFonts w:ascii="Times New Roman" w:hAnsi="Times New Roman" w:cs="Times New Roman"/>
                <w:sz w:val="24"/>
                <w:szCs w:val="24"/>
              </w:rPr>
              <w:t>Percentage (%)</w:t>
            </w:r>
          </w:p>
        </w:tc>
      </w:tr>
      <w:tr w:rsidR="00146A5B" w:rsidRPr="00E76487" w14:paraId="2FDC9219"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03890C0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Gender</w:t>
            </w:r>
          </w:p>
        </w:tc>
        <w:tc>
          <w:tcPr>
            <w:tcW w:w="2268" w:type="dxa"/>
            <w:shd w:val="clear" w:color="auto" w:fill="auto"/>
            <w:hideMark/>
          </w:tcPr>
          <w:p w14:paraId="3B9E7F92"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4A90CB8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46A5B" w:rsidRPr="00E76487" w14:paraId="6E7A923A"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3BDD8852"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Male</w:t>
            </w:r>
          </w:p>
        </w:tc>
        <w:tc>
          <w:tcPr>
            <w:tcW w:w="2268" w:type="dxa"/>
            <w:hideMark/>
          </w:tcPr>
          <w:p w14:paraId="3CC39751"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146</w:t>
            </w:r>
          </w:p>
        </w:tc>
        <w:tc>
          <w:tcPr>
            <w:tcW w:w="2835" w:type="dxa"/>
            <w:hideMark/>
          </w:tcPr>
          <w:p w14:paraId="3690DCF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44.0</w:t>
            </w:r>
          </w:p>
        </w:tc>
      </w:tr>
      <w:tr w:rsidR="00146A5B" w:rsidRPr="00E76487" w14:paraId="53AB72EF"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F489D60"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Female</w:t>
            </w:r>
          </w:p>
        </w:tc>
        <w:tc>
          <w:tcPr>
            <w:tcW w:w="2268" w:type="dxa"/>
            <w:shd w:val="clear" w:color="auto" w:fill="auto"/>
            <w:hideMark/>
          </w:tcPr>
          <w:p w14:paraId="4FCA51B4"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186</w:t>
            </w:r>
          </w:p>
        </w:tc>
        <w:tc>
          <w:tcPr>
            <w:tcW w:w="2835" w:type="dxa"/>
            <w:shd w:val="clear" w:color="auto" w:fill="auto"/>
            <w:hideMark/>
          </w:tcPr>
          <w:p w14:paraId="1FAD3A8A"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56.0</w:t>
            </w:r>
          </w:p>
        </w:tc>
      </w:tr>
      <w:tr w:rsidR="00146A5B" w:rsidRPr="00E76487" w14:paraId="10A9E2BD" w14:textId="77777777" w:rsidTr="00D528C9">
        <w:tc>
          <w:tcPr>
            <w:cnfStyle w:val="001000000000" w:firstRow="0" w:lastRow="0" w:firstColumn="1" w:lastColumn="0" w:oddVBand="0" w:evenVBand="0" w:oddHBand="0" w:evenHBand="0" w:firstRowFirstColumn="0" w:firstRowLastColumn="0" w:lastRowFirstColumn="0" w:lastRowLastColumn="0"/>
            <w:tcW w:w="3510" w:type="dxa"/>
          </w:tcPr>
          <w:p w14:paraId="73651A81"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tcPr>
          <w:p w14:paraId="08B6C559"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tcPr>
          <w:p w14:paraId="66BD8BD2"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7062055A"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06C3244"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Age Group (years)</w:t>
            </w:r>
          </w:p>
        </w:tc>
        <w:tc>
          <w:tcPr>
            <w:tcW w:w="2268" w:type="dxa"/>
            <w:shd w:val="clear" w:color="auto" w:fill="auto"/>
            <w:hideMark/>
          </w:tcPr>
          <w:p w14:paraId="31D15117"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4620B8E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46A5B" w:rsidRPr="00E76487" w14:paraId="30545E6E"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7B743791"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lastRenderedPageBreak/>
              <w:t>18–29</w:t>
            </w:r>
          </w:p>
        </w:tc>
        <w:tc>
          <w:tcPr>
            <w:tcW w:w="2268" w:type="dxa"/>
            <w:hideMark/>
          </w:tcPr>
          <w:p w14:paraId="3484A8D7"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w:t>
            </w:r>
          </w:p>
        </w:tc>
        <w:tc>
          <w:tcPr>
            <w:tcW w:w="2835" w:type="dxa"/>
            <w:hideMark/>
          </w:tcPr>
          <w:p w14:paraId="604E20F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8.4</w:t>
            </w:r>
          </w:p>
        </w:tc>
      </w:tr>
      <w:tr w:rsidR="00146A5B" w:rsidRPr="00E76487" w14:paraId="0AC04341"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FB7779B"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30–44</w:t>
            </w:r>
          </w:p>
        </w:tc>
        <w:tc>
          <w:tcPr>
            <w:tcW w:w="2268" w:type="dxa"/>
            <w:shd w:val="clear" w:color="auto" w:fill="auto"/>
            <w:hideMark/>
          </w:tcPr>
          <w:p w14:paraId="2C744063"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74</w:t>
            </w:r>
          </w:p>
        </w:tc>
        <w:tc>
          <w:tcPr>
            <w:tcW w:w="2835" w:type="dxa"/>
            <w:shd w:val="clear" w:color="auto" w:fill="auto"/>
            <w:hideMark/>
          </w:tcPr>
          <w:p w14:paraId="02D6EFF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22.3</w:t>
            </w:r>
          </w:p>
        </w:tc>
      </w:tr>
      <w:tr w:rsidR="00146A5B" w:rsidRPr="00E76487" w14:paraId="63EBF3BC"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0CE0BF67"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45–59</w:t>
            </w:r>
          </w:p>
        </w:tc>
        <w:tc>
          <w:tcPr>
            <w:tcW w:w="2268" w:type="dxa"/>
            <w:hideMark/>
          </w:tcPr>
          <w:p w14:paraId="251B9206"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120</w:t>
            </w:r>
          </w:p>
        </w:tc>
        <w:tc>
          <w:tcPr>
            <w:tcW w:w="2835" w:type="dxa"/>
            <w:hideMark/>
          </w:tcPr>
          <w:p w14:paraId="2DBDC2EE"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36.1</w:t>
            </w:r>
          </w:p>
        </w:tc>
      </w:tr>
      <w:tr w:rsidR="00146A5B" w:rsidRPr="00E76487" w14:paraId="28D94789"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DF253E1"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60 and above</w:t>
            </w:r>
          </w:p>
        </w:tc>
        <w:tc>
          <w:tcPr>
            <w:tcW w:w="2268" w:type="dxa"/>
            <w:shd w:val="clear" w:color="auto" w:fill="auto"/>
            <w:hideMark/>
          </w:tcPr>
          <w:p w14:paraId="0488BDC0"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110</w:t>
            </w:r>
          </w:p>
        </w:tc>
        <w:tc>
          <w:tcPr>
            <w:tcW w:w="2835" w:type="dxa"/>
            <w:shd w:val="clear" w:color="auto" w:fill="auto"/>
            <w:hideMark/>
          </w:tcPr>
          <w:p w14:paraId="0CE42E84"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33.1</w:t>
            </w:r>
          </w:p>
        </w:tc>
      </w:tr>
      <w:tr w:rsidR="00146A5B" w:rsidRPr="00E76487" w14:paraId="34A1195B" w14:textId="77777777" w:rsidTr="00D528C9">
        <w:tc>
          <w:tcPr>
            <w:cnfStyle w:val="001000000000" w:firstRow="0" w:lastRow="0" w:firstColumn="1" w:lastColumn="0" w:oddVBand="0" w:evenVBand="0" w:oddHBand="0" w:evenHBand="0" w:firstRowFirstColumn="0" w:firstRowLastColumn="0" w:lastRowFirstColumn="0" w:lastRowLastColumn="0"/>
            <w:tcW w:w="3510" w:type="dxa"/>
          </w:tcPr>
          <w:p w14:paraId="329A147C"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tcPr>
          <w:p w14:paraId="5C1097F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tcPr>
          <w:p w14:paraId="03A38E92"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74A278F6"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356993E"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Marital Status</w:t>
            </w:r>
          </w:p>
        </w:tc>
        <w:tc>
          <w:tcPr>
            <w:tcW w:w="2268" w:type="dxa"/>
            <w:shd w:val="clear" w:color="auto" w:fill="auto"/>
            <w:hideMark/>
          </w:tcPr>
          <w:p w14:paraId="4C41A98D"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0E1271C0"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146A5B" w:rsidRPr="00E76487" w14:paraId="6A56BBA0"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180767A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Single</w:t>
            </w:r>
          </w:p>
        </w:tc>
        <w:tc>
          <w:tcPr>
            <w:tcW w:w="2268" w:type="dxa"/>
            <w:hideMark/>
          </w:tcPr>
          <w:p w14:paraId="6F1F8BD7"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40</w:t>
            </w:r>
          </w:p>
        </w:tc>
        <w:tc>
          <w:tcPr>
            <w:tcW w:w="2835" w:type="dxa"/>
            <w:hideMark/>
          </w:tcPr>
          <w:p w14:paraId="284496B7"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12.0</w:t>
            </w:r>
          </w:p>
        </w:tc>
      </w:tr>
      <w:tr w:rsidR="00146A5B" w:rsidRPr="00E76487" w14:paraId="3C85FCD7"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C68DE77"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Married</w:t>
            </w:r>
          </w:p>
        </w:tc>
        <w:tc>
          <w:tcPr>
            <w:tcW w:w="2268" w:type="dxa"/>
            <w:shd w:val="clear" w:color="auto" w:fill="auto"/>
            <w:hideMark/>
          </w:tcPr>
          <w:p w14:paraId="7E2B3FF0"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240</w:t>
            </w:r>
          </w:p>
        </w:tc>
        <w:tc>
          <w:tcPr>
            <w:tcW w:w="2835" w:type="dxa"/>
            <w:shd w:val="clear" w:color="auto" w:fill="auto"/>
            <w:hideMark/>
          </w:tcPr>
          <w:p w14:paraId="5C40C9AE"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72.3</w:t>
            </w:r>
          </w:p>
        </w:tc>
      </w:tr>
      <w:tr w:rsidR="00146A5B" w:rsidRPr="00E76487" w14:paraId="28AE2B52"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7B419BC5"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Widowed/Divorced/Separated</w:t>
            </w:r>
          </w:p>
        </w:tc>
        <w:tc>
          <w:tcPr>
            <w:tcW w:w="2268" w:type="dxa"/>
            <w:hideMark/>
          </w:tcPr>
          <w:p w14:paraId="1F01C257"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52</w:t>
            </w:r>
          </w:p>
        </w:tc>
        <w:tc>
          <w:tcPr>
            <w:tcW w:w="2835" w:type="dxa"/>
            <w:hideMark/>
          </w:tcPr>
          <w:p w14:paraId="21893B21"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15.7</w:t>
            </w:r>
          </w:p>
        </w:tc>
      </w:tr>
      <w:tr w:rsidR="00146A5B" w:rsidRPr="00E76487" w14:paraId="38AF7C65"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3CC0A375"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454BA1F6"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019127C6"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59EC1CDF"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3F4401A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Educational Level</w:t>
            </w:r>
          </w:p>
        </w:tc>
        <w:tc>
          <w:tcPr>
            <w:tcW w:w="2268" w:type="dxa"/>
            <w:hideMark/>
          </w:tcPr>
          <w:p w14:paraId="2EFFB271"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226D65EE"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46A5B" w:rsidRPr="00E76487" w14:paraId="2AEB8B45"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521C86CE"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No formal education</w:t>
            </w:r>
          </w:p>
        </w:tc>
        <w:tc>
          <w:tcPr>
            <w:tcW w:w="2268" w:type="dxa"/>
            <w:shd w:val="clear" w:color="auto" w:fill="auto"/>
            <w:hideMark/>
          </w:tcPr>
          <w:p w14:paraId="2B6C66FA"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34</w:t>
            </w:r>
          </w:p>
        </w:tc>
        <w:tc>
          <w:tcPr>
            <w:tcW w:w="2835" w:type="dxa"/>
            <w:shd w:val="clear" w:color="auto" w:fill="auto"/>
            <w:hideMark/>
          </w:tcPr>
          <w:p w14:paraId="78B74C00"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10.2</w:t>
            </w:r>
          </w:p>
        </w:tc>
      </w:tr>
      <w:tr w:rsidR="00146A5B" w:rsidRPr="00E76487" w14:paraId="2055EFF7"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294AA5DE"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Primary</w:t>
            </w:r>
          </w:p>
        </w:tc>
        <w:tc>
          <w:tcPr>
            <w:tcW w:w="2268" w:type="dxa"/>
            <w:hideMark/>
          </w:tcPr>
          <w:p w14:paraId="2FC9FA49"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80</w:t>
            </w:r>
          </w:p>
        </w:tc>
        <w:tc>
          <w:tcPr>
            <w:tcW w:w="2835" w:type="dxa"/>
            <w:hideMark/>
          </w:tcPr>
          <w:p w14:paraId="729384AE"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24.1</w:t>
            </w:r>
          </w:p>
        </w:tc>
      </w:tr>
      <w:tr w:rsidR="00146A5B" w:rsidRPr="00E76487" w14:paraId="21BD5027"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BE387D0"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Secondary</w:t>
            </w:r>
          </w:p>
        </w:tc>
        <w:tc>
          <w:tcPr>
            <w:tcW w:w="2268" w:type="dxa"/>
            <w:shd w:val="clear" w:color="auto" w:fill="auto"/>
            <w:hideMark/>
          </w:tcPr>
          <w:p w14:paraId="02DDE911"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122</w:t>
            </w:r>
          </w:p>
        </w:tc>
        <w:tc>
          <w:tcPr>
            <w:tcW w:w="2835" w:type="dxa"/>
            <w:shd w:val="clear" w:color="auto" w:fill="auto"/>
            <w:hideMark/>
          </w:tcPr>
          <w:p w14:paraId="1642F4FD"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36.7</w:t>
            </w:r>
          </w:p>
        </w:tc>
      </w:tr>
      <w:tr w:rsidR="00146A5B" w:rsidRPr="00E76487" w14:paraId="05524F57"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76B8A229"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Tertiary</w:t>
            </w:r>
          </w:p>
        </w:tc>
        <w:tc>
          <w:tcPr>
            <w:tcW w:w="2268" w:type="dxa"/>
            <w:hideMark/>
          </w:tcPr>
          <w:p w14:paraId="2431EF5D"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96</w:t>
            </w:r>
          </w:p>
        </w:tc>
        <w:tc>
          <w:tcPr>
            <w:tcW w:w="2835" w:type="dxa"/>
            <w:hideMark/>
          </w:tcPr>
          <w:p w14:paraId="2AB88EFD"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28.9</w:t>
            </w:r>
          </w:p>
        </w:tc>
      </w:tr>
      <w:tr w:rsidR="00146A5B" w:rsidRPr="00E76487" w14:paraId="1956E429"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41BA5E66"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25C445D3"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75B7702A"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7BDE7046"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357BB7C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Employment Status</w:t>
            </w:r>
          </w:p>
        </w:tc>
        <w:tc>
          <w:tcPr>
            <w:tcW w:w="2268" w:type="dxa"/>
            <w:hideMark/>
          </w:tcPr>
          <w:p w14:paraId="66457686"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11E0E5D9"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46A5B" w:rsidRPr="00E76487" w14:paraId="4D5BB88D"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F862159"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Employed</w:t>
            </w:r>
          </w:p>
        </w:tc>
        <w:tc>
          <w:tcPr>
            <w:tcW w:w="2268" w:type="dxa"/>
            <w:shd w:val="clear" w:color="auto" w:fill="auto"/>
            <w:hideMark/>
          </w:tcPr>
          <w:p w14:paraId="77BA06CE"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128</w:t>
            </w:r>
          </w:p>
        </w:tc>
        <w:tc>
          <w:tcPr>
            <w:tcW w:w="2835" w:type="dxa"/>
            <w:shd w:val="clear" w:color="auto" w:fill="auto"/>
            <w:hideMark/>
          </w:tcPr>
          <w:p w14:paraId="36A404DF"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38.6</w:t>
            </w:r>
          </w:p>
        </w:tc>
      </w:tr>
      <w:tr w:rsidR="00146A5B" w:rsidRPr="00E76487" w14:paraId="0D529134"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52C3D562"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Unemployed</w:t>
            </w:r>
          </w:p>
        </w:tc>
        <w:tc>
          <w:tcPr>
            <w:tcW w:w="2268" w:type="dxa"/>
            <w:hideMark/>
          </w:tcPr>
          <w:p w14:paraId="3DDDFA7A"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70</w:t>
            </w:r>
          </w:p>
        </w:tc>
        <w:tc>
          <w:tcPr>
            <w:tcW w:w="2835" w:type="dxa"/>
            <w:hideMark/>
          </w:tcPr>
          <w:p w14:paraId="07DEE70D"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21.1</w:t>
            </w:r>
          </w:p>
        </w:tc>
      </w:tr>
      <w:tr w:rsidR="00146A5B" w:rsidRPr="00E76487" w14:paraId="41085E56"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33992333"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Self-employed</w:t>
            </w:r>
          </w:p>
        </w:tc>
        <w:tc>
          <w:tcPr>
            <w:tcW w:w="2268" w:type="dxa"/>
            <w:shd w:val="clear" w:color="auto" w:fill="auto"/>
            <w:hideMark/>
          </w:tcPr>
          <w:p w14:paraId="14E834EB"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92</w:t>
            </w:r>
          </w:p>
        </w:tc>
        <w:tc>
          <w:tcPr>
            <w:tcW w:w="2835" w:type="dxa"/>
            <w:shd w:val="clear" w:color="auto" w:fill="auto"/>
            <w:hideMark/>
          </w:tcPr>
          <w:p w14:paraId="2B42E999"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27.7</w:t>
            </w:r>
          </w:p>
        </w:tc>
      </w:tr>
      <w:tr w:rsidR="00146A5B" w:rsidRPr="00E76487" w14:paraId="2138FD5F"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7917D537"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Retired</w:t>
            </w:r>
          </w:p>
        </w:tc>
        <w:tc>
          <w:tcPr>
            <w:tcW w:w="2268" w:type="dxa"/>
            <w:hideMark/>
          </w:tcPr>
          <w:p w14:paraId="225BA63A"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42</w:t>
            </w:r>
          </w:p>
        </w:tc>
        <w:tc>
          <w:tcPr>
            <w:tcW w:w="2835" w:type="dxa"/>
            <w:hideMark/>
          </w:tcPr>
          <w:p w14:paraId="3104D3AA"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12.7</w:t>
            </w:r>
          </w:p>
        </w:tc>
      </w:tr>
      <w:tr w:rsidR="00146A5B" w:rsidRPr="00E76487" w14:paraId="198B9543"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225CEC79"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61E891F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32344018"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146A5B" w:rsidRPr="00E76487" w14:paraId="11EFAD2B"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1AE9FC31"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Duration of Diagnosis</w:t>
            </w:r>
          </w:p>
        </w:tc>
        <w:tc>
          <w:tcPr>
            <w:tcW w:w="2268" w:type="dxa"/>
            <w:hideMark/>
          </w:tcPr>
          <w:p w14:paraId="1D7C96E8"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4FB5F11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46A5B" w:rsidRPr="00E76487" w14:paraId="0C62BD69"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32D316F9"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lastRenderedPageBreak/>
              <w:t>Less than 1 year</w:t>
            </w:r>
          </w:p>
        </w:tc>
        <w:tc>
          <w:tcPr>
            <w:tcW w:w="2268" w:type="dxa"/>
            <w:shd w:val="clear" w:color="auto" w:fill="auto"/>
            <w:hideMark/>
          </w:tcPr>
          <w:p w14:paraId="67252BD1"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w:t>
            </w:r>
          </w:p>
        </w:tc>
        <w:tc>
          <w:tcPr>
            <w:tcW w:w="2835" w:type="dxa"/>
            <w:shd w:val="clear" w:color="auto" w:fill="auto"/>
            <w:hideMark/>
          </w:tcPr>
          <w:p w14:paraId="180ED735"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8.4</w:t>
            </w:r>
          </w:p>
        </w:tc>
      </w:tr>
      <w:tr w:rsidR="00146A5B" w:rsidRPr="00E76487" w14:paraId="077CFEEE"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43091E9D"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1–5 years</w:t>
            </w:r>
          </w:p>
        </w:tc>
        <w:tc>
          <w:tcPr>
            <w:tcW w:w="2268" w:type="dxa"/>
            <w:hideMark/>
          </w:tcPr>
          <w:p w14:paraId="4FE85316"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144</w:t>
            </w:r>
          </w:p>
        </w:tc>
        <w:tc>
          <w:tcPr>
            <w:tcW w:w="2835" w:type="dxa"/>
            <w:hideMark/>
          </w:tcPr>
          <w:p w14:paraId="1EC85BF8"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43.4</w:t>
            </w:r>
          </w:p>
        </w:tc>
      </w:tr>
      <w:tr w:rsidR="00146A5B" w:rsidRPr="00E76487" w14:paraId="63AE4D4C"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14CAF06"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6–10 years</w:t>
            </w:r>
          </w:p>
        </w:tc>
        <w:tc>
          <w:tcPr>
            <w:tcW w:w="2268" w:type="dxa"/>
            <w:shd w:val="clear" w:color="auto" w:fill="auto"/>
            <w:hideMark/>
          </w:tcPr>
          <w:p w14:paraId="55E36CB8"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96</w:t>
            </w:r>
          </w:p>
        </w:tc>
        <w:tc>
          <w:tcPr>
            <w:tcW w:w="2835" w:type="dxa"/>
            <w:shd w:val="clear" w:color="auto" w:fill="auto"/>
            <w:hideMark/>
          </w:tcPr>
          <w:p w14:paraId="10CEAC22"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28.9</w:t>
            </w:r>
          </w:p>
        </w:tc>
      </w:tr>
      <w:tr w:rsidR="00146A5B" w:rsidRPr="00E76487" w14:paraId="48E0A8CA" w14:textId="77777777" w:rsidTr="00D528C9">
        <w:tc>
          <w:tcPr>
            <w:cnfStyle w:val="001000000000" w:firstRow="0" w:lastRow="0" w:firstColumn="1" w:lastColumn="0" w:oddVBand="0" w:evenVBand="0" w:oddHBand="0" w:evenHBand="0" w:firstRowFirstColumn="0" w:firstRowLastColumn="0" w:lastRowFirstColumn="0" w:lastRowLastColumn="0"/>
            <w:tcW w:w="3510" w:type="dxa"/>
            <w:hideMark/>
          </w:tcPr>
          <w:p w14:paraId="30D8383F"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Above 10 years</w:t>
            </w:r>
          </w:p>
        </w:tc>
        <w:tc>
          <w:tcPr>
            <w:tcW w:w="2268" w:type="dxa"/>
            <w:hideMark/>
          </w:tcPr>
          <w:p w14:paraId="71F2A858"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64</w:t>
            </w:r>
          </w:p>
        </w:tc>
        <w:tc>
          <w:tcPr>
            <w:tcW w:w="2835" w:type="dxa"/>
            <w:hideMark/>
          </w:tcPr>
          <w:p w14:paraId="0531218C" w14:textId="77777777" w:rsidR="00146A5B" w:rsidRPr="00E76487" w:rsidRDefault="00146A5B" w:rsidP="00E7648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19.3</w:t>
            </w:r>
          </w:p>
        </w:tc>
      </w:tr>
      <w:tr w:rsidR="00146A5B" w:rsidRPr="00E76487" w14:paraId="49160F3C" w14:textId="77777777" w:rsidTr="00D528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6DB8184F" w14:textId="77777777" w:rsidR="00146A5B" w:rsidRPr="00E76487" w:rsidRDefault="00146A5B" w:rsidP="00E76487">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4A89811D"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182B1D77" w14:textId="77777777" w:rsidR="00146A5B" w:rsidRPr="00E76487" w:rsidRDefault="00146A5B" w:rsidP="00E76487">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bl>
    <w:p w14:paraId="6E5342B1" w14:textId="77777777" w:rsidR="00146A5B" w:rsidRPr="00E76487" w:rsidRDefault="00146A5B" w:rsidP="00E76487">
      <w:pPr>
        <w:pStyle w:val="NormalWeb"/>
        <w:spacing w:before="0" w:beforeAutospacing="0" w:after="0" w:afterAutospacing="0" w:line="480" w:lineRule="auto"/>
      </w:pPr>
      <w:r w:rsidRPr="00E76487">
        <w:rPr>
          <w:rStyle w:val="Strong"/>
          <w:b w:val="0"/>
        </w:rPr>
        <w:t>Source</w:t>
      </w:r>
      <w:r w:rsidRPr="00E76487">
        <w:t>: Field Survey, 2025</w:t>
      </w:r>
    </w:p>
    <w:p w14:paraId="0B326E99" w14:textId="77777777" w:rsidR="00146A5B" w:rsidRPr="00E76487" w:rsidRDefault="00146A5B" w:rsidP="00E76487">
      <w:pPr>
        <w:pStyle w:val="NoSpacing"/>
        <w:spacing w:before="24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Table 1 </w:t>
      </w:r>
      <w:commentRangeStart w:id="7"/>
      <w:r w:rsidRPr="00E76487">
        <w:rPr>
          <w:rFonts w:ascii="Times New Roman" w:hAnsi="Times New Roman" w:cs="Times New Roman"/>
          <w:sz w:val="24"/>
          <w:szCs w:val="24"/>
        </w:rPr>
        <w:t>show</w:t>
      </w:r>
      <w:commentRangeEnd w:id="7"/>
      <w:r w:rsidR="002D7388">
        <w:rPr>
          <w:rStyle w:val="CommentReference"/>
          <w:lang w:val="en-US"/>
        </w:rPr>
        <w:commentReference w:id="7"/>
      </w:r>
      <w:r w:rsidRPr="00E76487">
        <w:rPr>
          <w:rFonts w:ascii="Times New Roman" w:hAnsi="Times New Roman" w:cs="Times New Roman"/>
          <w:sz w:val="24"/>
          <w:szCs w:val="24"/>
        </w:rPr>
        <w:t xml:space="preserve"> that majority of respondents (56.0%), reflecting gender disparities in healthcare-seeking </w:t>
      </w:r>
      <w:proofErr w:type="spellStart"/>
      <w:r w:rsidRPr="00E76487">
        <w:rPr>
          <w:rFonts w:ascii="Times New Roman" w:hAnsi="Times New Roman" w:cs="Times New Roman"/>
          <w:sz w:val="24"/>
          <w:szCs w:val="24"/>
        </w:rPr>
        <w:t>behavior</w:t>
      </w:r>
      <w:proofErr w:type="spellEnd"/>
      <w:r w:rsidRPr="00E76487">
        <w:rPr>
          <w:rFonts w:ascii="Times New Roman" w:hAnsi="Times New Roman" w:cs="Times New Roman"/>
          <w:sz w:val="24"/>
          <w:szCs w:val="24"/>
        </w:rPr>
        <w:t>, where women are more likely to utilize health services than men. The dominant age groups were those between 45–59 years (36.1%) and 60 years and above (33.1%), which aligns with the natural onset and progression of type 2 diabetes mellitus, commonly diagnosed in middle-aged and older adults. Most participants (72.3%) were married, which suggests potential access to spousal support, a known factor influencing coping and adherence to chronic disease management. The educational profile showed that a significant proportion (36.7%) had secondary education, while 28.9% had tertiary education, indicating that the majority of patients had at least basic literacy an essential component for understanding diabetes education materials and participating in self-care activities.</w:t>
      </w:r>
    </w:p>
    <w:p w14:paraId="28C9A572" w14:textId="77777777" w:rsidR="00475415" w:rsidRPr="00E76487" w:rsidRDefault="00146A5B" w:rsidP="00E76487">
      <w:pPr>
        <w:pStyle w:val="NoSpacing"/>
        <w:spacing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Employment status revealed that 38.6% of respondents were employed and 27.7% were self-employed, while 21.1% were unemployed and 12.7% retired, reflecting a mixed socioeconomic composition. This is important as financial capacity is often linked to better health outcomes, particularly for chronic conditions requiring consistent medication and dietary planning. Most respondents (43.4%) had been living with diabetes for 1–5 years, followed by 28.9% within the 6–10-year range, suggesting that many participants had sufficient experience with the disease to develop coping strategies. These demographic trends are consistent with findings by </w:t>
      </w:r>
      <w:proofErr w:type="spellStart"/>
      <w:r w:rsidRPr="00E76487">
        <w:rPr>
          <w:rFonts w:ascii="Times New Roman" w:hAnsi="Times New Roman" w:cs="Times New Roman"/>
          <w:sz w:val="24"/>
          <w:szCs w:val="24"/>
        </w:rPr>
        <w:t>Mogre</w:t>
      </w:r>
      <w:proofErr w:type="spellEnd"/>
      <w:r w:rsidRPr="00E76487">
        <w:rPr>
          <w:rFonts w:ascii="Times New Roman" w:hAnsi="Times New Roman" w:cs="Times New Roman"/>
          <w:sz w:val="24"/>
          <w:szCs w:val="24"/>
        </w:rPr>
        <w:t xml:space="preserve"> </w:t>
      </w:r>
      <w:r w:rsidR="00B94966" w:rsidRPr="00E76487">
        <w:rPr>
          <w:rFonts w:ascii="Times New Roman" w:hAnsi="Times New Roman" w:cs="Times New Roman"/>
          <w:i/>
          <w:sz w:val="24"/>
          <w:szCs w:val="24"/>
        </w:rPr>
        <w:t>et al</w:t>
      </w:r>
      <w:r w:rsidRPr="00E76487">
        <w:rPr>
          <w:rFonts w:ascii="Times New Roman" w:hAnsi="Times New Roman" w:cs="Times New Roman"/>
          <w:sz w:val="24"/>
          <w:szCs w:val="24"/>
        </w:rPr>
        <w:t xml:space="preserve">. </w:t>
      </w:r>
      <w:r w:rsidRPr="00E76487">
        <w:rPr>
          <w:rFonts w:ascii="Times New Roman" w:hAnsi="Times New Roman" w:cs="Times New Roman"/>
          <w:sz w:val="24"/>
          <w:szCs w:val="24"/>
        </w:rPr>
        <w:lastRenderedPageBreak/>
        <w:t xml:space="preserve">(2023), who reported similar age, gender, and education distributions among diabetic populations in sub-Saharan Africa, and emphasized that demographic characteristics significantly shape coping patterns and quality of life. Their study concluded that education level and social support structures are key determinants of successful self-management and psychological resilience in chronic disease contexts. </w:t>
      </w:r>
    </w:p>
    <w:p w14:paraId="5ADCD34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 xml:space="preserve">Table 2: Spearman's Rank-Order Correlations Between Coping Strategy Domains and </w:t>
      </w:r>
      <w:proofErr w:type="spellStart"/>
      <w:r w:rsidRPr="00E76487">
        <w:rPr>
          <w:rFonts w:ascii="Times New Roman" w:eastAsia="Times New Roman" w:hAnsi="Times New Roman" w:cs="Times New Roman"/>
          <w:b/>
          <w:bCs/>
          <w:sz w:val="24"/>
          <w:szCs w:val="24"/>
          <w:lang w:eastAsia="en-GB"/>
        </w:rPr>
        <w:t>HRQoL</w:t>
      </w:r>
      <w:proofErr w:type="spellEnd"/>
      <w:r w:rsidRPr="00E76487">
        <w:rPr>
          <w:rFonts w:ascii="Times New Roman" w:eastAsia="Times New Roman" w:hAnsi="Times New Roman" w:cs="Times New Roman"/>
          <w:b/>
          <w:bCs/>
          <w:sz w:val="24"/>
          <w:szCs w:val="24"/>
          <w:lang w:eastAsia="en-GB"/>
        </w:rPr>
        <w:t xml:space="preserve"> Indicators (N = 332)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3221"/>
        <w:gridCol w:w="3087"/>
        <w:gridCol w:w="1142"/>
      </w:tblGrid>
      <w:tr w:rsidR="00475415" w:rsidRPr="00E76487" w14:paraId="309A165E" w14:textId="77777777" w:rsidTr="00475415">
        <w:trPr>
          <w:tblHeader/>
        </w:trPr>
        <w:tc>
          <w:tcPr>
            <w:tcW w:w="0" w:type="auto"/>
            <w:tcMar>
              <w:top w:w="150" w:type="dxa"/>
              <w:left w:w="0" w:type="dxa"/>
              <w:bottom w:w="150" w:type="dxa"/>
              <w:right w:w="240" w:type="dxa"/>
            </w:tcMar>
            <w:vAlign w:val="center"/>
            <w:hideMark/>
          </w:tcPr>
          <w:p w14:paraId="64A2A5A8" w14:textId="77777777" w:rsidR="00475415" w:rsidRPr="00E76487" w:rsidRDefault="00475415" w:rsidP="00E76487">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Coping Strategy Domain</w:t>
            </w:r>
          </w:p>
        </w:tc>
        <w:tc>
          <w:tcPr>
            <w:tcW w:w="0" w:type="auto"/>
            <w:tcMar>
              <w:top w:w="150" w:type="dxa"/>
              <w:left w:w="240" w:type="dxa"/>
              <w:bottom w:w="150" w:type="dxa"/>
              <w:right w:w="240" w:type="dxa"/>
            </w:tcMar>
            <w:vAlign w:val="center"/>
            <w:hideMark/>
          </w:tcPr>
          <w:p w14:paraId="4EBA0DD3" w14:textId="77777777" w:rsidR="00475415" w:rsidRPr="00E76487" w:rsidRDefault="00475415" w:rsidP="00E76487">
            <w:pPr>
              <w:spacing w:after="0" w:line="480" w:lineRule="auto"/>
              <w:jc w:val="both"/>
              <w:outlineLvl w:val="2"/>
              <w:rPr>
                <w:rFonts w:ascii="Times New Roman" w:eastAsia="Times New Roman" w:hAnsi="Times New Roman" w:cs="Times New Roman"/>
                <w:b/>
                <w:bCs/>
                <w:sz w:val="24"/>
                <w:szCs w:val="24"/>
                <w:lang w:eastAsia="en-GB"/>
              </w:rPr>
            </w:pPr>
            <w:proofErr w:type="spellStart"/>
            <w:r w:rsidRPr="00E76487">
              <w:rPr>
                <w:rFonts w:ascii="Times New Roman" w:eastAsia="Times New Roman" w:hAnsi="Times New Roman" w:cs="Times New Roman"/>
                <w:b/>
                <w:bCs/>
                <w:sz w:val="24"/>
                <w:szCs w:val="24"/>
                <w:lang w:eastAsia="en-GB"/>
              </w:rPr>
              <w:t>HRQoL</w:t>
            </w:r>
            <w:proofErr w:type="spellEnd"/>
            <w:r w:rsidRPr="00E76487">
              <w:rPr>
                <w:rFonts w:ascii="Times New Roman" w:eastAsia="Times New Roman" w:hAnsi="Times New Roman" w:cs="Times New Roman"/>
                <w:b/>
                <w:bCs/>
                <w:sz w:val="24"/>
                <w:szCs w:val="24"/>
                <w:lang w:eastAsia="en-GB"/>
              </w:rPr>
              <w:t xml:space="preserve"> Indicator (WHOQOL-BREF)</w:t>
            </w:r>
          </w:p>
        </w:tc>
        <w:tc>
          <w:tcPr>
            <w:tcW w:w="0" w:type="auto"/>
            <w:tcMar>
              <w:top w:w="150" w:type="dxa"/>
              <w:left w:w="240" w:type="dxa"/>
              <w:bottom w:w="150" w:type="dxa"/>
              <w:right w:w="240" w:type="dxa"/>
            </w:tcMar>
            <w:vAlign w:val="center"/>
            <w:hideMark/>
          </w:tcPr>
          <w:p w14:paraId="52B131CA" w14:textId="77777777" w:rsidR="00475415" w:rsidRPr="00E76487" w:rsidRDefault="00475415" w:rsidP="00E76487">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Spearman's rho (r&lt;sub&gt;s&lt;/sub&gt;)</w:t>
            </w:r>
          </w:p>
        </w:tc>
        <w:tc>
          <w:tcPr>
            <w:tcW w:w="0" w:type="auto"/>
            <w:tcMar>
              <w:top w:w="150" w:type="dxa"/>
              <w:left w:w="240" w:type="dxa"/>
              <w:bottom w:w="150" w:type="dxa"/>
              <w:right w:w="240" w:type="dxa"/>
            </w:tcMar>
            <w:vAlign w:val="center"/>
            <w:hideMark/>
          </w:tcPr>
          <w:p w14:paraId="72CFFFED" w14:textId="77777777" w:rsidR="00475415" w:rsidRPr="00E76487" w:rsidRDefault="00475415" w:rsidP="00E76487">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p-value</w:t>
            </w:r>
          </w:p>
        </w:tc>
      </w:tr>
      <w:tr w:rsidR="00475415" w:rsidRPr="00E76487" w14:paraId="709EA9CD" w14:textId="77777777" w:rsidTr="00475415">
        <w:tc>
          <w:tcPr>
            <w:tcW w:w="0" w:type="auto"/>
            <w:tcMar>
              <w:top w:w="150" w:type="dxa"/>
              <w:left w:w="0" w:type="dxa"/>
              <w:bottom w:w="150" w:type="dxa"/>
              <w:right w:w="240" w:type="dxa"/>
            </w:tcMar>
            <w:vAlign w:val="center"/>
            <w:hideMark/>
          </w:tcPr>
          <w:p w14:paraId="2258E3F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Problem-Focused Coping</w:t>
            </w:r>
          </w:p>
        </w:tc>
        <w:tc>
          <w:tcPr>
            <w:tcW w:w="0" w:type="auto"/>
            <w:tcMar>
              <w:top w:w="150" w:type="dxa"/>
              <w:left w:w="240" w:type="dxa"/>
              <w:bottom w:w="150" w:type="dxa"/>
              <w:right w:w="240" w:type="dxa"/>
            </w:tcMar>
            <w:vAlign w:val="center"/>
            <w:hideMark/>
          </w:tcPr>
          <w:p w14:paraId="472DA5E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3D42C42C"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0.003</w:t>
            </w:r>
          </w:p>
        </w:tc>
        <w:tc>
          <w:tcPr>
            <w:tcW w:w="0" w:type="auto"/>
            <w:tcMar>
              <w:top w:w="150" w:type="dxa"/>
              <w:left w:w="240" w:type="dxa"/>
              <w:bottom w:w="150" w:type="dxa"/>
              <w:right w:w="0" w:type="dxa"/>
            </w:tcMar>
            <w:vAlign w:val="center"/>
            <w:hideMark/>
          </w:tcPr>
          <w:p w14:paraId="456C8E5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0.962</w:t>
            </w:r>
          </w:p>
        </w:tc>
      </w:tr>
      <w:tr w:rsidR="00475415" w:rsidRPr="00E76487" w14:paraId="086AB982" w14:textId="77777777" w:rsidTr="00475415">
        <w:tc>
          <w:tcPr>
            <w:tcW w:w="0" w:type="auto"/>
            <w:tcMar>
              <w:top w:w="150" w:type="dxa"/>
              <w:left w:w="0" w:type="dxa"/>
              <w:bottom w:w="150" w:type="dxa"/>
              <w:right w:w="240" w:type="dxa"/>
            </w:tcMar>
            <w:vAlign w:val="center"/>
            <w:hideMark/>
          </w:tcPr>
          <w:p w14:paraId="11E50EC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B74414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55F8427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0.040</w:t>
            </w:r>
          </w:p>
        </w:tc>
        <w:tc>
          <w:tcPr>
            <w:tcW w:w="0" w:type="auto"/>
            <w:tcMar>
              <w:top w:w="150" w:type="dxa"/>
              <w:left w:w="240" w:type="dxa"/>
              <w:bottom w:w="150" w:type="dxa"/>
              <w:right w:w="0" w:type="dxa"/>
            </w:tcMar>
            <w:vAlign w:val="center"/>
            <w:hideMark/>
          </w:tcPr>
          <w:p w14:paraId="301A9FA1"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0.468</w:t>
            </w:r>
          </w:p>
        </w:tc>
      </w:tr>
      <w:tr w:rsidR="00475415" w:rsidRPr="00E76487" w14:paraId="23A8D3A8" w14:textId="77777777" w:rsidTr="00475415">
        <w:tc>
          <w:tcPr>
            <w:tcW w:w="0" w:type="auto"/>
            <w:tcMar>
              <w:top w:w="150" w:type="dxa"/>
              <w:left w:w="0" w:type="dxa"/>
              <w:bottom w:w="150" w:type="dxa"/>
              <w:right w:w="240" w:type="dxa"/>
            </w:tcMar>
            <w:vAlign w:val="center"/>
            <w:hideMark/>
          </w:tcPr>
          <w:p w14:paraId="015B77C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D0F1F68"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383493E7"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-0.024</w:t>
            </w:r>
          </w:p>
        </w:tc>
        <w:tc>
          <w:tcPr>
            <w:tcW w:w="0" w:type="auto"/>
            <w:tcMar>
              <w:top w:w="150" w:type="dxa"/>
              <w:left w:w="240" w:type="dxa"/>
              <w:bottom w:w="150" w:type="dxa"/>
              <w:right w:w="0" w:type="dxa"/>
            </w:tcMar>
            <w:vAlign w:val="center"/>
            <w:hideMark/>
          </w:tcPr>
          <w:p w14:paraId="541ACFF5"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0.663</w:t>
            </w:r>
          </w:p>
        </w:tc>
      </w:tr>
      <w:tr w:rsidR="00475415" w:rsidRPr="00E76487" w14:paraId="7185093B" w14:textId="77777777" w:rsidTr="00475415">
        <w:tc>
          <w:tcPr>
            <w:tcW w:w="0" w:type="auto"/>
            <w:tcMar>
              <w:top w:w="150" w:type="dxa"/>
              <w:left w:w="0" w:type="dxa"/>
              <w:bottom w:w="150" w:type="dxa"/>
              <w:right w:w="240" w:type="dxa"/>
            </w:tcMar>
            <w:vAlign w:val="center"/>
            <w:hideMark/>
          </w:tcPr>
          <w:p w14:paraId="1ECC8BD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81E106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2467E99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-0.006</w:t>
            </w:r>
          </w:p>
        </w:tc>
        <w:tc>
          <w:tcPr>
            <w:tcW w:w="0" w:type="auto"/>
            <w:tcMar>
              <w:top w:w="150" w:type="dxa"/>
              <w:left w:w="240" w:type="dxa"/>
              <w:bottom w:w="150" w:type="dxa"/>
              <w:right w:w="0" w:type="dxa"/>
            </w:tcMar>
            <w:vAlign w:val="center"/>
            <w:hideMark/>
          </w:tcPr>
          <w:p w14:paraId="41799CE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0.912</w:t>
            </w:r>
          </w:p>
        </w:tc>
      </w:tr>
      <w:tr w:rsidR="00475415" w:rsidRPr="00E76487" w14:paraId="2E5402BA" w14:textId="77777777" w:rsidTr="00475415">
        <w:tc>
          <w:tcPr>
            <w:tcW w:w="0" w:type="auto"/>
            <w:tcMar>
              <w:top w:w="150" w:type="dxa"/>
              <w:left w:w="0" w:type="dxa"/>
              <w:bottom w:w="150" w:type="dxa"/>
              <w:right w:w="240" w:type="dxa"/>
            </w:tcMar>
            <w:vAlign w:val="center"/>
            <w:hideMark/>
          </w:tcPr>
          <w:p w14:paraId="17C008E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Social Support Coping</w:t>
            </w:r>
          </w:p>
        </w:tc>
        <w:tc>
          <w:tcPr>
            <w:tcW w:w="0" w:type="auto"/>
            <w:tcMar>
              <w:top w:w="150" w:type="dxa"/>
              <w:left w:w="240" w:type="dxa"/>
              <w:bottom w:w="150" w:type="dxa"/>
              <w:right w:w="240" w:type="dxa"/>
            </w:tcMar>
            <w:vAlign w:val="center"/>
            <w:hideMark/>
          </w:tcPr>
          <w:p w14:paraId="3D236CE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1315969D"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3E3FBD75"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0.142</w:t>
            </w:r>
          </w:p>
        </w:tc>
      </w:tr>
      <w:tr w:rsidR="00475415" w:rsidRPr="00E76487" w14:paraId="015F073D" w14:textId="77777777" w:rsidTr="00475415">
        <w:tc>
          <w:tcPr>
            <w:tcW w:w="0" w:type="auto"/>
            <w:tcMar>
              <w:top w:w="150" w:type="dxa"/>
              <w:left w:w="0" w:type="dxa"/>
              <w:bottom w:w="150" w:type="dxa"/>
              <w:right w:w="240" w:type="dxa"/>
            </w:tcMar>
            <w:vAlign w:val="center"/>
            <w:hideMark/>
          </w:tcPr>
          <w:p w14:paraId="67F96F8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737DB8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64EE2D0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-0.125</w:t>
            </w:r>
          </w:p>
        </w:tc>
        <w:tc>
          <w:tcPr>
            <w:tcW w:w="0" w:type="auto"/>
            <w:tcMar>
              <w:top w:w="150" w:type="dxa"/>
              <w:left w:w="240" w:type="dxa"/>
              <w:bottom w:w="150" w:type="dxa"/>
              <w:right w:w="0" w:type="dxa"/>
            </w:tcMar>
            <w:vAlign w:val="center"/>
            <w:hideMark/>
          </w:tcPr>
          <w:p w14:paraId="20413A1C"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0.023</w:t>
            </w:r>
          </w:p>
        </w:tc>
      </w:tr>
      <w:tr w:rsidR="00475415" w:rsidRPr="00E76487" w14:paraId="1424C780" w14:textId="77777777" w:rsidTr="00475415">
        <w:tc>
          <w:tcPr>
            <w:tcW w:w="0" w:type="auto"/>
            <w:tcMar>
              <w:top w:w="150" w:type="dxa"/>
              <w:left w:w="0" w:type="dxa"/>
              <w:bottom w:w="150" w:type="dxa"/>
              <w:right w:w="240" w:type="dxa"/>
            </w:tcMar>
            <w:vAlign w:val="center"/>
            <w:hideMark/>
          </w:tcPr>
          <w:p w14:paraId="35A5521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24A957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2254F77C"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30A7103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0.141</w:t>
            </w:r>
          </w:p>
        </w:tc>
      </w:tr>
      <w:tr w:rsidR="00475415" w:rsidRPr="00E76487" w14:paraId="7C501A6E" w14:textId="77777777" w:rsidTr="00475415">
        <w:tc>
          <w:tcPr>
            <w:tcW w:w="0" w:type="auto"/>
            <w:tcMar>
              <w:top w:w="150" w:type="dxa"/>
              <w:left w:w="0" w:type="dxa"/>
              <w:bottom w:w="150" w:type="dxa"/>
              <w:right w:w="240" w:type="dxa"/>
            </w:tcMar>
            <w:vAlign w:val="center"/>
            <w:hideMark/>
          </w:tcPr>
          <w:p w14:paraId="6206269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103EF7D"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2F074675"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0.020</w:t>
            </w:r>
          </w:p>
        </w:tc>
        <w:tc>
          <w:tcPr>
            <w:tcW w:w="0" w:type="auto"/>
            <w:tcMar>
              <w:top w:w="150" w:type="dxa"/>
              <w:left w:w="240" w:type="dxa"/>
              <w:bottom w:w="150" w:type="dxa"/>
              <w:right w:w="0" w:type="dxa"/>
            </w:tcMar>
            <w:vAlign w:val="center"/>
            <w:hideMark/>
          </w:tcPr>
          <w:p w14:paraId="4526CB3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0.713</w:t>
            </w:r>
          </w:p>
        </w:tc>
      </w:tr>
      <w:tr w:rsidR="00475415" w:rsidRPr="00E76487" w14:paraId="2566268A" w14:textId="77777777" w:rsidTr="00475415">
        <w:tc>
          <w:tcPr>
            <w:tcW w:w="0" w:type="auto"/>
            <w:tcMar>
              <w:top w:w="150" w:type="dxa"/>
              <w:left w:w="0" w:type="dxa"/>
              <w:bottom w:w="150" w:type="dxa"/>
              <w:right w:w="240" w:type="dxa"/>
            </w:tcMar>
            <w:vAlign w:val="center"/>
            <w:hideMark/>
          </w:tcPr>
          <w:p w14:paraId="2812F967"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Spiritual Coping</w:t>
            </w:r>
          </w:p>
        </w:tc>
        <w:tc>
          <w:tcPr>
            <w:tcW w:w="0" w:type="auto"/>
            <w:tcMar>
              <w:top w:w="150" w:type="dxa"/>
              <w:left w:w="240" w:type="dxa"/>
              <w:bottom w:w="150" w:type="dxa"/>
              <w:right w:w="240" w:type="dxa"/>
            </w:tcMar>
            <w:vAlign w:val="center"/>
            <w:hideMark/>
          </w:tcPr>
          <w:p w14:paraId="7AF6BF9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6721795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0.020</w:t>
            </w:r>
          </w:p>
        </w:tc>
        <w:tc>
          <w:tcPr>
            <w:tcW w:w="0" w:type="auto"/>
            <w:tcMar>
              <w:top w:w="150" w:type="dxa"/>
              <w:left w:w="240" w:type="dxa"/>
              <w:bottom w:w="150" w:type="dxa"/>
              <w:right w:w="0" w:type="dxa"/>
            </w:tcMar>
            <w:vAlign w:val="center"/>
            <w:hideMark/>
          </w:tcPr>
          <w:p w14:paraId="0A381AB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0.722</w:t>
            </w:r>
          </w:p>
        </w:tc>
      </w:tr>
      <w:tr w:rsidR="00475415" w:rsidRPr="00E76487" w14:paraId="4D3A444B" w14:textId="77777777" w:rsidTr="00475415">
        <w:tc>
          <w:tcPr>
            <w:tcW w:w="0" w:type="auto"/>
            <w:tcMar>
              <w:top w:w="150" w:type="dxa"/>
              <w:left w:w="0" w:type="dxa"/>
              <w:bottom w:w="150" w:type="dxa"/>
              <w:right w:w="240" w:type="dxa"/>
            </w:tcMar>
            <w:vAlign w:val="center"/>
            <w:hideMark/>
          </w:tcPr>
          <w:p w14:paraId="5AE1553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18F446D"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4040BF7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-0.094</w:t>
            </w:r>
          </w:p>
        </w:tc>
        <w:tc>
          <w:tcPr>
            <w:tcW w:w="0" w:type="auto"/>
            <w:tcMar>
              <w:top w:w="150" w:type="dxa"/>
              <w:left w:w="240" w:type="dxa"/>
              <w:bottom w:w="150" w:type="dxa"/>
              <w:right w:w="0" w:type="dxa"/>
            </w:tcMar>
            <w:vAlign w:val="center"/>
            <w:hideMark/>
          </w:tcPr>
          <w:p w14:paraId="0EFE4F7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0.086</w:t>
            </w:r>
          </w:p>
        </w:tc>
      </w:tr>
      <w:tr w:rsidR="00475415" w:rsidRPr="00E76487" w14:paraId="100E2A82" w14:textId="77777777" w:rsidTr="00475415">
        <w:tc>
          <w:tcPr>
            <w:tcW w:w="0" w:type="auto"/>
            <w:tcMar>
              <w:top w:w="150" w:type="dxa"/>
              <w:left w:w="0" w:type="dxa"/>
              <w:bottom w:w="150" w:type="dxa"/>
              <w:right w:w="240" w:type="dxa"/>
            </w:tcMar>
            <w:vAlign w:val="center"/>
            <w:hideMark/>
          </w:tcPr>
          <w:p w14:paraId="4F5ACB7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93C3C0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46D7509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-0.102</w:t>
            </w:r>
          </w:p>
        </w:tc>
        <w:tc>
          <w:tcPr>
            <w:tcW w:w="0" w:type="auto"/>
            <w:tcMar>
              <w:top w:w="150" w:type="dxa"/>
              <w:left w:w="240" w:type="dxa"/>
              <w:bottom w:w="150" w:type="dxa"/>
              <w:right w:w="0" w:type="dxa"/>
            </w:tcMar>
            <w:vAlign w:val="center"/>
            <w:hideMark/>
          </w:tcPr>
          <w:p w14:paraId="4D3BF40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0.063</w:t>
            </w:r>
          </w:p>
        </w:tc>
      </w:tr>
      <w:tr w:rsidR="00475415" w:rsidRPr="00E76487" w14:paraId="79C58CCB" w14:textId="77777777" w:rsidTr="00475415">
        <w:tc>
          <w:tcPr>
            <w:tcW w:w="0" w:type="auto"/>
            <w:tcMar>
              <w:top w:w="150" w:type="dxa"/>
              <w:left w:w="0" w:type="dxa"/>
              <w:bottom w:w="150" w:type="dxa"/>
              <w:right w:w="240" w:type="dxa"/>
            </w:tcMar>
            <w:vAlign w:val="center"/>
            <w:hideMark/>
          </w:tcPr>
          <w:p w14:paraId="0A816EE8"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2887E2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695D00D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0.003</w:t>
            </w:r>
          </w:p>
        </w:tc>
        <w:tc>
          <w:tcPr>
            <w:tcW w:w="0" w:type="auto"/>
            <w:tcMar>
              <w:top w:w="150" w:type="dxa"/>
              <w:left w:w="240" w:type="dxa"/>
              <w:bottom w:w="150" w:type="dxa"/>
              <w:right w:w="0" w:type="dxa"/>
            </w:tcMar>
            <w:vAlign w:val="center"/>
            <w:hideMark/>
          </w:tcPr>
          <w:p w14:paraId="2FF58A4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0.950</w:t>
            </w:r>
          </w:p>
        </w:tc>
      </w:tr>
      <w:tr w:rsidR="00475415" w:rsidRPr="00E76487" w14:paraId="46F6B190" w14:textId="77777777" w:rsidTr="00475415">
        <w:tc>
          <w:tcPr>
            <w:tcW w:w="0" w:type="auto"/>
            <w:tcMar>
              <w:top w:w="150" w:type="dxa"/>
              <w:left w:w="0" w:type="dxa"/>
              <w:bottom w:w="150" w:type="dxa"/>
              <w:right w:w="240" w:type="dxa"/>
            </w:tcMar>
            <w:vAlign w:val="center"/>
            <w:hideMark/>
          </w:tcPr>
          <w:p w14:paraId="2AB735E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Emotion-Focused Coping</w:t>
            </w:r>
          </w:p>
        </w:tc>
        <w:tc>
          <w:tcPr>
            <w:tcW w:w="0" w:type="auto"/>
            <w:tcMar>
              <w:top w:w="150" w:type="dxa"/>
              <w:left w:w="240" w:type="dxa"/>
              <w:bottom w:w="150" w:type="dxa"/>
              <w:right w:w="240" w:type="dxa"/>
            </w:tcMar>
            <w:vAlign w:val="center"/>
            <w:hideMark/>
          </w:tcPr>
          <w:p w14:paraId="519B464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4CE381C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0.005</w:t>
            </w:r>
          </w:p>
        </w:tc>
        <w:tc>
          <w:tcPr>
            <w:tcW w:w="0" w:type="auto"/>
            <w:tcMar>
              <w:top w:w="150" w:type="dxa"/>
              <w:left w:w="240" w:type="dxa"/>
              <w:bottom w:w="150" w:type="dxa"/>
              <w:right w:w="0" w:type="dxa"/>
            </w:tcMar>
            <w:vAlign w:val="center"/>
            <w:hideMark/>
          </w:tcPr>
          <w:p w14:paraId="4EF5CE4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0.925</w:t>
            </w:r>
          </w:p>
        </w:tc>
      </w:tr>
      <w:tr w:rsidR="00475415" w:rsidRPr="00E76487" w14:paraId="7591974D" w14:textId="77777777" w:rsidTr="00475415">
        <w:tc>
          <w:tcPr>
            <w:tcW w:w="0" w:type="auto"/>
            <w:tcMar>
              <w:top w:w="150" w:type="dxa"/>
              <w:left w:w="0" w:type="dxa"/>
              <w:bottom w:w="150" w:type="dxa"/>
              <w:right w:w="240" w:type="dxa"/>
            </w:tcMar>
            <w:vAlign w:val="center"/>
            <w:hideMark/>
          </w:tcPr>
          <w:p w14:paraId="0106B74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79B11F9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1B14C72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0.017</w:t>
            </w:r>
          </w:p>
        </w:tc>
        <w:tc>
          <w:tcPr>
            <w:tcW w:w="0" w:type="auto"/>
            <w:tcMar>
              <w:top w:w="150" w:type="dxa"/>
              <w:left w:w="240" w:type="dxa"/>
              <w:bottom w:w="150" w:type="dxa"/>
              <w:right w:w="0" w:type="dxa"/>
            </w:tcMar>
            <w:vAlign w:val="center"/>
            <w:hideMark/>
          </w:tcPr>
          <w:p w14:paraId="072A1C7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0.756</w:t>
            </w:r>
          </w:p>
        </w:tc>
      </w:tr>
      <w:tr w:rsidR="00475415" w:rsidRPr="00E76487" w14:paraId="72F16807" w14:textId="77777777" w:rsidTr="00475415">
        <w:tc>
          <w:tcPr>
            <w:tcW w:w="0" w:type="auto"/>
            <w:tcMar>
              <w:top w:w="150" w:type="dxa"/>
              <w:left w:w="0" w:type="dxa"/>
              <w:bottom w:w="150" w:type="dxa"/>
              <w:right w:w="240" w:type="dxa"/>
            </w:tcMar>
            <w:vAlign w:val="center"/>
            <w:hideMark/>
          </w:tcPr>
          <w:p w14:paraId="6D666207"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0BCB8688"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19F4B6B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-0.075</w:t>
            </w:r>
          </w:p>
        </w:tc>
        <w:tc>
          <w:tcPr>
            <w:tcW w:w="0" w:type="auto"/>
            <w:tcMar>
              <w:top w:w="150" w:type="dxa"/>
              <w:left w:w="240" w:type="dxa"/>
              <w:bottom w:w="150" w:type="dxa"/>
              <w:right w:w="0" w:type="dxa"/>
            </w:tcMar>
            <w:vAlign w:val="center"/>
            <w:hideMark/>
          </w:tcPr>
          <w:p w14:paraId="5C137EB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0.173</w:t>
            </w:r>
          </w:p>
        </w:tc>
      </w:tr>
      <w:tr w:rsidR="00475415" w:rsidRPr="00E76487" w14:paraId="2CD51ACF" w14:textId="77777777" w:rsidTr="00475415">
        <w:tc>
          <w:tcPr>
            <w:tcW w:w="0" w:type="auto"/>
            <w:tcMar>
              <w:top w:w="150" w:type="dxa"/>
              <w:left w:w="0" w:type="dxa"/>
              <w:bottom w:w="150" w:type="dxa"/>
              <w:right w:w="240" w:type="dxa"/>
            </w:tcMar>
            <w:vAlign w:val="center"/>
            <w:hideMark/>
          </w:tcPr>
          <w:p w14:paraId="3230D92B"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7080D95"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2AFDC121"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-0.034</w:t>
            </w:r>
          </w:p>
        </w:tc>
        <w:tc>
          <w:tcPr>
            <w:tcW w:w="0" w:type="auto"/>
            <w:tcMar>
              <w:top w:w="150" w:type="dxa"/>
              <w:left w:w="240" w:type="dxa"/>
              <w:bottom w:w="150" w:type="dxa"/>
              <w:right w:w="0" w:type="dxa"/>
            </w:tcMar>
            <w:vAlign w:val="center"/>
            <w:hideMark/>
          </w:tcPr>
          <w:p w14:paraId="63E6EB1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0.538</w:t>
            </w:r>
          </w:p>
        </w:tc>
      </w:tr>
      <w:tr w:rsidR="00475415" w:rsidRPr="00E76487" w14:paraId="5D1E8995" w14:textId="77777777" w:rsidTr="00475415">
        <w:tc>
          <w:tcPr>
            <w:tcW w:w="0" w:type="auto"/>
            <w:tcMar>
              <w:top w:w="150" w:type="dxa"/>
              <w:left w:w="0" w:type="dxa"/>
              <w:bottom w:w="150" w:type="dxa"/>
              <w:right w:w="240" w:type="dxa"/>
            </w:tcMar>
            <w:vAlign w:val="center"/>
            <w:hideMark/>
          </w:tcPr>
          <w:p w14:paraId="0672480D"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lastRenderedPageBreak/>
              <w:t>Cognitive Reframing</w:t>
            </w:r>
          </w:p>
        </w:tc>
        <w:tc>
          <w:tcPr>
            <w:tcW w:w="0" w:type="auto"/>
            <w:tcMar>
              <w:top w:w="150" w:type="dxa"/>
              <w:left w:w="240" w:type="dxa"/>
              <w:bottom w:w="150" w:type="dxa"/>
              <w:right w:w="240" w:type="dxa"/>
            </w:tcMar>
            <w:vAlign w:val="center"/>
            <w:hideMark/>
          </w:tcPr>
          <w:p w14:paraId="6942CDD2"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42DEECD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0.002</w:t>
            </w:r>
          </w:p>
        </w:tc>
        <w:tc>
          <w:tcPr>
            <w:tcW w:w="0" w:type="auto"/>
            <w:tcMar>
              <w:top w:w="150" w:type="dxa"/>
              <w:left w:w="240" w:type="dxa"/>
              <w:bottom w:w="150" w:type="dxa"/>
              <w:right w:w="0" w:type="dxa"/>
            </w:tcMar>
            <w:vAlign w:val="center"/>
            <w:hideMark/>
          </w:tcPr>
          <w:p w14:paraId="7D310876"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0.972</w:t>
            </w:r>
          </w:p>
        </w:tc>
      </w:tr>
      <w:tr w:rsidR="00475415" w:rsidRPr="00E76487" w14:paraId="4521A8A9" w14:textId="77777777" w:rsidTr="00475415">
        <w:tc>
          <w:tcPr>
            <w:tcW w:w="0" w:type="auto"/>
            <w:tcMar>
              <w:top w:w="150" w:type="dxa"/>
              <w:left w:w="0" w:type="dxa"/>
              <w:bottom w:w="150" w:type="dxa"/>
              <w:right w:w="240" w:type="dxa"/>
            </w:tcMar>
            <w:vAlign w:val="center"/>
            <w:hideMark/>
          </w:tcPr>
          <w:p w14:paraId="7790F69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0F4FDF9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06404480"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-0.019</w:t>
            </w:r>
          </w:p>
        </w:tc>
        <w:tc>
          <w:tcPr>
            <w:tcW w:w="0" w:type="auto"/>
            <w:tcMar>
              <w:top w:w="150" w:type="dxa"/>
              <w:left w:w="240" w:type="dxa"/>
              <w:bottom w:w="150" w:type="dxa"/>
              <w:right w:w="0" w:type="dxa"/>
            </w:tcMar>
            <w:vAlign w:val="center"/>
            <w:hideMark/>
          </w:tcPr>
          <w:p w14:paraId="6A9083EA"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0.735</w:t>
            </w:r>
          </w:p>
        </w:tc>
      </w:tr>
      <w:tr w:rsidR="00475415" w:rsidRPr="00E76487" w14:paraId="5225E86F" w14:textId="77777777" w:rsidTr="00475415">
        <w:tc>
          <w:tcPr>
            <w:tcW w:w="0" w:type="auto"/>
            <w:tcMar>
              <w:top w:w="150" w:type="dxa"/>
              <w:left w:w="0" w:type="dxa"/>
              <w:bottom w:w="150" w:type="dxa"/>
              <w:right w:w="240" w:type="dxa"/>
            </w:tcMar>
            <w:vAlign w:val="center"/>
            <w:hideMark/>
          </w:tcPr>
          <w:p w14:paraId="37503084"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A61F89E"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3B8B95D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750168F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0.141</w:t>
            </w:r>
          </w:p>
        </w:tc>
      </w:tr>
      <w:tr w:rsidR="00475415" w:rsidRPr="00E76487" w14:paraId="0F6380E5" w14:textId="77777777" w:rsidTr="00475415">
        <w:tc>
          <w:tcPr>
            <w:tcW w:w="0" w:type="auto"/>
            <w:tcMar>
              <w:top w:w="150" w:type="dxa"/>
              <w:left w:w="0" w:type="dxa"/>
              <w:bottom w:w="150" w:type="dxa"/>
              <w:right w:w="240" w:type="dxa"/>
            </w:tcMar>
            <w:vAlign w:val="center"/>
            <w:hideMark/>
          </w:tcPr>
          <w:p w14:paraId="1352D673"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BF9B15F"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6516812C"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0.184</w:t>
            </w:r>
          </w:p>
        </w:tc>
        <w:tc>
          <w:tcPr>
            <w:tcW w:w="0" w:type="auto"/>
            <w:tcMar>
              <w:top w:w="150" w:type="dxa"/>
              <w:left w:w="240" w:type="dxa"/>
              <w:bottom w:w="150" w:type="dxa"/>
              <w:right w:w="0" w:type="dxa"/>
            </w:tcMar>
            <w:vAlign w:val="center"/>
            <w:hideMark/>
          </w:tcPr>
          <w:p w14:paraId="2B6651F9"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0.0007</w:t>
            </w:r>
          </w:p>
        </w:tc>
      </w:tr>
    </w:tbl>
    <w:p w14:paraId="775496F2" w14:textId="77777777" w:rsidR="00FA2A5F" w:rsidRPr="00E76487" w:rsidRDefault="00FA2A5F" w:rsidP="00E76487">
      <w:pPr>
        <w:spacing w:after="0" w:line="480" w:lineRule="auto"/>
        <w:jc w:val="both"/>
        <w:outlineLvl w:val="2"/>
        <w:rPr>
          <w:rFonts w:ascii="Times New Roman" w:eastAsia="Times New Roman" w:hAnsi="Times New Roman" w:cs="Times New Roman"/>
          <w:bCs/>
          <w:sz w:val="24"/>
          <w:szCs w:val="24"/>
          <w:lang w:eastAsia="en-GB"/>
        </w:rPr>
      </w:pPr>
    </w:p>
    <w:p w14:paraId="032FC63E" w14:textId="77777777" w:rsidR="00475415" w:rsidRPr="00E76487" w:rsidRDefault="00475415" w:rsidP="00E76487">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Note</w:t>
      </w:r>
      <w:r w:rsidRPr="00E76487">
        <w:rPr>
          <w:rFonts w:ascii="Times New Roman" w:eastAsia="Times New Roman" w:hAnsi="Times New Roman" w:cs="Times New Roman"/>
          <w:bCs/>
          <w:sz w:val="24"/>
          <w:szCs w:val="24"/>
          <w:lang w:eastAsia="en-GB"/>
        </w:rPr>
        <w:t xml:space="preserve">: </w:t>
      </w:r>
      <w:proofErr w:type="spellStart"/>
      <w:r w:rsidRPr="00E76487">
        <w:rPr>
          <w:rFonts w:ascii="Times New Roman" w:eastAsia="Times New Roman" w:hAnsi="Times New Roman" w:cs="Times New Roman"/>
          <w:bCs/>
          <w:sz w:val="24"/>
          <w:szCs w:val="24"/>
          <w:lang w:eastAsia="en-GB"/>
        </w:rPr>
        <w:t>HRQoL</w:t>
      </w:r>
      <w:proofErr w:type="spellEnd"/>
      <w:r w:rsidRPr="00E76487">
        <w:rPr>
          <w:rFonts w:ascii="Times New Roman" w:eastAsia="Times New Roman" w:hAnsi="Times New Roman" w:cs="Times New Roman"/>
          <w:bCs/>
          <w:sz w:val="24"/>
          <w:szCs w:val="24"/>
          <w:lang w:eastAsia="en-GB"/>
        </w:rPr>
        <w:t xml:space="preserve"> = Health-Related Quality of Life; WHOQOL-BREF = World Health Organization Quality of Life-BREF. Bolded values indicate statis</w:t>
      </w:r>
      <w:r w:rsidR="00FA2A5F" w:rsidRPr="00E76487">
        <w:rPr>
          <w:rFonts w:ascii="Times New Roman" w:eastAsia="Times New Roman" w:hAnsi="Times New Roman" w:cs="Times New Roman"/>
          <w:bCs/>
          <w:sz w:val="24"/>
          <w:szCs w:val="24"/>
          <w:lang w:eastAsia="en-GB"/>
        </w:rPr>
        <w:t>tical significance at p &lt; 0.05.</w:t>
      </w:r>
    </w:p>
    <w:p w14:paraId="5AD4E39B"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The relationships between various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are presented in Table 2. The analysis revealed that the vast majority of coping domains showed no statistically significant correlation with any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measure. Problem-focused, emotion-focused, and spiritual coping strategies demonstrated consistently weak and non-significant associations across all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(all p &gt; 0.05). Notably, the trends for spiritual coping with physical functioning and psychological well-being were weakly negative and approached, but did not reach, statistical significance.</w:t>
      </w:r>
    </w:p>
    <w:p w14:paraId="342C9C29"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Two exceptions to this pattern of null findings were observed. First, social support coping was found to have a weak but statistically significant </w:t>
      </w:r>
      <w:r w:rsidRPr="00E76487">
        <w:rPr>
          <w:rFonts w:ascii="Times New Roman" w:hAnsi="Times New Roman" w:cs="Times New Roman"/>
          <w:i/>
          <w:iCs/>
          <w:sz w:val="24"/>
          <w:szCs w:val="24"/>
        </w:rPr>
        <w:t>negative</w:t>
      </w:r>
      <w:r w:rsidRPr="00E76487">
        <w:rPr>
          <w:rFonts w:ascii="Times New Roman" w:hAnsi="Times New Roman" w:cs="Times New Roman"/>
          <w:sz w:val="24"/>
          <w:szCs w:val="24"/>
        </w:rPr>
        <w:t xml:space="preserve"> correlation with the physical functioning facet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(r&lt;sub&gt;s&lt;/sub&gt; = -0.125, p = 0.023). This suggests that participants </w:t>
      </w:r>
      <w:r w:rsidRPr="00E76487">
        <w:rPr>
          <w:rFonts w:ascii="Times New Roman" w:hAnsi="Times New Roman" w:cs="Times New Roman"/>
          <w:sz w:val="24"/>
          <w:szCs w:val="24"/>
        </w:rPr>
        <w:lastRenderedPageBreak/>
        <w:t xml:space="preserve">who reported greater use of social support tended to report slightly lower levels of physical functioning. Second, cognitive reframing demonstrated a weak, positive, and highly significant correlation with the pain impact facet (r&lt;sub&gt;s&lt;/sub&gt; = 0.184, p &lt; 0.001), indicating that a tendency to positively reinterpret a stressful situation was associated with better perceived pain management or less interference from pain. The effect sizes for both significant findings were small, indicating that these coping strategies explain only a modest proportion of the variance in these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w:t>
      </w:r>
    </w:p>
    <w:p w14:paraId="2E6F9C20" w14:textId="77777777" w:rsidR="00E76487" w:rsidRPr="00E76487" w:rsidRDefault="00E76487" w:rsidP="00E76487">
      <w:pPr>
        <w:spacing w:after="0" w:line="480" w:lineRule="auto"/>
        <w:jc w:val="both"/>
        <w:rPr>
          <w:rFonts w:ascii="Times New Roman" w:hAnsi="Times New Roman" w:cs="Times New Roman"/>
          <w:b/>
          <w:bCs/>
          <w:sz w:val="24"/>
          <w:szCs w:val="24"/>
        </w:rPr>
      </w:pPr>
      <w:r w:rsidRPr="00E76487">
        <w:rPr>
          <w:rFonts w:ascii="Times New Roman" w:hAnsi="Times New Roman" w:cs="Times New Roman"/>
          <w:b/>
          <w:bCs/>
          <w:sz w:val="24"/>
          <w:szCs w:val="24"/>
        </w:rPr>
        <w:t>Discussion </w:t>
      </w:r>
    </w:p>
    <w:p w14:paraId="0AC53931" w14:textId="77777777" w:rsidR="00E76487" w:rsidRPr="00E76487" w:rsidRDefault="00E76487" w:rsidP="00E76487">
      <w:pPr>
        <w:spacing w:after="0" w:line="480" w:lineRule="auto"/>
        <w:jc w:val="both"/>
        <w:rPr>
          <w:rFonts w:ascii="Times New Roman" w:hAnsi="Times New Roman" w:cs="Times New Roman"/>
          <w:bCs/>
          <w:sz w:val="24"/>
          <w:szCs w:val="24"/>
        </w:rPr>
      </w:pPr>
      <w:commentRangeStart w:id="8"/>
      <w:r w:rsidRPr="00E76487">
        <w:rPr>
          <w:rFonts w:ascii="Times New Roman" w:hAnsi="Times New Roman" w:cs="Times New Roman"/>
          <w:bCs/>
          <w:sz w:val="24"/>
          <w:szCs w:val="24"/>
        </w:rPr>
        <w:t>This study aimed to examine the relationship between coping strategies and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among patients with T2DM in Kaduna State, Nigeria.</w:t>
      </w:r>
      <w:commentRangeEnd w:id="8"/>
      <w:r w:rsidR="002D7388">
        <w:rPr>
          <w:rStyle w:val="CommentReference"/>
        </w:rPr>
        <w:commentReference w:id="8"/>
      </w:r>
      <w:r w:rsidRPr="00E76487">
        <w:rPr>
          <w:rFonts w:ascii="Times New Roman" w:hAnsi="Times New Roman" w:cs="Times New Roman"/>
          <w:bCs/>
          <w:sz w:val="24"/>
          <w:szCs w:val="24"/>
        </w:rPr>
        <w:t xml:space="preserve"> The most striking finding was the general absence of significant associations between most coping domains—problem-focused, emotion-focused, and spiritual coping—and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indicators. This pattern of predominantly null results is itself a significant finding that warrants careful consideration within the Nigerian context. </w:t>
      </w:r>
    </w:p>
    <w:p w14:paraId="4B2FBDCE" w14:textId="77777777" w:rsidR="00E76487" w:rsidRPr="00E76487" w:rsidRDefault="00E76487" w:rsidP="00E76487">
      <w:pPr>
        <w:spacing w:after="0" w:line="480" w:lineRule="auto"/>
        <w:jc w:val="both"/>
        <w:rPr>
          <w:rFonts w:ascii="Times New Roman" w:hAnsi="Times New Roman" w:cs="Times New Roman"/>
          <w:bCs/>
          <w:sz w:val="24"/>
          <w:szCs w:val="24"/>
        </w:rPr>
      </w:pPr>
      <w:r w:rsidRPr="00E76487">
        <w:rPr>
          <w:rFonts w:ascii="Times New Roman" w:hAnsi="Times New Roman" w:cs="Times New Roman"/>
          <w:bCs/>
          <w:sz w:val="24"/>
          <w:szCs w:val="24"/>
        </w:rPr>
        <w:t>The lack of a relationship between problem-focused coping and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was unexpected, as active coping is often theorized to enhance self-management and, consequently, well-being. One possible explanation is that in a setting with limited access to diabetes educators, advanced medications, and dietary options, problem-focused efforts by individuals may not translate into tangible improvements in their health status or quality of life. As </w:t>
      </w:r>
      <w:proofErr w:type="gramStart"/>
      <w:r w:rsidRPr="00E76487">
        <w:rPr>
          <w:rFonts w:ascii="Times New Roman" w:hAnsi="Times New Roman" w:cs="Times New Roman"/>
          <w:bCs/>
          <w:sz w:val="24"/>
          <w:szCs w:val="24"/>
        </w:rPr>
        <w:t>​(</w:t>
      </w:r>
      <w:proofErr w:type="spellStart"/>
      <w:proofErr w:type="gramEnd"/>
      <w:r w:rsidRPr="00E76487">
        <w:rPr>
          <w:rFonts w:ascii="Times New Roman" w:hAnsi="Times New Roman" w:cs="Times New Roman"/>
          <w:bCs/>
          <w:sz w:val="24"/>
          <w:szCs w:val="24"/>
        </w:rPr>
        <w:t>Hapunda</w:t>
      </w:r>
      <w:proofErr w:type="spellEnd"/>
      <w:r w:rsidRPr="00E76487">
        <w:rPr>
          <w:rFonts w:ascii="Times New Roman" w:hAnsi="Times New Roman" w:cs="Times New Roman"/>
          <w:bCs/>
          <w:sz w:val="24"/>
          <w:szCs w:val="24"/>
        </w:rPr>
        <w:t>, 2022)​ noted, systemic barriers in low- and middle-income countries can severely constrain the effectiveness of individual-level behaviors. Similarly, the null findings for emotion-focused and spiritual coping may reflect the fact that while these strategies are culturally prevalent </w:t>
      </w:r>
      <w:proofErr w:type="gramStart"/>
      <w:r w:rsidRPr="00E76487">
        <w:rPr>
          <w:rFonts w:ascii="Times New Roman" w:hAnsi="Times New Roman" w:cs="Times New Roman"/>
          <w:bCs/>
          <w:sz w:val="24"/>
          <w:szCs w:val="24"/>
        </w:rPr>
        <w:t>​(</w:t>
      </w:r>
      <w:proofErr w:type="gramEnd"/>
      <w:r w:rsidRPr="00E76487">
        <w:rPr>
          <w:rFonts w:ascii="Times New Roman" w:hAnsi="Times New Roman" w:cs="Times New Roman"/>
          <w:bCs/>
          <w:sz w:val="24"/>
          <w:szCs w:val="24"/>
        </w:rPr>
        <w:t>Jackson et al., 2023)​ , they function primarily as a buffer against acute distress rather than as direct determinants of the multi-faceted, long-term construct of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xml:space="preserve">. The weak, negative trends observed for spiritual </w:t>
      </w:r>
      <w:r w:rsidRPr="00E76487">
        <w:rPr>
          <w:rFonts w:ascii="Times New Roman" w:hAnsi="Times New Roman" w:cs="Times New Roman"/>
          <w:bCs/>
          <w:sz w:val="24"/>
          <w:szCs w:val="24"/>
        </w:rPr>
        <w:lastRenderedPageBreak/>
        <w:t>coping, though non-significant, hint at the possibility that a passive reliance on spiritual mechanisms in the absence of active self-care could be a marker of greater disease burden or distress. This hypothesis requires further investigation. </w:t>
      </w:r>
    </w:p>
    <w:p w14:paraId="019159BD" w14:textId="77777777" w:rsidR="00E76487" w:rsidRPr="00E76487" w:rsidRDefault="00E76487" w:rsidP="00E76487">
      <w:pPr>
        <w:spacing w:after="0" w:line="480" w:lineRule="auto"/>
        <w:jc w:val="both"/>
        <w:rPr>
          <w:rFonts w:ascii="Times New Roman" w:hAnsi="Times New Roman" w:cs="Times New Roman"/>
          <w:bCs/>
          <w:sz w:val="24"/>
          <w:szCs w:val="24"/>
        </w:rPr>
      </w:pPr>
      <w:r w:rsidRPr="00E76487">
        <w:rPr>
          <w:rFonts w:ascii="Times New Roman" w:hAnsi="Times New Roman" w:cs="Times New Roman"/>
          <w:bCs/>
          <w:sz w:val="24"/>
          <w:szCs w:val="24"/>
        </w:rPr>
        <w:t>The two significant findings, though weak in magnitude, offer more specific insights. The negative correlation between social support coping and physical functioning (r = -0.125, p = 0.023) mirrors the findings of </w:t>
      </w:r>
      <w:proofErr w:type="gramStart"/>
      <w:r w:rsidRPr="00E76487">
        <w:rPr>
          <w:rFonts w:ascii="Times New Roman" w:hAnsi="Times New Roman" w:cs="Times New Roman"/>
          <w:bCs/>
          <w:sz w:val="24"/>
          <w:szCs w:val="24"/>
        </w:rPr>
        <w:t>​(</w:t>
      </w:r>
      <w:proofErr w:type="spellStart"/>
      <w:proofErr w:type="gramEnd"/>
      <w:r w:rsidRPr="00E76487">
        <w:rPr>
          <w:rFonts w:ascii="Times New Roman" w:hAnsi="Times New Roman" w:cs="Times New Roman"/>
          <w:bCs/>
          <w:sz w:val="24"/>
          <w:szCs w:val="24"/>
        </w:rPr>
        <w:t>Religioni</w:t>
      </w:r>
      <w:proofErr w:type="spellEnd"/>
      <w:r w:rsidRPr="00E76487">
        <w:rPr>
          <w:rFonts w:ascii="Times New Roman" w:hAnsi="Times New Roman" w:cs="Times New Roman"/>
          <w:bCs/>
          <w:sz w:val="24"/>
          <w:szCs w:val="24"/>
        </w:rPr>
        <w:t xml:space="preserve"> et al., 2025)​ suggests a potential "support paradox." While social support is generally beneficial, an over-reliance on others for disease management may inadvertently undermine a patient's self-efficacy and personal engagement in physical activities, leading to perceived functional decline. This could be particularly relevant in cultures with strong family ties, where the line between supportive assistance and fostering dependency can be blurred. The positive correlation between cognitive reframing and pain impact (r = 0.184, p &lt; 0.001) is conceptually coherent and aligns with the work of </w:t>
      </w:r>
      <w:proofErr w:type="gramStart"/>
      <w:r w:rsidRPr="00E76487">
        <w:rPr>
          <w:rFonts w:ascii="Times New Roman" w:hAnsi="Times New Roman" w:cs="Times New Roman"/>
          <w:bCs/>
          <w:sz w:val="24"/>
          <w:szCs w:val="24"/>
        </w:rPr>
        <w:t>​(</w:t>
      </w:r>
      <w:proofErr w:type="gramEnd"/>
      <w:r w:rsidRPr="00E76487">
        <w:rPr>
          <w:rFonts w:ascii="Times New Roman" w:hAnsi="Times New Roman" w:cs="Times New Roman"/>
          <w:bCs/>
          <w:sz w:val="24"/>
          <w:szCs w:val="24"/>
        </w:rPr>
        <w:t>Reid et al., 2025)​ . It suggests that the ability to find positive meaning or reinterpret the challenges of diabetes can directly influence the subjective experience of pain, a major component of physical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This finding points to a potentially powerful, low-cost target for psychosocial intervention. </w:t>
      </w:r>
    </w:p>
    <w:p w14:paraId="6D90471C" w14:textId="77777777" w:rsidR="00E76487" w:rsidRPr="00E76487" w:rsidRDefault="00E76487" w:rsidP="00E76487">
      <w:pPr>
        <w:spacing w:after="0" w:line="480" w:lineRule="auto"/>
        <w:jc w:val="both"/>
        <w:rPr>
          <w:rFonts w:ascii="Times New Roman" w:hAnsi="Times New Roman" w:cs="Times New Roman"/>
          <w:sz w:val="24"/>
          <w:szCs w:val="24"/>
        </w:rPr>
      </w:pPr>
    </w:p>
    <w:p w14:paraId="5304E339"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This study aimed 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T2DM in Kaduna State, Nigeria. The most striking finding was the general absence of significant associations between most coping domains—problem-focused, emotion-focused, and spiritual coping—and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This pattern of predominantly null results is itself a significant finding that warrants careful consideration within the Nigerian context.</w:t>
      </w:r>
    </w:p>
    <w:p w14:paraId="7D8DEAD4"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The lack of a relationship between problem-focused coping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was unexpected, as active coping is often theorized to enhance self-management and, consequently, well-being. One </w:t>
      </w:r>
      <w:r w:rsidRPr="00E76487">
        <w:rPr>
          <w:rFonts w:ascii="Times New Roman" w:hAnsi="Times New Roman" w:cs="Times New Roman"/>
          <w:sz w:val="24"/>
          <w:szCs w:val="24"/>
        </w:rPr>
        <w:lastRenderedPageBreak/>
        <w:t xml:space="preserve">possible explanation is that in a setting with limited access to diabetes educators, advanced medications, and dietary options, problem-focused efforts by individuals may not translate into tangible improvements in their health status or quality of life. As </w:t>
      </w:r>
      <w:proofErr w:type="spellStart"/>
      <w:r w:rsidRPr="00E76487">
        <w:rPr>
          <w:rFonts w:ascii="Times New Roman" w:hAnsi="Times New Roman" w:cs="Times New Roman"/>
          <w:sz w:val="24"/>
          <w:szCs w:val="24"/>
        </w:rPr>
        <w:t>Pastakia</w:t>
      </w:r>
      <w:proofErr w:type="spellEnd"/>
      <w:r w:rsidRPr="00E76487">
        <w:rPr>
          <w:rFonts w:ascii="Times New Roman" w:hAnsi="Times New Roman" w:cs="Times New Roman"/>
          <w:sz w:val="24"/>
          <w:szCs w:val="24"/>
        </w:rPr>
        <w:t xml:space="preserve"> et al. (2017) noted, systemic barriers in low- and middle-income countries can severely constrain the effectiveness of individual-level behaviors. Similarly, the null findings for emotion-focused and spiritual coping may reflect the fact that while these strategies are culturally prevalent (</w:t>
      </w:r>
      <w:proofErr w:type="spellStart"/>
      <w:r w:rsidRPr="00E76487">
        <w:rPr>
          <w:rFonts w:ascii="Times New Roman" w:hAnsi="Times New Roman" w:cs="Times New Roman"/>
          <w:sz w:val="24"/>
          <w:szCs w:val="24"/>
        </w:rPr>
        <w:t>Mphasha</w:t>
      </w:r>
      <w:proofErr w:type="spellEnd"/>
      <w:r w:rsidRPr="00E76487">
        <w:rPr>
          <w:rFonts w:ascii="Times New Roman" w:hAnsi="Times New Roman" w:cs="Times New Roman"/>
          <w:sz w:val="24"/>
          <w:szCs w:val="24"/>
        </w:rPr>
        <w:t xml:space="preserve"> et al., 2022), they function primarily as a buffer against acute distress rather than as direct determinants of the multi-faceted, long-term construct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The weak, negative trends observed for spiritual coping, though non-significant, hint at the possibility that a passive reliance on spiritual mechanisms in the absence of active self-care could be a marker of greater disease burden or distress. This hypothesis requires further investigation.</w:t>
      </w:r>
    </w:p>
    <w:p w14:paraId="4876C126" w14:textId="77777777" w:rsidR="00FA2A5F" w:rsidRPr="00E76487"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The two significant findings, though weak in magnitude, offer more specific insights. The negative correlation between social support coping and physical functioning (r = -0.125, p = 0.023) mirrors the findings of Ng et al. (2022) and suggests a potential "support paradox." While social support is generally beneficial, an over-reliance on others for disease management may inadvertently undermine a patient's self-efficacy and personal engagement in physical activities, leading to perceived functional decline. This could be particularly relevant in cultures with strong family ties, where the line between supportive assistance and fostering dependency can be blurred. The positive correlation between cognitive reframing and pain impact (r = 0.184, p &lt; 0.001) is conceptually coherent and aligns with the work of </w:t>
      </w:r>
      <w:proofErr w:type="spellStart"/>
      <w:r w:rsidRPr="00E76487">
        <w:rPr>
          <w:rFonts w:ascii="Times New Roman" w:hAnsi="Times New Roman" w:cs="Times New Roman"/>
          <w:sz w:val="24"/>
          <w:szCs w:val="24"/>
        </w:rPr>
        <w:t>Seyyedmousavi</w:t>
      </w:r>
      <w:proofErr w:type="spellEnd"/>
      <w:r w:rsidRPr="00E76487">
        <w:rPr>
          <w:rFonts w:ascii="Times New Roman" w:hAnsi="Times New Roman" w:cs="Times New Roman"/>
          <w:sz w:val="24"/>
          <w:szCs w:val="24"/>
        </w:rPr>
        <w:t xml:space="preserve"> et al. (2023). It suggests that the ability to find positive meaning or reinterpret the challenges of diabetes can directly influence the subjective experience of pain, a major component of physical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This finding points to a potentially powerful, low-cost target for psychosocial intervention.</w:t>
      </w:r>
    </w:p>
    <w:p w14:paraId="0EDCABA5" w14:textId="77777777" w:rsidR="00FA2A5F" w:rsidRPr="00E76487" w:rsidRDefault="00FA2A5F" w:rsidP="00E76487">
      <w:pPr>
        <w:spacing w:after="0" w:line="480" w:lineRule="auto"/>
        <w:rPr>
          <w:rFonts w:ascii="Times New Roman" w:hAnsi="Times New Roman" w:cs="Times New Roman"/>
          <w:sz w:val="24"/>
          <w:szCs w:val="24"/>
        </w:rPr>
      </w:pPr>
      <w:r w:rsidRPr="00E76487">
        <w:rPr>
          <w:rFonts w:ascii="Times New Roman" w:hAnsi="Times New Roman" w:cs="Times New Roman"/>
          <w:b/>
          <w:bCs/>
          <w:sz w:val="24"/>
          <w:szCs w:val="24"/>
        </w:rPr>
        <w:lastRenderedPageBreak/>
        <w:t>Limitations and Future Research</w:t>
      </w:r>
      <w:r w:rsidRPr="00E76487">
        <w:rPr>
          <w:rFonts w:ascii="Times New Roman" w:hAnsi="Times New Roman" w:cs="Times New Roman"/>
          <w:sz w:val="24"/>
          <w:szCs w:val="24"/>
        </w:rPr>
        <w:br/>
        <w:t xml:space="preserve">The findings must be interpreted in light of several limitations. The cross-sectional design precludes causal inference; it is possible that poorer physical functioning leads to greater reliance on social support, rather than the reverse. The reliance on self-report measures introduces the potential for recall and social desirability bias. The sampling from only two LGAs and secondary care facilities limits the generalizability of the findings to patients in primary care or rural areas who may have different experiences. Crucially, the small effect sizes and the risk of Type I error due to multiple comparisons mean that the two significant findings should be considered preliminary and hypothesis-generating rather than definitive. Future research should employ longitudinal designs to disentangle the direction of these relationships. Studies should also incorporate objective clinical measures (e.g., HbA1c) and assess potential mediating variables, such as self-efficacy and diabetes distress, to better understand the pathways linking coping to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Qualitative research is urgently needed to explore the meaning and lived experience of these coping strategies from the patients' own perspectives.</w:t>
      </w:r>
    </w:p>
    <w:p w14:paraId="42B18E71" w14:textId="77777777" w:rsidR="00FA2A5F" w:rsidRDefault="00FA2A5F" w:rsidP="00E76487">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Conclusion</w:t>
      </w:r>
      <w:r w:rsidRPr="00E76487">
        <w:rPr>
          <w:rFonts w:ascii="Times New Roman" w:hAnsi="Times New Roman" w:cs="Times New Roman"/>
          <w:sz w:val="24"/>
          <w:szCs w:val="24"/>
        </w:rPr>
        <w:br/>
        <w:t>This study contributes valuable, context-specific evidence on the coping-</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relationship in a Nigerian T2DM population. It finds that generic coping styles are largely unrelated to quality of life, highlighting the critical importance of the broader healthcare and social environment in shaping patient well-being. The modest yet significant associations suggest that promoting cognitive reframing skills may offer a pathway to improving pain management, while interventions involving social support should be carefully structured to foster, rather than replace, patient self-efficacy. These findings underscore the need for diabetes care programs in </w:t>
      </w:r>
      <w:r w:rsidRPr="00E76487">
        <w:rPr>
          <w:rFonts w:ascii="Times New Roman" w:hAnsi="Times New Roman" w:cs="Times New Roman"/>
          <w:sz w:val="24"/>
          <w:szCs w:val="24"/>
        </w:rPr>
        <w:lastRenderedPageBreak/>
        <w:t>Nigeria to move beyond a purely biomedical focus and integrate culturally sensitive, psychosocial support that targets specific adaptive cognitive strategies.</w:t>
      </w:r>
    </w:p>
    <w:p w14:paraId="712D9E0C" w14:textId="77777777" w:rsidR="007F1B4A" w:rsidRPr="00E76487" w:rsidRDefault="007F1B4A" w:rsidP="00E76487">
      <w:pPr>
        <w:spacing w:after="0" w:line="480" w:lineRule="auto"/>
        <w:jc w:val="both"/>
        <w:rPr>
          <w:rFonts w:ascii="Times New Roman" w:hAnsi="Times New Roman" w:cs="Times New Roman"/>
          <w:sz w:val="24"/>
          <w:szCs w:val="24"/>
        </w:rPr>
      </w:pPr>
    </w:p>
    <w:p w14:paraId="30B2530D" w14:textId="77777777" w:rsidR="00E76487" w:rsidRPr="00E76487" w:rsidRDefault="00E76487" w:rsidP="00E76487">
      <w:pPr>
        <w:pStyle w:val="paragraph"/>
        <w:spacing w:before="0" w:beforeAutospacing="0" w:after="0" w:afterAutospacing="0" w:line="480" w:lineRule="auto"/>
        <w:textAlignment w:val="baseline"/>
        <w:rPr>
          <w:b/>
        </w:rPr>
      </w:pPr>
      <w:r w:rsidRPr="00E76487">
        <w:rPr>
          <w:rStyle w:val="normaltextrun"/>
          <w:b/>
        </w:rPr>
        <w:t>Reference</w:t>
      </w:r>
      <w:r w:rsidRPr="00E76487">
        <w:rPr>
          <w:rStyle w:val="eop"/>
          <w:b/>
        </w:rPr>
        <w:t> </w:t>
      </w:r>
    </w:p>
    <w:p w14:paraId="4428F6EF"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rPr>
        <w:t>​​</w:t>
      </w:r>
      <w:r w:rsidRPr="00E76487">
        <w:rPr>
          <w:rStyle w:val="normaltextrun"/>
          <w:color w:val="000000"/>
        </w:rPr>
        <w:t xml:space="preserve">Adeniyi </w:t>
      </w:r>
      <w:proofErr w:type="spellStart"/>
      <w:r w:rsidRPr="00E76487">
        <w:rPr>
          <w:rStyle w:val="normaltextrun"/>
          <w:color w:val="000000"/>
        </w:rPr>
        <w:t>Jamiu</w:t>
      </w:r>
      <w:proofErr w:type="spellEnd"/>
      <w:r w:rsidRPr="00E76487">
        <w:rPr>
          <w:rStyle w:val="normaltextrun"/>
          <w:color w:val="000000"/>
        </w:rPr>
        <w:t xml:space="preserve">, Y., Victoria Ibrahim, H., Helen </w:t>
      </w:r>
      <w:proofErr w:type="spellStart"/>
      <w:r w:rsidRPr="00E76487">
        <w:rPr>
          <w:rStyle w:val="normaltextrun"/>
          <w:color w:val="000000"/>
        </w:rPr>
        <w:t>Kolo</w:t>
      </w:r>
      <w:proofErr w:type="spellEnd"/>
      <w:r w:rsidRPr="00E76487">
        <w:rPr>
          <w:rStyle w:val="normaltextrun"/>
          <w:color w:val="000000"/>
        </w:rPr>
        <w:t>, G., Victoria Mayowa, O., &amp; Publishing Yusuf, S. (2025). An Evaluation of the Economic Burden of Chronic Diseases in Nigeria. </w:t>
      </w:r>
      <w:proofErr w:type="spellStart"/>
      <w:r w:rsidRPr="00E76487">
        <w:rPr>
          <w:rStyle w:val="normaltextrun"/>
          <w:i/>
          <w:iCs/>
          <w:color w:val="000000"/>
        </w:rPr>
        <w:t>Stecab</w:t>
      </w:r>
      <w:proofErr w:type="spellEnd"/>
      <w:r w:rsidRPr="00E76487">
        <w:rPr>
          <w:rStyle w:val="normaltextrun"/>
          <w:i/>
          <w:iCs/>
          <w:color w:val="000000"/>
        </w:rPr>
        <w:t> Publishing Journal of Medical Science</w:t>
      </w:r>
      <w:r w:rsidRPr="00E76487">
        <w:rPr>
          <w:rStyle w:val="normaltextrun"/>
          <w:color w:val="000000"/>
        </w:rPr>
        <w:t>, </w:t>
      </w:r>
      <w:r w:rsidRPr="00E76487">
        <w:rPr>
          <w:rStyle w:val="normaltextrun"/>
          <w:i/>
          <w:iCs/>
          <w:color w:val="000000"/>
        </w:rPr>
        <w:t>2</w:t>
      </w:r>
      <w:r w:rsidRPr="00E76487">
        <w:rPr>
          <w:rStyle w:val="normaltextrun"/>
          <w:color w:val="000000"/>
        </w:rPr>
        <w:t>(1), 75–83. </w:t>
      </w:r>
      <w:hyperlink r:id="rId10" w:tgtFrame="_blank" w:history="1">
        <w:r w:rsidRPr="00E76487">
          <w:rPr>
            <w:rStyle w:val="normaltextrun"/>
            <w:color w:val="000000"/>
          </w:rPr>
          <w:t>https://doi.org/10.69739/jmsbc</w:t>
        </w:r>
      </w:hyperlink>
      <w:r w:rsidRPr="00E76487">
        <w:rPr>
          <w:rStyle w:val="eop"/>
          <w:color w:val="000000"/>
        </w:rPr>
        <w:t> </w:t>
      </w:r>
    </w:p>
    <w:p w14:paraId="72960729"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Amadi</w:t>
      </w:r>
      <w:proofErr w:type="spellEnd"/>
      <w:r w:rsidRPr="00E76487">
        <w:rPr>
          <w:rStyle w:val="normaltextrun"/>
          <w:color w:val="000000"/>
        </w:rPr>
        <w:t xml:space="preserve">, K. U., </w:t>
      </w:r>
      <w:proofErr w:type="spellStart"/>
      <w:r w:rsidRPr="00E76487">
        <w:rPr>
          <w:rStyle w:val="normaltextrun"/>
          <w:color w:val="000000"/>
        </w:rPr>
        <w:t>Uwakwe</w:t>
      </w:r>
      <w:proofErr w:type="spellEnd"/>
      <w:r w:rsidRPr="00E76487">
        <w:rPr>
          <w:rStyle w:val="normaltextrun"/>
          <w:color w:val="000000"/>
        </w:rPr>
        <w:t>, R., </w:t>
      </w:r>
      <w:proofErr w:type="spellStart"/>
      <w:r w:rsidRPr="00E76487">
        <w:rPr>
          <w:rStyle w:val="normaltextrun"/>
          <w:color w:val="000000"/>
        </w:rPr>
        <w:t>Ndukuba</w:t>
      </w:r>
      <w:proofErr w:type="spellEnd"/>
      <w:r w:rsidRPr="00E76487">
        <w:rPr>
          <w:rStyle w:val="normaltextrun"/>
          <w:color w:val="000000"/>
        </w:rPr>
        <w:t>, A. C., </w:t>
      </w:r>
      <w:proofErr w:type="spellStart"/>
      <w:r w:rsidRPr="00E76487">
        <w:rPr>
          <w:rStyle w:val="normaltextrun"/>
          <w:color w:val="000000"/>
        </w:rPr>
        <w:t>Odinka</w:t>
      </w:r>
      <w:proofErr w:type="spellEnd"/>
      <w:r w:rsidRPr="00E76487">
        <w:rPr>
          <w:rStyle w:val="normaltextrun"/>
          <w:color w:val="000000"/>
        </w:rPr>
        <w:t xml:space="preserve">, P. C., </w:t>
      </w:r>
      <w:proofErr w:type="spellStart"/>
      <w:r w:rsidRPr="00E76487">
        <w:rPr>
          <w:rStyle w:val="normaltextrun"/>
          <w:color w:val="000000"/>
        </w:rPr>
        <w:t>Igwe</w:t>
      </w:r>
      <w:proofErr w:type="spellEnd"/>
      <w:r w:rsidRPr="00E76487">
        <w:rPr>
          <w:rStyle w:val="normaltextrun"/>
          <w:color w:val="000000"/>
        </w:rPr>
        <w:t>, M. N., </w:t>
      </w:r>
      <w:proofErr w:type="spellStart"/>
      <w:r w:rsidRPr="00E76487">
        <w:rPr>
          <w:rStyle w:val="normaltextrun"/>
          <w:color w:val="000000"/>
        </w:rPr>
        <w:t>Obayi</w:t>
      </w:r>
      <w:proofErr w:type="spellEnd"/>
      <w:r w:rsidRPr="00E76487">
        <w:rPr>
          <w:rStyle w:val="normaltextrun"/>
          <w:color w:val="000000"/>
        </w:rPr>
        <w:t>, N. K., &amp; </w:t>
      </w:r>
      <w:proofErr w:type="spellStart"/>
      <w:r w:rsidRPr="00E76487">
        <w:rPr>
          <w:rStyle w:val="normaltextrun"/>
          <w:color w:val="000000"/>
        </w:rPr>
        <w:t>Ezeme</w:t>
      </w:r>
      <w:proofErr w:type="spellEnd"/>
      <w:r w:rsidRPr="00E76487">
        <w:rPr>
          <w:rStyle w:val="normaltextrun"/>
          <w:color w:val="000000"/>
        </w:rPr>
        <w:t>, M. S. (2016). Relationship between religiosity, religious coping and socio-demographic variables among out-patients with depression or diabetes mellitus in Enugu, Nigeria. </w:t>
      </w:r>
      <w:r w:rsidRPr="00E76487">
        <w:rPr>
          <w:rStyle w:val="normaltextrun"/>
          <w:i/>
          <w:iCs/>
          <w:color w:val="000000"/>
        </w:rPr>
        <w:t>African Health Sciences</w:t>
      </w:r>
      <w:r w:rsidRPr="00E76487">
        <w:rPr>
          <w:rStyle w:val="normaltextrun"/>
          <w:color w:val="000000"/>
        </w:rPr>
        <w:t>, </w:t>
      </w:r>
      <w:r w:rsidRPr="00E76487">
        <w:rPr>
          <w:rStyle w:val="normaltextrun"/>
          <w:i/>
          <w:iCs/>
          <w:color w:val="000000"/>
        </w:rPr>
        <w:t>16</w:t>
      </w:r>
      <w:r w:rsidRPr="00E76487">
        <w:rPr>
          <w:rStyle w:val="normaltextrun"/>
          <w:color w:val="000000"/>
        </w:rPr>
        <w:t>(2), 497. </w:t>
      </w:r>
      <w:hyperlink r:id="rId11" w:tgtFrame="_blank" w:history="1">
        <w:r w:rsidRPr="00E76487">
          <w:rPr>
            <w:rStyle w:val="normaltextrun"/>
            <w:color w:val="000000"/>
          </w:rPr>
          <w:t>https://doi.org/10.4314/ahs.v16i2.18</w:t>
        </w:r>
      </w:hyperlink>
      <w:r w:rsidRPr="00E76487">
        <w:rPr>
          <w:rStyle w:val="eop"/>
          <w:color w:val="000000"/>
        </w:rPr>
        <w:t> </w:t>
      </w:r>
    </w:p>
    <w:p w14:paraId="009DB605"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commentRangeStart w:id="9"/>
      <w:proofErr w:type="spellStart"/>
      <w:r w:rsidRPr="00E76487">
        <w:rPr>
          <w:rStyle w:val="normaltextrun"/>
          <w:color w:val="000000"/>
        </w:rPr>
        <w:t>Conduah</w:t>
      </w:r>
      <w:proofErr w:type="spellEnd"/>
      <w:r w:rsidRPr="00E76487">
        <w:rPr>
          <w:rStyle w:val="normaltextrun"/>
          <w:color w:val="000000"/>
        </w:rPr>
        <w:t>, A. K., </w:t>
      </w:r>
      <w:proofErr w:type="spellStart"/>
      <w:r w:rsidRPr="00E76487">
        <w:rPr>
          <w:rStyle w:val="normaltextrun"/>
          <w:color w:val="000000"/>
        </w:rPr>
        <w:t>Essiaw</w:t>
      </w:r>
      <w:proofErr w:type="spellEnd"/>
      <w:r w:rsidRPr="00E76487">
        <w:rPr>
          <w:rStyle w:val="normaltextrun"/>
          <w:color w:val="000000"/>
        </w:rPr>
        <w:t xml:space="preserve">, M. N., &amp; </w:t>
      </w:r>
      <w:proofErr w:type="spellStart"/>
      <w:r w:rsidRPr="00E76487">
        <w:rPr>
          <w:rStyle w:val="normaltextrun"/>
          <w:color w:val="000000"/>
        </w:rPr>
        <w:t>Ofoe</w:t>
      </w:r>
      <w:proofErr w:type="spellEnd"/>
      <w:r w:rsidRPr="00E76487">
        <w:rPr>
          <w:rStyle w:val="normaltextrun"/>
          <w:color w:val="000000"/>
        </w:rPr>
        <w:t xml:space="preserve">, S. H. (2025a). Coping </w:t>
      </w:r>
      <w:proofErr w:type="gramStart"/>
      <w:r w:rsidRPr="00E76487">
        <w:rPr>
          <w:rStyle w:val="normaltextrun"/>
          <w:color w:val="000000"/>
        </w:rPr>
        <w:t>With</w:t>
      </w:r>
      <w:proofErr w:type="gramEnd"/>
      <w:r w:rsidRPr="00E76487">
        <w:rPr>
          <w:rStyle w:val="normaltextrun"/>
          <w:color w:val="000000"/>
        </w:rPr>
        <w:t xml:space="preserve"> Chronic Illness: A Systematic Review of Adaptive Strategies Across Cancer, COPD, Diabetes and Heart Disease. </w:t>
      </w:r>
      <w:r w:rsidRPr="00E76487">
        <w:rPr>
          <w:rStyle w:val="normaltextrun"/>
          <w:i/>
          <w:iCs/>
          <w:color w:val="000000"/>
        </w:rPr>
        <w:t>Public Health Challenges</w:t>
      </w:r>
      <w:r w:rsidRPr="00E76487">
        <w:rPr>
          <w:rStyle w:val="normaltextrun"/>
          <w:color w:val="000000"/>
        </w:rPr>
        <w:t>, </w:t>
      </w:r>
      <w:r w:rsidRPr="00E76487">
        <w:rPr>
          <w:rStyle w:val="normaltextrun"/>
          <w:i/>
          <w:iCs/>
          <w:color w:val="000000"/>
        </w:rPr>
        <w:t>4</w:t>
      </w:r>
      <w:r w:rsidRPr="00E76487">
        <w:rPr>
          <w:rStyle w:val="normaltextrun"/>
          <w:color w:val="000000"/>
        </w:rPr>
        <w:t>(4). </w:t>
      </w:r>
      <w:hyperlink r:id="rId12" w:tgtFrame="_blank" w:history="1">
        <w:r w:rsidRPr="00E76487">
          <w:rPr>
            <w:rStyle w:val="normaltextrun"/>
            <w:color w:val="000000"/>
          </w:rPr>
          <w:t>https://doi.org/10.1002/puh2.70129</w:t>
        </w:r>
      </w:hyperlink>
      <w:r w:rsidRPr="00E76487">
        <w:rPr>
          <w:rStyle w:val="eop"/>
          <w:color w:val="000000"/>
        </w:rPr>
        <w:t> </w:t>
      </w:r>
    </w:p>
    <w:p w14:paraId="3D5C96B0"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Conduah</w:t>
      </w:r>
      <w:proofErr w:type="spellEnd"/>
      <w:r w:rsidRPr="00E76487">
        <w:rPr>
          <w:rStyle w:val="normaltextrun"/>
          <w:color w:val="000000"/>
        </w:rPr>
        <w:t>, A. K., </w:t>
      </w:r>
      <w:proofErr w:type="spellStart"/>
      <w:r w:rsidRPr="00E76487">
        <w:rPr>
          <w:rStyle w:val="normaltextrun"/>
          <w:color w:val="000000"/>
        </w:rPr>
        <w:t>Essiaw</w:t>
      </w:r>
      <w:proofErr w:type="spellEnd"/>
      <w:r w:rsidRPr="00E76487">
        <w:rPr>
          <w:rStyle w:val="normaltextrun"/>
          <w:color w:val="000000"/>
        </w:rPr>
        <w:t xml:space="preserve">, M. N., &amp; </w:t>
      </w:r>
      <w:proofErr w:type="spellStart"/>
      <w:r w:rsidRPr="00E76487">
        <w:rPr>
          <w:rStyle w:val="normaltextrun"/>
          <w:color w:val="000000"/>
        </w:rPr>
        <w:t>Ofoe</w:t>
      </w:r>
      <w:proofErr w:type="spellEnd"/>
      <w:r w:rsidRPr="00E76487">
        <w:rPr>
          <w:rStyle w:val="normaltextrun"/>
          <w:color w:val="000000"/>
        </w:rPr>
        <w:t xml:space="preserve">, S. H. (2025b). Coping </w:t>
      </w:r>
      <w:proofErr w:type="gramStart"/>
      <w:r w:rsidRPr="00E76487">
        <w:rPr>
          <w:rStyle w:val="normaltextrun"/>
          <w:color w:val="000000"/>
        </w:rPr>
        <w:t>With</w:t>
      </w:r>
      <w:proofErr w:type="gramEnd"/>
      <w:r w:rsidRPr="00E76487">
        <w:rPr>
          <w:rStyle w:val="normaltextrun"/>
          <w:color w:val="000000"/>
        </w:rPr>
        <w:t xml:space="preserve"> Chronic Illness: A Systematic Review of Adaptive Strategies Across Cancer, COPD, Diabetes and Heart Disease. </w:t>
      </w:r>
      <w:r w:rsidRPr="00E76487">
        <w:rPr>
          <w:rStyle w:val="normaltextrun"/>
          <w:i/>
          <w:iCs/>
          <w:color w:val="000000"/>
        </w:rPr>
        <w:t>Public Health Challenges</w:t>
      </w:r>
      <w:r w:rsidRPr="00E76487">
        <w:rPr>
          <w:rStyle w:val="normaltextrun"/>
          <w:color w:val="000000"/>
        </w:rPr>
        <w:t>, </w:t>
      </w:r>
      <w:r w:rsidRPr="00E76487">
        <w:rPr>
          <w:rStyle w:val="normaltextrun"/>
          <w:i/>
          <w:iCs/>
          <w:color w:val="000000"/>
        </w:rPr>
        <w:t>4</w:t>
      </w:r>
      <w:r w:rsidRPr="00E76487">
        <w:rPr>
          <w:rStyle w:val="normaltextrun"/>
          <w:color w:val="000000"/>
        </w:rPr>
        <w:t>(4). </w:t>
      </w:r>
      <w:hyperlink r:id="rId13" w:tgtFrame="_blank" w:history="1">
        <w:r w:rsidRPr="00E76487">
          <w:rPr>
            <w:rStyle w:val="normaltextrun"/>
            <w:color w:val="000000"/>
          </w:rPr>
          <w:t>https://doi.org/10.1002/puh2.70129</w:t>
        </w:r>
      </w:hyperlink>
      <w:r w:rsidRPr="00E76487">
        <w:rPr>
          <w:rStyle w:val="eop"/>
          <w:color w:val="000000"/>
        </w:rPr>
        <w:t> </w:t>
      </w:r>
      <w:commentRangeEnd w:id="9"/>
      <w:r w:rsidR="005470B8">
        <w:rPr>
          <w:rStyle w:val="CommentReference"/>
          <w:rFonts w:asciiTheme="minorHAnsi" w:eastAsiaTheme="minorHAnsi" w:hAnsiTheme="minorHAnsi" w:cstheme="minorBidi"/>
        </w:rPr>
        <w:commentReference w:id="9"/>
      </w:r>
    </w:p>
    <w:p w14:paraId="240DB29C"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Hapunda</w:t>
      </w:r>
      <w:proofErr w:type="spellEnd"/>
      <w:r w:rsidRPr="00E76487">
        <w:rPr>
          <w:rStyle w:val="normaltextrun"/>
          <w:color w:val="000000"/>
        </w:rPr>
        <w:t>, G. (2022). Coping strategies and their association with diabetes specific distress, depression and diabetes self-care among people living with diabetes in Zambia. </w:t>
      </w:r>
      <w:r w:rsidRPr="00E76487">
        <w:rPr>
          <w:rStyle w:val="normaltextrun"/>
          <w:i/>
          <w:iCs/>
          <w:color w:val="000000"/>
        </w:rPr>
        <w:t>BMC Endocrine Disorders</w:t>
      </w:r>
      <w:r w:rsidRPr="00E76487">
        <w:rPr>
          <w:rStyle w:val="normaltextrun"/>
          <w:color w:val="000000"/>
        </w:rPr>
        <w:t>, </w:t>
      </w:r>
      <w:r w:rsidRPr="00E76487">
        <w:rPr>
          <w:rStyle w:val="normaltextrun"/>
          <w:i/>
          <w:iCs/>
          <w:color w:val="000000"/>
        </w:rPr>
        <w:t>22</w:t>
      </w:r>
      <w:r w:rsidRPr="00E76487">
        <w:rPr>
          <w:rStyle w:val="normaltextrun"/>
          <w:color w:val="000000"/>
        </w:rPr>
        <w:t>(1), 215. </w:t>
      </w:r>
      <w:hyperlink r:id="rId14" w:tgtFrame="_blank" w:history="1">
        <w:r w:rsidRPr="00E76487">
          <w:rPr>
            <w:rStyle w:val="normaltextrun"/>
            <w:color w:val="000000"/>
          </w:rPr>
          <w:t>https://doi.org/10.1186/s12902-022-01131-2</w:t>
        </w:r>
      </w:hyperlink>
      <w:r w:rsidRPr="00E76487">
        <w:rPr>
          <w:rStyle w:val="eop"/>
          <w:color w:val="000000"/>
        </w:rPr>
        <w:t> </w:t>
      </w:r>
    </w:p>
    <w:p w14:paraId="3C89D35A"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lastRenderedPageBreak/>
        <w:t>​</w:t>
      </w:r>
      <w:r w:rsidRPr="00E76487">
        <w:rPr>
          <w:rStyle w:val="normaltextrun"/>
          <w:color w:val="000000"/>
        </w:rPr>
        <w:t>Hossain, Md. J., Al‐Mamun, Md., &amp; Islam, Md. R. (2024). Diabetes mellitus, the fastest growing global public health concern: Early detection should be focused. </w:t>
      </w:r>
      <w:r w:rsidRPr="00E76487">
        <w:rPr>
          <w:rStyle w:val="normaltextrun"/>
          <w:i/>
          <w:iCs/>
          <w:color w:val="000000"/>
        </w:rPr>
        <w:t>Health Science Reports</w:t>
      </w:r>
      <w:r w:rsidRPr="00E76487">
        <w:rPr>
          <w:rStyle w:val="normaltextrun"/>
          <w:color w:val="000000"/>
        </w:rPr>
        <w:t>, </w:t>
      </w:r>
      <w:r w:rsidRPr="00E76487">
        <w:rPr>
          <w:rStyle w:val="normaltextrun"/>
          <w:i/>
          <w:iCs/>
          <w:color w:val="000000"/>
        </w:rPr>
        <w:t>7</w:t>
      </w:r>
      <w:r w:rsidRPr="00E76487">
        <w:rPr>
          <w:rStyle w:val="normaltextrun"/>
          <w:color w:val="000000"/>
        </w:rPr>
        <w:t>(3). </w:t>
      </w:r>
      <w:hyperlink r:id="rId15" w:tgtFrame="_blank" w:history="1">
        <w:r w:rsidRPr="00E76487">
          <w:rPr>
            <w:rStyle w:val="normaltextrun"/>
            <w:color w:val="000000"/>
          </w:rPr>
          <w:t>https://doi.org/10.1002/hsr2.2004</w:t>
        </w:r>
      </w:hyperlink>
      <w:r w:rsidRPr="00E76487">
        <w:rPr>
          <w:rStyle w:val="eop"/>
          <w:color w:val="000000"/>
        </w:rPr>
        <w:t> </w:t>
      </w:r>
    </w:p>
    <w:p w14:paraId="0E7E04E1"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Hu, Y., Yang, Y., Gao, Y., Zhao, L., Chen, L., Sui, W., &amp; Hu, J. (2024). The impact of chronic diseases on the health-related quality of life of middle-aged and older adults: the role of physical activity and degree of digitization. </w:t>
      </w:r>
      <w:r w:rsidRPr="00E76487">
        <w:rPr>
          <w:rStyle w:val="normaltextrun"/>
          <w:i/>
          <w:iCs/>
          <w:color w:val="000000"/>
        </w:rPr>
        <w:t>BMC Public Health</w:t>
      </w:r>
      <w:r w:rsidRPr="00E76487">
        <w:rPr>
          <w:rStyle w:val="normaltextrun"/>
          <w:color w:val="000000"/>
        </w:rPr>
        <w:t>, </w:t>
      </w:r>
      <w:r w:rsidRPr="00E76487">
        <w:rPr>
          <w:rStyle w:val="normaltextrun"/>
          <w:i/>
          <w:iCs/>
          <w:color w:val="000000"/>
        </w:rPr>
        <w:t>24</w:t>
      </w:r>
      <w:r w:rsidRPr="00E76487">
        <w:rPr>
          <w:rStyle w:val="normaltextrun"/>
          <w:color w:val="000000"/>
        </w:rPr>
        <w:t>(1), 2335. </w:t>
      </w:r>
      <w:hyperlink r:id="rId16" w:tgtFrame="_blank" w:history="1">
        <w:r w:rsidRPr="00E76487">
          <w:rPr>
            <w:rStyle w:val="normaltextrun"/>
            <w:color w:val="000000"/>
          </w:rPr>
          <w:t>https://doi.org/10.1186/s12889-024-19833-8</w:t>
        </w:r>
      </w:hyperlink>
      <w:r w:rsidRPr="00E76487">
        <w:rPr>
          <w:rStyle w:val="eop"/>
          <w:color w:val="000000"/>
        </w:rPr>
        <w:t> </w:t>
      </w:r>
    </w:p>
    <w:p w14:paraId="138DF5C5"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 xml:space="preserve">Jackson, I. L., </w:t>
      </w:r>
      <w:proofErr w:type="spellStart"/>
      <w:r w:rsidRPr="00E76487">
        <w:rPr>
          <w:rStyle w:val="normaltextrun"/>
          <w:color w:val="000000"/>
        </w:rPr>
        <w:t>Isah</w:t>
      </w:r>
      <w:proofErr w:type="spellEnd"/>
      <w:r w:rsidRPr="00E76487">
        <w:rPr>
          <w:rStyle w:val="normaltextrun"/>
          <w:color w:val="000000"/>
        </w:rPr>
        <w:t>, A., &amp; </w:t>
      </w:r>
      <w:proofErr w:type="spellStart"/>
      <w:r w:rsidRPr="00E76487">
        <w:rPr>
          <w:rStyle w:val="normaltextrun"/>
          <w:color w:val="000000"/>
        </w:rPr>
        <w:t>Arikpo</w:t>
      </w:r>
      <w:proofErr w:type="spellEnd"/>
      <w:r w:rsidRPr="00E76487">
        <w:rPr>
          <w:rStyle w:val="normaltextrun"/>
          <w:color w:val="000000"/>
        </w:rPr>
        <w:t>, A. O. (2023). Assessing health-related quality of life of people with diabetes in Nigeria using the EQ-5D-5L: a cross-sectional study. </w:t>
      </w:r>
      <w:r w:rsidRPr="00E76487">
        <w:rPr>
          <w:rStyle w:val="normaltextrun"/>
          <w:i/>
          <w:iCs/>
          <w:color w:val="000000"/>
        </w:rPr>
        <w:t>Scientific Reports</w:t>
      </w:r>
      <w:r w:rsidRPr="00E76487">
        <w:rPr>
          <w:rStyle w:val="normaltextrun"/>
          <w:color w:val="000000"/>
        </w:rPr>
        <w:t>, </w:t>
      </w:r>
      <w:r w:rsidRPr="00E76487">
        <w:rPr>
          <w:rStyle w:val="normaltextrun"/>
          <w:i/>
          <w:iCs/>
          <w:color w:val="000000"/>
        </w:rPr>
        <w:t>13</w:t>
      </w:r>
      <w:r w:rsidRPr="00E76487">
        <w:rPr>
          <w:rStyle w:val="normaltextrun"/>
          <w:color w:val="000000"/>
        </w:rPr>
        <w:t>(1), 22536. </w:t>
      </w:r>
      <w:hyperlink r:id="rId17" w:tgtFrame="_blank" w:history="1">
        <w:r w:rsidRPr="00E76487">
          <w:rPr>
            <w:rStyle w:val="normaltextrun"/>
            <w:color w:val="000000"/>
          </w:rPr>
          <w:t>https://doi.org/10.1038/s41598-023-49322-8</w:t>
        </w:r>
      </w:hyperlink>
      <w:r w:rsidRPr="00E76487">
        <w:rPr>
          <w:rStyle w:val="eop"/>
          <w:color w:val="000000"/>
        </w:rPr>
        <w:t> </w:t>
      </w:r>
    </w:p>
    <w:p w14:paraId="481A4BBA"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Khan, M. A. B., Hashim, M. J., King, J. K., Govender, R. D., Mustafa, H., &amp; Al </w:t>
      </w:r>
      <w:proofErr w:type="spellStart"/>
      <w:r w:rsidRPr="00E76487">
        <w:rPr>
          <w:rStyle w:val="normaltextrun"/>
          <w:color w:val="000000"/>
        </w:rPr>
        <w:t>Kaabi</w:t>
      </w:r>
      <w:proofErr w:type="spellEnd"/>
      <w:r w:rsidRPr="00E76487">
        <w:rPr>
          <w:rStyle w:val="normaltextrun"/>
          <w:color w:val="000000"/>
        </w:rPr>
        <w:t>, J. (2019). Epidemiology of Type 2 Diabetes – Global Burden of Disease and Forecasted Trends. </w:t>
      </w:r>
      <w:r w:rsidRPr="00E76487">
        <w:rPr>
          <w:rStyle w:val="normaltextrun"/>
          <w:i/>
          <w:iCs/>
          <w:color w:val="000000"/>
        </w:rPr>
        <w:t>Journal of Epidemiology and Global Health</w:t>
      </w:r>
      <w:r w:rsidRPr="00E76487">
        <w:rPr>
          <w:rStyle w:val="normaltextrun"/>
          <w:color w:val="000000"/>
        </w:rPr>
        <w:t>, </w:t>
      </w:r>
      <w:r w:rsidRPr="00E76487">
        <w:rPr>
          <w:rStyle w:val="normaltextrun"/>
          <w:i/>
          <w:iCs/>
          <w:color w:val="000000"/>
        </w:rPr>
        <w:t>10</w:t>
      </w:r>
      <w:r w:rsidRPr="00E76487">
        <w:rPr>
          <w:rStyle w:val="normaltextrun"/>
          <w:color w:val="000000"/>
        </w:rPr>
        <w:t>(1), 107. </w:t>
      </w:r>
      <w:hyperlink r:id="rId18" w:tgtFrame="_blank" w:history="1">
        <w:r w:rsidRPr="00E76487">
          <w:rPr>
            <w:rStyle w:val="normaltextrun"/>
            <w:color w:val="000000"/>
          </w:rPr>
          <w:t>https://doi.org/10.2991/jegh.k.191028.001</w:t>
        </w:r>
      </w:hyperlink>
      <w:r w:rsidRPr="00E76487">
        <w:rPr>
          <w:rStyle w:val="eop"/>
          <w:color w:val="000000"/>
        </w:rPr>
        <w:t> </w:t>
      </w:r>
    </w:p>
    <w:p w14:paraId="33D7EB26"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Mahlare</w:t>
      </w:r>
      <w:proofErr w:type="spellEnd"/>
      <w:r w:rsidRPr="00E76487">
        <w:rPr>
          <w:rStyle w:val="normaltextrun"/>
          <w:color w:val="000000"/>
        </w:rPr>
        <w:t>, S. S., </w:t>
      </w:r>
      <w:proofErr w:type="spellStart"/>
      <w:r w:rsidRPr="00E76487">
        <w:rPr>
          <w:rStyle w:val="normaltextrun"/>
          <w:color w:val="000000"/>
        </w:rPr>
        <w:t>Rasweswe</w:t>
      </w:r>
      <w:proofErr w:type="spellEnd"/>
      <w:r w:rsidRPr="00E76487">
        <w:rPr>
          <w:rStyle w:val="normaltextrun"/>
          <w:color w:val="000000"/>
        </w:rPr>
        <w:t>, M. M., &amp; </w:t>
      </w:r>
      <w:proofErr w:type="spellStart"/>
      <w:r w:rsidRPr="00E76487">
        <w:rPr>
          <w:rStyle w:val="normaltextrun"/>
          <w:color w:val="000000"/>
        </w:rPr>
        <w:t>Ramavhoya</w:t>
      </w:r>
      <w:proofErr w:type="spellEnd"/>
      <w:r w:rsidRPr="00E76487">
        <w:rPr>
          <w:rStyle w:val="normaltextrun"/>
          <w:color w:val="000000"/>
        </w:rPr>
        <w:t>, T. I. (2024). Self-management challenges of adults with type 2 diabetes mellitus in Ekurhuleni district primary health care facilities amid COVID-19 lockdown. </w:t>
      </w:r>
      <w:r w:rsidRPr="00E76487">
        <w:rPr>
          <w:rStyle w:val="normaltextrun"/>
          <w:i/>
          <w:iCs/>
          <w:color w:val="000000"/>
        </w:rPr>
        <w:t>African Journal of Primary Health Care &amp; Family Medicine</w:t>
      </w:r>
      <w:r w:rsidRPr="00E76487">
        <w:rPr>
          <w:rStyle w:val="normaltextrun"/>
          <w:color w:val="000000"/>
        </w:rPr>
        <w:t>, </w:t>
      </w:r>
      <w:r w:rsidRPr="00E76487">
        <w:rPr>
          <w:rStyle w:val="normaltextrun"/>
          <w:i/>
          <w:iCs/>
          <w:color w:val="000000"/>
        </w:rPr>
        <w:t>16</w:t>
      </w:r>
      <w:r w:rsidRPr="00E76487">
        <w:rPr>
          <w:rStyle w:val="normaltextrun"/>
          <w:color w:val="000000"/>
        </w:rPr>
        <w:t>(1). </w:t>
      </w:r>
      <w:hyperlink r:id="rId19" w:tgtFrame="_blank" w:history="1">
        <w:r w:rsidRPr="00E76487">
          <w:rPr>
            <w:rStyle w:val="normaltextrun"/>
            <w:color w:val="000000"/>
          </w:rPr>
          <w:t>https://doi.org/10.4102/phcfm.v16i1.4202</w:t>
        </w:r>
      </w:hyperlink>
      <w:r w:rsidRPr="00E76487">
        <w:rPr>
          <w:rStyle w:val="eop"/>
          <w:color w:val="000000"/>
        </w:rPr>
        <w:t> </w:t>
      </w:r>
    </w:p>
    <w:p w14:paraId="7D64DCB4"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Nikpour</w:t>
      </w:r>
      <w:proofErr w:type="spellEnd"/>
      <w:r w:rsidRPr="00E76487">
        <w:rPr>
          <w:rStyle w:val="normaltextrun"/>
          <w:color w:val="000000"/>
        </w:rPr>
        <w:t xml:space="preserve">, S., Mehrdad, N., </w:t>
      </w:r>
      <w:proofErr w:type="spellStart"/>
      <w:r w:rsidRPr="00E76487">
        <w:rPr>
          <w:rStyle w:val="normaltextrun"/>
          <w:color w:val="000000"/>
        </w:rPr>
        <w:t>Sanjari</w:t>
      </w:r>
      <w:proofErr w:type="spellEnd"/>
      <w:r w:rsidRPr="00E76487">
        <w:rPr>
          <w:rStyle w:val="normaltextrun"/>
          <w:color w:val="000000"/>
        </w:rPr>
        <w:t xml:space="preserve">, M., </w:t>
      </w:r>
      <w:proofErr w:type="spellStart"/>
      <w:r w:rsidRPr="00E76487">
        <w:rPr>
          <w:rStyle w:val="normaltextrun"/>
          <w:color w:val="000000"/>
        </w:rPr>
        <w:t>Aalaa</w:t>
      </w:r>
      <w:proofErr w:type="spellEnd"/>
      <w:r w:rsidRPr="00E76487">
        <w:rPr>
          <w:rStyle w:val="normaltextrun"/>
          <w:color w:val="000000"/>
        </w:rPr>
        <w:t xml:space="preserve">, M., </w:t>
      </w:r>
      <w:proofErr w:type="spellStart"/>
      <w:r w:rsidRPr="00E76487">
        <w:rPr>
          <w:rStyle w:val="normaltextrun"/>
          <w:color w:val="000000"/>
        </w:rPr>
        <w:t>Heshmat</w:t>
      </w:r>
      <w:proofErr w:type="spellEnd"/>
      <w:r w:rsidRPr="00E76487">
        <w:rPr>
          <w:rStyle w:val="normaltextrun"/>
          <w:color w:val="000000"/>
        </w:rPr>
        <w:t>, R., </w:t>
      </w:r>
      <w:proofErr w:type="spellStart"/>
      <w:r w:rsidRPr="00E76487">
        <w:rPr>
          <w:rStyle w:val="normaltextrun"/>
          <w:color w:val="000000"/>
        </w:rPr>
        <w:t>Khabaz</w:t>
      </w:r>
      <w:proofErr w:type="spellEnd"/>
      <w:r w:rsidRPr="00E76487">
        <w:rPr>
          <w:rStyle w:val="normaltextrun"/>
          <w:color w:val="000000"/>
        </w:rPr>
        <w:t> </w:t>
      </w:r>
      <w:proofErr w:type="spellStart"/>
      <w:r w:rsidRPr="00E76487">
        <w:rPr>
          <w:rStyle w:val="normaltextrun"/>
          <w:color w:val="000000"/>
        </w:rPr>
        <w:t>Mafinejad</w:t>
      </w:r>
      <w:proofErr w:type="spellEnd"/>
      <w:r w:rsidRPr="00E76487">
        <w:rPr>
          <w:rStyle w:val="normaltextrun"/>
          <w:color w:val="000000"/>
        </w:rPr>
        <w:t>, M., Larijani, B., </w:t>
      </w:r>
      <w:proofErr w:type="spellStart"/>
      <w:r w:rsidRPr="00E76487">
        <w:rPr>
          <w:rStyle w:val="normaltextrun"/>
          <w:color w:val="000000"/>
        </w:rPr>
        <w:t>Nomali</w:t>
      </w:r>
      <w:proofErr w:type="spellEnd"/>
      <w:r w:rsidRPr="00E76487">
        <w:rPr>
          <w:rStyle w:val="normaltextrun"/>
          <w:color w:val="000000"/>
        </w:rPr>
        <w:t>, M., &amp; Najafi </w:t>
      </w:r>
      <w:proofErr w:type="spellStart"/>
      <w:r w:rsidRPr="00E76487">
        <w:rPr>
          <w:rStyle w:val="normaltextrun"/>
          <w:color w:val="000000"/>
        </w:rPr>
        <w:t>Ghezeljeh</w:t>
      </w:r>
      <w:proofErr w:type="spellEnd"/>
      <w:r w:rsidRPr="00E76487">
        <w:rPr>
          <w:rStyle w:val="normaltextrun"/>
          <w:color w:val="000000"/>
        </w:rPr>
        <w:t>, T. (2022). Challenges of Type 2 Diabetes Mellitus Management </w:t>
      </w:r>
      <w:proofErr w:type="gramStart"/>
      <w:r w:rsidRPr="00E76487">
        <w:rPr>
          <w:rStyle w:val="normaltextrun"/>
          <w:color w:val="000000"/>
        </w:rPr>
        <w:t>From</w:t>
      </w:r>
      <w:proofErr w:type="gramEnd"/>
      <w:r w:rsidRPr="00E76487">
        <w:rPr>
          <w:rStyle w:val="normaltextrun"/>
          <w:color w:val="000000"/>
        </w:rPr>
        <w:t> the Perspective of Patients: Conventional Content Analysis. </w:t>
      </w:r>
      <w:r w:rsidRPr="00E76487">
        <w:rPr>
          <w:rStyle w:val="normaltextrun"/>
          <w:i/>
          <w:iCs/>
          <w:color w:val="000000"/>
        </w:rPr>
        <w:t>Interactive Journal of Medical Research</w:t>
      </w:r>
      <w:r w:rsidRPr="00E76487">
        <w:rPr>
          <w:rStyle w:val="normaltextrun"/>
          <w:color w:val="000000"/>
        </w:rPr>
        <w:t>, </w:t>
      </w:r>
      <w:r w:rsidRPr="00E76487">
        <w:rPr>
          <w:rStyle w:val="normaltextrun"/>
          <w:i/>
          <w:iCs/>
          <w:color w:val="000000"/>
        </w:rPr>
        <w:t>11</w:t>
      </w:r>
      <w:r w:rsidRPr="00E76487">
        <w:rPr>
          <w:rStyle w:val="normaltextrun"/>
          <w:color w:val="000000"/>
        </w:rPr>
        <w:t>(2), e41933. </w:t>
      </w:r>
      <w:hyperlink r:id="rId20" w:tgtFrame="_blank" w:history="1">
        <w:r w:rsidRPr="00E76487">
          <w:rPr>
            <w:rStyle w:val="normaltextrun"/>
            <w:color w:val="000000"/>
          </w:rPr>
          <w:t>https://doi.org/10.2196/41933</w:t>
        </w:r>
      </w:hyperlink>
      <w:r w:rsidRPr="00E76487">
        <w:rPr>
          <w:rStyle w:val="eop"/>
          <w:color w:val="000000"/>
        </w:rPr>
        <w:t> </w:t>
      </w:r>
    </w:p>
    <w:p w14:paraId="2173E5AC"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lastRenderedPageBreak/>
        <w:t>​</w:t>
      </w:r>
      <w:proofErr w:type="spellStart"/>
      <w:r w:rsidRPr="00E76487">
        <w:rPr>
          <w:rStyle w:val="normaltextrun"/>
          <w:color w:val="000000"/>
        </w:rPr>
        <w:t>Rariden</w:t>
      </w:r>
      <w:proofErr w:type="spellEnd"/>
      <w:r w:rsidRPr="00E76487">
        <w:rPr>
          <w:rStyle w:val="normaltextrun"/>
          <w:color w:val="000000"/>
        </w:rPr>
        <w:t>, C. (2019). Diabetes Distress: Assessment and Management of the Emotional Aspect of Diabetes Mellitus. </w:t>
      </w:r>
      <w:r w:rsidRPr="00E76487">
        <w:rPr>
          <w:rStyle w:val="normaltextrun"/>
          <w:i/>
          <w:iCs/>
          <w:color w:val="000000"/>
        </w:rPr>
        <w:t>The Journal for Nurse Practitioners</w:t>
      </w:r>
      <w:r w:rsidRPr="00E76487">
        <w:rPr>
          <w:rStyle w:val="normaltextrun"/>
          <w:color w:val="000000"/>
        </w:rPr>
        <w:t>, </w:t>
      </w:r>
      <w:r w:rsidRPr="00E76487">
        <w:rPr>
          <w:rStyle w:val="normaltextrun"/>
          <w:i/>
          <w:iCs/>
          <w:color w:val="000000"/>
        </w:rPr>
        <w:t>15</w:t>
      </w:r>
      <w:r w:rsidRPr="00E76487">
        <w:rPr>
          <w:rStyle w:val="normaltextrun"/>
          <w:color w:val="000000"/>
        </w:rPr>
        <w:t>(9), 653–656. </w:t>
      </w:r>
      <w:hyperlink r:id="rId21" w:tgtFrame="_blank" w:history="1">
        <w:r w:rsidRPr="00E76487">
          <w:rPr>
            <w:rStyle w:val="normaltextrun"/>
            <w:color w:val="000000"/>
          </w:rPr>
          <w:t>https://doi.org/10.1016/j.nurpra.2019.06.020</w:t>
        </w:r>
      </w:hyperlink>
      <w:r w:rsidRPr="00E76487">
        <w:rPr>
          <w:rStyle w:val="eop"/>
          <w:color w:val="000000"/>
        </w:rPr>
        <w:t> </w:t>
      </w:r>
    </w:p>
    <w:p w14:paraId="763EA9C2"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Reblin</w:t>
      </w:r>
      <w:proofErr w:type="spellEnd"/>
      <w:r w:rsidRPr="00E76487">
        <w:rPr>
          <w:rStyle w:val="normaltextrun"/>
          <w:color w:val="000000"/>
        </w:rPr>
        <w:t>, M., &amp; Uchino, B. N. (2008). Social and emotional support and its implication for health. </w:t>
      </w:r>
      <w:r w:rsidRPr="00E76487">
        <w:rPr>
          <w:rStyle w:val="normaltextrun"/>
          <w:i/>
          <w:iCs/>
          <w:color w:val="000000"/>
        </w:rPr>
        <w:t>Current Opinion in Psychiatry</w:t>
      </w:r>
      <w:r w:rsidRPr="00E76487">
        <w:rPr>
          <w:rStyle w:val="normaltextrun"/>
          <w:color w:val="000000"/>
        </w:rPr>
        <w:t>, </w:t>
      </w:r>
      <w:r w:rsidRPr="00E76487">
        <w:rPr>
          <w:rStyle w:val="normaltextrun"/>
          <w:i/>
          <w:iCs/>
          <w:color w:val="000000"/>
        </w:rPr>
        <w:t>21</w:t>
      </w:r>
      <w:r w:rsidRPr="00E76487">
        <w:rPr>
          <w:rStyle w:val="normaltextrun"/>
          <w:color w:val="000000"/>
        </w:rPr>
        <w:t>(2), 201–205. </w:t>
      </w:r>
      <w:hyperlink r:id="rId22" w:tgtFrame="_blank" w:history="1">
        <w:r w:rsidRPr="00E76487">
          <w:rPr>
            <w:rStyle w:val="normaltextrun"/>
            <w:color w:val="000000"/>
          </w:rPr>
          <w:t>https://doi.org/10.1097/YCO.0b013e3282f3ad89</w:t>
        </w:r>
      </w:hyperlink>
      <w:r w:rsidRPr="00E76487">
        <w:rPr>
          <w:rStyle w:val="eop"/>
          <w:color w:val="000000"/>
        </w:rPr>
        <w:t> </w:t>
      </w:r>
    </w:p>
    <w:p w14:paraId="5D03731B"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Reid, J., Johannes, C., </w:t>
      </w:r>
      <w:proofErr w:type="spellStart"/>
      <w:r w:rsidRPr="00E76487">
        <w:rPr>
          <w:rStyle w:val="normaltextrun"/>
          <w:color w:val="000000"/>
        </w:rPr>
        <w:t>Wareley</w:t>
      </w:r>
      <w:proofErr w:type="spellEnd"/>
      <w:r w:rsidRPr="00E76487">
        <w:rPr>
          <w:rStyle w:val="normaltextrun"/>
          <w:color w:val="000000"/>
        </w:rPr>
        <w:t>, S., </w:t>
      </w:r>
      <w:proofErr w:type="spellStart"/>
      <w:r w:rsidRPr="00E76487">
        <w:rPr>
          <w:rStyle w:val="normaltextrun"/>
          <w:color w:val="000000"/>
        </w:rPr>
        <w:t>Ngadhi</w:t>
      </w:r>
      <w:proofErr w:type="spellEnd"/>
      <w:r w:rsidRPr="00E76487">
        <w:rPr>
          <w:rStyle w:val="normaltextrun"/>
          <w:color w:val="000000"/>
        </w:rPr>
        <w:t>, C. M., </w:t>
      </w:r>
      <w:proofErr w:type="spellStart"/>
      <w:r w:rsidRPr="00E76487">
        <w:rPr>
          <w:rStyle w:val="normaltextrun"/>
          <w:color w:val="000000"/>
        </w:rPr>
        <w:t>Nginase</w:t>
      </w:r>
      <w:proofErr w:type="spellEnd"/>
      <w:r w:rsidRPr="00E76487">
        <w:rPr>
          <w:rStyle w:val="normaltextrun"/>
          <w:color w:val="000000"/>
        </w:rPr>
        <w:t>, A., &amp; Roman, N. V. (2025). A Conceptual Model for Strengthening Family Capabilities Through a Process of Care. </w:t>
      </w:r>
      <w:r w:rsidRPr="00E76487">
        <w:rPr>
          <w:rStyle w:val="normaltextrun"/>
          <w:i/>
          <w:iCs/>
          <w:color w:val="000000"/>
        </w:rPr>
        <w:t>International Journal of Environmental Research and Public Health</w:t>
      </w:r>
      <w:r w:rsidRPr="00E76487">
        <w:rPr>
          <w:rStyle w:val="normaltextrun"/>
          <w:color w:val="000000"/>
        </w:rPr>
        <w:t>, </w:t>
      </w:r>
      <w:r w:rsidRPr="00E76487">
        <w:rPr>
          <w:rStyle w:val="normaltextrun"/>
          <w:i/>
          <w:iCs/>
          <w:color w:val="000000"/>
        </w:rPr>
        <w:t>22</w:t>
      </w:r>
      <w:r w:rsidRPr="00E76487">
        <w:rPr>
          <w:rStyle w:val="normaltextrun"/>
          <w:color w:val="000000"/>
        </w:rPr>
        <w:t>(7), 1150. </w:t>
      </w:r>
      <w:hyperlink r:id="rId23" w:tgtFrame="_blank" w:history="1">
        <w:r w:rsidRPr="00E76487">
          <w:rPr>
            <w:rStyle w:val="normaltextrun"/>
            <w:color w:val="000000"/>
          </w:rPr>
          <w:t>https://doi.org/10.3390/ijerph22071150</w:t>
        </w:r>
      </w:hyperlink>
      <w:r w:rsidRPr="00E76487">
        <w:rPr>
          <w:rStyle w:val="eop"/>
          <w:color w:val="000000"/>
        </w:rPr>
        <w:t> </w:t>
      </w:r>
    </w:p>
    <w:p w14:paraId="6863C7EB"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Religioni</w:t>
      </w:r>
      <w:proofErr w:type="spellEnd"/>
      <w:r w:rsidRPr="00E76487">
        <w:rPr>
          <w:rStyle w:val="normaltextrun"/>
          <w:color w:val="000000"/>
        </w:rPr>
        <w:t xml:space="preserve">, U., Barrios-Rodríguez, R., </w:t>
      </w:r>
      <w:proofErr w:type="spellStart"/>
      <w:r w:rsidRPr="00E76487">
        <w:rPr>
          <w:rStyle w:val="normaltextrun"/>
          <w:color w:val="000000"/>
        </w:rPr>
        <w:t>Requena</w:t>
      </w:r>
      <w:proofErr w:type="spellEnd"/>
      <w:r w:rsidRPr="00E76487">
        <w:rPr>
          <w:rStyle w:val="normaltextrun"/>
          <w:color w:val="000000"/>
        </w:rPr>
        <w:t xml:space="preserve">, P., </w:t>
      </w:r>
      <w:proofErr w:type="spellStart"/>
      <w:r w:rsidRPr="00E76487">
        <w:rPr>
          <w:rStyle w:val="normaltextrun"/>
          <w:color w:val="000000"/>
        </w:rPr>
        <w:t>Borowska</w:t>
      </w:r>
      <w:proofErr w:type="spellEnd"/>
      <w:r w:rsidRPr="00E76487">
        <w:rPr>
          <w:rStyle w:val="normaltextrun"/>
          <w:color w:val="000000"/>
        </w:rPr>
        <w:t>, M., &amp; Ostrowski, J. (2025). Enhancing Therapy Adherence: Impact on Clinical Outcomes, Healthcare Costs, and Patient Quality of Life. </w:t>
      </w:r>
      <w:proofErr w:type="spellStart"/>
      <w:r w:rsidRPr="00E76487">
        <w:rPr>
          <w:rStyle w:val="normaltextrun"/>
          <w:i/>
          <w:iCs/>
          <w:color w:val="000000"/>
        </w:rPr>
        <w:t>Medicina</w:t>
      </w:r>
      <w:proofErr w:type="spellEnd"/>
      <w:r w:rsidRPr="00E76487">
        <w:rPr>
          <w:rStyle w:val="normaltextrun"/>
          <w:color w:val="000000"/>
        </w:rPr>
        <w:t>, </w:t>
      </w:r>
      <w:r w:rsidRPr="00E76487">
        <w:rPr>
          <w:rStyle w:val="normaltextrun"/>
          <w:i/>
          <w:iCs/>
          <w:color w:val="000000"/>
        </w:rPr>
        <w:t>61</w:t>
      </w:r>
      <w:r w:rsidRPr="00E76487">
        <w:rPr>
          <w:rStyle w:val="normaltextrun"/>
          <w:color w:val="000000"/>
        </w:rPr>
        <w:t>(1), 153. </w:t>
      </w:r>
      <w:hyperlink r:id="rId24" w:tgtFrame="_blank" w:history="1">
        <w:r w:rsidRPr="00E76487">
          <w:rPr>
            <w:rStyle w:val="normaltextrun"/>
            <w:color w:val="000000"/>
          </w:rPr>
          <w:t>https://doi.org/10.3390/medicina61010153</w:t>
        </w:r>
      </w:hyperlink>
      <w:r w:rsidRPr="00E76487">
        <w:rPr>
          <w:rStyle w:val="eop"/>
          <w:color w:val="000000"/>
        </w:rPr>
        <w:t> </w:t>
      </w:r>
    </w:p>
    <w:p w14:paraId="56F97EE7" w14:textId="77777777" w:rsidR="00E76487" w:rsidRPr="00E76487" w:rsidRDefault="00E76487" w:rsidP="00E76487">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Wali</w:t>
      </w:r>
      <w:proofErr w:type="spellEnd"/>
      <w:r w:rsidRPr="00E76487">
        <w:rPr>
          <w:rStyle w:val="normaltextrun"/>
          <w:color w:val="000000"/>
        </w:rPr>
        <w:t xml:space="preserve"> Ahmed, F., Ayaz Khan, J., Hayat, S., Ahmed, H., </w:t>
      </w:r>
      <w:proofErr w:type="spellStart"/>
      <w:r w:rsidRPr="00E76487">
        <w:rPr>
          <w:rStyle w:val="normaltextrun"/>
          <w:color w:val="000000"/>
        </w:rPr>
        <w:t>Jawaid</w:t>
      </w:r>
      <w:proofErr w:type="spellEnd"/>
      <w:r w:rsidRPr="00E76487">
        <w:rPr>
          <w:rStyle w:val="normaltextrun"/>
          <w:color w:val="000000"/>
        </w:rPr>
        <w:t>, M., Haider, A., Rasheed, M. A., Khursheed, H., Altaf, F., Khan, F. A., &amp; Hamza, M. (2025). Health-Related Quality of Life in Patients </w:t>
      </w:r>
      <w:proofErr w:type="gramStart"/>
      <w:r w:rsidRPr="00E76487">
        <w:rPr>
          <w:rStyle w:val="normaltextrun"/>
          <w:color w:val="000000"/>
        </w:rPr>
        <w:t>With</w:t>
      </w:r>
      <w:proofErr w:type="gramEnd"/>
      <w:r w:rsidRPr="00E76487">
        <w:rPr>
          <w:rStyle w:val="normaltextrun"/>
          <w:color w:val="000000"/>
        </w:rPr>
        <w:t> Type 2 Diabetes Mellitus. </w:t>
      </w:r>
      <w:proofErr w:type="spellStart"/>
      <w:r w:rsidRPr="00E76487">
        <w:rPr>
          <w:rStyle w:val="normaltextrun"/>
          <w:i/>
          <w:iCs/>
          <w:color w:val="000000"/>
        </w:rPr>
        <w:t>Cureus</w:t>
      </w:r>
      <w:proofErr w:type="spellEnd"/>
      <w:r w:rsidRPr="00E76487">
        <w:rPr>
          <w:rStyle w:val="normaltextrun"/>
          <w:color w:val="000000"/>
        </w:rPr>
        <w:t>. </w:t>
      </w:r>
      <w:hyperlink r:id="rId25" w:tgtFrame="_blank" w:history="1">
        <w:r w:rsidRPr="00E76487">
          <w:rPr>
            <w:rStyle w:val="normaltextrun"/>
            <w:color w:val="000000"/>
          </w:rPr>
          <w:t>https://doi.org/10.7759/cureus.88359</w:t>
        </w:r>
      </w:hyperlink>
      <w:r w:rsidRPr="00E76487">
        <w:rPr>
          <w:rStyle w:val="eop"/>
          <w:color w:val="000000"/>
        </w:rPr>
        <w:t> </w:t>
      </w:r>
    </w:p>
    <w:p w14:paraId="3C863969" w14:textId="77777777" w:rsidR="00E76487" w:rsidRPr="00E76487" w:rsidRDefault="00E76487" w:rsidP="00E76487">
      <w:pPr>
        <w:pStyle w:val="paragraph"/>
        <w:spacing w:before="0" w:beforeAutospacing="0" w:after="0" w:afterAutospacing="0" w:line="480" w:lineRule="auto"/>
        <w:textAlignment w:val="baseline"/>
      </w:pPr>
      <w:r w:rsidRPr="00E76487">
        <w:rPr>
          <w:rStyle w:val="contentcontrolboundarysink"/>
          <w:color w:val="000000"/>
        </w:rPr>
        <w:t>​</w:t>
      </w:r>
      <w:r w:rsidRPr="00E76487">
        <w:rPr>
          <w:rStyle w:val="normaltextrun"/>
          <w:color w:val="000000"/>
        </w:rPr>
        <w:t> </w:t>
      </w:r>
      <w:r w:rsidRPr="00E76487">
        <w:rPr>
          <w:rStyle w:val="contentcontrolboundarysink"/>
        </w:rPr>
        <w:t>​</w:t>
      </w:r>
      <w:r w:rsidRPr="00E76487">
        <w:rPr>
          <w:rStyle w:val="eop"/>
          <w:color w:val="000000"/>
        </w:rPr>
        <w:t> </w:t>
      </w:r>
    </w:p>
    <w:p w14:paraId="045554A7" w14:textId="77777777" w:rsidR="00A52D05" w:rsidRPr="00E76487" w:rsidRDefault="00A52D05" w:rsidP="00E76487">
      <w:pPr>
        <w:spacing w:after="0" w:line="480" w:lineRule="auto"/>
        <w:jc w:val="both"/>
        <w:rPr>
          <w:rFonts w:ascii="Times New Roman" w:hAnsi="Times New Roman" w:cs="Times New Roman"/>
          <w:sz w:val="24"/>
          <w:szCs w:val="24"/>
        </w:rPr>
      </w:pPr>
    </w:p>
    <w:p w14:paraId="24A7D4A1"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5594FCAE"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4FAE7108"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7233273B"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2F74EEC8"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33F93B4F"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7B651891"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706C6ED4"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p>
    <w:p w14:paraId="0AE4BA79" w14:textId="77777777" w:rsidR="004552DA" w:rsidRPr="00E76487" w:rsidRDefault="004552DA" w:rsidP="00E76487">
      <w:pPr>
        <w:spacing w:before="240" w:after="0" w:line="480" w:lineRule="auto"/>
        <w:jc w:val="both"/>
        <w:outlineLvl w:val="1"/>
        <w:rPr>
          <w:rFonts w:ascii="Times New Roman" w:eastAsia="Times New Roman" w:hAnsi="Times New Roman" w:cs="Times New Roman"/>
          <w:b/>
          <w:bCs/>
          <w:sz w:val="24"/>
          <w:szCs w:val="24"/>
          <w:lang w:eastAsia="en-GB"/>
        </w:rPr>
      </w:pPr>
      <w:bookmarkStart w:id="10" w:name="_GoBack"/>
      <w:bookmarkEnd w:id="10"/>
    </w:p>
    <w:p w14:paraId="03D26663" w14:textId="77777777" w:rsidR="00E3139A" w:rsidRPr="00E76487" w:rsidRDefault="00E3139A" w:rsidP="00E76487">
      <w:pPr>
        <w:spacing w:before="240" w:after="0" w:line="480" w:lineRule="auto"/>
        <w:jc w:val="both"/>
        <w:outlineLvl w:val="0"/>
        <w:rPr>
          <w:rFonts w:ascii="Times New Roman" w:eastAsia="Times New Roman" w:hAnsi="Times New Roman" w:cs="Times New Roman"/>
          <w:b/>
          <w:bCs/>
          <w:sz w:val="24"/>
          <w:szCs w:val="24"/>
          <w:lang w:eastAsia="en-GB"/>
        </w:rPr>
      </w:pPr>
    </w:p>
    <w:p w14:paraId="39AEA0CF" w14:textId="77777777" w:rsidR="00AC239E" w:rsidRPr="00E76487" w:rsidRDefault="00AC239E" w:rsidP="00E76487">
      <w:pPr>
        <w:spacing w:before="240" w:after="0" w:line="480" w:lineRule="auto"/>
        <w:jc w:val="both"/>
        <w:outlineLvl w:val="1"/>
        <w:rPr>
          <w:rFonts w:ascii="Times New Roman" w:hAnsi="Times New Roman" w:cs="Times New Roman"/>
          <w:sz w:val="24"/>
          <w:szCs w:val="24"/>
        </w:rPr>
      </w:pPr>
    </w:p>
    <w:sectPr w:rsidR="00AC239E" w:rsidRPr="00E76487">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mala Rana Magar" w:date="2026-03-07T23:11:00Z" w:initials="KR">
    <w:p w14:paraId="42281BD0" w14:textId="4BB21A98" w:rsidR="00A24512" w:rsidRDefault="00A24512">
      <w:pPr>
        <w:pStyle w:val="CommentText"/>
      </w:pPr>
      <w:r>
        <w:rPr>
          <w:rStyle w:val="CommentReference"/>
        </w:rPr>
        <w:annotationRef/>
      </w:r>
      <w:r>
        <w:t xml:space="preserve">This shows the causal relationship. As this study is a cross-sectional correlational it can be </w:t>
      </w:r>
      <w:r w:rsidR="00ED1CCD">
        <w:t>rephrased as</w:t>
      </w:r>
      <w:r>
        <w:t xml:space="preserve"> “excessive reliance on social support is associated with/corelated with the physical functioning</w:t>
      </w:r>
      <w:r w:rsidR="005E5DC6">
        <w:t>” or “</w:t>
      </w:r>
      <w:r w:rsidR="005E5DC6" w:rsidRPr="005E5DC6">
        <w:t>greater use of social support coping was weakly associated with lower physical functioning</w:t>
      </w:r>
      <w:r w:rsidR="005E5DC6">
        <w:t>”</w:t>
      </w:r>
      <w:r>
        <w:t>.</w:t>
      </w:r>
    </w:p>
  </w:comment>
  <w:comment w:id="1" w:author="Kamala Rana Magar" w:date="2026-03-07T23:21:00Z" w:initials="KR">
    <w:p w14:paraId="4F6D30A6" w14:textId="12C4AE6E" w:rsidR="005E5DC6" w:rsidRDefault="005E5DC6">
      <w:pPr>
        <w:pStyle w:val="CommentText"/>
      </w:pPr>
      <w:r>
        <w:rPr>
          <w:rStyle w:val="CommentReference"/>
        </w:rPr>
        <w:annotationRef/>
      </w:r>
      <w:r w:rsidRPr="005E5DC6">
        <w:t>(International Diabetes Federation [IDF], 2021; Khan et al., 2019)</w:t>
      </w:r>
    </w:p>
  </w:comment>
  <w:comment w:id="2" w:author="Kamala Rana Magar" w:date="2026-03-07T23:23:00Z" w:initials="KR">
    <w:p w14:paraId="5510A286" w14:textId="4FD5239D" w:rsidR="00D12E8B" w:rsidRDefault="00D12E8B">
      <w:pPr>
        <w:pStyle w:val="CommentText"/>
      </w:pPr>
      <w:r>
        <w:rPr>
          <w:rStyle w:val="CommentReference"/>
        </w:rPr>
        <w:annotationRef/>
      </w:r>
      <w:r>
        <w:t>Rephrase. For example “</w:t>
      </w:r>
      <w:r w:rsidRPr="00D12E8B">
        <w:t>Studies have shown that emotional distress adversely affects patient motivation and decision-making, which can undermine adherence to treatment recommendations. Consequently, T2DM affects not only biological functioning but also psychological, social, and environmental dimensions of patients’ lives.</w:t>
      </w:r>
      <w:r>
        <w:t>”</w:t>
      </w:r>
    </w:p>
  </w:comment>
  <w:comment w:id="3" w:author="Kamala Rana Magar" w:date="2026-03-07T23:27:00Z" w:initials="KR">
    <w:p w14:paraId="4BB07F2B" w14:textId="4A5F714E" w:rsidR="007E58D2" w:rsidRDefault="007E58D2">
      <w:pPr>
        <w:pStyle w:val="CommentText"/>
      </w:pPr>
      <w:r>
        <w:rPr>
          <w:rStyle w:val="CommentReference"/>
        </w:rPr>
        <w:annotationRef/>
      </w:r>
      <w:r>
        <w:t>Please, strongly justify the gap and need for this study by adding about the limited research or no research examined how specific coping strategies influence health related quality of life domains in Nigerian population.</w:t>
      </w:r>
    </w:p>
  </w:comment>
  <w:comment w:id="4" w:author="Kamala Rana Magar" w:date="2026-03-08T12:21:00Z" w:initials="KR">
    <w:p w14:paraId="0D42F597" w14:textId="4E030FAD" w:rsidR="005470B8" w:rsidRDefault="005470B8">
      <w:pPr>
        <w:pStyle w:val="CommentText"/>
      </w:pPr>
      <w:r>
        <w:rPr>
          <w:rStyle w:val="CommentReference"/>
        </w:rPr>
        <w:annotationRef/>
      </w:r>
      <w:r>
        <w:t>Ethical information is missing</w:t>
      </w:r>
    </w:p>
  </w:comment>
  <w:comment w:id="5" w:author="Kamala Rana Magar" w:date="2026-03-07T23:32:00Z" w:initials="KR">
    <w:p w14:paraId="71E3C162" w14:textId="25DD01F5" w:rsidR="00AC7558" w:rsidRDefault="00AC7558">
      <w:pPr>
        <w:pStyle w:val="CommentText"/>
      </w:pPr>
      <w:r>
        <w:rPr>
          <w:rStyle w:val="CommentReference"/>
        </w:rPr>
        <w:annotationRef/>
      </w:r>
      <w:r>
        <w:t xml:space="preserve">Repeated. It is already mentioned in emotion focused coping. </w:t>
      </w:r>
    </w:p>
  </w:comment>
  <w:comment w:id="6" w:author="Kamala Rana Magar" w:date="2026-03-08T11:52:00Z" w:initials="KR">
    <w:p w14:paraId="5C130DE2" w14:textId="0210F482" w:rsidR="00D5370E" w:rsidRDefault="00D5370E">
      <w:pPr>
        <w:pStyle w:val="CommentText"/>
      </w:pPr>
      <w:r>
        <w:rPr>
          <w:rStyle w:val="CommentReference"/>
        </w:rPr>
        <w:annotationRef/>
      </w:r>
      <w:r>
        <w:t xml:space="preserve">Please mention/report the Alpha value </w:t>
      </w:r>
    </w:p>
  </w:comment>
  <w:comment w:id="7" w:author="Kamala Rana Magar" w:date="2026-03-08T12:05:00Z" w:initials="KR">
    <w:p w14:paraId="0A9085C9" w14:textId="4AF48098" w:rsidR="002D7388" w:rsidRDefault="002D7388">
      <w:pPr>
        <w:pStyle w:val="CommentText"/>
      </w:pPr>
      <w:r>
        <w:rPr>
          <w:rStyle w:val="CommentReference"/>
        </w:rPr>
        <w:annotationRef/>
      </w:r>
      <w:r>
        <w:t>shows</w:t>
      </w:r>
    </w:p>
  </w:comment>
  <w:comment w:id="8" w:author="Kamala Rana Magar" w:date="2026-03-08T12:03:00Z" w:initials="KR">
    <w:p w14:paraId="68C592CC" w14:textId="669F5BC5" w:rsidR="002D7388" w:rsidRDefault="002D7388">
      <w:pPr>
        <w:pStyle w:val="CommentText"/>
      </w:pPr>
      <w:r>
        <w:rPr>
          <w:rStyle w:val="CommentReference"/>
        </w:rPr>
        <w:annotationRef/>
      </w:r>
      <w:r>
        <w:t xml:space="preserve">No need to mention here </w:t>
      </w:r>
    </w:p>
  </w:comment>
  <w:comment w:id="9" w:author="Kamala Rana Magar" w:date="2026-03-08T12:19:00Z" w:initials="KR">
    <w:p w14:paraId="216FA81F" w14:textId="62F933BE" w:rsidR="005470B8" w:rsidRDefault="005470B8">
      <w:pPr>
        <w:pStyle w:val="CommentText"/>
      </w:pPr>
      <w:r>
        <w:rPr>
          <w:rStyle w:val="CommentReference"/>
        </w:rPr>
        <w:annotationRef/>
      </w:r>
      <w:r>
        <w:t>Seem duplicate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281BD0" w15:done="0"/>
  <w15:commentEx w15:paraId="4F6D30A6" w15:done="0"/>
  <w15:commentEx w15:paraId="5510A286" w15:done="0"/>
  <w15:commentEx w15:paraId="4BB07F2B" w15:done="0"/>
  <w15:commentEx w15:paraId="0D42F597" w15:done="0"/>
  <w15:commentEx w15:paraId="71E3C162" w15:done="0"/>
  <w15:commentEx w15:paraId="5C130DE2" w15:done="0"/>
  <w15:commentEx w15:paraId="0A9085C9" w15:done="0"/>
  <w15:commentEx w15:paraId="68C592CC" w15:done="0"/>
  <w15:commentEx w15:paraId="216FA8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375DE5" w16cex:dateUtc="2026-03-07T17:26:00Z"/>
  <w16cex:commentExtensible w16cex:durableId="63F3FC4D" w16cex:dateUtc="2026-03-07T17:36:00Z"/>
  <w16cex:commentExtensible w16cex:durableId="618D80E2" w16cex:dateUtc="2026-03-07T17:38:00Z"/>
  <w16cex:commentExtensible w16cex:durableId="635D11A7" w16cex:dateUtc="2026-03-07T17:42:00Z"/>
  <w16cex:commentExtensible w16cex:durableId="5D478881" w16cex:dateUtc="2026-03-08T06:36:00Z"/>
  <w16cex:commentExtensible w16cex:durableId="60AC9A89" w16cex:dateUtc="2026-03-07T17:47:00Z"/>
  <w16cex:commentExtensible w16cex:durableId="43B3ED68" w16cex:dateUtc="2026-03-08T06:07:00Z"/>
  <w16cex:commentExtensible w16cex:durableId="69D86EAE" w16cex:dateUtc="2026-03-08T06:20:00Z"/>
  <w16cex:commentExtensible w16cex:durableId="4A20AC57" w16cex:dateUtc="2026-03-08T06:18:00Z"/>
  <w16cex:commentExtensible w16cex:durableId="6A83208A" w16cex:dateUtc="2026-03-08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81BD0" w16cid:durableId="7E375DE5"/>
  <w16cid:commentId w16cid:paraId="4F6D30A6" w16cid:durableId="63F3FC4D"/>
  <w16cid:commentId w16cid:paraId="5510A286" w16cid:durableId="618D80E2"/>
  <w16cid:commentId w16cid:paraId="4BB07F2B" w16cid:durableId="635D11A7"/>
  <w16cid:commentId w16cid:paraId="0D42F597" w16cid:durableId="5D478881"/>
  <w16cid:commentId w16cid:paraId="71E3C162" w16cid:durableId="60AC9A89"/>
  <w16cid:commentId w16cid:paraId="5C130DE2" w16cid:durableId="43B3ED68"/>
  <w16cid:commentId w16cid:paraId="0A9085C9" w16cid:durableId="69D86EAE"/>
  <w16cid:commentId w16cid:paraId="68C592CC" w16cid:durableId="4A20AC57"/>
  <w16cid:commentId w16cid:paraId="216FA81F" w16cid:durableId="6A8320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34F99" w14:textId="77777777" w:rsidR="00890638" w:rsidRDefault="00890638" w:rsidP="00A522AD">
      <w:pPr>
        <w:spacing w:after="0" w:line="240" w:lineRule="auto"/>
      </w:pPr>
      <w:r>
        <w:separator/>
      </w:r>
    </w:p>
  </w:endnote>
  <w:endnote w:type="continuationSeparator" w:id="0">
    <w:p w14:paraId="7E2D70F6" w14:textId="77777777" w:rsidR="00890638" w:rsidRDefault="00890638" w:rsidP="00A5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1230" w14:textId="77777777" w:rsidR="00DD2BB3" w:rsidRDefault="00DD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565689"/>
      <w:docPartObj>
        <w:docPartGallery w:val="Page Numbers (Bottom of Page)"/>
        <w:docPartUnique/>
      </w:docPartObj>
    </w:sdtPr>
    <w:sdtEndPr>
      <w:rPr>
        <w:noProof/>
      </w:rPr>
    </w:sdtEndPr>
    <w:sdtContent>
      <w:p w14:paraId="355CCA77" w14:textId="77777777" w:rsidR="00A522AD" w:rsidRDefault="00A522AD">
        <w:pPr>
          <w:pStyle w:val="Footer"/>
          <w:jc w:val="center"/>
        </w:pPr>
        <w:r>
          <w:fldChar w:fldCharType="begin"/>
        </w:r>
        <w:r>
          <w:instrText xml:space="preserve"> PAGE   \* MERGEFORMAT </w:instrText>
        </w:r>
        <w:r>
          <w:fldChar w:fldCharType="separate"/>
        </w:r>
        <w:r w:rsidR="003B573B">
          <w:rPr>
            <w:noProof/>
          </w:rPr>
          <w:t>1</w:t>
        </w:r>
        <w:r>
          <w:rPr>
            <w:noProof/>
          </w:rPr>
          <w:fldChar w:fldCharType="end"/>
        </w:r>
      </w:p>
    </w:sdtContent>
  </w:sdt>
  <w:p w14:paraId="43D00947" w14:textId="77777777" w:rsidR="00A522AD" w:rsidRDefault="00A5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B111" w14:textId="77777777" w:rsidR="00DD2BB3" w:rsidRDefault="00DD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F3DBD" w14:textId="77777777" w:rsidR="00890638" w:rsidRDefault="00890638" w:rsidP="00A522AD">
      <w:pPr>
        <w:spacing w:after="0" w:line="240" w:lineRule="auto"/>
      </w:pPr>
      <w:r>
        <w:separator/>
      </w:r>
    </w:p>
  </w:footnote>
  <w:footnote w:type="continuationSeparator" w:id="0">
    <w:p w14:paraId="0AF285F6" w14:textId="77777777" w:rsidR="00890638" w:rsidRDefault="00890638" w:rsidP="00A52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92AD" w14:textId="3FAAE886" w:rsidR="00DD2BB3" w:rsidRDefault="00890638">
    <w:pPr>
      <w:pStyle w:val="Header"/>
    </w:pPr>
    <w:r>
      <w:rPr>
        <w:noProof/>
      </w:rPr>
      <w:pict w14:anchorId="75EA7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52A0" w14:textId="6F4EA75D" w:rsidR="00DD2BB3" w:rsidRDefault="00890638">
    <w:pPr>
      <w:pStyle w:val="Header"/>
    </w:pPr>
    <w:r>
      <w:rPr>
        <w:noProof/>
      </w:rPr>
      <w:pict w14:anchorId="66874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5A66" w14:textId="3F6F566F" w:rsidR="00DD2BB3" w:rsidRDefault="00890638">
    <w:pPr>
      <w:pStyle w:val="Header"/>
    </w:pPr>
    <w:r>
      <w:rPr>
        <w:noProof/>
      </w:rPr>
      <w:pict w14:anchorId="0AFDA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D77DE"/>
    <w:multiLevelType w:val="hybridMultilevel"/>
    <w:tmpl w:val="0C103E68"/>
    <w:lvl w:ilvl="0" w:tplc="ED6A7E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112974"/>
    <w:multiLevelType w:val="multilevel"/>
    <w:tmpl w:val="1020F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mala Rana Magar">
    <w15:presenceInfo w15:providerId="Windows Live" w15:userId="dcef566795bf93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6DC"/>
    <w:rsid w:val="00064EE3"/>
    <w:rsid w:val="00146A5B"/>
    <w:rsid w:val="002D7388"/>
    <w:rsid w:val="003B573B"/>
    <w:rsid w:val="00404CAC"/>
    <w:rsid w:val="004552DA"/>
    <w:rsid w:val="00475415"/>
    <w:rsid w:val="004974A4"/>
    <w:rsid w:val="004C792D"/>
    <w:rsid w:val="004F3AF8"/>
    <w:rsid w:val="005470B8"/>
    <w:rsid w:val="005630CF"/>
    <w:rsid w:val="005E5DC6"/>
    <w:rsid w:val="00691FCB"/>
    <w:rsid w:val="007338A2"/>
    <w:rsid w:val="007A47CF"/>
    <w:rsid w:val="007E58D2"/>
    <w:rsid w:val="007F1B4A"/>
    <w:rsid w:val="008546DC"/>
    <w:rsid w:val="00890638"/>
    <w:rsid w:val="008B0E42"/>
    <w:rsid w:val="009325D6"/>
    <w:rsid w:val="00967D7F"/>
    <w:rsid w:val="00A24512"/>
    <w:rsid w:val="00A522AD"/>
    <w:rsid w:val="00A52D05"/>
    <w:rsid w:val="00AC239E"/>
    <w:rsid w:val="00AC7558"/>
    <w:rsid w:val="00AD70C1"/>
    <w:rsid w:val="00B4320F"/>
    <w:rsid w:val="00B94966"/>
    <w:rsid w:val="00C16D94"/>
    <w:rsid w:val="00C94BAF"/>
    <w:rsid w:val="00CB52B8"/>
    <w:rsid w:val="00CE181F"/>
    <w:rsid w:val="00D12E8B"/>
    <w:rsid w:val="00D42150"/>
    <w:rsid w:val="00D45C23"/>
    <w:rsid w:val="00D5370E"/>
    <w:rsid w:val="00DA06D8"/>
    <w:rsid w:val="00DD2BB3"/>
    <w:rsid w:val="00E27866"/>
    <w:rsid w:val="00E3139A"/>
    <w:rsid w:val="00E313AF"/>
    <w:rsid w:val="00E76487"/>
    <w:rsid w:val="00ED1CCD"/>
    <w:rsid w:val="00F0416D"/>
    <w:rsid w:val="00F21657"/>
    <w:rsid w:val="00FA2A5F"/>
    <w:rsid w:val="00FE0CA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8FE04"/>
  <w15:docId w15:val="{ECEFCC5A-3A69-41C4-8851-AB7879D0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91F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91F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A5B"/>
    <w:rPr>
      <w:b/>
      <w:bCs/>
    </w:rPr>
  </w:style>
  <w:style w:type="paragraph" w:styleId="NormalWeb">
    <w:name w:val="Normal (Web)"/>
    <w:basedOn w:val="Normal"/>
    <w:uiPriority w:val="99"/>
    <w:unhideWhenUsed/>
    <w:rsid w:val="00146A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146A5B"/>
    <w:pPr>
      <w:spacing w:after="0" w:line="240" w:lineRule="auto"/>
    </w:pPr>
    <w:rPr>
      <w:lang w:val="en-GB"/>
    </w:rPr>
  </w:style>
  <w:style w:type="table" w:styleId="LightShading">
    <w:name w:val="Light Shading"/>
    <w:basedOn w:val="TableNormal"/>
    <w:uiPriority w:val="60"/>
    <w:rsid w:val="00146A5B"/>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46A5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1FC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91FCB"/>
    <w:rPr>
      <w:rFonts w:ascii="Times New Roman" w:eastAsia="Times New Roman" w:hAnsi="Times New Roman" w:cs="Times New Roman"/>
      <w:b/>
      <w:bCs/>
      <w:sz w:val="27"/>
      <w:szCs w:val="27"/>
    </w:rPr>
  </w:style>
  <w:style w:type="character" w:styleId="Emphasis">
    <w:name w:val="Emphasis"/>
    <w:basedOn w:val="DefaultParagraphFont"/>
    <w:uiPriority w:val="20"/>
    <w:qFormat/>
    <w:rsid w:val="00691FCB"/>
    <w:rPr>
      <w:i/>
      <w:iCs/>
    </w:rPr>
  </w:style>
  <w:style w:type="paragraph" w:styleId="Header">
    <w:name w:val="header"/>
    <w:basedOn w:val="Normal"/>
    <w:link w:val="HeaderChar"/>
    <w:uiPriority w:val="99"/>
    <w:unhideWhenUsed/>
    <w:rsid w:val="00A52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AD"/>
  </w:style>
  <w:style w:type="paragraph" w:styleId="Footer">
    <w:name w:val="footer"/>
    <w:basedOn w:val="Normal"/>
    <w:link w:val="FooterChar"/>
    <w:uiPriority w:val="99"/>
    <w:unhideWhenUsed/>
    <w:rsid w:val="00A52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AD"/>
  </w:style>
  <w:style w:type="paragraph" w:customStyle="1" w:styleId="ds-markdown-paragraph">
    <w:name w:val="ds-markdown-paragraph"/>
    <w:basedOn w:val="Normal"/>
    <w:rsid w:val="005630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76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6487"/>
  </w:style>
  <w:style w:type="character" w:customStyle="1" w:styleId="eop">
    <w:name w:val="eop"/>
    <w:basedOn w:val="DefaultParagraphFont"/>
    <w:rsid w:val="00E76487"/>
  </w:style>
  <w:style w:type="character" w:customStyle="1" w:styleId="contentcontrolboundarysink">
    <w:name w:val="contentcontrolboundarysink"/>
    <w:basedOn w:val="DefaultParagraphFont"/>
    <w:rsid w:val="00E76487"/>
  </w:style>
  <w:style w:type="character" w:customStyle="1" w:styleId="contentcontrol">
    <w:name w:val="contentcontrol"/>
    <w:basedOn w:val="DefaultParagraphFont"/>
    <w:rsid w:val="00E76487"/>
  </w:style>
  <w:style w:type="character" w:styleId="Hyperlink">
    <w:name w:val="Hyperlink"/>
    <w:basedOn w:val="DefaultParagraphFont"/>
    <w:uiPriority w:val="99"/>
    <w:unhideWhenUsed/>
    <w:rsid w:val="007F1B4A"/>
    <w:rPr>
      <w:color w:val="0000FF" w:themeColor="hyperlink"/>
      <w:u w:val="single"/>
    </w:rPr>
  </w:style>
  <w:style w:type="character" w:styleId="UnresolvedMention">
    <w:name w:val="Unresolved Mention"/>
    <w:basedOn w:val="DefaultParagraphFont"/>
    <w:uiPriority w:val="99"/>
    <w:semiHidden/>
    <w:unhideWhenUsed/>
    <w:rsid w:val="007F1B4A"/>
    <w:rPr>
      <w:color w:val="605E5C"/>
      <w:shd w:val="clear" w:color="auto" w:fill="E1DFDD"/>
    </w:rPr>
  </w:style>
  <w:style w:type="character" w:styleId="CommentReference">
    <w:name w:val="annotation reference"/>
    <w:basedOn w:val="DefaultParagraphFont"/>
    <w:uiPriority w:val="99"/>
    <w:semiHidden/>
    <w:unhideWhenUsed/>
    <w:rsid w:val="00A24512"/>
    <w:rPr>
      <w:sz w:val="16"/>
      <w:szCs w:val="16"/>
    </w:rPr>
  </w:style>
  <w:style w:type="paragraph" w:styleId="CommentText">
    <w:name w:val="annotation text"/>
    <w:basedOn w:val="Normal"/>
    <w:link w:val="CommentTextChar"/>
    <w:uiPriority w:val="99"/>
    <w:semiHidden/>
    <w:unhideWhenUsed/>
    <w:rsid w:val="00A24512"/>
    <w:pPr>
      <w:spacing w:line="240" w:lineRule="auto"/>
    </w:pPr>
    <w:rPr>
      <w:sz w:val="20"/>
      <w:szCs w:val="20"/>
    </w:rPr>
  </w:style>
  <w:style w:type="character" w:customStyle="1" w:styleId="CommentTextChar">
    <w:name w:val="Comment Text Char"/>
    <w:basedOn w:val="DefaultParagraphFont"/>
    <w:link w:val="CommentText"/>
    <w:uiPriority w:val="99"/>
    <w:semiHidden/>
    <w:rsid w:val="00A24512"/>
    <w:rPr>
      <w:sz w:val="20"/>
      <w:szCs w:val="20"/>
    </w:rPr>
  </w:style>
  <w:style w:type="paragraph" w:styleId="CommentSubject">
    <w:name w:val="annotation subject"/>
    <w:basedOn w:val="CommentText"/>
    <w:next w:val="CommentText"/>
    <w:link w:val="CommentSubjectChar"/>
    <w:uiPriority w:val="99"/>
    <w:semiHidden/>
    <w:unhideWhenUsed/>
    <w:rsid w:val="00A24512"/>
    <w:rPr>
      <w:b/>
      <w:bCs/>
    </w:rPr>
  </w:style>
  <w:style w:type="character" w:customStyle="1" w:styleId="CommentSubjectChar">
    <w:name w:val="Comment Subject Char"/>
    <w:basedOn w:val="CommentTextChar"/>
    <w:link w:val="CommentSubject"/>
    <w:uiPriority w:val="99"/>
    <w:semiHidden/>
    <w:rsid w:val="00A24512"/>
    <w:rPr>
      <w:b/>
      <w:bCs/>
      <w:sz w:val="20"/>
      <w:szCs w:val="20"/>
    </w:rPr>
  </w:style>
  <w:style w:type="paragraph" w:styleId="ListParagraph">
    <w:name w:val="List Paragraph"/>
    <w:basedOn w:val="Normal"/>
    <w:uiPriority w:val="34"/>
    <w:qFormat/>
    <w:rsid w:val="005470B8"/>
    <w:pPr>
      <w:ind w:left="720"/>
      <w:contextualSpacing/>
    </w:pPr>
  </w:style>
  <w:style w:type="paragraph" w:styleId="BalloonText">
    <w:name w:val="Balloon Text"/>
    <w:basedOn w:val="Normal"/>
    <w:link w:val="BalloonTextChar"/>
    <w:uiPriority w:val="99"/>
    <w:semiHidden/>
    <w:unhideWhenUsed/>
    <w:rsid w:val="004C7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9995">
      <w:bodyDiv w:val="1"/>
      <w:marLeft w:val="0"/>
      <w:marRight w:val="0"/>
      <w:marTop w:val="0"/>
      <w:marBottom w:val="0"/>
      <w:divBdr>
        <w:top w:val="none" w:sz="0" w:space="0" w:color="auto"/>
        <w:left w:val="none" w:sz="0" w:space="0" w:color="auto"/>
        <w:bottom w:val="none" w:sz="0" w:space="0" w:color="auto"/>
        <w:right w:val="none" w:sz="0" w:space="0" w:color="auto"/>
      </w:divBdr>
    </w:div>
    <w:div w:id="146675231">
      <w:bodyDiv w:val="1"/>
      <w:marLeft w:val="0"/>
      <w:marRight w:val="0"/>
      <w:marTop w:val="0"/>
      <w:marBottom w:val="0"/>
      <w:divBdr>
        <w:top w:val="none" w:sz="0" w:space="0" w:color="auto"/>
        <w:left w:val="none" w:sz="0" w:space="0" w:color="auto"/>
        <w:bottom w:val="none" w:sz="0" w:space="0" w:color="auto"/>
        <w:right w:val="none" w:sz="0" w:space="0" w:color="auto"/>
      </w:divBdr>
    </w:div>
    <w:div w:id="252975909">
      <w:bodyDiv w:val="1"/>
      <w:marLeft w:val="0"/>
      <w:marRight w:val="0"/>
      <w:marTop w:val="0"/>
      <w:marBottom w:val="0"/>
      <w:divBdr>
        <w:top w:val="none" w:sz="0" w:space="0" w:color="auto"/>
        <w:left w:val="none" w:sz="0" w:space="0" w:color="auto"/>
        <w:bottom w:val="none" w:sz="0" w:space="0" w:color="auto"/>
        <w:right w:val="none" w:sz="0" w:space="0" w:color="auto"/>
      </w:divBdr>
    </w:div>
    <w:div w:id="308479377">
      <w:bodyDiv w:val="1"/>
      <w:marLeft w:val="0"/>
      <w:marRight w:val="0"/>
      <w:marTop w:val="0"/>
      <w:marBottom w:val="0"/>
      <w:divBdr>
        <w:top w:val="none" w:sz="0" w:space="0" w:color="auto"/>
        <w:left w:val="none" w:sz="0" w:space="0" w:color="auto"/>
        <w:bottom w:val="none" w:sz="0" w:space="0" w:color="auto"/>
        <w:right w:val="none" w:sz="0" w:space="0" w:color="auto"/>
      </w:divBdr>
      <w:divsChild>
        <w:div w:id="883516486">
          <w:marLeft w:val="0"/>
          <w:marRight w:val="0"/>
          <w:marTop w:val="0"/>
          <w:marBottom w:val="0"/>
          <w:divBdr>
            <w:top w:val="none" w:sz="0" w:space="0" w:color="auto"/>
            <w:left w:val="none" w:sz="0" w:space="0" w:color="auto"/>
            <w:bottom w:val="none" w:sz="0" w:space="0" w:color="auto"/>
            <w:right w:val="none" w:sz="0" w:space="0" w:color="auto"/>
          </w:divBdr>
        </w:div>
        <w:div w:id="1775977223">
          <w:marLeft w:val="0"/>
          <w:marRight w:val="0"/>
          <w:marTop w:val="0"/>
          <w:marBottom w:val="0"/>
          <w:divBdr>
            <w:top w:val="none" w:sz="0" w:space="0" w:color="auto"/>
            <w:left w:val="none" w:sz="0" w:space="0" w:color="auto"/>
            <w:bottom w:val="none" w:sz="0" w:space="0" w:color="auto"/>
            <w:right w:val="none" w:sz="0" w:space="0" w:color="auto"/>
          </w:divBdr>
        </w:div>
        <w:div w:id="2048791095">
          <w:marLeft w:val="0"/>
          <w:marRight w:val="0"/>
          <w:marTop w:val="0"/>
          <w:marBottom w:val="0"/>
          <w:divBdr>
            <w:top w:val="none" w:sz="0" w:space="0" w:color="auto"/>
            <w:left w:val="none" w:sz="0" w:space="0" w:color="auto"/>
            <w:bottom w:val="none" w:sz="0" w:space="0" w:color="auto"/>
            <w:right w:val="none" w:sz="0" w:space="0" w:color="auto"/>
          </w:divBdr>
        </w:div>
        <w:div w:id="1183209732">
          <w:marLeft w:val="0"/>
          <w:marRight w:val="0"/>
          <w:marTop w:val="0"/>
          <w:marBottom w:val="0"/>
          <w:divBdr>
            <w:top w:val="none" w:sz="0" w:space="0" w:color="auto"/>
            <w:left w:val="none" w:sz="0" w:space="0" w:color="auto"/>
            <w:bottom w:val="none" w:sz="0" w:space="0" w:color="auto"/>
            <w:right w:val="none" w:sz="0" w:space="0" w:color="auto"/>
          </w:divBdr>
        </w:div>
        <w:div w:id="326398457">
          <w:marLeft w:val="0"/>
          <w:marRight w:val="0"/>
          <w:marTop w:val="0"/>
          <w:marBottom w:val="0"/>
          <w:divBdr>
            <w:top w:val="none" w:sz="0" w:space="0" w:color="auto"/>
            <w:left w:val="none" w:sz="0" w:space="0" w:color="auto"/>
            <w:bottom w:val="none" w:sz="0" w:space="0" w:color="auto"/>
            <w:right w:val="none" w:sz="0" w:space="0" w:color="auto"/>
          </w:divBdr>
        </w:div>
        <w:div w:id="281498563">
          <w:marLeft w:val="0"/>
          <w:marRight w:val="0"/>
          <w:marTop w:val="0"/>
          <w:marBottom w:val="0"/>
          <w:divBdr>
            <w:top w:val="none" w:sz="0" w:space="0" w:color="auto"/>
            <w:left w:val="none" w:sz="0" w:space="0" w:color="auto"/>
            <w:bottom w:val="none" w:sz="0" w:space="0" w:color="auto"/>
            <w:right w:val="none" w:sz="0" w:space="0" w:color="auto"/>
          </w:divBdr>
        </w:div>
        <w:div w:id="233274455">
          <w:marLeft w:val="0"/>
          <w:marRight w:val="0"/>
          <w:marTop w:val="0"/>
          <w:marBottom w:val="0"/>
          <w:divBdr>
            <w:top w:val="none" w:sz="0" w:space="0" w:color="auto"/>
            <w:left w:val="none" w:sz="0" w:space="0" w:color="auto"/>
            <w:bottom w:val="none" w:sz="0" w:space="0" w:color="auto"/>
            <w:right w:val="none" w:sz="0" w:space="0" w:color="auto"/>
          </w:divBdr>
        </w:div>
        <w:div w:id="1042829073">
          <w:marLeft w:val="0"/>
          <w:marRight w:val="0"/>
          <w:marTop w:val="0"/>
          <w:marBottom w:val="0"/>
          <w:divBdr>
            <w:top w:val="none" w:sz="0" w:space="0" w:color="auto"/>
            <w:left w:val="none" w:sz="0" w:space="0" w:color="auto"/>
            <w:bottom w:val="none" w:sz="0" w:space="0" w:color="auto"/>
            <w:right w:val="none" w:sz="0" w:space="0" w:color="auto"/>
          </w:divBdr>
        </w:div>
        <w:div w:id="1392538002">
          <w:marLeft w:val="0"/>
          <w:marRight w:val="0"/>
          <w:marTop w:val="0"/>
          <w:marBottom w:val="0"/>
          <w:divBdr>
            <w:top w:val="none" w:sz="0" w:space="0" w:color="auto"/>
            <w:left w:val="none" w:sz="0" w:space="0" w:color="auto"/>
            <w:bottom w:val="none" w:sz="0" w:space="0" w:color="auto"/>
            <w:right w:val="none" w:sz="0" w:space="0" w:color="auto"/>
          </w:divBdr>
        </w:div>
        <w:div w:id="597297649">
          <w:marLeft w:val="0"/>
          <w:marRight w:val="0"/>
          <w:marTop w:val="0"/>
          <w:marBottom w:val="0"/>
          <w:divBdr>
            <w:top w:val="none" w:sz="0" w:space="0" w:color="auto"/>
            <w:left w:val="none" w:sz="0" w:space="0" w:color="auto"/>
            <w:bottom w:val="none" w:sz="0" w:space="0" w:color="auto"/>
            <w:right w:val="none" w:sz="0" w:space="0" w:color="auto"/>
          </w:divBdr>
        </w:div>
        <w:div w:id="1811441941">
          <w:marLeft w:val="0"/>
          <w:marRight w:val="0"/>
          <w:marTop w:val="0"/>
          <w:marBottom w:val="0"/>
          <w:divBdr>
            <w:top w:val="none" w:sz="0" w:space="0" w:color="auto"/>
            <w:left w:val="none" w:sz="0" w:space="0" w:color="auto"/>
            <w:bottom w:val="none" w:sz="0" w:space="0" w:color="auto"/>
            <w:right w:val="none" w:sz="0" w:space="0" w:color="auto"/>
          </w:divBdr>
        </w:div>
        <w:div w:id="1885484240">
          <w:marLeft w:val="0"/>
          <w:marRight w:val="0"/>
          <w:marTop w:val="0"/>
          <w:marBottom w:val="0"/>
          <w:divBdr>
            <w:top w:val="none" w:sz="0" w:space="0" w:color="auto"/>
            <w:left w:val="none" w:sz="0" w:space="0" w:color="auto"/>
            <w:bottom w:val="none" w:sz="0" w:space="0" w:color="auto"/>
            <w:right w:val="none" w:sz="0" w:space="0" w:color="auto"/>
          </w:divBdr>
        </w:div>
        <w:div w:id="727150148">
          <w:marLeft w:val="0"/>
          <w:marRight w:val="0"/>
          <w:marTop w:val="0"/>
          <w:marBottom w:val="0"/>
          <w:divBdr>
            <w:top w:val="none" w:sz="0" w:space="0" w:color="auto"/>
            <w:left w:val="none" w:sz="0" w:space="0" w:color="auto"/>
            <w:bottom w:val="none" w:sz="0" w:space="0" w:color="auto"/>
            <w:right w:val="none" w:sz="0" w:space="0" w:color="auto"/>
          </w:divBdr>
        </w:div>
        <w:div w:id="1528325852">
          <w:marLeft w:val="0"/>
          <w:marRight w:val="0"/>
          <w:marTop w:val="0"/>
          <w:marBottom w:val="0"/>
          <w:divBdr>
            <w:top w:val="none" w:sz="0" w:space="0" w:color="auto"/>
            <w:left w:val="none" w:sz="0" w:space="0" w:color="auto"/>
            <w:bottom w:val="none" w:sz="0" w:space="0" w:color="auto"/>
            <w:right w:val="none" w:sz="0" w:space="0" w:color="auto"/>
          </w:divBdr>
        </w:div>
        <w:div w:id="686909503">
          <w:marLeft w:val="0"/>
          <w:marRight w:val="0"/>
          <w:marTop w:val="0"/>
          <w:marBottom w:val="0"/>
          <w:divBdr>
            <w:top w:val="none" w:sz="0" w:space="0" w:color="auto"/>
            <w:left w:val="none" w:sz="0" w:space="0" w:color="auto"/>
            <w:bottom w:val="none" w:sz="0" w:space="0" w:color="auto"/>
            <w:right w:val="none" w:sz="0" w:space="0" w:color="auto"/>
          </w:divBdr>
        </w:div>
        <w:div w:id="1841772832">
          <w:marLeft w:val="0"/>
          <w:marRight w:val="0"/>
          <w:marTop w:val="0"/>
          <w:marBottom w:val="0"/>
          <w:divBdr>
            <w:top w:val="none" w:sz="0" w:space="0" w:color="auto"/>
            <w:left w:val="none" w:sz="0" w:space="0" w:color="auto"/>
            <w:bottom w:val="none" w:sz="0" w:space="0" w:color="auto"/>
            <w:right w:val="none" w:sz="0" w:space="0" w:color="auto"/>
          </w:divBdr>
        </w:div>
        <w:div w:id="138808288">
          <w:marLeft w:val="0"/>
          <w:marRight w:val="0"/>
          <w:marTop w:val="0"/>
          <w:marBottom w:val="0"/>
          <w:divBdr>
            <w:top w:val="none" w:sz="0" w:space="0" w:color="auto"/>
            <w:left w:val="none" w:sz="0" w:space="0" w:color="auto"/>
            <w:bottom w:val="none" w:sz="0" w:space="0" w:color="auto"/>
            <w:right w:val="none" w:sz="0" w:space="0" w:color="auto"/>
          </w:divBdr>
        </w:div>
        <w:div w:id="322438899">
          <w:marLeft w:val="0"/>
          <w:marRight w:val="0"/>
          <w:marTop w:val="0"/>
          <w:marBottom w:val="0"/>
          <w:divBdr>
            <w:top w:val="none" w:sz="0" w:space="0" w:color="auto"/>
            <w:left w:val="none" w:sz="0" w:space="0" w:color="auto"/>
            <w:bottom w:val="none" w:sz="0" w:space="0" w:color="auto"/>
            <w:right w:val="none" w:sz="0" w:space="0" w:color="auto"/>
          </w:divBdr>
        </w:div>
      </w:divsChild>
    </w:div>
    <w:div w:id="318846271">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496574911">
      <w:bodyDiv w:val="1"/>
      <w:marLeft w:val="0"/>
      <w:marRight w:val="0"/>
      <w:marTop w:val="0"/>
      <w:marBottom w:val="0"/>
      <w:divBdr>
        <w:top w:val="none" w:sz="0" w:space="0" w:color="auto"/>
        <w:left w:val="none" w:sz="0" w:space="0" w:color="auto"/>
        <w:bottom w:val="none" w:sz="0" w:space="0" w:color="auto"/>
        <w:right w:val="none" w:sz="0" w:space="0" w:color="auto"/>
      </w:divBdr>
    </w:div>
    <w:div w:id="660890226">
      <w:bodyDiv w:val="1"/>
      <w:marLeft w:val="0"/>
      <w:marRight w:val="0"/>
      <w:marTop w:val="0"/>
      <w:marBottom w:val="0"/>
      <w:divBdr>
        <w:top w:val="none" w:sz="0" w:space="0" w:color="auto"/>
        <w:left w:val="none" w:sz="0" w:space="0" w:color="auto"/>
        <w:bottom w:val="none" w:sz="0" w:space="0" w:color="auto"/>
        <w:right w:val="none" w:sz="0" w:space="0" w:color="auto"/>
      </w:divBdr>
    </w:div>
    <w:div w:id="878249786">
      <w:bodyDiv w:val="1"/>
      <w:marLeft w:val="0"/>
      <w:marRight w:val="0"/>
      <w:marTop w:val="0"/>
      <w:marBottom w:val="0"/>
      <w:divBdr>
        <w:top w:val="none" w:sz="0" w:space="0" w:color="auto"/>
        <w:left w:val="none" w:sz="0" w:space="0" w:color="auto"/>
        <w:bottom w:val="none" w:sz="0" w:space="0" w:color="auto"/>
        <w:right w:val="none" w:sz="0" w:space="0" w:color="auto"/>
      </w:divBdr>
    </w:div>
    <w:div w:id="1080443841">
      <w:bodyDiv w:val="1"/>
      <w:marLeft w:val="0"/>
      <w:marRight w:val="0"/>
      <w:marTop w:val="0"/>
      <w:marBottom w:val="0"/>
      <w:divBdr>
        <w:top w:val="none" w:sz="0" w:space="0" w:color="auto"/>
        <w:left w:val="none" w:sz="0" w:space="0" w:color="auto"/>
        <w:bottom w:val="none" w:sz="0" w:space="0" w:color="auto"/>
        <w:right w:val="none" w:sz="0" w:space="0" w:color="auto"/>
      </w:divBdr>
    </w:div>
    <w:div w:id="1113479284">
      <w:bodyDiv w:val="1"/>
      <w:marLeft w:val="0"/>
      <w:marRight w:val="0"/>
      <w:marTop w:val="0"/>
      <w:marBottom w:val="0"/>
      <w:divBdr>
        <w:top w:val="none" w:sz="0" w:space="0" w:color="auto"/>
        <w:left w:val="none" w:sz="0" w:space="0" w:color="auto"/>
        <w:bottom w:val="none" w:sz="0" w:space="0" w:color="auto"/>
        <w:right w:val="none" w:sz="0" w:space="0" w:color="auto"/>
      </w:divBdr>
      <w:divsChild>
        <w:div w:id="294217110">
          <w:marLeft w:val="0"/>
          <w:marRight w:val="0"/>
          <w:marTop w:val="0"/>
          <w:marBottom w:val="0"/>
          <w:divBdr>
            <w:top w:val="none" w:sz="0" w:space="0" w:color="auto"/>
            <w:left w:val="none" w:sz="0" w:space="0" w:color="auto"/>
            <w:bottom w:val="none" w:sz="0" w:space="0" w:color="auto"/>
            <w:right w:val="none" w:sz="0" w:space="0" w:color="auto"/>
          </w:divBdr>
        </w:div>
      </w:divsChild>
    </w:div>
    <w:div w:id="1348753805">
      <w:bodyDiv w:val="1"/>
      <w:marLeft w:val="0"/>
      <w:marRight w:val="0"/>
      <w:marTop w:val="0"/>
      <w:marBottom w:val="0"/>
      <w:divBdr>
        <w:top w:val="none" w:sz="0" w:space="0" w:color="auto"/>
        <w:left w:val="none" w:sz="0" w:space="0" w:color="auto"/>
        <w:bottom w:val="none" w:sz="0" w:space="0" w:color="auto"/>
        <w:right w:val="none" w:sz="0" w:space="0" w:color="auto"/>
      </w:divBdr>
    </w:div>
    <w:div w:id="1411847168">
      <w:bodyDiv w:val="1"/>
      <w:marLeft w:val="0"/>
      <w:marRight w:val="0"/>
      <w:marTop w:val="0"/>
      <w:marBottom w:val="0"/>
      <w:divBdr>
        <w:top w:val="none" w:sz="0" w:space="0" w:color="auto"/>
        <w:left w:val="none" w:sz="0" w:space="0" w:color="auto"/>
        <w:bottom w:val="none" w:sz="0" w:space="0" w:color="auto"/>
        <w:right w:val="none" w:sz="0" w:space="0" w:color="auto"/>
      </w:divBdr>
      <w:divsChild>
        <w:div w:id="1535264888">
          <w:marLeft w:val="0"/>
          <w:marRight w:val="0"/>
          <w:marTop w:val="0"/>
          <w:marBottom w:val="0"/>
          <w:divBdr>
            <w:top w:val="none" w:sz="0" w:space="0" w:color="auto"/>
            <w:left w:val="none" w:sz="0" w:space="0" w:color="auto"/>
            <w:bottom w:val="none" w:sz="0" w:space="0" w:color="auto"/>
            <w:right w:val="none" w:sz="0" w:space="0" w:color="auto"/>
          </w:divBdr>
        </w:div>
        <w:div w:id="800264482">
          <w:marLeft w:val="0"/>
          <w:marRight w:val="0"/>
          <w:marTop w:val="0"/>
          <w:marBottom w:val="0"/>
          <w:divBdr>
            <w:top w:val="none" w:sz="0" w:space="0" w:color="auto"/>
            <w:left w:val="none" w:sz="0" w:space="0" w:color="auto"/>
            <w:bottom w:val="none" w:sz="0" w:space="0" w:color="auto"/>
            <w:right w:val="none" w:sz="0" w:space="0" w:color="auto"/>
          </w:divBdr>
        </w:div>
        <w:div w:id="1165977667">
          <w:marLeft w:val="0"/>
          <w:marRight w:val="0"/>
          <w:marTop w:val="0"/>
          <w:marBottom w:val="0"/>
          <w:divBdr>
            <w:top w:val="none" w:sz="0" w:space="0" w:color="auto"/>
            <w:left w:val="none" w:sz="0" w:space="0" w:color="auto"/>
            <w:bottom w:val="none" w:sz="0" w:space="0" w:color="auto"/>
            <w:right w:val="none" w:sz="0" w:space="0" w:color="auto"/>
          </w:divBdr>
        </w:div>
        <w:div w:id="2109158409">
          <w:marLeft w:val="0"/>
          <w:marRight w:val="0"/>
          <w:marTop w:val="0"/>
          <w:marBottom w:val="0"/>
          <w:divBdr>
            <w:top w:val="none" w:sz="0" w:space="0" w:color="auto"/>
            <w:left w:val="none" w:sz="0" w:space="0" w:color="auto"/>
            <w:bottom w:val="none" w:sz="0" w:space="0" w:color="auto"/>
            <w:right w:val="none" w:sz="0" w:space="0" w:color="auto"/>
          </w:divBdr>
        </w:div>
      </w:divsChild>
    </w:div>
    <w:div w:id="1591810999">
      <w:bodyDiv w:val="1"/>
      <w:marLeft w:val="0"/>
      <w:marRight w:val="0"/>
      <w:marTop w:val="0"/>
      <w:marBottom w:val="0"/>
      <w:divBdr>
        <w:top w:val="none" w:sz="0" w:space="0" w:color="auto"/>
        <w:left w:val="none" w:sz="0" w:space="0" w:color="auto"/>
        <w:bottom w:val="none" w:sz="0" w:space="0" w:color="auto"/>
        <w:right w:val="none" w:sz="0" w:space="0" w:color="auto"/>
      </w:divBdr>
      <w:divsChild>
        <w:div w:id="1014569870">
          <w:marLeft w:val="0"/>
          <w:marRight w:val="0"/>
          <w:marTop w:val="0"/>
          <w:marBottom w:val="0"/>
          <w:divBdr>
            <w:top w:val="none" w:sz="0" w:space="0" w:color="auto"/>
            <w:left w:val="none" w:sz="0" w:space="0" w:color="auto"/>
            <w:bottom w:val="none" w:sz="0" w:space="0" w:color="auto"/>
            <w:right w:val="none" w:sz="0" w:space="0" w:color="auto"/>
          </w:divBdr>
        </w:div>
        <w:div w:id="538930868">
          <w:marLeft w:val="0"/>
          <w:marRight w:val="0"/>
          <w:marTop w:val="0"/>
          <w:marBottom w:val="0"/>
          <w:divBdr>
            <w:top w:val="none" w:sz="0" w:space="0" w:color="auto"/>
            <w:left w:val="none" w:sz="0" w:space="0" w:color="auto"/>
            <w:bottom w:val="none" w:sz="0" w:space="0" w:color="auto"/>
            <w:right w:val="none" w:sz="0" w:space="0" w:color="auto"/>
          </w:divBdr>
        </w:div>
        <w:div w:id="145173336">
          <w:marLeft w:val="0"/>
          <w:marRight w:val="0"/>
          <w:marTop w:val="0"/>
          <w:marBottom w:val="0"/>
          <w:divBdr>
            <w:top w:val="none" w:sz="0" w:space="0" w:color="auto"/>
            <w:left w:val="none" w:sz="0" w:space="0" w:color="auto"/>
            <w:bottom w:val="none" w:sz="0" w:space="0" w:color="auto"/>
            <w:right w:val="none" w:sz="0" w:space="0" w:color="auto"/>
          </w:divBdr>
        </w:div>
        <w:div w:id="1766346348">
          <w:marLeft w:val="0"/>
          <w:marRight w:val="0"/>
          <w:marTop w:val="0"/>
          <w:marBottom w:val="0"/>
          <w:divBdr>
            <w:top w:val="none" w:sz="0" w:space="0" w:color="auto"/>
            <w:left w:val="none" w:sz="0" w:space="0" w:color="auto"/>
            <w:bottom w:val="none" w:sz="0" w:space="0" w:color="auto"/>
            <w:right w:val="none" w:sz="0" w:space="0" w:color="auto"/>
          </w:divBdr>
        </w:div>
        <w:div w:id="465665260">
          <w:marLeft w:val="0"/>
          <w:marRight w:val="0"/>
          <w:marTop w:val="0"/>
          <w:marBottom w:val="0"/>
          <w:divBdr>
            <w:top w:val="none" w:sz="0" w:space="0" w:color="auto"/>
            <w:left w:val="none" w:sz="0" w:space="0" w:color="auto"/>
            <w:bottom w:val="none" w:sz="0" w:space="0" w:color="auto"/>
            <w:right w:val="none" w:sz="0" w:space="0" w:color="auto"/>
          </w:divBdr>
        </w:div>
        <w:div w:id="658579435">
          <w:marLeft w:val="0"/>
          <w:marRight w:val="0"/>
          <w:marTop w:val="0"/>
          <w:marBottom w:val="0"/>
          <w:divBdr>
            <w:top w:val="none" w:sz="0" w:space="0" w:color="auto"/>
            <w:left w:val="none" w:sz="0" w:space="0" w:color="auto"/>
            <w:bottom w:val="none" w:sz="0" w:space="0" w:color="auto"/>
            <w:right w:val="none" w:sz="0" w:space="0" w:color="auto"/>
          </w:divBdr>
        </w:div>
        <w:div w:id="220408377">
          <w:marLeft w:val="0"/>
          <w:marRight w:val="0"/>
          <w:marTop w:val="0"/>
          <w:marBottom w:val="0"/>
          <w:divBdr>
            <w:top w:val="none" w:sz="0" w:space="0" w:color="auto"/>
            <w:left w:val="none" w:sz="0" w:space="0" w:color="auto"/>
            <w:bottom w:val="none" w:sz="0" w:space="0" w:color="auto"/>
            <w:right w:val="none" w:sz="0" w:space="0" w:color="auto"/>
          </w:divBdr>
        </w:div>
      </w:divsChild>
    </w:div>
    <w:div w:id="1731924942">
      <w:bodyDiv w:val="1"/>
      <w:marLeft w:val="0"/>
      <w:marRight w:val="0"/>
      <w:marTop w:val="0"/>
      <w:marBottom w:val="0"/>
      <w:divBdr>
        <w:top w:val="none" w:sz="0" w:space="0" w:color="auto"/>
        <w:left w:val="none" w:sz="0" w:space="0" w:color="auto"/>
        <w:bottom w:val="none" w:sz="0" w:space="0" w:color="auto"/>
        <w:right w:val="none" w:sz="0" w:space="0" w:color="auto"/>
      </w:divBdr>
    </w:div>
    <w:div w:id="21261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puh2.70129" TargetMode="External"/><Relationship Id="rId18" Type="http://schemas.openxmlformats.org/officeDocument/2006/relationships/hyperlink" Target="https://doi.org/10.2991/jegh.k.191028.001"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16/j.nurpra.2019.06.020"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02/puh2.70129" TargetMode="External"/><Relationship Id="rId17" Type="http://schemas.openxmlformats.org/officeDocument/2006/relationships/hyperlink" Target="https://doi.org/10.1038/s41598-023-49322-8" TargetMode="External"/><Relationship Id="rId25" Type="http://schemas.openxmlformats.org/officeDocument/2006/relationships/hyperlink" Target="https://doi.org/10.7759/cureus.88359" TargetMode="External"/><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doi.org/10.1186/s12889-024-19833-8" TargetMode="External"/><Relationship Id="rId20" Type="http://schemas.openxmlformats.org/officeDocument/2006/relationships/hyperlink" Target="https://doi.org/10.2196/41933"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314/ahs.v16i2.18" TargetMode="External"/><Relationship Id="rId24" Type="http://schemas.openxmlformats.org/officeDocument/2006/relationships/hyperlink" Target="https://doi.org/10.3390/medicina6101015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2/hsr2.2004" TargetMode="External"/><Relationship Id="rId23" Type="http://schemas.openxmlformats.org/officeDocument/2006/relationships/hyperlink" Target="https://doi.org/10.3390/ijerph22071150" TargetMode="External"/><Relationship Id="rId28" Type="http://schemas.openxmlformats.org/officeDocument/2006/relationships/footer" Target="footer1.xml"/><Relationship Id="rId10" Type="http://schemas.openxmlformats.org/officeDocument/2006/relationships/hyperlink" Target="https://doi.org/10.69739/jmsbc" TargetMode="External"/><Relationship Id="rId19" Type="http://schemas.openxmlformats.org/officeDocument/2006/relationships/hyperlink" Target="https://doi.org/10.4102/phcfm.v16i1.4202" TargetMode="External"/><Relationship Id="rId31" Type="http://schemas.openxmlformats.org/officeDocument/2006/relationships/footer" Target="foot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86/s12902-022-01131-2" TargetMode="External"/><Relationship Id="rId22" Type="http://schemas.openxmlformats.org/officeDocument/2006/relationships/hyperlink" Target="https://doi.org/10.1097/YCO.0b013e3282f3ad89" TargetMode="External"/><Relationship Id="rId27" Type="http://schemas.openxmlformats.org/officeDocument/2006/relationships/header" Target="header2.xml"/><Relationship Id="rId30" Type="http://schemas.openxmlformats.org/officeDocument/2006/relationships/header" Target="header3.xml"/><Relationship Id="rId35" Type="http://schemas.microsoft.com/office/2018/08/relationships/commentsExtensible" Target="commentsExtensib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2260</TotalTime>
  <Pages>21</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SIMEON</dc:creator>
  <cp:lastModifiedBy>SDI 1181</cp:lastModifiedBy>
  <cp:revision>36</cp:revision>
  <dcterms:created xsi:type="dcterms:W3CDTF">2025-12-11T11:42:00Z</dcterms:created>
  <dcterms:modified xsi:type="dcterms:W3CDTF">2026-03-09T05:20:00Z</dcterms:modified>
</cp:coreProperties>
</file>