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DDE2" w14:textId="77777777" w:rsidR="0023123D" w:rsidRDefault="0023123D" w:rsidP="00EA5E6B">
      <w:pPr>
        <w:jc w:val="center"/>
        <w:rPr>
          <w:rFonts w:ascii="Arial" w:hAnsi="Arial" w:cs="Arial"/>
          <w:b/>
          <w:lang w:val="en-US"/>
        </w:rPr>
      </w:pPr>
      <w:r w:rsidRPr="0023123D">
        <w:rPr>
          <w:rFonts w:ascii="Arial" w:hAnsi="Arial" w:cs="Arial"/>
          <w:b/>
          <w:lang w:val="en-US"/>
        </w:rPr>
        <w:t xml:space="preserve">Original Research Article </w:t>
      </w:r>
    </w:p>
    <w:p w14:paraId="4FD7291C" w14:textId="7C9D4FE4" w:rsidR="005D1B15" w:rsidRPr="00EA5E6B" w:rsidRDefault="00783DA8" w:rsidP="00EA5E6B">
      <w:pPr>
        <w:jc w:val="center"/>
        <w:rPr>
          <w:rFonts w:ascii="Arial" w:hAnsi="Arial" w:cs="Arial"/>
          <w:b/>
          <w:lang w:val="en-US"/>
        </w:rPr>
      </w:pPr>
      <w:r w:rsidRPr="00EA5E6B">
        <w:rPr>
          <w:rFonts w:ascii="Arial" w:hAnsi="Arial" w:cs="Arial"/>
          <w:b/>
          <w:lang w:val="en-US"/>
        </w:rPr>
        <w:t>EFFECT OF DIFFERENT MULCHING MATERIAL</w:t>
      </w:r>
      <w:r w:rsidR="0052063C">
        <w:rPr>
          <w:rFonts w:ascii="Arial" w:hAnsi="Arial" w:cs="Arial"/>
          <w:b/>
          <w:lang w:val="en-US"/>
        </w:rPr>
        <w:t>S</w:t>
      </w:r>
      <w:r w:rsidRPr="00EA5E6B">
        <w:rPr>
          <w:rFonts w:ascii="Arial" w:hAnsi="Arial" w:cs="Arial"/>
          <w:b/>
          <w:lang w:val="en-US"/>
        </w:rPr>
        <w:t xml:space="preserve"> AND ORGANIC AMENDMENT </w:t>
      </w:r>
      <w:r w:rsidR="0052063C">
        <w:rPr>
          <w:rFonts w:ascii="Arial" w:hAnsi="Arial" w:cs="Arial"/>
          <w:b/>
          <w:lang w:val="en-US"/>
        </w:rPr>
        <w:t>ON</w:t>
      </w:r>
      <w:r w:rsidRPr="00EA5E6B">
        <w:rPr>
          <w:rFonts w:ascii="Arial" w:hAnsi="Arial" w:cs="Arial"/>
          <w:b/>
          <w:lang w:val="en-US"/>
        </w:rPr>
        <w:t xml:space="preserve">  OIL PALM SEEDLINGS GROWTH IN THE NURSERY USING SANDY SOIL</w:t>
      </w:r>
    </w:p>
    <w:p w14:paraId="24063B10" w14:textId="77777777" w:rsidR="00A92428" w:rsidRDefault="00A92428" w:rsidP="00F45BE1">
      <w:pPr>
        <w:spacing w:after="0" w:line="240" w:lineRule="auto"/>
        <w:rPr>
          <w:b/>
          <w:vertAlign w:val="superscript"/>
          <w:lang w:val="en-US"/>
        </w:rPr>
      </w:pPr>
    </w:p>
    <w:p w14:paraId="045A1BF8" w14:textId="43EE3223" w:rsidR="005D1B15" w:rsidRDefault="00783DA8" w:rsidP="00F45BE1">
      <w:pPr>
        <w:spacing w:after="0" w:line="240" w:lineRule="auto"/>
        <w:rPr>
          <w:b/>
          <w:lang w:val="en-US"/>
        </w:rPr>
      </w:pPr>
      <w:r>
        <w:rPr>
          <w:b/>
          <w:lang w:val="en-US"/>
        </w:rPr>
        <w:t>ABSTRACT</w:t>
      </w:r>
    </w:p>
    <w:p w14:paraId="0FEFA754" w14:textId="65AD6D4A" w:rsidR="005D1B15" w:rsidRPr="00BD72FD" w:rsidRDefault="00783DA8" w:rsidP="00C96E13">
      <w:pPr>
        <w:spacing w:line="240" w:lineRule="auto"/>
        <w:jc w:val="both"/>
        <w:rPr>
          <w:rFonts w:ascii="Arial" w:hAnsi="Arial" w:cs="Arial"/>
          <w:lang w:val="en-US"/>
        </w:rPr>
      </w:pPr>
      <w:r w:rsidRPr="00BD72FD">
        <w:rPr>
          <w:rFonts w:ascii="Arial" w:hAnsi="Arial" w:cs="Arial"/>
          <w:lang w:val="en-US"/>
        </w:rPr>
        <w:t>The Effects of</w:t>
      </w:r>
      <w:r w:rsidR="00F808B0">
        <w:rPr>
          <w:rFonts w:ascii="Arial" w:hAnsi="Arial" w:cs="Arial"/>
          <w:lang w:val="en-US"/>
        </w:rPr>
        <w:t xml:space="preserve"> </w:t>
      </w:r>
      <w:r w:rsidRPr="00BD72FD">
        <w:rPr>
          <w:rFonts w:ascii="Arial" w:hAnsi="Arial" w:cs="Arial"/>
          <w:lang w:val="en-US"/>
        </w:rPr>
        <w:t xml:space="preserve">mulching materials on the growth of oil palm seedlings in </w:t>
      </w:r>
      <w:r w:rsidR="00C96E13" w:rsidRPr="00BD72FD">
        <w:rPr>
          <w:rFonts w:ascii="Arial" w:hAnsi="Arial" w:cs="Arial"/>
          <w:lang w:val="en-US"/>
        </w:rPr>
        <w:t xml:space="preserve">sandy </w:t>
      </w:r>
      <w:r w:rsidRPr="00BD72FD">
        <w:rPr>
          <w:rFonts w:ascii="Arial" w:hAnsi="Arial" w:cs="Arial"/>
          <w:lang w:val="en-US"/>
        </w:rPr>
        <w:t>soil amended with empty fruit bunch</w:t>
      </w:r>
      <w:r w:rsidR="0038513C" w:rsidRPr="00BD72FD">
        <w:rPr>
          <w:rFonts w:ascii="Arial" w:hAnsi="Arial" w:cs="Arial"/>
          <w:lang w:val="en-US"/>
        </w:rPr>
        <w:t xml:space="preserve"> </w:t>
      </w:r>
      <w:r w:rsidRPr="00BD72FD">
        <w:rPr>
          <w:rFonts w:ascii="Arial" w:hAnsi="Arial" w:cs="Arial"/>
          <w:lang w:val="en-US"/>
        </w:rPr>
        <w:t xml:space="preserve">(EFB) </w:t>
      </w:r>
      <w:r w:rsidR="00BD72FD">
        <w:rPr>
          <w:rFonts w:ascii="Arial" w:hAnsi="Arial" w:cs="Arial"/>
          <w:lang w:val="en-US"/>
        </w:rPr>
        <w:t xml:space="preserve">compost </w:t>
      </w:r>
      <w:r w:rsidRPr="00BD72FD">
        <w:rPr>
          <w:rFonts w:ascii="Arial" w:hAnsi="Arial" w:cs="Arial"/>
          <w:lang w:val="en-US"/>
        </w:rPr>
        <w:t xml:space="preserve">was carried out at the Nigerian Institute for Oil Palm Research screen house, Benin City from December 2024 to August 2025. The mulching material used are EFB, sawdust, black polythene mulch and control. The experiment was laid out in </w:t>
      </w:r>
      <w:r w:rsidR="00AD6CC5" w:rsidRPr="00AD6CC5">
        <w:rPr>
          <w:rFonts w:ascii="Arial" w:hAnsi="Arial" w:cs="Arial"/>
          <w:lang w:val="en-US"/>
        </w:rPr>
        <w:t>Completely Randomized Design (CRD)</w:t>
      </w:r>
      <w:r w:rsidR="00AD6CC5" w:rsidRPr="00A64B6D">
        <w:rPr>
          <w:rFonts w:ascii="Times New Roman" w:hAnsi="Times New Roman" w:cs="Times New Roman"/>
          <w:lang w:val="en-US"/>
        </w:rPr>
        <w:t xml:space="preserve"> </w:t>
      </w:r>
      <w:r w:rsidRPr="00BD72FD">
        <w:rPr>
          <w:rFonts w:ascii="Arial" w:hAnsi="Arial" w:cs="Arial"/>
          <w:lang w:val="en-US"/>
        </w:rPr>
        <w:t>consisting of four mulching materials in 32 pots/polybags replicated three times giving a total of 96 pots/polybags. Three months old oil palm seedlings were then transplanted. Plant growth parameters were obtained at 6, 9 and 12 months after planting (MAP). The data collected were subjected to analysis of variance and the means separated using Duncan multiple range test. The findings showed that plant height, stem girth and leaf number in EFB mulch had no significant differen</w:t>
      </w:r>
      <w:r w:rsidR="00AC62D8">
        <w:rPr>
          <w:rFonts w:ascii="Arial" w:hAnsi="Arial" w:cs="Arial"/>
          <w:lang w:val="en-US"/>
        </w:rPr>
        <w:t>ce</w:t>
      </w:r>
      <w:r w:rsidRPr="00BD72FD">
        <w:rPr>
          <w:rFonts w:ascii="Arial" w:hAnsi="Arial" w:cs="Arial"/>
          <w:lang w:val="en-US"/>
        </w:rPr>
        <w:t xml:space="preserve"> with black polythene but differ significantly (p&lt;0.05) from sawdust and control at 12 months. However, significant difference in leaf area was observed in all the mulching material</w:t>
      </w:r>
      <w:r w:rsidR="005B099B">
        <w:rPr>
          <w:rFonts w:ascii="Arial" w:hAnsi="Arial" w:cs="Arial"/>
          <w:lang w:val="en-US"/>
        </w:rPr>
        <w:t>s</w:t>
      </w:r>
      <w:r w:rsidRPr="00BD72FD">
        <w:rPr>
          <w:rFonts w:ascii="Arial" w:hAnsi="Arial" w:cs="Arial"/>
          <w:lang w:val="en-US"/>
        </w:rPr>
        <w:t xml:space="preserve"> at 12 months. The highest plant height, stem girth, leaf number and leaf diameter was observed with EFB mulch at 12 MAP with mean</w:t>
      </w:r>
      <w:r w:rsidR="008C741A">
        <w:rPr>
          <w:rFonts w:ascii="Arial" w:hAnsi="Arial" w:cs="Arial"/>
          <w:lang w:val="en-US"/>
        </w:rPr>
        <w:t>s</w:t>
      </w:r>
      <w:r w:rsidRPr="00BD72FD">
        <w:rPr>
          <w:rFonts w:ascii="Arial" w:hAnsi="Arial" w:cs="Arial"/>
          <w:lang w:val="en-US"/>
        </w:rPr>
        <w:t xml:space="preserve"> of 139.05 cm, 16.89 cm, 13 leaves and 0.52 respectively. </w:t>
      </w:r>
      <w:r w:rsidR="008C741A">
        <w:rPr>
          <w:rFonts w:ascii="Arial" w:hAnsi="Arial" w:cs="Arial"/>
          <w:lang w:val="en-US"/>
        </w:rPr>
        <w:t>T</w:t>
      </w:r>
      <w:r w:rsidRPr="00BD72FD">
        <w:rPr>
          <w:rFonts w:ascii="Arial" w:hAnsi="Arial" w:cs="Arial"/>
          <w:lang w:val="en-US"/>
        </w:rPr>
        <w:t>he lowest plant height, stem girth, leaf number and leaf area at 12 MAP was recorded in the control with a mean values of130 cm, 14.08 cm, 12 leaves and 0.25 cm</w:t>
      </w:r>
      <w:r w:rsidRPr="00BD72FD">
        <w:rPr>
          <w:rFonts w:ascii="Arial" w:hAnsi="Arial" w:cs="Arial"/>
          <w:vertAlign w:val="superscript"/>
          <w:lang w:val="en-US"/>
        </w:rPr>
        <w:t>2</w:t>
      </w:r>
      <w:r w:rsidRPr="00BD72FD">
        <w:rPr>
          <w:rFonts w:ascii="Arial" w:hAnsi="Arial" w:cs="Arial"/>
          <w:lang w:val="en-US"/>
        </w:rPr>
        <w:t xml:space="preserve"> respectively. At every MAP, EFB and black polythene had the highest effects(p&lt;0.05) </w:t>
      </w:r>
      <w:r w:rsidR="009A6596">
        <w:rPr>
          <w:rFonts w:ascii="Arial" w:hAnsi="Arial" w:cs="Arial"/>
          <w:lang w:val="en-US"/>
        </w:rPr>
        <w:t xml:space="preserve">on </w:t>
      </w:r>
      <w:r w:rsidRPr="00BD72FD">
        <w:rPr>
          <w:rFonts w:ascii="Arial" w:hAnsi="Arial" w:cs="Arial"/>
          <w:lang w:val="en-US"/>
        </w:rPr>
        <w:t xml:space="preserve">oil palm seedlings growth while the control had the least. </w:t>
      </w:r>
      <w:r w:rsidR="00F02D0A">
        <w:rPr>
          <w:rFonts w:ascii="Arial" w:hAnsi="Arial" w:cs="Arial"/>
          <w:lang w:val="en-US"/>
        </w:rPr>
        <w:t xml:space="preserve">While </w:t>
      </w:r>
      <w:r w:rsidRPr="00BD72FD">
        <w:rPr>
          <w:rFonts w:ascii="Arial" w:hAnsi="Arial" w:cs="Arial"/>
          <w:lang w:val="en-US"/>
        </w:rPr>
        <w:t>the growth of oil palm seedlings using the different mulching materials was relatively good probably due to amendment of the soil used with EFB compost</w:t>
      </w:r>
      <w:r w:rsidR="000979A6">
        <w:rPr>
          <w:rFonts w:ascii="Arial" w:hAnsi="Arial" w:cs="Arial"/>
          <w:lang w:val="en-US"/>
        </w:rPr>
        <w:t>,</w:t>
      </w:r>
      <w:r w:rsidRPr="00BD72FD">
        <w:rPr>
          <w:rFonts w:ascii="Arial" w:hAnsi="Arial" w:cs="Arial"/>
          <w:lang w:val="en-US"/>
        </w:rPr>
        <w:t xml:space="preserve"> </w:t>
      </w:r>
      <w:r w:rsidR="000979A6">
        <w:rPr>
          <w:rFonts w:ascii="Arial" w:hAnsi="Arial" w:cs="Arial"/>
          <w:lang w:val="en-US"/>
        </w:rPr>
        <w:t>f</w:t>
      </w:r>
      <w:r w:rsidRPr="00BD72FD">
        <w:rPr>
          <w:rFonts w:ascii="Arial" w:hAnsi="Arial" w:cs="Arial"/>
          <w:lang w:val="en-US"/>
        </w:rPr>
        <w:t xml:space="preserve">or optimal growth of oil palm seedlings, EFB and black polythene mulches are best recommended for use. </w:t>
      </w:r>
    </w:p>
    <w:p w14:paraId="77F2F7C3" w14:textId="6922446F" w:rsidR="005D1B15" w:rsidRPr="00BD72FD" w:rsidRDefault="00783DA8" w:rsidP="00BD72FD">
      <w:pPr>
        <w:spacing w:line="240" w:lineRule="auto"/>
        <w:jc w:val="both"/>
        <w:rPr>
          <w:rFonts w:ascii="Arial" w:hAnsi="Arial" w:cs="Arial"/>
          <w:lang w:val="en-US"/>
        </w:rPr>
      </w:pPr>
      <w:r w:rsidRPr="00BD72FD">
        <w:rPr>
          <w:rFonts w:ascii="Arial" w:hAnsi="Arial" w:cs="Arial"/>
          <w:b/>
          <w:bCs/>
          <w:lang w:val="en-US"/>
        </w:rPr>
        <w:t>Keywords:</w:t>
      </w:r>
      <w:r w:rsidRPr="00BD72FD">
        <w:rPr>
          <w:rFonts w:ascii="Arial" w:hAnsi="Arial" w:cs="Arial"/>
          <w:lang w:val="en-US"/>
        </w:rPr>
        <w:t xml:space="preserve"> Mulching</w:t>
      </w:r>
      <w:r w:rsidR="00EA1BF9">
        <w:rPr>
          <w:rFonts w:ascii="Arial" w:hAnsi="Arial" w:cs="Arial"/>
          <w:lang w:val="en-US"/>
        </w:rPr>
        <w:t xml:space="preserve"> materials</w:t>
      </w:r>
      <w:r w:rsidRPr="00BD72FD">
        <w:rPr>
          <w:rFonts w:ascii="Arial" w:hAnsi="Arial" w:cs="Arial"/>
          <w:lang w:val="en-US"/>
        </w:rPr>
        <w:t>, organic compost, growth and seedlings</w:t>
      </w:r>
    </w:p>
    <w:p w14:paraId="3F17E129" w14:textId="4FAB15F8" w:rsidR="005D1B15" w:rsidRPr="00E66E7E" w:rsidRDefault="00E66E7E">
      <w:pPr>
        <w:rPr>
          <w:rFonts w:ascii="Arial" w:hAnsi="Arial" w:cs="Arial"/>
          <w:b/>
          <w:bCs/>
          <w:lang w:val="en-US"/>
        </w:rPr>
      </w:pPr>
      <w:r w:rsidRPr="00E66E7E">
        <w:rPr>
          <w:rFonts w:ascii="Arial" w:hAnsi="Arial" w:cs="Arial"/>
          <w:b/>
          <w:bCs/>
          <w:lang w:val="en-US"/>
        </w:rPr>
        <w:t>1. INTRODUCTION</w:t>
      </w:r>
    </w:p>
    <w:p w14:paraId="1225BC56" w14:textId="4C6FAF57"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lang w:val="en-US"/>
        </w:rPr>
        <w:t>Mulching is a well-known management practice that conserves soil water and nutrients as well as increases crop yield</w:t>
      </w:r>
      <w:r w:rsidR="005D5CDB" w:rsidRPr="00CB6B77">
        <w:rPr>
          <w:rFonts w:ascii="Arial" w:hAnsi="Arial" w:cs="Arial"/>
          <w:sz w:val="20"/>
          <w:szCs w:val="20"/>
          <w:lang w:val="en-US"/>
        </w:rPr>
        <w:t xml:space="preserve"> </w:t>
      </w:r>
      <w:r w:rsidRPr="00CB6B77">
        <w:rPr>
          <w:rFonts w:ascii="Arial" w:hAnsi="Arial" w:cs="Arial"/>
          <w:sz w:val="20"/>
          <w:szCs w:val="20"/>
          <w:lang w:val="en-US"/>
        </w:rPr>
        <w:t xml:space="preserve">(Nyasapoh </w:t>
      </w:r>
      <w:r w:rsidRPr="00CB6B77">
        <w:rPr>
          <w:rFonts w:ascii="Arial" w:hAnsi="Arial" w:cs="Arial"/>
          <w:i/>
          <w:iCs/>
          <w:sz w:val="20"/>
          <w:szCs w:val="20"/>
          <w:lang w:val="en-US"/>
        </w:rPr>
        <w:t>et al</w:t>
      </w:r>
      <w:r w:rsidRPr="00CB6B77">
        <w:rPr>
          <w:rFonts w:ascii="Arial" w:hAnsi="Arial" w:cs="Arial"/>
          <w:sz w:val="20"/>
          <w:szCs w:val="20"/>
          <w:lang w:val="en-US"/>
        </w:rPr>
        <w:t>.,2024). Mulching involves covering the soil around the base of crop plant with 15–20 cm of any mulching material (it could be dry grass, empty fruit bunches, leaves, polythene etc) to retain moisture, suppress weeds, and improve general soil condition. In oil palm establishment, mulching polybag oil-palm seedlings with bunch refuse, shredded polythene, sawdust, grass, wood shavings and kernel shells throughout the nursery during dry period has been reported to reduce soil temperature and improve oil palm seedlings growth</w:t>
      </w:r>
      <w:r w:rsidR="005D5CDB" w:rsidRPr="00CB6B77">
        <w:rPr>
          <w:rFonts w:ascii="Arial" w:hAnsi="Arial" w:cs="Arial"/>
          <w:sz w:val="20"/>
          <w:szCs w:val="20"/>
          <w:lang w:val="en-US"/>
        </w:rPr>
        <w:t xml:space="preserve"> </w:t>
      </w:r>
      <w:r w:rsidRPr="00CB6B77">
        <w:rPr>
          <w:rFonts w:ascii="Arial" w:hAnsi="Arial" w:cs="Arial"/>
          <w:sz w:val="20"/>
          <w:szCs w:val="20"/>
          <w:lang w:val="en-US"/>
        </w:rPr>
        <w:t>(Iremiren, 2009). Plant growth parameters such as number of leaves, plant height and stem girth, and number of blast-affected seedlings at 6 months after sowing were found to be influenced by mulching</w:t>
      </w:r>
      <w:r w:rsidR="005D5CDB" w:rsidRPr="00CB6B77">
        <w:rPr>
          <w:rFonts w:ascii="Arial" w:hAnsi="Arial" w:cs="Arial"/>
          <w:sz w:val="20"/>
          <w:szCs w:val="20"/>
          <w:lang w:val="en-US"/>
        </w:rPr>
        <w:t xml:space="preserve"> </w:t>
      </w:r>
      <w:r w:rsidRPr="00CB6B77">
        <w:rPr>
          <w:rFonts w:ascii="Arial" w:hAnsi="Arial" w:cs="Arial"/>
          <w:sz w:val="20"/>
          <w:szCs w:val="20"/>
          <w:lang w:val="en-US"/>
        </w:rPr>
        <w:t>(Iremiren, 2009).</w:t>
      </w:r>
    </w:p>
    <w:p w14:paraId="4CB6EBEF" w14:textId="77777777"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 xml:space="preserve">Plant productivity is fundamental for sustainable palm oil cultivation (Ibragimov </w:t>
      </w:r>
      <w:r w:rsidRPr="00CB6B77">
        <w:rPr>
          <w:rFonts w:ascii="Arial" w:hAnsi="Arial" w:cs="Arial"/>
          <w:i/>
          <w:iCs/>
          <w:sz w:val="20"/>
          <w:szCs w:val="20"/>
        </w:rPr>
        <w:t>et al</w:t>
      </w:r>
      <w:r w:rsidRPr="00CB6B77">
        <w:rPr>
          <w:rFonts w:ascii="Arial" w:hAnsi="Arial" w:cs="Arial"/>
          <w:sz w:val="20"/>
          <w:szCs w:val="20"/>
        </w:rPr>
        <w:t xml:space="preserve">., 2019). Nutrient availability significantly influences oil palm growth (Kamal and Manan, 2020). The significant impact of mulching on plant production is mostly determined by the soil nutrient concentration (Dong, </w:t>
      </w:r>
      <w:r w:rsidRPr="00CB6B77">
        <w:rPr>
          <w:rFonts w:ascii="Arial" w:hAnsi="Arial" w:cs="Arial"/>
          <w:i/>
          <w:sz w:val="20"/>
          <w:szCs w:val="20"/>
        </w:rPr>
        <w:t>et al.,</w:t>
      </w:r>
      <w:r w:rsidRPr="00CB6B77">
        <w:rPr>
          <w:rFonts w:ascii="Arial" w:hAnsi="Arial" w:cs="Arial"/>
          <w:sz w:val="20"/>
          <w:szCs w:val="20"/>
        </w:rPr>
        <w:t xml:space="preserve"> 2017). Mulching practices improve soil moisture and enzyme activities in dry lands, and also enhance enzyme activity related to nutrient cycling (Song </w:t>
      </w:r>
      <w:r w:rsidRPr="00CB6B77">
        <w:rPr>
          <w:rFonts w:ascii="Arial" w:hAnsi="Arial" w:cs="Arial"/>
          <w:i/>
          <w:sz w:val="20"/>
          <w:szCs w:val="20"/>
        </w:rPr>
        <w:t>et al.,</w:t>
      </w:r>
      <w:r w:rsidRPr="00CB6B77">
        <w:rPr>
          <w:rFonts w:ascii="Arial" w:hAnsi="Arial" w:cs="Arial"/>
          <w:sz w:val="20"/>
          <w:szCs w:val="20"/>
        </w:rPr>
        <w:t xml:space="preserve"> 2024). With the gradual release of nutrients, such as N, P, and K in the soil, and organic mulch materials, soil nutrients are absorbed and transformed by plants increasingly, and therefore the effect of mulch technology to increase </w:t>
      </w:r>
      <w:r w:rsidRPr="00CB6B77">
        <w:rPr>
          <w:rFonts w:ascii="Arial" w:hAnsi="Arial" w:cs="Arial"/>
          <w:sz w:val="20"/>
          <w:szCs w:val="20"/>
        </w:rPr>
        <w:lastRenderedPageBreak/>
        <w:t xml:space="preserve">productivity can be apparent (Ni, </w:t>
      </w:r>
      <w:r w:rsidRPr="00CB6B77">
        <w:rPr>
          <w:rFonts w:ascii="Arial" w:hAnsi="Arial" w:cs="Arial"/>
          <w:i/>
          <w:sz w:val="20"/>
          <w:szCs w:val="20"/>
        </w:rPr>
        <w:t>et a</w:t>
      </w:r>
      <w:r w:rsidRPr="00CB6B77">
        <w:rPr>
          <w:rFonts w:ascii="Arial" w:hAnsi="Arial" w:cs="Arial"/>
          <w:sz w:val="20"/>
          <w:szCs w:val="20"/>
        </w:rPr>
        <w:t xml:space="preserve"> 2016; Renáta </w:t>
      </w:r>
      <w:r w:rsidRPr="00CB6B77">
        <w:rPr>
          <w:rFonts w:ascii="Arial" w:hAnsi="Arial" w:cs="Arial"/>
          <w:i/>
          <w:sz w:val="20"/>
          <w:szCs w:val="20"/>
        </w:rPr>
        <w:t>et al.,</w:t>
      </w:r>
      <w:r w:rsidRPr="00CB6B77">
        <w:rPr>
          <w:rFonts w:ascii="Arial" w:hAnsi="Arial" w:cs="Arial"/>
          <w:sz w:val="20"/>
          <w:szCs w:val="20"/>
        </w:rPr>
        <w:t xml:space="preserve"> 2020). Soil properties may show varying effects to the different mulch treatments (Ni, </w:t>
      </w:r>
      <w:r w:rsidRPr="00CB6B77">
        <w:rPr>
          <w:rFonts w:ascii="Arial" w:hAnsi="Arial" w:cs="Arial"/>
          <w:i/>
          <w:sz w:val="20"/>
          <w:szCs w:val="20"/>
        </w:rPr>
        <w:t>et al.,</w:t>
      </w:r>
      <w:r w:rsidRPr="00CB6B77">
        <w:rPr>
          <w:rFonts w:ascii="Arial" w:hAnsi="Arial" w:cs="Arial"/>
          <w:sz w:val="20"/>
          <w:szCs w:val="20"/>
        </w:rPr>
        <w:t xml:space="preserve"> 2016). </w:t>
      </w:r>
    </w:p>
    <w:p w14:paraId="20860E9C" w14:textId="005BFDB3" w:rsidR="005D1B15" w:rsidRPr="00CB6B77" w:rsidRDefault="00783DA8" w:rsidP="006A15B0">
      <w:pPr>
        <w:spacing w:line="360" w:lineRule="auto"/>
        <w:jc w:val="both"/>
        <w:rPr>
          <w:rFonts w:ascii="Arial" w:hAnsi="Arial" w:cs="Arial"/>
          <w:sz w:val="20"/>
          <w:szCs w:val="20"/>
        </w:rPr>
      </w:pPr>
      <w:commentRangeStart w:id="0"/>
      <w:r w:rsidRPr="00CB6B77">
        <w:rPr>
          <w:rFonts w:ascii="Arial" w:hAnsi="Arial" w:cs="Arial"/>
          <w:sz w:val="20"/>
          <w:szCs w:val="20"/>
        </w:rPr>
        <w:t>Fertilization of oil palm nursery can be done by granting a form of organic fertilizer compost (Bariyanto</w:t>
      </w:r>
      <w:r w:rsidR="00ED102C" w:rsidRPr="00CB6B77">
        <w:rPr>
          <w:rFonts w:ascii="Arial" w:hAnsi="Arial" w:cs="Arial"/>
          <w:sz w:val="20"/>
          <w:szCs w:val="20"/>
        </w:rPr>
        <w:t xml:space="preserve"> </w:t>
      </w:r>
      <w:r w:rsidRPr="00CB6B77">
        <w:rPr>
          <w:rFonts w:ascii="Arial" w:hAnsi="Arial" w:cs="Arial"/>
          <w:i/>
          <w:iCs/>
          <w:sz w:val="20"/>
          <w:szCs w:val="20"/>
        </w:rPr>
        <w:t>et al</w:t>
      </w:r>
      <w:r w:rsidRPr="00CB6B77">
        <w:rPr>
          <w:rFonts w:ascii="Arial" w:hAnsi="Arial" w:cs="Arial"/>
          <w:i/>
          <w:sz w:val="20"/>
          <w:szCs w:val="20"/>
        </w:rPr>
        <w:t>.,</w:t>
      </w:r>
      <w:r w:rsidRPr="00CB6B77">
        <w:rPr>
          <w:rFonts w:ascii="Arial" w:hAnsi="Arial" w:cs="Arial"/>
          <w:sz w:val="20"/>
          <w:szCs w:val="20"/>
        </w:rPr>
        <w:t xml:space="preserve"> 2015 and Ichsan </w:t>
      </w:r>
      <w:r w:rsidRPr="00CB6B77">
        <w:rPr>
          <w:rFonts w:ascii="Arial" w:hAnsi="Arial" w:cs="Arial"/>
          <w:i/>
          <w:sz w:val="20"/>
          <w:szCs w:val="20"/>
        </w:rPr>
        <w:t>et al</w:t>
      </w:r>
      <w:r w:rsidRPr="00CB6B77">
        <w:rPr>
          <w:rFonts w:ascii="Arial" w:hAnsi="Arial" w:cs="Arial"/>
          <w:sz w:val="20"/>
          <w:szCs w:val="20"/>
        </w:rPr>
        <w:t xml:space="preserve">., 2012). Organic fertilizers have more advantages than inorganic fertilizer. This is because the capability of organic fertilizers to improve physical, chemical and biological properties of soil, and its ability to provide carbon compound that improve the physical properties and agrobiology of soil (Hartatik </w:t>
      </w:r>
      <w:r w:rsidRPr="00CB6B77">
        <w:rPr>
          <w:rFonts w:ascii="Arial" w:hAnsi="Arial" w:cs="Arial"/>
          <w:i/>
          <w:sz w:val="20"/>
          <w:szCs w:val="20"/>
        </w:rPr>
        <w:t>et al</w:t>
      </w:r>
      <w:r w:rsidRPr="00CB6B77">
        <w:rPr>
          <w:rFonts w:ascii="Arial" w:hAnsi="Arial" w:cs="Arial"/>
          <w:sz w:val="20"/>
          <w:szCs w:val="20"/>
        </w:rPr>
        <w:t xml:space="preserve">., 2017). The addition of organic ingredient can improve the distribution of soil pore size of soil which turn out increasing the water holding capacity so that the availability of water getting increased and could be used more by plants in long term </w:t>
      </w:r>
      <w:r w:rsidR="00AB000D" w:rsidRPr="00CB6B77">
        <w:rPr>
          <w:rFonts w:ascii="Arial" w:hAnsi="Arial" w:cs="Arial"/>
          <w:sz w:val="20"/>
          <w:szCs w:val="20"/>
        </w:rPr>
        <w:t>(</w:t>
      </w:r>
      <w:r w:rsidRPr="00CB6B77">
        <w:rPr>
          <w:rFonts w:ascii="Arial" w:hAnsi="Arial" w:cs="Arial"/>
          <w:sz w:val="20"/>
          <w:szCs w:val="20"/>
        </w:rPr>
        <w:t xml:space="preserve">Hartatik  </w:t>
      </w:r>
      <w:r w:rsidRPr="00CB6B77">
        <w:rPr>
          <w:rFonts w:ascii="Arial" w:hAnsi="Arial" w:cs="Arial"/>
          <w:i/>
          <w:sz w:val="20"/>
          <w:szCs w:val="20"/>
        </w:rPr>
        <w:t>et al</w:t>
      </w:r>
      <w:r w:rsidR="007C6D3E" w:rsidRPr="00CB6B77">
        <w:rPr>
          <w:rFonts w:ascii="Arial" w:hAnsi="Arial" w:cs="Arial"/>
          <w:sz w:val="20"/>
          <w:szCs w:val="20"/>
        </w:rPr>
        <w:t>.</w:t>
      </w:r>
      <w:r w:rsidRPr="00CB6B77">
        <w:rPr>
          <w:rFonts w:ascii="Arial" w:hAnsi="Arial" w:cs="Arial"/>
          <w:sz w:val="20"/>
          <w:szCs w:val="20"/>
        </w:rPr>
        <w:t xml:space="preserve">, 2017; Ichsan </w:t>
      </w:r>
      <w:r w:rsidRPr="00CB6B77">
        <w:rPr>
          <w:rFonts w:ascii="Arial" w:hAnsi="Arial" w:cs="Arial"/>
          <w:i/>
          <w:sz w:val="20"/>
          <w:szCs w:val="20"/>
        </w:rPr>
        <w:t>et al</w:t>
      </w:r>
      <w:r w:rsidR="00AB000D" w:rsidRPr="00CB6B77">
        <w:rPr>
          <w:rFonts w:ascii="Arial" w:hAnsi="Arial" w:cs="Arial"/>
          <w:sz w:val="20"/>
          <w:szCs w:val="20"/>
        </w:rPr>
        <w:t xml:space="preserve">., </w:t>
      </w:r>
      <w:r w:rsidRPr="00CB6B77">
        <w:rPr>
          <w:rFonts w:ascii="Arial" w:hAnsi="Arial" w:cs="Arial"/>
          <w:sz w:val="20"/>
          <w:szCs w:val="20"/>
        </w:rPr>
        <w:t xml:space="preserve">2012). Optimizing of compost granting and determination of the volume and frequency of watering on the nursery phase plays an important role for the success of the oil palm cultivation. Application fortified organic fertilizer in the main nursery at 200 g rate can increase growth and soil fertility, it is the best alternative to replace inorganic fertilizer which is used in nursery stage (Shampazuraini </w:t>
      </w:r>
      <w:r w:rsidRPr="00CB6B77">
        <w:rPr>
          <w:rFonts w:ascii="Arial" w:hAnsi="Arial" w:cs="Arial"/>
          <w:i/>
          <w:sz w:val="20"/>
          <w:szCs w:val="20"/>
        </w:rPr>
        <w:t>et al</w:t>
      </w:r>
      <w:r w:rsidRPr="00CB6B77">
        <w:rPr>
          <w:rFonts w:ascii="Arial" w:hAnsi="Arial" w:cs="Arial"/>
          <w:sz w:val="20"/>
          <w:szCs w:val="20"/>
        </w:rPr>
        <w:t xml:space="preserve">.,2016). Film, black/blue polythene mulches under zero tillage resulted in the highest yield and benefit–cost ratio compared to straw mulch in coastal lowlands (Mollah </w:t>
      </w:r>
      <w:r w:rsidRPr="00CB6B77">
        <w:rPr>
          <w:rFonts w:ascii="Arial" w:hAnsi="Arial" w:cs="Arial"/>
          <w:i/>
          <w:sz w:val="20"/>
          <w:szCs w:val="20"/>
        </w:rPr>
        <w:t>et al.,</w:t>
      </w:r>
      <w:r w:rsidRPr="00CB6B77">
        <w:rPr>
          <w:rFonts w:ascii="Arial" w:hAnsi="Arial" w:cs="Arial"/>
          <w:sz w:val="20"/>
          <w:szCs w:val="20"/>
        </w:rPr>
        <w:t xml:space="preserve"> 2025). For instance, Xu </w:t>
      </w:r>
      <w:r w:rsidRPr="00CB6B77">
        <w:rPr>
          <w:rFonts w:ascii="Arial" w:hAnsi="Arial" w:cs="Arial"/>
          <w:i/>
          <w:sz w:val="20"/>
          <w:szCs w:val="20"/>
        </w:rPr>
        <w:t>et al</w:t>
      </w:r>
      <w:r w:rsidRPr="00CB6B77">
        <w:rPr>
          <w:rFonts w:ascii="Arial" w:hAnsi="Arial" w:cs="Arial"/>
          <w:sz w:val="20"/>
          <w:szCs w:val="20"/>
        </w:rPr>
        <w:t xml:space="preserve">. (2023) reported that plastic film mulch increased potato yield by 27% and enhanced water use efficiency (WUE) by a similar 27%, while also modifying soil hydrothermal conditions by reducing cumulative temperature ≥10°C. Zahed </w:t>
      </w:r>
      <w:r w:rsidRPr="00CB6B77">
        <w:rPr>
          <w:rFonts w:ascii="Arial" w:hAnsi="Arial" w:cs="Arial"/>
          <w:i/>
          <w:sz w:val="20"/>
          <w:szCs w:val="20"/>
        </w:rPr>
        <w:t>et al</w:t>
      </w:r>
      <w:r w:rsidR="007C6D3E" w:rsidRPr="00CB6B77">
        <w:rPr>
          <w:rFonts w:ascii="Arial" w:hAnsi="Arial" w:cs="Arial"/>
          <w:i/>
          <w:sz w:val="20"/>
          <w:szCs w:val="20"/>
        </w:rPr>
        <w:t>.</w:t>
      </w:r>
      <w:r w:rsidRPr="00CB6B77">
        <w:rPr>
          <w:rFonts w:ascii="Arial" w:hAnsi="Arial" w:cs="Arial"/>
          <w:sz w:val="20"/>
          <w:szCs w:val="20"/>
        </w:rPr>
        <w:t xml:space="preserve">(2025) reported that Plastic mulches, particularly black reduced soil pH, EC, and bulk density while enhancing soil moisture retention and thermal conditions.  </w:t>
      </w:r>
      <w:commentRangeEnd w:id="0"/>
      <w:r w:rsidR="004D456D">
        <w:rPr>
          <w:rStyle w:val="CommentReference"/>
        </w:rPr>
        <w:commentReference w:id="0"/>
      </w:r>
    </w:p>
    <w:p w14:paraId="51EB47E5" w14:textId="77777777" w:rsidR="005D1B15" w:rsidRPr="00CB6B77" w:rsidRDefault="00783DA8" w:rsidP="006A15B0">
      <w:pPr>
        <w:spacing w:line="360" w:lineRule="auto"/>
        <w:jc w:val="both"/>
        <w:rPr>
          <w:rFonts w:ascii="Arial" w:hAnsi="Arial" w:cs="Arial"/>
          <w:sz w:val="20"/>
          <w:szCs w:val="20"/>
        </w:rPr>
      </w:pPr>
      <w:commentRangeStart w:id="1"/>
      <w:r w:rsidRPr="00CB6B77">
        <w:rPr>
          <w:rFonts w:ascii="Arial" w:hAnsi="Arial" w:cs="Arial"/>
          <w:sz w:val="20"/>
          <w:szCs w:val="20"/>
        </w:rPr>
        <w:t xml:space="preserve">Since the nursery phase is a preliminary stage requiring one year of preparation before field planting, proper nursery management is essential (Ariyanti </w:t>
      </w:r>
      <w:r w:rsidRPr="00CB6B77">
        <w:rPr>
          <w:rFonts w:ascii="Arial" w:hAnsi="Arial" w:cs="Arial"/>
          <w:i/>
          <w:iCs/>
          <w:sz w:val="20"/>
          <w:szCs w:val="20"/>
        </w:rPr>
        <w:t>et al</w:t>
      </w:r>
      <w:r w:rsidRPr="00CB6B77">
        <w:rPr>
          <w:rFonts w:ascii="Arial" w:hAnsi="Arial" w:cs="Arial"/>
          <w:sz w:val="20"/>
          <w:szCs w:val="20"/>
        </w:rPr>
        <w:t xml:space="preserve">., 2017). Oil palm nurseries consist of two phases: the pre nursery phase (three months) and the main nursery phase (nine months) (Sulardi, 2022). Proper seedling care, including optimal fertilization, is necessary to achieve vigorous growth (Santi and Goenadi, 2016). </w:t>
      </w:r>
      <w:r w:rsidRPr="00CB6B77">
        <w:rPr>
          <w:rFonts w:ascii="Arial" w:hAnsi="Arial" w:cs="Arial"/>
          <w:sz w:val="20"/>
          <w:szCs w:val="20"/>
          <w:lang w:val="en-US"/>
        </w:rPr>
        <w:t xml:space="preserve">The rate of growth and successful establishment of oil palm plantation depends on the quality of oil palm seedlings provided the soil and climatic conditions are suitable. Consequently, adequate and appropriate techniques must be employed in order to raise healthy and vigorous oil palm seedlings. </w:t>
      </w:r>
      <w:commentRangeEnd w:id="1"/>
      <w:r w:rsidR="004D456D">
        <w:rPr>
          <w:rStyle w:val="CommentReference"/>
        </w:rPr>
        <w:commentReference w:id="1"/>
      </w:r>
    </w:p>
    <w:p w14:paraId="4A31F222" w14:textId="3772B13F"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The objective of this study was to evaluation the effect of different mulching material</w:t>
      </w:r>
      <w:r w:rsidRPr="00CB6B77">
        <w:rPr>
          <w:rFonts w:ascii="Arial" w:hAnsi="Arial" w:cs="Arial"/>
          <w:sz w:val="20"/>
          <w:szCs w:val="20"/>
          <w:lang w:val="en-US"/>
        </w:rPr>
        <w:t>s on oil palm seedlings growth in sandy soil amended with</w:t>
      </w:r>
      <w:r w:rsidRPr="00CB6B77">
        <w:rPr>
          <w:rFonts w:ascii="Arial" w:hAnsi="Arial" w:cs="Arial"/>
          <w:sz w:val="20"/>
          <w:szCs w:val="20"/>
        </w:rPr>
        <w:t xml:space="preserve"> EFB compos</w:t>
      </w:r>
      <w:r w:rsidRPr="00CB6B77">
        <w:rPr>
          <w:rFonts w:ascii="Arial" w:hAnsi="Arial" w:cs="Arial"/>
          <w:sz w:val="20"/>
          <w:szCs w:val="20"/>
          <w:lang w:val="en-US"/>
        </w:rPr>
        <w:t xml:space="preserve">t. </w:t>
      </w:r>
    </w:p>
    <w:p w14:paraId="7922E94D" w14:textId="0B7B09F4" w:rsidR="005D1B15" w:rsidRPr="00A634CC" w:rsidRDefault="00447F47">
      <w:pPr>
        <w:spacing w:line="240" w:lineRule="auto"/>
        <w:rPr>
          <w:rFonts w:ascii="Arial" w:hAnsi="Arial" w:cs="Arial"/>
          <w:b/>
          <w:bCs/>
        </w:rPr>
      </w:pPr>
      <w:r>
        <w:rPr>
          <w:rFonts w:ascii="Arial" w:hAnsi="Arial" w:cs="Arial"/>
          <w:b/>
          <w:bCs/>
        </w:rPr>
        <w:t xml:space="preserve">2. </w:t>
      </w:r>
      <w:r w:rsidRPr="00A634CC">
        <w:rPr>
          <w:rFonts w:ascii="Arial" w:hAnsi="Arial" w:cs="Arial"/>
          <w:b/>
          <w:bCs/>
        </w:rPr>
        <w:t>MATERIALS AND METHODS</w:t>
      </w:r>
    </w:p>
    <w:p w14:paraId="4B5D1ED7" w14:textId="29CB34D9" w:rsidR="005D1B15" w:rsidRPr="002F61AE" w:rsidRDefault="00783DA8">
      <w:pPr>
        <w:spacing w:line="240" w:lineRule="auto"/>
        <w:jc w:val="both"/>
        <w:rPr>
          <w:rFonts w:ascii="Arial" w:hAnsi="Arial" w:cs="Arial"/>
        </w:rPr>
      </w:pPr>
      <w:r w:rsidRPr="002F61AE">
        <w:rPr>
          <w:rFonts w:ascii="Arial" w:hAnsi="Arial" w:cs="Arial"/>
        </w:rPr>
        <w:t xml:space="preserve"> </w:t>
      </w:r>
      <w:r w:rsidR="00707280" w:rsidRPr="00103408">
        <w:rPr>
          <w:rFonts w:ascii="Arial" w:hAnsi="Arial" w:cs="Arial"/>
          <w:b/>
          <w:bCs/>
        </w:rPr>
        <w:t>2.1</w:t>
      </w:r>
      <w:r w:rsidR="00707280">
        <w:rPr>
          <w:rFonts w:ascii="Arial" w:hAnsi="Arial" w:cs="Arial"/>
        </w:rPr>
        <w:t xml:space="preserve"> </w:t>
      </w:r>
      <w:r w:rsidRPr="002F61AE">
        <w:rPr>
          <w:rFonts w:ascii="Arial" w:hAnsi="Arial" w:cs="Arial"/>
          <w:b/>
        </w:rPr>
        <w:t>Description of study area:</w:t>
      </w:r>
      <w:r w:rsidRPr="002F61AE">
        <w:rPr>
          <w:rFonts w:ascii="Arial" w:hAnsi="Arial" w:cs="Arial"/>
        </w:rPr>
        <w:t xml:space="preserve"> </w:t>
      </w:r>
    </w:p>
    <w:p w14:paraId="4E74FF49" w14:textId="65B975A1" w:rsidR="005D1B15" w:rsidRPr="00CE43A8" w:rsidRDefault="00783DA8" w:rsidP="00CE43A8">
      <w:pPr>
        <w:spacing w:line="360" w:lineRule="auto"/>
        <w:jc w:val="both"/>
        <w:rPr>
          <w:rFonts w:ascii="Arial" w:hAnsi="Arial" w:cs="Arial"/>
          <w:sz w:val="20"/>
          <w:szCs w:val="20"/>
        </w:rPr>
      </w:pPr>
      <w:r w:rsidRPr="00CE43A8">
        <w:rPr>
          <w:rFonts w:ascii="Arial" w:hAnsi="Arial" w:cs="Arial"/>
          <w:sz w:val="20"/>
          <w:szCs w:val="20"/>
        </w:rPr>
        <w:t>Th</w:t>
      </w:r>
      <w:r w:rsidR="00164125" w:rsidRPr="00CE43A8">
        <w:rPr>
          <w:rFonts w:ascii="Arial" w:hAnsi="Arial" w:cs="Arial"/>
          <w:sz w:val="20"/>
          <w:szCs w:val="20"/>
        </w:rPr>
        <w:t>e</w:t>
      </w:r>
      <w:r w:rsidRPr="00CE43A8">
        <w:rPr>
          <w:rFonts w:ascii="Arial" w:hAnsi="Arial" w:cs="Arial"/>
          <w:sz w:val="20"/>
          <w:szCs w:val="20"/>
        </w:rPr>
        <w:t xml:space="preserve"> experiment was carried out in a greenhouse at the Nigerian Institute for Oil palm Research (NIFOR), near Benin City, Edo State of Nigeria. NIFOR is in the rainforest agroecological zone of Nigeria. The experimental site lies on longitude 5°41 and 5°87'E and latitude 6°66' and 6°60'N and altitude 149 m above sea level. The area has a bimodal rainfall pattern with two distinct seasons. The </w:t>
      </w:r>
      <w:r w:rsidRPr="00CE43A8">
        <w:rPr>
          <w:rFonts w:ascii="Arial" w:hAnsi="Arial" w:cs="Arial"/>
          <w:sz w:val="20"/>
          <w:szCs w:val="20"/>
        </w:rPr>
        <w:lastRenderedPageBreak/>
        <w:t>wet season is between April and October while the dry is between November and March respectively. The soil in the study area has been classified as Orlu series (Ogunkunle, 1983).</w:t>
      </w:r>
    </w:p>
    <w:p w14:paraId="797283E9" w14:textId="5B1803C9" w:rsidR="005D1B15" w:rsidRPr="00191021" w:rsidRDefault="00191021">
      <w:pPr>
        <w:spacing w:line="240" w:lineRule="auto"/>
        <w:jc w:val="both"/>
        <w:rPr>
          <w:rFonts w:ascii="Arial" w:hAnsi="Arial" w:cs="Arial"/>
          <w:b/>
          <w:bCs/>
        </w:rPr>
      </w:pPr>
      <w:r w:rsidRPr="00191021">
        <w:rPr>
          <w:rFonts w:ascii="Arial" w:hAnsi="Arial" w:cs="Arial"/>
          <w:b/>
          <w:bCs/>
          <w:lang w:val="en-US"/>
        </w:rPr>
        <w:t xml:space="preserve">2.2 </w:t>
      </w:r>
      <w:commentRangeStart w:id="2"/>
      <w:r w:rsidRPr="00191021">
        <w:rPr>
          <w:rFonts w:ascii="Arial" w:hAnsi="Arial" w:cs="Arial"/>
          <w:b/>
          <w:bCs/>
          <w:lang w:val="en-US"/>
        </w:rPr>
        <w:t xml:space="preserve">Experimental procedures </w:t>
      </w:r>
      <w:commentRangeEnd w:id="2"/>
      <w:r w:rsidR="009E20ED">
        <w:rPr>
          <w:rStyle w:val="CommentReference"/>
        </w:rPr>
        <w:commentReference w:id="2"/>
      </w:r>
    </w:p>
    <w:p w14:paraId="393B6D2B" w14:textId="5993E69B" w:rsidR="005D1B15" w:rsidRPr="00CE43A8" w:rsidRDefault="00783DA8" w:rsidP="00CE43A8">
      <w:pPr>
        <w:spacing w:line="360" w:lineRule="auto"/>
        <w:jc w:val="both"/>
        <w:rPr>
          <w:rFonts w:ascii="Arial" w:hAnsi="Arial" w:cs="Arial"/>
          <w:b/>
          <w:sz w:val="20"/>
          <w:szCs w:val="20"/>
        </w:rPr>
      </w:pPr>
      <w:r w:rsidRPr="00CE43A8">
        <w:rPr>
          <w:rFonts w:ascii="Arial" w:hAnsi="Arial" w:cs="Arial"/>
          <w:sz w:val="20"/>
          <w:szCs w:val="20"/>
        </w:rPr>
        <w:t xml:space="preserve">The study used pots in the form of polybags measuring 30 cm x 33 cm filled with </w:t>
      </w:r>
      <w:r w:rsidRPr="00CE43A8">
        <w:rPr>
          <w:rFonts w:ascii="Arial" w:hAnsi="Arial" w:cs="Arial"/>
          <w:sz w:val="20"/>
          <w:szCs w:val="20"/>
          <w:lang w:val="en-US"/>
        </w:rPr>
        <w:t xml:space="preserve">7 kg of </w:t>
      </w:r>
      <w:r w:rsidRPr="00CE43A8">
        <w:rPr>
          <w:rFonts w:ascii="Arial" w:hAnsi="Arial" w:cs="Arial"/>
          <w:sz w:val="20"/>
          <w:szCs w:val="20"/>
        </w:rPr>
        <w:t>dry so</w:t>
      </w:r>
      <w:r w:rsidRPr="00CE43A8">
        <w:rPr>
          <w:rFonts w:ascii="Arial" w:hAnsi="Arial" w:cs="Arial"/>
          <w:sz w:val="20"/>
          <w:szCs w:val="20"/>
          <w:lang w:val="en-US"/>
        </w:rPr>
        <w:t>il</w:t>
      </w:r>
      <w:r w:rsidRPr="00CE43A8">
        <w:rPr>
          <w:rFonts w:ascii="Arial" w:hAnsi="Arial" w:cs="Arial"/>
          <w:sz w:val="20"/>
          <w:szCs w:val="20"/>
        </w:rPr>
        <w:t xml:space="preserve"> and 0.5</w:t>
      </w:r>
      <w:r w:rsidRPr="00CE43A8">
        <w:rPr>
          <w:rFonts w:ascii="Arial" w:hAnsi="Arial" w:cs="Arial"/>
          <w:sz w:val="20"/>
          <w:szCs w:val="20"/>
          <w:lang w:val="en-US"/>
        </w:rPr>
        <w:t xml:space="preserve"> </w:t>
      </w:r>
      <w:r w:rsidRPr="00CE43A8">
        <w:rPr>
          <w:rFonts w:ascii="Arial" w:hAnsi="Arial" w:cs="Arial"/>
          <w:sz w:val="20"/>
          <w:szCs w:val="20"/>
        </w:rPr>
        <w:t xml:space="preserve">kg of </w:t>
      </w:r>
      <w:commentRangeStart w:id="3"/>
      <w:r w:rsidRPr="00CE43A8">
        <w:rPr>
          <w:rFonts w:ascii="Arial" w:hAnsi="Arial" w:cs="Arial"/>
          <w:sz w:val="20"/>
          <w:szCs w:val="20"/>
        </w:rPr>
        <w:t xml:space="preserve">empty </w:t>
      </w:r>
      <w:r w:rsidRPr="00CE43A8">
        <w:rPr>
          <w:rFonts w:ascii="Arial" w:hAnsi="Arial" w:cs="Arial"/>
          <w:sz w:val="20"/>
          <w:szCs w:val="20"/>
          <w:lang w:val="en-US"/>
        </w:rPr>
        <w:t xml:space="preserve">fruit </w:t>
      </w:r>
      <w:r w:rsidRPr="00CE43A8">
        <w:rPr>
          <w:rFonts w:ascii="Arial" w:hAnsi="Arial" w:cs="Arial"/>
          <w:sz w:val="20"/>
          <w:szCs w:val="20"/>
        </w:rPr>
        <w:t>bunch (EFB</w:t>
      </w:r>
      <w:commentRangeEnd w:id="3"/>
      <w:r w:rsidR="009E20ED">
        <w:rPr>
          <w:rStyle w:val="CommentReference"/>
        </w:rPr>
        <w:commentReference w:id="3"/>
      </w:r>
      <w:r w:rsidRPr="00CE43A8">
        <w:rPr>
          <w:rFonts w:ascii="Arial" w:hAnsi="Arial" w:cs="Arial"/>
          <w:sz w:val="20"/>
          <w:szCs w:val="20"/>
        </w:rPr>
        <w:t xml:space="preserve">). </w:t>
      </w:r>
      <w:r w:rsidRPr="00CE43A8">
        <w:rPr>
          <w:rFonts w:ascii="Arial" w:hAnsi="Arial" w:cs="Arial"/>
          <w:sz w:val="20"/>
          <w:szCs w:val="20"/>
          <w:lang w:val="en-US"/>
        </w:rPr>
        <w:t>The experiment consists of four treatments/mulching materials: e</w:t>
      </w:r>
      <w:r w:rsidRPr="00CE43A8">
        <w:rPr>
          <w:rFonts w:ascii="Arial" w:hAnsi="Arial" w:cs="Arial"/>
          <w:sz w:val="20"/>
          <w:szCs w:val="20"/>
        </w:rPr>
        <w:t>mpty bunch refuse (EFB) mulch, sawdust mulch, Polythene mulch (black) and control (no mulch) applied</w:t>
      </w:r>
      <w:r w:rsidRPr="00CE43A8">
        <w:rPr>
          <w:rFonts w:ascii="Arial" w:hAnsi="Arial" w:cs="Arial"/>
          <w:sz w:val="20"/>
          <w:szCs w:val="20"/>
          <w:lang w:val="en-US"/>
        </w:rPr>
        <w:t xml:space="preserve"> in 32 pots/polybags replicated three times in Randomized Complete Design (RCD) giving a total of 96 pots/polybags. </w:t>
      </w:r>
      <w:commentRangeStart w:id="4"/>
      <w:r w:rsidRPr="00CE43A8">
        <w:rPr>
          <w:rFonts w:ascii="Arial" w:hAnsi="Arial" w:cs="Arial"/>
          <w:sz w:val="20"/>
          <w:szCs w:val="20"/>
        </w:rPr>
        <w:t>The oil palm seedlings from the pre-nursery aged 3 months were then transplanted into the prepared pots</w:t>
      </w:r>
      <w:commentRangeEnd w:id="4"/>
      <w:r w:rsidR="009E20ED">
        <w:rPr>
          <w:rStyle w:val="CommentReference"/>
        </w:rPr>
        <w:commentReference w:id="4"/>
      </w:r>
      <w:r w:rsidRPr="00CE43A8">
        <w:rPr>
          <w:rFonts w:ascii="Arial" w:hAnsi="Arial" w:cs="Arial"/>
          <w:sz w:val="20"/>
          <w:szCs w:val="20"/>
        </w:rPr>
        <w:t xml:space="preserve">. Seedlings are maintained in the main nursery phase for </w:t>
      </w:r>
      <w:r w:rsidRPr="00CE43A8">
        <w:rPr>
          <w:rFonts w:ascii="Arial" w:hAnsi="Arial" w:cs="Arial"/>
          <w:sz w:val="20"/>
          <w:szCs w:val="20"/>
          <w:lang w:val="en-US"/>
        </w:rPr>
        <w:t xml:space="preserve">12 </w:t>
      </w:r>
      <w:r w:rsidRPr="00CE43A8">
        <w:rPr>
          <w:rFonts w:ascii="Arial" w:hAnsi="Arial" w:cs="Arial"/>
          <w:sz w:val="20"/>
          <w:szCs w:val="20"/>
        </w:rPr>
        <w:t xml:space="preserve">months in the </w:t>
      </w:r>
      <w:commentRangeStart w:id="5"/>
      <w:r w:rsidRPr="00CE43A8">
        <w:rPr>
          <w:rFonts w:ascii="Arial" w:hAnsi="Arial" w:cs="Arial"/>
          <w:sz w:val="20"/>
          <w:szCs w:val="20"/>
        </w:rPr>
        <w:t>screen house</w:t>
      </w:r>
      <w:commentRangeEnd w:id="5"/>
      <w:r w:rsidR="009E20ED">
        <w:rPr>
          <w:rStyle w:val="CommentReference"/>
        </w:rPr>
        <w:commentReference w:id="5"/>
      </w:r>
      <w:r w:rsidRPr="00CE43A8">
        <w:rPr>
          <w:rFonts w:ascii="Arial" w:hAnsi="Arial" w:cs="Arial"/>
          <w:sz w:val="20"/>
          <w:szCs w:val="20"/>
        </w:rPr>
        <w:t xml:space="preserve">. The distance of the plants between the pots is 45 cm by 45 cm distance apart. </w:t>
      </w:r>
    </w:p>
    <w:p w14:paraId="37D7D746" w14:textId="03CF6F25" w:rsidR="005D1B15" w:rsidRPr="002F61AE" w:rsidRDefault="00631596">
      <w:pPr>
        <w:spacing w:line="240" w:lineRule="auto"/>
        <w:jc w:val="both"/>
        <w:rPr>
          <w:rFonts w:ascii="Arial" w:hAnsi="Arial" w:cs="Arial"/>
          <w:b/>
        </w:rPr>
      </w:pPr>
      <w:r>
        <w:rPr>
          <w:rFonts w:ascii="Arial" w:hAnsi="Arial" w:cs="Arial"/>
          <w:b/>
        </w:rPr>
        <w:t>2.3 D</w:t>
      </w:r>
      <w:r w:rsidRPr="002F61AE">
        <w:rPr>
          <w:rFonts w:ascii="Arial" w:hAnsi="Arial" w:cs="Arial"/>
          <w:b/>
        </w:rPr>
        <w:t>ata collection</w:t>
      </w:r>
    </w:p>
    <w:p w14:paraId="6E6A6B4C" w14:textId="77777777" w:rsidR="005D1B15" w:rsidRPr="00CE43A8" w:rsidRDefault="00783DA8" w:rsidP="00CE43A8">
      <w:pPr>
        <w:spacing w:line="360" w:lineRule="auto"/>
        <w:jc w:val="both"/>
        <w:rPr>
          <w:rFonts w:ascii="Arial" w:hAnsi="Arial" w:cs="Arial"/>
          <w:b/>
          <w:sz w:val="20"/>
          <w:szCs w:val="20"/>
        </w:rPr>
      </w:pPr>
      <w:r w:rsidRPr="00CE43A8">
        <w:rPr>
          <w:rFonts w:ascii="Arial" w:hAnsi="Arial" w:cs="Arial"/>
          <w:sz w:val="20"/>
          <w:szCs w:val="20"/>
        </w:rPr>
        <w:t>Growth parameters measured during the experiment include plant height (cm)</w:t>
      </w:r>
      <w:r w:rsidRPr="00CE43A8">
        <w:rPr>
          <w:rFonts w:ascii="Arial" w:hAnsi="Arial" w:cs="Arial"/>
          <w:sz w:val="20"/>
          <w:szCs w:val="20"/>
          <w:lang w:val="en-US"/>
        </w:rPr>
        <w:t>,</w:t>
      </w:r>
      <w:r w:rsidRPr="00CE43A8">
        <w:rPr>
          <w:rFonts w:ascii="Arial" w:hAnsi="Arial" w:cs="Arial"/>
          <w:sz w:val="20"/>
          <w:szCs w:val="20"/>
        </w:rPr>
        <w:t xml:space="preserve"> stem girth (cm)</w:t>
      </w:r>
      <w:r w:rsidRPr="00CE43A8">
        <w:rPr>
          <w:rFonts w:ascii="Arial" w:hAnsi="Arial" w:cs="Arial"/>
          <w:sz w:val="20"/>
          <w:szCs w:val="20"/>
          <w:lang w:val="en-US"/>
        </w:rPr>
        <w:t>,</w:t>
      </w:r>
      <w:r w:rsidRPr="00CE43A8">
        <w:rPr>
          <w:rFonts w:ascii="Arial" w:hAnsi="Arial" w:cs="Arial"/>
          <w:sz w:val="20"/>
          <w:szCs w:val="20"/>
        </w:rPr>
        <w:t xml:space="preserve"> leaf number and leaf area (cm²). </w:t>
      </w:r>
      <w:r w:rsidRPr="00CE43A8">
        <w:rPr>
          <w:rFonts w:ascii="Arial" w:hAnsi="Arial" w:cs="Arial"/>
          <w:sz w:val="20"/>
          <w:szCs w:val="20"/>
          <w:lang w:val="en-US"/>
        </w:rPr>
        <w:t xml:space="preserve">The growth data were collected at 6 months, 9 months and 12 months after planting(MAP). </w:t>
      </w:r>
      <w:r w:rsidRPr="00CE43A8">
        <w:rPr>
          <w:rFonts w:ascii="Arial" w:hAnsi="Arial" w:cs="Arial"/>
          <w:sz w:val="20"/>
          <w:szCs w:val="20"/>
        </w:rPr>
        <w:t>Oil palm seedling height was measured with a graded metre rule from the palm base to the tip of the grown up leaf. The girth or circumference of the palm base was measured using a thread and then placed on a graduated metric ruler for reading and recording. The number of leaves was counted on those that have completely open. The leaf area was measured on the third leaf that had completely opened, as described by Fairhurst and Hardter (2005) and Corley (2003).</w:t>
      </w:r>
      <w:r w:rsidRPr="00CE43A8">
        <w:rPr>
          <w:rFonts w:ascii="Arial" w:hAnsi="Arial" w:cs="Arial"/>
          <w:b/>
          <w:sz w:val="20"/>
          <w:szCs w:val="20"/>
        </w:rPr>
        <w:tab/>
      </w:r>
    </w:p>
    <w:p w14:paraId="03A33EC5" w14:textId="2B356AE3" w:rsidR="005D1B15" w:rsidRPr="002F61AE" w:rsidRDefault="00A77C2A">
      <w:pPr>
        <w:spacing w:line="240" w:lineRule="auto"/>
        <w:jc w:val="both"/>
        <w:rPr>
          <w:rFonts w:ascii="Arial" w:hAnsi="Arial" w:cs="Arial"/>
          <w:b/>
        </w:rPr>
      </w:pPr>
      <w:r>
        <w:rPr>
          <w:rFonts w:ascii="Arial" w:hAnsi="Arial" w:cs="Arial"/>
          <w:b/>
          <w:bCs/>
          <w:lang w:val="en-US"/>
        </w:rPr>
        <w:t xml:space="preserve">2.4 </w:t>
      </w:r>
      <w:r w:rsidRPr="002F61AE">
        <w:rPr>
          <w:rFonts w:ascii="Arial" w:hAnsi="Arial" w:cs="Arial"/>
          <w:b/>
          <w:bCs/>
          <w:lang w:val="en-US"/>
        </w:rPr>
        <w:t xml:space="preserve">Statistical analysis </w:t>
      </w:r>
    </w:p>
    <w:p w14:paraId="5FB01BF6" w14:textId="2E9BC5E1" w:rsidR="005D1B15" w:rsidRPr="00133C0A" w:rsidRDefault="00783DA8" w:rsidP="00133C0A">
      <w:pPr>
        <w:spacing w:line="360" w:lineRule="auto"/>
        <w:jc w:val="both"/>
        <w:rPr>
          <w:rFonts w:ascii="Arial" w:hAnsi="Arial" w:cs="Arial"/>
          <w:sz w:val="20"/>
          <w:szCs w:val="20"/>
        </w:rPr>
      </w:pPr>
      <w:r w:rsidRPr="00A77C2A">
        <w:rPr>
          <w:rFonts w:ascii="Arial" w:hAnsi="Arial" w:cs="Arial"/>
          <w:sz w:val="20"/>
          <w:szCs w:val="20"/>
          <w:lang w:val="en-US"/>
        </w:rPr>
        <w:t xml:space="preserve">All data collected were subjected to analysis of variance (ANOVA) and the means separated using Duncan Multiple Range Test at 5 percent level of probability. </w:t>
      </w:r>
    </w:p>
    <w:p w14:paraId="022D889C" w14:textId="31FB5FDA" w:rsidR="005D1B15" w:rsidRPr="002F61AE" w:rsidRDefault="00133C0A">
      <w:pPr>
        <w:spacing w:line="240" w:lineRule="auto"/>
        <w:jc w:val="both"/>
        <w:rPr>
          <w:rFonts w:ascii="Arial" w:hAnsi="Arial" w:cs="Arial"/>
          <w:b/>
        </w:rPr>
      </w:pPr>
      <w:r>
        <w:rPr>
          <w:rFonts w:ascii="Arial" w:hAnsi="Arial" w:cs="Arial"/>
          <w:b/>
          <w:bCs/>
          <w:lang w:val="en-US"/>
        </w:rPr>
        <w:t>3</w:t>
      </w:r>
      <w:r w:rsidRPr="002F61AE">
        <w:rPr>
          <w:rFonts w:ascii="Arial" w:hAnsi="Arial" w:cs="Arial"/>
          <w:b/>
          <w:bCs/>
          <w:lang w:val="en-US"/>
        </w:rPr>
        <w:t>. Results</w:t>
      </w:r>
      <w:r w:rsidRPr="002F61AE">
        <w:rPr>
          <w:rFonts w:ascii="Arial" w:hAnsi="Arial" w:cs="Arial"/>
        </w:rPr>
        <w:tab/>
      </w:r>
    </w:p>
    <w:p w14:paraId="27DE6CCA" w14:textId="22C9FB90" w:rsidR="005D1B15" w:rsidRPr="002F61AE" w:rsidRDefault="00133C0A">
      <w:pPr>
        <w:spacing w:line="240" w:lineRule="auto"/>
        <w:jc w:val="both"/>
        <w:rPr>
          <w:rFonts w:ascii="Arial" w:hAnsi="Arial" w:cs="Arial"/>
        </w:rPr>
      </w:pPr>
      <w:r>
        <w:rPr>
          <w:rFonts w:ascii="Arial" w:hAnsi="Arial" w:cs="Arial"/>
          <w:b/>
        </w:rPr>
        <w:t>3</w:t>
      </w:r>
      <w:r w:rsidRPr="002F61AE">
        <w:rPr>
          <w:rFonts w:ascii="Arial" w:hAnsi="Arial" w:cs="Arial"/>
          <w:b/>
        </w:rPr>
        <w:t>.1</w:t>
      </w:r>
      <w:r>
        <w:rPr>
          <w:rFonts w:ascii="Arial" w:hAnsi="Arial" w:cs="Arial"/>
          <w:b/>
        </w:rPr>
        <w:t xml:space="preserve"> </w:t>
      </w:r>
      <w:r w:rsidRPr="002F61AE">
        <w:rPr>
          <w:rFonts w:ascii="Arial" w:hAnsi="Arial" w:cs="Arial"/>
          <w:b/>
        </w:rPr>
        <w:t>Mean plant height of oil palm seedling at 6, 9 and 12 month</w:t>
      </w:r>
      <w:r w:rsidR="003003B1">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1B0049FE" w14:textId="77777777" w:rsidR="005D1B15" w:rsidRPr="004149DE" w:rsidRDefault="00783DA8" w:rsidP="004149DE">
      <w:pPr>
        <w:spacing w:line="360" w:lineRule="auto"/>
        <w:jc w:val="both"/>
        <w:rPr>
          <w:rFonts w:ascii="Arial" w:hAnsi="Arial" w:cs="Arial"/>
          <w:sz w:val="20"/>
          <w:szCs w:val="20"/>
        </w:rPr>
      </w:pPr>
      <w:r w:rsidRPr="004149DE">
        <w:rPr>
          <w:rFonts w:ascii="Arial" w:hAnsi="Arial" w:cs="Arial"/>
          <w:sz w:val="20"/>
          <w:szCs w:val="20"/>
        </w:rPr>
        <w:t xml:space="preserve">Table </w:t>
      </w:r>
      <w:r w:rsidRPr="004149DE">
        <w:rPr>
          <w:rFonts w:ascii="Arial" w:hAnsi="Arial" w:cs="Arial"/>
          <w:sz w:val="20"/>
          <w:szCs w:val="20"/>
          <w:lang w:val="en-US"/>
        </w:rPr>
        <w:t>1</w:t>
      </w:r>
      <w:r w:rsidRPr="004149DE">
        <w:rPr>
          <w:rFonts w:ascii="Arial" w:hAnsi="Arial" w:cs="Arial"/>
          <w:sz w:val="20"/>
          <w:szCs w:val="20"/>
        </w:rPr>
        <w:t xml:space="preserve"> showed the mean effect of </w:t>
      </w:r>
      <w:r w:rsidRPr="004149DE">
        <w:rPr>
          <w:rFonts w:ascii="Arial" w:hAnsi="Arial" w:cs="Arial"/>
          <w:sz w:val="20"/>
          <w:szCs w:val="20"/>
          <w:lang w:val="en-US"/>
        </w:rPr>
        <w:t xml:space="preserve">different </w:t>
      </w:r>
      <w:r w:rsidRPr="004149DE">
        <w:rPr>
          <w:rFonts w:ascii="Arial" w:hAnsi="Arial" w:cs="Arial"/>
          <w:sz w:val="20"/>
          <w:szCs w:val="20"/>
        </w:rPr>
        <w:t>mulching material</w:t>
      </w:r>
      <w:r w:rsidRPr="004149DE">
        <w:rPr>
          <w:rFonts w:ascii="Arial" w:hAnsi="Arial" w:cs="Arial"/>
          <w:sz w:val="20"/>
          <w:szCs w:val="20"/>
          <w:lang w:val="en-US"/>
        </w:rPr>
        <w:t>s</w:t>
      </w:r>
      <w:r w:rsidRPr="004149DE">
        <w:rPr>
          <w:rFonts w:ascii="Arial" w:hAnsi="Arial" w:cs="Arial"/>
          <w:sz w:val="20"/>
          <w:szCs w:val="20"/>
        </w:rPr>
        <w:t xml:space="preserve"> on the growth of oil palm seedlings in the screen house. The different mulching materials had a significant </w:t>
      </w:r>
      <w:r w:rsidRPr="004149DE">
        <w:rPr>
          <w:rFonts w:ascii="Arial" w:hAnsi="Arial" w:cs="Arial"/>
          <w:sz w:val="20"/>
          <w:szCs w:val="20"/>
          <w:lang w:val="en-US"/>
        </w:rPr>
        <w:t xml:space="preserve">effect </w:t>
      </w:r>
      <w:r w:rsidRPr="004149DE">
        <w:rPr>
          <w:rFonts w:ascii="Arial" w:hAnsi="Arial" w:cs="Arial"/>
          <w:sz w:val="20"/>
          <w:szCs w:val="20"/>
        </w:rPr>
        <w:t>(P</w:t>
      </w:r>
      <w:r w:rsidRPr="004149DE">
        <w:rPr>
          <w:rFonts w:ascii="Arial" w:hAnsi="Arial" w:cs="Arial"/>
          <w:sz w:val="20"/>
          <w:szCs w:val="20"/>
          <w:lang w:val="en-US"/>
        </w:rPr>
        <w:t>&lt;</w:t>
      </w:r>
      <w:r w:rsidRPr="004149DE">
        <w:rPr>
          <w:rFonts w:ascii="Arial" w:hAnsi="Arial" w:cs="Arial"/>
          <w:sz w:val="20"/>
          <w:szCs w:val="20"/>
        </w:rPr>
        <w:t>0.05)</w:t>
      </w:r>
      <w:r w:rsidRPr="004149DE">
        <w:rPr>
          <w:rFonts w:ascii="Arial" w:hAnsi="Arial" w:cs="Arial"/>
          <w:sz w:val="20"/>
          <w:szCs w:val="20"/>
          <w:lang w:val="en-US"/>
        </w:rPr>
        <w:t xml:space="preserve"> on oil palm seedlings height at </w:t>
      </w:r>
      <w:r w:rsidRPr="004149DE">
        <w:rPr>
          <w:rFonts w:ascii="Arial" w:hAnsi="Arial" w:cs="Arial"/>
          <w:sz w:val="20"/>
          <w:szCs w:val="20"/>
        </w:rPr>
        <w:t xml:space="preserve"> 6, 9 and 12 </w:t>
      </w:r>
      <w:r w:rsidRPr="004149DE">
        <w:rPr>
          <w:rFonts w:ascii="Arial" w:hAnsi="Arial" w:cs="Arial"/>
          <w:sz w:val="20"/>
          <w:szCs w:val="20"/>
          <w:lang w:val="en-US"/>
        </w:rPr>
        <w:t>MAP</w:t>
      </w:r>
      <w:r w:rsidRPr="004149DE">
        <w:rPr>
          <w:rFonts w:ascii="Arial" w:hAnsi="Arial" w:cs="Arial"/>
          <w:sz w:val="20"/>
          <w:szCs w:val="20"/>
        </w:rPr>
        <w:t xml:space="preserve">. </w:t>
      </w:r>
      <w:r w:rsidRPr="004149DE">
        <w:rPr>
          <w:rFonts w:ascii="Arial" w:hAnsi="Arial" w:cs="Arial"/>
          <w:sz w:val="20"/>
          <w:szCs w:val="20"/>
          <w:lang w:val="en-US"/>
        </w:rPr>
        <w:t>The results revealed that at all the MAP, EFB consistently gave the highest oil palm height which was significantly (p&lt;0.05) different from other mulching materials including the control</w:t>
      </w:r>
      <w:r w:rsidRPr="004149DE">
        <w:rPr>
          <w:rFonts w:ascii="Arial" w:hAnsi="Arial" w:cs="Arial"/>
          <w:sz w:val="20"/>
          <w:szCs w:val="20"/>
        </w:rPr>
        <w:t xml:space="preserve">. </w:t>
      </w:r>
      <w:r w:rsidRPr="004149DE">
        <w:rPr>
          <w:rFonts w:ascii="Arial" w:hAnsi="Arial" w:cs="Arial"/>
          <w:sz w:val="20"/>
          <w:szCs w:val="20"/>
          <w:lang w:val="en-US"/>
        </w:rPr>
        <w:t xml:space="preserve">The control consistently gave the least plant height. The oil palm height was in the order of EFB&gt;polythene mulch&gt;sawdust&gt;control in all the MAP. The plant height increase steadily with increase in time period or months. The means of plant height at 6 MAP in EFB, polythene mulch, sawdust and the control were 60.04 cm, 58.83 cm, 55.92 cm and 53.59 cm respectively while in 12 MAP, the mean values of plant height obtained were 139.05 cm, 137.75 cm, 130.84 cm and 130.42 cm in EFB, polythene mulch, sawdust and the control accordingly. </w:t>
      </w:r>
    </w:p>
    <w:p w14:paraId="75236020" w14:textId="73015215" w:rsidR="005D1B15" w:rsidRPr="002F61AE" w:rsidRDefault="00947AC6">
      <w:pPr>
        <w:spacing w:line="240" w:lineRule="auto"/>
        <w:ind w:left="720" w:hanging="720"/>
        <w:jc w:val="both"/>
        <w:rPr>
          <w:rFonts w:ascii="Arial" w:hAnsi="Arial" w:cs="Arial"/>
        </w:rPr>
      </w:pPr>
      <w:r>
        <w:rPr>
          <w:rFonts w:ascii="Arial" w:hAnsi="Arial" w:cs="Arial"/>
          <w:b/>
        </w:rPr>
        <w:lastRenderedPageBreak/>
        <w:t>3</w:t>
      </w:r>
      <w:r w:rsidRPr="002F61AE">
        <w:rPr>
          <w:rFonts w:ascii="Arial" w:hAnsi="Arial" w:cs="Arial"/>
          <w:b/>
        </w:rPr>
        <w:t>.2</w:t>
      </w:r>
      <w:r>
        <w:rPr>
          <w:rFonts w:ascii="Arial" w:hAnsi="Arial" w:cs="Arial"/>
          <w:b/>
        </w:rPr>
        <w:t xml:space="preserve"> </w:t>
      </w:r>
      <w:r w:rsidRPr="002F61AE">
        <w:rPr>
          <w:rFonts w:ascii="Arial" w:hAnsi="Arial" w:cs="Arial"/>
          <w:b/>
        </w:rPr>
        <w:t>Mean stem girth of oil palm seedling at 6, 9 and 12 month</w:t>
      </w:r>
      <w:r w:rsidR="00D276D1">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692B9712" w14:textId="77777777" w:rsidR="005D1B15" w:rsidRPr="00AF0D53" w:rsidRDefault="00783DA8" w:rsidP="00AF0D53">
      <w:pPr>
        <w:spacing w:line="360" w:lineRule="auto"/>
        <w:jc w:val="both"/>
        <w:rPr>
          <w:rFonts w:ascii="Arial" w:hAnsi="Arial" w:cs="Arial"/>
          <w:sz w:val="20"/>
          <w:szCs w:val="20"/>
        </w:rPr>
      </w:pPr>
      <w:r w:rsidRPr="00AF0D53">
        <w:rPr>
          <w:rFonts w:ascii="Arial" w:hAnsi="Arial" w:cs="Arial"/>
          <w:sz w:val="20"/>
          <w:szCs w:val="20"/>
        </w:rPr>
        <w:t xml:space="preserve">Table </w:t>
      </w:r>
      <w:r w:rsidRPr="00AF0D53">
        <w:rPr>
          <w:rFonts w:ascii="Arial" w:hAnsi="Arial" w:cs="Arial"/>
          <w:sz w:val="20"/>
          <w:szCs w:val="20"/>
          <w:lang w:val="en-US"/>
        </w:rPr>
        <w:t>2</w:t>
      </w:r>
      <w:r w:rsidRPr="00AF0D53">
        <w:rPr>
          <w:rFonts w:ascii="Arial" w:hAnsi="Arial" w:cs="Arial"/>
          <w:sz w:val="20"/>
          <w:szCs w:val="20"/>
        </w:rPr>
        <w:t xml:space="preserve"> shows the</w:t>
      </w:r>
      <w:r w:rsidRPr="00AF0D53">
        <w:rPr>
          <w:rFonts w:ascii="Arial" w:hAnsi="Arial" w:cs="Arial"/>
          <w:sz w:val="20"/>
          <w:szCs w:val="20"/>
          <w:lang w:val="en-US"/>
        </w:rPr>
        <w:t xml:space="preserve"> results of </w:t>
      </w:r>
      <w:r w:rsidRPr="00AF0D53">
        <w:rPr>
          <w:rFonts w:ascii="Arial" w:hAnsi="Arial" w:cs="Arial"/>
          <w:sz w:val="20"/>
          <w:szCs w:val="20"/>
        </w:rPr>
        <w:t xml:space="preserve">oil palm seedlings stem girth at </w:t>
      </w:r>
      <w:r w:rsidRPr="00AF0D53">
        <w:rPr>
          <w:rFonts w:ascii="Arial" w:hAnsi="Arial" w:cs="Arial"/>
          <w:sz w:val="20"/>
          <w:szCs w:val="20"/>
          <w:lang w:val="en-US"/>
        </w:rPr>
        <w:t xml:space="preserve">different months after planting. The results showed that at 6 MAP, there was no significant difference(p&gt;0.05) in stem girth between EFB, polythene, sawdust and the control soil seedlings. Conversely, at 9 MAP, stem girth was significantly higher(p&lt;0.05) in EFB than polythene mulch sawdust were not significantly different(p&gt;0.05) from other while the control had the least stem girth value. Similarly, at 12 MAP, EFB and polythene significantly (p&lt;0.05) had the highest stem girth values which didn't differ significantly from each other but completely different from sawdust and control. The means of stem girth at 6 MAP were 8.73 cm, 8.17 cm, 7.92 cm and 7.77 cm in EFB, polythene, sawdust and control soils, at 9 MAP, means we're 12.83 cm, 11.9 cm, 11.04 cm and 9.58 cm in EFB, polythene, sawdust and control while at 12 MAP, the average stem girth values were 16.89 cm, 16.21 cm, 15.31 cm and 14 .08 cm respectively. </w:t>
      </w:r>
    </w:p>
    <w:p w14:paraId="484F79A9" w14:textId="65F31D4B" w:rsidR="005D1B15" w:rsidRPr="002F61AE" w:rsidRDefault="00674286">
      <w:pPr>
        <w:spacing w:line="240" w:lineRule="auto"/>
        <w:jc w:val="both"/>
        <w:rPr>
          <w:rFonts w:ascii="Arial" w:hAnsi="Arial" w:cs="Arial"/>
        </w:rPr>
      </w:pPr>
      <w:r>
        <w:rPr>
          <w:rFonts w:ascii="Arial" w:hAnsi="Arial" w:cs="Arial"/>
          <w:b/>
        </w:rPr>
        <w:t>3</w:t>
      </w:r>
      <w:r w:rsidRPr="002F61AE">
        <w:rPr>
          <w:rFonts w:ascii="Arial" w:hAnsi="Arial" w:cs="Arial"/>
          <w:b/>
        </w:rPr>
        <w:t>.3</w:t>
      </w:r>
      <w:r w:rsidR="00736127">
        <w:rPr>
          <w:rFonts w:ascii="Arial" w:hAnsi="Arial" w:cs="Arial"/>
          <w:b/>
        </w:rPr>
        <w:t xml:space="preserve"> </w:t>
      </w:r>
      <w:r w:rsidRPr="002F61AE">
        <w:rPr>
          <w:rFonts w:ascii="Arial" w:hAnsi="Arial" w:cs="Arial"/>
          <w:b/>
        </w:rPr>
        <w:t>Mean leaf number of oil palm seedling at 6, 9 and 12 month</w:t>
      </w:r>
      <w:r w:rsidR="00AF0D53">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2BFB265B" w14:textId="77777777" w:rsidR="005D1B15" w:rsidRPr="0074696B" w:rsidRDefault="00783DA8" w:rsidP="0074696B">
      <w:pPr>
        <w:spacing w:line="360" w:lineRule="auto"/>
        <w:jc w:val="both"/>
        <w:rPr>
          <w:rFonts w:ascii="Arial" w:hAnsi="Arial" w:cs="Arial"/>
          <w:sz w:val="20"/>
          <w:szCs w:val="20"/>
        </w:rPr>
      </w:pPr>
      <w:r w:rsidRPr="0074696B">
        <w:rPr>
          <w:rFonts w:ascii="Arial" w:hAnsi="Arial" w:cs="Arial"/>
          <w:sz w:val="20"/>
          <w:szCs w:val="20"/>
          <w:lang w:val="en-US"/>
        </w:rPr>
        <w:t>The results oil palm seedlings leaf number as affected by different mulching materials are presented in Table 3. The table revealed that only EFB and polythene mulches significantly (p&lt;0.05) increased oil palm number of leaves</w:t>
      </w:r>
      <w:r w:rsidRPr="0074696B">
        <w:rPr>
          <w:rFonts w:ascii="Arial" w:hAnsi="Arial" w:cs="Arial"/>
          <w:sz w:val="20"/>
          <w:szCs w:val="20"/>
        </w:rPr>
        <w:t>.</w:t>
      </w:r>
      <w:r w:rsidRPr="0074696B">
        <w:rPr>
          <w:rFonts w:ascii="Arial" w:hAnsi="Arial" w:cs="Arial"/>
          <w:sz w:val="20"/>
          <w:szCs w:val="20"/>
          <w:lang w:val="en-US"/>
        </w:rPr>
        <w:t xml:space="preserve"> While EFB and polythene mulches were not significantly (p&gt;0.05) different from each other in leaf number, there were significantly (&lt;0.05) higher and different from sawdust and the control. Sawdust mulch soils and the control soils didn't vary significantly(p&lt;0.05) in their leaf number. The number of leaves increased with the number of months. The means of number of leaves was 8 in EFB and polythene, and 7 in sawdust and control at 6 MAP, 12 in EFB and 11 in polythene, sawdust and control at 9 MAP and 13 in EFB and polythene mulches, and 12 in sawdust and control at 12 MAP. </w:t>
      </w:r>
    </w:p>
    <w:p w14:paraId="5CFB425B" w14:textId="3BBDE756" w:rsidR="005D1B15" w:rsidRPr="002F61AE" w:rsidRDefault="00E7647F">
      <w:pPr>
        <w:spacing w:line="240" w:lineRule="auto"/>
        <w:ind w:left="720" w:hanging="720"/>
        <w:jc w:val="both"/>
        <w:rPr>
          <w:rFonts w:ascii="Arial" w:hAnsi="Arial" w:cs="Arial"/>
        </w:rPr>
      </w:pPr>
      <w:r>
        <w:rPr>
          <w:rFonts w:ascii="Arial" w:hAnsi="Arial" w:cs="Arial"/>
          <w:b/>
        </w:rPr>
        <w:t>3</w:t>
      </w:r>
      <w:r w:rsidRPr="002F61AE">
        <w:rPr>
          <w:rFonts w:ascii="Arial" w:hAnsi="Arial" w:cs="Arial"/>
          <w:b/>
        </w:rPr>
        <w:t>.4</w:t>
      </w:r>
      <w:r>
        <w:rPr>
          <w:rFonts w:ascii="Arial" w:hAnsi="Arial" w:cs="Arial"/>
          <w:b/>
        </w:rPr>
        <w:t xml:space="preserve"> </w:t>
      </w:r>
      <w:r w:rsidRPr="002F61AE">
        <w:rPr>
          <w:rFonts w:ascii="Arial" w:hAnsi="Arial" w:cs="Arial"/>
          <w:b/>
        </w:rPr>
        <w:t>Mean leaf area of oil palm seedling at 6, 9 and 12 month</w:t>
      </w:r>
      <w:r w:rsidRPr="002F61AE">
        <w:rPr>
          <w:rFonts w:ascii="Arial" w:hAnsi="Arial" w:cs="Arial"/>
          <w:b/>
          <w:lang w:val="en-US"/>
        </w:rPr>
        <w:t>s</w:t>
      </w:r>
      <w:r w:rsidRPr="002F61AE">
        <w:rPr>
          <w:rFonts w:ascii="Arial" w:hAnsi="Arial" w:cs="Arial"/>
          <w:b/>
        </w:rPr>
        <w:t xml:space="preserve"> after planting as affected by mulching material</w:t>
      </w:r>
      <w:r w:rsidRPr="002F61AE">
        <w:rPr>
          <w:rFonts w:ascii="Arial" w:hAnsi="Arial" w:cs="Arial"/>
          <w:b/>
          <w:lang w:val="en-US"/>
        </w:rPr>
        <w:t xml:space="preserve">s </w:t>
      </w:r>
    </w:p>
    <w:p w14:paraId="2E2D79F9" w14:textId="77777777" w:rsidR="005D1B15" w:rsidRPr="00A10BC4" w:rsidRDefault="00783DA8" w:rsidP="00A10BC4">
      <w:pPr>
        <w:spacing w:line="360" w:lineRule="auto"/>
        <w:jc w:val="both"/>
        <w:rPr>
          <w:rFonts w:ascii="Arial" w:hAnsi="Arial" w:cs="Arial"/>
          <w:sz w:val="20"/>
          <w:szCs w:val="20"/>
        </w:rPr>
      </w:pPr>
      <w:r w:rsidRPr="00A10BC4">
        <w:rPr>
          <w:rFonts w:ascii="Arial" w:hAnsi="Arial" w:cs="Arial"/>
          <w:sz w:val="20"/>
          <w:szCs w:val="20"/>
          <w:lang w:val="en-US"/>
        </w:rPr>
        <w:t xml:space="preserve">Table 4 shows the results of leaf area of oil palm seedlings at different periods after planting as affected by different mulching materials. The results obtained indicated that at 6 MAP, the different mulching materials didn't have effects on oil palm seedlings leaf area as there was no significant difference(p&gt;0.05) in leaf area between the different mulching materials. Contrarily, at 9 MAP, EFB had significantly. (p&lt;0.05) the highest leaf area followed by polythene and sawdust while the control had the least leaf area. Furthermore, at 12 MAP, EFB had highest leaf area and significantly(p&lt;0.05) higher than other mulches. Polythene and sawdust were not significantly(p&gt;0.05) different from each other in their leaf area but different and higher than the control at 12 MAP. No significant difference between leaf area among the mulching materials may be due to fact that 6 months is not long enough for impacts of these materials to manifest. </w:t>
      </w:r>
    </w:p>
    <w:p w14:paraId="79DE9A1E" w14:textId="46D071CF" w:rsidR="005D1B15" w:rsidRPr="00722477" w:rsidRDefault="00783DA8" w:rsidP="00722477">
      <w:pPr>
        <w:spacing w:line="360" w:lineRule="auto"/>
        <w:jc w:val="both"/>
        <w:rPr>
          <w:rFonts w:ascii="Arial" w:hAnsi="Arial" w:cs="Arial"/>
          <w:sz w:val="20"/>
          <w:szCs w:val="20"/>
        </w:rPr>
      </w:pPr>
      <w:r w:rsidRPr="00A7682D">
        <w:rPr>
          <w:rFonts w:ascii="Arial" w:hAnsi="Arial" w:cs="Arial"/>
          <w:sz w:val="20"/>
          <w:szCs w:val="20"/>
        </w:rPr>
        <w:t xml:space="preserve">At 6 months, each of the treatment had </w:t>
      </w:r>
      <w:r w:rsidRPr="00A7682D">
        <w:rPr>
          <w:rFonts w:ascii="Arial" w:hAnsi="Arial" w:cs="Arial"/>
          <w:sz w:val="20"/>
          <w:szCs w:val="20"/>
          <w:lang w:val="en-US"/>
        </w:rPr>
        <w:t xml:space="preserve">the same </w:t>
      </w:r>
      <w:r w:rsidRPr="00A7682D">
        <w:rPr>
          <w:rFonts w:ascii="Arial" w:hAnsi="Arial" w:cs="Arial"/>
          <w:sz w:val="20"/>
          <w:szCs w:val="20"/>
        </w:rPr>
        <w:t>mean value of 0.03 cm</w:t>
      </w:r>
      <w:r w:rsidRPr="00A7682D">
        <w:rPr>
          <w:rFonts w:ascii="Arial" w:hAnsi="Arial" w:cs="Arial"/>
          <w:sz w:val="20"/>
          <w:szCs w:val="20"/>
          <w:vertAlign w:val="superscript"/>
        </w:rPr>
        <w:t>2</w:t>
      </w:r>
      <w:r w:rsidRPr="00A7682D">
        <w:rPr>
          <w:rFonts w:ascii="Arial" w:hAnsi="Arial" w:cs="Arial"/>
          <w:sz w:val="20"/>
          <w:szCs w:val="20"/>
          <w:vertAlign w:val="superscript"/>
          <w:lang w:val="en-US"/>
        </w:rPr>
        <w:t>.</w:t>
      </w:r>
      <w:r w:rsidRPr="00A7682D">
        <w:rPr>
          <w:rFonts w:ascii="Arial" w:hAnsi="Arial" w:cs="Arial"/>
          <w:sz w:val="20"/>
          <w:szCs w:val="20"/>
          <w:lang w:val="en-US"/>
        </w:rPr>
        <w:t>. At 9 MAP, the means of leaf area were 0.</w:t>
      </w:r>
      <w:r w:rsidRPr="00A7682D">
        <w:rPr>
          <w:rFonts w:ascii="Arial" w:hAnsi="Arial" w:cs="Arial"/>
          <w:sz w:val="20"/>
          <w:szCs w:val="20"/>
        </w:rPr>
        <w:t>31, 0.21, 0.21, and 0.19 cm</w:t>
      </w:r>
      <w:r w:rsidRPr="00A7682D">
        <w:rPr>
          <w:rFonts w:ascii="Arial" w:hAnsi="Arial" w:cs="Arial"/>
          <w:sz w:val="20"/>
          <w:szCs w:val="20"/>
          <w:vertAlign w:val="superscript"/>
        </w:rPr>
        <w:t>2</w:t>
      </w:r>
      <w:r w:rsidRPr="00A7682D">
        <w:rPr>
          <w:rFonts w:ascii="Arial" w:hAnsi="Arial" w:cs="Arial"/>
          <w:sz w:val="20"/>
          <w:szCs w:val="20"/>
        </w:rPr>
        <w:t xml:space="preserve"> </w:t>
      </w:r>
      <w:r w:rsidRPr="00A7682D">
        <w:rPr>
          <w:rFonts w:ascii="Arial" w:hAnsi="Arial" w:cs="Arial"/>
          <w:sz w:val="20"/>
          <w:szCs w:val="20"/>
          <w:lang w:val="en-US"/>
        </w:rPr>
        <w:t xml:space="preserve">in </w:t>
      </w:r>
      <w:r w:rsidRPr="00A7682D">
        <w:rPr>
          <w:rFonts w:ascii="Arial" w:hAnsi="Arial" w:cs="Arial"/>
          <w:sz w:val="20"/>
          <w:szCs w:val="20"/>
        </w:rPr>
        <w:t>EFB, polythene, sawdust and unmulch respectively</w:t>
      </w:r>
      <w:r w:rsidRPr="00A7682D">
        <w:rPr>
          <w:rFonts w:ascii="Arial" w:hAnsi="Arial" w:cs="Arial"/>
          <w:sz w:val="20"/>
          <w:szCs w:val="20"/>
          <w:lang w:val="en-US"/>
        </w:rPr>
        <w:t xml:space="preserve"> </w:t>
      </w:r>
      <w:r w:rsidRPr="00A7682D">
        <w:rPr>
          <w:rFonts w:ascii="Arial" w:hAnsi="Arial" w:cs="Arial"/>
          <w:sz w:val="20"/>
          <w:szCs w:val="20"/>
          <w:lang w:val="en-US"/>
        </w:rPr>
        <w:lastRenderedPageBreak/>
        <w:t>whereas at</w:t>
      </w:r>
      <w:r w:rsidRPr="00A7682D">
        <w:rPr>
          <w:rFonts w:ascii="Arial" w:hAnsi="Arial" w:cs="Arial"/>
          <w:sz w:val="20"/>
          <w:szCs w:val="20"/>
        </w:rPr>
        <w:t xml:space="preserve"> 12 </w:t>
      </w:r>
      <w:r w:rsidRPr="00A7682D">
        <w:rPr>
          <w:rFonts w:ascii="Arial" w:hAnsi="Arial" w:cs="Arial"/>
          <w:sz w:val="20"/>
          <w:szCs w:val="20"/>
          <w:lang w:val="en-US"/>
        </w:rPr>
        <w:t>MAP,</w:t>
      </w:r>
      <w:r w:rsidRPr="00A7682D">
        <w:rPr>
          <w:rFonts w:ascii="Arial" w:hAnsi="Arial" w:cs="Arial"/>
          <w:sz w:val="20"/>
          <w:szCs w:val="20"/>
        </w:rPr>
        <w:t xml:space="preserve"> 0.52 cm</w:t>
      </w:r>
      <w:r w:rsidRPr="00A7682D">
        <w:rPr>
          <w:rFonts w:ascii="Arial" w:hAnsi="Arial" w:cs="Arial"/>
          <w:sz w:val="20"/>
          <w:szCs w:val="20"/>
          <w:vertAlign w:val="superscript"/>
        </w:rPr>
        <w:t xml:space="preserve">2 </w:t>
      </w:r>
      <w:r w:rsidR="00757CDA" w:rsidRPr="00A7682D">
        <w:rPr>
          <w:rFonts w:ascii="Arial" w:hAnsi="Arial" w:cs="Arial"/>
          <w:sz w:val="20"/>
          <w:szCs w:val="20"/>
          <w:lang w:val="en-US"/>
        </w:rPr>
        <w:t>,</w:t>
      </w:r>
      <w:r w:rsidRPr="00A7682D">
        <w:rPr>
          <w:rFonts w:ascii="Arial" w:hAnsi="Arial" w:cs="Arial"/>
          <w:sz w:val="20"/>
          <w:szCs w:val="20"/>
          <w:vertAlign w:val="superscript"/>
          <w:lang w:val="en-US"/>
        </w:rPr>
        <w:t xml:space="preserve"> </w:t>
      </w:r>
      <w:r w:rsidRPr="00A7682D">
        <w:rPr>
          <w:rFonts w:ascii="Arial" w:hAnsi="Arial" w:cs="Arial"/>
          <w:sz w:val="20"/>
          <w:szCs w:val="20"/>
          <w:lang w:val="en-US"/>
        </w:rPr>
        <w:t>0.46c</w:t>
      </w:r>
      <w:r w:rsidRPr="00A7682D">
        <w:rPr>
          <w:rFonts w:ascii="Arial" w:hAnsi="Arial" w:cs="Arial"/>
          <w:sz w:val="20"/>
          <w:szCs w:val="20"/>
        </w:rPr>
        <w:t>m</w:t>
      </w:r>
      <w:r w:rsidRPr="00A7682D">
        <w:rPr>
          <w:rFonts w:ascii="Arial" w:hAnsi="Arial" w:cs="Arial"/>
          <w:sz w:val="20"/>
          <w:szCs w:val="20"/>
          <w:vertAlign w:val="superscript"/>
        </w:rPr>
        <w:t>2</w:t>
      </w:r>
      <w:r w:rsidRPr="00A7682D">
        <w:rPr>
          <w:rFonts w:ascii="Arial" w:hAnsi="Arial" w:cs="Arial"/>
          <w:sz w:val="20"/>
          <w:szCs w:val="20"/>
          <w:lang w:val="en-US"/>
        </w:rPr>
        <w:t xml:space="preserve">, </w:t>
      </w:r>
      <w:r w:rsidRPr="00A7682D">
        <w:rPr>
          <w:rFonts w:ascii="Arial" w:hAnsi="Arial" w:cs="Arial"/>
          <w:sz w:val="20"/>
          <w:szCs w:val="20"/>
        </w:rPr>
        <w:t>0.40 cm</w:t>
      </w:r>
      <w:r w:rsidRPr="00A7682D">
        <w:rPr>
          <w:rFonts w:ascii="Arial" w:hAnsi="Arial" w:cs="Arial"/>
          <w:sz w:val="20"/>
          <w:szCs w:val="20"/>
          <w:vertAlign w:val="superscript"/>
        </w:rPr>
        <w:t>2</w:t>
      </w:r>
      <w:r w:rsidRPr="00A7682D">
        <w:rPr>
          <w:rFonts w:ascii="Arial" w:hAnsi="Arial" w:cs="Arial"/>
          <w:sz w:val="20"/>
          <w:szCs w:val="20"/>
        </w:rPr>
        <w:t xml:space="preserve"> </w:t>
      </w:r>
      <w:r w:rsidRPr="00A7682D">
        <w:rPr>
          <w:rFonts w:ascii="Arial" w:hAnsi="Arial" w:cs="Arial"/>
          <w:sz w:val="20"/>
          <w:szCs w:val="20"/>
          <w:lang w:val="en-US"/>
        </w:rPr>
        <w:t xml:space="preserve">and </w:t>
      </w:r>
      <w:r w:rsidRPr="00A7682D">
        <w:rPr>
          <w:rFonts w:ascii="Arial" w:hAnsi="Arial" w:cs="Arial"/>
          <w:sz w:val="20"/>
          <w:szCs w:val="20"/>
        </w:rPr>
        <w:t>0.25 cm</w:t>
      </w:r>
      <w:r w:rsidRPr="00A7682D">
        <w:rPr>
          <w:rFonts w:ascii="Arial" w:hAnsi="Arial" w:cs="Arial"/>
          <w:sz w:val="20"/>
          <w:szCs w:val="20"/>
          <w:vertAlign w:val="superscript"/>
        </w:rPr>
        <w:t>2</w:t>
      </w:r>
      <w:r w:rsidR="00095B5D" w:rsidRPr="00A7682D">
        <w:rPr>
          <w:rFonts w:ascii="Arial" w:hAnsi="Arial" w:cs="Arial"/>
          <w:sz w:val="20"/>
          <w:szCs w:val="20"/>
        </w:rPr>
        <w:t xml:space="preserve"> i</w:t>
      </w:r>
      <w:r w:rsidRPr="00A7682D">
        <w:rPr>
          <w:rFonts w:ascii="Arial" w:hAnsi="Arial" w:cs="Arial"/>
          <w:sz w:val="20"/>
          <w:szCs w:val="20"/>
          <w:lang w:val="en-US"/>
        </w:rPr>
        <w:t>n EFB, polythene, sawdust and control.</w:t>
      </w:r>
    </w:p>
    <w:p w14:paraId="6BCB68C8" w14:textId="77777777" w:rsidR="005D1B15" w:rsidRPr="002F61AE" w:rsidRDefault="00783DA8" w:rsidP="00C1030E">
      <w:pPr>
        <w:spacing w:after="0" w:line="240" w:lineRule="auto"/>
        <w:rPr>
          <w:rFonts w:ascii="Arial" w:hAnsi="Arial" w:cs="Arial"/>
          <w:b/>
        </w:rPr>
      </w:pPr>
      <w:r w:rsidRPr="002F61AE">
        <w:rPr>
          <w:rFonts w:ascii="Arial" w:hAnsi="Arial" w:cs="Arial"/>
        </w:rPr>
        <w:t xml:space="preserve"> </w:t>
      </w:r>
      <w:r w:rsidRPr="002F61AE">
        <w:rPr>
          <w:rFonts w:ascii="Arial" w:hAnsi="Arial" w:cs="Arial"/>
          <w:b/>
        </w:rPr>
        <w:t>Table 1: Mean height of oil palm seedling at 6, 9 and 12 month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1864"/>
        <w:gridCol w:w="1777"/>
        <w:gridCol w:w="1951"/>
        <w:gridCol w:w="1460"/>
      </w:tblGrid>
      <w:tr w:rsidR="005D1B15" w:rsidRPr="002F61AE" w14:paraId="2AB902BB" w14:textId="77777777" w:rsidTr="00722477">
        <w:trPr>
          <w:trHeight w:val="341"/>
        </w:trPr>
        <w:tc>
          <w:tcPr>
            <w:tcW w:w="1998" w:type="dxa"/>
            <w:vMerge w:val="restart"/>
            <w:tcBorders>
              <w:top w:val="single" w:sz="4" w:space="0" w:color="auto"/>
              <w:bottom w:val="nil"/>
            </w:tcBorders>
            <w:vAlign w:val="center"/>
          </w:tcPr>
          <w:p w14:paraId="757FB278"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EEEA280" w14:textId="77777777" w:rsidR="005D1B15" w:rsidRPr="002F61AE" w:rsidRDefault="00783DA8">
            <w:pPr>
              <w:jc w:val="center"/>
              <w:rPr>
                <w:rFonts w:ascii="Arial" w:hAnsi="Arial" w:cs="Arial"/>
                <w:b/>
              </w:rPr>
            </w:pPr>
            <w:r w:rsidRPr="002F61AE">
              <w:rPr>
                <w:rFonts w:ascii="Arial" w:hAnsi="Arial" w:cs="Arial"/>
                <w:b/>
              </w:rPr>
              <w:t>Height (cm)</w:t>
            </w:r>
          </w:p>
        </w:tc>
        <w:tc>
          <w:tcPr>
            <w:tcW w:w="1488" w:type="dxa"/>
            <w:vMerge w:val="restart"/>
            <w:tcBorders>
              <w:top w:val="single" w:sz="4" w:space="0" w:color="auto"/>
              <w:bottom w:val="single" w:sz="4" w:space="0" w:color="auto"/>
            </w:tcBorders>
            <w:vAlign w:val="center"/>
          </w:tcPr>
          <w:p w14:paraId="63DCDA8B" w14:textId="77777777" w:rsidR="005D1B15" w:rsidRPr="002F61AE" w:rsidRDefault="00783DA8">
            <w:pPr>
              <w:jc w:val="center"/>
              <w:rPr>
                <w:rFonts w:ascii="Arial" w:hAnsi="Arial" w:cs="Arial"/>
                <w:b/>
              </w:rPr>
            </w:pPr>
            <w:r w:rsidRPr="002F61AE">
              <w:rPr>
                <w:rFonts w:ascii="Arial" w:hAnsi="Arial" w:cs="Arial"/>
                <w:b/>
              </w:rPr>
              <w:t>Sig dif</w:t>
            </w:r>
          </w:p>
        </w:tc>
      </w:tr>
      <w:tr w:rsidR="005D1B15" w:rsidRPr="002F61AE" w14:paraId="510F1748" w14:textId="77777777" w:rsidTr="00722477">
        <w:trPr>
          <w:trHeight w:val="350"/>
        </w:trPr>
        <w:tc>
          <w:tcPr>
            <w:tcW w:w="1998" w:type="dxa"/>
            <w:vMerge/>
            <w:tcBorders>
              <w:top w:val="nil"/>
              <w:bottom w:val="single" w:sz="4" w:space="0" w:color="auto"/>
            </w:tcBorders>
            <w:vAlign w:val="center"/>
          </w:tcPr>
          <w:p w14:paraId="16AA798E"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25060A37"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73C29A59"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0BA83548"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4F10C2D4" w14:textId="77777777" w:rsidR="005D1B15" w:rsidRPr="002F61AE" w:rsidRDefault="005D1B15">
            <w:pPr>
              <w:jc w:val="center"/>
              <w:rPr>
                <w:rFonts w:ascii="Arial" w:hAnsi="Arial" w:cs="Arial"/>
              </w:rPr>
            </w:pPr>
          </w:p>
        </w:tc>
      </w:tr>
      <w:tr w:rsidR="005D1B15" w:rsidRPr="002F61AE" w14:paraId="2F91A264" w14:textId="77777777" w:rsidTr="00722477">
        <w:trPr>
          <w:trHeight w:val="350"/>
        </w:trPr>
        <w:tc>
          <w:tcPr>
            <w:tcW w:w="1998" w:type="dxa"/>
            <w:tcBorders>
              <w:top w:val="single" w:sz="4" w:space="0" w:color="auto"/>
            </w:tcBorders>
            <w:vAlign w:val="center"/>
          </w:tcPr>
          <w:p w14:paraId="4AFCFDF2"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66A7101E" w14:textId="77777777" w:rsidR="005D1B15" w:rsidRPr="002F61AE" w:rsidRDefault="00783DA8">
            <w:pPr>
              <w:jc w:val="center"/>
              <w:rPr>
                <w:rFonts w:ascii="Arial" w:hAnsi="Arial" w:cs="Arial"/>
              </w:rPr>
            </w:pPr>
            <w:r w:rsidRPr="002F61AE">
              <w:rPr>
                <w:rFonts w:ascii="Arial" w:hAnsi="Arial" w:cs="Arial"/>
              </w:rPr>
              <w:t>60.04</w:t>
            </w:r>
            <w:r w:rsidRPr="002F61AE">
              <w:rPr>
                <w:rFonts w:ascii="Arial" w:hAnsi="Arial" w:cs="Arial"/>
                <w:vertAlign w:val="superscript"/>
              </w:rPr>
              <w:t>a</w:t>
            </w:r>
          </w:p>
        </w:tc>
        <w:tc>
          <w:tcPr>
            <w:tcW w:w="1800" w:type="dxa"/>
            <w:tcBorders>
              <w:top w:val="single" w:sz="4" w:space="0" w:color="auto"/>
            </w:tcBorders>
            <w:vAlign w:val="center"/>
          </w:tcPr>
          <w:p w14:paraId="32223B9F" w14:textId="77777777" w:rsidR="005D1B15" w:rsidRPr="002F61AE" w:rsidRDefault="00783DA8">
            <w:pPr>
              <w:jc w:val="center"/>
              <w:rPr>
                <w:rFonts w:ascii="Arial" w:hAnsi="Arial" w:cs="Arial"/>
              </w:rPr>
            </w:pPr>
            <w:r w:rsidRPr="002F61AE">
              <w:rPr>
                <w:rFonts w:ascii="Arial" w:hAnsi="Arial" w:cs="Arial"/>
              </w:rPr>
              <w:t>95.83</w:t>
            </w:r>
            <w:r w:rsidRPr="002F61AE">
              <w:rPr>
                <w:rFonts w:ascii="Arial" w:hAnsi="Arial" w:cs="Arial"/>
                <w:vertAlign w:val="superscript"/>
              </w:rPr>
              <w:t>a</w:t>
            </w:r>
          </w:p>
        </w:tc>
        <w:tc>
          <w:tcPr>
            <w:tcW w:w="1980" w:type="dxa"/>
            <w:tcBorders>
              <w:top w:val="single" w:sz="4" w:space="0" w:color="auto"/>
            </w:tcBorders>
            <w:vAlign w:val="center"/>
          </w:tcPr>
          <w:p w14:paraId="66560BBD" w14:textId="77777777" w:rsidR="005D1B15" w:rsidRPr="002F61AE" w:rsidRDefault="00783DA8">
            <w:pPr>
              <w:jc w:val="center"/>
              <w:rPr>
                <w:rFonts w:ascii="Arial" w:hAnsi="Arial" w:cs="Arial"/>
              </w:rPr>
            </w:pPr>
            <w:r w:rsidRPr="002F61AE">
              <w:rPr>
                <w:rFonts w:ascii="Arial" w:hAnsi="Arial" w:cs="Arial"/>
              </w:rPr>
              <w:t>139.05</w:t>
            </w:r>
            <w:r w:rsidRPr="002F61AE">
              <w:rPr>
                <w:rFonts w:ascii="Arial" w:hAnsi="Arial" w:cs="Arial"/>
                <w:vertAlign w:val="superscript"/>
              </w:rPr>
              <w:t>a</w:t>
            </w:r>
          </w:p>
        </w:tc>
        <w:tc>
          <w:tcPr>
            <w:tcW w:w="1488" w:type="dxa"/>
            <w:tcBorders>
              <w:top w:val="single" w:sz="4" w:space="0" w:color="auto"/>
            </w:tcBorders>
            <w:vAlign w:val="center"/>
          </w:tcPr>
          <w:p w14:paraId="0E0D4EB8"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84E020A" w14:textId="77777777" w:rsidTr="00722477">
        <w:trPr>
          <w:trHeight w:val="180"/>
        </w:trPr>
        <w:tc>
          <w:tcPr>
            <w:tcW w:w="1998" w:type="dxa"/>
            <w:vAlign w:val="center"/>
          </w:tcPr>
          <w:p w14:paraId="010F9CFD"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4F065466" w14:textId="77777777" w:rsidR="005D1B15" w:rsidRPr="002F61AE" w:rsidRDefault="00783DA8">
            <w:pPr>
              <w:jc w:val="center"/>
              <w:rPr>
                <w:rFonts w:ascii="Arial" w:hAnsi="Arial" w:cs="Arial"/>
              </w:rPr>
            </w:pPr>
            <w:r w:rsidRPr="002F61AE">
              <w:rPr>
                <w:rFonts w:ascii="Arial" w:hAnsi="Arial" w:cs="Arial"/>
              </w:rPr>
              <w:t>58.83</w:t>
            </w:r>
            <w:r w:rsidRPr="002F61AE">
              <w:rPr>
                <w:rFonts w:ascii="Arial" w:hAnsi="Arial" w:cs="Arial"/>
                <w:vertAlign w:val="superscript"/>
              </w:rPr>
              <w:t>b</w:t>
            </w:r>
          </w:p>
        </w:tc>
        <w:tc>
          <w:tcPr>
            <w:tcW w:w="1800" w:type="dxa"/>
            <w:vAlign w:val="center"/>
          </w:tcPr>
          <w:p w14:paraId="40E0B9A1" w14:textId="77777777" w:rsidR="005D1B15" w:rsidRPr="002F61AE" w:rsidRDefault="00783DA8">
            <w:pPr>
              <w:jc w:val="center"/>
              <w:rPr>
                <w:rFonts w:ascii="Arial" w:hAnsi="Arial" w:cs="Arial"/>
              </w:rPr>
            </w:pPr>
            <w:r w:rsidRPr="002F61AE">
              <w:rPr>
                <w:rFonts w:ascii="Arial" w:hAnsi="Arial" w:cs="Arial"/>
              </w:rPr>
              <w:t>96.84</w:t>
            </w:r>
            <w:r w:rsidRPr="002F61AE">
              <w:rPr>
                <w:rFonts w:ascii="Arial" w:hAnsi="Arial" w:cs="Arial"/>
                <w:vertAlign w:val="superscript"/>
              </w:rPr>
              <w:t>b</w:t>
            </w:r>
          </w:p>
        </w:tc>
        <w:tc>
          <w:tcPr>
            <w:tcW w:w="1980" w:type="dxa"/>
            <w:vAlign w:val="center"/>
          </w:tcPr>
          <w:p w14:paraId="083E1C00" w14:textId="77777777" w:rsidR="005D1B15" w:rsidRPr="002F61AE" w:rsidRDefault="00783DA8">
            <w:pPr>
              <w:jc w:val="center"/>
              <w:rPr>
                <w:rFonts w:ascii="Arial" w:hAnsi="Arial" w:cs="Arial"/>
              </w:rPr>
            </w:pPr>
            <w:r w:rsidRPr="002F61AE">
              <w:rPr>
                <w:rFonts w:ascii="Arial" w:hAnsi="Arial" w:cs="Arial"/>
              </w:rPr>
              <w:t>137.75</w:t>
            </w:r>
            <w:r w:rsidRPr="002F61AE">
              <w:rPr>
                <w:rFonts w:ascii="Arial" w:hAnsi="Arial" w:cs="Arial"/>
                <w:vertAlign w:val="superscript"/>
              </w:rPr>
              <w:t>b</w:t>
            </w:r>
          </w:p>
        </w:tc>
        <w:tc>
          <w:tcPr>
            <w:tcW w:w="1488" w:type="dxa"/>
            <w:vAlign w:val="center"/>
          </w:tcPr>
          <w:p w14:paraId="51C4DC8E"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27A9D090" w14:textId="77777777" w:rsidTr="009C10AE">
        <w:trPr>
          <w:trHeight w:val="198"/>
        </w:trPr>
        <w:tc>
          <w:tcPr>
            <w:tcW w:w="1998" w:type="dxa"/>
            <w:vAlign w:val="center"/>
          </w:tcPr>
          <w:p w14:paraId="33B0F3EE"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268AB114" w14:textId="77777777" w:rsidR="005D1B15" w:rsidRPr="002F61AE" w:rsidRDefault="00783DA8">
            <w:pPr>
              <w:jc w:val="center"/>
              <w:rPr>
                <w:rFonts w:ascii="Arial" w:hAnsi="Arial" w:cs="Arial"/>
              </w:rPr>
            </w:pPr>
            <w:r w:rsidRPr="002F61AE">
              <w:rPr>
                <w:rFonts w:ascii="Arial" w:hAnsi="Arial" w:cs="Arial"/>
              </w:rPr>
              <w:t>55.92</w:t>
            </w:r>
            <w:r w:rsidRPr="002F61AE">
              <w:rPr>
                <w:rFonts w:ascii="Arial" w:hAnsi="Arial" w:cs="Arial"/>
                <w:vertAlign w:val="superscript"/>
              </w:rPr>
              <w:t>c</w:t>
            </w:r>
          </w:p>
        </w:tc>
        <w:tc>
          <w:tcPr>
            <w:tcW w:w="1800" w:type="dxa"/>
            <w:vAlign w:val="center"/>
          </w:tcPr>
          <w:p w14:paraId="31B807E9" w14:textId="77777777" w:rsidR="005D1B15" w:rsidRPr="002F61AE" w:rsidRDefault="00783DA8">
            <w:pPr>
              <w:jc w:val="center"/>
              <w:rPr>
                <w:rFonts w:ascii="Arial" w:hAnsi="Arial" w:cs="Arial"/>
              </w:rPr>
            </w:pPr>
            <w:r w:rsidRPr="002F61AE">
              <w:rPr>
                <w:rFonts w:ascii="Arial" w:hAnsi="Arial" w:cs="Arial"/>
              </w:rPr>
              <w:t>94.15</w:t>
            </w:r>
            <w:r w:rsidRPr="002F61AE">
              <w:rPr>
                <w:rFonts w:ascii="Arial" w:hAnsi="Arial" w:cs="Arial"/>
                <w:vertAlign w:val="superscript"/>
              </w:rPr>
              <w:t>c</w:t>
            </w:r>
          </w:p>
        </w:tc>
        <w:tc>
          <w:tcPr>
            <w:tcW w:w="1980" w:type="dxa"/>
            <w:vAlign w:val="center"/>
          </w:tcPr>
          <w:p w14:paraId="7C143F98" w14:textId="77777777" w:rsidR="005D1B15" w:rsidRPr="002F61AE" w:rsidRDefault="00783DA8">
            <w:pPr>
              <w:jc w:val="center"/>
              <w:rPr>
                <w:rFonts w:ascii="Arial" w:hAnsi="Arial" w:cs="Arial"/>
              </w:rPr>
            </w:pPr>
            <w:r w:rsidRPr="002F61AE">
              <w:rPr>
                <w:rFonts w:ascii="Arial" w:hAnsi="Arial" w:cs="Arial"/>
              </w:rPr>
              <w:t>130.84</w:t>
            </w:r>
            <w:r w:rsidRPr="002F61AE">
              <w:rPr>
                <w:rFonts w:ascii="Arial" w:hAnsi="Arial" w:cs="Arial"/>
                <w:vertAlign w:val="superscript"/>
              </w:rPr>
              <w:t>c</w:t>
            </w:r>
          </w:p>
        </w:tc>
        <w:tc>
          <w:tcPr>
            <w:tcW w:w="1488" w:type="dxa"/>
            <w:vAlign w:val="center"/>
          </w:tcPr>
          <w:p w14:paraId="2FD8B523"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9389495" w14:textId="77777777" w:rsidTr="009C10AE">
        <w:trPr>
          <w:trHeight w:val="360"/>
        </w:trPr>
        <w:tc>
          <w:tcPr>
            <w:tcW w:w="1998" w:type="dxa"/>
            <w:vAlign w:val="center"/>
          </w:tcPr>
          <w:p w14:paraId="38B2FDC7"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45BE907D" w14:textId="77777777" w:rsidR="005D1B15" w:rsidRPr="002F61AE" w:rsidRDefault="00783DA8">
            <w:pPr>
              <w:jc w:val="center"/>
              <w:rPr>
                <w:rFonts w:ascii="Arial" w:hAnsi="Arial" w:cs="Arial"/>
              </w:rPr>
            </w:pPr>
            <w:r w:rsidRPr="002F61AE">
              <w:rPr>
                <w:rFonts w:ascii="Arial" w:hAnsi="Arial" w:cs="Arial"/>
              </w:rPr>
              <w:t>53.59</w:t>
            </w:r>
            <w:r w:rsidRPr="002F61AE">
              <w:rPr>
                <w:rFonts w:ascii="Arial" w:hAnsi="Arial" w:cs="Arial"/>
                <w:vertAlign w:val="superscript"/>
              </w:rPr>
              <w:t>d</w:t>
            </w:r>
          </w:p>
        </w:tc>
        <w:tc>
          <w:tcPr>
            <w:tcW w:w="1800" w:type="dxa"/>
            <w:vAlign w:val="center"/>
          </w:tcPr>
          <w:p w14:paraId="3AB9D30B" w14:textId="77777777" w:rsidR="005D1B15" w:rsidRPr="002F61AE" w:rsidRDefault="00783DA8">
            <w:pPr>
              <w:jc w:val="center"/>
              <w:rPr>
                <w:rFonts w:ascii="Arial" w:hAnsi="Arial" w:cs="Arial"/>
              </w:rPr>
            </w:pPr>
            <w:r w:rsidRPr="002F61AE">
              <w:rPr>
                <w:rFonts w:ascii="Arial" w:hAnsi="Arial" w:cs="Arial"/>
              </w:rPr>
              <w:t>89.29</w:t>
            </w:r>
            <w:r w:rsidRPr="002F61AE">
              <w:rPr>
                <w:rFonts w:ascii="Arial" w:hAnsi="Arial" w:cs="Arial"/>
                <w:vertAlign w:val="superscript"/>
              </w:rPr>
              <w:t>d</w:t>
            </w:r>
          </w:p>
        </w:tc>
        <w:tc>
          <w:tcPr>
            <w:tcW w:w="1980" w:type="dxa"/>
            <w:vAlign w:val="center"/>
          </w:tcPr>
          <w:p w14:paraId="05E2195A" w14:textId="77777777" w:rsidR="005D1B15" w:rsidRPr="002F61AE" w:rsidRDefault="00783DA8">
            <w:pPr>
              <w:jc w:val="center"/>
              <w:rPr>
                <w:rFonts w:ascii="Arial" w:hAnsi="Arial" w:cs="Arial"/>
              </w:rPr>
            </w:pPr>
            <w:r w:rsidRPr="002F61AE">
              <w:rPr>
                <w:rFonts w:ascii="Arial" w:hAnsi="Arial" w:cs="Arial"/>
              </w:rPr>
              <w:t>130.42</w:t>
            </w:r>
            <w:r w:rsidRPr="002F61AE">
              <w:rPr>
                <w:rFonts w:ascii="Arial" w:hAnsi="Arial" w:cs="Arial"/>
                <w:vertAlign w:val="superscript"/>
              </w:rPr>
              <w:t>c</w:t>
            </w:r>
          </w:p>
        </w:tc>
        <w:tc>
          <w:tcPr>
            <w:tcW w:w="1488" w:type="dxa"/>
            <w:vAlign w:val="center"/>
          </w:tcPr>
          <w:p w14:paraId="4DF348B1" w14:textId="77777777" w:rsidR="005D1B15" w:rsidRPr="002F61AE" w:rsidRDefault="00783DA8">
            <w:pPr>
              <w:jc w:val="center"/>
              <w:rPr>
                <w:rFonts w:ascii="Arial" w:hAnsi="Arial" w:cs="Arial"/>
              </w:rPr>
            </w:pPr>
            <w:r w:rsidRPr="002F61AE">
              <w:rPr>
                <w:rFonts w:ascii="Arial" w:hAnsi="Arial" w:cs="Arial"/>
              </w:rPr>
              <w:t>**</w:t>
            </w:r>
          </w:p>
        </w:tc>
      </w:tr>
    </w:tbl>
    <w:p w14:paraId="37CC05F7" w14:textId="036B6557" w:rsidR="005D1B15" w:rsidRPr="00C73EA2" w:rsidRDefault="00783DA8">
      <w:pPr>
        <w:spacing w:line="240" w:lineRule="auto"/>
        <w:jc w:val="both"/>
        <w:rPr>
          <w:rFonts w:ascii="Arial" w:hAnsi="Arial" w:cs="Arial"/>
          <w:i/>
        </w:rPr>
      </w:pPr>
      <w:r w:rsidRPr="002F61AE">
        <w:rPr>
          <w:rFonts w:ascii="Arial" w:hAnsi="Arial" w:cs="Arial"/>
          <w:i/>
        </w:rPr>
        <w:t>Means with the same superscript letter on the same column are not significantly different (p &gt; 0.050).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290D9758" w14:textId="77777777" w:rsidR="005D1B15" w:rsidRPr="002F61AE" w:rsidRDefault="00783DA8" w:rsidP="00C73EA2">
      <w:pPr>
        <w:spacing w:after="0" w:line="240" w:lineRule="auto"/>
        <w:rPr>
          <w:rFonts w:ascii="Arial" w:hAnsi="Arial" w:cs="Arial"/>
          <w:b/>
        </w:rPr>
      </w:pPr>
      <w:r w:rsidRPr="002F61AE">
        <w:rPr>
          <w:rFonts w:ascii="Arial" w:hAnsi="Arial" w:cs="Arial"/>
          <w:b/>
        </w:rPr>
        <w:t>Table 2: Mean stem girth of oil palm seedling at 6, 9 and 12 month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1864"/>
        <w:gridCol w:w="1777"/>
        <w:gridCol w:w="1951"/>
        <w:gridCol w:w="1460"/>
      </w:tblGrid>
      <w:tr w:rsidR="005D1B15" w:rsidRPr="002F61AE" w14:paraId="6A37C581" w14:textId="77777777" w:rsidTr="00C73EA2">
        <w:trPr>
          <w:trHeight w:val="260"/>
        </w:trPr>
        <w:tc>
          <w:tcPr>
            <w:tcW w:w="1998" w:type="dxa"/>
            <w:vMerge w:val="restart"/>
            <w:tcBorders>
              <w:top w:val="single" w:sz="4" w:space="0" w:color="auto"/>
              <w:bottom w:val="nil"/>
            </w:tcBorders>
            <w:vAlign w:val="center"/>
          </w:tcPr>
          <w:p w14:paraId="0973D0CE"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B1E2D67" w14:textId="77777777" w:rsidR="005D1B15" w:rsidRPr="002F61AE" w:rsidRDefault="00783DA8">
            <w:pPr>
              <w:jc w:val="center"/>
              <w:rPr>
                <w:rFonts w:ascii="Arial" w:hAnsi="Arial" w:cs="Arial"/>
                <w:b/>
              </w:rPr>
            </w:pPr>
            <w:r w:rsidRPr="002F61AE">
              <w:rPr>
                <w:rFonts w:ascii="Arial" w:hAnsi="Arial" w:cs="Arial"/>
                <w:b/>
              </w:rPr>
              <w:t>Girth (cm)</w:t>
            </w:r>
          </w:p>
        </w:tc>
        <w:tc>
          <w:tcPr>
            <w:tcW w:w="1488" w:type="dxa"/>
            <w:vMerge w:val="restart"/>
            <w:tcBorders>
              <w:top w:val="single" w:sz="4" w:space="0" w:color="auto"/>
              <w:bottom w:val="single" w:sz="4" w:space="0" w:color="auto"/>
            </w:tcBorders>
            <w:vAlign w:val="center"/>
          </w:tcPr>
          <w:p w14:paraId="0FC09599" w14:textId="77777777" w:rsidR="005D1B15" w:rsidRPr="002F61AE" w:rsidRDefault="00783DA8">
            <w:pPr>
              <w:jc w:val="center"/>
              <w:rPr>
                <w:rFonts w:ascii="Arial" w:hAnsi="Arial" w:cs="Arial"/>
                <w:b/>
              </w:rPr>
            </w:pPr>
            <w:r w:rsidRPr="002F61AE">
              <w:rPr>
                <w:rFonts w:ascii="Arial" w:hAnsi="Arial" w:cs="Arial"/>
                <w:b/>
              </w:rPr>
              <w:t>Sig dif</w:t>
            </w:r>
          </w:p>
        </w:tc>
      </w:tr>
      <w:tr w:rsidR="005D1B15" w:rsidRPr="002F61AE" w14:paraId="3FC30305" w14:textId="77777777" w:rsidTr="00C73EA2">
        <w:trPr>
          <w:trHeight w:val="350"/>
        </w:trPr>
        <w:tc>
          <w:tcPr>
            <w:tcW w:w="1998" w:type="dxa"/>
            <w:vMerge/>
            <w:tcBorders>
              <w:top w:val="nil"/>
              <w:bottom w:val="single" w:sz="4" w:space="0" w:color="auto"/>
            </w:tcBorders>
            <w:vAlign w:val="center"/>
          </w:tcPr>
          <w:p w14:paraId="78A0C52B"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4AB9049F"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36F3274C"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293758CA"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4B56107A" w14:textId="77777777" w:rsidR="005D1B15" w:rsidRPr="002F61AE" w:rsidRDefault="005D1B15">
            <w:pPr>
              <w:jc w:val="center"/>
              <w:rPr>
                <w:rFonts w:ascii="Arial" w:hAnsi="Arial" w:cs="Arial"/>
              </w:rPr>
            </w:pPr>
          </w:p>
        </w:tc>
      </w:tr>
      <w:tr w:rsidR="005D1B15" w:rsidRPr="002F61AE" w14:paraId="7327E100" w14:textId="77777777" w:rsidTr="00C73EA2">
        <w:trPr>
          <w:trHeight w:val="260"/>
        </w:trPr>
        <w:tc>
          <w:tcPr>
            <w:tcW w:w="1998" w:type="dxa"/>
            <w:tcBorders>
              <w:top w:val="single" w:sz="4" w:space="0" w:color="auto"/>
            </w:tcBorders>
            <w:vAlign w:val="center"/>
          </w:tcPr>
          <w:p w14:paraId="3757A378"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38270577" w14:textId="77777777" w:rsidR="005D1B15" w:rsidRPr="002F61AE" w:rsidRDefault="00783DA8">
            <w:pPr>
              <w:jc w:val="center"/>
              <w:rPr>
                <w:rFonts w:ascii="Arial" w:hAnsi="Arial" w:cs="Arial"/>
              </w:rPr>
            </w:pPr>
            <w:r w:rsidRPr="002F61AE">
              <w:rPr>
                <w:rFonts w:ascii="Arial" w:hAnsi="Arial" w:cs="Arial"/>
              </w:rPr>
              <w:t>8.73</w:t>
            </w:r>
            <w:r w:rsidRPr="002F61AE">
              <w:rPr>
                <w:rFonts w:ascii="Arial" w:hAnsi="Arial" w:cs="Arial"/>
                <w:vertAlign w:val="superscript"/>
              </w:rPr>
              <w:t>a</w:t>
            </w:r>
          </w:p>
        </w:tc>
        <w:tc>
          <w:tcPr>
            <w:tcW w:w="1800" w:type="dxa"/>
            <w:tcBorders>
              <w:top w:val="single" w:sz="4" w:space="0" w:color="auto"/>
            </w:tcBorders>
            <w:vAlign w:val="center"/>
          </w:tcPr>
          <w:p w14:paraId="4C097C06" w14:textId="77777777" w:rsidR="005D1B15" w:rsidRPr="002F61AE" w:rsidRDefault="00783DA8">
            <w:pPr>
              <w:jc w:val="center"/>
              <w:rPr>
                <w:rFonts w:ascii="Arial" w:hAnsi="Arial" w:cs="Arial"/>
              </w:rPr>
            </w:pPr>
            <w:r w:rsidRPr="002F61AE">
              <w:rPr>
                <w:rFonts w:ascii="Arial" w:hAnsi="Arial" w:cs="Arial"/>
              </w:rPr>
              <w:t>12.83</w:t>
            </w:r>
            <w:r w:rsidRPr="002F61AE">
              <w:rPr>
                <w:rFonts w:ascii="Arial" w:hAnsi="Arial" w:cs="Arial"/>
                <w:vertAlign w:val="superscript"/>
              </w:rPr>
              <w:t>a</w:t>
            </w:r>
          </w:p>
        </w:tc>
        <w:tc>
          <w:tcPr>
            <w:tcW w:w="1980" w:type="dxa"/>
            <w:tcBorders>
              <w:top w:val="single" w:sz="4" w:space="0" w:color="auto"/>
            </w:tcBorders>
            <w:vAlign w:val="center"/>
          </w:tcPr>
          <w:p w14:paraId="22E7CB32" w14:textId="77777777" w:rsidR="005D1B15" w:rsidRPr="002F61AE" w:rsidRDefault="00783DA8">
            <w:pPr>
              <w:jc w:val="center"/>
              <w:rPr>
                <w:rFonts w:ascii="Arial" w:hAnsi="Arial" w:cs="Arial"/>
              </w:rPr>
            </w:pPr>
            <w:r w:rsidRPr="002F61AE">
              <w:rPr>
                <w:rFonts w:ascii="Arial" w:hAnsi="Arial" w:cs="Arial"/>
              </w:rPr>
              <w:t>16.89</w:t>
            </w:r>
            <w:r w:rsidRPr="002F61AE">
              <w:rPr>
                <w:rFonts w:ascii="Arial" w:hAnsi="Arial" w:cs="Arial"/>
                <w:vertAlign w:val="superscript"/>
              </w:rPr>
              <w:t>a</w:t>
            </w:r>
          </w:p>
        </w:tc>
        <w:tc>
          <w:tcPr>
            <w:tcW w:w="1488" w:type="dxa"/>
            <w:tcBorders>
              <w:top w:val="single" w:sz="4" w:space="0" w:color="auto"/>
            </w:tcBorders>
            <w:vAlign w:val="center"/>
          </w:tcPr>
          <w:p w14:paraId="316B0EE9"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79564329" w14:textId="77777777" w:rsidTr="00C73EA2">
        <w:trPr>
          <w:trHeight w:val="180"/>
        </w:trPr>
        <w:tc>
          <w:tcPr>
            <w:tcW w:w="1998" w:type="dxa"/>
            <w:vAlign w:val="center"/>
          </w:tcPr>
          <w:p w14:paraId="5BEFAD77"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14DEA0CC" w14:textId="77777777" w:rsidR="005D1B15" w:rsidRPr="002F61AE" w:rsidRDefault="00783DA8">
            <w:pPr>
              <w:jc w:val="center"/>
              <w:rPr>
                <w:rFonts w:ascii="Arial" w:hAnsi="Arial" w:cs="Arial"/>
              </w:rPr>
            </w:pPr>
            <w:r w:rsidRPr="002F61AE">
              <w:rPr>
                <w:rFonts w:ascii="Arial" w:hAnsi="Arial" w:cs="Arial"/>
              </w:rPr>
              <w:t>8.17</w:t>
            </w:r>
            <w:r w:rsidRPr="002F61AE">
              <w:rPr>
                <w:rFonts w:ascii="Arial" w:hAnsi="Arial" w:cs="Arial"/>
                <w:vertAlign w:val="superscript"/>
              </w:rPr>
              <w:t>a</w:t>
            </w:r>
          </w:p>
        </w:tc>
        <w:tc>
          <w:tcPr>
            <w:tcW w:w="1800" w:type="dxa"/>
            <w:vAlign w:val="center"/>
          </w:tcPr>
          <w:p w14:paraId="3BCB8189" w14:textId="77777777" w:rsidR="005D1B15" w:rsidRPr="002F61AE" w:rsidRDefault="00783DA8">
            <w:pPr>
              <w:jc w:val="center"/>
              <w:rPr>
                <w:rFonts w:ascii="Arial" w:hAnsi="Arial" w:cs="Arial"/>
              </w:rPr>
            </w:pPr>
            <w:r w:rsidRPr="002F61AE">
              <w:rPr>
                <w:rFonts w:ascii="Arial" w:hAnsi="Arial" w:cs="Arial"/>
              </w:rPr>
              <w:t>11.9</w:t>
            </w:r>
            <w:r w:rsidRPr="002F61AE">
              <w:rPr>
                <w:rFonts w:ascii="Arial" w:hAnsi="Arial" w:cs="Arial"/>
                <w:vertAlign w:val="superscript"/>
              </w:rPr>
              <w:t>b</w:t>
            </w:r>
          </w:p>
        </w:tc>
        <w:tc>
          <w:tcPr>
            <w:tcW w:w="1980" w:type="dxa"/>
            <w:vAlign w:val="center"/>
          </w:tcPr>
          <w:p w14:paraId="09352CEE" w14:textId="77777777" w:rsidR="005D1B15" w:rsidRPr="002F61AE" w:rsidRDefault="00783DA8">
            <w:pPr>
              <w:jc w:val="center"/>
              <w:rPr>
                <w:rFonts w:ascii="Arial" w:hAnsi="Arial" w:cs="Arial"/>
              </w:rPr>
            </w:pPr>
            <w:r w:rsidRPr="002F61AE">
              <w:rPr>
                <w:rFonts w:ascii="Arial" w:hAnsi="Arial" w:cs="Arial"/>
              </w:rPr>
              <w:t>16.21</w:t>
            </w:r>
            <w:r w:rsidRPr="002F61AE">
              <w:rPr>
                <w:rFonts w:ascii="Arial" w:hAnsi="Arial" w:cs="Arial"/>
                <w:vertAlign w:val="superscript"/>
              </w:rPr>
              <w:t>a</w:t>
            </w:r>
          </w:p>
        </w:tc>
        <w:tc>
          <w:tcPr>
            <w:tcW w:w="1488" w:type="dxa"/>
            <w:vAlign w:val="center"/>
          </w:tcPr>
          <w:p w14:paraId="580956DD"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B3F3C73" w14:textId="77777777" w:rsidTr="00C73EA2">
        <w:trPr>
          <w:trHeight w:val="108"/>
        </w:trPr>
        <w:tc>
          <w:tcPr>
            <w:tcW w:w="1998" w:type="dxa"/>
            <w:vAlign w:val="center"/>
          </w:tcPr>
          <w:p w14:paraId="7D5B64CA"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3636A4FA" w14:textId="77777777" w:rsidR="005D1B15" w:rsidRPr="002F61AE" w:rsidRDefault="00783DA8">
            <w:pPr>
              <w:jc w:val="center"/>
              <w:rPr>
                <w:rFonts w:ascii="Arial" w:hAnsi="Arial" w:cs="Arial"/>
              </w:rPr>
            </w:pPr>
            <w:r w:rsidRPr="002F61AE">
              <w:rPr>
                <w:rFonts w:ascii="Arial" w:hAnsi="Arial" w:cs="Arial"/>
              </w:rPr>
              <w:t>7.92</w:t>
            </w:r>
            <w:r w:rsidRPr="002F61AE">
              <w:rPr>
                <w:rFonts w:ascii="Arial" w:hAnsi="Arial" w:cs="Arial"/>
                <w:vertAlign w:val="superscript"/>
              </w:rPr>
              <w:t>a</w:t>
            </w:r>
          </w:p>
        </w:tc>
        <w:tc>
          <w:tcPr>
            <w:tcW w:w="1800" w:type="dxa"/>
            <w:vAlign w:val="center"/>
          </w:tcPr>
          <w:p w14:paraId="6963CD94" w14:textId="77777777" w:rsidR="005D1B15" w:rsidRPr="002F61AE" w:rsidRDefault="00783DA8">
            <w:pPr>
              <w:jc w:val="center"/>
              <w:rPr>
                <w:rFonts w:ascii="Arial" w:hAnsi="Arial" w:cs="Arial"/>
              </w:rPr>
            </w:pPr>
            <w:r w:rsidRPr="002F61AE">
              <w:rPr>
                <w:rFonts w:ascii="Arial" w:hAnsi="Arial" w:cs="Arial"/>
              </w:rPr>
              <w:t>11.04</w:t>
            </w:r>
            <w:r w:rsidRPr="002F61AE">
              <w:rPr>
                <w:rFonts w:ascii="Arial" w:hAnsi="Arial" w:cs="Arial"/>
                <w:vertAlign w:val="superscript"/>
              </w:rPr>
              <w:t>b</w:t>
            </w:r>
          </w:p>
        </w:tc>
        <w:tc>
          <w:tcPr>
            <w:tcW w:w="1980" w:type="dxa"/>
            <w:vAlign w:val="center"/>
          </w:tcPr>
          <w:p w14:paraId="34D2A0E6" w14:textId="77777777" w:rsidR="005D1B15" w:rsidRPr="002F61AE" w:rsidRDefault="00783DA8">
            <w:pPr>
              <w:jc w:val="center"/>
              <w:rPr>
                <w:rFonts w:ascii="Arial" w:hAnsi="Arial" w:cs="Arial"/>
              </w:rPr>
            </w:pPr>
            <w:r w:rsidRPr="002F61AE">
              <w:rPr>
                <w:rFonts w:ascii="Arial" w:hAnsi="Arial" w:cs="Arial"/>
              </w:rPr>
              <w:t>15.31</w:t>
            </w:r>
            <w:r w:rsidRPr="002F61AE">
              <w:rPr>
                <w:rFonts w:ascii="Arial" w:hAnsi="Arial" w:cs="Arial"/>
                <w:vertAlign w:val="superscript"/>
              </w:rPr>
              <w:t>b</w:t>
            </w:r>
          </w:p>
        </w:tc>
        <w:tc>
          <w:tcPr>
            <w:tcW w:w="1488" w:type="dxa"/>
            <w:vAlign w:val="center"/>
          </w:tcPr>
          <w:p w14:paraId="0F73743F"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423A67C6" w14:textId="77777777" w:rsidTr="009F1EA9">
        <w:trPr>
          <w:trHeight w:val="207"/>
        </w:trPr>
        <w:tc>
          <w:tcPr>
            <w:tcW w:w="1998" w:type="dxa"/>
            <w:vAlign w:val="center"/>
          </w:tcPr>
          <w:p w14:paraId="23FEDE06"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03984248" w14:textId="77777777" w:rsidR="005D1B15" w:rsidRPr="002F61AE" w:rsidRDefault="00783DA8">
            <w:pPr>
              <w:jc w:val="center"/>
              <w:rPr>
                <w:rFonts w:ascii="Arial" w:hAnsi="Arial" w:cs="Arial"/>
              </w:rPr>
            </w:pPr>
            <w:r w:rsidRPr="002F61AE">
              <w:rPr>
                <w:rFonts w:ascii="Arial" w:hAnsi="Arial" w:cs="Arial"/>
              </w:rPr>
              <w:t>7.77</w:t>
            </w:r>
            <w:r w:rsidRPr="002F61AE">
              <w:rPr>
                <w:rFonts w:ascii="Arial" w:hAnsi="Arial" w:cs="Arial"/>
                <w:vertAlign w:val="superscript"/>
              </w:rPr>
              <w:t>a</w:t>
            </w:r>
          </w:p>
        </w:tc>
        <w:tc>
          <w:tcPr>
            <w:tcW w:w="1800" w:type="dxa"/>
            <w:vAlign w:val="center"/>
          </w:tcPr>
          <w:p w14:paraId="03337D2E" w14:textId="77777777" w:rsidR="005D1B15" w:rsidRPr="002F61AE" w:rsidRDefault="00783DA8">
            <w:pPr>
              <w:jc w:val="center"/>
              <w:rPr>
                <w:rFonts w:ascii="Arial" w:hAnsi="Arial" w:cs="Arial"/>
              </w:rPr>
            </w:pPr>
            <w:r w:rsidRPr="002F61AE">
              <w:rPr>
                <w:rFonts w:ascii="Arial" w:hAnsi="Arial" w:cs="Arial"/>
              </w:rPr>
              <w:t>9.58</w:t>
            </w:r>
            <w:r w:rsidRPr="002F61AE">
              <w:rPr>
                <w:rFonts w:ascii="Arial" w:hAnsi="Arial" w:cs="Arial"/>
                <w:vertAlign w:val="superscript"/>
              </w:rPr>
              <w:t>c</w:t>
            </w:r>
          </w:p>
        </w:tc>
        <w:tc>
          <w:tcPr>
            <w:tcW w:w="1980" w:type="dxa"/>
            <w:vAlign w:val="center"/>
          </w:tcPr>
          <w:p w14:paraId="695609F3" w14:textId="77777777" w:rsidR="005D1B15" w:rsidRPr="002F61AE" w:rsidRDefault="00783DA8">
            <w:pPr>
              <w:jc w:val="center"/>
              <w:rPr>
                <w:rFonts w:ascii="Arial" w:hAnsi="Arial" w:cs="Arial"/>
              </w:rPr>
            </w:pPr>
            <w:r w:rsidRPr="002F61AE">
              <w:rPr>
                <w:rFonts w:ascii="Arial" w:hAnsi="Arial" w:cs="Arial"/>
              </w:rPr>
              <w:t>14.08</w:t>
            </w:r>
            <w:r w:rsidRPr="002F61AE">
              <w:rPr>
                <w:rFonts w:ascii="Arial" w:hAnsi="Arial" w:cs="Arial"/>
                <w:vertAlign w:val="superscript"/>
              </w:rPr>
              <w:t>c</w:t>
            </w:r>
          </w:p>
        </w:tc>
        <w:tc>
          <w:tcPr>
            <w:tcW w:w="1488" w:type="dxa"/>
            <w:vAlign w:val="center"/>
          </w:tcPr>
          <w:p w14:paraId="24C8B0FC" w14:textId="77777777" w:rsidR="005D1B15" w:rsidRPr="002F61AE" w:rsidRDefault="00783DA8">
            <w:pPr>
              <w:jc w:val="center"/>
              <w:rPr>
                <w:rFonts w:ascii="Arial" w:hAnsi="Arial" w:cs="Arial"/>
              </w:rPr>
            </w:pPr>
            <w:r w:rsidRPr="002F61AE">
              <w:rPr>
                <w:rFonts w:ascii="Arial" w:hAnsi="Arial" w:cs="Arial"/>
              </w:rPr>
              <w:t>**</w:t>
            </w:r>
          </w:p>
        </w:tc>
      </w:tr>
    </w:tbl>
    <w:p w14:paraId="677E3E49" w14:textId="7D7DA575" w:rsidR="005D1B15" w:rsidRPr="00022535" w:rsidRDefault="00783DA8" w:rsidP="00022535">
      <w:pPr>
        <w:jc w:val="both"/>
        <w:rPr>
          <w:rFonts w:ascii="Arial" w:hAnsi="Arial" w:cs="Arial"/>
          <w:b/>
        </w:rPr>
      </w:pPr>
      <w:r w:rsidRPr="002F61AE">
        <w:rPr>
          <w:rFonts w:ascii="Arial" w:hAnsi="Arial" w:cs="Arial"/>
          <w:i/>
        </w:rPr>
        <w:t>Means with the same superscript letter on the same column are not significantly different (p &gt; 0.05).**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71285A9F" w14:textId="77777777" w:rsidR="005D1B15" w:rsidRPr="002F61AE" w:rsidRDefault="00783DA8" w:rsidP="00022535">
      <w:pPr>
        <w:spacing w:after="0" w:line="240" w:lineRule="auto"/>
        <w:rPr>
          <w:rFonts w:ascii="Arial" w:hAnsi="Arial" w:cs="Arial"/>
          <w:b/>
        </w:rPr>
      </w:pPr>
      <w:r w:rsidRPr="002F61AE">
        <w:rPr>
          <w:rFonts w:ascii="Arial" w:hAnsi="Arial" w:cs="Arial"/>
          <w:b/>
        </w:rPr>
        <w:t>Table 3: Mean leaf number of oil palm seedling at 6, 9 and 12 month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1864"/>
        <w:gridCol w:w="1777"/>
        <w:gridCol w:w="1951"/>
        <w:gridCol w:w="1460"/>
      </w:tblGrid>
      <w:tr w:rsidR="005D1B15" w:rsidRPr="002F61AE" w14:paraId="0E6C9941" w14:textId="77777777" w:rsidTr="00022535">
        <w:trPr>
          <w:trHeight w:val="71"/>
        </w:trPr>
        <w:tc>
          <w:tcPr>
            <w:tcW w:w="1998" w:type="dxa"/>
            <w:vMerge w:val="restart"/>
            <w:tcBorders>
              <w:top w:val="single" w:sz="4" w:space="0" w:color="auto"/>
              <w:bottom w:val="nil"/>
            </w:tcBorders>
            <w:vAlign w:val="center"/>
          </w:tcPr>
          <w:p w14:paraId="34297961"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6223C34" w14:textId="77777777" w:rsidR="005D1B15" w:rsidRPr="002F61AE" w:rsidRDefault="00783DA8">
            <w:pPr>
              <w:jc w:val="center"/>
              <w:rPr>
                <w:rFonts w:ascii="Arial" w:hAnsi="Arial" w:cs="Arial"/>
                <w:b/>
              </w:rPr>
            </w:pPr>
            <w:r w:rsidRPr="002F61AE">
              <w:rPr>
                <w:rFonts w:ascii="Arial" w:hAnsi="Arial" w:cs="Arial"/>
                <w:b/>
              </w:rPr>
              <w:t>Leaf number</w:t>
            </w:r>
          </w:p>
        </w:tc>
        <w:tc>
          <w:tcPr>
            <w:tcW w:w="1488" w:type="dxa"/>
            <w:vMerge w:val="restart"/>
            <w:tcBorders>
              <w:top w:val="single" w:sz="4" w:space="0" w:color="auto"/>
              <w:bottom w:val="single" w:sz="4" w:space="0" w:color="auto"/>
            </w:tcBorders>
            <w:vAlign w:val="center"/>
          </w:tcPr>
          <w:p w14:paraId="5A6C790C" w14:textId="77777777" w:rsidR="005D1B15" w:rsidRPr="002F61AE" w:rsidRDefault="00783DA8">
            <w:pPr>
              <w:jc w:val="center"/>
              <w:rPr>
                <w:rFonts w:ascii="Arial" w:hAnsi="Arial" w:cs="Arial"/>
                <w:b/>
              </w:rPr>
            </w:pPr>
            <w:r w:rsidRPr="002F61AE">
              <w:rPr>
                <w:rFonts w:ascii="Arial" w:hAnsi="Arial" w:cs="Arial"/>
                <w:b/>
              </w:rPr>
              <w:t>Sig dif</w:t>
            </w:r>
          </w:p>
        </w:tc>
      </w:tr>
      <w:tr w:rsidR="005D1B15" w:rsidRPr="002F61AE" w14:paraId="0980B62E" w14:textId="77777777" w:rsidTr="00022535">
        <w:trPr>
          <w:trHeight w:val="170"/>
        </w:trPr>
        <w:tc>
          <w:tcPr>
            <w:tcW w:w="1998" w:type="dxa"/>
            <w:vMerge/>
            <w:tcBorders>
              <w:top w:val="nil"/>
              <w:bottom w:val="single" w:sz="4" w:space="0" w:color="auto"/>
            </w:tcBorders>
            <w:vAlign w:val="center"/>
          </w:tcPr>
          <w:p w14:paraId="7740088F"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6E954DC2"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70D4F666"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34FD88B0"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7D71957C" w14:textId="77777777" w:rsidR="005D1B15" w:rsidRPr="002F61AE" w:rsidRDefault="005D1B15">
            <w:pPr>
              <w:jc w:val="center"/>
              <w:rPr>
                <w:rFonts w:ascii="Arial" w:hAnsi="Arial" w:cs="Arial"/>
              </w:rPr>
            </w:pPr>
          </w:p>
        </w:tc>
      </w:tr>
      <w:tr w:rsidR="005D1B15" w:rsidRPr="002F61AE" w14:paraId="72709A27" w14:textId="77777777" w:rsidTr="00022535">
        <w:trPr>
          <w:trHeight w:val="260"/>
        </w:trPr>
        <w:tc>
          <w:tcPr>
            <w:tcW w:w="1998" w:type="dxa"/>
            <w:tcBorders>
              <w:top w:val="single" w:sz="4" w:space="0" w:color="auto"/>
            </w:tcBorders>
            <w:vAlign w:val="center"/>
          </w:tcPr>
          <w:p w14:paraId="29D9A734"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1DF03AFA" w14:textId="77777777" w:rsidR="005D1B15" w:rsidRPr="002F61AE" w:rsidRDefault="00783DA8">
            <w:pPr>
              <w:jc w:val="center"/>
              <w:rPr>
                <w:rFonts w:ascii="Arial" w:hAnsi="Arial" w:cs="Arial"/>
              </w:rPr>
            </w:pPr>
            <w:r w:rsidRPr="002F61AE">
              <w:rPr>
                <w:rFonts w:ascii="Arial" w:hAnsi="Arial" w:cs="Arial"/>
              </w:rPr>
              <w:t>8</w:t>
            </w:r>
            <w:r w:rsidRPr="002F61AE">
              <w:rPr>
                <w:rFonts w:ascii="Arial" w:hAnsi="Arial" w:cs="Arial"/>
                <w:vertAlign w:val="superscript"/>
              </w:rPr>
              <w:t>a</w:t>
            </w:r>
          </w:p>
        </w:tc>
        <w:tc>
          <w:tcPr>
            <w:tcW w:w="1800" w:type="dxa"/>
            <w:tcBorders>
              <w:top w:val="single" w:sz="4" w:space="0" w:color="auto"/>
            </w:tcBorders>
            <w:vAlign w:val="center"/>
          </w:tcPr>
          <w:p w14:paraId="24134E6E"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a</w:t>
            </w:r>
          </w:p>
        </w:tc>
        <w:tc>
          <w:tcPr>
            <w:tcW w:w="1980" w:type="dxa"/>
            <w:tcBorders>
              <w:top w:val="single" w:sz="4" w:space="0" w:color="auto"/>
            </w:tcBorders>
            <w:vAlign w:val="center"/>
          </w:tcPr>
          <w:p w14:paraId="13B4A1FD" w14:textId="77777777" w:rsidR="005D1B15" w:rsidRPr="002F61AE" w:rsidRDefault="00783DA8">
            <w:pPr>
              <w:jc w:val="center"/>
              <w:rPr>
                <w:rFonts w:ascii="Arial" w:hAnsi="Arial" w:cs="Arial"/>
              </w:rPr>
            </w:pPr>
            <w:r w:rsidRPr="002F61AE">
              <w:rPr>
                <w:rFonts w:ascii="Arial" w:hAnsi="Arial" w:cs="Arial"/>
              </w:rPr>
              <w:t>13</w:t>
            </w:r>
            <w:r w:rsidRPr="002F61AE">
              <w:rPr>
                <w:rFonts w:ascii="Arial" w:hAnsi="Arial" w:cs="Arial"/>
                <w:vertAlign w:val="superscript"/>
              </w:rPr>
              <w:t>a</w:t>
            </w:r>
          </w:p>
        </w:tc>
        <w:tc>
          <w:tcPr>
            <w:tcW w:w="1488" w:type="dxa"/>
            <w:tcBorders>
              <w:top w:val="single" w:sz="4" w:space="0" w:color="auto"/>
            </w:tcBorders>
            <w:vAlign w:val="center"/>
          </w:tcPr>
          <w:p w14:paraId="13B71A17"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FFC085A" w14:textId="77777777" w:rsidTr="00022535">
        <w:trPr>
          <w:trHeight w:val="180"/>
        </w:trPr>
        <w:tc>
          <w:tcPr>
            <w:tcW w:w="1998" w:type="dxa"/>
            <w:vAlign w:val="center"/>
          </w:tcPr>
          <w:p w14:paraId="64D6B40A"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1BC5D6CD" w14:textId="77777777" w:rsidR="005D1B15" w:rsidRPr="002F61AE" w:rsidRDefault="00783DA8">
            <w:pPr>
              <w:jc w:val="center"/>
              <w:rPr>
                <w:rFonts w:ascii="Arial" w:hAnsi="Arial" w:cs="Arial"/>
              </w:rPr>
            </w:pPr>
            <w:r w:rsidRPr="002F61AE">
              <w:rPr>
                <w:rFonts w:ascii="Arial" w:hAnsi="Arial" w:cs="Arial"/>
              </w:rPr>
              <w:t>8</w:t>
            </w:r>
            <w:r w:rsidRPr="002F61AE">
              <w:rPr>
                <w:rFonts w:ascii="Arial" w:hAnsi="Arial" w:cs="Arial"/>
                <w:vertAlign w:val="superscript"/>
              </w:rPr>
              <w:t>a</w:t>
            </w:r>
          </w:p>
        </w:tc>
        <w:tc>
          <w:tcPr>
            <w:tcW w:w="1800" w:type="dxa"/>
            <w:vAlign w:val="center"/>
          </w:tcPr>
          <w:p w14:paraId="0FCE30EC"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43774EB" w14:textId="77777777" w:rsidR="005D1B15" w:rsidRPr="002F61AE" w:rsidRDefault="00783DA8">
            <w:pPr>
              <w:jc w:val="center"/>
              <w:rPr>
                <w:rFonts w:ascii="Arial" w:hAnsi="Arial" w:cs="Arial"/>
              </w:rPr>
            </w:pPr>
            <w:r w:rsidRPr="002F61AE">
              <w:rPr>
                <w:rFonts w:ascii="Arial" w:hAnsi="Arial" w:cs="Arial"/>
              </w:rPr>
              <w:t>13</w:t>
            </w:r>
            <w:r w:rsidRPr="002F61AE">
              <w:rPr>
                <w:rFonts w:ascii="Arial" w:hAnsi="Arial" w:cs="Arial"/>
                <w:vertAlign w:val="superscript"/>
              </w:rPr>
              <w:t>a</w:t>
            </w:r>
          </w:p>
        </w:tc>
        <w:tc>
          <w:tcPr>
            <w:tcW w:w="1488" w:type="dxa"/>
            <w:vAlign w:val="center"/>
          </w:tcPr>
          <w:p w14:paraId="0E8D5B80"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2A64E100" w14:textId="77777777" w:rsidTr="00022535">
        <w:trPr>
          <w:trHeight w:val="198"/>
        </w:trPr>
        <w:tc>
          <w:tcPr>
            <w:tcW w:w="1998" w:type="dxa"/>
            <w:vAlign w:val="center"/>
          </w:tcPr>
          <w:p w14:paraId="62D95024"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45E4610D" w14:textId="77777777" w:rsidR="005D1B15" w:rsidRPr="002F61AE" w:rsidRDefault="00783DA8">
            <w:pPr>
              <w:jc w:val="center"/>
              <w:rPr>
                <w:rFonts w:ascii="Arial" w:hAnsi="Arial" w:cs="Arial"/>
              </w:rPr>
            </w:pPr>
            <w:r w:rsidRPr="002F61AE">
              <w:rPr>
                <w:rFonts w:ascii="Arial" w:hAnsi="Arial" w:cs="Arial"/>
              </w:rPr>
              <w:t>7</w:t>
            </w:r>
            <w:r w:rsidRPr="002F61AE">
              <w:rPr>
                <w:rFonts w:ascii="Arial" w:hAnsi="Arial" w:cs="Arial"/>
                <w:vertAlign w:val="superscript"/>
              </w:rPr>
              <w:t>b</w:t>
            </w:r>
          </w:p>
        </w:tc>
        <w:tc>
          <w:tcPr>
            <w:tcW w:w="1800" w:type="dxa"/>
            <w:vAlign w:val="center"/>
          </w:tcPr>
          <w:p w14:paraId="656BFFBE"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B3F1BEC"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b</w:t>
            </w:r>
          </w:p>
        </w:tc>
        <w:tc>
          <w:tcPr>
            <w:tcW w:w="1488" w:type="dxa"/>
            <w:vAlign w:val="center"/>
          </w:tcPr>
          <w:p w14:paraId="3F1F2F43"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CFF181E" w14:textId="77777777" w:rsidTr="00022535">
        <w:trPr>
          <w:trHeight w:val="126"/>
        </w:trPr>
        <w:tc>
          <w:tcPr>
            <w:tcW w:w="1998" w:type="dxa"/>
            <w:vAlign w:val="center"/>
          </w:tcPr>
          <w:p w14:paraId="7B1897A9"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797F265A" w14:textId="77777777" w:rsidR="005D1B15" w:rsidRPr="002F61AE" w:rsidRDefault="00783DA8">
            <w:pPr>
              <w:jc w:val="center"/>
              <w:rPr>
                <w:rFonts w:ascii="Arial" w:hAnsi="Arial" w:cs="Arial"/>
              </w:rPr>
            </w:pPr>
            <w:r w:rsidRPr="002F61AE">
              <w:rPr>
                <w:rFonts w:ascii="Arial" w:hAnsi="Arial" w:cs="Arial"/>
              </w:rPr>
              <w:t>7</w:t>
            </w:r>
            <w:r w:rsidRPr="002F61AE">
              <w:rPr>
                <w:rFonts w:ascii="Arial" w:hAnsi="Arial" w:cs="Arial"/>
                <w:vertAlign w:val="superscript"/>
              </w:rPr>
              <w:t>b</w:t>
            </w:r>
          </w:p>
        </w:tc>
        <w:tc>
          <w:tcPr>
            <w:tcW w:w="1800" w:type="dxa"/>
            <w:vAlign w:val="center"/>
          </w:tcPr>
          <w:p w14:paraId="1DEF438F"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EFF77F9"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b</w:t>
            </w:r>
          </w:p>
        </w:tc>
        <w:tc>
          <w:tcPr>
            <w:tcW w:w="1488" w:type="dxa"/>
            <w:vAlign w:val="center"/>
          </w:tcPr>
          <w:p w14:paraId="29AA800C" w14:textId="77777777" w:rsidR="005D1B15" w:rsidRPr="002F61AE" w:rsidRDefault="00783DA8">
            <w:pPr>
              <w:jc w:val="center"/>
              <w:rPr>
                <w:rFonts w:ascii="Arial" w:hAnsi="Arial" w:cs="Arial"/>
              </w:rPr>
            </w:pPr>
            <w:r w:rsidRPr="002F61AE">
              <w:rPr>
                <w:rFonts w:ascii="Arial" w:hAnsi="Arial" w:cs="Arial"/>
              </w:rPr>
              <w:t>**</w:t>
            </w:r>
          </w:p>
        </w:tc>
      </w:tr>
    </w:tbl>
    <w:p w14:paraId="314CDC83" w14:textId="77777777" w:rsidR="005D1B15" w:rsidRPr="002F61AE" w:rsidRDefault="00783DA8">
      <w:pPr>
        <w:jc w:val="both"/>
        <w:rPr>
          <w:rFonts w:ascii="Arial" w:hAnsi="Arial" w:cs="Arial"/>
          <w:b/>
        </w:rPr>
      </w:pPr>
      <w:r w:rsidRPr="002F61AE">
        <w:rPr>
          <w:rFonts w:ascii="Arial" w:hAnsi="Arial" w:cs="Arial"/>
          <w:i/>
        </w:rPr>
        <w:t>Means with the same superscript letter on the same column are not significantly different (p &gt; 0.05).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41ED5AFB" w14:textId="77777777" w:rsidR="006E07EE" w:rsidRDefault="006E07EE">
      <w:pPr>
        <w:ind w:left="993" w:hanging="993"/>
        <w:rPr>
          <w:rFonts w:ascii="Arial" w:hAnsi="Arial" w:cs="Arial"/>
          <w:b/>
        </w:rPr>
      </w:pPr>
    </w:p>
    <w:p w14:paraId="1E4AE352" w14:textId="77777777" w:rsidR="006E07EE" w:rsidRDefault="006E07EE">
      <w:pPr>
        <w:ind w:left="993" w:hanging="993"/>
        <w:rPr>
          <w:rFonts w:ascii="Arial" w:hAnsi="Arial" w:cs="Arial"/>
          <w:b/>
        </w:rPr>
      </w:pPr>
    </w:p>
    <w:p w14:paraId="1A2D0E95" w14:textId="77777777" w:rsidR="006E07EE" w:rsidRDefault="006E07EE">
      <w:pPr>
        <w:ind w:left="993" w:hanging="993"/>
        <w:rPr>
          <w:rFonts w:ascii="Arial" w:hAnsi="Arial" w:cs="Arial"/>
          <w:b/>
        </w:rPr>
      </w:pPr>
    </w:p>
    <w:p w14:paraId="6CB46E78" w14:textId="39FF820D" w:rsidR="005D1B15" w:rsidRPr="002F61AE" w:rsidRDefault="00783DA8" w:rsidP="005319EE">
      <w:pPr>
        <w:spacing w:after="0" w:line="240" w:lineRule="auto"/>
        <w:ind w:left="993" w:hanging="993"/>
        <w:rPr>
          <w:rFonts w:ascii="Arial" w:hAnsi="Arial" w:cs="Arial"/>
          <w:b/>
        </w:rPr>
      </w:pPr>
      <w:r w:rsidRPr="002F61AE">
        <w:rPr>
          <w:rFonts w:ascii="Arial" w:hAnsi="Arial" w:cs="Arial"/>
          <w:b/>
        </w:rPr>
        <w:t xml:space="preserve">Table </w:t>
      </w:r>
      <w:r w:rsidRPr="002F61AE">
        <w:rPr>
          <w:rFonts w:ascii="Arial" w:hAnsi="Arial" w:cs="Arial"/>
          <w:b/>
          <w:lang w:val="en-US"/>
        </w:rPr>
        <w:t>4:</w:t>
      </w:r>
      <w:r w:rsidRPr="002F61AE">
        <w:rPr>
          <w:rFonts w:ascii="Arial" w:hAnsi="Arial" w:cs="Arial"/>
          <w:b/>
        </w:rPr>
        <w:t xml:space="preserve"> Mean leaf area of oil palm seedling at 6, 9 and 12 month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1864"/>
        <w:gridCol w:w="1777"/>
        <w:gridCol w:w="1951"/>
        <w:gridCol w:w="1460"/>
      </w:tblGrid>
      <w:tr w:rsidR="005D1B15" w:rsidRPr="002F61AE" w14:paraId="59091630" w14:textId="77777777" w:rsidTr="005319EE">
        <w:trPr>
          <w:trHeight w:val="287"/>
        </w:trPr>
        <w:tc>
          <w:tcPr>
            <w:tcW w:w="1998" w:type="dxa"/>
            <w:vMerge w:val="restart"/>
            <w:tcBorders>
              <w:top w:val="single" w:sz="4" w:space="0" w:color="auto"/>
              <w:bottom w:val="nil"/>
            </w:tcBorders>
            <w:vAlign w:val="center"/>
          </w:tcPr>
          <w:p w14:paraId="60FEEC79"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2EC2D9F7" w14:textId="77777777" w:rsidR="005D1B15" w:rsidRPr="002F61AE" w:rsidRDefault="00783DA8">
            <w:pPr>
              <w:jc w:val="center"/>
              <w:rPr>
                <w:rFonts w:ascii="Arial" w:hAnsi="Arial" w:cs="Arial"/>
                <w:b/>
              </w:rPr>
            </w:pPr>
            <w:r w:rsidRPr="002F61AE">
              <w:rPr>
                <w:rFonts w:ascii="Arial" w:hAnsi="Arial" w:cs="Arial"/>
                <w:b/>
              </w:rPr>
              <w:t>Area (cm</w:t>
            </w:r>
            <w:r w:rsidRPr="002F61AE">
              <w:rPr>
                <w:rFonts w:ascii="Arial" w:hAnsi="Arial" w:cs="Arial"/>
                <w:b/>
                <w:vertAlign w:val="superscript"/>
              </w:rPr>
              <w:t>2</w:t>
            </w:r>
            <w:r w:rsidRPr="002F61AE">
              <w:rPr>
                <w:rFonts w:ascii="Arial" w:hAnsi="Arial" w:cs="Arial"/>
                <w:b/>
              </w:rPr>
              <w:t>)</w:t>
            </w:r>
          </w:p>
        </w:tc>
        <w:tc>
          <w:tcPr>
            <w:tcW w:w="1488" w:type="dxa"/>
            <w:vMerge w:val="restart"/>
            <w:tcBorders>
              <w:top w:val="single" w:sz="4" w:space="0" w:color="auto"/>
              <w:bottom w:val="single" w:sz="4" w:space="0" w:color="auto"/>
            </w:tcBorders>
            <w:vAlign w:val="center"/>
          </w:tcPr>
          <w:p w14:paraId="0430A3D0" w14:textId="77777777" w:rsidR="005D1B15" w:rsidRPr="002F61AE" w:rsidRDefault="00783DA8">
            <w:pPr>
              <w:jc w:val="center"/>
              <w:rPr>
                <w:rFonts w:ascii="Arial" w:hAnsi="Arial" w:cs="Arial"/>
                <w:b/>
              </w:rPr>
            </w:pPr>
            <w:r w:rsidRPr="002F61AE">
              <w:rPr>
                <w:rFonts w:ascii="Arial" w:hAnsi="Arial" w:cs="Arial"/>
                <w:b/>
              </w:rPr>
              <w:t>Sig dif</w:t>
            </w:r>
          </w:p>
        </w:tc>
      </w:tr>
      <w:tr w:rsidR="005D1B15" w:rsidRPr="002F61AE" w14:paraId="7D86A34F" w14:textId="77777777" w:rsidTr="005319EE">
        <w:trPr>
          <w:trHeight w:val="260"/>
        </w:trPr>
        <w:tc>
          <w:tcPr>
            <w:tcW w:w="1998" w:type="dxa"/>
            <w:vMerge/>
            <w:tcBorders>
              <w:top w:val="nil"/>
              <w:bottom w:val="single" w:sz="4" w:space="0" w:color="auto"/>
            </w:tcBorders>
            <w:vAlign w:val="center"/>
          </w:tcPr>
          <w:p w14:paraId="4CA50F0C"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733F1081"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55691A33"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3C1F01C0"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0C92F9D2" w14:textId="77777777" w:rsidR="005D1B15" w:rsidRPr="002F61AE" w:rsidRDefault="005D1B15">
            <w:pPr>
              <w:jc w:val="center"/>
              <w:rPr>
                <w:rFonts w:ascii="Arial" w:hAnsi="Arial" w:cs="Arial"/>
              </w:rPr>
            </w:pPr>
          </w:p>
        </w:tc>
      </w:tr>
      <w:tr w:rsidR="005D1B15" w:rsidRPr="002F61AE" w14:paraId="5F2D80A3" w14:textId="77777777" w:rsidTr="005319EE">
        <w:trPr>
          <w:trHeight w:val="260"/>
        </w:trPr>
        <w:tc>
          <w:tcPr>
            <w:tcW w:w="1998" w:type="dxa"/>
            <w:tcBorders>
              <w:top w:val="single" w:sz="4" w:space="0" w:color="auto"/>
            </w:tcBorders>
            <w:vAlign w:val="center"/>
          </w:tcPr>
          <w:p w14:paraId="31340C7B"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34CF8B0C"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tcBorders>
              <w:top w:val="single" w:sz="4" w:space="0" w:color="auto"/>
            </w:tcBorders>
            <w:vAlign w:val="center"/>
          </w:tcPr>
          <w:p w14:paraId="19162653" w14:textId="77777777" w:rsidR="005D1B15" w:rsidRPr="002F61AE" w:rsidRDefault="00783DA8">
            <w:pPr>
              <w:jc w:val="center"/>
              <w:rPr>
                <w:rFonts w:ascii="Arial" w:hAnsi="Arial" w:cs="Arial"/>
              </w:rPr>
            </w:pPr>
            <w:r w:rsidRPr="002F61AE">
              <w:rPr>
                <w:rFonts w:ascii="Arial" w:hAnsi="Arial" w:cs="Arial"/>
              </w:rPr>
              <w:t>0.31</w:t>
            </w:r>
            <w:r w:rsidRPr="002F61AE">
              <w:rPr>
                <w:rFonts w:ascii="Arial" w:hAnsi="Arial" w:cs="Arial"/>
                <w:vertAlign w:val="superscript"/>
              </w:rPr>
              <w:t>a</w:t>
            </w:r>
          </w:p>
        </w:tc>
        <w:tc>
          <w:tcPr>
            <w:tcW w:w="1980" w:type="dxa"/>
            <w:tcBorders>
              <w:top w:val="single" w:sz="4" w:space="0" w:color="auto"/>
            </w:tcBorders>
            <w:vAlign w:val="center"/>
          </w:tcPr>
          <w:p w14:paraId="01C90543" w14:textId="77777777" w:rsidR="005D1B15" w:rsidRPr="002F61AE" w:rsidRDefault="00783DA8">
            <w:pPr>
              <w:jc w:val="center"/>
              <w:rPr>
                <w:rFonts w:ascii="Arial" w:hAnsi="Arial" w:cs="Arial"/>
              </w:rPr>
            </w:pPr>
            <w:r w:rsidRPr="002F61AE">
              <w:rPr>
                <w:rFonts w:ascii="Arial" w:hAnsi="Arial" w:cs="Arial"/>
              </w:rPr>
              <w:t>0.52</w:t>
            </w:r>
            <w:r w:rsidRPr="002F61AE">
              <w:rPr>
                <w:rFonts w:ascii="Arial" w:hAnsi="Arial" w:cs="Arial"/>
                <w:vertAlign w:val="superscript"/>
              </w:rPr>
              <w:t>a</w:t>
            </w:r>
          </w:p>
        </w:tc>
        <w:tc>
          <w:tcPr>
            <w:tcW w:w="1488" w:type="dxa"/>
            <w:tcBorders>
              <w:top w:val="single" w:sz="4" w:space="0" w:color="auto"/>
            </w:tcBorders>
            <w:vAlign w:val="center"/>
          </w:tcPr>
          <w:p w14:paraId="17DB9D48"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AF8FDFC" w14:textId="77777777" w:rsidTr="005319EE">
        <w:trPr>
          <w:trHeight w:val="216"/>
        </w:trPr>
        <w:tc>
          <w:tcPr>
            <w:tcW w:w="1998" w:type="dxa"/>
            <w:vAlign w:val="center"/>
          </w:tcPr>
          <w:p w14:paraId="6FACE7DF"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57483D1D"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095D58FB" w14:textId="77777777" w:rsidR="005D1B15" w:rsidRPr="002F61AE" w:rsidRDefault="00783DA8">
            <w:pPr>
              <w:jc w:val="center"/>
              <w:rPr>
                <w:rFonts w:ascii="Arial" w:hAnsi="Arial" w:cs="Arial"/>
              </w:rPr>
            </w:pPr>
            <w:r w:rsidRPr="002F61AE">
              <w:rPr>
                <w:rFonts w:ascii="Arial" w:hAnsi="Arial" w:cs="Arial"/>
              </w:rPr>
              <w:t>0.21</w:t>
            </w:r>
            <w:r w:rsidRPr="002F61AE">
              <w:rPr>
                <w:rFonts w:ascii="Arial" w:hAnsi="Arial" w:cs="Arial"/>
                <w:vertAlign w:val="superscript"/>
              </w:rPr>
              <w:t>b</w:t>
            </w:r>
          </w:p>
        </w:tc>
        <w:tc>
          <w:tcPr>
            <w:tcW w:w="1980" w:type="dxa"/>
            <w:vAlign w:val="center"/>
          </w:tcPr>
          <w:p w14:paraId="5D2B47AF" w14:textId="77777777" w:rsidR="005D1B15" w:rsidRPr="002F61AE" w:rsidRDefault="00783DA8">
            <w:pPr>
              <w:jc w:val="center"/>
              <w:rPr>
                <w:rFonts w:ascii="Arial" w:hAnsi="Arial" w:cs="Arial"/>
              </w:rPr>
            </w:pPr>
            <w:r w:rsidRPr="002F61AE">
              <w:rPr>
                <w:rFonts w:ascii="Arial" w:hAnsi="Arial" w:cs="Arial"/>
              </w:rPr>
              <w:t>0.46</w:t>
            </w:r>
            <w:r w:rsidRPr="002F61AE">
              <w:rPr>
                <w:rFonts w:ascii="Arial" w:hAnsi="Arial" w:cs="Arial"/>
                <w:vertAlign w:val="superscript"/>
              </w:rPr>
              <w:t>b</w:t>
            </w:r>
          </w:p>
        </w:tc>
        <w:tc>
          <w:tcPr>
            <w:tcW w:w="1488" w:type="dxa"/>
            <w:vAlign w:val="center"/>
          </w:tcPr>
          <w:p w14:paraId="6069EEBF"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89B6357" w14:textId="77777777" w:rsidTr="005319EE">
        <w:trPr>
          <w:trHeight w:val="81"/>
        </w:trPr>
        <w:tc>
          <w:tcPr>
            <w:tcW w:w="1998" w:type="dxa"/>
            <w:vAlign w:val="center"/>
          </w:tcPr>
          <w:p w14:paraId="1D349C44" w14:textId="77777777" w:rsidR="005D1B15" w:rsidRPr="002F61AE" w:rsidRDefault="00783DA8">
            <w:pPr>
              <w:jc w:val="center"/>
              <w:rPr>
                <w:rFonts w:ascii="Arial" w:hAnsi="Arial" w:cs="Arial"/>
              </w:rPr>
            </w:pPr>
            <w:r w:rsidRPr="002F61AE">
              <w:rPr>
                <w:rFonts w:ascii="Arial" w:hAnsi="Arial" w:cs="Arial"/>
              </w:rPr>
              <w:lastRenderedPageBreak/>
              <w:t xml:space="preserve">Sawdust </w:t>
            </w:r>
          </w:p>
        </w:tc>
        <w:tc>
          <w:tcPr>
            <w:tcW w:w="1890" w:type="dxa"/>
            <w:vAlign w:val="center"/>
          </w:tcPr>
          <w:p w14:paraId="065BAFE1"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0676EFAF" w14:textId="77777777" w:rsidR="005D1B15" w:rsidRPr="002F61AE" w:rsidRDefault="00783DA8">
            <w:pPr>
              <w:jc w:val="center"/>
              <w:rPr>
                <w:rFonts w:ascii="Arial" w:hAnsi="Arial" w:cs="Arial"/>
              </w:rPr>
            </w:pPr>
            <w:r w:rsidRPr="002F61AE">
              <w:rPr>
                <w:rFonts w:ascii="Arial" w:hAnsi="Arial" w:cs="Arial"/>
              </w:rPr>
              <w:t>0.21</w:t>
            </w:r>
            <w:r w:rsidRPr="002F61AE">
              <w:rPr>
                <w:rFonts w:ascii="Arial" w:hAnsi="Arial" w:cs="Arial"/>
                <w:vertAlign w:val="superscript"/>
              </w:rPr>
              <w:t>b</w:t>
            </w:r>
          </w:p>
        </w:tc>
        <w:tc>
          <w:tcPr>
            <w:tcW w:w="1980" w:type="dxa"/>
            <w:vAlign w:val="center"/>
          </w:tcPr>
          <w:p w14:paraId="1BD5AEBE" w14:textId="77777777" w:rsidR="005D1B15" w:rsidRPr="002F61AE" w:rsidRDefault="00783DA8">
            <w:pPr>
              <w:jc w:val="center"/>
              <w:rPr>
                <w:rFonts w:ascii="Arial" w:hAnsi="Arial" w:cs="Arial"/>
              </w:rPr>
            </w:pPr>
            <w:r w:rsidRPr="002F61AE">
              <w:rPr>
                <w:rFonts w:ascii="Arial" w:hAnsi="Arial" w:cs="Arial"/>
              </w:rPr>
              <w:t>0.40</w:t>
            </w:r>
            <w:r w:rsidRPr="002F61AE">
              <w:rPr>
                <w:rFonts w:ascii="Arial" w:hAnsi="Arial" w:cs="Arial"/>
                <w:vertAlign w:val="superscript"/>
              </w:rPr>
              <w:t>b</w:t>
            </w:r>
          </w:p>
        </w:tc>
        <w:tc>
          <w:tcPr>
            <w:tcW w:w="1488" w:type="dxa"/>
            <w:vAlign w:val="center"/>
          </w:tcPr>
          <w:p w14:paraId="6F9D8244"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3601AF1E" w14:textId="77777777" w:rsidTr="005319EE">
        <w:trPr>
          <w:trHeight w:val="60"/>
        </w:trPr>
        <w:tc>
          <w:tcPr>
            <w:tcW w:w="1998" w:type="dxa"/>
            <w:vAlign w:val="center"/>
          </w:tcPr>
          <w:p w14:paraId="4C3EC52A"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1F1EBDD1"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7964C16E" w14:textId="77777777" w:rsidR="005D1B15" w:rsidRPr="002F61AE" w:rsidRDefault="00783DA8">
            <w:pPr>
              <w:jc w:val="center"/>
              <w:rPr>
                <w:rFonts w:ascii="Arial" w:hAnsi="Arial" w:cs="Arial"/>
              </w:rPr>
            </w:pPr>
            <w:r w:rsidRPr="002F61AE">
              <w:rPr>
                <w:rFonts w:ascii="Arial" w:hAnsi="Arial" w:cs="Arial"/>
              </w:rPr>
              <w:t>0.19</w:t>
            </w:r>
            <w:r w:rsidRPr="002F61AE">
              <w:rPr>
                <w:rFonts w:ascii="Arial" w:hAnsi="Arial" w:cs="Arial"/>
                <w:vertAlign w:val="superscript"/>
              </w:rPr>
              <w:t>c</w:t>
            </w:r>
          </w:p>
        </w:tc>
        <w:tc>
          <w:tcPr>
            <w:tcW w:w="1980" w:type="dxa"/>
            <w:vAlign w:val="center"/>
          </w:tcPr>
          <w:p w14:paraId="295D963E" w14:textId="77777777" w:rsidR="005D1B15" w:rsidRPr="002F61AE" w:rsidRDefault="00783DA8">
            <w:pPr>
              <w:jc w:val="center"/>
              <w:rPr>
                <w:rFonts w:ascii="Arial" w:hAnsi="Arial" w:cs="Arial"/>
              </w:rPr>
            </w:pPr>
            <w:r w:rsidRPr="002F61AE">
              <w:rPr>
                <w:rFonts w:ascii="Arial" w:hAnsi="Arial" w:cs="Arial"/>
              </w:rPr>
              <w:t>0.25</w:t>
            </w:r>
            <w:r w:rsidRPr="002F61AE">
              <w:rPr>
                <w:rFonts w:ascii="Arial" w:hAnsi="Arial" w:cs="Arial"/>
                <w:vertAlign w:val="superscript"/>
              </w:rPr>
              <w:t>c</w:t>
            </w:r>
          </w:p>
        </w:tc>
        <w:tc>
          <w:tcPr>
            <w:tcW w:w="1488" w:type="dxa"/>
            <w:vAlign w:val="center"/>
          </w:tcPr>
          <w:p w14:paraId="065996FA" w14:textId="77777777" w:rsidR="005D1B15" w:rsidRPr="002F61AE" w:rsidRDefault="00783DA8">
            <w:pPr>
              <w:jc w:val="center"/>
              <w:rPr>
                <w:rFonts w:ascii="Arial" w:hAnsi="Arial" w:cs="Arial"/>
              </w:rPr>
            </w:pPr>
            <w:r w:rsidRPr="002F61AE">
              <w:rPr>
                <w:rFonts w:ascii="Arial" w:hAnsi="Arial" w:cs="Arial"/>
              </w:rPr>
              <w:t>**</w:t>
            </w:r>
          </w:p>
        </w:tc>
      </w:tr>
    </w:tbl>
    <w:p w14:paraId="79A7D182" w14:textId="77777777" w:rsidR="005D1B15" w:rsidRPr="002F61AE" w:rsidRDefault="00783DA8">
      <w:pPr>
        <w:jc w:val="both"/>
        <w:rPr>
          <w:rFonts w:ascii="Arial" w:hAnsi="Arial" w:cs="Arial"/>
          <w:b/>
        </w:rPr>
      </w:pPr>
      <w:r w:rsidRPr="002F61AE">
        <w:rPr>
          <w:rFonts w:ascii="Arial" w:hAnsi="Arial" w:cs="Arial"/>
          <w:i/>
        </w:rPr>
        <w:t>Means with the same superscript letter on the same column are not significantly different (p &gt; 0.05).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361D7099" w14:textId="77777777" w:rsidR="005D1B15" w:rsidRPr="002F61AE" w:rsidRDefault="00783DA8">
      <w:pPr>
        <w:rPr>
          <w:rFonts w:ascii="Arial" w:hAnsi="Arial" w:cs="Arial"/>
        </w:rPr>
      </w:pPr>
      <w:r w:rsidRPr="002F61AE">
        <w:rPr>
          <w:rFonts w:ascii="Arial" w:hAnsi="Arial" w:cs="Arial"/>
        </w:rPr>
        <w:t xml:space="preserve"> </w:t>
      </w:r>
    </w:p>
    <w:p w14:paraId="2275678A" w14:textId="77777777" w:rsidR="005D1B15" w:rsidRPr="002F61AE" w:rsidRDefault="005D1B15">
      <w:pPr>
        <w:rPr>
          <w:rFonts w:ascii="Arial" w:hAnsi="Arial" w:cs="Arial"/>
        </w:rPr>
      </w:pPr>
    </w:p>
    <w:p w14:paraId="0D11D754" w14:textId="77777777" w:rsidR="005D1B15" w:rsidRPr="002F61AE" w:rsidRDefault="005D1B15">
      <w:pPr>
        <w:rPr>
          <w:rFonts w:ascii="Arial" w:hAnsi="Arial" w:cs="Arial"/>
        </w:rPr>
      </w:pPr>
    </w:p>
    <w:p w14:paraId="007E5BDB" w14:textId="0986D4D8" w:rsidR="005D1B15" w:rsidRPr="002F61AE" w:rsidRDefault="000F05BC">
      <w:pPr>
        <w:rPr>
          <w:rFonts w:ascii="Arial" w:hAnsi="Arial" w:cs="Arial"/>
          <w:b/>
        </w:rPr>
      </w:pPr>
      <w:r>
        <w:rPr>
          <w:rFonts w:ascii="Arial" w:hAnsi="Arial" w:cs="Arial"/>
          <w:b/>
        </w:rPr>
        <w:t xml:space="preserve">4. </w:t>
      </w:r>
      <w:r w:rsidRPr="002F61AE">
        <w:rPr>
          <w:rFonts w:ascii="Arial" w:hAnsi="Arial" w:cs="Arial"/>
          <w:b/>
        </w:rPr>
        <w:t xml:space="preserve">DISCUSSION </w:t>
      </w:r>
    </w:p>
    <w:p w14:paraId="0A9685BA" w14:textId="36BFC8E5" w:rsidR="005D1B15" w:rsidRPr="00D81A99" w:rsidRDefault="008F13AB" w:rsidP="00D81A99">
      <w:pPr>
        <w:spacing w:line="360" w:lineRule="auto"/>
        <w:jc w:val="both"/>
        <w:rPr>
          <w:rFonts w:ascii="Arial" w:hAnsi="Arial" w:cs="Arial"/>
          <w:sz w:val="20"/>
          <w:szCs w:val="20"/>
        </w:rPr>
      </w:pPr>
      <w:r w:rsidRPr="00D81A99">
        <w:rPr>
          <w:rFonts w:ascii="Arial" w:hAnsi="Arial" w:cs="Arial"/>
          <w:sz w:val="20"/>
          <w:szCs w:val="20"/>
        </w:rPr>
        <w:t xml:space="preserve">Similar to the results of this present study, Imogie </w:t>
      </w:r>
      <w:r w:rsidRPr="00D81A99">
        <w:rPr>
          <w:rFonts w:ascii="Arial" w:hAnsi="Arial" w:cs="Arial"/>
          <w:i/>
          <w:sz w:val="20"/>
          <w:szCs w:val="20"/>
        </w:rPr>
        <w:t>et al,</w:t>
      </w:r>
      <w:r w:rsidRPr="00D81A99">
        <w:rPr>
          <w:rFonts w:ascii="Arial" w:hAnsi="Arial" w:cs="Arial"/>
          <w:sz w:val="20"/>
          <w:szCs w:val="20"/>
        </w:rPr>
        <w:t xml:space="preserve"> (2022) reported a plant height of 138</w:t>
      </w:r>
      <w:r w:rsidRPr="00D81A99">
        <w:rPr>
          <w:rFonts w:ascii="Arial" w:hAnsi="Arial" w:cs="Arial"/>
          <w:sz w:val="20"/>
          <w:szCs w:val="20"/>
          <w:lang w:val="en-US"/>
        </w:rPr>
        <w:t xml:space="preserve"> </w:t>
      </w:r>
      <w:r w:rsidRPr="00D81A99">
        <w:rPr>
          <w:rFonts w:ascii="Arial" w:hAnsi="Arial" w:cs="Arial"/>
          <w:sz w:val="20"/>
          <w:szCs w:val="20"/>
        </w:rPr>
        <w:t>cm in 12 month</w:t>
      </w:r>
      <w:r w:rsidR="0001215F" w:rsidRPr="00D81A99">
        <w:rPr>
          <w:rFonts w:ascii="Arial" w:hAnsi="Arial" w:cs="Arial"/>
          <w:sz w:val="20"/>
          <w:szCs w:val="20"/>
        </w:rPr>
        <w:t>s</w:t>
      </w:r>
      <w:r w:rsidRPr="00D81A99">
        <w:rPr>
          <w:rFonts w:ascii="Arial" w:hAnsi="Arial" w:cs="Arial"/>
          <w:sz w:val="20"/>
          <w:szCs w:val="20"/>
        </w:rPr>
        <w:t xml:space="preserve"> oil palm seedlings when 28 g of NPK Mg fertilizer was a</w:t>
      </w:r>
      <w:r w:rsidR="005D3CF6" w:rsidRPr="00D81A99">
        <w:rPr>
          <w:rFonts w:ascii="Arial" w:hAnsi="Arial" w:cs="Arial"/>
          <w:sz w:val="20"/>
          <w:szCs w:val="20"/>
        </w:rPr>
        <w:t>pplied</w:t>
      </w:r>
      <w:r w:rsidRPr="00D81A99">
        <w:rPr>
          <w:rFonts w:ascii="Arial" w:hAnsi="Arial" w:cs="Arial"/>
          <w:sz w:val="20"/>
          <w:szCs w:val="20"/>
        </w:rPr>
        <w:t xml:space="preserve"> to the soil </w:t>
      </w:r>
      <w:r w:rsidR="005D3CF6" w:rsidRPr="00D81A99">
        <w:rPr>
          <w:rFonts w:ascii="Arial" w:hAnsi="Arial" w:cs="Arial"/>
          <w:sz w:val="20"/>
          <w:szCs w:val="20"/>
        </w:rPr>
        <w:t xml:space="preserve">amended with EFB compost </w:t>
      </w:r>
      <w:r w:rsidRPr="00D81A99">
        <w:rPr>
          <w:rFonts w:ascii="Arial" w:hAnsi="Arial" w:cs="Arial"/>
          <w:sz w:val="20"/>
          <w:szCs w:val="20"/>
        </w:rPr>
        <w:t xml:space="preserve">in NIFOR. </w:t>
      </w:r>
      <w:r w:rsidR="00254C74" w:rsidRPr="00D81A99">
        <w:rPr>
          <w:rFonts w:ascii="Arial" w:hAnsi="Arial" w:cs="Arial"/>
          <w:sz w:val="20"/>
          <w:szCs w:val="20"/>
        </w:rPr>
        <w:t xml:space="preserve">In the way, </w:t>
      </w:r>
      <w:r w:rsidRPr="00D81A99">
        <w:rPr>
          <w:rFonts w:ascii="Arial" w:hAnsi="Arial" w:cs="Arial"/>
          <w:sz w:val="20"/>
          <w:szCs w:val="20"/>
        </w:rPr>
        <w:t xml:space="preserve">Ekhator </w:t>
      </w:r>
      <w:r w:rsidRPr="00D81A99">
        <w:rPr>
          <w:rFonts w:ascii="Arial" w:hAnsi="Arial" w:cs="Arial"/>
          <w:i/>
          <w:iCs/>
          <w:sz w:val="20"/>
          <w:szCs w:val="20"/>
        </w:rPr>
        <w:t>et al</w:t>
      </w:r>
      <w:r w:rsidR="00254C74" w:rsidRPr="00D81A99">
        <w:rPr>
          <w:rFonts w:ascii="Arial" w:hAnsi="Arial" w:cs="Arial"/>
          <w:sz w:val="20"/>
          <w:szCs w:val="20"/>
        </w:rPr>
        <w:t>.</w:t>
      </w:r>
      <w:r w:rsidRPr="00D81A99">
        <w:rPr>
          <w:rFonts w:ascii="Arial" w:hAnsi="Arial" w:cs="Arial"/>
          <w:sz w:val="20"/>
          <w:szCs w:val="20"/>
        </w:rPr>
        <w:t xml:space="preserve"> (2019) recorded a plant height of 119.9 cm and 127cm </w:t>
      </w:r>
      <w:r w:rsidR="00254C74" w:rsidRPr="00D81A99">
        <w:rPr>
          <w:rFonts w:ascii="Arial" w:hAnsi="Arial" w:cs="Arial"/>
          <w:sz w:val="20"/>
          <w:szCs w:val="20"/>
        </w:rPr>
        <w:t xml:space="preserve">in a related study </w:t>
      </w:r>
      <w:r w:rsidRPr="00D81A99">
        <w:rPr>
          <w:rFonts w:ascii="Arial" w:hAnsi="Arial" w:cs="Arial"/>
          <w:sz w:val="20"/>
          <w:szCs w:val="20"/>
        </w:rPr>
        <w:t>NIFOR main nursery</w:t>
      </w:r>
      <w:r w:rsidR="00254C74" w:rsidRPr="00D81A99">
        <w:rPr>
          <w:rFonts w:ascii="Arial" w:hAnsi="Arial" w:cs="Arial"/>
          <w:sz w:val="20"/>
          <w:szCs w:val="20"/>
        </w:rPr>
        <w:t>.</w:t>
      </w:r>
      <w:r w:rsidRPr="00D81A99">
        <w:rPr>
          <w:rFonts w:ascii="Arial" w:hAnsi="Arial" w:cs="Arial"/>
          <w:sz w:val="20"/>
          <w:szCs w:val="20"/>
        </w:rPr>
        <w:t xml:space="preserve"> However</w:t>
      </w:r>
      <w:r w:rsidR="00EE31D9">
        <w:rPr>
          <w:rFonts w:ascii="Arial" w:hAnsi="Arial" w:cs="Arial"/>
          <w:sz w:val="20"/>
          <w:szCs w:val="20"/>
        </w:rPr>
        <w:t>,</w:t>
      </w:r>
      <w:r w:rsidRPr="00D81A99">
        <w:rPr>
          <w:rFonts w:ascii="Arial" w:hAnsi="Arial" w:cs="Arial"/>
          <w:sz w:val="20"/>
          <w:szCs w:val="20"/>
        </w:rPr>
        <w:t xml:space="preserve"> in this study, </w:t>
      </w:r>
      <w:r w:rsidRPr="00D81A99">
        <w:rPr>
          <w:rFonts w:ascii="Arial" w:hAnsi="Arial" w:cs="Arial"/>
          <w:sz w:val="20"/>
          <w:szCs w:val="20"/>
          <w:lang w:val="en-US"/>
        </w:rPr>
        <w:t>a</w:t>
      </w:r>
      <w:r w:rsidRPr="00D81A99">
        <w:rPr>
          <w:rFonts w:ascii="Arial" w:hAnsi="Arial" w:cs="Arial"/>
          <w:sz w:val="20"/>
          <w:szCs w:val="20"/>
        </w:rPr>
        <w:t xml:space="preserve">t 12 </w:t>
      </w:r>
      <w:r w:rsidRPr="00D81A99">
        <w:rPr>
          <w:rFonts w:ascii="Arial" w:hAnsi="Arial" w:cs="Arial"/>
          <w:sz w:val="20"/>
          <w:szCs w:val="20"/>
          <w:lang w:val="en-US"/>
        </w:rPr>
        <w:t xml:space="preserve">MAP, </w:t>
      </w:r>
      <w:r w:rsidRPr="00D81A99">
        <w:rPr>
          <w:rFonts w:ascii="Arial" w:hAnsi="Arial" w:cs="Arial"/>
          <w:sz w:val="20"/>
          <w:szCs w:val="20"/>
        </w:rPr>
        <w:t xml:space="preserve">EFB mulching material recorded the highest </w:t>
      </w:r>
      <w:r w:rsidRPr="00D81A99">
        <w:rPr>
          <w:rFonts w:ascii="Arial" w:hAnsi="Arial" w:cs="Arial"/>
          <w:sz w:val="20"/>
          <w:szCs w:val="20"/>
          <w:lang w:val="en-US"/>
        </w:rPr>
        <w:t xml:space="preserve">plant height </w:t>
      </w:r>
      <w:r w:rsidRPr="00D81A99">
        <w:rPr>
          <w:rFonts w:ascii="Arial" w:hAnsi="Arial" w:cs="Arial"/>
          <w:sz w:val="20"/>
          <w:szCs w:val="20"/>
        </w:rPr>
        <w:t xml:space="preserve">mean value of 139.05 cm while the </w:t>
      </w:r>
      <w:r w:rsidRPr="00D81A99">
        <w:rPr>
          <w:rFonts w:ascii="Arial" w:hAnsi="Arial" w:cs="Arial"/>
          <w:sz w:val="20"/>
          <w:szCs w:val="20"/>
          <w:lang w:val="en-US"/>
        </w:rPr>
        <w:t xml:space="preserve">control </w:t>
      </w:r>
      <w:r w:rsidRPr="00D81A99">
        <w:rPr>
          <w:rFonts w:ascii="Arial" w:hAnsi="Arial" w:cs="Arial"/>
          <w:sz w:val="20"/>
          <w:szCs w:val="20"/>
        </w:rPr>
        <w:t xml:space="preserve">plot had the lowest mean value of 130.42 cm respectively. </w:t>
      </w:r>
      <w:r w:rsidRPr="00D81A99">
        <w:rPr>
          <w:rFonts w:ascii="Arial" w:hAnsi="Arial" w:cs="Arial"/>
          <w:sz w:val="20"/>
          <w:szCs w:val="20"/>
          <w:lang w:val="en-US"/>
        </w:rPr>
        <w:t xml:space="preserve">This study </w:t>
      </w:r>
      <w:r w:rsidRPr="00D81A99">
        <w:rPr>
          <w:rFonts w:ascii="Arial" w:hAnsi="Arial" w:cs="Arial"/>
          <w:sz w:val="20"/>
          <w:szCs w:val="20"/>
        </w:rPr>
        <w:t xml:space="preserve">clearly showed that mulching material contributed to the growth of oil palm seedling in the screen house </w:t>
      </w:r>
      <w:r w:rsidRPr="00D81A99">
        <w:rPr>
          <w:rFonts w:ascii="Arial" w:hAnsi="Arial" w:cs="Arial"/>
          <w:sz w:val="20"/>
          <w:szCs w:val="20"/>
          <w:lang w:val="en-US"/>
        </w:rPr>
        <w:t xml:space="preserve">in soil treated with 0.5 kg </w:t>
      </w:r>
      <w:r w:rsidRPr="00D81A99">
        <w:rPr>
          <w:rFonts w:ascii="Arial" w:hAnsi="Arial" w:cs="Arial"/>
          <w:sz w:val="20"/>
          <w:szCs w:val="20"/>
        </w:rPr>
        <w:t>of empty fruit bunch (EFB) before planting. The increase</w:t>
      </w:r>
      <w:r w:rsidRPr="00D81A99">
        <w:rPr>
          <w:rFonts w:ascii="Arial" w:hAnsi="Arial" w:cs="Arial"/>
          <w:sz w:val="20"/>
          <w:szCs w:val="20"/>
          <w:lang w:val="en-US"/>
        </w:rPr>
        <w:t xml:space="preserve"> </w:t>
      </w:r>
      <w:r w:rsidRPr="00D81A99">
        <w:rPr>
          <w:rFonts w:ascii="Arial" w:hAnsi="Arial" w:cs="Arial"/>
          <w:sz w:val="20"/>
          <w:szCs w:val="20"/>
        </w:rPr>
        <w:t>in plant height in th</w:t>
      </w:r>
      <w:r w:rsidRPr="00D81A99">
        <w:rPr>
          <w:rFonts w:ascii="Arial" w:hAnsi="Arial" w:cs="Arial"/>
          <w:sz w:val="20"/>
          <w:szCs w:val="20"/>
          <w:lang w:val="en-US"/>
        </w:rPr>
        <w:t xml:space="preserve">is </w:t>
      </w:r>
      <w:r w:rsidRPr="00D81A99">
        <w:rPr>
          <w:rFonts w:ascii="Arial" w:hAnsi="Arial" w:cs="Arial"/>
          <w:sz w:val="20"/>
          <w:szCs w:val="20"/>
        </w:rPr>
        <w:t xml:space="preserve">study may be as result of the organic matter incorporated into the soil before planting. </w:t>
      </w:r>
      <w:r w:rsidRPr="00D81A99">
        <w:rPr>
          <w:rFonts w:ascii="Arial" w:hAnsi="Arial" w:cs="Arial"/>
          <w:sz w:val="20"/>
          <w:szCs w:val="20"/>
          <w:lang w:val="en-US"/>
        </w:rPr>
        <w:t xml:space="preserve">Furthermore, increase in oil palm seedlings height compared to the control may be due to the role mulching materials in reducing soil temperature, improving general soil condition that facilitated the growth of oil palm seedlings. In agreement with the results obtained in this study, Nyasapoh </w:t>
      </w:r>
      <w:r w:rsidRPr="00D81A99">
        <w:rPr>
          <w:rFonts w:ascii="Arial" w:hAnsi="Arial" w:cs="Arial"/>
          <w:i/>
          <w:iCs/>
          <w:sz w:val="20"/>
          <w:szCs w:val="20"/>
          <w:lang w:val="en-US"/>
        </w:rPr>
        <w:t>et al</w:t>
      </w:r>
      <w:r w:rsidRPr="00D81A99">
        <w:rPr>
          <w:rFonts w:ascii="Arial" w:hAnsi="Arial" w:cs="Arial"/>
          <w:sz w:val="20"/>
          <w:szCs w:val="20"/>
          <w:lang w:val="en-US"/>
        </w:rPr>
        <w:t>.</w:t>
      </w:r>
      <w:r w:rsidR="00AE5018">
        <w:rPr>
          <w:rFonts w:ascii="Arial" w:hAnsi="Arial" w:cs="Arial"/>
          <w:sz w:val="20"/>
          <w:szCs w:val="20"/>
          <w:lang w:val="en-US"/>
        </w:rPr>
        <w:t xml:space="preserve"> </w:t>
      </w:r>
      <w:r w:rsidRPr="00D81A99">
        <w:rPr>
          <w:rFonts w:ascii="Arial" w:hAnsi="Arial" w:cs="Arial"/>
          <w:sz w:val="20"/>
          <w:szCs w:val="20"/>
          <w:lang w:val="en-US"/>
        </w:rPr>
        <w:t>(2024) stated that the use of agricultural wastes such as empty fruit bunches (EFBs) from oil palm (Elaeis guineensis Jacq.) either as mulch or when incorporated into the soil as organic amendment is reported to enhance soil water and nutrient retention, and increase crop yield</w:t>
      </w:r>
      <w:r w:rsidR="00D81A99">
        <w:rPr>
          <w:rFonts w:ascii="Arial" w:hAnsi="Arial" w:cs="Arial"/>
          <w:sz w:val="20"/>
          <w:szCs w:val="20"/>
          <w:lang w:val="en-US"/>
        </w:rPr>
        <w:t>.</w:t>
      </w:r>
    </w:p>
    <w:p w14:paraId="4B94E7A5" w14:textId="1C9EA0A8" w:rsidR="005D1B15" w:rsidRPr="00960D34" w:rsidRDefault="00783DA8" w:rsidP="00960D34">
      <w:pPr>
        <w:spacing w:line="360" w:lineRule="auto"/>
        <w:jc w:val="both"/>
        <w:rPr>
          <w:rFonts w:ascii="Arial" w:hAnsi="Arial" w:cs="Arial"/>
          <w:sz w:val="20"/>
          <w:szCs w:val="20"/>
        </w:rPr>
      </w:pPr>
      <w:r w:rsidRPr="002F61AE">
        <w:rPr>
          <w:rFonts w:ascii="Arial" w:hAnsi="Arial" w:cs="Arial"/>
        </w:rPr>
        <w:t xml:space="preserve"> </w:t>
      </w:r>
      <w:r w:rsidRPr="00960D34">
        <w:rPr>
          <w:rFonts w:ascii="Arial" w:hAnsi="Arial" w:cs="Arial"/>
          <w:sz w:val="20"/>
          <w:szCs w:val="20"/>
        </w:rPr>
        <w:t xml:space="preserve">Adnan </w:t>
      </w:r>
      <w:r w:rsidRPr="00960D34">
        <w:rPr>
          <w:rFonts w:ascii="Arial" w:hAnsi="Arial" w:cs="Arial"/>
          <w:i/>
          <w:iCs/>
          <w:sz w:val="20"/>
          <w:szCs w:val="20"/>
        </w:rPr>
        <w:t>et al</w:t>
      </w:r>
      <w:r w:rsidRPr="00960D34">
        <w:rPr>
          <w:rFonts w:ascii="Arial" w:hAnsi="Arial" w:cs="Arial"/>
          <w:i/>
          <w:sz w:val="20"/>
          <w:szCs w:val="20"/>
        </w:rPr>
        <w:t>.</w:t>
      </w:r>
      <w:r w:rsidRPr="00960D34">
        <w:rPr>
          <w:rFonts w:ascii="Arial" w:hAnsi="Arial" w:cs="Arial"/>
          <w:sz w:val="20"/>
          <w:szCs w:val="20"/>
        </w:rPr>
        <w:t xml:space="preserve"> (2015) also found that the application o</w:t>
      </w:r>
      <w:r w:rsidRPr="00960D34">
        <w:rPr>
          <w:rFonts w:ascii="Arial" w:hAnsi="Arial" w:cs="Arial"/>
          <w:sz w:val="20"/>
          <w:szCs w:val="20"/>
          <w:lang w:val="en-US"/>
        </w:rPr>
        <w:t>f mulching materials significantly increased oil palm seedlings growth in their study</w:t>
      </w:r>
      <w:r w:rsidRPr="00960D34">
        <w:rPr>
          <w:rFonts w:ascii="Arial" w:hAnsi="Arial" w:cs="Arial"/>
          <w:sz w:val="20"/>
          <w:szCs w:val="20"/>
        </w:rPr>
        <w:t xml:space="preserve">. Since the nursery phase is a preliminary stage requiring one year of preparation before field planting, proper nursery management is essential </w:t>
      </w:r>
      <w:r w:rsidRPr="00960D34">
        <w:rPr>
          <w:rFonts w:ascii="Arial" w:hAnsi="Arial" w:cs="Arial"/>
          <w:sz w:val="20"/>
          <w:szCs w:val="20"/>
          <w:lang w:val="en-US"/>
        </w:rPr>
        <w:t xml:space="preserve">for oil rapid growth and full establishment in the field </w:t>
      </w:r>
      <w:r w:rsidRPr="00960D34">
        <w:rPr>
          <w:rFonts w:ascii="Arial" w:hAnsi="Arial" w:cs="Arial"/>
          <w:sz w:val="20"/>
          <w:szCs w:val="20"/>
        </w:rPr>
        <w:t>(Ariyanti 2017). Bakar et al.</w:t>
      </w:r>
      <w:r w:rsidRPr="00960D34">
        <w:rPr>
          <w:rFonts w:ascii="Arial" w:hAnsi="Arial" w:cs="Arial"/>
          <w:sz w:val="20"/>
          <w:szCs w:val="20"/>
          <w:lang w:val="en-US"/>
        </w:rPr>
        <w:t xml:space="preserve"> (</w:t>
      </w:r>
      <w:r w:rsidRPr="00960D34">
        <w:rPr>
          <w:rFonts w:ascii="Arial" w:hAnsi="Arial" w:cs="Arial"/>
          <w:sz w:val="20"/>
          <w:szCs w:val="20"/>
        </w:rPr>
        <w:t>2011</w:t>
      </w:r>
      <w:r w:rsidRPr="00960D34">
        <w:rPr>
          <w:rFonts w:ascii="Arial" w:hAnsi="Arial" w:cs="Arial"/>
          <w:sz w:val="20"/>
          <w:szCs w:val="20"/>
          <w:lang w:val="en-US"/>
        </w:rPr>
        <w:t xml:space="preserve">) </w:t>
      </w:r>
      <w:r w:rsidRPr="00960D34">
        <w:rPr>
          <w:rFonts w:ascii="Arial" w:hAnsi="Arial" w:cs="Arial"/>
          <w:sz w:val="20"/>
          <w:szCs w:val="20"/>
        </w:rPr>
        <w:t>reported th</w:t>
      </w:r>
      <w:r w:rsidRPr="00960D34">
        <w:rPr>
          <w:rFonts w:ascii="Arial" w:hAnsi="Arial" w:cs="Arial"/>
          <w:sz w:val="20"/>
          <w:szCs w:val="20"/>
          <w:lang w:val="en-US"/>
        </w:rPr>
        <w:t xml:space="preserve">at </w:t>
      </w:r>
      <w:r w:rsidRPr="00960D34">
        <w:rPr>
          <w:rFonts w:ascii="Arial" w:hAnsi="Arial" w:cs="Arial"/>
          <w:sz w:val="20"/>
          <w:szCs w:val="20"/>
        </w:rPr>
        <w:t>application of EFB to soils led to approximately 49.2% increase</w:t>
      </w:r>
      <w:r w:rsidRPr="00960D34">
        <w:rPr>
          <w:rFonts w:ascii="Arial" w:hAnsi="Arial" w:cs="Arial"/>
          <w:sz w:val="20"/>
          <w:szCs w:val="20"/>
          <w:lang w:val="en-US"/>
        </w:rPr>
        <w:t xml:space="preserve"> oil palm seedlings growth parameters</w:t>
      </w:r>
      <w:r w:rsidRPr="00960D34">
        <w:rPr>
          <w:rFonts w:ascii="Arial" w:hAnsi="Arial" w:cs="Arial"/>
          <w:sz w:val="20"/>
          <w:szCs w:val="20"/>
        </w:rPr>
        <w:t>. Hapsos et al.</w:t>
      </w:r>
      <w:r w:rsidRPr="00960D34">
        <w:rPr>
          <w:rFonts w:ascii="Arial" w:hAnsi="Arial" w:cs="Arial"/>
          <w:i/>
          <w:sz w:val="20"/>
          <w:szCs w:val="20"/>
        </w:rPr>
        <w:t>,</w:t>
      </w:r>
      <w:r w:rsidRPr="00960D34">
        <w:rPr>
          <w:rFonts w:ascii="Arial" w:hAnsi="Arial" w:cs="Arial"/>
          <w:sz w:val="20"/>
          <w:szCs w:val="20"/>
        </w:rPr>
        <w:t xml:space="preserve"> (2020) suggested using empty oil palm bunches in combination with biological fertilizers to reduce NPK doses. Applying organic amendments to replenish soil nutrients has been suggested for resource-poor farmers (Oppong Danso et al</w:t>
      </w:r>
      <w:r w:rsidRPr="00960D34">
        <w:rPr>
          <w:rFonts w:ascii="Arial" w:hAnsi="Arial" w:cs="Arial"/>
          <w:i/>
          <w:sz w:val="20"/>
          <w:szCs w:val="20"/>
        </w:rPr>
        <w:t>.</w:t>
      </w:r>
      <w:r w:rsidRPr="00960D34">
        <w:rPr>
          <w:rFonts w:ascii="Arial" w:hAnsi="Arial" w:cs="Arial"/>
          <w:sz w:val="20"/>
          <w:szCs w:val="20"/>
        </w:rPr>
        <w:t xml:space="preserve"> The application of organic amendments can increase soil organic matter, improve soil fertility, and ameliorate degraded soils (Rickson et al. 2015). Particularly for resource-poor regions, the use of locally available bio-wastes such as empty oil palm fruit bunches (EFBs) to improve soil water and nutrient retention is suggested to be among the most sustainable options for soil conservation and improvement in soil fertility (Sung </w:t>
      </w:r>
      <w:r w:rsidRPr="00B909EC">
        <w:rPr>
          <w:rFonts w:ascii="Arial" w:hAnsi="Arial" w:cs="Arial"/>
          <w:i/>
          <w:iCs/>
          <w:sz w:val="20"/>
          <w:szCs w:val="20"/>
        </w:rPr>
        <w:t>et al</w:t>
      </w:r>
      <w:r w:rsidRPr="00960D34">
        <w:rPr>
          <w:rFonts w:ascii="Arial" w:hAnsi="Arial" w:cs="Arial"/>
          <w:sz w:val="20"/>
          <w:szCs w:val="20"/>
        </w:rPr>
        <w:t>.</w:t>
      </w:r>
      <w:r w:rsidR="00B909EC">
        <w:rPr>
          <w:rFonts w:ascii="Arial" w:hAnsi="Arial" w:cs="Arial"/>
          <w:sz w:val="20"/>
          <w:szCs w:val="20"/>
        </w:rPr>
        <w:t>,</w:t>
      </w:r>
      <w:r w:rsidRPr="00960D34">
        <w:rPr>
          <w:rFonts w:ascii="Arial" w:hAnsi="Arial" w:cs="Arial"/>
          <w:sz w:val="20"/>
          <w:szCs w:val="20"/>
        </w:rPr>
        <w:t xml:space="preserve"> 2010; Moradi </w:t>
      </w:r>
      <w:r w:rsidRPr="00017AF7">
        <w:rPr>
          <w:rFonts w:ascii="Arial" w:hAnsi="Arial" w:cs="Arial"/>
          <w:i/>
          <w:iCs/>
          <w:sz w:val="20"/>
          <w:szCs w:val="20"/>
        </w:rPr>
        <w:t>et</w:t>
      </w:r>
      <w:r w:rsidRPr="00960D34">
        <w:rPr>
          <w:rFonts w:ascii="Arial" w:hAnsi="Arial" w:cs="Arial"/>
          <w:sz w:val="20"/>
          <w:szCs w:val="20"/>
        </w:rPr>
        <w:t xml:space="preserve"> </w:t>
      </w:r>
      <w:r w:rsidRPr="00017AF7">
        <w:rPr>
          <w:rFonts w:ascii="Arial" w:hAnsi="Arial" w:cs="Arial"/>
          <w:i/>
          <w:iCs/>
          <w:sz w:val="20"/>
          <w:szCs w:val="20"/>
        </w:rPr>
        <w:t>al</w:t>
      </w:r>
      <w:r w:rsidRPr="00960D34">
        <w:rPr>
          <w:rFonts w:ascii="Arial" w:hAnsi="Arial" w:cs="Arial"/>
          <w:sz w:val="20"/>
          <w:szCs w:val="20"/>
        </w:rPr>
        <w:t>.</w:t>
      </w:r>
      <w:r w:rsidR="00017AF7">
        <w:rPr>
          <w:rFonts w:ascii="Arial" w:hAnsi="Arial" w:cs="Arial"/>
          <w:sz w:val="20"/>
          <w:szCs w:val="20"/>
        </w:rPr>
        <w:t>,</w:t>
      </w:r>
      <w:r w:rsidRPr="00960D34">
        <w:rPr>
          <w:rFonts w:ascii="Arial" w:hAnsi="Arial" w:cs="Arial"/>
          <w:sz w:val="20"/>
          <w:szCs w:val="20"/>
        </w:rPr>
        <w:t xml:space="preserve"> 2015). Film, black/blue polythene mulches under zero tillage resulted in the highest yield and benefit–cost ratio compared to straw mulch in coastal lowlands (Mollah </w:t>
      </w:r>
      <w:r w:rsidRPr="00960D34">
        <w:rPr>
          <w:rFonts w:ascii="Arial" w:hAnsi="Arial" w:cs="Arial"/>
          <w:i/>
          <w:sz w:val="20"/>
          <w:szCs w:val="20"/>
        </w:rPr>
        <w:t>et al.,</w:t>
      </w:r>
      <w:r w:rsidRPr="00960D34">
        <w:rPr>
          <w:rFonts w:ascii="Arial" w:hAnsi="Arial" w:cs="Arial"/>
          <w:sz w:val="20"/>
          <w:szCs w:val="20"/>
        </w:rPr>
        <w:t xml:space="preserve"> 2025). For instance, Xu </w:t>
      </w:r>
      <w:r w:rsidRPr="00960D34">
        <w:rPr>
          <w:rFonts w:ascii="Arial" w:hAnsi="Arial" w:cs="Arial"/>
          <w:i/>
          <w:sz w:val="20"/>
          <w:szCs w:val="20"/>
        </w:rPr>
        <w:lastRenderedPageBreak/>
        <w:t>et al</w:t>
      </w:r>
      <w:r w:rsidRPr="00960D34">
        <w:rPr>
          <w:rFonts w:ascii="Arial" w:hAnsi="Arial" w:cs="Arial"/>
          <w:sz w:val="20"/>
          <w:szCs w:val="20"/>
        </w:rPr>
        <w:t>. (2023) reported that plastic film mulch increased potato yield by 27% and enhanced water use efficiency (WUE) by a similar 27</w:t>
      </w:r>
      <w:r w:rsidR="00BF5743">
        <w:rPr>
          <w:rFonts w:ascii="Arial" w:hAnsi="Arial" w:cs="Arial"/>
          <w:sz w:val="20"/>
          <w:szCs w:val="20"/>
        </w:rPr>
        <w:t xml:space="preserve"> </w:t>
      </w:r>
      <w:r w:rsidRPr="00960D34">
        <w:rPr>
          <w:rFonts w:ascii="Arial" w:hAnsi="Arial" w:cs="Arial"/>
          <w:sz w:val="20"/>
          <w:szCs w:val="20"/>
        </w:rPr>
        <w:t xml:space="preserve">%, while also modifying soil hydrothermal conditions by reducing cumulative temperature ≥10°C. Zahed </w:t>
      </w:r>
      <w:r w:rsidRPr="00960D34">
        <w:rPr>
          <w:rFonts w:ascii="Arial" w:hAnsi="Arial" w:cs="Arial"/>
          <w:i/>
          <w:sz w:val="20"/>
          <w:szCs w:val="20"/>
        </w:rPr>
        <w:t>et al</w:t>
      </w:r>
      <w:r w:rsidR="00960D34">
        <w:rPr>
          <w:rFonts w:ascii="Arial" w:hAnsi="Arial" w:cs="Arial"/>
          <w:sz w:val="20"/>
          <w:szCs w:val="20"/>
        </w:rPr>
        <w:t>.</w:t>
      </w:r>
      <w:r w:rsidR="00BF5743">
        <w:rPr>
          <w:rFonts w:ascii="Arial" w:hAnsi="Arial" w:cs="Arial"/>
          <w:sz w:val="20"/>
          <w:szCs w:val="20"/>
        </w:rPr>
        <w:t xml:space="preserve"> </w:t>
      </w:r>
      <w:r w:rsidRPr="00960D34">
        <w:rPr>
          <w:rFonts w:ascii="Arial" w:hAnsi="Arial" w:cs="Arial"/>
          <w:sz w:val="20"/>
          <w:szCs w:val="20"/>
        </w:rPr>
        <w:t xml:space="preserve">(2025) reported that </w:t>
      </w:r>
      <w:r w:rsidR="00942E9E">
        <w:rPr>
          <w:rFonts w:ascii="Arial" w:hAnsi="Arial" w:cs="Arial"/>
          <w:sz w:val="20"/>
          <w:szCs w:val="20"/>
        </w:rPr>
        <w:t>p</w:t>
      </w:r>
      <w:r w:rsidRPr="00960D34">
        <w:rPr>
          <w:rFonts w:ascii="Arial" w:hAnsi="Arial" w:cs="Arial"/>
          <w:sz w:val="20"/>
          <w:szCs w:val="20"/>
        </w:rPr>
        <w:t>lastic mulches, particularly black  reduced soil pH, EC, and bulk density while enhancing soil moisture retention and thermal conditions.  Other researchers found that the use organic material</w:t>
      </w:r>
      <w:r w:rsidRPr="00960D34">
        <w:rPr>
          <w:rFonts w:ascii="Arial" w:hAnsi="Arial" w:cs="Arial"/>
          <w:sz w:val="20"/>
          <w:szCs w:val="20"/>
          <w:lang w:val="en-US"/>
        </w:rPr>
        <w:t xml:space="preserve">s as mulch </w:t>
      </w:r>
      <w:r w:rsidRPr="00960D34">
        <w:rPr>
          <w:rFonts w:ascii="Arial" w:hAnsi="Arial" w:cs="Arial"/>
          <w:sz w:val="20"/>
          <w:szCs w:val="20"/>
        </w:rPr>
        <w:t xml:space="preserve">contributes to the best results in increasing the growth performance of oil palm seedlings in pre-nursery and main nursery (Hariyadi </w:t>
      </w:r>
      <w:r w:rsidRPr="00960D34">
        <w:rPr>
          <w:rFonts w:ascii="Arial" w:hAnsi="Arial" w:cs="Arial"/>
          <w:i/>
          <w:sz w:val="20"/>
          <w:szCs w:val="20"/>
        </w:rPr>
        <w:t>et al.,</w:t>
      </w:r>
      <w:r w:rsidRPr="00960D34">
        <w:rPr>
          <w:rFonts w:ascii="Arial" w:hAnsi="Arial" w:cs="Arial"/>
          <w:sz w:val="20"/>
          <w:szCs w:val="20"/>
        </w:rPr>
        <w:t xml:space="preserve"> 2019). </w:t>
      </w:r>
      <w:commentRangeStart w:id="6"/>
      <w:r w:rsidRPr="00960D34">
        <w:rPr>
          <w:rFonts w:ascii="Arial" w:hAnsi="Arial" w:cs="Arial"/>
          <w:sz w:val="20"/>
          <w:szCs w:val="20"/>
        </w:rPr>
        <w:t>Th</w:t>
      </w:r>
      <w:r w:rsidRPr="00960D34">
        <w:rPr>
          <w:rFonts w:ascii="Arial" w:hAnsi="Arial" w:cs="Arial"/>
          <w:sz w:val="20"/>
          <w:szCs w:val="20"/>
          <w:lang w:val="en-US"/>
        </w:rPr>
        <w:t xml:space="preserve">e </w:t>
      </w:r>
      <w:r w:rsidRPr="00960D34">
        <w:rPr>
          <w:rFonts w:ascii="Arial" w:hAnsi="Arial" w:cs="Arial"/>
          <w:sz w:val="20"/>
          <w:szCs w:val="20"/>
        </w:rPr>
        <w:t>finding</w:t>
      </w:r>
      <w:r w:rsidRPr="00960D34">
        <w:rPr>
          <w:rFonts w:ascii="Arial" w:hAnsi="Arial" w:cs="Arial"/>
          <w:sz w:val="20"/>
          <w:szCs w:val="20"/>
          <w:lang w:val="en-US"/>
        </w:rPr>
        <w:t xml:space="preserve">s of this present study </w:t>
      </w:r>
      <w:r w:rsidRPr="00960D34">
        <w:rPr>
          <w:rFonts w:ascii="Arial" w:hAnsi="Arial" w:cs="Arial"/>
          <w:sz w:val="20"/>
          <w:szCs w:val="20"/>
        </w:rPr>
        <w:t xml:space="preserve">is accordance with Hastuti (2021), </w:t>
      </w:r>
      <w:r w:rsidRPr="00960D34">
        <w:rPr>
          <w:rFonts w:ascii="Arial" w:hAnsi="Arial" w:cs="Arial"/>
          <w:sz w:val="20"/>
          <w:szCs w:val="20"/>
          <w:lang w:val="en-US"/>
        </w:rPr>
        <w:t xml:space="preserve">who </w:t>
      </w:r>
      <w:r w:rsidRPr="00960D34">
        <w:rPr>
          <w:rFonts w:ascii="Arial" w:hAnsi="Arial" w:cs="Arial"/>
          <w:sz w:val="20"/>
          <w:szCs w:val="20"/>
        </w:rPr>
        <w:t>state</w:t>
      </w:r>
      <w:r w:rsidRPr="00960D34">
        <w:rPr>
          <w:rFonts w:ascii="Arial" w:hAnsi="Arial" w:cs="Arial"/>
          <w:sz w:val="20"/>
          <w:szCs w:val="20"/>
          <w:lang w:val="en-US"/>
        </w:rPr>
        <w:t xml:space="preserve">d that </w:t>
      </w:r>
      <w:r w:rsidRPr="00960D34">
        <w:rPr>
          <w:rFonts w:ascii="Arial" w:hAnsi="Arial" w:cs="Arial"/>
          <w:sz w:val="20"/>
          <w:szCs w:val="20"/>
        </w:rPr>
        <w:t>the us</w:t>
      </w:r>
      <w:r w:rsidRPr="00960D34">
        <w:rPr>
          <w:rFonts w:ascii="Arial" w:hAnsi="Arial" w:cs="Arial"/>
          <w:sz w:val="20"/>
          <w:szCs w:val="20"/>
          <w:lang w:val="en-US"/>
        </w:rPr>
        <w:t>e</w:t>
      </w:r>
      <w:r w:rsidRPr="00960D34">
        <w:rPr>
          <w:rFonts w:ascii="Arial" w:hAnsi="Arial" w:cs="Arial"/>
          <w:sz w:val="20"/>
          <w:szCs w:val="20"/>
        </w:rPr>
        <w:t xml:space="preserve"> of organic </w:t>
      </w:r>
      <w:r w:rsidRPr="00960D34">
        <w:rPr>
          <w:rFonts w:ascii="Arial" w:hAnsi="Arial" w:cs="Arial"/>
          <w:sz w:val="20"/>
          <w:szCs w:val="20"/>
          <w:lang w:val="en-US"/>
        </w:rPr>
        <w:t>mulch</w:t>
      </w:r>
      <w:r w:rsidRPr="00960D34">
        <w:rPr>
          <w:rFonts w:ascii="Arial" w:hAnsi="Arial" w:cs="Arial"/>
          <w:sz w:val="20"/>
          <w:szCs w:val="20"/>
        </w:rPr>
        <w:t xml:space="preserve"> indirectly can increase the girth of seedlings since it has a nutrient that can help for early-stage development for oil palm.</w:t>
      </w:r>
      <w:commentRangeEnd w:id="6"/>
      <w:r w:rsidR="006378CE">
        <w:rPr>
          <w:rStyle w:val="CommentReference"/>
        </w:rPr>
        <w:commentReference w:id="6"/>
      </w:r>
    </w:p>
    <w:p w14:paraId="2A877754" w14:textId="77777777" w:rsidR="005D1B15" w:rsidRPr="002F61AE" w:rsidRDefault="00783DA8">
      <w:pPr>
        <w:rPr>
          <w:rFonts w:ascii="Arial" w:hAnsi="Arial" w:cs="Arial"/>
        </w:rPr>
      </w:pPr>
      <w:r w:rsidRPr="002F61AE">
        <w:rPr>
          <w:rFonts w:ascii="Arial" w:hAnsi="Arial" w:cs="Arial"/>
        </w:rPr>
        <w:t xml:space="preserve"> </w:t>
      </w:r>
    </w:p>
    <w:p w14:paraId="29F98D29" w14:textId="7AE79B9C" w:rsidR="005D1B15" w:rsidRPr="007A40E5" w:rsidRDefault="007A40E5">
      <w:pPr>
        <w:rPr>
          <w:rFonts w:ascii="Arial" w:hAnsi="Arial" w:cs="Arial"/>
          <w:b/>
          <w:bCs/>
        </w:rPr>
      </w:pPr>
      <w:r w:rsidRPr="007A40E5">
        <w:rPr>
          <w:rFonts w:ascii="Arial" w:hAnsi="Arial" w:cs="Arial"/>
          <w:b/>
          <w:bCs/>
          <w:lang w:val="en-US"/>
        </w:rPr>
        <w:t xml:space="preserve">5. Conclusion </w:t>
      </w:r>
    </w:p>
    <w:p w14:paraId="04CB6AAB" w14:textId="3CB70D54" w:rsidR="005D1B15" w:rsidRPr="00010220" w:rsidRDefault="00783DA8" w:rsidP="00010220">
      <w:pPr>
        <w:spacing w:line="360" w:lineRule="auto"/>
        <w:jc w:val="both"/>
        <w:rPr>
          <w:rFonts w:ascii="Arial" w:hAnsi="Arial" w:cs="Arial"/>
          <w:sz w:val="20"/>
          <w:szCs w:val="20"/>
        </w:rPr>
      </w:pPr>
      <w:r w:rsidRPr="007A40E5">
        <w:rPr>
          <w:rFonts w:ascii="Arial" w:hAnsi="Arial" w:cs="Arial"/>
          <w:sz w:val="20"/>
          <w:szCs w:val="20"/>
          <w:lang w:val="en-US"/>
        </w:rPr>
        <w:t>The study evaluated the effects of different mulching materials on the growth of oil palm seedlings in soil treated with empty fruit bunch</w:t>
      </w:r>
      <w:r w:rsidR="007A40E5">
        <w:rPr>
          <w:rFonts w:ascii="Arial" w:hAnsi="Arial" w:cs="Arial"/>
          <w:sz w:val="20"/>
          <w:szCs w:val="20"/>
          <w:lang w:val="en-US"/>
        </w:rPr>
        <w:t xml:space="preserve"> </w:t>
      </w:r>
      <w:r w:rsidRPr="007A40E5">
        <w:rPr>
          <w:rFonts w:ascii="Arial" w:hAnsi="Arial" w:cs="Arial"/>
          <w:sz w:val="20"/>
          <w:szCs w:val="20"/>
          <w:lang w:val="en-US"/>
        </w:rPr>
        <w:t>(EFB) compost in screen house. Repeatedly, soil mulched with EFB gave the highest growth parameter values compared to other mulch materials. The influence of mulch materials on oil palm seedlings was in the order of EFB&gt;polythene &gt;sawdust&gt;control. It recommended that better soil moisture conservation</w:t>
      </w:r>
      <w:commentRangeStart w:id="7"/>
      <w:r w:rsidRPr="007A40E5">
        <w:rPr>
          <w:rFonts w:ascii="Arial" w:hAnsi="Arial" w:cs="Arial"/>
          <w:sz w:val="20"/>
          <w:szCs w:val="20"/>
          <w:lang w:val="en-US"/>
        </w:rPr>
        <w:t xml:space="preserve">, EFB </w:t>
      </w:r>
      <w:commentRangeEnd w:id="7"/>
      <w:r w:rsidR="00C063D3">
        <w:rPr>
          <w:rStyle w:val="CommentReference"/>
        </w:rPr>
        <w:commentReference w:id="7"/>
      </w:r>
      <w:r w:rsidRPr="007A40E5">
        <w:rPr>
          <w:rFonts w:ascii="Arial" w:hAnsi="Arial" w:cs="Arial"/>
          <w:sz w:val="20"/>
          <w:szCs w:val="20"/>
          <w:lang w:val="en-US"/>
        </w:rPr>
        <w:t xml:space="preserve">and polythene mulches should be used. </w:t>
      </w:r>
    </w:p>
    <w:p w14:paraId="4F95ECAA" w14:textId="77777777" w:rsidR="005172A7" w:rsidRPr="005172A7" w:rsidRDefault="005172A7">
      <w:pPr>
        <w:rPr>
          <w:rFonts w:ascii="Arial" w:hAnsi="Arial" w:cs="Arial"/>
        </w:rPr>
      </w:pPr>
    </w:p>
    <w:p w14:paraId="0AC7C74A" w14:textId="78445FE2" w:rsidR="005D1B15" w:rsidRPr="00134BE4" w:rsidRDefault="00783DA8">
      <w:pPr>
        <w:rPr>
          <w:rFonts w:ascii="Arial" w:hAnsi="Arial" w:cs="Arial"/>
          <w:b/>
          <w:bCs/>
        </w:rPr>
      </w:pPr>
      <w:r w:rsidRPr="00134BE4">
        <w:rPr>
          <w:rFonts w:ascii="Arial" w:hAnsi="Arial" w:cs="Arial"/>
          <w:b/>
          <w:bCs/>
        </w:rPr>
        <w:t>REFERENCE</w:t>
      </w:r>
    </w:p>
    <w:p w14:paraId="2D3518F5" w14:textId="39D062FA" w:rsidR="005D1B15" w:rsidRPr="002F61AE" w:rsidRDefault="00783DA8">
      <w:pPr>
        <w:rPr>
          <w:rFonts w:ascii="Arial" w:hAnsi="Arial" w:cs="Arial"/>
        </w:rPr>
      </w:pPr>
      <w:r w:rsidRPr="002F61AE">
        <w:rPr>
          <w:rFonts w:ascii="Arial" w:hAnsi="Arial" w:cs="Arial"/>
        </w:rPr>
        <w:t>Ichsan,</w:t>
      </w:r>
      <w:r w:rsidR="00134BE4">
        <w:rPr>
          <w:rFonts w:ascii="Arial" w:hAnsi="Arial" w:cs="Arial"/>
        </w:rPr>
        <w:t xml:space="preserve"> J.C.N.,</w:t>
      </w:r>
      <w:r w:rsidRPr="002F61AE">
        <w:rPr>
          <w:rFonts w:ascii="Arial" w:hAnsi="Arial" w:cs="Arial"/>
        </w:rPr>
        <w:t xml:space="preserve"> Nurami,</w:t>
      </w:r>
      <w:r w:rsidR="00134BE4">
        <w:rPr>
          <w:rFonts w:ascii="Arial" w:hAnsi="Arial" w:cs="Arial"/>
        </w:rPr>
        <w:t>E. and</w:t>
      </w:r>
      <w:r w:rsidRPr="002F61AE">
        <w:rPr>
          <w:rFonts w:ascii="Arial" w:hAnsi="Arial" w:cs="Arial"/>
        </w:rPr>
        <w:t xml:space="preserve"> Saljuna.</w:t>
      </w:r>
      <w:r w:rsidR="00134BE4">
        <w:rPr>
          <w:rFonts w:ascii="Arial" w:hAnsi="Arial" w:cs="Arial"/>
        </w:rPr>
        <w:t>N.</w:t>
      </w:r>
      <w:r w:rsidRPr="002F61AE">
        <w:rPr>
          <w:rFonts w:ascii="Arial" w:hAnsi="Arial" w:cs="Arial"/>
        </w:rPr>
        <w:t xml:space="preserve"> (2012). “Respon Aplikasi Dosis Kompos dan Interval Penyiraman pada Pertumbuhan Bibit Kelapa Sawit (Elaeis guineensis Jacq</w:t>
      </w:r>
      <w:r w:rsidRPr="00D0613C">
        <w:rPr>
          <w:rFonts w:ascii="Arial" w:hAnsi="Arial" w:cs="Arial"/>
          <w:i/>
          <w:iCs/>
        </w:rPr>
        <w:t xml:space="preserve">.)”. Jurnal Agrista, </w:t>
      </w:r>
      <w:r w:rsidR="00644F7C">
        <w:rPr>
          <w:rFonts w:ascii="Arial" w:hAnsi="Arial" w:cs="Arial"/>
        </w:rPr>
        <w:t>16(2):</w:t>
      </w:r>
      <w:r w:rsidRPr="002F61AE">
        <w:rPr>
          <w:rFonts w:ascii="Arial" w:hAnsi="Arial" w:cs="Arial"/>
        </w:rPr>
        <w:t>94- 106.</w:t>
      </w:r>
    </w:p>
    <w:p w14:paraId="63135561" w14:textId="23818148" w:rsidR="0076236E" w:rsidRDefault="0076236E">
      <w:pPr>
        <w:rPr>
          <w:rFonts w:ascii="Arial" w:hAnsi="Arial" w:cs="Arial"/>
        </w:rPr>
      </w:pPr>
      <w:r w:rsidRPr="002F61AE">
        <w:rPr>
          <w:rFonts w:ascii="Arial" w:hAnsi="Arial" w:cs="Arial"/>
        </w:rPr>
        <w:t xml:space="preserve">Adnan, I.S., Utoyo, B., </w:t>
      </w:r>
      <w:r>
        <w:rPr>
          <w:rFonts w:ascii="Arial" w:hAnsi="Arial" w:cs="Arial"/>
        </w:rPr>
        <w:t>and</w:t>
      </w:r>
      <w:r w:rsidRPr="002F61AE">
        <w:rPr>
          <w:rFonts w:ascii="Arial" w:hAnsi="Arial" w:cs="Arial"/>
        </w:rPr>
        <w:t xml:space="preserve"> Kusumastuti, A. (2015). Pengaruh pupuk NPK dan pupuk organik terhadap pertumbuhan bibit kelapa sawit (Elaeis guineensis Jacq,) di main nursery. </w:t>
      </w:r>
      <w:r w:rsidRPr="00D0613C">
        <w:rPr>
          <w:rFonts w:ascii="Arial" w:hAnsi="Arial" w:cs="Arial"/>
          <w:i/>
          <w:iCs/>
        </w:rPr>
        <w:t>Jurnal Agro Industri Perkebunan,</w:t>
      </w:r>
      <w:r w:rsidRPr="002F61AE">
        <w:rPr>
          <w:rFonts w:ascii="Arial" w:hAnsi="Arial" w:cs="Arial"/>
        </w:rPr>
        <w:t xml:space="preserve"> 3(2):69-81. </w:t>
      </w:r>
    </w:p>
    <w:p w14:paraId="690B35E2" w14:textId="12CD8773" w:rsidR="005D1B15" w:rsidRPr="002F61AE" w:rsidRDefault="00783DA8">
      <w:pPr>
        <w:rPr>
          <w:rFonts w:ascii="Arial" w:hAnsi="Arial" w:cs="Arial"/>
        </w:rPr>
      </w:pPr>
      <w:r w:rsidRPr="002F61AE">
        <w:rPr>
          <w:rFonts w:ascii="Arial" w:hAnsi="Arial" w:cs="Arial"/>
        </w:rPr>
        <w:t xml:space="preserve">Ariyanti, M., Natali, G., </w:t>
      </w:r>
      <w:r w:rsidR="00E07D1F">
        <w:rPr>
          <w:rFonts w:ascii="Arial" w:hAnsi="Arial" w:cs="Arial"/>
        </w:rPr>
        <w:t>and</w:t>
      </w:r>
      <w:r w:rsidRPr="002F61AE">
        <w:rPr>
          <w:rFonts w:ascii="Arial" w:hAnsi="Arial" w:cs="Arial"/>
        </w:rPr>
        <w:t xml:space="preserve"> Suherman, C. (2017). Respons pertumbuhan bibit kelapa sawit (Elaeis guineensis Jacq,) terhadap pemberian pupuk organik asal pelepah kelapa sawit dan pupuk majemuk NPK. </w:t>
      </w:r>
      <w:r w:rsidRPr="00D0613C">
        <w:rPr>
          <w:rFonts w:ascii="Arial" w:hAnsi="Arial" w:cs="Arial"/>
          <w:i/>
          <w:iCs/>
        </w:rPr>
        <w:t>Jurnal Agrikultura</w:t>
      </w:r>
      <w:r w:rsidRPr="002F61AE">
        <w:rPr>
          <w:rFonts w:ascii="Arial" w:hAnsi="Arial" w:cs="Arial"/>
        </w:rPr>
        <w:t xml:space="preserve"> 28(2):64-67. </w:t>
      </w:r>
    </w:p>
    <w:p w14:paraId="6E1F18DC" w14:textId="05289DC9" w:rsidR="005D1B15" w:rsidRPr="002F61AE" w:rsidRDefault="00783DA8">
      <w:pPr>
        <w:spacing w:line="240" w:lineRule="auto"/>
        <w:jc w:val="both"/>
        <w:rPr>
          <w:rFonts w:ascii="Arial" w:hAnsi="Arial" w:cs="Arial"/>
        </w:rPr>
      </w:pPr>
      <w:r w:rsidRPr="002F61AE">
        <w:rPr>
          <w:rFonts w:ascii="Arial" w:hAnsi="Arial" w:cs="Arial"/>
        </w:rPr>
        <w:t xml:space="preserve">Bariyanto, Nelvia, Wardati (2015). “Pengaruh Pemberian Kompos Tandan Kosong Kelapa Sawit (TKKS) pada Pertumbuhan Bibit Kelapa Sawit (Elaeis Guineensis Jacq) di Main-Nursery pada Medium Subsoil Ultisol”. </w:t>
      </w:r>
      <w:r w:rsidRPr="00D0613C">
        <w:rPr>
          <w:rFonts w:ascii="Arial" w:hAnsi="Arial" w:cs="Arial"/>
          <w:i/>
          <w:iCs/>
        </w:rPr>
        <w:t>Jurnal Fakultas Pertanian Universitas Riau</w:t>
      </w:r>
      <w:r w:rsidRPr="002F61AE">
        <w:rPr>
          <w:rFonts w:ascii="Arial" w:hAnsi="Arial" w:cs="Arial"/>
        </w:rPr>
        <w:t>,</w:t>
      </w:r>
      <w:r w:rsidR="0008380E">
        <w:rPr>
          <w:rFonts w:ascii="Arial" w:hAnsi="Arial" w:cs="Arial"/>
        </w:rPr>
        <w:t xml:space="preserve"> 2(1):</w:t>
      </w:r>
      <w:r w:rsidRPr="002F61AE">
        <w:rPr>
          <w:rFonts w:ascii="Arial" w:hAnsi="Arial" w:cs="Arial"/>
        </w:rPr>
        <w:t>1-8</w:t>
      </w:r>
    </w:p>
    <w:p w14:paraId="1BEB2486" w14:textId="0BB7E8C4" w:rsidR="005D1B15" w:rsidRPr="002F61AE" w:rsidRDefault="00783DA8">
      <w:pPr>
        <w:spacing w:line="240" w:lineRule="auto"/>
        <w:jc w:val="both"/>
        <w:rPr>
          <w:rFonts w:ascii="Arial" w:hAnsi="Arial" w:cs="Arial"/>
        </w:rPr>
      </w:pPr>
      <w:r w:rsidRPr="002F61AE">
        <w:rPr>
          <w:rFonts w:ascii="Arial" w:hAnsi="Arial" w:cs="Arial"/>
        </w:rPr>
        <w:t>Dong, W.</w:t>
      </w:r>
      <w:r w:rsidR="007A38E8">
        <w:rPr>
          <w:rFonts w:ascii="Arial" w:hAnsi="Arial" w:cs="Arial"/>
        </w:rPr>
        <w:t>,</w:t>
      </w:r>
      <w:r w:rsidRPr="002F61AE">
        <w:rPr>
          <w:rFonts w:ascii="Arial" w:hAnsi="Arial" w:cs="Arial"/>
        </w:rPr>
        <w:t xml:space="preserve"> Si, P.</w:t>
      </w:r>
      <w:r w:rsidR="007A38E8">
        <w:rPr>
          <w:rFonts w:ascii="Arial" w:hAnsi="Arial" w:cs="Arial"/>
        </w:rPr>
        <w:t>,</w:t>
      </w:r>
      <w:r w:rsidRPr="002F61AE">
        <w:rPr>
          <w:rFonts w:ascii="Arial" w:hAnsi="Arial" w:cs="Arial"/>
        </w:rPr>
        <w:t xml:space="preserve"> Liu, E.</w:t>
      </w:r>
      <w:r w:rsidR="007A38E8">
        <w:rPr>
          <w:rFonts w:ascii="Arial" w:hAnsi="Arial" w:cs="Arial"/>
        </w:rPr>
        <w:t>,</w:t>
      </w:r>
      <w:r w:rsidRPr="002F61AE">
        <w:rPr>
          <w:rFonts w:ascii="Arial" w:hAnsi="Arial" w:cs="Arial"/>
        </w:rPr>
        <w:t xml:space="preserve"> Yan, C.</w:t>
      </w:r>
      <w:r w:rsidR="007A38E8">
        <w:rPr>
          <w:rFonts w:ascii="Arial" w:hAnsi="Arial" w:cs="Arial"/>
        </w:rPr>
        <w:t>,</w:t>
      </w:r>
      <w:r w:rsidRPr="002F61AE">
        <w:rPr>
          <w:rFonts w:ascii="Arial" w:hAnsi="Arial" w:cs="Arial"/>
        </w:rPr>
        <w:t xml:space="preserve"> Zhang, Z.</w:t>
      </w:r>
      <w:r w:rsidR="007A38E8">
        <w:rPr>
          <w:rFonts w:ascii="Arial" w:hAnsi="Arial" w:cs="Arial"/>
        </w:rPr>
        <w:t xml:space="preserve"> and</w:t>
      </w:r>
      <w:r w:rsidRPr="002F61AE">
        <w:rPr>
          <w:rFonts w:ascii="Arial" w:hAnsi="Arial" w:cs="Arial"/>
        </w:rPr>
        <w:t xml:space="preserve"> Zhang, Y.</w:t>
      </w:r>
      <w:r w:rsidR="0091440C">
        <w:rPr>
          <w:rFonts w:ascii="Arial" w:hAnsi="Arial" w:cs="Arial"/>
        </w:rPr>
        <w:t xml:space="preserve"> </w:t>
      </w:r>
      <w:r w:rsidR="007A38E8">
        <w:rPr>
          <w:rFonts w:ascii="Arial" w:hAnsi="Arial" w:cs="Arial"/>
        </w:rPr>
        <w:t>(2017).</w:t>
      </w:r>
      <w:r w:rsidRPr="002F61AE">
        <w:rPr>
          <w:rFonts w:ascii="Arial" w:hAnsi="Arial" w:cs="Arial"/>
        </w:rPr>
        <w:t xml:space="preserve"> Influence of film mulching on soil microbial community in a rainfed region of northeastern China. </w:t>
      </w:r>
      <w:r w:rsidRPr="00D0613C">
        <w:rPr>
          <w:rFonts w:ascii="Arial" w:hAnsi="Arial" w:cs="Arial"/>
          <w:i/>
          <w:iCs/>
        </w:rPr>
        <w:t>Sci. Rep</w:t>
      </w:r>
      <w:r w:rsidRPr="002F61AE">
        <w:rPr>
          <w:rFonts w:ascii="Arial" w:hAnsi="Arial" w:cs="Arial"/>
        </w:rPr>
        <w:t>.</w:t>
      </w:r>
      <w:r w:rsidR="0091440C">
        <w:rPr>
          <w:rFonts w:ascii="Arial" w:hAnsi="Arial" w:cs="Arial"/>
        </w:rPr>
        <w:t>,</w:t>
      </w:r>
      <w:r w:rsidRPr="002F61AE">
        <w:rPr>
          <w:rFonts w:ascii="Arial" w:hAnsi="Arial" w:cs="Arial"/>
        </w:rPr>
        <w:t xml:space="preserve"> 7, 8468 </w:t>
      </w:r>
    </w:p>
    <w:p w14:paraId="26E4D6B0" w14:textId="36FDE319" w:rsidR="005D1B15" w:rsidRPr="002F61AE" w:rsidRDefault="00783DA8">
      <w:pPr>
        <w:rPr>
          <w:rFonts w:ascii="Arial" w:hAnsi="Arial" w:cs="Arial"/>
        </w:rPr>
      </w:pPr>
      <w:r w:rsidRPr="002F61AE">
        <w:rPr>
          <w:rFonts w:ascii="Arial" w:hAnsi="Arial" w:cs="Arial"/>
        </w:rPr>
        <w:t>Ekhaator, F</w:t>
      </w:r>
      <w:r w:rsidR="00C4399F">
        <w:rPr>
          <w:rFonts w:ascii="Arial" w:hAnsi="Arial" w:cs="Arial"/>
        </w:rPr>
        <w:t>.,</w:t>
      </w:r>
      <w:r w:rsidRPr="002F61AE">
        <w:rPr>
          <w:rFonts w:ascii="Arial" w:hAnsi="Arial" w:cs="Arial"/>
        </w:rPr>
        <w:t xml:space="preserve"> Ogundipe</w:t>
      </w:r>
      <w:r w:rsidR="00C4399F">
        <w:rPr>
          <w:rFonts w:ascii="Arial" w:hAnsi="Arial" w:cs="Arial"/>
        </w:rPr>
        <w:t>,</w:t>
      </w:r>
      <w:r w:rsidRPr="002F61AE">
        <w:rPr>
          <w:rFonts w:ascii="Arial" w:hAnsi="Arial" w:cs="Arial"/>
        </w:rPr>
        <w:t xml:space="preserve"> O.A</w:t>
      </w:r>
      <w:r w:rsidR="00C4399F">
        <w:rPr>
          <w:rFonts w:ascii="Arial" w:hAnsi="Arial" w:cs="Arial"/>
        </w:rPr>
        <w:t>.</w:t>
      </w:r>
      <w:r w:rsidRPr="002F61AE">
        <w:rPr>
          <w:rFonts w:ascii="Arial" w:hAnsi="Arial" w:cs="Arial"/>
        </w:rPr>
        <w:t xml:space="preserve"> and Ikuenobe</w:t>
      </w:r>
      <w:r w:rsidR="00C4399F">
        <w:rPr>
          <w:rFonts w:ascii="Arial" w:hAnsi="Arial" w:cs="Arial"/>
        </w:rPr>
        <w:t>,</w:t>
      </w:r>
      <w:r w:rsidRPr="002F61AE">
        <w:rPr>
          <w:rFonts w:ascii="Arial" w:hAnsi="Arial" w:cs="Arial"/>
        </w:rPr>
        <w:t xml:space="preserve"> C.E. </w:t>
      </w:r>
      <w:r w:rsidR="00C4399F">
        <w:rPr>
          <w:rFonts w:ascii="Arial" w:hAnsi="Arial" w:cs="Arial"/>
        </w:rPr>
        <w:t>(2019).</w:t>
      </w:r>
      <w:r w:rsidRPr="002F61AE">
        <w:rPr>
          <w:rFonts w:ascii="Arial" w:hAnsi="Arial" w:cs="Arial"/>
        </w:rPr>
        <w:t xml:space="preserve">Response of oil palm nursery seedlings to polymer NPKMg coated fertilizer, </w:t>
      </w:r>
      <w:r w:rsidRPr="00D0613C">
        <w:rPr>
          <w:rFonts w:ascii="Arial" w:hAnsi="Arial" w:cs="Arial"/>
          <w:i/>
          <w:iCs/>
        </w:rPr>
        <w:t>Nigerian journal of oil palm and seeds</w:t>
      </w:r>
      <w:r w:rsidRPr="002F61AE">
        <w:rPr>
          <w:rFonts w:ascii="Arial" w:hAnsi="Arial" w:cs="Arial"/>
        </w:rPr>
        <w:t xml:space="preserve"> 18, 104-115</w:t>
      </w:r>
    </w:p>
    <w:p w14:paraId="340CE5A5" w14:textId="64AD7010" w:rsidR="005D1B15" w:rsidRPr="002F61AE" w:rsidRDefault="00783DA8">
      <w:pPr>
        <w:rPr>
          <w:rFonts w:ascii="Arial" w:hAnsi="Arial" w:cs="Arial"/>
        </w:rPr>
      </w:pPr>
      <w:r w:rsidRPr="002F61AE">
        <w:rPr>
          <w:rFonts w:ascii="Arial" w:hAnsi="Arial" w:cs="Arial"/>
        </w:rPr>
        <w:lastRenderedPageBreak/>
        <w:t xml:space="preserve">Hapsos, I.R., Dini, Wawan., </w:t>
      </w:r>
      <w:r w:rsidR="00C15675">
        <w:rPr>
          <w:rFonts w:ascii="Arial" w:hAnsi="Arial" w:cs="Arial"/>
        </w:rPr>
        <w:t>and</w:t>
      </w:r>
      <w:r w:rsidRPr="002F61AE">
        <w:rPr>
          <w:rFonts w:ascii="Arial" w:hAnsi="Arial" w:cs="Arial"/>
        </w:rPr>
        <w:t xml:space="preserve"> Sianipar, A.H. (2020). The Growth of Oil Palm Seedlings using a Combination Medium of Organic Oil Palm Empty Frui t Bunch and NPK Fertilizer at Main Nursery. </w:t>
      </w:r>
      <w:r w:rsidRPr="003F055D">
        <w:rPr>
          <w:rFonts w:ascii="Arial" w:hAnsi="Arial" w:cs="Arial"/>
          <w:i/>
          <w:iCs/>
        </w:rPr>
        <w:t>J Trop Soils</w:t>
      </w:r>
      <w:r w:rsidRPr="002F61AE">
        <w:rPr>
          <w:rFonts w:ascii="Arial" w:hAnsi="Arial" w:cs="Arial"/>
        </w:rPr>
        <w:t xml:space="preserve">, 25(2): 61-69. </w:t>
      </w:r>
    </w:p>
    <w:p w14:paraId="6DD2BE42" w14:textId="77777777" w:rsidR="005D1B15" w:rsidRPr="002F61AE" w:rsidRDefault="00783DA8">
      <w:pPr>
        <w:rPr>
          <w:rFonts w:ascii="Arial" w:hAnsi="Arial" w:cs="Arial"/>
        </w:rPr>
      </w:pPr>
      <w:r w:rsidRPr="002F61AE">
        <w:rPr>
          <w:rFonts w:ascii="Arial" w:hAnsi="Arial" w:cs="Arial"/>
        </w:rPr>
        <w:t xml:space="preserve"> Hariyadi, B.W., F. Nizak, I.R. Nurmalasari and Y. Kogoya,( 2019). Effect of dose and time of npk fertilizer application on the growth and yield of tomato plants (Lycopersicum esculentum mill.) </w:t>
      </w:r>
      <w:r w:rsidRPr="003F055D">
        <w:rPr>
          <w:rFonts w:ascii="Arial" w:hAnsi="Arial" w:cs="Arial"/>
          <w:i/>
          <w:iCs/>
        </w:rPr>
        <w:t>Agric. Sci</w:t>
      </w:r>
      <w:r w:rsidRPr="002F61AE">
        <w:rPr>
          <w:rFonts w:ascii="Arial" w:hAnsi="Arial" w:cs="Arial"/>
        </w:rPr>
        <w:t>., 2: 101-111.</w:t>
      </w:r>
    </w:p>
    <w:p w14:paraId="48D9E994" w14:textId="3B8738CA" w:rsidR="005D1B15" w:rsidRPr="002F61AE" w:rsidRDefault="00783DA8">
      <w:pPr>
        <w:spacing w:line="240" w:lineRule="auto"/>
        <w:jc w:val="both"/>
        <w:rPr>
          <w:rFonts w:ascii="Arial" w:hAnsi="Arial" w:cs="Arial"/>
        </w:rPr>
      </w:pPr>
      <w:r w:rsidRPr="002F61AE">
        <w:rPr>
          <w:rFonts w:ascii="Arial" w:hAnsi="Arial" w:cs="Arial"/>
        </w:rPr>
        <w:t xml:space="preserve"> Hartatik,W</w:t>
      </w:r>
      <w:r w:rsidR="00577B73">
        <w:rPr>
          <w:rFonts w:ascii="Arial" w:hAnsi="Arial" w:cs="Arial"/>
        </w:rPr>
        <w:t>.</w:t>
      </w:r>
      <w:r w:rsidRPr="002F61AE">
        <w:rPr>
          <w:rFonts w:ascii="Arial" w:hAnsi="Arial" w:cs="Arial"/>
        </w:rPr>
        <w:t xml:space="preserve">, Husnain, R. </w:t>
      </w:r>
      <w:r w:rsidR="00577B73">
        <w:rPr>
          <w:rFonts w:ascii="Arial" w:hAnsi="Arial" w:cs="Arial"/>
        </w:rPr>
        <w:t xml:space="preserve">and </w:t>
      </w:r>
      <w:r w:rsidRPr="002F61AE">
        <w:rPr>
          <w:rFonts w:ascii="Arial" w:hAnsi="Arial" w:cs="Arial"/>
        </w:rPr>
        <w:t xml:space="preserve">Lidiyani, W. (2015). “Peranan Pupuk Organik dalam Peningkatan Produktivitas Tanah dan Tanaman”. </w:t>
      </w:r>
      <w:r w:rsidRPr="003F055D">
        <w:rPr>
          <w:rFonts w:ascii="Arial" w:hAnsi="Arial" w:cs="Arial"/>
          <w:i/>
          <w:iCs/>
        </w:rPr>
        <w:t>Jurnal Sumberdaya Lahan</w:t>
      </w:r>
      <w:r w:rsidRPr="002F61AE">
        <w:rPr>
          <w:rFonts w:ascii="Arial" w:hAnsi="Arial" w:cs="Arial"/>
        </w:rPr>
        <w:t xml:space="preserve">, </w:t>
      </w:r>
      <w:r w:rsidR="00FD3016">
        <w:rPr>
          <w:rFonts w:ascii="Arial" w:hAnsi="Arial" w:cs="Arial"/>
        </w:rPr>
        <w:t>9(2):</w:t>
      </w:r>
      <w:r w:rsidRPr="002F61AE">
        <w:rPr>
          <w:rFonts w:ascii="Arial" w:hAnsi="Arial" w:cs="Arial"/>
        </w:rPr>
        <w:t xml:space="preserve">107-120, Desember. </w:t>
      </w:r>
    </w:p>
    <w:p w14:paraId="6AE2B97D" w14:textId="7951491D" w:rsidR="005D1B15" w:rsidRPr="002F61AE" w:rsidRDefault="00783DA8">
      <w:pPr>
        <w:rPr>
          <w:rFonts w:ascii="Arial" w:hAnsi="Arial" w:cs="Arial"/>
        </w:rPr>
      </w:pPr>
      <w:r w:rsidRPr="002F61AE">
        <w:rPr>
          <w:rFonts w:ascii="Arial" w:hAnsi="Arial" w:cs="Arial"/>
        </w:rPr>
        <w:t>Ibragimov, A., Sidique, S.F., and Tey, Y.S. (2019). Productivity for sustainable growth in Malaysian palm oil production: a system dynamic</w:t>
      </w:r>
      <w:r w:rsidR="007B7259">
        <w:rPr>
          <w:rFonts w:ascii="Arial" w:hAnsi="Arial" w:cs="Arial"/>
        </w:rPr>
        <w:t>s</w:t>
      </w:r>
      <w:r w:rsidRPr="002F61AE">
        <w:rPr>
          <w:rFonts w:ascii="Arial" w:hAnsi="Arial" w:cs="Arial"/>
        </w:rPr>
        <w:t xml:space="preserve"> model</w:t>
      </w:r>
      <w:r w:rsidR="007B7259">
        <w:rPr>
          <w:rFonts w:ascii="Arial" w:hAnsi="Arial" w:cs="Arial"/>
        </w:rPr>
        <w:t>l</w:t>
      </w:r>
      <w:r w:rsidRPr="002F61AE">
        <w:rPr>
          <w:rFonts w:ascii="Arial" w:hAnsi="Arial" w:cs="Arial"/>
        </w:rPr>
        <w:t xml:space="preserve">ing approach. </w:t>
      </w:r>
      <w:r w:rsidRPr="003F055D">
        <w:rPr>
          <w:rFonts w:ascii="Arial" w:hAnsi="Arial" w:cs="Arial"/>
          <w:i/>
          <w:iCs/>
        </w:rPr>
        <w:t>Journal of Cleaner Production</w:t>
      </w:r>
      <w:r w:rsidRPr="002F61AE">
        <w:rPr>
          <w:rFonts w:ascii="Arial" w:hAnsi="Arial" w:cs="Arial"/>
        </w:rPr>
        <w:t xml:space="preserve"> 213, 1051</w:t>
      </w:r>
      <w:r w:rsidR="007B7259">
        <w:rPr>
          <w:rFonts w:ascii="Arial" w:hAnsi="Arial" w:cs="Arial"/>
        </w:rPr>
        <w:t>-</w:t>
      </w:r>
      <w:r w:rsidRPr="002F61AE">
        <w:rPr>
          <w:rFonts w:ascii="Arial" w:hAnsi="Arial" w:cs="Arial"/>
        </w:rPr>
        <w:t xml:space="preserve">1062. </w:t>
      </w:r>
    </w:p>
    <w:p w14:paraId="16F2F1BD" w14:textId="7BA46E24" w:rsidR="005D1B15" w:rsidRPr="002F61AE" w:rsidRDefault="00783DA8">
      <w:pPr>
        <w:spacing w:line="240" w:lineRule="auto"/>
        <w:jc w:val="both"/>
        <w:rPr>
          <w:rFonts w:ascii="Arial" w:hAnsi="Arial" w:cs="Arial"/>
        </w:rPr>
      </w:pPr>
      <w:r w:rsidRPr="002F61AE">
        <w:rPr>
          <w:rFonts w:ascii="Arial" w:hAnsi="Arial" w:cs="Arial"/>
        </w:rPr>
        <w:t>Ichsan, C. N. Nurami, E.</w:t>
      </w:r>
      <w:r w:rsidR="008A6895">
        <w:rPr>
          <w:rFonts w:ascii="Arial" w:hAnsi="Arial" w:cs="Arial"/>
        </w:rPr>
        <w:t xml:space="preserve"> and</w:t>
      </w:r>
      <w:r w:rsidRPr="002F61AE">
        <w:rPr>
          <w:rFonts w:ascii="Arial" w:hAnsi="Arial" w:cs="Arial"/>
        </w:rPr>
        <w:t xml:space="preserve"> Saljuna. O. (2012). “Respon Aplikasi Dosis Kompos dan Interval Penyiraman pada Pertumbuhan Bibit Kelapa Sawit (Elaeis guineensis Jacq.)”. </w:t>
      </w:r>
      <w:r w:rsidRPr="004F3AD2">
        <w:rPr>
          <w:rFonts w:ascii="Arial" w:hAnsi="Arial" w:cs="Arial"/>
          <w:i/>
          <w:iCs/>
        </w:rPr>
        <w:t>J</w:t>
      </w:r>
      <w:r w:rsidR="0064470E" w:rsidRPr="004F3AD2">
        <w:rPr>
          <w:rFonts w:ascii="Arial" w:hAnsi="Arial" w:cs="Arial"/>
          <w:i/>
          <w:iCs/>
        </w:rPr>
        <w:t>o</w:t>
      </w:r>
      <w:r w:rsidRPr="004F3AD2">
        <w:rPr>
          <w:rFonts w:ascii="Arial" w:hAnsi="Arial" w:cs="Arial"/>
          <w:i/>
          <w:iCs/>
        </w:rPr>
        <w:t>urnal Agrista</w:t>
      </w:r>
      <w:r w:rsidRPr="002F61AE">
        <w:rPr>
          <w:rFonts w:ascii="Arial" w:hAnsi="Arial" w:cs="Arial"/>
        </w:rPr>
        <w:t xml:space="preserve">, </w:t>
      </w:r>
      <w:r w:rsidR="0064470E">
        <w:rPr>
          <w:rFonts w:ascii="Arial" w:hAnsi="Arial" w:cs="Arial"/>
        </w:rPr>
        <w:t>16(2):</w:t>
      </w:r>
      <w:r w:rsidRPr="002F61AE">
        <w:rPr>
          <w:rFonts w:ascii="Arial" w:hAnsi="Arial" w:cs="Arial"/>
        </w:rPr>
        <w:t>94- 106.</w:t>
      </w:r>
    </w:p>
    <w:p w14:paraId="0130A6EC" w14:textId="19029875" w:rsidR="005D1B15" w:rsidRPr="002F61AE" w:rsidRDefault="00783DA8">
      <w:pPr>
        <w:rPr>
          <w:rFonts w:ascii="Arial" w:hAnsi="Arial" w:cs="Arial"/>
        </w:rPr>
      </w:pPr>
      <w:r w:rsidRPr="002F61AE">
        <w:rPr>
          <w:rFonts w:ascii="Arial" w:hAnsi="Arial" w:cs="Arial"/>
        </w:rPr>
        <w:t xml:space="preserve">Imogie A. E ., Inikio S.E, Ugbah, M M., Eruaga, A., Aondona, O. </w:t>
      </w:r>
      <w:r w:rsidR="00E24867">
        <w:rPr>
          <w:rFonts w:ascii="Arial" w:hAnsi="Arial" w:cs="Arial"/>
        </w:rPr>
        <w:t>a</w:t>
      </w:r>
      <w:r w:rsidRPr="002F61AE">
        <w:rPr>
          <w:rFonts w:ascii="Arial" w:hAnsi="Arial" w:cs="Arial"/>
        </w:rPr>
        <w:t xml:space="preserve">nd Nwawe, A. K. (2022) Impact </w:t>
      </w:r>
      <w:r w:rsidR="00294B4A">
        <w:rPr>
          <w:rFonts w:ascii="Arial" w:hAnsi="Arial" w:cs="Arial"/>
        </w:rPr>
        <w:t>o</w:t>
      </w:r>
      <w:r w:rsidR="00294B4A" w:rsidRPr="002F61AE">
        <w:rPr>
          <w:rFonts w:ascii="Arial" w:hAnsi="Arial" w:cs="Arial"/>
        </w:rPr>
        <w:t>f newly introduced liquid fertilizer as fertilizer for raising oil palm seedlings</w:t>
      </w:r>
      <w:r w:rsidRPr="002F61AE">
        <w:rPr>
          <w:rFonts w:ascii="Arial" w:hAnsi="Arial" w:cs="Arial"/>
        </w:rPr>
        <w:t xml:space="preserve">. </w:t>
      </w:r>
      <w:r w:rsidRPr="004F3AD2">
        <w:rPr>
          <w:rFonts w:ascii="Arial" w:hAnsi="Arial" w:cs="Arial"/>
          <w:i/>
          <w:iCs/>
        </w:rPr>
        <w:t xml:space="preserve">Journal of Agriculture Science </w:t>
      </w:r>
      <w:r w:rsidR="00294B4A" w:rsidRPr="004F3AD2">
        <w:rPr>
          <w:rFonts w:ascii="Arial" w:hAnsi="Arial" w:cs="Arial"/>
          <w:i/>
          <w:iCs/>
        </w:rPr>
        <w:t>a</w:t>
      </w:r>
      <w:r w:rsidRPr="004F3AD2">
        <w:rPr>
          <w:rFonts w:ascii="Arial" w:hAnsi="Arial" w:cs="Arial"/>
          <w:i/>
          <w:iCs/>
        </w:rPr>
        <w:t>nd Practice</w:t>
      </w:r>
      <w:r w:rsidR="004F3AD2">
        <w:rPr>
          <w:rFonts w:ascii="Arial" w:hAnsi="Arial" w:cs="Arial"/>
        </w:rPr>
        <w:t>,</w:t>
      </w:r>
      <w:r w:rsidRPr="002F61AE">
        <w:rPr>
          <w:rFonts w:ascii="Arial" w:hAnsi="Arial" w:cs="Arial"/>
        </w:rPr>
        <w:t xml:space="preserve"> 2536-7072. </w:t>
      </w:r>
    </w:p>
    <w:p w14:paraId="4280553F" w14:textId="77777777" w:rsidR="005D1B15" w:rsidRPr="002F61AE" w:rsidRDefault="00783DA8">
      <w:pPr>
        <w:rPr>
          <w:rFonts w:ascii="Arial" w:hAnsi="Arial" w:cs="Arial"/>
        </w:rPr>
      </w:pPr>
      <w:r w:rsidRPr="002F61AE">
        <w:rPr>
          <w:rFonts w:ascii="Arial" w:hAnsi="Arial" w:cs="Arial"/>
          <w:lang w:val="en-US"/>
        </w:rPr>
        <w:t>Iremiren, G.O. (2009). The growth and nutrient content of polybag oil-palm seedlings as affected by mulch materials and time of their application. by Cambridge University Press.</w:t>
      </w:r>
    </w:p>
    <w:p w14:paraId="50531D7D" w14:textId="063B2268" w:rsidR="005D1B15" w:rsidRPr="002F61AE" w:rsidRDefault="00783DA8">
      <w:pPr>
        <w:spacing w:line="240" w:lineRule="auto"/>
        <w:jc w:val="both"/>
        <w:rPr>
          <w:rFonts w:ascii="Arial" w:hAnsi="Arial" w:cs="Arial"/>
        </w:rPr>
      </w:pPr>
      <w:r w:rsidRPr="002F61AE">
        <w:rPr>
          <w:rFonts w:ascii="Arial" w:hAnsi="Arial" w:cs="Arial"/>
        </w:rPr>
        <w:t xml:space="preserve">Irma Sari, V., Sudradjat, </w:t>
      </w:r>
      <w:r w:rsidR="00B9413D">
        <w:rPr>
          <w:rFonts w:ascii="Arial" w:hAnsi="Arial" w:cs="Arial"/>
        </w:rPr>
        <w:t>and</w:t>
      </w:r>
      <w:r w:rsidRPr="002F61AE">
        <w:rPr>
          <w:rFonts w:ascii="Arial" w:hAnsi="Arial" w:cs="Arial"/>
        </w:rPr>
        <w:t xml:space="preserve"> Sugiyanta. (2015). Peran Pupuk Organik dalam Meningkatkan Efektivitas Pupuk NPK pada Bibit Kelapa Sawit di Pembibitan Utama. </w:t>
      </w:r>
      <w:r w:rsidRPr="00C83948">
        <w:rPr>
          <w:rFonts w:ascii="Arial" w:hAnsi="Arial" w:cs="Arial"/>
          <w:i/>
          <w:iCs/>
        </w:rPr>
        <w:t>J. Agron. Indonesia</w:t>
      </w:r>
      <w:r w:rsidRPr="002F61AE">
        <w:rPr>
          <w:rFonts w:ascii="Arial" w:hAnsi="Arial" w:cs="Arial"/>
        </w:rPr>
        <w:t xml:space="preserve"> 43(2): 153–160. </w:t>
      </w:r>
    </w:p>
    <w:p w14:paraId="1F9F3448" w14:textId="7560E9BA" w:rsidR="005D1B15" w:rsidRPr="002F61AE" w:rsidRDefault="00783DA8">
      <w:pPr>
        <w:rPr>
          <w:rFonts w:ascii="Arial" w:hAnsi="Arial" w:cs="Arial"/>
        </w:rPr>
      </w:pPr>
      <w:r w:rsidRPr="002F61AE">
        <w:rPr>
          <w:rFonts w:ascii="Arial" w:hAnsi="Arial" w:cs="Arial"/>
        </w:rPr>
        <w:t xml:space="preserve">Kamal, N.H.N., and Manan, F.A. (2020). Photosynthesis-related properties of oil palm leaves fertilized with different amounts. </w:t>
      </w:r>
      <w:r w:rsidRPr="00C83948">
        <w:rPr>
          <w:rFonts w:ascii="Arial" w:hAnsi="Arial" w:cs="Arial"/>
          <w:i/>
          <w:iCs/>
        </w:rPr>
        <w:t>International Journal of Life Sciences and Biotechnology</w:t>
      </w:r>
      <w:r w:rsidRPr="002F61AE">
        <w:rPr>
          <w:rFonts w:ascii="Arial" w:hAnsi="Arial" w:cs="Arial"/>
        </w:rPr>
        <w:t xml:space="preserve"> 3, 70-80.</w:t>
      </w:r>
    </w:p>
    <w:p w14:paraId="39A568E7" w14:textId="77777777" w:rsidR="005D1B15" w:rsidRPr="002F61AE" w:rsidRDefault="00783DA8">
      <w:pPr>
        <w:rPr>
          <w:rFonts w:ascii="Arial" w:hAnsi="Arial" w:cs="Arial"/>
        </w:rPr>
      </w:pPr>
      <w:r w:rsidRPr="002F61AE">
        <w:rPr>
          <w:rFonts w:ascii="Arial" w:hAnsi="Arial" w:cs="Arial"/>
        </w:rPr>
        <w:t xml:space="preserve"> Kementerian Perindustrian Republik Indonesia (2021). Tantangan dan Prospek Hilirisasi Sawit Nasional Analisis Pembangunan Industri Edisi VI – 2021 (Jakarta: Pusdatin Kementerian Perindustrian Republik Indonesia) p 57</w:t>
      </w:r>
    </w:p>
    <w:p w14:paraId="19B628FB" w14:textId="77777777" w:rsidR="005D1B15" w:rsidRPr="002F61AE" w:rsidRDefault="00783DA8">
      <w:pPr>
        <w:rPr>
          <w:rFonts w:ascii="Arial" w:hAnsi="Arial" w:cs="Arial"/>
        </w:rPr>
      </w:pPr>
      <w:r w:rsidRPr="002F61AE">
        <w:rPr>
          <w:rFonts w:ascii="Arial" w:hAnsi="Arial" w:cs="Arial"/>
        </w:rPr>
        <w:t>Menteri Pertanian Republik Indonesia (2022). Peraturan Menteri Pertanian Republik Indonesia No. 10/2022 Tentang Tata Cara Penetapan Alokasi dan Harga Eceran Tertinggi Sektor Pertanian(Jakarta: Kementerian Pertanian)</w:t>
      </w:r>
    </w:p>
    <w:p w14:paraId="7C4EEE76" w14:textId="77C613EB" w:rsidR="005D1B15" w:rsidRPr="002F61AE" w:rsidRDefault="00783DA8">
      <w:pPr>
        <w:rPr>
          <w:rFonts w:ascii="Arial" w:hAnsi="Arial" w:cs="Arial"/>
        </w:rPr>
      </w:pPr>
      <w:r w:rsidRPr="002F61AE">
        <w:rPr>
          <w:rFonts w:ascii="Arial" w:hAnsi="Arial" w:cs="Arial"/>
        </w:rPr>
        <w:t xml:space="preserve">Mollah, M. A. K., Uddin, M. K., Kasim, S., Zaibon, S. </w:t>
      </w:r>
      <w:r w:rsidR="00432ECB">
        <w:rPr>
          <w:rFonts w:ascii="Arial" w:hAnsi="Arial" w:cs="Arial"/>
        </w:rPr>
        <w:t>and</w:t>
      </w:r>
      <w:r w:rsidRPr="002F61AE">
        <w:rPr>
          <w:rFonts w:ascii="Arial" w:hAnsi="Arial" w:cs="Arial"/>
        </w:rPr>
        <w:t xml:space="preserve"> Mostafizur, M. (2025) Potential Organic Mulches For Sustainable Agricultural Production And Improving Soil Environment. </w:t>
      </w:r>
      <w:r w:rsidRPr="00C8356A">
        <w:rPr>
          <w:rFonts w:ascii="Arial" w:hAnsi="Arial" w:cs="Arial"/>
          <w:i/>
          <w:iCs/>
        </w:rPr>
        <w:t>International Journal of Environmental Sciences</w:t>
      </w:r>
      <w:r w:rsidRPr="002F61AE">
        <w:rPr>
          <w:rFonts w:ascii="Arial" w:hAnsi="Arial" w:cs="Arial"/>
        </w:rPr>
        <w:t>, 11(8)</w:t>
      </w:r>
    </w:p>
    <w:p w14:paraId="7B1F176E" w14:textId="4C62BDAC" w:rsidR="005D1B15" w:rsidRPr="002F61AE" w:rsidRDefault="00783DA8">
      <w:pPr>
        <w:spacing w:line="240" w:lineRule="auto"/>
        <w:jc w:val="both"/>
        <w:rPr>
          <w:rFonts w:ascii="Arial" w:hAnsi="Arial" w:cs="Arial"/>
        </w:rPr>
      </w:pPr>
      <w:r w:rsidRPr="002F61AE">
        <w:rPr>
          <w:rFonts w:ascii="Arial" w:hAnsi="Arial" w:cs="Arial"/>
        </w:rPr>
        <w:t>Moradi A, Teh Boon Sung C, Goh K</w:t>
      </w:r>
      <w:r w:rsidR="00963782">
        <w:rPr>
          <w:rFonts w:ascii="Arial" w:hAnsi="Arial" w:cs="Arial"/>
        </w:rPr>
        <w:t>.</w:t>
      </w:r>
      <w:r w:rsidRPr="002F61AE">
        <w:rPr>
          <w:rFonts w:ascii="Arial" w:hAnsi="Arial" w:cs="Arial"/>
        </w:rPr>
        <w:t>J</w:t>
      </w:r>
      <w:r w:rsidR="00963782">
        <w:rPr>
          <w:rFonts w:ascii="Arial" w:hAnsi="Arial" w:cs="Arial"/>
        </w:rPr>
        <w:t>.</w:t>
      </w:r>
      <w:r w:rsidRPr="002F61AE">
        <w:rPr>
          <w:rFonts w:ascii="Arial" w:hAnsi="Arial" w:cs="Arial"/>
        </w:rPr>
        <w:t>, Husni Mohd Hanif A</w:t>
      </w:r>
      <w:r w:rsidR="00963782">
        <w:rPr>
          <w:rFonts w:ascii="Arial" w:hAnsi="Arial" w:cs="Arial"/>
        </w:rPr>
        <w:t>. and</w:t>
      </w:r>
      <w:r w:rsidRPr="002F61AE">
        <w:rPr>
          <w:rFonts w:ascii="Arial" w:hAnsi="Arial" w:cs="Arial"/>
        </w:rPr>
        <w:t xml:space="preserve"> Fauziah Ishak</w:t>
      </w:r>
      <w:r w:rsidR="00963782">
        <w:rPr>
          <w:rFonts w:ascii="Arial" w:hAnsi="Arial" w:cs="Arial"/>
        </w:rPr>
        <w:t>,</w:t>
      </w:r>
      <w:r w:rsidRPr="002F61AE">
        <w:rPr>
          <w:rFonts w:ascii="Arial" w:hAnsi="Arial" w:cs="Arial"/>
        </w:rPr>
        <w:t xml:space="preserve"> C</w:t>
      </w:r>
      <w:r w:rsidR="00963782">
        <w:rPr>
          <w:rFonts w:ascii="Arial" w:hAnsi="Arial" w:cs="Arial"/>
        </w:rPr>
        <w:t>.</w:t>
      </w:r>
      <w:r w:rsidRPr="002F61AE">
        <w:rPr>
          <w:rFonts w:ascii="Arial" w:hAnsi="Arial" w:cs="Arial"/>
        </w:rPr>
        <w:t xml:space="preserve"> (2015) Effect of four soil and water conservation practices on soil physical processes in a non-terraced oil palm plantation. </w:t>
      </w:r>
      <w:r w:rsidRPr="00B00C1C">
        <w:rPr>
          <w:rFonts w:ascii="Arial" w:hAnsi="Arial" w:cs="Arial"/>
          <w:i/>
          <w:iCs/>
        </w:rPr>
        <w:t>Soil Tillage Res</w:t>
      </w:r>
      <w:r w:rsidRPr="002F61AE">
        <w:rPr>
          <w:rFonts w:ascii="Arial" w:hAnsi="Arial" w:cs="Arial"/>
        </w:rPr>
        <w:t xml:space="preserve"> 145:62</w:t>
      </w:r>
      <w:r w:rsidR="00963782">
        <w:rPr>
          <w:rFonts w:ascii="Arial" w:hAnsi="Arial" w:cs="Arial"/>
        </w:rPr>
        <w:t>-</w:t>
      </w:r>
      <w:r w:rsidRPr="002F61AE">
        <w:rPr>
          <w:rFonts w:ascii="Arial" w:hAnsi="Arial" w:cs="Arial"/>
        </w:rPr>
        <w:t xml:space="preserve">71. </w:t>
      </w:r>
    </w:p>
    <w:p w14:paraId="72D2CCD2" w14:textId="2F66B921" w:rsidR="005D1B15" w:rsidRPr="002F61AE" w:rsidRDefault="00783DA8">
      <w:pPr>
        <w:rPr>
          <w:rFonts w:ascii="Arial" w:hAnsi="Arial" w:cs="Arial"/>
        </w:rPr>
      </w:pPr>
      <w:r w:rsidRPr="002F61AE">
        <w:rPr>
          <w:rFonts w:ascii="Arial" w:hAnsi="Arial" w:cs="Arial"/>
        </w:rPr>
        <w:t>Ni, X.</w:t>
      </w:r>
      <w:r w:rsidR="00634807">
        <w:rPr>
          <w:rFonts w:ascii="Arial" w:hAnsi="Arial" w:cs="Arial"/>
        </w:rPr>
        <w:t>,</w:t>
      </w:r>
      <w:r w:rsidRPr="002F61AE">
        <w:rPr>
          <w:rFonts w:ascii="Arial" w:hAnsi="Arial" w:cs="Arial"/>
        </w:rPr>
        <w:t xml:space="preserve"> Song, W.</w:t>
      </w:r>
      <w:r w:rsidR="00634807">
        <w:rPr>
          <w:rFonts w:ascii="Arial" w:hAnsi="Arial" w:cs="Arial"/>
        </w:rPr>
        <w:t>,</w:t>
      </w:r>
      <w:r w:rsidRPr="002F61AE">
        <w:rPr>
          <w:rFonts w:ascii="Arial" w:hAnsi="Arial" w:cs="Arial"/>
        </w:rPr>
        <w:t xml:space="preserve"> Zhang, H.</w:t>
      </w:r>
      <w:r w:rsidR="00634807">
        <w:rPr>
          <w:rFonts w:ascii="Arial" w:hAnsi="Arial" w:cs="Arial"/>
        </w:rPr>
        <w:t>,</w:t>
      </w:r>
      <w:r w:rsidRPr="002F61AE">
        <w:rPr>
          <w:rFonts w:ascii="Arial" w:hAnsi="Arial" w:cs="Arial"/>
        </w:rPr>
        <w:t xml:space="preserve"> Yang, X.</w:t>
      </w:r>
      <w:r w:rsidR="00634807">
        <w:rPr>
          <w:rFonts w:ascii="Arial" w:hAnsi="Arial" w:cs="Arial"/>
        </w:rPr>
        <w:t xml:space="preserve"> and</w:t>
      </w:r>
      <w:r w:rsidRPr="002F61AE">
        <w:rPr>
          <w:rFonts w:ascii="Arial" w:hAnsi="Arial" w:cs="Arial"/>
        </w:rPr>
        <w:t xml:space="preserve"> Wang, L. (2016) Effects of mulching on soil properties and growth of tea olive (Osmanthus fragrans). PLoS ONE , 11, e0158228.</w:t>
      </w:r>
    </w:p>
    <w:p w14:paraId="1C0889DB" w14:textId="0255FE0C" w:rsidR="005D1B15" w:rsidRPr="002F61AE" w:rsidRDefault="00783DA8">
      <w:pPr>
        <w:rPr>
          <w:rFonts w:ascii="Arial" w:hAnsi="Arial" w:cs="Arial"/>
        </w:rPr>
      </w:pPr>
      <w:r w:rsidRPr="002F61AE">
        <w:rPr>
          <w:rFonts w:ascii="Arial" w:hAnsi="Arial" w:cs="Arial"/>
          <w:lang w:val="en-US"/>
        </w:rPr>
        <w:lastRenderedPageBreak/>
        <w:t xml:space="preserve">Nyasapoh,J.B.A., Oppong Danso, E., Kpodo, D.S., Amponsah, W., Arthur, E., Sabi, E.B., Obour, E.B., Akortey, W., Mensah, B.K.B., Ayayi,G.E.and Andersen, M.N.(2024). Irrigation and oil palm empty fruit bunch mulch enhance eggplant growth, radiation interception and dry matter yield. </w:t>
      </w:r>
      <w:r w:rsidRPr="0076363F">
        <w:rPr>
          <w:rFonts w:ascii="Arial" w:hAnsi="Arial" w:cs="Arial"/>
          <w:i/>
          <w:iCs/>
          <w:lang w:val="en-US"/>
        </w:rPr>
        <w:t>European Journal of Agronomy</w:t>
      </w:r>
      <w:r w:rsidRPr="002F61AE">
        <w:rPr>
          <w:rFonts w:ascii="Arial" w:hAnsi="Arial" w:cs="Arial"/>
          <w:lang w:val="en-US"/>
        </w:rPr>
        <w:t xml:space="preserve">, 160, 127322. </w:t>
      </w:r>
    </w:p>
    <w:p w14:paraId="0E9D49E3" w14:textId="77777777" w:rsidR="005D1B15" w:rsidRPr="002F61AE" w:rsidRDefault="00783DA8">
      <w:pPr>
        <w:rPr>
          <w:rFonts w:ascii="Arial" w:hAnsi="Arial" w:cs="Arial"/>
        </w:rPr>
      </w:pPr>
      <w:r w:rsidRPr="002F61AE">
        <w:rPr>
          <w:rFonts w:ascii="Arial" w:hAnsi="Arial" w:cs="Arial"/>
        </w:rPr>
        <w:t xml:space="preserve">Ogunkule, A.O. (1983). Updating and classification of acid sand soils with particular reference to soils of NIFOR main station. </w:t>
      </w:r>
      <w:r w:rsidRPr="0076363F">
        <w:rPr>
          <w:rFonts w:ascii="Arial" w:hAnsi="Arial" w:cs="Arial"/>
          <w:i/>
          <w:iCs/>
        </w:rPr>
        <w:t>Journal of Nigeria Institute of Oil Palm Research</w:t>
      </w:r>
      <w:r w:rsidRPr="002F61AE">
        <w:rPr>
          <w:rFonts w:ascii="Arial" w:hAnsi="Arial" w:cs="Arial"/>
        </w:rPr>
        <w:t>. 6 (23):234-255.</w:t>
      </w:r>
    </w:p>
    <w:p w14:paraId="43284D33" w14:textId="0969DA93" w:rsidR="005D1B15" w:rsidRPr="002F61AE" w:rsidRDefault="00783DA8">
      <w:pPr>
        <w:spacing w:line="240" w:lineRule="auto"/>
        <w:jc w:val="both"/>
        <w:rPr>
          <w:rFonts w:ascii="Arial" w:hAnsi="Arial" w:cs="Arial"/>
        </w:rPr>
      </w:pPr>
      <w:r w:rsidRPr="002F61AE">
        <w:rPr>
          <w:rFonts w:ascii="Arial" w:hAnsi="Arial" w:cs="Arial"/>
        </w:rPr>
        <w:t>Renáta, P.</w:t>
      </w:r>
      <w:r w:rsidR="00B12631">
        <w:rPr>
          <w:rFonts w:ascii="Arial" w:hAnsi="Arial" w:cs="Arial"/>
        </w:rPr>
        <w:t>,</w:t>
      </w:r>
      <w:r w:rsidRPr="002F61AE">
        <w:rPr>
          <w:rFonts w:ascii="Arial" w:hAnsi="Arial" w:cs="Arial"/>
        </w:rPr>
        <w:t xml:space="preserve"> Zalai, M.</w:t>
      </w:r>
      <w:r w:rsidR="00B12631">
        <w:rPr>
          <w:rFonts w:ascii="Arial" w:hAnsi="Arial" w:cs="Arial"/>
        </w:rPr>
        <w:t>,</w:t>
      </w:r>
      <w:r w:rsidRPr="002F61AE">
        <w:rPr>
          <w:rFonts w:ascii="Arial" w:hAnsi="Arial" w:cs="Arial"/>
        </w:rPr>
        <w:t xml:space="preserve"> Bogdányi, F.T.</w:t>
      </w:r>
      <w:r w:rsidR="00B12631">
        <w:rPr>
          <w:rFonts w:ascii="Arial" w:hAnsi="Arial" w:cs="Arial"/>
        </w:rPr>
        <w:t xml:space="preserve"> and</w:t>
      </w:r>
      <w:r w:rsidRPr="002F61AE">
        <w:rPr>
          <w:rFonts w:ascii="Arial" w:hAnsi="Arial" w:cs="Arial"/>
        </w:rPr>
        <w:t xml:space="preserve"> Tóth, F.</w:t>
      </w:r>
      <w:r w:rsidR="00B12631">
        <w:rPr>
          <w:rFonts w:ascii="Arial" w:hAnsi="Arial" w:cs="Arial"/>
        </w:rPr>
        <w:t>(2020).</w:t>
      </w:r>
      <w:r w:rsidRPr="002F61AE">
        <w:rPr>
          <w:rFonts w:ascii="Arial" w:hAnsi="Arial" w:cs="Arial"/>
        </w:rPr>
        <w:t xml:space="preserve"> The effect of organic mulching and irrigation on the weed species composition and the soil weed seed bank of tomato. </w:t>
      </w:r>
      <w:r w:rsidRPr="00BF524A">
        <w:rPr>
          <w:rFonts w:ascii="Arial" w:hAnsi="Arial" w:cs="Arial"/>
          <w:i/>
          <w:iCs/>
        </w:rPr>
        <w:t>Plants</w:t>
      </w:r>
      <w:r w:rsidRPr="002F61AE">
        <w:rPr>
          <w:rFonts w:ascii="Arial" w:hAnsi="Arial" w:cs="Arial"/>
        </w:rPr>
        <w:t xml:space="preserve"> (Basel), 9, 66.</w:t>
      </w:r>
    </w:p>
    <w:p w14:paraId="7C267F28" w14:textId="7ABCBA32" w:rsidR="005D1B15" w:rsidRPr="002F61AE" w:rsidRDefault="00783DA8">
      <w:pPr>
        <w:rPr>
          <w:rFonts w:ascii="Arial" w:hAnsi="Arial" w:cs="Arial"/>
        </w:rPr>
      </w:pPr>
      <w:r w:rsidRPr="002F61AE">
        <w:rPr>
          <w:rFonts w:ascii="Arial" w:hAnsi="Arial" w:cs="Arial"/>
        </w:rPr>
        <w:t xml:space="preserve">Santi, L.P. (2017). Pemanfaatan Biochar Asal Cangkang Kelapa Sawit untuk Meningkatkan Serapan Hara dan Sekuestrasi Karbon pada Media Tanah Lithic Hapludults di Pembibitan Kelapa Sawit. </w:t>
      </w:r>
      <w:r w:rsidRPr="00BF524A">
        <w:rPr>
          <w:rFonts w:ascii="Arial" w:hAnsi="Arial" w:cs="Arial"/>
          <w:i/>
          <w:iCs/>
        </w:rPr>
        <w:t>J</w:t>
      </w:r>
      <w:r w:rsidR="00BF524A" w:rsidRPr="00BF524A">
        <w:rPr>
          <w:rFonts w:ascii="Arial" w:hAnsi="Arial" w:cs="Arial"/>
          <w:i/>
          <w:iCs/>
        </w:rPr>
        <w:t>o</w:t>
      </w:r>
      <w:r w:rsidRPr="00BF524A">
        <w:rPr>
          <w:rFonts w:ascii="Arial" w:hAnsi="Arial" w:cs="Arial"/>
          <w:i/>
          <w:iCs/>
        </w:rPr>
        <w:t>urnal Tanah dan Iklim</w:t>
      </w:r>
      <w:r w:rsidRPr="002F61AE">
        <w:rPr>
          <w:rFonts w:ascii="Arial" w:hAnsi="Arial" w:cs="Arial"/>
        </w:rPr>
        <w:t xml:space="preserve"> 41(1), 9-16. </w:t>
      </w:r>
    </w:p>
    <w:p w14:paraId="6BE9155E" w14:textId="648CE4DA" w:rsidR="005D1B15" w:rsidRPr="002F61AE" w:rsidRDefault="00783DA8">
      <w:pPr>
        <w:spacing w:line="240" w:lineRule="auto"/>
        <w:jc w:val="both"/>
        <w:rPr>
          <w:rFonts w:ascii="Arial" w:hAnsi="Arial" w:cs="Arial"/>
        </w:rPr>
      </w:pPr>
      <w:r w:rsidRPr="002F61AE">
        <w:rPr>
          <w:rFonts w:ascii="Arial" w:hAnsi="Arial" w:cs="Arial"/>
        </w:rPr>
        <w:t>Shampazuraini, S., SitiAminah,</w:t>
      </w:r>
      <w:r w:rsidR="00BF524A" w:rsidRPr="00BF524A">
        <w:rPr>
          <w:rFonts w:ascii="Arial" w:hAnsi="Arial" w:cs="Arial"/>
        </w:rPr>
        <w:t xml:space="preserve"> </w:t>
      </w:r>
      <w:r w:rsidR="00BF524A" w:rsidRPr="002F61AE">
        <w:rPr>
          <w:rFonts w:ascii="Arial" w:hAnsi="Arial" w:cs="Arial"/>
        </w:rPr>
        <w:t>W.</w:t>
      </w:r>
      <w:r w:rsidR="00BF524A">
        <w:rPr>
          <w:rFonts w:ascii="Arial" w:hAnsi="Arial" w:cs="Arial"/>
        </w:rPr>
        <w:t>,</w:t>
      </w:r>
      <w:r w:rsidRPr="002F61AE">
        <w:rPr>
          <w:rFonts w:ascii="Arial" w:hAnsi="Arial" w:cs="Arial"/>
        </w:rPr>
        <w:t xml:space="preserve"> Husein</w:t>
      </w:r>
      <w:r w:rsidR="00BF524A">
        <w:rPr>
          <w:rFonts w:ascii="Arial" w:hAnsi="Arial" w:cs="Arial"/>
        </w:rPr>
        <w:t xml:space="preserve">, </w:t>
      </w:r>
      <w:r w:rsidR="00BF524A" w:rsidRPr="002F61AE">
        <w:rPr>
          <w:rFonts w:ascii="Arial" w:hAnsi="Arial" w:cs="Arial"/>
        </w:rPr>
        <w:t>A.G.</w:t>
      </w:r>
      <w:r w:rsidRPr="002F61AE">
        <w:rPr>
          <w:rFonts w:ascii="Arial" w:hAnsi="Arial" w:cs="Arial"/>
        </w:rPr>
        <w:t xml:space="preserve"> and NuzulFahmi,</w:t>
      </w:r>
      <w:r w:rsidR="00BF524A">
        <w:rPr>
          <w:rFonts w:ascii="Arial" w:hAnsi="Arial" w:cs="Arial"/>
        </w:rPr>
        <w:t xml:space="preserve"> </w:t>
      </w:r>
      <w:r w:rsidR="00BF524A" w:rsidRPr="002F61AE">
        <w:rPr>
          <w:rFonts w:ascii="Arial" w:hAnsi="Arial" w:cs="Arial"/>
        </w:rPr>
        <w:t xml:space="preserve">A.N. </w:t>
      </w:r>
      <w:r w:rsidR="00BF524A">
        <w:rPr>
          <w:rFonts w:ascii="Arial" w:hAnsi="Arial" w:cs="Arial"/>
        </w:rPr>
        <w:t>(</w:t>
      </w:r>
      <w:r w:rsidRPr="002F61AE">
        <w:rPr>
          <w:rFonts w:ascii="Arial" w:hAnsi="Arial" w:cs="Arial"/>
        </w:rPr>
        <w:t>2016</w:t>
      </w:r>
      <w:r w:rsidR="00BF524A">
        <w:rPr>
          <w:rFonts w:ascii="Arial" w:hAnsi="Arial" w:cs="Arial"/>
        </w:rPr>
        <w:t>)</w:t>
      </w:r>
      <w:r w:rsidRPr="002F61AE">
        <w:rPr>
          <w:rFonts w:ascii="Arial" w:hAnsi="Arial" w:cs="Arial"/>
        </w:rPr>
        <w:t xml:space="preserve">. Effect of different fertilizers on oil palm (Elaeis guineensis Jacq.) growth and performance at nursery stage in felda sungai tekam. </w:t>
      </w:r>
      <w:r w:rsidRPr="00880A39">
        <w:rPr>
          <w:rFonts w:ascii="Arial" w:hAnsi="Arial" w:cs="Arial"/>
          <w:i/>
          <w:iCs/>
        </w:rPr>
        <w:t>Int. J. Adv. Res</w:t>
      </w:r>
      <w:r w:rsidRPr="002F61AE">
        <w:rPr>
          <w:rFonts w:ascii="Arial" w:hAnsi="Arial" w:cs="Arial"/>
        </w:rPr>
        <w:t>., 4: 1127-1131.</w:t>
      </w:r>
    </w:p>
    <w:p w14:paraId="67E5B075" w14:textId="10A2A764" w:rsidR="005D1B15" w:rsidRPr="002F61AE" w:rsidRDefault="00783DA8">
      <w:pPr>
        <w:rPr>
          <w:rFonts w:ascii="Arial" w:hAnsi="Arial" w:cs="Arial"/>
        </w:rPr>
      </w:pPr>
      <w:r w:rsidRPr="002F61AE">
        <w:rPr>
          <w:rFonts w:ascii="Arial" w:hAnsi="Arial" w:cs="Arial"/>
        </w:rPr>
        <w:t>Sirait, B.A., Manurung,</w:t>
      </w:r>
      <w:r w:rsidR="00880A39" w:rsidRPr="00880A39">
        <w:rPr>
          <w:rFonts w:ascii="Arial" w:hAnsi="Arial" w:cs="Arial"/>
        </w:rPr>
        <w:t xml:space="preserve"> </w:t>
      </w:r>
      <w:r w:rsidR="00880A39" w:rsidRPr="002F61AE">
        <w:rPr>
          <w:rFonts w:ascii="Arial" w:hAnsi="Arial" w:cs="Arial"/>
        </w:rPr>
        <w:t>A.I.</w:t>
      </w:r>
      <w:r w:rsidR="00880A39">
        <w:rPr>
          <w:rFonts w:ascii="Arial" w:hAnsi="Arial" w:cs="Arial"/>
        </w:rPr>
        <w:t>,</w:t>
      </w:r>
      <w:r w:rsidRPr="002F61AE">
        <w:rPr>
          <w:rFonts w:ascii="Arial" w:hAnsi="Arial" w:cs="Arial"/>
        </w:rPr>
        <w:t xml:space="preserve"> Samosir,</w:t>
      </w:r>
      <w:r w:rsidR="00880A39">
        <w:rPr>
          <w:rFonts w:ascii="Arial" w:hAnsi="Arial" w:cs="Arial"/>
        </w:rPr>
        <w:t xml:space="preserve"> </w:t>
      </w:r>
      <w:r w:rsidR="00880A39" w:rsidRPr="002F61AE">
        <w:rPr>
          <w:rFonts w:ascii="Arial" w:hAnsi="Arial" w:cs="Arial"/>
        </w:rPr>
        <w:t>O.M.</w:t>
      </w:r>
      <w:r w:rsidR="00880A39">
        <w:rPr>
          <w:rFonts w:ascii="Arial" w:hAnsi="Arial" w:cs="Arial"/>
        </w:rPr>
        <w:t>,</w:t>
      </w:r>
      <w:r w:rsidRPr="002F61AE">
        <w:rPr>
          <w:rFonts w:ascii="Arial" w:hAnsi="Arial" w:cs="Arial"/>
        </w:rPr>
        <w:t xml:space="preserve"> Marpaung,</w:t>
      </w:r>
      <w:r w:rsidR="00880A39" w:rsidRPr="00880A39">
        <w:rPr>
          <w:rFonts w:ascii="Arial" w:hAnsi="Arial" w:cs="Arial"/>
        </w:rPr>
        <w:t xml:space="preserve"> </w:t>
      </w:r>
      <w:r w:rsidR="00880A39" w:rsidRPr="002F61AE">
        <w:rPr>
          <w:rFonts w:ascii="Arial" w:hAnsi="Arial" w:cs="Arial"/>
        </w:rPr>
        <w:t xml:space="preserve">R.G. </w:t>
      </w:r>
      <w:r w:rsidRPr="002F61AE">
        <w:rPr>
          <w:rFonts w:ascii="Arial" w:hAnsi="Arial" w:cs="Arial"/>
        </w:rPr>
        <w:t xml:space="preserve"> Nurhayati</w:t>
      </w:r>
      <w:r w:rsidR="00880A39">
        <w:rPr>
          <w:rFonts w:ascii="Arial" w:hAnsi="Arial" w:cs="Arial"/>
        </w:rPr>
        <w:t>, G.</w:t>
      </w:r>
      <w:r w:rsidRPr="002F61AE">
        <w:rPr>
          <w:rFonts w:ascii="Arial" w:hAnsi="Arial" w:cs="Arial"/>
        </w:rPr>
        <w:t xml:space="preserve"> and Manalu,</w:t>
      </w:r>
      <w:r w:rsidR="00880A39">
        <w:rPr>
          <w:rFonts w:ascii="Arial" w:hAnsi="Arial" w:cs="Arial"/>
        </w:rPr>
        <w:t xml:space="preserve"> C.</w:t>
      </w:r>
      <w:r w:rsidRPr="002F61AE">
        <w:rPr>
          <w:rFonts w:ascii="Arial" w:hAnsi="Arial" w:cs="Arial"/>
        </w:rPr>
        <w:t xml:space="preserve"> (2021). Growth palm oil seedling (Elaeis guineensis jacq.) via NPK fertilization and different frequency of watering. </w:t>
      </w:r>
      <w:r w:rsidRPr="00754AEE">
        <w:rPr>
          <w:rFonts w:ascii="Arial" w:hAnsi="Arial" w:cs="Arial"/>
          <w:i/>
          <w:iCs/>
        </w:rPr>
        <w:t>J. Agron</w:t>
      </w:r>
      <w:r w:rsidRPr="002F61AE">
        <w:rPr>
          <w:rFonts w:ascii="Arial" w:hAnsi="Arial" w:cs="Arial"/>
        </w:rPr>
        <w:t>., 20: 1-8.</w:t>
      </w:r>
    </w:p>
    <w:p w14:paraId="71AF5556" w14:textId="696752EF" w:rsidR="005D1B15" w:rsidRPr="002F61AE" w:rsidRDefault="00783DA8">
      <w:pPr>
        <w:spacing w:line="240" w:lineRule="auto"/>
        <w:jc w:val="both"/>
        <w:rPr>
          <w:rFonts w:ascii="Arial" w:hAnsi="Arial" w:cs="Arial"/>
        </w:rPr>
      </w:pPr>
      <w:r w:rsidRPr="002F61AE">
        <w:rPr>
          <w:rFonts w:ascii="Arial" w:hAnsi="Arial" w:cs="Arial"/>
        </w:rPr>
        <w:t xml:space="preserve">Song, W., Han, F., Bao, Z., Chai, Y., Wang, L., Huang, C., Cheng, H., &amp; Chang, L. (2024). Mulching practices improve soil moisture and enzyme activity in drylands, increasing potato yield. </w:t>
      </w:r>
      <w:r w:rsidRPr="00754AEE">
        <w:rPr>
          <w:rFonts w:ascii="Arial" w:hAnsi="Arial" w:cs="Arial"/>
          <w:i/>
          <w:iCs/>
        </w:rPr>
        <w:t>Agronomy</w:t>
      </w:r>
      <w:r w:rsidRPr="002F61AE">
        <w:rPr>
          <w:rFonts w:ascii="Arial" w:hAnsi="Arial" w:cs="Arial"/>
        </w:rPr>
        <w:t xml:space="preserve">, 14(5), 1077. </w:t>
      </w:r>
    </w:p>
    <w:p w14:paraId="6E69C677" w14:textId="40DAFDE6" w:rsidR="005D1B15" w:rsidRPr="002F61AE" w:rsidRDefault="00783DA8">
      <w:pPr>
        <w:spacing w:line="240" w:lineRule="auto"/>
        <w:jc w:val="both"/>
        <w:rPr>
          <w:rFonts w:ascii="Arial" w:hAnsi="Arial" w:cs="Arial"/>
        </w:rPr>
      </w:pPr>
      <w:r w:rsidRPr="002F61AE">
        <w:rPr>
          <w:rFonts w:ascii="Arial" w:hAnsi="Arial" w:cs="Arial"/>
        </w:rPr>
        <w:t xml:space="preserve"> Sudradjat, Darwis, A., and Wachjar, A. (2014). Optimization of nitrogen and phosphorus fertilizer doses on oil palm seedlings (Elaeis guineensis Jacq.) in the main nursery. </w:t>
      </w:r>
      <w:r w:rsidRPr="001F0D5B">
        <w:rPr>
          <w:rFonts w:ascii="Arial" w:hAnsi="Arial" w:cs="Arial"/>
          <w:i/>
          <w:iCs/>
        </w:rPr>
        <w:t>J</w:t>
      </w:r>
      <w:r w:rsidR="001F0D5B" w:rsidRPr="001F0D5B">
        <w:rPr>
          <w:rFonts w:ascii="Arial" w:hAnsi="Arial" w:cs="Arial"/>
          <w:i/>
          <w:iCs/>
        </w:rPr>
        <w:t>o</w:t>
      </w:r>
      <w:r w:rsidRPr="001F0D5B">
        <w:rPr>
          <w:rFonts w:ascii="Arial" w:hAnsi="Arial" w:cs="Arial"/>
          <w:i/>
          <w:iCs/>
        </w:rPr>
        <w:t>urnal Agronomi Indonesia</w:t>
      </w:r>
      <w:r w:rsidRPr="002F61AE">
        <w:rPr>
          <w:rFonts w:ascii="Arial" w:hAnsi="Arial" w:cs="Arial"/>
        </w:rPr>
        <w:t xml:space="preserve"> 42, 222-227. </w:t>
      </w:r>
    </w:p>
    <w:p w14:paraId="6AEFB7BE" w14:textId="79696AC8" w:rsidR="005D1B15" w:rsidRPr="002F61AE" w:rsidRDefault="00783DA8">
      <w:pPr>
        <w:rPr>
          <w:rFonts w:ascii="Arial" w:hAnsi="Arial" w:cs="Arial"/>
        </w:rPr>
      </w:pPr>
      <w:r w:rsidRPr="002F61AE">
        <w:rPr>
          <w:rFonts w:ascii="Arial" w:hAnsi="Arial" w:cs="Arial"/>
        </w:rPr>
        <w:t xml:space="preserve">Zahed, Z., Hikmat, H., Salari, H., </w:t>
      </w:r>
      <w:r w:rsidR="001F0D5B">
        <w:rPr>
          <w:rFonts w:ascii="Arial" w:hAnsi="Arial" w:cs="Arial"/>
        </w:rPr>
        <w:t>and</w:t>
      </w:r>
      <w:r w:rsidRPr="002F61AE">
        <w:rPr>
          <w:rFonts w:ascii="Arial" w:hAnsi="Arial" w:cs="Arial"/>
        </w:rPr>
        <w:t xml:space="preserve"> Rashidi M., K. (2025). Effects of Organic and Inorganic Mulches on Soil Physico-Chemical Properties Under Temperate Conditions of Kashmir. </w:t>
      </w:r>
      <w:r w:rsidRPr="00B8743E">
        <w:rPr>
          <w:rFonts w:ascii="Arial" w:hAnsi="Arial" w:cs="Arial"/>
          <w:i/>
          <w:iCs/>
        </w:rPr>
        <w:t>Journal of Natural Science Review</w:t>
      </w:r>
      <w:r w:rsidRPr="002F61AE">
        <w:rPr>
          <w:rFonts w:ascii="Arial" w:hAnsi="Arial" w:cs="Arial"/>
        </w:rPr>
        <w:t xml:space="preserve">,3(4), 119-133. </w:t>
      </w:r>
    </w:p>
    <w:p w14:paraId="0968DF40" w14:textId="582BCEA8" w:rsidR="005D1B15" w:rsidRPr="002F61AE" w:rsidRDefault="00783DA8">
      <w:pPr>
        <w:rPr>
          <w:rFonts w:ascii="Arial" w:hAnsi="Arial" w:cs="Arial"/>
        </w:rPr>
      </w:pPr>
      <w:r w:rsidRPr="002F61AE">
        <w:rPr>
          <w:rFonts w:ascii="Arial" w:hAnsi="Arial" w:cs="Arial"/>
        </w:rPr>
        <w:t>Zahed, Z.</w:t>
      </w:r>
      <w:r w:rsidR="00B8743E">
        <w:rPr>
          <w:rFonts w:ascii="Arial" w:hAnsi="Arial" w:cs="Arial"/>
        </w:rPr>
        <w:t>,</w:t>
      </w:r>
      <w:r w:rsidRPr="002F61AE">
        <w:rPr>
          <w:rFonts w:ascii="Arial" w:hAnsi="Arial" w:cs="Arial"/>
        </w:rPr>
        <w:t xml:space="preserve"> Mufti, S.</w:t>
      </w:r>
      <w:r w:rsidR="00B8743E">
        <w:rPr>
          <w:rFonts w:ascii="Arial" w:hAnsi="Arial" w:cs="Arial"/>
        </w:rPr>
        <w:t>,</w:t>
      </w:r>
      <w:r w:rsidRPr="002F61AE">
        <w:rPr>
          <w:rFonts w:ascii="Arial" w:hAnsi="Arial" w:cs="Arial"/>
        </w:rPr>
        <w:t xml:space="preserve"> Kumar, S.S.</w:t>
      </w:r>
      <w:r w:rsidR="00B8743E">
        <w:rPr>
          <w:rFonts w:ascii="Arial" w:hAnsi="Arial" w:cs="Arial"/>
        </w:rPr>
        <w:t>,</w:t>
      </w:r>
      <w:r w:rsidRPr="002F61AE">
        <w:rPr>
          <w:rFonts w:ascii="Arial" w:hAnsi="Arial" w:cs="Arial"/>
        </w:rPr>
        <w:t xml:space="preserve"> Wani, O.A.</w:t>
      </w:r>
      <w:r w:rsidR="00B8743E">
        <w:rPr>
          <w:rFonts w:ascii="Arial" w:hAnsi="Arial" w:cs="Arial"/>
        </w:rPr>
        <w:t>,</w:t>
      </w:r>
      <w:r w:rsidRPr="002F61AE">
        <w:rPr>
          <w:rFonts w:ascii="Arial" w:hAnsi="Arial" w:cs="Arial"/>
        </w:rPr>
        <w:t xml:space="preserve"> Mushtaq, F.</w:t>
      </w:r>
      <w:r w:rsidR="00B8743E">
        <w:rPr>
          <w:rFonts w:ascii="Arial" w:hAnsi="Arial" w:cs="Arial"/>
        </w:rPr>
        <w:t>,</w:t>
      </w:r>
      <w:r w:rsidRPr="002F61AE">
        <w:rPr>
          <w:rFonts w:ascii="Arial" w:hAnsi="Arial" w:cs="Arial"/>
        </w:rPr>
        <w:t xml:space="preserve"> Rasool, R.</w:t>
      </w:r>
      <w:r w:rsidR="00B8743E">
        <w:rPr>
          <w:rFonts w:ascii="Arial" w:hAnsi="Arial" w:cs="Arial"/>
        </w:rPr>
        <w:t xml:space="preserve"> and</w:t>
      </w:r>
      <w:r w:rsidRPr="002F61AE">
        <w:rPr>
          <w:rFonts w:ascii="Arial" w:hAnsi="Arial" w:cs="Arial"/>
        </w:rPr>
        <w:t xml:space="preserve"> Hossain, A.(2022). Organic and inorganic mulches combination improves the productivity, quality and profitability of rainfed potato in the temperate himalayan region. </w:t>
      </w:r>
      <w:r w:rsidRPr="00C1139E">
        <w:rPr>
          <w:rFonts w:ascii="Arial" w:hAnsi="Arial" w:cs="Arial"/>
          <w:i/>
          <w:iCs/>
        </w:rPr>
        <w:t>Gesunde Pflanz</w:t>
      </w:r>
      <w:r w:rsidRPr="002F61AE">
        <w:rPr>
          <w:rFonts w:ascii="Arial" w:hAnsi="Arial" w:cs="Arial"/>
        </w:rPr>
        <w:t xml:space="preserve">.  74, 1109–1122 </w:t>
      </w:r>
    </w:p>
    <w:p w14:paraId="17494B08" w14:textId="4FBA0C73" w:rsidR="005D1B15" w:rsidRPr="002F61AE" w:rsidRDefault="00783DA8">
      <w:pPr>
        <w:rPr>
          <w:rFonts w:ascii="Arial" w:hAnsi="Arial" w:cs="Arial"/>
        </w:rPr>
      </w:pPr>
      <w:r w:rsidRPr="002F61AE">
        <w:rPr>
          <w:rFonts w:ascii="Arial" w:hAnsi="Arial" w:cs="Arial"/>
        </w:rPr>
        <w:t>Zulaiha A R, Nurmalina R and Sanim B (2018). Kinerja subsidi pupuk di Indonesia</w:t>
      </w:r>
      <w:r w:rsidR="00C1139E">
        <w:rPr>
          <w:rFonts w:ascii="Arial" w:hAnsi="Arial" w:cs="Arial"/>
        </w:rPr>
        <w:t>.</w:t>
      </w:r>
      <w:r w:rsidRPr="002F61AE">
        <w:rPr>
          <w:rFonts w:ascii="Arial" w:hAnsi="Arial" w:cs="Arial"/>
        </w:rPr>
        <w:t xml:space="preserve"> </w:t>
      </w:r>
      <w:r w:rsidRPr="00C1139E">
        <w:rPr>
          <w:rFonts w:ascii="Arial" w:hAnsi="Arial" w:cs="Arial"/>
          <w:i/>
          <w:iCs/>
        </w:rPr>
        <w:t>J. Aplikasi Manajemen dan Bisnis</w:t>
      </w:r>
      <w:r w:rsidRPr="002F61AE">
        <w:rPr>
          <w:rFonts w:ascii="Arial" w:hAnsi="Arial" w:cs="Arial"/>
        </w:rPr>
        <w:t xml:space="preserve"> 4 271- 83</w:t>
      </w:r>
    </w:p>
    <w:p w14:paraId="71D02EE5" w14:textId="4E43DA69" w:rsidR="005D1B15" w:rsidRPr="002F61AE" w:rsidRDefault="005D1B15">
      <w:pPr>
        <w:rPr>
          <w:rFonts w:ascii="Arial" w:hAnsi="Arial" w:cs="Arial"/>
        </w:rPr>
      </w:pPr>
    </w:p>
    <w:p w14:paraId="5AA401D9" w14:textId="39FBBD8B" w:rsidR="005D1B15" w:rsidRPr="002F61AE" w:rsidRDefault="00783DA8">
      <w:pPr>
        <w:rPr>
          <w:rFonts w:ascii="Arial" w:hAnsi="Arial" w:cs="Arial"/>
        </w:rPr>
      </w:pPr>
      <w:r w:rsidRPr="002F61AE">
        <w:rPr>
          <w:rFonts w:ascii="Arial" w:hAnsi="Arial" w:cs="Arial"/>
        </w:rPr>
        <w:t>Santi, L.P. and Goenadi, D.H. (2016). Organochemical fertilizers for fertilizing oil palm seedlings organochemical fertilizers for fertilizing oil palm seedlings. Jurnal Menara Perkebunan 76, 36-46. DOI: https://doi. org/10.22302/iribb.jur.mp.v76i1.94.</w:t>
      </w:r>
    </w:p>
    <w:p w14:paraId="60E7C902" w14:textId="1532E5A3" w:rsidR="005D1B15" w:rsidRPr="002F61AE" w:rsidRDefault="00783DA8">
      <w:pPr>
        <w:rPr>
          <w:rFonts w:ascii="Arial" w:hAnsi="Arial" w:cs="Arial"/>
        </w:rPr>
      </w:pPr>
      <w:r w:rsidRPr="002F61AE">
        <w:rPr>
          <w:rFonts w:ascii="Arial" w:hAnsi="Arial" w:cs="Arial"/>
        </w:rPr>
        <w:lastRenderedPageBreak/>
        <w:t xml:space="preserve">Xu, Z., Wallach, R., Song, J., </w:t>
      </w:r>
      <w:r w:rsidR="00B00C1C">
        <w:rPr>
          <w:rFonts w:ascii="Arial" w:hAnsi="Arial" w:cs="Arial"/>
        </w:rPr>
        <w:t>and</w:t>
      </w:r>
      <w:r w:rsidRPr="002F61AE">
        <w:rPr>
          <w:rFonts w:ascii="Arial" w:hAnsi="Arial" w:cs="Arial"/>
        </w:rPr>
        <w:t xml:space="preserve"> Mao, X. (2023). Effect of plastic film colours and perforations on energy distribution, soil temperature, and evaporation. Agronomy, 13(3), 926. </w:t>
      </w:r>
    </w:p>
    <w:p w14:paraId="37173023" w14:textId="77777777" w:rsidR="005D1B15" w:rsidRPr="002F61AE" w:rsidRDefault="00783DA8">
      <w:pPr>
        <w:rPr>
          <w:rFonts w:ascii="Arial" w:hAnsi="Arial" w:cs="Arial"/>
        </w:rPr>
      </w:pPr>
      <w:r w:rsidRPr="002F61AE">
        <w:rPr>
          <w:rFonts w:ascii="Arial" w:hAnsi="Arial" w:cs="Arial"/>
        </w:rPr>
        <w:t>Corley R.H.V and tinker.B. (2003). TH oil palm, fourth edition, Blachwell and science Ltd.562pp</w:t>
      </w:r>
    </w:p>
    <w:p w14:paraId="0F9E8376" w14:textId="77777777" w:rsidR="005D1B15" w:rsidRPr="002F61AE" w:rsidRDefault="00783DA8">
      <w:pPr>
        <w:rPr>
          <w:rFonts w:ascii="Arial" w:hAnsi="Arial" w:cs="Arial"/>
        </w:rPr>
      </w:pPr>
      <w:r w:rsidRPr="002F61AE">
        <w:rPr>
          <w:rFonts w:ascii="Arial" w:hAnsi="Arial" w:cs="Arial"/>
        </w:rPr>
        <w:t>Fairhurst, T and hardter, R. (2005). Oil palm management for large and sustainable yields. Oxford graphic printers pte, Ltd 13-24</w:t>
      </w:r>
    </w:p>
    <w:p w14:paraId="4F260A0D" w14:textId="77777777" w:rsidR="005D1B15" w:rsidRDefault="005D1B15"/>
    <w:p w14:paraId="015C79CE" w14:textId="77777777" w:rsidR="005D1B15" w:rsidRDefault="00783DA8">
      <w:r>
        <w:t xml:space="preserve"> </w:t>
      </w:r>
    </w:p>
    <w:p w14:paraId="53B98896" w14:textId="77777777" w:rsidR="005D1B15" w:rsidRDefault="005D1B15"/>
    <w:p w14:paraId="0FB9B78A" w14:textId="77777777" w:rsidR="005D1B15" w:rsidRDefault="005D1B15"/>
    <w:p w14:paraId="0B008D8F" w14:textId="5F6F389B" w:rsidR="005D1B15" w:rsidRPr="006B1D73" w:rsidRDefault="00783DA8">
      <w:r>
        <w:t xml:space="preserve"> </w:t>
      </w:r>
    </w:p>
    <w:sectPr w:rsidR="005D1B15" w:rsidRPr="006B1D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br989" w:date="2026-02-26T14:38:00Z" w:initials="m">
    <w:p w14:paraId="351BD246" w14:textId="367231B8" w:rsidR="004D456D" w:rsidRDefault="004D456D">
      <w:pPr>
        <w:pStyle w:val="CommentText"/>
      </w:pPr>
      <w:r>
        <w:rPr>
          <w:rStyle w:val="CommentReference"/>
        </w:rPr>
        <w:annotationRef/>
      </w:r>
      <w:r w:rsidRPr="004D456D">
        <w:t>As the title suggests, the introduction should focus more on mulching and not on fertilization. If you want to discuss fertilization, keep it brief.</w:t>
      </w:r>
    </w:p>
  </w:comment>
  <w:comment w:id="1" w:author="mbr989" w:date="2026-02-26T14:35:00Z" w:initials="m">
    <w:p w14:paraId="08C33A61" w14:textId="566D2B1D" w:rsidR="004D456D" w:rsidRDefault="004D456D">
      <w:pPr>
        <w:pStyle w:val="CommentText"/>
      </w:pPr>
      <w:r>
        <w:rPr>
          <w:rStyle w:val="CommentReference"/>
        </w:rPr>
        <w:annotationRef/>
      </w:r>
      <w:r w:rsidRPr="004D456D">
        <w:t>The introduction does not yet identify any research gaps. To provide an introduction to the reader, it would be beneficial to provide an introduction to the importance of mulch in oil palm nursery practices compared to current practices, for example in Nigeria.</w:t>
      </w:r>
    </w:p>
  </w:comment>
  <w:comment w:id="2" w:author="mbr989" w:date="2026-02-26T15:11:00Z" w:initials="m">
    <w:p w14:paraId="5DF8215F" w14:textId="12760F1E" w:rsidR="009E20ED" w:rsidRDefault="009E20ED">
      <w:pPr>
        <w:pStyle w:val="CommentText"/>
      </w:pPr>
      <w:r>
        <w:rPr>
          <w:rStyle w:val="CommentReference"/>
        </w:rPr>
        <w:annotationRef/>
      </w:r>
      <w:r w:rsidRPr="009E20ED">
        <w:t>It's best to describe the research procedures in more detail, such as how the soil was treated, seed selection, plant maintenance, and so on.</w:t>
      </w:r>
    </w:p>
  </w:comment>
  <w:comment w:id="3" w:author="mbr989" w:date="2026-02-26T15:06:00Z" w:initials="m">
    <w:p w14:paraId="1B089313" w14:textId="52649EB9" w:rsidR="009E20ED" w:rsidRDefault="009E20ED">
      <w:pPr>
        <w:pStyle w:val="CommentText"/>
      </w:pPr>
      <w:r>
        <w:rPr>
          <w:rStyle w:val="CommentReference"/>
        </w:rPr>
        <w:annotationRef/>
      </w:r>
      <w:r w:rsidRPr="009E20ED">
        <w:t>In its intact form or treated in such a way?</w:t>
      </w:r>
    </w:p>
  </w:comment>
  <w:comment w:id="4" w:author="mbr989" w:date="2026-02-26T15:10:00Z" w:initials="m">
    <w:p w14:paraId="2953F741" w14:textId="18C1CD92" w:rsidR="009E20ED" w:rsidRDefault="009E20ED">
      <w:pPr>
        <w:pStyle w:val="CommentText"/>
      </w:pPr>
      <w:r>
        <w:rPr>
          <w:rStyle w:val="CommentReference"/>
        </w:rPr>
        <w:annotationRef/>
      </w:r>
      <w:r w:rsidRPr="009E20ED">
        <w:t>How are the seeds selected? Are they just random?</w:t>
      </w:r>
    </w:p>
  </w:comment>
  <w:comment w:id="5" w:author="mbr989" w:date="2026-02-26T15:09:00Z" w:initials="m">
    <w:p w14:paraId="792A063B" w14:textId="32E8D584" w:rsidR="009E20ED" w:rsidRDefault="009E20ED">
      <w:pPr>
        <w:pStyle w:val="CommentText"/>
      </w:pPr>
      <w:r>
        <w:rPr>
          <w:rStyle w:val="CommentReference"/>
        </w:rPr>
        <w:annotationRef/>
      </w:r>
      <w:r>
        <w:t>Greenhouse?</w:t>
      </w:r>
    </w:p>
  </w:comment>
  <w:comment w:id="6" w:author="mbr989" w:date="2026-02-26T16:49:00Z" w:initials="m">
    <w:p w14:paraId="162352BE" w14:textId="2BAED6D5" w:rsidR="006378CE" w:rsidRDefault="006378CE">
      <w:pPr>
        <w:pStyle w:val="CommentText"/>
      </w:pPr>
      <w:r>
        <w:rPr>
          <w:rStyle w:val="CommentReference"/>
        </w:rPr>
        <w:annotationRef/>
      </w:r>
      <w:r w:rsidRPr="006378CE">
        <w:t>In this discussion, it would be beneficial to provide suggestions on how to apply the research findings to oil palm nursery practices, or compare them with current practices.</w:t>
      </w:r>
    </w:p>
  </w:comment>
  <w:comment w:id="7" w:author="mbr989" w:date="2026-02-26T15:18:00Z" w:initials="m">
    <w:p w14:paraId="329619A1" w14:textId="7119D9AD" w:rsidR="00C063D3" w:rsidRDefault="00C063D3">
      <w:pPr>
        <w:pStyle w:val="CommentText"/>
      </w:pPr>
      <w:r>
        <w:rPr>
          <w:rStyle w:val="CommentReference"/>
        </w:rPr>
        <w:annotationRef/>
      </w:r>
      <w:r w:rsidRPr="00C063D3">
        <w:t>It would be better to also explain what to do with the EFB?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1BD246" w15:done="0"/>
  <w15:commentEx w15:paraId="08C33A61" w15:done="0"/>
  <w15:commentEx w15:paraId="5DF8215F" w15:done="0"/>
  <w15:commentEx w15:paraId="1B089313" w15:done="0"/>
  <w15:commentEx w15:paraId="2953F741" w15:done="0"/>
  <w15:commentEx w15:paraId="792A063B" w15:done="0"/>
  <w15:commentEx w15:paraId="162352BE" w15:done="0"/>
  <w15:commentEx w15:paraId="329619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AD979" w16cex:dateUtc="2026-02-26T07:38:00Z"/>
  <w16cex:commentExtensible w16cex:durableId="2D4AD8CB" w16cex:dateUtc="2026-02-26T07:35:00Z"/>
  <w16cex:commentExtensible w16cex:durableId="2D4AE135" w16cex:dateUtc="2026-02-26T08:11:00Z"/>
  <w16cex:commentExtensible w16cex:durableId="2D4ADFF0" w16cex:dateUtc="2026-02-26T08:06:00Z"/>
  <w16cex:commentExtensible w16cex:durableId="2D4AE0D0" w16cex:dateUtc="2026-02-26T08:10:00Z"/>
  <w16cex:commentExtensible w16cex:durableId="2D4AE095" w16cex:dateUtc="2026-02-26T08:09:00Z"/>
  <w16cex:commentExtensible w16cex:durableId="2D4AF81B" w16cex:dateUtc="2026-02-26T09:49:00Z"/>
  <w16cex:commentExtensible w16cex:durableId="2D4AE2CE" w16cex:dateUtc="2026-02-26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1BD246" w16cid:durableId="2D4AD979"/>
  <w16cid:commentId w16cid:paraId="08C33A61" w16cid:durableId="2D4AD8CB"/>
  <w16cid:commentId w16cid:paraId="5DF8215F" w16cid:durableId="2D4AE135"/>
  <w16cid:commentId w16cid:paraId="1B089313" w16cid:durableId="2D4ADFF0"/>
  <w16cid:commentId w16cid:paraId="2953F741" w16cid:durableId="2D4AE0D0"/>
  <w16cid:commentId w16cid:paraId="792A063B" w16cid:durableId="2D4AE095"/>
  <w16cid:commentId w16cid:paraId="162352BE" w16cid:durableId="2D4AF81B"/>
  <w16cid:commentId w16cid:paraId="329619A1" w16cid:durableId="2D4AE2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FB14" w14:textId="77777777" w:rsidR="00E95E21" w:rsidRDefault="00E95E21" w:rsidP="00343455">
      <w:pPr>
        <w:spacing w:after="0" w:line="240" w:lineRule="auto"/>
      </w:pPr>
      <w:r>
        <w:separator/>
      </w:r>
    </w:p>
  </w:endnote>
  <w:endnote w:type="continuationSeparator" w:id="0">
    <w:p w14:paraId="0F2061FE" w14:textId="77777777" w:rsidR="00E95E21" w:rsidRDefault="00E95E21" w:rsidP="0034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7B13" w14:textId="77777777" w:rsidR="00343455" w:rsidRDefault="0034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D135" w14:textId="77777777" w:rsidR="00343455" w:rsidRDefault="00343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14F0" w14:textId="77777777" w:rsidR="00343455" w:rsidRDefault="0034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C0F2F" w14:textId="77777777" w:rsidR="00E95E21" w:rsidRDefault="00E95E21" w:rsidP="00343455">
      <w:pPr>
        <w:spacing w:after="0" w:line="240" w:lineRule="auto"/>
      </w:pPr>
      <w:r>
        <w:separator/>
      </w:r>
    </w:p>
  </w:footnote>
  <w:footnote w:type="continuationSeparator" w:id="0">
    <w:p w14:paraId="467C98A3" w14:textId="77777777" w:rsidR="00E95E21" w:rsidRDefault="00E95E21" w:rsidP="00343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BB09" w14:textId="519A0808" w:rsidR="00343455" w:rsidRDefault="00E95E21">
    <w:pPr>
      <w:pStyle w:val="Header"/>
    </w:pPr>
    <w:r>
      <w:rPr>
        <w:noProof/>
      </w:rPr>
      <w:pict w14:anchorId="7F85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FD91" w14:textId="7BBD830C" w:rsidR="00343455" w:rsidRDefault="00E95E21">
    <w:pPr>
      <w:pStyle w:val="Header"/>
    </w:pPr>
    <w:r>
      <w:rPr>
        <w:noProof/>
      </w:rPr>
      <w:pict w14:anchorId="173C3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0339" w14:textId="7FF19627" w:rsidR="00343455" w:rsidRDefault="00E95E21">
    <w:pPr>
      <w:pStyle w:val="Header"/>
    </w:pPr>
    <w:r>
      <w:rPr>
        <w:noProof/>
      </w:rPr>
      <w:pict w14:anchorId="2F8E4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33AA"/>
    <w:multiLevelType w:val="hybridMultilevel"/>
    <w:tmpl w:val="E6E4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br989">
    <w15:presenceInfo w15:providerId="AD" w15:userId="S::mbr989@365office.site::66ee8ba1-538f-41c5-a3fd-6fc273a79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15"/>
    <w:rsid w:val="00010220"/>
    <w:rsid w:val="0001215F"/>
    <w:rsid w:val="00017AF7"/>
    <w:rsid w:val="00022535"/>
    <w:rsid w:val="0008380E"/>
    <w:rsid w:val="00093E79"/>
    <w:rsid w:val="00095B5D"/>
    <w:rsid w:val="000979A6"/>
    <w:rsid w:val="000C1800"/>
    <w:rsid w:val="000F05BC"/>
    <w:rsid w:val="00103408"/>
    <w:rsid w:val="0011212D"/>
    <w:rsid w:val="00133C0A"/>
    <w:rsid w:val="00134BE4"/>
    <w:rsid w:val="00164125"/>
    <w:rsid w:val="00191021"/>
    <w:rsid w:val="001F0D5B"/>
    <w:rsid w:val="0023123D"/>
    <w:rsid w:val="00254C74"/>
    <w:rsid w:val="00261AC9"/>
    <w:rsid w:val="00294B4A"/>
    <w:rsid w:val="002B563E"/>
    <w:rsid w:val="002B5884"/>
    <w:rsid w:val="002C1743"/>
    <w:rsid w:val="002D0B23"/>
    <w:rsid w:val="002F61AE"/>
    <w:rsid w:val="003003B1"/>
    <w:rsid w:val="00343455"/>
    <w:rsid w:val="00360466"/>
    <w:rsid w:val="0038513C"/>
    <w:rsid w:val="003D661E"/>
    <w:rsid w:val="003F055D"/>
    <w:rsid w:val="004079F3"/>
    <w:rsid w:val="004149DE"/>
    <w:rsid w:val="00432ECB"/>
    <w:rsid w:val="00447F47"/>
    <w:rsid w:val="00452648"/>
    <w:rsid w:val="004D456D"/>
    <w:rsid w:val="004F3AD2"/>
    <w:rsid w:val="005172A7"/>
    <w:rsid w:val="0052063C"/>
    <w:rsid w:val="005319EE"/>
    <w:rsid w:val="005354DC"/>
    <w:rsid w:val="0055130D"/>
    <w:rsid w:val="00577B73"/>
    <w:rsid w:val="005A1E22"/>
    <w:rsid w:val="005B099B"/>
    <w:rsid w:val="005C54BA"/>
    <w:rsid w:val="005D1B15"/>
    <w:rsid w:val="005D3CF6"/>
    <w:rsid w:val="005D5CDB"/>
    <w:rsid w:val="005F186B"/>
    <w:rsid w:val="00607F98"/>
    <w:rsid w:val="00631596"/>
    <w:rsid w:val="00634807"/>
    <w:rsid w:val="006378CE"/>
    <w:rsid w:val="00637A29"/>
    <w:rsid w:val="0064470E"/>
    <w:rsid w:val="00644F7C"/>
    <w:rsid w:val="00653EEA"/>
    <w:rsid w:val="00674286"/>
    <w:rsid w:val="00677F29"/>
    <w:rsid w:val="006A15B0"/>
    <w:rsid w:val="006B1D73"/>
    <w:rsid w:val="006E07EE"/>
    <w:rsid w:val="00707280"/>
    <w:rsid w:val="00722477"/>
    <w:rsid w:val="00736127"/>
    <w:rsid w:val="0074696B"/>
    <w:rsid w:val="00754AEE"/>
    <w:rsid w:val="00757CDA"/>
    <w:rsid w:val="0076236E"/>
    <w:rsid w:val="0076363F"/>
    <w:rsid w:val="007811C7"/>
    <w:rsid w:val="00783DA8"/>
    <w:rsid w:val="007A38E8"/>
    <w:rsid w:val="007A40E5"/>
    <w:rsid w:val="007B7259"/>
    <w:rsid w:val="007C6D3E"/>
    <w:rsid w:val="007E6050"/>
    <w:rsid w:val="008326A4"/>
    <w:rsid w:val="00880A39"/>
    <w:rsid w:val="0088233B"/>
    <w:rsid w:val="008A6895"/>
    <w:rsid w:val="008C4AE3"/>
    <w:rsid w:val="008C741A"/>
    <w:rsid w:val="008F13AB"/>
    <w:rsid w:val="0091440C"/>
    <w:rsid w:val="00942E9E"/>
    <w:rsid w:val="00947AC6"/>
    <w:rsid w:val="00960D34"/>
    <w:rsid w:val="00963782"/>
    <w:rsid w:val="00972EB7"/>
    <w:rsid w:val="009A6596"/>
    <w:rsid w:val="009C10AE"/>
    <w:rsid w:val="009D1610"/>
    <w:rsid w:val="009E20ED"/>
    <w:rsid w:val="009F1EA9"/>
    <w:rsid w:val="00A10BC4"/>
    <w:rsid w:val="00A634CC"/>
    <w:rsid w:val="00A7682D"/>
    <w:rsid w:val="00A77C2A"/>
    <w:rsid w:val="00A92428"/>
    <w:rsid w:val="00AA6AF4"/>
    <w:rsid w:val="00AB000D"/>
    <w:rsid w:val="00AC29E8"/>
    <w:rsid w:val="00AC62D8"/>
    <w:rsid w:val="00AD37DC"/>
    <w:rsid w:val="00AD3BBF"/>
    <w:rsid w:val="00AD6CC5"/>
    <w:rsid w:val="00AE5018"/>
    <w:rsid w:val="00AF0D53"/>
    <w:rsid w:val="00AF4719"/>
    <w:rsid w:val="00B00C1C"/>
    <w:rsid w:val="00B12631"/>
    <w:rsid w:val="00B3424F"/>
    <w:rsid w:val="00B8743E"/>
    <w:rsid w:val="00B909EC"/>
    <w:rsid w:val="00B9413D"/>
    <w:rsid w:val="00BD72FD"/>
    <w:rsid w:val="00BE5CEF"/>
    <w:rsid w:val="00BF524A"/>
    <w:rsid w:val="00BF5743"/>
    <w:rsid w:val="00C048C6"/>
    <w:rsid w:val="00C063D3"/>
    <w:rsid w:val="00C1030E"/>
    <w:rsid w:val="00C1139E"/>
    <w:rsid w:val="00C15675"/>
    <w:rsid w:val="00C4399F"/>
    <w:rsid w:val="00C73EA2"/>
    <w:rsid w:val="00C8356A"/>
    <w:rsid w:val="00C83948"/>
    <w:rsid w:val="00C96E13"/>
    <w:rsid w:val="00CB6B77"/>
    <w:rsid w:val="00CE43A8"/>
    <w:rsid w:val="00D0356E"/>
    <w:rsid w:val="00D0613C"/>
    <w:rsid w:val="00D276D1"/>
    <w:rsid w:val="00D81A99"/>
    <w:rsid w:val="00D91637"/>
    <w:rsid w:val="00E00D9F"/>
    <w:rsid w:val="00E07D1F"/>
    <w:rsid w:val="00E24867"/>
    <w:rsid w:val="00E33ACE"/>
    <w:rsid w:val="00E47CAD"/>
    <w:rsid w:val="00E66E7E"/>
    <w:rsid w:val="00E7647F"/>
    <w:rsid w:val="00E7767F"/>
    <w:rsid w:val="00E95E21"/>
    <w:rsid w:val="00EA059E"/>
    <w:rsid w:val="00EA1BF9"/>
    <w:rsid w:val="00EA5E6B"/>
    <w:rsid w:val="00ED102C"/>
    <w:rsid w:val="00EE31D9"/>
    <w:rsid w:val="00F02D0A"/>
    <w:rsid w:val="00F05807"/>
    <w:rsid w:val="00F45BE1"/>
    <w:rsid w:val="00F808B0"/>
    <w:rsid w:val="00F84A47"/>
    <w:rsid w:val="00FD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92C823"/>
  <w15:docId w15:val="{46D54A38-B2E8-4269-9763-93DDA1E0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eastAsia="SimSu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3123D"/>
    <w:rPr>
      <w:color w:val="605E5C"/>
      <w:shd w:val="clear" w:color="auto" w:fill="E1DFDD"/>
    </w:rPr>
  </w:style>
  <w:style w:type="paragraph" w:styleId="Header">
    <w:name w:val="header"/>
    <w:basedOn w:val="Normal"/>
    <w:link w:val="HeaderChar"/>
    <w:uiPriority w:val="99"/>
    <w:unhideWhenUsed/>
    <w:rsid w:val="0034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455"/>
  </w:style>
  <w:style w:type="paragraph" w:styleId="Footer">
    <w:name w:val="footer"/>
    <w:basedOn w:val="Normal"/>
    <w:link w:val="FooterChar"/>
    <w:uiPriority w:val="99"/>
    <w:unhideWhenUsed/>
    <w:rsid w:val="0034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455"/>
  </w:style>
  <w:style w:type="character" w:styleId="CommentReference">
    <w:name w:val="annotation reference"/>
    <w:basedOn w:val="DefaultParagraphFont"/>
    <w:uiPriority w:val="99"/>
    <w:semiHidden/>
    <w:unhideWhenUsed/>
    <w:rsid w:val="004D456D"/>
    <w:rPr>
      <w:sz w:val="16"/>
      <w:szCs w:val="16"/>
    </w:rPr>
  </w:style>
  <w:style w:type="paragraph" w:styleId="CommentText">
    <w:name w:val="annotation text"/>
    <w:basedOn w:val="Normal"/>
    <w:link w:val="CommentTextChar"/>
    <w:uiPriority w:val="99"/>
    <w:semiHidden/>
    <w:unhideWhenUsed/>
    <w:rsid w:val="004D456D"/>
    <w:pPr>
      <w:spacing w:line="240" w:lineRule="auto"/>
    </w:pPr>
    <w:rPr>
      <w:sz w:val="20"/>
      <w:szCs w:val="20"/>
    </w:rPr>
  </w:style>
  <w:style w:type="character" w:customStyle="1" w:styleId="CommentTextChar">
    <w:name w:val="Comment Text Char"/>
    <w:basedOn w:val="DefaultParagraphFont"/>
    <w:link w:val="CommentText"/>
    <w:uiPriority w:val="99"/>
    <w:semiHidden/>
    <w:rsid w:val="004D456D"/>
    <w:rPr>
      <w:sz w:val="20"/>
      <w:szCs w:val="20"/>
    </w:rPr>
  </w:style>
  <w:style w:type="paragraph" w:styleId="CommentSubject">
    <w:name w:val="annotation subject"/>
    <w:basedOn w:val="CommentText"/>
    <w:next w:val="CommentText"/>
    <w:link w:val="CommentSubjectChar"/>
    <w:uiPriority w:val="99"/>
    <w:semiHidden/>
    <w:unhideWhenUsed/>
    <w:rsid w:val="004D456D"/>
    <w:rPr>
      <w:b/>
      <w:bCs/>
    </w:rPr>
  </w:style>
  <w:style w:type="character" w:customStyle="1" w:styleId="CommentSubjectChar">
    <w:name w:val="Comment Subject Char"/>
    <w:basedOn w:val="CommentTextChar"/>
    <w:link w:val="CommentSubject"/>
    <w:uiPriority w:val="99"/>
    <w:semiHidden/>
    <w:rsid w:val="004D45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Samson</dc:creator>
  <cp:lastModifiedBy>mbr989</cp:lastModifiedBy>
  <cp:revision>2</cp:revision>
  <dcterms:created xsi:type="dcterms:W3CDTF">2026-02-26T09:52:00Z</dcterms:created>
  <dcterms:modified xsi:type="dcterms:W3CDTF">2026-02-26T09:52:00Z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c1728f4380dd45aaa19039118709e18e</vt:lpwstr>
  </property>
</Properties>
</file>