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D1DF" w14:textId="77777777" w:rsidR="008B2B6F" w:rsidRPr="008B2B6F" w:rsidRDefault="008B2B6F" w:rsidP="008B2B6F">
      <w:pPr>
        <w:pStyle w:val="Title"/>
        <w:jc w:val="both"/>
        <w:rPr>
          <w:rFonts w:ascii="Arial" w:hAnsi="Arial" w:cs="Arial"/>
          <w:bCs/>
          <w:i/>
          <w:iCs/>
          <w:u w:val="single"/>
        </w:rPr>
      </w:pPr>
      <w:r w:rsidRPr="008B2B6F">
        <w:rPr>
          <w:rFonts w:ascii="Arial" w:hAnsi="Arial" w:cs="Arial"/>
          <w:bCs/>
          <w:i/>
          <w:iCs/>
          <w:u w:val="single"/>
        </w:rPr>
        <w:t>Original Research Article</w:t>
      </w:r>
    </w:p>
    <w:p w14:paraId="7EDF57F5" w14:textId="77777777" w:rsidR="00754C9A" w:rsidRDefault="00754C9A" w:rsidP="00441B6F">
      <w:pPr>
        <w:pStyle w:val="Title"/>
        <w:spacing w:after="0"/>
        <w:jc w:val="both"/>
        <w:rPr>
          <w:rFonts w:ascii="Arial" w:hAnsi="Arial" w:cs="Arial"/>
        </w:rPr>
      </w:pPr>
    </w:p>
    <w:p w14:paraId="593E5012" w14:textId="77777777" w:rsidR="00163BC4" w:rsidRPr="00163BC4" w:rsidRDefault="00D8078D" w:rsidP="00441B6F">
      <w:pPr>
        <w:pStyle w:val="Author"/>
        <w:spacing w:line="240" w:lineRule="auto"/>
        <w:rPr>
          <w:rFonts w:ascii="Arial" w:hAnsi="Arial" w:cs="Arial"/>
          <w:bCs/>
          <w:iCs/>
          <w:kern w:val="28"/>
          <w:sz w:val="36"/>
        </w:rPr>
      </w:pPr>
      <w:r>
        <w:rPr>
          <w:rFonts w:ascii="Arial" w:hAnsi="Arial" w:cs="Arial"/>
          <w:bCs/>
          <w:iCs/>
          <w:kern w:val="28"/>
          <w:sz w:val="36"/>
        </w:rPr>
        <w:t xml:space="preserve">Nutritional Evaluation and </w:t>
      </w:r>
      <w:commentRangeStart w:id="0"/>
      <w:r>
        <w:rPr>
          <w:rFonts w:ascii="Arial" w:hAnsi="Arial" w:cs="Arial"/>
          <w:bCs/>
          <w:iCs/>
          <w:kern w:val="28"/>
          <w:sz w:val="36"/>
        </w:rPr>
        <w:t xml:space="preserve">Radical Scavenging Activity </w:t>
      </w:r>
      <w:commentRangeEnd w:id="0"/>
      <w:r w:rsidR="00A27F66">
        <w:rPr>
          <w:rStyle w:val="CommentReference"/>
          <w:rFonts w:ascii="Times New Roman" w:hAnsi="Times New Roman"/>
          <w:b w:val="0"/>
          <w:lang w:val="nb-NO" w:eastAsia="nb-NO"/>
        </w:rPr>
        <w:commentReference w:id="0"/>
      </w:r>
      <w:r>
        <w:rPr>
          <w:rFonts w:ascii="Arial" w:hAnsi="Arial" w:cs="Arial"/>
          <w:bCs/>
          <w:iCs/>
          <w:kern w:val="28"/>
          <w:sz w:val="36"/>
        </w:rPr>
        <w:t xml:space="preserve">of </w:t>
      </w:r>
      <w:r w:rsidRPr="00D8078D">
        <w:rPr>
          <w:rFonts w:ascii="Arial" w:hAnsi="Arial" w:cs="Arial"/>
          <w:bCs/>
          <w:i/>
          <w:kern w:val="28"/>
          <w:sz w:val="36"/>
        </w:rPr>
        <w:t>Pontederia Crassipes</w:t>
      </w:r>
      <w:r>
        <w:rPr>
          <w:rFonts w:ascii="Arial" w:hAnsi="Arial" w:cs="Arial"/>
          <w:bCs/>
          <w:iCs/>
          <w:kern w:val="28"/>
          <w:sz w:val="36"/>
        </w:rPr>
        <w:t xml:space="preserve"> Aqueous Leaf Extract from </w:t>
      </w:r>
      <w:proofErr w:type="spellStart"/>
      <w:r>
        <w:rPr>
          <w:rFonts w:ascii="Arial" w:hAnsi="Arial" w:cs="Arial"/>
          <w:bCs/>
          <w:iCs/>
          <w:kern w:val="28"/>
          <w:sz w:val="36"/>
        </w:rPr>
        <w:t>Amassoma</w:t>
      </w:r>
      <w:proofErr w:type="spellEnd"/>
      <w:r>
        <w:rPr>
          <w:rFonts w:ascii="Arial" w:hAnsi="Arial" w:cs="Arial"/>
          <w:bCs/>
          <w:iCs/>
          <w:kern w:val="28"/>
          <w:sz w:val="36"/>
        </w:rPr>
        <w:t xml:space="preserve"> River Ecosystem</w:t>
      </w:r>
    </w:p>
    <w:p w14:paraId="4692A0B9" w14:textId="77777777" w:rsidR="00A258C3" w:rsidRPr="00790ADA" w:rsidRDefault="00A258C3" w:rsidP="00441B6F">
      <w:pPr>
        <w:pStyle w:val="Author"/>
        <w:spacing w:line="240" w:lineRule="auto"/>
        <w:jc w:val="both"/>
        <w:rPr>
          <w:rFonts w:ascii="Arial" w:hAnsi="Arial" w:cs="Arial"/>
          <w:sz w:val="36"/>
        </w:rPr>
      </w:pPr>
    </w:p>
    <w:p w14:paraId="24E88FA1" w14:textId="087886E5" w:rsidR="00FA44B9" w:rsidRDefault="00FA44B9" w:rsidP="00441B6F">
      <w:pPr>
        <w:pStyle w:val="Affiliation"/>
        <w:spacing w:after="0" w:line="240" w:lineRule="auto"/>
        <w:jc w:val="both"/>
        <w:rPr>
          <w:rFonts w:ascii="Arial" w:hAnsi="Arial" w:cs="Arial"/>
        </w:rPr>
      </w:pPr>
    </w:p>
    <w:p w14:paraId="12DBBB83" w14:textId="77777777" w:rsidR="00114F8A" w:rsidRPr="00FB3A86" w:rsidRDefault="00114F8A" w:rsidP="00441B6F">
      <w:pPr>
        <w:pStyle w:val="Affiliation"/>
        <w:spacing w:after="0" w:line="240" w:lineRule="auto"/>
        <w:jc w:val="both"/>
        <w:rPr>
          <w:rFonts w:ascii="Arial" w:hAnsi="Arial" w:cs="Arial"/>
        </w:rPr>
      </w:pPr>
    </w:p>
    <w:p w14:paraId="4D603364" w14:textId="77777777" w:rsidR="00B01FCD" w:rsidRPr="00FB3A86" w:rsidRDefault="00751E89" w:rsidP="00441B6F">
      <w:pPr>
        <w:pStyle w:val="Copyright"/>
        <w:spacing w:after="0" w:line="240" w:lineRule="auto"/>
        <w:jc w:val="both"/>
        <w:rPr>
          <w:rFonts w:ascii="Arial" w:hAnsi="Arial" w:cs="Arial"/>
        </w:rPr>
        <w:sectPr w:rsidR="00B01FCD" w:rsidRPr="00FB3A86" w:rsidSect="00114F8A">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01CBAC8" wp14:editId="402C896B">
                <wp:extent cx="5303520" cy="635"/>
                <wp:effectExtent l="0" t="0" r="11430" b="18415"/>
                <wp:docPr id="648508262"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w:pict>
              <v:shapetype w14:anchorId="52069A03"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Pr>
          <w:rFonts w:ascii="Arial" w:hAnsi="Arial" w:cs="Arial"/>
        </w:rPr>
        <w:t>.</w:t>
      </w:r>
    </w:p>
    <w:p w14:paraId="7EA06DA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B9B6FD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C2451DE" w14:textId="77777777" w:rsidTr="001E44FE">
        <w:tc>
          <w:tcPr>
            <w:tcW w:w="9576" w:type="dxa"/>
            <w:shd w:val="clear" w:color="auto" w:fill="F2F2F2"/>
          </w:tcPr>
          <w:p w14:paraId="451E72BB" w14:textId="77777777" w:rsidR="00505F06" w:rsidRPr="00A5325F" w:rsidRDefault="00A5325F" w:rsidP="00A5325F">
            <w:pPr>
              <w:jc w:val="both"/>
              <w:rPr>
                <w:rFonts w:ascii="Arial" w:hAnsi="Arial" w:cs="Arial"/>
              </w:rPr>
            </w:pPr>
            <w:r w:rsidRPr="00A5325F">
              <w:rPr>
                <w:rFonts w:ascii="Arial" w:hAnsi="Arial" w:cs="Arial"/>
                <w:i/>
                <w:iCs/>
              </w:rPr>
              <w:t>Pontederia crassipes</w:t>
            </w:r>
            <w:r w:rsidRPr="00A5325F">
              <w:rPr>
                <w:rFonts w:ascii="Arial" w:hAnsi="Arial" w:cs="Arial"/>
              </w:rPr>
              <w:t xml:space="preserve"> Mart., commonly known as water hyacinth, is a free-floating, invasive, perennial aquatic plant widely distributed in freshwater ecosystems across tropical and subtropical regions. It has gained scientific attention for its rich phytochemical profile and potential applications. This study evaluated the nutritional and radical scavenging </w:t>
            </w:r>
            <w:proofErr w:type="gramStart"/>
            <w:r w:rsidRPr="00A5325F">
              <w:rPr>
                <w:rFonts w:ascii="Arial" w:hAnsi="Arial" w:cs="Arial"/>
              </w:rPr>
              <w:t>activity  of</w:t>
            </w:r>
            <w:proofErr w:type="gramEnd"/>
            <w:r w:rsidRPr="00A5325F">
              <w:rPr>
                <w:rFonts w:ascii="Arial" w:hAnsi="Arial" w:cs="Arial"/>
              </w:rPr>
              <w:t xml:space="preserve"> the plant </w:t>
            </w:r>
            <w:bookmarkStart w:id="1" w:name="_Hlk214960592"/>
            <w:r w:rsidRPr="00A5325F">
              <w:rPr>
                <w:rFonts w:ascii="Arial" w:hAnsi="Arial" w:cs="Arial"/>
                <w:i/>
                <w:iCs/>
              </w:rPr>
              <w:t>Pontederia crassipes</w:t>
            </w:r>
            <w:bookmarkEnd w:id="1"/>
            <w:r w:rsidRPr="00A5325F">
              <w:rPr>
                <w:rFonts w:ascii="Arial" w:hAnsi="Arial" w:cs="Arial"/>
              </w:rPr>
              <w:t xml:space="preserve">. </w:t>
            </w:r>
            <w:commentRangeStart w:id="2"/>
            <w:r w:rsidRPr="00A5325F">
              <w:rPr>
                <w:rFonts w:ascii="Arial" w:hAnsi="Arial" w:cs="Arial"/>
              </w:rPr>
              <w:t xml:space="preserve">The methods applied to </w:t>
            </w:r>
            <w:proofErr w:type="spellStart"/>
            <w:r w:rsidRPr="00A5325F">
              <w:rPr>
                <w:rFonts w:ascii="Arial" w:hAnsi="Arial" w:cs="Arial"/>
              </w:rPr>
              <w:t>analyse</w:t>
            </w:r>
            <w:proofErr w:type="spellEnd"/>
            <w:r w:rsidRPr="00A5325F">
              <w:rPr>
                <w:rFonts w:ascii="Arial" w:hAnsi="Arial" w:cs="Arial"/>
              </w:rPr>
              <w:t xml:space="preserve"> the plants are Gas chromatography - Mass spectroscopy (GC-MS) and Flame Atomic Absorption Spectroscopy (FAAS)</w:t>
            </w:r>
            <w:commentRangeEnd w:id="2"/>
            <w:r w:rsidR="006306ED">
              <w:rPr>
                <w:rStyle w:val="CommentReference"/>
                <w:rFonts w:ascii="Times New Roman" w:hAnsi="Times New Roman"/>
                <w:lang w:val="nb-NO" w:eastAsia="nb-NO"/>
              </w:rPr>
              <w:commentReference w:id="2"/>
            </w:r>
            <w:r w:rsidRPr="00A5325F">
              <w:rPr>
                <w:rFonts w:ascii="Arial" w:hAnsi="Arial" w:cs="Arial"/>
              </w:rPr>
              <w:t xml:space="preserve">. The GC-MS analysis revealed the presence of various bioactive compounds. The proximate composition of carbohydrate was 39.09 %.  Seventeen amino acids, including essential and non-essential types, were identified. Isoleucine exhibited the highest concentration (29.11 µmol/L), and methionine (0.79 µmol/L) exhibited the lowest. The minerals </w:t>
            </w:r>
            <w:proofErr w:type="spellStart"/>
            <w:r w:rsidRPr="00A5325F">
              <w:rPr>
                <w:rFonts w:ascii="Arial" w:hAnsi="Arial" w:cs="Arial"/>
              </w:rPr>
              <w:t>analysed</w:t>
            </w:r>
            <w:proofErr w:type="spellEnd"/>
            <w:r w:rsidRPr="00A5325F">
              <w:rPr>
                <w:rFonts w:ascii="Arial" w:hAnsi="Arial" w:cs="Arial"/>
              </w:rPr>
              <w:t xml:space="preserve"> in the leaf extract of </w:t>
            </w:r>
            <w:r w:rsidRPr="00A5325F">
              <w:rPr>
                <w:rFonts w:ascii="Arial" w:hAnsi="Arial" w:cs="Arial"/>
                <w:i/>
                <w:iCs/>
              </w:rPr>
              <w:t xml:space="preserve">P. crassipes </w:t>
            </w:r>
            <w:r w:rsidRPr="00A5325F">
              <w:rPr>
                <w:rFonts w:ascii="Arial" w:hAnsi="Arial" w:cs="Arial"/>
              </w:rPr>
              <w:t>showed that it</w:t>
            </w:r>
            <w:r w:rsidRPr="00A5325F">
              <w:rPr>
                <w:rFonts w:ascii="Arial" w:hAnsi="Arial" w:cs="Arial"/>
                <w:i/>
                <w:iCs/>
              </w:rPr>
              <w:t xml:space="preserve"> </w:t>
            </w:r>
            <w:r w:rsidRPr="00A5325F">
              <w:rPr>
                <w:rFonts w:ascii="Arial" w:hAnsi="Arial" w:cs="Arial"/>
              </w:rPr>
              <w:t xml:space="preserve">contains micro and macro nutrients. They include Iron (Fe), Magnesium (Mg), Manganese (Mn), Selenium (Se), Zinc (Zn), Calcium (Ca), Sodium (Na), Potassium (K), and   Copper (Cu). The values from the results obtained are presented following the highest concentration to the lowest concentration order, </w:t>
            </w:r>
            <w:commentRangeStart w:id="3"/>
            <w:r w:rsidRPr="00A5325F">
              <w:rPr>
                <w:rFonts w:ascii="Arial" w:hAnsi="Arial" w:cs="Arial"/>
              </w:rPr>
              <w:t>Ca= 9.234±0.107 g/L</w:t>
            </w:r>
            <w:commentRangeEnd w:id="3"/>
            <w:r w:rsidR="006A5F93">
              <w:rPr>
                <w:rStyle w:val="CommentReference"/>
                <w:rFonts w:ascii="Times New Roman" w:hAnsi="Times New Roman"/>
                <w:lang w:val="nb-NO" w:eastAsia="nb-NO"/>
              </w:rPr>
              <w:commentReference w:id="3"/>
            </w:r>
            <w:r w:rsidRPr="00A5325F">
              <w:rPr>
                <w:rFonts w:ascii="Arial" w:hAnsi="Arial" w:cs="Arial"/>
              </w:rPr>
              <w:t xml:space="preserve">, to be the highest and Se=0.082± 0.001 g/L. The plant is rich in both macronutrients and micronutrients. The antioxidant properties </w:t>
            </w:r>
            <w:proofErr w:type="spellStart"/>
            <w:r w:rsidRPr="00A5325F">
              <w:rPr>
                <w:rFonts w:ascii="Arial" w:hAnsi="Arial" w:cs="Arial"/>
              </w:rPr>
              <w:t>analysed</w:t>
            </w:r>
            <w:proofErr w:type="spellEnd"/>
            <w:r w:rsidRPr="00A5325F">
              <w:rPr>
                <w:rFonts w:ascii="Arial" w:hAnsi="Arial" w:cs="Arial"/>
              </w:rPr>
              <w:t xml:space="preserve"> were   DPPH, </w:t>
            </w:r>
            <w:proofErr w:type="spellStart"/>
            <w:r w:rsidRPr="00A5325F">
              <w:rPr>
                <w:rFonts w:ascii="Arial" w:hAnsi="Arial" w:cs="Arial"/>
              </w:rPr>
              <w:t>ABTS</w:t>
            </w:r>
            <w:proofErr w:type="spellEnd"/>
            <w:r w:rsidRPr="00A5325F">
              <w:rPr>
                <w:rFonts w:ascii="Arial" w:hAnsi="Arial" w:cs="Arial"/>
              </w:rPr>
              <w:t xml:space="preserve">, Hydroxyl radical, Nitric Oxide, FRAP, PAP and RPA. </w:t>
            </w:r>
            <w:commentRangeStart w:id="4"/>
            <w:r w:rsidRPr="00A5325F">
              <w:rPr>
                <w:rFonts w:ascii="Arial" w:hAnsi="Arial" w:cs="Arial"/>
              </w:rPr>
              <w:t xml:space="preserve">The plant shows high antioxidant properties when compared to standards. </w:t>
            </w:r>
            <w:commentRangeEnd w:id="4"/>
            <w:r w:rsidR="006A5F93">
              <w:rPr>
                <w:rStyle w:val="CommentReference"/>
                <w:rFonts w:ascii="Times New Roman" w:hAnsi="Times New Roman"/>
                <w:lang w:val="nb-NO" w:eastAsia="nb-NO"/>
              </w:rPr>
              <w:commentReference w:id="4"/>
            </w:r>
            <w:r w:rsidRPr="00A5325F">
              <w:rPr>
                <w:rFonts w:ascii="Arial" w:hAnsi="Arial" w:cs="Arial"/>
              </w:rPr>
              <w:t xml:space="preserve">The results from DPPH at the highest concentrations of 100mg/ml was 95.50%, and at the lowest, 10mg/ml is 78.52%, ABTS at 300mg/ml is 78.82% and at 100mg/ml is 70.25%. Hydroxyl radical at 80mg/ml is 62.23% and at 10mg/ml is 57.88%, Nitric Oxide at 80mg/ml has 0.1715%, FRAP at 80mg/ml is 40.29% and at 10mgml is at 17.38%, PAP at 80mg/ml is 0.111% and at 10mg/ml is at 0.084% and RPA at 80 mg/ml is 42.73% while at 10mg/ml it is 39.37%.  </w:t>
            </w:r>
            <w:commentRangeStart w:id="5"/>
            <w:r w:rsidRPr="00A5325F">
              <w:rPr>
                <w:rFonts w:ascii="Arial" w:hAnsi="Arial" w:cs="Arial"/>
              </w:rPr>
              <w:t>Hence, Pontederia</w:t>
            </w:r>
            <w:r w:rsidRPr="00A5325F">
              <w:rPr>
                <w:rFonts w:ascii="Arial" w:hAnsi="Arial" w:cs="Arial"/>
                <w:i/>
                <w:iCs/>
              </w:rPr>
              <w:t xml:space="preserve"> crassipes </w:t>
            </w:r>
            <w:r w:rsidRPr="00A5325F">
              <w:rPr>
                <w:rFonts w:ascii="Arial" w:hAnsi="Arial" w:cs="Arial"/>
              </w:rPr>
              <w:t>can serve as a nutraceutical because it is a rich source of proximate, amino acids, minerals and antioxidants</w:t>
            </w:r>
            <w:commentRangeEnd w:id="5"/>
            <w:r w:rsidR="006A5F93">
              <w:rPr>
                <w:rStyle w:val="CommentReference"/>
                <w:rFonts w:ascii="Times New Roman" w:hAnsi="Times New Roman"/>
                <w:lang w:val="nb-NO" w:eastAsia="nb-NO"/>
              </w:rPr>
              <w:commentReference w:id="5"/>
            </w:r>
            <w:r w:rsidRPr="00A5325F">
              <w:rPr>
                <w:rFonts w:ascii="Arial" w:hAnsi="Arial" w:cs="Arial"/>
              </w:rPr>
              <w:t xml:space="preserve">. These findings support the traditional use of </w:t>
            </w:r>
            <w:r w:rsidRPr="00A5325F">
              <w:rPr>
                <w:rFonts w:ascii="Arial" w:hAnsi="Arial" w:cs="Arial"/>
                <w:i/>
                <w:iCs/>
              </w:rPr>
              <w:t>Pontederia</w:t>
            </w:r>
            <w:r w:rsidRPr="00A5325F">
              <w:rPr>
                <w:rFonts w:ascii="Arial" w:hAnsi="Arial" w:cs="Arial"/>
              </w:rPr>
              <w:t xml:space="preserve"> crassipes in the management of various ailments. </w:t>
            </w:r>
          </w:p>
        </w:tc>
      </w:tr>
    </w:tbl>
    <w:p w14:paraId="586574A2" w14:textId="77777777" w:rsidR="00636EB2" w:rsidRDefault="00636EB2" w:rsidP="00441B6F">
      <w:pPr>
        <w:pStyle w:val="Body"/>
        <w:spacing w:after="0"/>
        <w:rPr>
          <w:rFonts w:ascii="Arial" w:hAnsi="Arial" w:cs="Arial"/>
          <w:i/>
        </w:rPr>
      </w:pPr>
    </w:p>
    <w:p w14:paraId="47385387" w14:textId="77777777" w:rsidR="00A24E7E" w:rsidRPr="00A5325F" w:rsidRDefault="00A24E7E" w:rsidP="00A5325F">
      <w:pPr>
        <w:jc w:val="both"/>
        <w:rPr>
          <w:rFonts w:ascii="Times New Roman" w:hAnsi="Times New Roman"/>
        </w:rPr>
      </w:pPr>
      <w:r>
        <w:rPr>
          <w:rFonts w:ascii="Arial" w:hAnsi="Arial" w:cs="Arial"/>
          <w:i/>
        </w:rPr>
        <w:t xml:space="preserve">Keywords: </w:t>
      </w:r>
      <w:r w:rsidR="00A5325F" w:rsidRPr="00A5325F">
        <w:rPr>
          <w:rFonts w:ascii="Arial" w:hAnsi="Arial" w:cs="Arial"/>
          <w:i/>
          <w:iCs/>
        </w:rPr>
        <w:t>Pontederia crassipes, Proximate, Amino acids, Macronutrients, Micronutrients, Antioxidants</w:t>
      </w:r>
      <w:r w:rsidR="00A5325F">
        <w:rPr>
          <w:rFonts w:ascii="Arial" w:hAnsi="Arial" w:cs="Arial"/>
          <w:i/>
          <w:iCs/>
        </w:rPr>
        <w:t>.</w:t>
      </w:r>
    </w:p>
    <w:p w14:paraId="56E9325D" w14:textId="77777777" w:rsidR="00790ADA" w:rsidRDefault="00790ADA" w:rsidP="00441B6F">
      <w:pPr>
        <w:pStyle w:val="Body"/>
        <w:spacing w:after="0"/>
        <w:rPr>
          <w:rFonts w:ascii="Arial" w:hAnsi="Arial" w:cs="Arial"/>
          <w:i/>
        </w:rPr>
      </w:pPr>
    </w:p>
    <w:p w14:paraId="4B3E0F33" w14:textId="77777777" w:rsidR="00AC1877" w:rsidRPr="00AC1877" w:rsidRDefault="00AC1877" w:rsidP="00520DD9">
      <w:pPr>
        <w:pStyle w:val="ListParagraph"/>
        <w:numPr>
          <w:ilvl w:val="0"/>
          <w:numId w:val="31"/>
        </w:numPr>
        <w:spacing w:after="120"/>
        <w:ind w:left="360"/>
        <w:jc w:val="both"/>
        <w:rPr>
          <w:rFonts w:ascii="Arial" w:hAnsi="Arial" w:cs="Arial"/>
          <w:b/>
          <w:bCs/>
          <w:sz w:val="22"/>
          <w:szCs w:val="22"/>
        </w:rPr>
      </w:pPr>
      <w:r>
        <w:rPr>
          <w:rFonts w:ascii="Arial" w:hAnsi="Arial" w:cs="Arial"/>
          <w:b/>
          <w:bCs/>
          <w:sz w:val="22"/>
          <w:szCs w:val="22"/>
        </w:rPr>
        <w:t>INTRODUCTION</w:t>
      </w:r>
    </w:p>
    <w:p w14:paraId="26D9E335" w14:textId="77777777" w:rsidR="00AC1877" w:rsidRPr="00AC1877" w:rsidRDefault="00AC1877" w:rsidP="00AC1877">
      <w:pPr>
        <w:spacing w:after="120"/>
        <w:jc w:val="both"/>
        <w:rPr>
          <w:rFonts w:ascii="Arial" w:hAnsi="Arial" w:cs="Arial"/>
        </w:rPr>
      </w:pPr>
      <w:r w:rsidRPr="00AC1877">
        <w:rPr>
          <w:rFonts w:ascii="Arial" w:hAnsi="Arial" w:cs="Arial"/>
          <w:i/>
          <w:iCs/>
        </w:rPr>
        <w:t>Pontederia crassipes</w:t>
      </w:r>
      <w:r w:rsidRPr="00AC1877">
        <w:rPr>
          <w:rFonts w:ascii="Arial" w:hAnsi="Arial" w:cs="Arial"/>
        </w:rPr>
        <w:t>, commonly known as water hyacinth, is</w:t>
      </w:r>
      <w:r w:rsidRPr="00AC1877">
        <w:rPr>
          <w:rFonts w:ascii="Arial" w:hAnsi="Arial" w:cs="Arial"/>
          <w:i/>
          <w:iCs/>
        </w:rPr>
        <w:t xml:space="preserve"> </w:t>
      </w:r>
      <w:r w:rsidRPr="00AC1877">
        <w:rPr>
          <w:rFonts w:ascii="Arial" w:hAnsi="Arial" w:cs="Arial"/>
        </w:rPr>
        <w:t>a fast-growing, free-floating aquatic plant belonging to the family</w:t>
      </w:r>
      <w:r w:rsidRPr="00AC1877">
        <w:rPr>
          <w:rFonts w:ascii="Arial" w:hAnsi="Arial" w:cs="Arial"/>
          <w:i/>
          <w:iCs/>
        </w:rPr>
        <w:t xml:space="preserve"> </w:t>
      </w:r>
      <w:proofErr w:type="spellStart"/>
      <w:r w:rsidRPr="00AC1877">
        <w:rPr>
          <w:rFonts w:ascii="Arial" w:hAnsi="Arial" w:cs="Arial"/>
          <w:i/>
          <w:iCs/>
        </w:rPr>
        <w:t>Pontederiaceae</w:t>
      </w:r>
      <w:proofErr w:type="spellEnd"/>
      <w:r w:rsidRPr="00AC1877">
        <w:rPr>
          <w:rFonts w:ascii="Arial" w:hAnsi="Arial" w:cs="Arial"/>
          <w:i/>
          <w:iCs/>
        </w:rPr>
        <w:t xml:space="preserve">. </w:t>
      </w:r>
      <w:r w:rsidRPr="00AC1877">
        <w:rPr>
          <w:rFonts w:ascii="Arial" w:hAnsi="Arial" w:cs="Arial"/>
        </w:rPr>
        <w:t xml:space="preserve">Originally native to the Amazon Basin, it has now spread across tropical and subtropical regions globally, where it often poses serious </w:t>
      </w:r>
      <w:r w:rsidRPr="00AC1877">
        <w:rPr>
          <w:rFonts w:ascii="Arial" w:hAnsi="Arial" w:cs="Arial"/>
        </w:rPr>
        <w:lastRenderedPageBreak/>
        <w:t>ecological threats due to its invasive nature and rapid proliferation in freshwater bodies (</w:t>
      </w:r>
      <w:proofErr w:type="spellStart"/>
      <w:r w:rsidRPr="00AC1877">
        <w:rPr>
          <w:rFonts w:ascii="Arial" w:hAnsi="Arial" w:cs="Arial"/>
        </w:rPr>
        <w:t>Edeoja</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2023). In Nigeria, this plant is a familiar and persistent problem in many freshwater bodies, including the Lagos Lagoon, River Niger, Cross River, Ogun River, and the Badagry Creek. It clogs waterways, hampers fishing activities, promotes mosquito breeding, and disrupts transportation. Despite its notoriety as an aquatic weed, recent studies have highlighted its immense potential in various fields, including wastewater treatment, animal feed, biofuel production, and phytoremediation. One of the emerging areas of interest is the phytochemical and mineral profiling of its leaf extracts, which has revealed the presence of nutritionally and pharmacologically valuable elements. Proximate analysis which includes moisture, ash, crude protein, crude fat, crude fiber, and carbohydrate content—provides essential information for understanding the nutritional and potential functional value of plant materials. Without such data, the potential application of </w:t>
      </w:r>
      <w:r w:rsidRPr="00AC1877">
        <w:rPr>
          <w:rFonts w:ascii="Arial" w:hAnsi="Arial" w:cs="Arial"/>
          <w:i/>
          <w:iCs/>
        </w:rPr>
        <w:t xml:space="preserve">Pontederia crassipes </w:t>
      </w:r>
      <w:r w:rsidRPr="00AC1877">
        <w:rPr>
          <w:rFonts w:ascii="Arial" w:hAnsi="Arial" w:cs="Arial"/>
        </w:rPr>
        <w:t xml:space="preserve">in nutraceutical, pharmaceutical, or food industries   would   remain uncertain and underexplored. </w:t>
      </w:r>
      <w:commentRangeStart w:id="6"/>
      <w:r w:rsidRPr="00AC1877">
        <w:rPr>
          <w:rFonts w:ascii="Arial" w:hAnsi="Arial" w:cs="Arial"/>
        </w:rPr>
        <w:t xml:space="preserve">The amino acids classified both essential and non-essential amino acids </w:t>
      </w:r>
      <w:commentRangeEnd w:id="6"/>
      <w:r w:rsidR="002773F7">
        <w:rPr>
          <w:rStyle w:val="CommentReference"/>
          <w:rFonts w:ascii="Times New Roman" w:hAnsi="Times New Roman"/>
          <w:lang w:val="nb-NO" w:eastAsia="nb-NO"/>
        </w:rPr>
        <w:commentReference w:id="6"/>
      </w:r>
      <w:r w:rsidRPr="00AC1877">
        <w:rPr>
          <w:rFonts w:ascii="Arial" w:hAnsi="Arial" w:cs="Arial"/>
        </w:rPr>
        <w:t xml:space="preserve">Amino acids are organic molecules containing an amino group (-NH2) and a carboxylic acid group (-COOH) that are essential for protein synthesis and other metabolic processes. </w:t>
      </w:r>
      <w:commentRangeStart w:id="7"/>
      <w:r w:rsidRPr="00AC1877">
        <w:rPr>
          <w:rFonts w:ascii="Arial" w:hAnsi="Arial" w:cs="Arial"/>
        </w:rPr>
        <w:t xml:space="preserve">They can be synthesized by the body (Zhou </w:t>
      </w:r>
      <w:r w:rsidRPr="00AC1877">
        <w:rPr>
          <w:rFonts w:ascii="Arial" w:hAnsi="Arial" w:cs="Arial"/>
          <w:i/>
          <w:iCs/>
        </w:rPr>
        <w:t>et al.,</w:t>
      </w:r>
      <w:r w:rsidRPr="00AC1877">
        <w:rPr>
          <w:rFonts w:ascii="Arial" w:hAnsi="Arial" w:cs="Arial"/>
        </w:rPr>
        <w:t xml:space="preserve"> 2021</w:t>
      </w:r>
      <w:commentRangeEnd w:id="7"/>
      <w:r w:rsidR="002773F7">
        <w:rPr>
          <w:rStyle w:val="CommentReference"/>
          <w:rFonts w:ascii="Times New Roman" w:hAnsi="Times New Roman"/>
          <w:lang w:val="nb-NO" w:eastAsia="nb-NO"/>
        </w:rPr>
        <w:commentReference w:id="7"/>
      </w:r>
      <w:r w:rsidRPr="00AC1877">
        <w:rPr>
          <w:rFonts w:ascii="Arial" w:hAnsi="Arial" w:cs="Arial"/>
        </w:rPr>
        <w:t>). The nutritional and therapeutic significance of amino acids is well documented. For example, arginine is a precursor to nitric oxide, which supports cardiovascular function, while glutamine is critical for immune health and intestinal integrity (Chakraborty &amp; Bose.,2022).  Determining amino acid content in plants can thus help in identifying their nutritional value and possible medicinal applications. Minerals are essential macro and   micronutrients required for a variety of physiological and biochemical processes in both plants and animals. The mineral composition of plant tissues, particularly leaf extracts, can provide insights into their nutritional value, medicinal potential, and environmental interactions. Pontederia crassipes, due to its high biomass production and nutrient absorption capability, accumulates significant amounts of minerals such as calcium,</w:t>
      </w:r>
      <w:r w:rsidRPr="00AC1877">
        <w:rPr>
          <w:rFonts w:ascii="Arial" w:hAnsi="Arial" w:cs="Arial"/>
          <w:i/>
          <w:iCs/>
        </w:rPr>
        <w:t xml:space="preserve"> </w:t>
      </w:r>
      <w:r w:rsidRPr="00AC1877">
        <w:rPr>
          <w:rFonts w:ascii="Arial" w:hAnsi="Arial" w:cs="Arial"/>
        </w:rPr>
        <w:t xml:space="preserve">magnesium, potassium, phosphorus, iron, and trace elements like zinc, copper, and manganese (Chen. </w:t>
      </w:r>
      <w:r w:rsidRPr="00AC1877">
        <w:rPr>
          <w:rFonts w:ascii="Arial" w:hAnsi="Arial" w:cs="Arial"/>
          <w:i/>
          <w:iCs/>
        </w:rPr>
        <w:t>et al.,</w:t>
      </w:r>
      <w:r w:rsidRPr="00AC1877">
        <w:rPr>
          <w:rFonts w:ascii="Arial" w:hAnsi="Arial" w:cs="Arial"/>
        </w:rPr>
        <w:t xml:space="preserve"> 2021). Studies have revealed that </w:t>
      </w:r>
      <w:r w:rsidRPr="00AC1877">
        <w:rPr>
          <w:rFonts w:ascii="Arial" w:hAnsi="Arial" w:cs="Arial"/>
          <w:i/>
          <w:iCs/>
        </w:rPr>
        <w:t>P</w:t>
      </w:r>
      <w:r w:rsidRPr="00AC1877">
        <w:rPr>
          <w:rFonts w:ascii="Arial" w:hAnsi="Arial" w:cs="Arial"/>
        </w:rPr>
        <w:t xml:space="preserve">. </w:t>
      </w:r>
      <w:r w:rsidRPr="00AC1877">
        <w:rPr>
          <w:rFonts w:ascii="Arial" w:hAnsi="Arial" w:cs="Arial"/>
          <w:i/>
          <w:iCs/>
        </w:rPr>
        <w:t>crassipes</w:t>
      </w:r>
      <w:r w:rsidRPr="00AC1877">
        <w:rPr>
          <w:rFonts w:ascii="Arial" w:hAnsi="Arial" w:cs="Arial"/>
        </w:rPr>
        <w:t xml:space="preserve"> contains diverse phytochemicals including alkaloids, phenolics, flavonoids, terpenoids, and saponins, many of which are known for their antioxidant potential (Li, J., </w:t>
      </w:r>
      <w:r w:rsidRPr="00AC1877">
        <w:rPr>
          <w:rFonts w:ascii="Arial" w:hAnsi="Arial" w:cs="Arial"/>
          <w:i/>
          <w:iCs/>
        </w:rPr>
        <w:t>et</w:t>
      </w:r>
      <w:r w:rsidRPr="00AC1877">
        <w:rPr>
          <w:rFonts w:ascii="Arial" w:hAnsi="Arial" w:cs="Arial"/>
        </w:rPr>
        <w:t xml:space="preserve"> </w:t>
      </w:r>
      <w:r w:rsidRPr="00AC1877">
        <w:rPr>
          <w:rFonts w:ascii="Arial" w:hAnsi="Arial" w:cs="Arial"/>
          <w:i/>
          <w:iCs/>
        </w:rPr>
        <w:t>al.</w:t>
      </w:r>
      <w:r w:rsidRPr="00AC1877">
        <w:rPr>
          <w:rFonts w:ascii="Arial" w:hAnsi="Arial" w:cs="Arial"/>
        </w:rPr>
        <w:t xml:space="preserve">2024). </w:t>
      </w:r>
    </w:p>
    <w:p w14:paraId="0FEE2D44" w14:textId="77777777" w:rsidR="00AC1877" w:rsidRPr="00AC1877" w:rsidRDefault="00AC1877" w:rsidP="00AC1877">
      <w:pPr>
        <w:spacing w:after="120"/>
        <w:jc w:val="both"/>
        <w:rPr>
          <w:rFonts w:ascii="Arial" w:hAnsi="Arial" w:cs="Arial"/>
        </w:rPr>
      </w:pPr>
      <w:r w:rsidRPr="00AC1877">
        <w:rPr>
          <w:rFonts w:ascii="Arial" w:hAnsi="Arial" w:cs="Arial"/>
        </w:rPr>
        <w:t xml:space="preserve">In-vitro antioxidant assays such as hydroxyl radical scavenging, ABTS radical scavenging, ferric reducing antioxidant power (FRAP), and DPPH radical scavenging tests are widely used to evaluate the antioxidative potential of plant extracts. Each assay provides unique insights into the mechanism by which plant compounds combat oxidative stress (Ali et al., 2020; Mohammed et al., 2020).  The antioxidant of the extracts was </w:t>
      </w:r>
      <w:proofErr w:type="spellStart"/>
      <w:r w:rsidRPr="00AC1877">
        <w:rPr>
          <w:rFonts w:ascii="Arial" w:hAnsi="Arial" w:cs="Arial"/>
        </w:rPr>
        <w:t>analysed</w:t>
      </w:r>
      <w:proofErr w:type="spellEnd"/>
      <w:r w:rsidRPr="00AC1877">
        <w:rPr>
          <w:rFonts w:ascii="Arial" w:hAnsi="Arial" w:cs="Arial"/>
        </w:rPr>
        <w:t xml:space="preserve"> using the following methods: 2,2-di-phenyl-1-picrylhydrazyl (DPPH) radical scavenging capacity assay, ABTS (2,2'-azino-bis- 3-ethyl benzthiazoline-6-sulphonic acid) radical, Hydroxyl radical. Nitric oxide, Ferric Reducing </w:t>
      </w:r>
      <w:proofErr w:type="spellStart"/>
      <w:r w:rsidRPr="00AC1877">
        <w:rPr>
          <w:rFonts w:ascii="Arial" w:hAnsi="Arial" w:cs="Arial"/>
        </w:rPr>
        <w:t>Anitioxidant</w:t>
      </w:r>
      <w:proofErr w:type="spellEnd"/>
      <w:r w:rsidRPr="00AC1877">
        <w:rPr>
          <w:rFonts w:ascii="Arial" w:hAnsi="Arial" w:cs="Arial"/>
        </w:rPr>
        <w:t xml:space="preserve"> Power (FRAP) assay, </w:t>
      </w:r>
      <w:proofErr w:type="spellStart"/>
      <w:r w:rsidRPr="00AC1877">
        <w:rPr>
          <w:rFonts w:ascii="Arial" w:hAnsi="Arial" w:cs="Arial"/>
        </w:rPr>
        <w:t>Phosphomolybdenum</w:t>
      </w:r>
      <w:proofErr w:type="spellEnd"/>
      <w:r w:rsidRPr="00AC1877">
        <w:rPr>
          <w:rFonts w:ascii="Arial" w:hAnsi="Arial" w:cs="Arial"/>
        </w:rPr>
        <w:t xml:space="preserve"> Antioxidant Power (PAP), and Reducing Power Assay (RPA</w:t>
      </w:r>
      <w:commentRangeStart w:id="8"/>
      <w:r w:rsidRPr="00AC1877">
        <w:rPr>
          <w:rFonts w:ascii="Arial" w:hAnsi="Arial" w:cs="Arial"/>
        </w:rPr>
        <w:t>). This makes it an attractive candidate for exploration in natural supplement development and sustainable agriculture</w:t>
      </w:r>
      <w:commentRangeEnd w:id="8"/>
      <w:r w:rsidR="002773F7">
        <w:rPr>
          <w:rStyle w:val="CommentReference"/>
          <w:rFonts w:ascii="Times New Roman" w:hAnsi="Times New Roman"/>
          <w:lang w:val="nb-NO" w:eastAsia="nb-NO"/>
        </w:rPr>
        <w:commentReference w:id="8"/>
      </w:r>
      <w:r w:rsidRPr="00AC1877">
        <w:rPr>
          <w:rFonts w:ascii="Arial" w:hAnsi="Arial" w:cs="Arial"/>
        </w:rPr>
        <w:t xml:space="preserve">.      </w:t>
      </w:r>
    </w:p>
    <w:p w14:paraId="3F4B4858" w14:textId="77777777" w:rsidR="00AC1877" w:rsidRPr="00927B18" w:rsidRDefault="00AC1877" w:rsidP="00520DD9">
      <w:pPr>
        <w:pStyle w:val="ListParagraph"/>
        <w:numPr>
          <w:ilvl w:val="0"/>
          <w:numId w:val="31"/>
        </w:numPr>
        <w:spacing w:after="120"/>
        <w:ind w:left="360"/>
        <w:jc w:val="both"/>
        <w:rPr>
          <w:rFonts w:ascii="Arial" w:hAnsi="Arial" w:cs="Arial"/>
          <w:b/>
          <w:bCs/>
        </w:rPr>
      </w:pPr>
      <w:r w:rsidRPr="00927B18">
        <w:rPr>
          <w:rFonts w:ascii="Arial" w:hAnsi="Arial" w:cs="Arial"/>
          <w:b/>
          <w:bCs/>
        </w:rPr>
        <w:t>MATERIALS AND METHODS</w:t>
      </w:r>
    </w:p>
    <w:p w14:paraId="46232C1D" w14:textId="77777777" w:rsidR="00AC1877" w:rsidRPr="00927B18" w:rsidRDefault="00520DD9" w:rsidP="00AC1877">
      <w:pPr>
        <w:spacing w:after="120"/>
        <w:jc w:val="both"/>
        <w:rPr>
          <w:rFonts w:ascii="Arial" w:hAnsi="Arial" w:cs="Arial"/>
          <w:b/>
          <w:bCs/>
          <w:sz w:val="22"/>
          <w:szCs w:val="22"/>
        </w:rPr>
      </w:pPr>
      <w:r w:rsidRPr="00927B18">
        <w:rPr>
          <w:rFonts w:ascii="Arial" w:hAnsi="Arial" w:cs="Arial"/>
          <w:b/>
          <w:bCs/>
          <w:sz w:val="22"/>
          <w:szCs w:val="22"/>
        </w:rPr>
        <w:t xml:space="preserve">2.1 </w:t>
      </w:r>
      <w:r w:rsidR="00AC1877" w:rsidRPr="00927B18">
        <w:rPr>
          <w:rFonts w:ascii="Arial" w:hAnsi="Arial" w:cs="Arial"/>
          <w:b/>
          <w:bCs/>
          <w:sz w:val="22"/>
          <w:szCs w:val="22"/>
        </w:rPr>
        <w:t xml:space="preserve">Reagents </w:t>
      </w:r>
    </w:p>
    <w:p w14:paraId="4E602DB3" w14:textId="77777777" w:rsidR="00AC1877" w:rsidRDefault="00AC1877" w:rsidP="00AC1877">
      <w:pPr>
        <w:spacing w:after="120"/>
        <w:jc w:val="both"/>
        <w:rPr>
          <w:rFonts w:ascii="Arial" w:hAnsi="Arial" w:cs="Arial"/>
        </w:rPr>
      </w:pPr>
      <w:r w:rsidRPr="00AC1877">
        <w:rPr>
          <w:rFonts w:ascii="Arial" w:hAnsi="Arial" w:cs="Arial"/>
        </w:rPr>
        <w:t>All reagents used were of analytical grade.</w:t>
      </w:r>
    </w:p>
    <w:p w14:paraId="1DBA51A7" w14:textId="77777777" w:rsidR="00AC1877" w:rsidRPr="00927B18" w:rsidRDefault="00927B18" w:rsidP="00AC1877">
      <w:pPr>
        <w:spacing w:after="120"/>
        <w:jc w:val="both"/>
        <w:rPr>
          <w:rFonts w:ascii="Arial" w:hAnsi="Arial" w:cs="Arial"/>
          <w:b/>
          <w:bCs/>
          <w:sz w:val="22"/>
          <w:szCs w:val="22"/>
        </w:rPr>
      </w:pPr>
      <w:r w:rsidRPr="00927B18">
        <w:rPr>
          <w:rFonts w:ascii="Arial" w:hAnsi="Arial" w:cs="Arial"/>
          <w:b/>
          <w:bCs/>
          <w:sz w:val="22"/>
          <w:szCs w:val="22"/>
        </w:rPr>
        <w:t xml:space="preserve">2.2 </w:t>
      </w:r>
      <w:r w:rsidR="00AC1877" w:rsidRPr="00927B18">
        <w:rPr>
          <w:rFonts w:ascii="Arial" w:hAnsi="Arial" w:cs="Arial"/>
          <w:b/>
          <w:bCs/>
          <w:sz w:val="22"/>
          <w:szCs w:val="22"/>
        </w:rPr>
        <w:t>Plant Materials and Preparation of Extracts</w:t>
      </w:r>
    </w:p>
    <w:p w14:paraId="0FDB38D4" w14:textId="77777777" w:rsidR="00AC1877" w:rsidRPr="00AC1877" w:rsidRDefault="00AC1877" w:rsidP="00AC1877">
      <w:pPr>
        <w:spacing w:after="120"/>
        <w:jc w:val="both"/>
        <w:rPr>
          <w:rFonts w:ascii="Arial" w:hAnsi="Arial" w:cs="Arial"/>
          <w:lang w:val="en"/>
        </w:rPr>
      </w:pPr>
      <w:r w:rsidRPr="00AC1877">
        <w:rPr>
          <w:rFonts w:ascii="Arial" w:hAnsi="Arial" w:cs="Arial"/>
        </w:rPr>
        <w:t xml:space="preserve">Fresh and healthy leaves of </w:t>
      </w:r>
      <w:r w:rsidRPr="00AC1877">
        <w:rPr>
          <w:rFonts w:ascii="Arial" w:hAnsi="Arial" w:cs="Arial"/>
          <w:i/>
          <w:iCs/>
        </w:rPr>
        <w:t>Pontederia</w:t>
      </w:r>
      <w:r w:rsidRPr="00AC1877">
        <w:rPr>
          <w:rFonts w:ascii="Arial" w:hAnsi="Arial" w:cs="Arial"/>
        </w:rPr>
        <w:t xml:space="preserve"> </w:t>
      </w:r>
      <w:r w:rsidRPr="00AC1877">
        <w:rPr>
          <w:rFonts w:ascii="Arial" w:hAnsi="Arial" w:cs="Arial"/>
          <w:i/>
          <w:iCs/>
        </w:rPr>
        <w:t>crassipes</w:t>
      </w:r>
      <w:r w:rsidRPr="00AC1877">
        <w:rPr>
          <w:rFonts w:ascii="Arial" w:hAnsi="Arial" w:cs="Arial"/>
        </w:rPr>
        <w:t xml:space="preserve"> were collected from a natural aquatic habitat located in </w:t>
      </w:r>
      <w:proofErr w:type="spellStart"/>
      <w:r w:rsidRPr="00AC1877">
        <w:rPr>
          <w:rFonts w:ascii="Arial" w:hAnsi="Arial" w:cs="Arial"/>
        </w:rPr>
        <w:t>Amassoma</w:t>
      </w:r>
      <w:proofErr w:type="spellEnd"/>
      <w:r w:rsidRPr="00AC1877">
        <w:rPr>
          <w:rFonts w:ascii="Arial" w:hAnsi="Arial" w:cs="Arial"/>
        </w:rPr>
        <w:t xml:space="preserve">, a riverine community in the Southern Ijaw Local Government Area of Bayelsa State, Nigeria. The plant was identified by Dr </w:t>
      </w:r>
      <w:proofErr w:type="spellStart"/>
      <w:r w:rsidRPr="00AC1877">
        <w:rPr>
          <w:rFonts w:ascii="Arial" w:hAnsi="Arial" w:cs="Arial"/>
        </w:rPr>
        <w:t>Ekeke</w:t>
      </w:r>
      <w:proofErr w:type="spellEnd"/>
      <w:r w:rsidRPr="00AC1877">
        <w:rPr>
          <w:rFonts w:ascii="Arial" w:hAnsi="Arial" w:cs="Arial"/>
        </w:rPr>
        <w:t xml:space="preserve"> Chimezie of the Department of Plant Science and Biotechnology, Faculty of Science, University of   Port Harcourt, and given the Voucher number UPH/P/482. The fresh leaves of Pontederia crassipes were washed with distilled water and allowed to dry in a cold dust-free environment away from direct sunlight for </w:t>
      </w:r>
      <w:r w:rsidRPr="00AC1877">
        <w:rPr>
          <w:rFonts w:ascii="Arial" w:hAnsi="Arial" w:cs="Arial"/>
        </w:rPr>
        <w:lastRenderedPageBreak/>
        <w:t>28 days until completely dry and brittle.</w:t>
      </w:r>
      <w:r w:rsidRPr="00AC1877">
        <w:rPr>
          <w:rFonts w:ascii="Arial" w:hAnsi="Arial" w:cs="Arial"/>
          <w:lang w:val="en"/>
        </w:rPr>
        <w:t xml:space="preserve"> Only healthy, mature leaves free from insect infestation or fungal growth were harvested.</w:t>
      </w:r>
      <w:r w:rsidRPr="00AC1877">
        <w:rPr>
          <w:rFonts w:ascii="Arial" w:hAnsi="Arial" w:cs="Arial"/>
        </w:rPr>
        <w:t xml:space="preserve"> The dried leaves were then milled into a fine powder using an electric grinder to increase surface area for extraction. Exactly   500 grams of the powdered leaf material was weighed and soaked in 2.5 </w:t>
      </w:r>
      <w:proofErr w:type="spellStart"/>
      <w:r w:rsidRPr="00AC1877">
        <w:rPr>
          <w:rFonts w:ascii="Arial" w:hAnsi="Arial" w:cs="Arial"/>
        </w:rPr>
        <w:t>litres</w:t>
      </w:r>
      <w:proofErr w:type="spellEnd"/>
      <w:r w:rsidRPr="00AC1877">
        <w:rPr>
          <w:rFonts w:ascii="Arial" w:hAnsi="Arial" w:cs="Arial"/>
        </w:rPr>
        <w:t xml:space="preserve"> of distilled water. The mixture was left to macerate for 72 hours at room temperature with intermittent shaking every 6 hours to ensure thorough extraction of bioactive compounds. After 72 hours, the mixture was first filtered through a muslin cloth to remove coarse particles. The filtrate was then further clarified by passing it through a Whatman No. 1 filter paper to obtain a clear extract. The clear filtrate was concentrated using a rotary evaporator set at 40°C to remove excess water under reduced pressure, minimizing thermal degradation of phytochemicals. The concentrated extract was dried further in a water bath until a solid residue was obtained. Finally, the solid extract was transferred into airtight containers and stored at 4°C in a refrigerator until use for experimental procedures.   </w:t>
      </w:r>
    </w:p>
    <w:p w14:paraId="681FE997"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2.3 </w:t>
      </w:r>
      <w:r w:rsidR="00AC1877" w:rsidRPr="00323FEA">
        <w:rPr>
          <w:rFonts w:ascii="Arial" w:hAnsi="Arial" w:cs="Arial"/>
          <w:b/>
          <w:bCs/>
          <w:sz w:val="22"/>
          <w:szCs w:val="22"/>
        </w:rPr>
        <w:t xml:space="preserve">Proximate Composition Analysis </w:t>
      </w:r>
    </w:p>
    <w:p w14:paraId="2B51381F" w14:textId="77777777" w:rsidR="00AC1877" w:rsidRPr="00AC1877" w:rsidRDefault="00AC1877" w:rsidP="00AC1877">
      <w:pPr>
        <w:spacing w:after="120"/>
        <w:jc w:val="both"/>
        <w:rPr>
          <w:rFonts w:ascii="Arial" w:hAnsi="Arial" w:cs="Arial"/>
        </w:rPr>
      </w:pPr>
      <w:r w:rsidRPr="00AC1877">
        <w:rPr>
          <w:rFonts w:ascii="Arial" w:hAnsi="Arial" w:cs="Arial"/>
        </w:rPr>
        <w:t xml:space="preserve">Using the standard procedures outlined by the Association of Official Analytical Chemists (AOAC, 2019), the proximate composition of the Pontederia crassipes leaf extract was examined to ascertain its moisture, ash, crude fat, crude protein, crude </w:t>
      </w:r>
      <w:proofErr w:type="spellStart"/>
      <w:r w:rsidRPr="00AC1877">
        <w:rPr>
          <w:rFonts w:ascii="Arial" w:hAnsi="Arial" w:cs="Arial"/>
        </w:rPr>
        <w:t>fibre</w:t>
      </w:r>
      <w:proofErr w:type="spellEnd"/>
      <w:r w:rsidRPr="00AC1877">
        <w:rPr>
          <w:rFonts w:ascii="Arial" w:hAnsi="Arial" w:cs="Arial"/>
        </w:rPr>
        <w:t xml:space="preserve">, and carbohydrate content. </w:t>
      </w:r>
    </w:p>
    <w:p w14:paraId="65E2D72C"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2.4 </w:t>
      </w:r>
      <w:r w:rsidR="00AC1877" w:rsidRPr="00323FEA">
        <w:rPr>
          <w:rFonts w:ascii="Arial" w:hAnsi="Arial" w:cs="Arial"/>
          <w:b/>
          <w:bCs/>
          <w:sz w:val="22"/>
          <w:szCs w:val="22"/>
        </w:rPr>
        <w:t>Amino Acids Analysis using Gas Chromatography–Mass Spectrometry (GC-MS).</w:t>
      </w:r>
    </w:p>
    <w:p w14:paraId="4A65B1FD" w14:textId="77777777" w:rsidR="00AC1877" w:rsidRPr="00AC1877" w:rsidRDefault="00AC1877" w:rsidP="00AC1877">
      <w:pPr>
        <w:pStyle w:val="Default"/>
        <w:spacing w:after="120"/>
        <w:ind w:left="14" w:right="2"/>
        <w:jc w:val="both"/>
        <w:rPr>
          <w:sz w:val="20"/>
          <w:szCs w:val="20"/>
        </w:rPr>
      </w:pPr>
      <w:commentRangeStart w:id="9"/>
      <w:r w:rsidRPr="00AC1877">
        <w:rPr>
          <w:sz w:val="20"/>
          <w:szCs w:val="20"/>
        </w:rPr>
        <w:t>The GC-MS equipment consisted of an Agilent 6890 Technologies USA apparatus comprising an 8700 XR ternary pump, a 20-</w:t>
      </w:r>
      <w:proofErr w:type="spellStart"/>
      <w:r w:rsidRPr="00AC1877">
        <w:rPr>
          <w:sz w:val="20"/>
          <w:szCs w:val="20"/>
        </w:rPr>
        <w:t>μL</w:t>
      </w:r>
      <w:proofErr w:type="spellEnd"/>
      <w:r w:rsidRPr="00AC1877">
        <w:rPr>
          <w:sz w:val="20"/>
          <w:szCs w:val="20"/>
        </w:rPr>
        <w:t xml:space="preserve"> </w:t>
      </w:r>
      <w:proofErr w:type="spellStart"/>
      <w:r w:rsidRPr="00AC1877">
        <w:rPr>
          <w:sz w:val="20"/>
          <w:szCs w:val="20"/>
        </w:rPr>
        <w:t>Rheodyne</w:t>
      </w:r>
      <w:proofErr w:type="spellEnd"/>
      <w:r w:rsidRPr="00AC1877">
        <w:rPr>
          <w:sz w:val="20"/>
          <w:szCs w:val="20"/>
        </w:rPr>
        <w:t xml:space="preserve"> (Cotati, CA) injection loop, an SP8792 column heater, </w:t>
      </w:r>
      <w:proofErr w:type="gramStart"/>
      <w:r w:rsidRPr="00AC1877">
        <w:rPr>
          <w:sz w:val="20"/>
          <w:szCs w:val="20"/>
        </w:rPr>
        <w:t>a</w:t>
      </w:r>
      <w:proofErr w:type="gramEnd"/>
      <w:r w:rsidRPr="00AC1877">
        <w:rPr>
          <w:sz w:val="20"/>
          <w:szCs w:val="20"/>
        </w:rPr>
        <w:t xml:space="preserve"> FID detector, and a 4290-integrator linked via </w:t>
      </w:r>
      <w:proofErr w:type="spellStart"/>
      <w:r w:rsidRPr="00AC1877">
        <w:rPr>
          <w:sz w:val="20"/>
          <w:szCs w:val="20"/>
        </w:rPr>
        <w:t>Labnet</w:t>
      </w:r>
      <w:proofErr w:type="spellEnd"/>
      <w:r w:rsidRPr="00AC1877">
        <w:rPr>
          <w:sz w:val="20"/>
          <w:szCs w:val="20"/>
        </w:rPr>
        <w:t xml:space="preserve"> to a computer running </w:t>
      </w:r>
      <w:proofErr w:type="spellStart"/>
      <w:r w:rsidRPr="00AC1877">
        <w:rPr>
          <w:sz w:val="20"/>
          <w:szCs w:val="20"/>
        </w:rPr>
        <w:t>WINner</w:t>
      </w:r>
      <w:proofErr w:type="spellEnd"/>
      <w:r w:rsidRPr="00AC1877">
        <w:rPr>
          <w:sz w:val="20"/>
          <w:szCs w:val="20"/>
        </w:rPr>
        <w:t xml:space="preserve"> 8086 software (operating system, MS.DOS version 3.2). For separation, a 250- × 4.6-mm column packed with 5-</w:t>
      </w:r>
      <w:proofErr w:type="spellStart"/>
      <w:r w:rsidRPr="00AC1877">
        <w:rPr>
          <w:sz w:val="20"/>
          <w:szCs w:val="20"/>
        </w:rPr>
        <w:t>μm</w:t>
      </w:r>
      <w:proofErr w:type="spellEnd"/>
      <w:r w:rsidRPr="00AC1877">
        <w:rPr>
          <w:sz w:val="20"/>
          <w:szCs w:val="20"/>
        </w:rPr>
        <w:t xml:space="preserve"> </w:t>
      </w:r>
      <w:proofErr w:type="spellStart"/>
      <w:r w:rsidRPr="00AC1877">
        <w:rPr>
          <w:sz w:val="20"/>
          <w:szCs w:val="20"/>
        </w:rPr>
        <w:t>Spherisorb</w:t>
      </w:r>
      <w:proofErr w:type="spellEnd"/>
      <w:r w:rsidRPr="00AC1877">
        <w:rPr>
          <w:sz w:val="20"/>
          <w:szCs w:val="20"/>
        </w:rPr>
        <w:t xml:space="preserve"> C</w:t>
      </w:r>
      <w:r w:rsidRPr="00AC1877">
        <w:rPr>
          <w:position w:val="-2"/>
          <w:sz w:val="20"/>
          <w:szCs w:val="20"/>
          <w:vertAlign w:val="subscript"/>
        </w:rPr>
        <w:t xml:space="preserve">1 8 </w:t>
      </w:r>
      <w:r w:rsidRPr="00AC1877">
        <w:rPr>
          <w:sz w:val="20"/>
          <w:szCs w:val="20"/>
        </w:rPr>
        <w:t>(</w:t>
      </w:r>
      <w:proofErr w:type="spellStart"/>
      <w:r w:rsidRPr="00AC1877">
        <w:rPr>
          <w:sz w:val="20"/>
          <w:szCs w:val="20"/>
        </w:rPr>
        <w:t>Sugelabor</w:t>
      </w:r>
      <w:proofErr w:type="spellEnd"/>
      <w:r w:rsidRPr="00AC1877">
        <w:rPr>
          <w:sz w:val="20"/>
          <w:szCs w:val="20"/>
        </w:rPr>
        <w:t>, Madrid, Spain) was used</w:t>
      </w:r>
      <w:commentRangeEnd w:id="9"/>
      <w:r w:rsidR="00EA4481">
        <w:rPr>
          <w:rStyle w:val="CommentReference"/>
          <w:rFonts w:ascii="Times New Roman" w:eastAsia="Times New Roman" w:hAnsi="Times New Roman" w:cs="Times New Roman"/>
          <w:color w:val="auto"/>
          <w:lang w:val="nb-NO" w:eastAsia="nb-NO"/>
        </w:rPr>
        <w:commentReference w:id="9"/>
      </w:r>
      <w:r w:rsidRPr="00AC1877">
        <w:rPr>
          <w:sz w:val="20"/>
          <w:szCs w:val="20"/>
        </w:rPr>
        <w:t xml:space="preserve">. </w:t>
      </w:r>
    </w:p>
    <w:p w14:paraId="3A6A0C2E" w14:textId="77777777" w:rsidR="00AC1877" w:rsidRPr="00323FEA" w:rsidRDefault="00927B18" w:rsidP="00AC1877">
      <w:pPr>
        <w:pStyle w:val="Default"/>
        <w:spacing w:after="120"/>
        <w:ind w:left="26"/>
        <w:jc w:val="both"/>
        <w:rPr>
          <w:sz w:val="22"/>
          <w:szCs w:val="22"/>
        </w:rPr>
      </w:pPr>
      <w:r w:rsidRPr="00323FEA">
        <w:rPr>
          <w:b/>
          <w:bCs/>
          <w:sz w:val="22"/>
          <w:szCs w:val="22"/>
        </w:rPr>
        <w:t xml:space="preserve">2.5 </w:t>
      </w:r>
      <w:r w:rsidR="00AC1877" w:rsidRPr="00323FEA">
        <w:rPr>
          <w:b/>
          <w:bCs/>
          <w:sz w:val="22"/>
          <w:szCs w:val="22"/>
        </w:rPr>
        <w:t xml:space="preserve">Preparation of </w:t>
      </w:r>
      <w:r w:rsidRPr="00323FEA">
        <w:rPr>
          <w:b/>
          <w:bCs/>
          <w:sz w:val="22"/>
          <w:szCs w:val="22"/>
        </w:rPr>
        <w:t>S</w:t>
      </w:r>
      <w:r w:rsidR="00AC1877" w:rsidRPr="00323FEA">
        <w:rPr>
          <w:b/>
          <w:bCs/>
          <w:sz w:val="22"/>
          <w:szCs w:val="22"/>
        </w:rPr>
        <w:t xml:space="preserve">amples and standards </w:t>
      </w:r>
    </w:p>
    <w:p w14:paraId="11620F50" w14:textId="77777777" w:rsidR="00AC1877" w:rsidRPr="00AC1877" w:rsidRDefault="00AC1877" w:rsidP="00AC1877">
      <w:pPr>
        <w:pStyle w:val="Default"/>
        <w:spacing w:after="120"/>
        <w:ind w:left="16"/>
        <w:jc w:val="both"/>
        <w:rPr>
          <w:b/>
          <w:bCs/>
          <w:sz w:val="20"/>
          <w:szCs w:val="20"/>
        </w:rPr>
      </w:pPr>
      <w:r w:rsidRPr="00AC1877">
        <w:rPr>
          <w:sz w:val="20"/>
          <w:szCs w:val="20"/>
        </w:rPr>
        <w:t>Before derivatization, sample proteins were hydrolyzed as follows. A 0.1-g lyophilized sample was weighed into a 16- × 125-mm screw-cap Pyrex (Barcelona, Spain) tube, 15 mL of 6N hydrochloric acid was added, and the tube was thoroughly flushed with N</w:t>
      </w:r>
      <w:r w:rsidRPr="00AC1877">
        <w:rPr>
          <w:position w:val="-2"/>
          <w:sz w:val="20"/>
          <w:szCs w:val="20"/>
          <w:vertAlign w:val="subscript"/>
        </w:rPr>
        <w:t>2</w:t>
      </w:r>
      <w:r w:rsidRPr="00AC1877">
        <w:rPr>
          <w:sz w:val="20"/>
          <w:szCs w:val="20"/>
        </w:rPr>
        <w:t xml:space="preserve">, quickly capped, and placed in an oven at 110°C for 24 h (17). After hydrolysis, the tube contents were vacuum filtered (Whatman #541, </w:t>
      </w:r>
      <w:proofErr w:type="spellStart"/>
      <w:r w:rsidRPr="00AC1877">
        <w:rPr>
          <w:sz w:val="20"/>
          <w:szCs w:val="20"/>
        </w:rPr>
        <w:t>Maidstone</w:t>
      </w:r>
      <w:proofErr w:type="spellEnd"/>
      <w:r w:rsidRPr="00AC1877">
        <w:rPr>
          <w:sz w:val="20"/>
          <w:szCs w:val="20"/>
        </w:rPr>
        <w:t xml:space="preserve">, England) to remove solids, the filtrate was made up to 25 mL with pyridine, and an aliquot of this solution was further filtered through a 0.50-μm pore-size membrane (Millipore, Madrid, Spain). A standard solution containing 1.25 </w:t>
      </w:r>
      <w:proofErr w:type="spellStart"/>
      <w:r w:rsidRPr="00AC1877">
        <w:rPr>
          <w:sz w:val="20"/>
          <w:szCs w:val="20"/>
        </w:rPr>
        <w:t>μmol</w:t>
      </w:r>
      <w:proofErr w:type="spellEnd"/>
      <w:r w:rsidRPr="00AC1877">
        <w:rPr>
          <w:sz w:val="20"/>
          <w:szCs w:val="20"/>
        </w:rPr>
        <w:t>/mL of each amino acid in 0.1N hydrochloric acid was created.</w:t>
      </w:r>
    </w:p>
    <w:p w14:paraId="79F2384A" w14:textId="77777777" w:rsidR="00AC1877" w:rsidRPr="00323FEA" w:rsidRDefault="00927B18" w:rsidP="00AC1877">
      <w:pPr>
        <w:pStyle w:val="Default"/>
        <w:spacing w:after="120"/>
        <w:ind w:left="16"/>
        <w:jc w:val="both"/>
        <w:rPr>
          <w:sz w:val="22"/>
          <w:szCs w:val="22"/>
        </w:rPr>
      </w:pPr>
      <w:r w:rsidRPr="00323FEA">
        <w:rPr>
          <w:b/>
          <w:bCs/>
          <w:sz w:val="22"/>
          <w:szCs w:val="22"/>
        </w:rPr>
        <w:t xml:space="preserve">2.6 </w:t>
      </w:r>
      <w:r w:rsidR="00AC1877" w:rsidRPr="00323FEA">
        <w:rPr>
          <w:b/>
          <w:bCs/>
          <w:sz w:val="22"/>
          <w:szCs w:val="22"/>
        </w:rPr>
        <w:t xml:space="preserve">Derivatization procedure </w:t>
      </w:r>
    </w:p>
    <w:p w14:paraId="5C6672FB" w14:textId="77777777" w:rsidR="00AC1877" w:rsidRPr="00AC1877" w:rsidRDefault="00AC1877" w:rsidP="00AC1877">
      <w:pPr>
        <w:pStyle w:val="Default"/>
        <w:spacing w:after="120"/>
        <w:jc w:val="both"/>
        <w:rPr>
          <w:sz w:val="20"/>
          <w:szCs w:val="20"/>
        </w:rPr>
      </w:pPr>
      <w:r w:rsidRPr="00AC1877">
        <w:rPr>
          <w:sz w:val="20"/>
          <w:szCs w:val="20"/>
        </w:rPr>
        <w:t xml:space="preserve">The procedure used was a modification of the method of (Albin et al., 2000). A standard solution (5, 10, 15, or 20 </w:t>
      </w:r>
      <w:proofErr w:type="spellStart"/>
      <w:r w:rsidRPr="00AC1877">
        <w:rPr>
          <w:sz w:val="20"/>
          <w:szCs w:val="20"/>
        </w:rPr>
        <w:t>μL</w:t>
      </w:r>
      <w:proofErr w:type="spellEnd"/>
      <w:r w:rsidRPr="00AC1877">
        <w:rPr>
          <w:sz w:val="20"/>
          <w:szCs w:val="20"/>
        </w:rPr>
        <w:t xml:space="preserve">) or 50 </w:t>
      </w:r>
      <w:proofErr w:type="spellStart"/>
      <w:r w:rsidRPr="00AC1877">
        <w:rPr>
          <w:sz w:val="20"/>
          <w:szCs w:val="20"/>
        </w:rPr>
        <w:t>μL</w:t>
      </w:r>
      <w:proofErr w:type="spellEnd"/>
      <w:r w:rsidRPr="00AC1877">
        <w:rPr>
          <w:sz w:val="20"/>
          <w:szCs w:val="20"/>
        </w:rPr>
        <w:t xml:space="preserve"> of sample solution was pipetted into a 10- × 5-mm tube and dried in vacuo at 65°C. To the residue, 30 </w:t>
      </w:r>
      <w:proofErr w:type="spellStart"/>
      <w:r w:rsidRPr="00AC1877">
        <w:rPr>
          <w:sz w:val="20"/>
          <w:szCs w:val="20"/>
        </w:rPr>
        <w:t>μL</w:t>
      </w:r>
      <w:proofErr w:type="spellEnd"/>
      <w:r w:rsidRPr="00AC1877">
        <w:rPr>
          <w:sz w:val="20"/>
          <w:szCs w:val="20"/>
        </w:rPr>
        <w:t xml:space="preserve"> of methanol-water-</w:t>
      </w:r>
      <w:proofErr w:type="spellStart"/>
      <w:r w:rsidRPr="00AC1877">
        <w:rPr>
          <w:bCs/>
          <w:sz w:val="20"/>
          <w:szCs w:val="20"/>
        </w:rPr>
        <w:t>Phenylisothiocianate</w:t>
      </w:r>
      <w:proofErr w:type="spellEnd"/>
      <w:r w:rsidRPr="00AC1877">
        <w:rPr>
          <w:sz w:val="20"/>
          <w:szCs w:val="20"/>
        </w:rPr>
        <w:t xml:space="preserve"> (2:2:1 [v/v]) was added and then removed in vacuo at 65°C. Next, 30 </w:t>
      </w:r>
      <w:proofErr w:type="spellStart"/>
      <w:r w:rsidRPr="00AC1877">
        <w:rPr>
          <w:sz w:val="20"/>
          <w:szCs w:val="20"/>
        </w:rPr>
        <w:t>μL</w:t>
      </w:r>
      <w:proofErr w:type="spellEnd"/>
      <w:r w:rsidRPr="00AC1877">
        <w:rPr>
          <w:sz w:val="20"/>
          <w:szCs w:val="20"/>
        </w:rPr>
        <w:t xml:space="preserve"> of the derivatizing reagent methanol-water-</w:t>
      </w:r>
      <w:proofErr w:type="spellStart"/>
      <w:r w:rsidRPr="00AC1877">
        <w:rPr>
          <w:bCs/>
          <w:sz w:val="20"/>
          <w:szCs w:val="20"/>
        </w:rPr>
        <w:t>Phenylisothiocianate</w:t>
      </w:r>
      <w:proofErr w:type="spellEnd"/>
      <w:r w:rsidRPr="00AC1877">
        <w:rPr>
          <w:sz w:val="20"/>
          <w:szCs w:val="20"/>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AC1877">
        <w:rPr>
          <w:sz w:val="20"/>
          <w:szCs w:val="20"/>
        </w:rPr>
        <w:t>μL</w:t>
      </w:r>
      <w:proofErr w:type="spellEnd"/>
      <w:r w:rsidRPr="00AC1877">
        <w:rPr>
          <w:sz w:val="20"/>
          <w:szCs w:val="20"/>
        </w:rPr>
        <w:t xml:space="preserve"> of diluent consisting of 5mM sodium phosphate with 5% acetonitrile was added to each tube. The aqueous extract was first reconstituted in high-purity methanol to ensure compatibility with the GC system. The reconstituted sample was then filtered through a 0.22 </w:t>
      </w:r>
      <w:proofErr w:type="spellStart"/>
      <w:r w:rsidRPr="00AC1877">
        <w:rPr>
          <w:sz w:val="20"/>
          <w:szCs w:val="20"/>
        </w:rPr>
        <w:t>μm</w:t>
      </w:r>
      <w:proofErr w:type="spellEnd"/>
      <w:r w:rsidRPr="00AC1877">
        <w:rPr>
          <w:sz w:val="20"/>
          <w:szCs w:val="20"/>
        </w:rPr>
        <w:t xml:space="preserve"> syringe filter before injection to remove any particulate matter that could block the injector or column. The chromatographic peaks obtained from the GC-MS analysis were interpreted using the National Institute of Standards and Technology (NIST) Mass Spectral </w:t>
      </w:r>
      <w:r w:rsidRPr="00AC1877">
        <w:rPr>
          <w:sz w:val="20"/>
          <w:szCs w:val="20"/>
        </w:rPr>
        <w:lastRenderedPageBreak/>
        <w:t>Library. The molecular weight, retention time, and fragmentation patterns of the detected compounds were compared against database spectra to identify the known bioactive and amino acids. Only compounds with a matching quality above 80% were considered significant for analysis.</w:t>
      </w:r>
    </w:p>
    <w:p w14:paraId="6155EA03" w14:textId="77777777" w:rsidR="00AC1877" w:rsidRPr="00323FEA" w:rsidRDefault="00927B18" w:rsidP="00AC1877">
      <w:pPr>
        <w:pStyle w:val="Default"/>
        <w:spacing w:after="120"/>
        <w:jc w:val="both"/>
        <w:rPr>
          <w:sz w:val="22"/>
          <w:szCs w:val="22"/>
        </w:rPr>
      </w:pPr>
      <w:r w:rsidRPr="00323FEA">
        <w:rPr>
          <w:b/>
          <w:bCs/>
          <w:sz w:val="22"/>
          <w:szCs w:val="22"/>
        </w:rPr>
        <w:t xml:space="preserve">2.7 </w:t>
      </w:r>
      <w:r w:rsidR="00AC1877" w:rsidRPr="00323FEA">
        <w:rPr>
          <w:b/>
          <w:bCs/>
          <w:sz w:val="22"/>
          <w:szCs w:val="22"/>
        </w:rPr>
        <w:t xml:space="preserve">Chromatographic procedure </w:t>
      </w:r>
    </w:p>
    <w:p w14:paraId="37FF6555" w14:textId="77777777" w:rsidR="00AC1877" w:rsidRPr="00AC1877" w:rsidRDefault="00AC1877" w:rsidP="00AC1877">
      <w:pPr>
        <w:spacing w:after="120"/>
        <w:jc w:val="both"/>
        <w:rPr>
          <w:rFonts w:ascii="Arial" w:hAnsi="Arial" w:cs="Arial"/>
        </w:rPr>
      </w:pPr>
      <w:r w:rsidRPr="00AC1877">
        <w:rPr>
          <w:rFonts w:ascii="Arial" w:hAnsi="Arial" w:cs="Arial"/>
        </w:rPr>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(Albin</w:t>
      </w:r>
      <w:r w:rsidRPr="00AC1877">
        <w:rPr>
          <w:rFonts w:ascii="Arial" w:hAnsi="Arial" w:cs="Arial"/>
          <w:i/>
          <w:iCs/>
        </w:rPr>
        <w:t xml:space="preserve"> et al.,</w:t>
      </w:r>
      <w:r w:rsidRPr="00AC1877">
        <w:rPr>
          <w:rFonts w:ascii="Arial" w:hAnsi="Arial" w:cs="Arial"/>
        </w:rPr>
        <w:t xml:space="preserve"> 2000).</w:t>
      </w:r>
    </w:p>
    <w:p w14:paraId="5BDF4B77"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2.8 </w:t>
      </w:r>
      <w:r w:rsidR="00AC1877" w:rsidRPr="00323FEA">
        <w:rPr>
          <w:rFonts w:ascii="Arial" w:hAnsi="Arial" w:cs="Arial"/>
          <w:b/>
          <w:bCs/>
          <w:sz w:val="22"/>
          <w:szCs w:val="22"/>
        </w:rPr>
        <w:t>Minerals Analysis Using Flame Atomic Absorption Spectrophotometer</w:t>
      </w:r>
    </w:p>
    <w:p w14:paraId="205EE90D" w14:textId="77777777" w:rsidR="00AC1877" w:rsidRPr="00AC1877" w:rsidRDefault="00AC1877" w:rsidP="00AC1877">
      <w:pPr>
        <w:spacing w:after="120"/>
        <w:jc w:val="both"/>
        <w:rPr>
          <w:rFonts w:ascii="Arial" w:hAnsi="Arial" w:cs="Arial"/>
        </w:rPr>
      </w:pPr>
      <w:r w:rsidRPr="00AC1877">
        <w:rPr>
          <w:rFonts w:ascii="Arial" w:hAnsi="Arial" w:cs="Arial"/>
        </w:rPr>
        <w:t xml:space="preserve">A 5 mL of the sample was transferred to a digestion flask. A mixture of concentrated nitric acid and hydrochloric acid (in a 3:1 ratio, aqua regia) was added to each sample. The mixture was gently heated on a hot plate until complete digestion was achieved (clear solution) (Suleiman, </w:t>
      </w:r>
      <w:r w:rsidRPr="00AC1877">
        <w:rPr>
          <w:rFonts w:ascii="Arial" w:hAnsi="Arial" w:cs="Arial"/>
          <w:i/>
          <w:iCs/>
        </w:rPr>
        <w:t>et al</w:t>
      </w:r>
      <w:r w:rsidRPr="00AC1877">
        <w:rPr>
          <w:rFonts w:ascii="Arial" w:hAnsi="Arial" w:cs="Arial"/>
        </w:rPr>
        <w:t xml:space="preserve">., 2019). After cooling, the digested samples were diluted with deionized water and filtered into a 50 mL volumetric flask, then topped to volume with deionized water. These were the working solutions for FAAS analysis. Mineral analysis was conducted using </w:t>
      </w:r>
      <w:bookmarkStart w:id="10" w:name="_Hlk200959852"/>
      <w:r w:rsidRPr="00AC1877">
        <w:rPr>
          <w:rFonts w:ascii="Arial" w:hAnsi="Arial" w:cs="Arial"/>
        </w:rPr>
        <w:t>a Flame Atomic Absorption Spectrophotometer (FAAS)</w:t>
      </w:r>
      <w:bookmarkEnd w:id="10"/>
      <w:r w:rsidRPr="00AC1877">
        <w:rPr>
          <w:rFonts w:ascii="Arial" w:hAnsi="Arial" w:cs="Arial"/>
        </w:rPr>
        <w:t>. Each element was measured using its specific hollow cathode lamp and wavelength under optimized conditions. The instrument was calibrated daily using standard solutions prepared from certified metal stock solutions.</w:t>
      </w:r>
    </w:p>
    <w:p w14:paraId="741F62DF"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2.9 </w:t>
      </w:r>
      <w:r w:rsidR="00AC1877" w:rsidRPr="00323FEA">
        <w:rPr>
          <w:rFonts w:ascii="Arial" w:hAnsi="Arial" w:cs="Arial"/>
          <w:b/>
          <w:bCs/>
          <w:sz w:val="22"/>
          <w:szCs w:val="22"/>
        </w:rPr>
        <w:t>Calibration and Quality Control</w:t>
      </w:r>
    </w:p>
    <w:p w14:paraId="73210C54" w14:textId="77777777" w:rsidR="00AC1877" w:rsidRPr="00AC1877" w:rsidRDefault="00AC1877" w:rsidP="00AC1877">
      <w:pPr>
        <w:spacing w:after="120"/>
        <w:jc w:val="both"/>
        <w:rPr>
          <w:rFonts w:ascii="Arial" w:hAnsi="Arial" w:cs="Arial"/>
        </w:rPr>
      </w:pPr>
      <w:r w:rsidRPr="00AC1877">
        <w:rPr>
          <w:rFonts w:ascii="Arial" w:hAnsi="Arial" w:cs="Arial"/>
        </w:rPr>
        <w:t>Calibration curves were constructed for each element using a set of standard solutions with known concentrations. A blank solution (2% HCl) was run to zero the instrument before measurements. Quality control samples were used between runs to check for drift or contamination. All analyses were done in triplicate and expressed as mean ± standard deviation (SD).</w:t>
      </w:r>
    </w:p>
    <w:p w14:paraId="55E2F484" w14:textId="77777777" w:rsidR="00AC1877" w:rsidRPr="00323FEA" w:rsidRDefault="00927B18" w:rsidP="00AC1877">
      <w:pPr>
        <w:spacing w:after="120"/>
        <w:jc w:val="both"/>
        <w:rPr>
          <w:rFonts w:ascii="Arial" w:hAnsi="Arial" w:cs="Arial"/>
          <w:b/>
          <w:bCs/>
          <w:sz w:val="22"/>
          <w:szCs w:val="22"/>
        </w:rPr>
      </w:pPr>
      <w:commentRangeStart w:id="11"/>
      <w:r w:rsidRPr="00323FEA">
        <w:rPr>
          <w:rFonts w:ascii="Arial" w:hAnsi="Arial" w:cs="Arial"/>
          <w:b/>
          <w:bCs/>
          <w:sz w:val="22"/>
          <w:szCs w:val="22"/>
        </w:rPr>
        <w:t xml:space="preserve">2.10 </w:t>
      </w:r>
      <w:r w:rsidR="00AC1877" w:rsidRPr="00323FEA">
        <w:rPr>
          <w:rFonts w:ascii="Arial" w:hAnsi="Arial" w:cs="Arial"/>
          <w:b/>
          <w:bCs/>
          <w:sz w:val="22"/>
          <w:szCs w:val="22"/>
        </w:rPr>
        <w:t>Antioxidant Analysis using Gas Chromatography–Mass Spectrometry (GC-MS).</w:t>
      </w:r>
      <w:commentRangeEnd w:id="11"/>
      <w:r w:rsidR="00EA4481">
        <w:rPr>
          <w:rStyle w:val="CommentReference"/>
          <w:rFonts w:ascii="Times New Roman" w:hAnsi="Times New Roman"/>
          <w:lang w:val="nb-NO" w:eastAsia="nb-NO"/>
        </w:rPr>
        <w:commentReference w:id="11"/>
      </w:r>
    </w:p>
    <w:p w14:paraId="7ECB4B7C" w14:textId="77777777" w:rsidR="00AC1877" w:rsidRPr="00AC1877" w:rsidRDefault="00927B18" w:rsidP="00AC1877">
      <w:pPr>
        <w:spacing w:after="120"/>
        <w:jc w:val="both"/>
        <w:rPr>
          <w:rFonts w:ascii="Arial" w:hAnsi="Arial" w:cs="Arial"/>
        </w:rPr>
      </w:pPr>
      <w:r>
        <w:rPr>
          <w:rFonts w:ascii="Arial" w:hAnsi="Arial" w:cs="Arial"/>
          <w:b/>
          <w:bCs/>
        </w:rPr>
        <w:t xml:space="preserve">2.10.1 </w:t>
      </w:r>
      <w:r w:rsidR="00AC1877" w:rsidRPr="00AC1877">
        <w:rPr>
          <w:rFonts w:ascii="Arial" w:hAnsi="Arial" w:cs="Arial"/>
          <w:b/>
          <w:bCs/>
        </w:rPr>
        <w:t xml:space="preserve">DPPH Scavenging Effects </w:t>
      </w:r>
    </w:p>
    <w:p w14:paraId="581BC497" w14:textId="77777777" w:rsidR="00AC1877" w:rsidRPr="00AC1877" w:rsidRDefault="00AC1877" w:rsidP="00AC1877">
      <w:pPr>
        <w:spacing w:after="120"/>
        <w:jc w:val="both"/>
        <w:rPr>
          <w:rFonts w:ascii="Arial" w:hAnsi="Arial" w:cs="Arial"/>
        </w:rPr>
      </w:pPr>
      <w:r w:rsidRPr="00AC1877">
        <w:rPr>
          <w:rFonts w:ascii="Arial" w:hAnsi="Arial" w:cs="Arial"/>
        </w:rPr>
        <w:t xml:space="preserve">The scavenging ability of the natural antioxidants of the leaves towards the stable free radical DPPH was measured by the method of </w:t>
      </w:r>
      <w:proofErr w:type="spellStart"/>
      <w:r w:rsidRPr="00AC1877">
        <w:rPr>
          <w:rFonts w:ascii="Arial" w:hAnsi="Arial" w:cs="Arial"/>
        </w:rPr>
        <w:t>Mensor</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(2001). The leaf samples (20μl) were added to 0.5ml of 0.1mM methanolic solution of DPPH and 0.48 ml of methanol. The mixture was allowed to react at room temperature for 30 minutes. Methanol served as the blank, and DPPH in methanol, without the leaf samples, served as the positive control, while butylated hydroxytoluene (BHT) served as the reference. After 30 minutes of incubation, the </w:t>
      </w:r>
      <w:proofErr w:type="spellStart"/>
      <w:r w:rsidRPr="00AC1877">
        <w:rPr>
          <w:rFonts w:ascii="Arial" w:hAnsi="Arial" w:cs="Arial"/>
        </w:rPr>
        <w:t>discolouration</w:t>
      </w:r>
      <w:proofErr w:type="spellEnd"/>
      <w:r w:rsidRPr="00AC1877">
        <w:rPr>
          <w:rFonts w:ascii="Arial" w:hAnsi="Arial" w:cs="Arial"/>
        </w:rPr>
        <w:t xml:space="preserve"> of the purple </w:t>
      </w:r>
      <w:proofErr w:type="spellStart"/>
      <w:r w:rsidRPr="00AC1877">
        <w:rPr>
          <w:rFonts w:ascii="Arial" w:hAnsi="Arial" w:cs="Arial"/>
        </w:rPr>
        <w:t>colour</w:t>
      </w:r>
      <w:proofErr w:type="spellEnd"/>
      <w:r w:rsidRPr="00AC1877">
        <w:rPr>
          <w:rFonts w:ascii="Arial" w:hAnsi="Arial" w:cs="Arial"/>
        </w:rPr>
        <w:t xml:space="preserve"> was measured at 518nm in a spectrophotometer (</w:t>
      </w:r>
      <w:proofErr w:type="spellStart"/>
      <w:r w:rsidRPr="00AC1877">
        <w:rPr>
          <w:rFonts w:ascii="Arial" w:hAnsi="Arial" w:cs="Arial"/>
        </w:rPr>
        <w:t>Genesys</w:t>
      </w:r>
      <w:proofErr w:type="spellEnd"/>
      <w:r w:rsidRPr="00AC1877">
        <w:rPr>
          <w:rFonts w:ascii="Arial" w:hAnsi="Arial" w:cs="Arial"/>
        </w:rPr>
        <w:t xml:space="preserve"> 10-S, USA). The radical scavenging activity was calculated as follows: </w:t>
      </w:r>
    </w:p>
    <w:p w14:paraId="3C51A81A" w14:textId="77777777" w:rsidR="00AC1877" w:rsidRPr="00AC1877" w:rsidRDefault="00AC1877" w:rsidP="00AC1877">
      <w:pPr>
        <w:spacing w:after="120"/>
        <w:jc w:val="both"/>
        <w:rPr>
          <w:rFonts w:ascii="Arial" w:hAnsi="Arial" w:cs="Arial"/>
        </w:rPr>
      </w:pPr>
      <w:commentRangeStart w:id="12"/>
      <w:r w:rsidRPr="00AC1877">
        <w:rPr>
          <w:rFonts w:ascii="Arial" w:hAnsi="Arial" w:cs="Arial"/>
        </w:rPr>
        <w:t xml:space="preserve">Scavenging activity % = 100- A518 (sample) - A518 (blank)× 100 </w:t>
      </w:r>
      <w:commentRangeEnd w:id="12"/>
      <w:r w:rsidR="00EA4481">
        <w:rPr>
          <w:rStyle w:val="CommentReference"/>
          <w:rFonts w:ascii="Times New Roman" w:hAnsi="Times New Roman"/>
          <w:lang w:val="nb-NO" w:eastAsia="nb-NO"/>
        </w:rPr>
        <w:commentReference w:id="12"/>
      </w:r>
    </w:p>
    <w:p w14:paraId="23AABFB8" w14:textId="77777777" w:rsidR="00AC1877" w:rsidRPr="00AC1877" w:rsidRDefault="00927B18" w:rsidP="00AC1877">
      <w:pPr>
        <w:spacing w:after="120"/>
        <w:jc w:val="both"/>
        <w:rPr>
          <w:rFonts w:ascii="Arial" w:hAnsi="Arial" w:cs="Arial"/>
        </w:rPr>
      </w:pPr>
      <w:r>
        <w:rPr>
          <w:rFonts w:ascii="Arial" w:hAnsi="Arial" w:cs="Arial"/>
          <w:b/>
          <w:bCs/>
        </w:rPr>
        <w:t xml:space="preserve">2.10.2 </w:t>
      </w:r>
      <w:proofErr w:type="spellStart"/>
      <w:r w:rsidR="00AC1877" w:rsidRPr="00AC1877">
        <w:rPr>
          <w:rFonts w:ascii="Arial" w:hAnsi="Arial" w:cs="Arial"/>
          <w:b/>
          <w:bCs/>
        </w:rPr>
        <w:t>Abts</w:t>
      </w:r>
      <w:proofErr w:type="spellEnd"/>
      <w:r w:rsidR="00AC1877" w:rsidRPr="00AC1877">
        <w:rPr>
          <w:rFonts w:ascii="Arial" w:hAnsi="Arial" w:cs="Arial"/>
          <w:b/>
          <w:bCs/>
        </w:rPr>
        <w:t xml:space="preserve"> Scavenging Effects </w:t>
      </w:r>
    </w:p>
    <w:p w14:paraId="6889BA40" w14:textId="77777777" w:rsidR="00AC1877" w:rsidRPr="00AC1877" w:rsidRDefault="00AC1877" w:rsidP="00AC1877">
      <w:pPr>
        <w:spacing w:after="120"/>
        <w:jc w:val="both"/>
        <w:rPr>
          <w:rFonts w:ascii="Arial" w:hAnsi="Arial" w:cs="Arial"/>
        </w:rPr>
      </w:pPr>
      <w:r w:rsidRPr="00AC1877">
        <w:rPr>
          <w:rFonts w:ascii="Arial" w:hAnsi="Arial" w:cs="Arial"/>
        </w:rPr>
        <w:t xml:space="preserve">The antioxidant effect of the leaf samples was studied using ABTS (2,2'-azino-bis- 3-ethyl benzthiazoline-6-sulphonic acid) radical cation </w:t>
      </w:r>
      <w:proofErr w:type="spellStart"/>
      <w:r w:rsidRPr="00AC1877">
        <w:rPr>
          <w:rFonts w:ascii="Arial" w:hAnsi="Arial" w:cs="Arial"/>
        </w:rPr>
        <w:t>decolourisation</w:t>
      </w:r>
      <w:proofErr w:type="spellEnd"/>
      <w:r w:rsidRPr="00AC1877">
        <w:rPr>
          <w:rFonts w:ascii="Arial" w:hAnsi="Arial" w:cs="Arial"/>
        </w:rPr>
        <w:t xml:space="preserve"> assay according to the method of </w:t>
      </w:r>
      <w:proofErr w:type="spellStart"/>
      <w:r w:rsidRPr="00AC1877">
        <w:rPr>
          <w:rFonts w:ascii="Arial" w:hAnsi="Arial" w:cs="Arial"/>
        </w:rPr>
        <w:t>Shirwaikar</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(2006). ABTS radical cations (ABTS+) were produced by reacting ABTS solution (7mM) with </w:t>
      </w:r>
      <w:proofErr w:type="spellStart"/>
      <w:r w:rsidRPr="00AC1877">
        <w:rPr>
          <w:rFonts w:ascii="Arial" w:hAnsi="Arial" w:cs="Arial"/>
        </w:rPr>
        <w:t>2.45mM</w:t>
      </w:r>
      <w:proofErr w:type="spellEnd"/>
      <w:r w:rsidRPr="00AC1877">
        <w:rPr>
          <w:rFonts w:ascii="Arial" w:hAnsi="Arial" w:cs="Arial"/>
        </w:rPr>
        <w:t xml:space="preserve"> ammonium persulphate. The mixture was allowed to stand in the dark at room temperature for 12-16 hours before use. Aliquots (0.5ml) of the different samples were added to 0.3ml of ABTS solution, and the final volume was made up to 1ml with ethanol. The absorbance was read at 745nm in a spectrophotometer (</w:t>
      </w:r>
      <w:proofErr w:type="spellStart"/>
      <w:r w:rsidRPr="00AC1877">
        <w:rPr>
          <w:rFonts w:ascii="Arial" w:hAnsi="Arial" w:cs="Arial"/>
        </w:rPr>
        <w:t>Genesys</w:t>
      </w:r>
      <w:proofErr w:type="spellEnd"/>
      <w:r w:rsidRPr="00AC1877">
        <w:rPr>
          <w:rFonts w:ascii="Arial" w:hAnsi="Arial" w:cs="Arial"/>
        </w:rPr>
        <w:t xml:space="preserve"> 10-S, USA), and the percentage inhibition was calculated using the formula Inhibition (%) = (Control – test) × 100 </w:t>
      </w:r>
    </w:p>
    <w:p w14:paraId="06BB233D" w14:textId="77777777" w:rsidR="00AC1877" w:rsidRPr="00AC1877" w:rsidRDefault="00927B18" w:rsidP="00AC1877">
      <w:pPr>
        <w:spacing w:after="120"/>
        <w:jc w:val="both"/>
        <w:rPr>
          <w:rFonts w:ascii="Arial" w:hAnsi="Arial" w:cs="Arial"/>
        </w:rPr>
      </w:pPr>
      <w:r>
        <w:rPr>
          <w:rFonts w:ascii="Arial" w:hAnsi="Arial" w:cs="Arial"/>
          <w:b/>
          <w:bCs/>
        </w:rPr>
        <w:lastRenderedPageBreak/>
        <w:t xml:space="preserve">2.10.3 </w:t>
      </w:r>
      <w:r w:rsidR="00AC1877" w:rsidRPr="00AC1877">
        <w:rPr>
          <w:rFonts w:ascii="Arial" w:hAnsi="Arial" w:cs="Arial"/>
          <w:b/>
          <w:bCs/>
        </w:rPr>
        <w:t xml:space="preserve">Hydrogen Peroxide Scavenging Effects </w:t>
      </w:r>
    </w:p>
    <w:p w14:paraId="5443838C" w14:textId="77777777" w:rsidR="00AC1877" w:rsidRPr="00AC1877" w:rsidRDefault="00AC1877" w:rsidP="00AC1877">
      <w:pPr>
        <w:spacing w:after="120"/>
        <w:jc w:val="both"/>
        <w:rPr>
          <w:rFonts w:ascii="Arial" w:hAnsi="Arial" w:cs="Arial"/>
        </w:rPr>
      </w:pPr>
      <w:r w:rsidRPr="00AC1877">
        <w:rPr>
          <w:rFonts w:ascii="Arial" w:hAnsi="Arial" w:cs="Arial"/>
        </w:rPr>
        <w:t xml:space="preserve">The ability of the leaf samples to scavenge hydrogen peroxide was assessed by the method of Ruch </w:t>
      </w:r>
      <w:r w:rsidRPr="00AC1877">
        <w:rPr>
          <w:rFonts w:ascii="Arial" w:hAnsi="Arial" w:cs="Arial"/>
          <w:i/>
          <w:iCs/>
        </w:rPr>
        <w:t>et al</w:t>
      </w:r>
      <w:r w:rsidRPr="00AC1877">
        <w:rPr>
          <w:rFonts w:ascii="Arial" w:hAnsi="Arial" w:cs="Arial"/>
        </w:rPr>
        <w:t>. (1989). A solution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xml:space="preserve"> (40mM) was prepared in phosphate buffer. Leaf samples at the concentration of 10mg/10μl were added to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xml:space="preserve"> solution (0.6ml), and the total volume was made up to 3ml. The absorbance (AI) of the reaction mixture was recorded at 230nm in a spectrophotometer. A blank solution containing phosphate buffer (A0), without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 xml:space="preserve">2 </w:t>
      </w:r>
      <w:r w:rsidRPr="00AC1877">
        <w:rPr>
          <w:rFonts w:ascii="Arial" w:hAnsi="Arial" w:cs="Arial"/>
        </w:rPr>
        <w:t>was prepared. The extent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 xml:space="preserve">2 </w:t>
      </w:r>
      <w:r w:rsidRPr="00AC1877">
        <w:rPr>
          <w:rFonts w:ascii="Arial" w:hAnsi="Arial" w:cs="Arial"/>
        </w:rPr>
        <w:t xml:space="preserve">scavenging of the sample was calculated as </w:t>
      </w:r>
    </w:p>
    <w:p w14:paraId="3D1A6807" w14:textId="77777777" w:rsidR="00AC1877" w:rsidRPr="00AC1877" w:rsidRDefault="00AC1877" w:rsidP="00AC1877">
      <w:pPr>
        <w:spacing w:after="120"/>
        <w:jc w:val="both"/>
        <w:rPr>
          <w:rFonts w:ascii="Arial" w:hAnsi="Arial" w:cs="Arial"/>
        </w:rPr>
      </w:pPr>
      <w:r w:rsidRPr="00AC1877">
        <w:rPr>
          <w:rFonts w:ascii="Arial" w:hAnsi="Arial" w:cs="Arial"/>
        </w:rPr>
        <w:t xml:space="preserve">% scavenging of hydrogen peroxide = (A0 – A1) × 100 </w:t>
      </w:r>
    </w:p>
    <w:p w14:paraId="3915AA09"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2.11 </w:t>
      </w:r>
      <w:r w:rsidR="00AC1877" w:rsidRPr="00323FEA">
        <w:rPr>
          <w:rFonts w:ascii="Arial" w:hAnsi="Arial" w:cs="Arial"/>
          <w:b/>
          <w:bCs/>
          <w:sz w:val="22"/>
          <w:szCs w:val="22"/>
        </w:rPr>
        <w:t xml:space="preserve">Measurement of Hydroxyl Radical Scavenging Activity </w:t>
      </w:r>
    </w:p>
    <w:p w14:paraId="0F28FEC7" w14:textId="77777777" w:rsidR="00AC1877" w:rsidRPr="00AC1877" w:rsidRDefault="00AC1877" w:rsidP="00AC1877">
      <w:pPr>
        <w:spacing w:after="120"/>
        <w:jc w:val="both"/>
        <w:rPr>
          <w:rFonts w:ascii="Arial" w:hAnsi="Arial" w:cs="Arial"/>
        </w:rPr>
      </w:pPr>
      <w:r w:rsidRPr="00AC1877">
        <w:rPr>
          <w:rFonts w:ascii="Arial" w:hAnsi="Arial" w:cs="Arial"/>
        </w:rPr>
        <w:t>The extent of hydroxyl radical scavenging from Fenton reaction was quantified using 2'-deoxyribose oxidative degradation as described by Elizabeth and Rao (1990). The reaction mixture contained 0.1ml of deoxyribose, 0.1ml of FeCl</w:t>
      </w:r>
      <w:r w:rsidRPr="00AC1877">
        <w:rPr>
          <w:rFonts w:ascii="Arial" w:hAnsi="Arial" w:cs="Arial"/>
          <w:vertAlign w:val="subscript"/>
        </w:rPr>
        <w:t>3</w:t>
      </w:r>
      <w:r w:rsidRPr="00AC1877">
        <w:rPr>
          <w:rFonts w:ascii="Arial" w:hAnsi="Arial" w:cs="Arial"/>
        </w:rPr>
        <w:t>, 0.1ml of EDTA, 0.1ml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0.1ml of ascorbate, 0.1ml of KH</w:t>
      </w:r>
      <w:r w:rsidRPr="00AC1877">
        <w:rPr>
          <w:rFonts w:ascii="Arial" w:hAnsi="Arial" w:cs="Arial"/>
          <w:vertAlign w:val="subscript"/>
        </w:rPr>
        <w:t>2</w:t>
      </w:r>
      <w:r w:rsidRPr="00AC1877">
        <w:rPr>
          <w:rFonts w:ascii="Arial" w:hAnsi="Arial" w:cs="Arial"/>
        </w:rPr>
        <w:t>PO</w:t>
      </w:r>
      <w:r w:rsidRPr="00AC1877">
        <w:rPr>
          <w:rFonts w:ascii="Arial" w:hAnsi="Arial" w:cs="Arial"/>
          <w:vertAlign w:val="subscript"/>
        </w:rPr>
        <w:t>4</w:t>
      </w:r>
      <w:r w:rsidRPr="00AC1877">
        <w:rPr>
          <w:rFonts w:ascii="Arial" w:hAnsi="Arial" w:cs="Arial"/>
          <w:vertAlign w:val="superscript"/>
        </w:rPr>
        <w:t>-</w:t>
      </w:r>
      <w:r w:rsidRPr="00AC1877">
        <w:rPr>
          <w:rFonts w:ascii="Arial" w:hAnsi="Arial" w:cs="Arial"/>
        </w:rPr>
        <w:t xml:space="preserve">KOH buffer and 20L of sample samples in a final volume of 1.0ml. The mixture was incubated at 37 °C for 1 hour. At the end of the incubation period, 1.0 mL of TBA was added and heated at 95 °C for 20 minutes to develop the </w:t>
      </w:r>
      <w:proofErr w:type="spellStart"/>
      <w:r w:rsidRPr="00AC1877">
        <w:rPr>
          <w:rFonts w:ascii="Arial" w:hAnsi="Arial" w:cs="Arial"/>
        </w:rPr>
        <w:t>colour</w:t>
      </w:r>
      <w:proofErr w:type="spellEnd"/>
      <w:r w:rsidRPr="00AC1877">
        <w:rPr>
          <w:rFonts w:ascii="Arial" w:hAnsi="Arial" w:cs="Arial"/>
        </w:rPr>
        <w:t>. After cooling, the TBARS formation was measured spectrophotometrically (</w:t>
      </w:r>
      <w:proofErr w:type="spellStart"/>
      <w:r w:rsidRPr="00AC1877">
        <w:rPr>
          <w:rFonts w:ascii="Arial" w:hAnsi="Arial" w:cs="Arial"/>
        </w:rPr>
        <w:t>Genesys</w:t>
      </w:r>
      <w:proofErr w:type="spellEnd"/>
      <w:r w:rsidRPr="00AC1877">
        <w:rPr>
          <w:rFonts w:ascii="Arial" w:hAnsi="Arial" w:cs="Arial"/>
        </w:rPr>
        <w:t xml:space="preserve"> 10-S, USA) at 532 nm against an appropriate blank. The hydroxyl radical scavenging activity was determined by comparing the -absorbance of the control with that of the samples. The percentage TBARS production for the positive control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was set at 100%, and the relative percentage TBARS was calculated for the sample-treated groups.</w:t>
      </w:r>
    </w:p>
    <w:p w14:paraId="32C2D429"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2.12 </w:t>
      </w:r>
      <w:r w:rsidR="00AC1877" w:rsidRPr="00323FEA">
        <w:rPr>
          <w:rFonts w:ascii="Arial" w:hAnsi="Arial" w:cs="Arial"/>
          <w:b/>
          <w:bCs/>
          <w:sz w:val="22"/>
          <w:szCs w:val="22"/>
        </w:rPr>
        <w:t>Ferric Reducing Antioxidant Power (FRAP)</w:t>
      </w:r>
    </w:p>
    <w:p w14:paraId="775207C0" w14:textId="77777777" w:rsidR="00AC1877" w:rsidRPr="00AC1877" w:rsidRDefault="00AC1877" w:rsidP="00AC1877">
      <w:pPr>
        <w:spacing w:after="120"/>
        <w:jc w:val="both"/>
        <w:rPr>
          <w:rFonts w:ascii="Arial" w:hAnsi="Arial" w:cs="Arial"/>
        </w:rPr>
      </w:pPr>
      <w:r w:rsidRPr="00AC1877">
        <w:rPr>
          <w:rFonts w:ascii="Arial" w:hAnsi="Arial" w:cs="Arial"/>
        </w:rPr>
        <w:t xml:space="preserve">The FRAP reagent was prepared by mixing acetate buffer (300 mM, pH 3.6), TPTZ (10 mM), and </w:t>
      </w:r>
      <w:proofErr w:type="spellStart"/>
      <w:r w:rsidRPr="00AC1877">
        <w:rPr>
          <w:rFonts w:ascii="Arial" w:hAnsi="Arial" w:cs="Arial"/>
        </w:rPr>
        <w:t>FeCl</w:t>
      </w:r>
      <w:proofErr w:type="spellEnd"/>
      <w:r w:rsidRPr="00AC1877">
        <w:rPr>
          <w:rFonts w:ascii="Cambria Math" w:hAnsi="Cambria Math" w:cs="Cambria Math"/>
        </w:rPr>
        <w:t>₃</w:t>
      </w:r>
      <w:r w:rsidRPr="00AC1877">
        <w:rPr>
          <w:rFonts w:ascii="Arial" w:hAnsi="Arial" w:cs="Arial"/>
        </w:rPr>
        <w:t xml:space="preserve"> (50 mM) in a 10:1:1 ratio. Seventy-five µL of the extract was added to 2 mL FRAP reagent, and absorbance was read at 593 nm. Results were expressed as mg vitamin C equivalent per gram of dried extract.</w:t>
      </w:r>
    </w:p>
    <w:p w14:paraId="21004F4E"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2.13 </w:t>
      </w:r>
      <w:r w:rsidR="00AC1877" w:rsidRPr="00323FEA">
        <w:rPr>
          <w:rFonts w:ascii="Arial" w:hAnsi="Arial" w:cs="Arial"/>
          <w:b/>
          <w:bCs/>
          <w:sz w:val="22"/>
          <w:szCs w:val="22"/>
        </w:rPr>
        <w:t xml:space="preserve">2 </w:t>
      </w:r>
      <w:proofErr w:type="spellStart"/>
      <w:r w:rsidR="00AC1877" w:rsidRPr="00323FEA">
        <w:rPr>
          <w:rFonts w:ascii="Arial" w:hAnsi="Arial" w:cs="Arial"/>
          <w:b/>
          <w:bCs/>
          <w:sz w:val="22"/>
          <w:szCs w:val="22"/>
        </w:rPr>
        <w:t>Phosphomolybdenum</w:t>
      </w:r>
      <w:proofErr w:type="spellEnd"/>
      <w:r w:rsidR="00AC1877" w:rsidRPr="00323FEA">
        <w:rPr>
          <w:rFonts w:ascii="Arial" w:hAnsi="Arial" w:cs="Arial"/>
          <w:b/>
          <w:bCs/>
          <w:sz w:val="22"/>
          <w:szCs w:val="22"/>
        </w:rPr>
        <w:t xml:space="preserve"> Antioxidant Power (PAP)</w:t>
      </w:r>
    </w:p>
    <w:p w14:paraId="23EF353C" w14:textId="77777777" w:rsidR="00AC1877" w:rsidRPr="00AC1877" w:rsidRDefault="00AC1877" w:rsidP="00AC1877">
      <w:pPr>
        <w:spacing w:after="120"/>
        <w:jc w:val="both"/>
        <w:rPr>
          <w:rFonts w:ascii="Arial" w:hAnsi="Arial" w:cs="Arial"/>
        </w:rPr>
      </w:pPr>
      <w:r w:rsidRPr="00AC1877">
        <w:rPr>
          <w:rFonts w:ascii="Arial" w:hAnsi="Arial" w:cs="Arial"/>
        </w:rPr>
        <w:t xml:space="preserve">The </w:t>
      </w:r>
      <w:proofErr w:type="spellStart"/>
      <w:r w:rsidRPr="00AC1877">
        <w:rPr>
          <w:rFonts w:ascii="Arial" w:hAnsi="Arial" w:cs="Arial"/>
        </w:rPr>
        <w:t>phosphomolybdenum</w:t>
      </w:r>
      <w:proofErr w:type="spellEnd"/>
      <w:r w:rsidRPr="00AC1877">
        <w:rPr>
          <w:rFonts w:ascii="Arial" w:hAnsi="Arial" w:cs="Arial"/>
        </w:rPr>
        <w:t xml:space="preserve"> antioxidant power (PAP) assay was used to evaluate the total antioxidant capacity of </w:t>
      </w:r>
      <w:r w:rsidRPr="00AC1877">
        <w:rPr>
          <w:rFonts w:ascii="Arial" w:hAnsi="Arial" w:cs="Arial"/>
          <w:i/>
          <w:iCs/>
        </w:rPr>
        <w:t xml:space="preserve">Pontederia crassipes </w:t>
      </w:r>
      <w:r w:rsidRPr="00AC1877">
        <w:rPr>
          <w:rFonts w:ascii="Arial" w:hAnsi="Arial" w:cs="Arial"/>
        </w:rPr>
        <w:t>leaf extract. An aliquot of the extract (usually 0.1–0.3 mL) was mixed with 1 mL of reagent solution containing 0.6 M sulfuric acid, 28 mM sodium phosphate, and 4 mM ammonium molybdate. The reaction mixture was incubated at 95°C for 90 minutes. After cooling to room temperature, the absorbance was measured at 695 nm. Ascorbic acid was used as the standard. Results were expressed as ascorbic acid equivalents (AAE).</w:t>
      </w:r>
    </w:p>
    <w:p w14:paraId="2ADA06BB"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2.14 </w:t>
      </w:r>
      <w:r w:rsidR="00AC1877" w:rsidRPr="00323FEA">
        <w:rPr>
          <w:rFonts w:ascii="Arial" w:hAnsi="Arial" w:cs="Arial"/>
          <w:b/>
          <w:bCs/>
          <w:sz w:val="22"/>
          <w:szCs w:val="22"/>
        </w:rPr>
        <w:t>Reducing Power Assay (RPA)</w:t>
      </w:r>
    </w:p>
    <w:p w14:paraId="0940F5CD" w14:textId="77777777" w:rsidR="00AC1877" w:rsidRPr="00AC1877" w:rsidRDefault="00AC1877" w:rsidP="00AC1877">
      <w:pPr>
        <w:spacing w:after="120"/>
        <w:jc w:val="both"/>
        <w:rPr>
          <w:rFonts w:ascii="Arial" w:hAnsi="Arial" w:cs="Arial"/>
        </w:rPr>
      </w:pPr>
      <w:r w:rsidRPr="00AC1877">
        <w:rPr>
          <w:rFonts w:ascii="Arial" w:hAnsi="Arial" w:cs="Arial"/>
        </w:rPr>
        <w:t>The sample preparation was done by preparing a range of extract concentrations.</w:t>
      </w:r>
    </w:p>
    <w:p w14:paraId="1C225FFD" w14:textId="77777777" w:rsidR="00AC1877" w:rsidRPr="00AC1877" w:rsidRDefault="00AC1877" w:rsidP="00AC1877">
      <w:pPr>
        <w:spacing w:after="120"/>
        <w:jc w:val="both"/>
        <w:rPr>
          <w:rFonts w:ascii="Arial" w:hAnsi="Arial" w:cs="Arial"/>
        </w:rPr>
      </w:pPr>
      <w:r w:rsidRPr="00AC1877">
        <w:rPr>
          <w:rFonts w:ascii="Arial" w:hAnsi="Arial" w:cs="Arial"/>
        </w:rPr>
        <w:t>Equal volumes of extract were mixed with phosphate buffer (0.2 M, pH 6.6) and potassium ferricyanide (0.1–1% w/v).  The mixture was incubated at 50 °C for 20 minutes to allow Fe³</w:t>
      </w:r>
      <w:r w:rsidRPr="00AC1877">
        <w:rPr>
          <w:rFonts w:ascii="Cambria Math" w:hAnsi="Cambria Math" w:cs="Cambria Math"/>
        </w:rPr>
        <w:t>⁺</w:t>
      </w:r>
      <w:r w:rsidRPr="00AC1877">
        <w:rPr>
          <w:rFonts w:ascii="Arial" w:hAnsi="Arial" w:cs="Arial"/>
        </w:rPr>
        <w:t xml:space="preserve"> → Fe²</w:t>
      </w:r>
      <w:r w:rsidRPr="00AC1877">
        <w:rPr>
          <w:rFonts w:ascii="Cambria Math" w:hAnsi="Cambria Math" w:cs="Cambria Math"/>
        </w:rPr>
        <w:t>⁺</w:t>
      </w:r>
      <w:r w:rsidRPr="00AC1877">
        <w:rPr>
          <w:rFonts w:ascii="Arial" w:hAnsi="Arial" w:cs="Arial"/>
        </w:rPr>
        <w:t xml:space="preserve"> reduction. For the reaction termination, an equal volume was added to stop the reaction and centrifuged (2,000–3,000 rpm, 10 minutes) to pellet any debris. The </w:t>
      </w:r>
      <w:proofErr w:type="spellStart"/>
      <w:r w:rsidRPr="00AC1877">
        <w:rPr>
          <w:rFonts w:ascii="Arial" w:hAnsi="Arial" w:cs="Arial"/>
        </w:rPr>
        <w:t>Colour</w:t>
      </w:r>
      <w:proofErr w:type="spellEnd"/>
      <w:r w:rsidRPr="00AC1877">
        <w:rPr>
          <w:rFonts w:ascii="Arial" w:hAnsi="Arial" w:cs="Arial"/>
        </w:rPr>
        <w:t xml:space="preserve"> Development transfer supernatant, mix with water and ferric chloride solution (</w:t>
      </w:r>
      <w:proofErr w:type="spellStart"/>
      <w:r w:rsidRPr="00AC1877">
        <w:rPr>
          <w:rFonts w:ascii="Arial" w:hAnsi="Arial" w:cs="Arial"/>
        </w:rPr>
        <w:t>FeCl</w:t>
      </w:r>
      <w:proofErr w:type="spellEnd"/>
      <w:r w:rsidRPr="00AC1877">
        <w:rPr>
          <w:rFonts w:ascii="Cambria Math" w:hAnsi="Cambria Math" w:cs="Cambria Math"/>
        </w:rPr>
        <w:t>₃</w:t>
      </w:r>
      <w:r w:rsidRPr="00AC1877">
        <w:rPr>
          <w:rFonts w:ascii="Arial" w:hAnsi="Arial" w:cs="Arial"/>
        </w:rPr>
        <w:t>: 0.01–1% v/v).</w:t>
      </w:r>
    </w:p>
    <w:p w14:paraId="6DC92E52" w14:textId="77777777" w:rsidR="00AC1877" w:rsidRPr="00AC1877" w:rsidRDefault="00AC1877" w:rsidP="00AC1877">
      <w:pPr>
        <w:spacing w:after="120"/>
        <w:jc w:val="both"/>
        <w:rPr>
          <w:rFonts w:ascii="Arial" w:hAnsi="Arial" w:cs="Arial"/>
        </w:rPr>
      </w:pPr>
      <w:r w:rsidRPr="00AC1877">
        <w:rPr>
          <w:rFonts w:ascii="Arial" w:hAnsi="Arial" w:cs="Arial"/>
        </w:rPr>
        <w:t>Absorbance was taken. Ascorbic acid (and optionally BHT) was used as positive controls and standards included blanks with all reagents but no extract. Higher absorbance means stronger reducing power, and it is often compared via IC</w:t>
      </w:r>
      <w:r w:rsidRPr="00AC1877">
        <w:rPr>
          <w:rFonts w:ascii="Cambria Math" w:hAnsi="Cambria Math" w:cs="Cambria Math"/>
        </w:rPr>
        <w:t>₅₀</w:t>
      </w:r>
      <w:r w:rsidRPr="00AC1877">
        <w:rPr>
          <w:rFonts w:ascii="Arial" w:hAnsi="Arial" w:cs="Arial"/>
        </w:rPr>
        <w:t xml:space="preserve"> (concentration yielding 50% maximal reduction).</w:t>
      </w:r>
    </w:p>
    <w:p w14:paraId="5A02EF95"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2.15 </w:t>
      </w:r>
      <w:r w:rsidR="00AC1877" w:rsidRPr="00323FEA">
        <w:rPr>
          <w:rFonts w:ascii="Arial" w:hAnsi="Arial" w:cs="Arial"/>
          <w:b/>
          <w:bCs/>
          <w:sz w:val="22"/>
          <w:szCs w:val="22"/>
        </w:rPr>
        <w:t>Nitric Oxide Scavenging Assay</w:t>
      </w:r>
    </w:p>
    <w:p w14:paraId="3DAE0145" w14:textId="77777777" w:rsidR="00AC1877" w:rsidRPr="00AC1877" w:rsidRDefault="00AC1877" w:rsidP="00AC1877">
      <w:pPr>
        <w:spacing w:after="120"/>
        <w:jc w:val="both"/>
        <w:rPr>
          <w:rFonts w:ascii="Arial" w:hAnsi="Arial" w:cs="Arial"/>
        </w:rPr>
      </w:pPr>
      <w:r w:rsidRPr="00AC1877">
        <w:rPr>
          <w:rFonts w:ascii="Arial" w:hAnsi="Arial" w:cs="Arial"/>
        </w:rPr>
        <w:lastRenderedPageBreak/>
        <w:t>Nitric oxide scavenging was assessed using the Griess reagent method. A reaction mixture containing 2 mL of 10 mM sodium nitroprusside in phosphate buffer and 0.5 mL of extract was incubated for 1 h at 37°C. After incubation, 1 mL of Griess reagent was added, and absorbance was measured at 540 nm (Ali et al., 2020; Mohammed et al., 2020).</w:t>
      </w:r>
    </w:p>
    <w:p w14:paraId="57737B3F"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2.16 </w:t>
      </w:r>
      <w:r w:rsidR="00AC1877" w:rsidRPr="00323FEA">
        <w:rPr>
          <w:rFonts w:ascii="Arial" w:hAnsi="Arial" w:cs="Arial"/>
          <w:b/>
          <w:bCs/>
          <w:sz w:val="22"/>
          <w:szCs w:val="22"/>
        </w:rPr>
        <w:t xml:space="preserve">Data Analysis </w:t>
      </w:r>
    </w:p>
    <w:p w14:paraId="044C0F29" w14:textId="77777777" w:rsidR="00AC1877" w:rsidRPr="00AC1877" w:rsidRDefault="00AC1877" w:rsidP="00AC1877">
      <w:pPr>
        <w:spacing w:after="120"/>
        <w:jc w:val="both"/>
        <w:rPr>
          <w:rFonts w:ascii="Arial" w:hAnsi="Arial" w:cs="Arial"/>
          <w:b/>
          <w:bCs/>
        </w:rPr>
      </w:pPr>
      <w:r w:rsidRPr="00AC1877">
        <w:rPr>
          <w:rFonts w:ascii="Arial" w:hAnsi="Arial" w:cs="Arial"/>
        </w:rPr>
        <w:t xml:space="preserve">All measurements were performed in triplicate. The results were expressed as mean ± standard deviation. Data was </w:t>
      </w:r>
      <w:proofErr w:type="spellStart"/>
      <w:r w:rsidRPr="00AC1877">
        <w:rPr>
          <w:rFonts w:ascii="Arial" w:hAnsi="Arial" w:cs="Arial"/>
        </w:rPr>
        <w:t>analysed</w:t>
      </w:r>
      <w:proofErr w:type="spellEnd"/>
      <w:r w:rsidRPr="00AC1877">
        <w:rPr>
          <w:rFonts w:ascii="Arial" w:hAnsi="Arial" w:cs="Arial"/>
        </w:rPr>
        <w:t xml:space="preserve"> using one-way analysis of variance (ANOVA) with significance accepted at p &lt; 0.05 using SPSS version 25.</w:t>
      </w:r>
    </w:p>
    <w:p w14:paraId="74EE4141" w14:textId="77777777" w:rsidR="00AC1877" w:rsidRDefault="00AC1877" w:rsidP="00927B18">
      <w:pPr>
        <w:pStyle w:val="ListParagraph"/>
        <w:numPr>
          <w:ilvl w:val="0"/>
          <w:numId w:val="31"/>
        </w:numPr>
        <w:spacing w:after="120"/>
        <w:ind w:left="360"/>
        <w:jc w:val="both"/>
        <w:rPr>
          <w:rFonts w:ascii="Arial" w:hAnsi="Arial" w:cs="Arial"/>
          <w:b/>
          <w:bCs/>
          <w:sz w:val="22"/>
          <w:szCs w:val="22"/>
        </w:rPr>
      </w:pPr>
      <w:r w:rsidRPr="00323FEA">
        <w:rPr>
          <w:rFonts w:ascii="Arial" w:hAnsi="Arial" w:cs="Arial"/>
          <w:b/>
          <w:bCs/>
          <w:sz w:val="22"/>
          <w:szCs w:val="22"/>
        </w:rPr>
        <w:t>RESULTS</w:t>
      </w:r>
      <w:r w:rsidR="000829A3">
        <w:rPr>
          <w:rFonts w:ascii="Arial" w:hAnsi="Arial" w:cs="Arial"/>
          <w:b/>
          <w:bCs/>
          <w:sz w:val="22"/>
          <w:szCs w:val="22"/>
        </w:rPr>
        <w:t xml:space="preserve"> AND DISCUSSION</w:t>
      </w:r>
    </w:p>
    <w:p w14:paraId="734A3EA4" w14:textId="77777777" w:rsidR="000829A3" w:rsidRPr="000829A3" w:rsidRDefault="000829A3" w:rsidP="000829A3">
      <w:pPr>
        <w:spacing w:after="120"/>
        <w:jc w:val="both"/>
        <w:rPr>
          <w:rFonts w:ascii="Arial" w:hAnsi="Arial" w:cs="Arial"/>
          <w:b/>
          <w:bCs/>
          <w:sz w:val="22"/>
          <w:szCs w:val="22"/>
        </w:rPr>
      </w:pPr>
      <w:r>
        <w:rPr>
          <w:rFonts w:ascii="Arial" w:hAnsi="Arial" w:cs="Arial"/>
          <w:b/>
          <w:bCs/>
          <w:sz w:val="22"/>
          <w:szCs w:val="22"/>
        </w:rPr>
        <w:t>3.1 Results</w:t>
      </w:r>
    </w:p>
    <w:p w14:paraId="0252064E" w14:textId="77777777" w:rsidR="00AC1877" w:rsidRPr="00AC1877" w:rsidRDefault="00AC1877" w:rsidP="00AC1877">
      <w:pPr>
        <w:spacing w:after="120"/>
        <w:jc w:val="both"/>
        <w:rPr>
          <w:rFonts w:ascii="Arial" w:hAnsi="Arial" w:cs="Arial"/>
          <w:b/>
          <w:color w:val="000000" w:themeColor="text1"/>
        </w:rPr>
      </w:pPr>
      <w:r w:rsidRPr="00AC1877">
        <w:rPr>
          <w:rFonts w:ascii="Arial" w:hAnsi="Arial" w:cs="Arial"/>
          <w:b/>
          <w:bCs/>
          <w:color w:val="000000" w:themeColor="text1"/>
        </w:rPr>
        <w:t>Table 1. Proximate</w:t>
      </w:r>
      <w:r w:rsidRPr="00AC1877">
        <w:rPr>
          <w:rFonts w:ascii="Arial" w:hAnsi="Arial" w:cs="Arial"/>
          <w:b/>
          <w:color w:val="000000" w:themeColor="text1"/>
        </w:rPr>
        <w:t xml:space="preserve"> Concentration of leaf extract of </w:t>
      </w:r>
      <w:r w:rsidRPr="00AC1877">
        <w:rPr>
          <w:rFonts w:ascii="Arial" w:hAnsi="Arial" w:cs="Arial"/>
          <w:b/>
          <w:bCs/>
          <w:i/>
          <w:iCs/>
        </w:rPr>
        <w:t>P. crassipes</w:t>
      </w:r>
      <w:r w:rsidRPr="00AC1877">
        <w:rPr>
          <w:rFonts w:ascii="Arial" w:hAnsi="Arial" w:cs="Arial"/>
        </w:rPr>
        <w:t xml:space="preserve"> </w:t>
      </w:r>
    </w:p>
    <w:tbl>
      <w:tblPr>
        <w:tblW w:w="0" w:type="auto"/>
        <w:tblBorders>
          <w:top w:val="single" w:sz="4" w:space="0" w:color="auto"/>
          <w:bottom w:val="single" w:sz="4" w:space="0" w:color="auto"/>
        </w:tblBorders>
        <w:tblLook w:val="0400" w:firstRow="0" w:lastRow="0" w:firstColumn="0" w:lastColumn="0" w:noHBand="0" w:noVBand="1"/>
      </w:tblPr>
      <w:tblGrid>
        <w:gridCol w:w="4090"/>
        <w:gridCol w:w="4118"/>
      </w:tblGrid>
      <w:tr w:rsidR="00AC1877" w:rsidRPr="00AC1877" w14:paraId="3A8908AE" w14:textId="77777777" w:rsidTr="007712F0">
        <w:tc>
          <w:tcPr>
            <w:tcW w:w="4788" w:type="dxa"/>
            <w:tcBorders>
              <w:top w:val="single" w:sz="4" w:space="0" w:color="auto"/>
              <w:bottom w:val="single" w:sz="4" w:space="0" w:color="auto"/>
            </w:tcBorders>
          </w:tcPr>
          <w:p w14:paraId="1FC88108" w14:textId="77777777" w:rsidR="00AC1877" w:rsidRPr="00AC1877" w:rsidRDefault="00AC1877" w:rsidP="007712F0">
            <w:pPr>
              <w:spacing w:after="60"/>
              <w:jc w:val="center"/>
              <w:rPr>
                <w:rFonts w:ascii="Arial" w:hAnsi="Arial" w:cs="Arial"/>
                <w:b/>
                <w:bCs/>
                <w:color w:val="000000" w:themeColor="text1"/>
              </w:rPr>
            </w:pPr>
            <w:r w:rsidRPr="00AC1877">
              <w:rPr>
                <w:rFonts w:ascii="Arial" w:hAnsi="Arial" w:cs="Arial"/>
                <w:b/>
                <w:bCs/>
                <w:color w:val="000000" w:themeColor="text1"/>
              </w:rPr>
              <w:t>Components</w:t>
            </w:r>
          </w:p>
        </w:tc>
        <w:tc>
          <w:tcPr>
            <w:tcW w:w="4788" w:type="dxa"/>
            <w:tcBorders>
              <w:top w:val="single" w:sz="4" w:space="0" w:color="auto"/>
              <w:bottom w:val="single" w:sz="4" w:space="0" w:color="auto"/>
            </w:tcBorders>
          </w:tcPr>
          <w:p w14:paraId="6A0AC734" w14:textId="77777777" w:rsidR="00AC1877" w:rsidRPr="00AC1877" w:rsidRDefault="00AC1877" w:rsidP="007712F0">
            <w:pPr>
              <w:spacing w:after="60"/>
              <w:jc w:val="center"/>
              <w:rPr>
                <w:rFonts w:ascii="Arial" w:hAnsi="Arial" w:cs="Arial"/>
                <w:b/>
                <w:bCs/>
                <w:color w:val="000000" w:themeColor="text1"/>
              </w:rPr>
            </w:pPr>
            <w:r w:rsidRPr="00AC1877">
              <w:rPr>
                <w:rFonts w:ascii="Arial" w:hAnsi="Arial" w:cs="Arial"/>
                <w:b/>
                <w:bCs/>
                <w:color w:val="000000" w:themeColor="text1"/>
              </w:rPr>
              <w:t>Concentration (%)</w:t>
            </w:r>
          </w:p>
        </w:tc>
      </w:tr>
      <w:tr w:rsidR="00AC1877" w:rsidRPr="00AC1877" w14:paraId="1B8955C7" w14:textId="77777777" w:rsidTr="007712F0">
        <w:tc>
          <w:tcPr>
            <w:tcW w:w="4788" w:type="dxa"/>
            <w:tcBorders>
              <w:top w:val="single" w:sz="4" w:space="0" w:color="auto"/>
            </w:tcBorders>
          </w:tcPr>
          <w:p w14:paraId="361EDF8A"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Moisture</w:t>
            </w:r>
          </w:p>
        </w:tc>
        <w:tc>
          <w:tcPr>
            <w:tcW w:w="4788" w:type="dxa"/>
            <w:tcBorders>
              <w:top w:val="single" w:sz="4" w:space="0" w:color="auto"/>
            </w:tcBorders>
          </w:tcPr>
          <w:p w14:paraId="5972934A"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13.63</w:t>
            </w:r>
          </w:p>
        </w:tc>
      </w:tr>
      <w:tr w:rsidR="00AC1877" w:rsidRPr="00AC1877" w14:paraId="501F5504" w14:textId="77777777" w:rsidTr="007712F0">
        <w:tc>
          <w:tcPr>
            <w:tcW w:w="4788" w:type="dxa"/>
          </w:tcPr>
          <w:p w14:paraId="7EAC693D"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Ash</w:t>
            </w:r>
          </w:p>
        </w:tc>
        <w:tc>
          <w:tcPr>
            <w:tcW w:w="4788" w:type="dxa"/>
          </w:tcPr>
          <w:p w14:paraId="374E40F9"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5.07</w:t>
            </w:r>
          </w:p>
        </w:tc>
      </w:tr>
      <w:tr w:rsidR="00AC1877" w:rsidRPr="00AC1877" w14:paraId="75D0B57F" w14:textId="77777777" w:rsidTr="007712F0">
        <w:tc>
          <w:tcPr>
            <w:tcW w:w="4788" w:type="dxa"/>
          </w:tcPr>
          <w:p w14:paraId="5D0D5C02"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Fat/Lipid content</w:t>
            </w:r>
          </w:p>
        </w:tc>
        <w:tc>
          <w:tcPr>
            <w:tcW w:w="4788" w:type="dxa"/>
          </w:tcPr>
          <w:p w14:paraId="648FA598"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23.75</w:t>
            </w:r>
          </w:p>
        </w:tc>
      </w:tr>
      <w:tr w:rsidR="00AC1877" w:rsidRPr="00AC1877" w14:paraId="43BBDDAC" w14:textId="77777777" w:rsidTr="007712F0">
        <w:tc>
          <w:tcPr>
            <w:tcW w:w="4788" w:type="dxa"/>
          </w:tcPr>
          <w:p w14:paraId="62CFBDF3" w14:textId="77777777" w:rsidR="00AC1877" w:rsidRPr="00AC1877" w:rsidRDefault="00AC1877" w:rsidP="007712F0">
            <w:pPr>
              <w:spacing w:after="60"/>
              <w:jc w:val="center"/>
              <w:rPr>
                <w:rFonts w:ascii="Arial" w:hAnsi="Arial" w:cs="Arial"/>
                <w:color w:val="000000" w:themeColor="text1"/>
              </w:rPr>
            </w:pPr>
            <w:proofErr w:type="spellStart"/>
            <w:r w:rsidRPr="00AC1877">
              <w:rPr>
                <w:rFonts w:ascii="Arial" w:hAnsi="Arial" w:cs="Arial"/>
                <w:color w:val="000000" w:themeColor="text1"/>
              </w:rPr>
              <w:t>Fibre</w:t>
            </w:r>
            <w:proofErr w:type="spellEnd"/>
          </w:p>
        </w:tc>
        <w:tc>
          <w:tcPr>
            <w:tcW w:w="4788" w:type="dxa"/>
          </w:tcPr>
          <w:p w14:paraId="56B6F402"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3.84</w:t>
            </w:r>
          </w:p>
        </w:tc>
      </w:tr>
      <w:tr w:rsidR="00AC1877" w:rsidRPr="00AC1877" w14:paraId="69A05C23" w14:textId="77777777" w:rsidTr="007712F0">
        <w:tc>
          <w:tcPr>
            <w:tcW w:w="4788" w:type="dxa"/>
          </w:tcPr>
          <w:p w14:paraId="1933ED5F"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Protein</w:t>
            </w:r>
          </w:p>
        </w:tc>
        <w:tc>
          <w:tcPr>
            <w:tcW w:w="4788" w:type="dxa"/>
          </w:tcPr>
          <w:p w14:paraId="78261FD6"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14.63</w:t>
            </w:r>
          </w:p>
        </w:tc>
      </w:tr>
      <w:tr w:rsidR="00AC1877" w:rsidRPr="00AC1877" w14:paraId="2F0671AF" w14:textId="77777777" w:rsidTr="007712F0">
        <w:tc>
          <w:tcPr>
            <w:tcW w:w="4788" w:type="dxa"/>
          </w:tcPr>
          <w:p w14:paraId="47FB8D3F"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Carbohydrate</w:t>
            </w:r>
          </w:p>
        </w:tc>
        <w:tc>
          <w:tcPr>
            <w:tcW w:w="4788" w:type="dxa"/>
          </w:tcPr>
          <w:p w14:paraId="18667E42" w14:textId="77777777" w:rsidR="00AC1877" w:rsidRPr="00AC1877" w:rsidRDefault="00AC1877" w:rsidP="007712F0">
            <w:pPr>
              <w:spacing w:after="60"/>
              <w:jc w:val="center"/>
              <w:rPr>
                <w:rFonts w:ascii="Arial" w:hAnsi="Arial" w:cs="Arial"/>
                <w:color w:val="000000" w:themeColor="text1"/>
              </w:rPr>
            </w:pPr>
            <w:commentRangeStart w:id="13"/>
            <w:r w:rsidRPr="00AC1877">
              <w:rPr>
                <w:rFonts w:ascii="Arial" w:hAnsi="Arial" w:cs="Arial"/>
                <w:color w:val="000000" w:themeColor="text1"/>
              </w:rPr>
              <w:t>39.10</w:t>
            </w:r>
            <w:commentRangeEnd w:id="13"/>
            <w:r w:rsidR="00EA4481">
              <w:rPr>
                <w:rStyle w:val="CommentReference"/>
                <w:rFonts w:ascii="Times New Roman" w:hAnsi="Times New Roman"/>
                <w:lang w:val="nb-NO" w:eastAsia="nb-NO"/>
              </w:rPr>
              <w:commentReference w:id="13"/>
            </w:r>
          </w:p>
        </w:tc>
      </w:tr>
    </w:tbl>
    <w:p w14:paraId="254419E5" w14:textId="77777777" w:rsidR="00AC1877" w:rsidRPr="00AC1877" w:rsidRDefault="00AC1877" w:rsidP="00AC1877">
      <w:pPr>
        <w:spacing w:after="120"/>
        <w:rPr>
          <w:rFonts w:ascii="Arial" w:hAnsi="Arial" w:cs="Arial"/>
          <w:b/>
          <w:bCs/>
        </w:rPr>
      </w:pPr>
    </w:p>
    <w:p w14:paraId="40A23F6E" w14:textId="77777777" w:rsidR="00AC1877" w:rsidRPr="00AC1877" w:rsidRDefault="00323FEA" w:rsidP="00AC1877">
      <w:pPr>
        <w:spacing w:after="120"/>
        <w:rPr>
          <w:rFonts w:ascii="Arial" w:hAnsi="Arial" w:cs="Arial"/>
          <w:b/>
          <w:bCs/>
          <w:i/>
          <w:iCs/>
        </w:rPr>
      </w:pPr>
      <w:r>
        <w:rPr>
          <w:rFonts w:ascii="Arial" w:hAnsi="Arial" w:cs="Arial"/>
          <w:b/>
          <w:bCs/>
        </w:rPr>
        <w:t>3.1</w:t>
      </w:r>
      <w:r w:rsidR="000829A3">
        <w:rPr>
          <w:rFonts w:ascii="Arial" w:hAnsi="Arial" w:cs="Arial"/>
          <w:b/>
          <w:bCs/>
        </w:rPr>
        <w:t>.1</w:t>
      </w:r>
      <w:r>
        <w:rPr>
          <w:rFonts w:ascii="Arial" w:hAnsi="Arial" w:cs="Arial"/>
          <w:b/>
          <w:bCs/>
        </w:rPr>
        <w:t xml:space="preserve"> </w:t>
      </w:r>
      <w:r w:rsidR="00AC1877" w:rsidRPr="00AC1877">
        <w:rPr>
          <w:rFonts w:ascii="Arial" w:hAnsi="Arial" w:cs="Arial"/>
          <w:b/>
          <w:bCs/>
        </w:rPr>
        <w:t xml:space="preserve">GC-MS chromatogram of leaf extract of </w:t>
      </w:r>
      <w:r w:rsidR="00AC1877" w:rsidRPr="00AC1877">
        <w:rPr>
          <w:rFonts w:ascii="Arial" w:hAnsi="Arial" w:cs="Arial"/>
          <w:b/>
          <w:bCs/>
          <w:i/>
          <w:iCs/>
        </w:rPr>
        <w:t>Pontederia crassipes</w:t>
      </w:r>
    </w:p>
    <w:p w14:paraId="2B68459D" w14:textId="77777777" w:rsidR="00AC1877" w:rsidRPr="00AC1877" w:rsidRDefault="00927B18" w:rsidP="00AC1877">
      <w:pPr>
        <w:spacing w:after="120"/>
        <w:rPr>
          <w:rFonts w:ascii="Arial" w:hAnsi="Arial" w:cs="Arial"/>
          <w:b/>
          <w:bCs/>
          <w:i/>
          <w:iCs/>
        </w:rPr>
      </w:pPr>
      <w:r w:rsidRPr="00AC1877">
        <w:rPr>
          <w:rFonts w:ascii="Arial" w:hAnsi="Arial" w:cs="Arial"/>
          <w:noProof/>
        </w:rPr>
        <w:drawing>
          <wp:anchor distT="0" distB="0" distL="0" distR="0" simplePos="0" relativeHeight="251657728" behindDoc="0" locked="0" layoutInCell="0" allowOverlap="1" wp14:anchorId="2E9059DE" wp14:editId="6DCECC5F">
            <wp:simplePos x="0" y="0"/>
            <wp:positionH relativeFrom="margin">
              <wp:align>left</wp:align>
            </wp:positionH>
            <wp:positionV relativeFrom="paragraph">
              <wp:posOffset>644525</wp:posOffset>
            </wp:positionV>
            <wp:extent cx="5318125" cy="2626995"/>
            <wp:effectExtent l="0" t="0" r="0" b="0"/>
            <wp:wrapSquare wrapText="largest"/>
            <wp:docPr id="5" name="Image1" descr="A graph of a graph showing the amount of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A graph of a graph showing the amount of time&#10;&#10;AI-generated content may be incorrect."/>
                    <pic:cNvPicPr>
                      <a:picLocks noChangeAspect="1" noChangeArrowheads="1"/>
                    </pic:cNvPicPr>
                  </pic:nvPicPr>
                  <pic:blipFill>
                    <a:blip r:embed="rId18"/>
                    <a:stretch>
                      <a:fillRect/>
                    </a:stretch>
                  </pic:blipFill>
                  <pic:spPr bwMode="auto">
                    <a:xfrm>
                      <a:off x="0" y="0"/>
                      <a:ext cx="5323997" cy="2629883"/>
                    </a:xfrm>
                    <a:prstGeom prst="rect">
                      <a:avLst/>
                    </a:prstGeom>
                  </pic:spPr>
                </pic:pic>
              </a:graphicData>
            </a:graphic>
            <wp14:sizeRelH relativeFrom="margin">
              <wp14:pctWidth>0</wp14:pctWidth>
            </wp14:sizeRelH>
            <wp14:sizeRelV relativeFrom="margin">
              <wp14:pctHeight>0</wp14:pctHeight>
            </wp14:sizeRelV>
          </wp:anchor>
        </w:drawing>
      </w:r>
      <w:r w:rsidR="00AC1877" w:rsidRPr="00AC1877">
        <w:rPr>
          <w:rFonts w:ascii="Arial" w:hAnsi="Arial" w:cs="Arial"/>
        </w:rPr>
        <w:t xml:space="preserve">The chromatogram below indicates the presence of several distinct amino acids, suggesting that P. </w:t>
      </w:r>
      <w:r w:rsidR="00AC1877" w:rsidRPr="00AC1877">
        <w:rPr>
          <w:rFonts w:ascii="Arial" w:hAnsi="Arial" w:cs="Arial"/>
          <w:i/>
          <w:iCs/>
        </w:rPr>
        <w:t>crassipes</w:t>
      </w:r>
      <w:r w:rsidR="00AC1877" w:rsidRPr="00AC1877">
        <w:rPr>
          <w:rFonts w:ascii="Arial" w:hAnsi="Arial" w:cs="Arial"/>
        </w:rPr>
        <w:t xml:space="preserve"> leaves contain a mixture of several amino acids. The retention times of these peaks served as the basis for identification.</w:t>
      </w:r>
      <w:r w:rsidR="00AC1877" w:rsidRPr="00AC1877">
        <w:rPr>
          <w:rFonts w:ascii="Arial" w:hAnsi="Arial" w:cs="Arial"/>
        </w:rPr>
        <w:tab/>
      </w:r>
    </w:p>
    <w:p w14:paraId="5A436C07" w14:textId="77777777" w:rsidR="00AC1877" w:rsidRPr="00AC1877" w:rsidRDefault="00AC1877" w:rsidP="00AC1877">
      <w:pPr>
        <w:jc w:val="both"/>
        <w:rPr>
          <w:rFonts w:ascii="Arial" w:hAnsi="Arial" w:cs="Arial"/>
        </w:rPr>
      </w:pPr>
      <w:r w:rsidRPr="00AC1877">
        <w:rPr>
          <w:rFonts w:ascii="Arial" w:hAnsi="Arial" w:cs="Arial"/>
        </w:rPr>
        <w:t xml:space="preserve">Figure 1: GC-MS chromatogram of aqueous leaf extract of </w:t>
      </w:r>
      <w:r w:rsidRPr="00AC1877">
        <w:rPr>
          <w:rFonts w:ascii="Arial" w:hAnsi="Arial" w:cs="Arial"/>
          <w:i/>
          <w:iCs/>
        </w:rPr>
        <w:t>Pontederia crassipes</w:t>
      </w:r>
      <w:r w:rsidRPr="00AC1877">
        <w:rPr>
          <w:rFonts w:ascii="Arial" w:hAnsi="Arial" w:cs="Arial"/>
        </w:rPr>
        <w:t xml:space="preserve"> showing peaks corresponding to different amino acid constituents</w:t>
      </w:r>
    </w:p>
    <w:p w14:paraId="67943A22" w14:textId="77777777" w:rsidR="00323FEA" w:rsidRDefault="00323FEA" w:rsidP="00AC1877">
      <w:pPr>
        <w:spacing w:after="120"/>
        <w:rPr>
          <w:rFonts w:ascii="Arial" w:hAnsi="Arial" w:cs="Arial"/>
        </w:rPr>
      </w:pPr>
      <w:bookmarkStart w:id="14" w:name="__DdeLink__7444_1709231707"/>
    </w:p>
    <w:p w14:paraId="3C871247" w14:textId="77777777" w:rsidR="00AC1877" w:rsidRPr="00AC1877" w:rsidRDefault="00AC1877" w:rsidP="00AC1877">
      <w:pPr>
        <w:spacing w:after="120"/>
        <w:rPr>
          <w:rFonts w:ascii="Arial" w:hAnsi="Arial" w:cs="Arial"/>
        </w:rPr>
      </w:pPr>
      <w:r w:rsidRPr="00AC1877">
        <w:rPr>
          <w:rFonts w:ascii="Arial" w:hAnsi="Arial" w:cs="Arial"/>
        </w:rPr>
        <w:lastRenderedPageBreak/>
        <w:t xml:space="preserve">The analysis revealed the presence of various amino acids. These compounds are presented in Table 2. </w:t>
      </w:r>
    </w:p>
    <w:p w14:paraId="24D50529" w14:textId="77777777" w:rsidR="00AC1877" w:rsidRPr="00AC1877" w:rsidRDefault="00AC1877" w:rsidP="00AC1877">
      <w:pPr>
        <w:spacing w:after="120"/>
        <w:rPr>
          <w:rFonts w:ascii="Arial" w:hAnsi="Arial" w:cs="Arial"/>
        </w:rPr>
      </w:pPr>
      <w:r w:rsidRPr="00AC1877">
        <w:rPr>
          <w:rFonts w:ascii="Arial" w:hAnsi="Arial" w:cs="Arial"/>
          <w:b/>
          <w:bCs/>
        </w:rPr>
        <w:t xml:space="preserve">Table 2. Identified compounds from the aqueous leaf extract OF </w:t>
      </w:r>
      <w:r w:rsidRPr="00AC1877">
        <w:rPr>
          <w:rFonts w:ascii="Arial" w:hAnsi="Arial" w:cs="Arial"/>
          <w:b/>
          <w:bCs/>
          <w:i/>
          <w:iCs/>
        </w:rPr>
        <w:t>Pontederia crassipes</w:t>
      </w:r>
    </w:p>
    <w:tbl>
      <w:tblPr>
        <w:tblW w:w="8515" w:type="dxa"/>
        <w:jc w:val="right"/>
        <w:tblLayout w:type="fixed"/>
        <w:tblCellMar>
          <w:left w:w="0" w:type="dxa"/>
          <w:right w:w="0" w:type="dxa"/>
        </w:tblCellMar>
        <w:tblLook w:val="04A0" w:firstRow="1" w:lastRow="0" w:firstColumn="1" w:lastColumn="0" w:noHBand="0" w:noVBand="1"/>
      </w:tblPr>
      <w:tblGrid>
        <w:gridCol w:w="2144"/>
        <w:gridCol w:w="1117"/>
        <w:gridCol w:w="850"/>
        <w:gridCol w:w="1276"/>
        <w:gridCol w:w="1439"/>
        <w:gridCol w:w="1689"/>
      </w:tblGrid>
      <w:tr w:rsidR="00AC1877" w:rsidRPr="00AC1877" w14:paraId="0F4C6C05" w14:textId="77777777" w:rsidTr="007712F0">
        <w:trPr>
          <w:jc w:val="right"/>
        </w:trPr>
        <w:tc>
          <w:tcPr>
            <w:tcW w:w="2144" w:type="dxa"/>
            <w:tcBorders>
              <w:top w:val="single" w:sz="6" w:space="0" w:color="000000"/>
              <w:bottom w:val="single" w:sz="6" w:space="0" w:color="000000"/>
            </w:tcBorders>
            <w:vAlign w:val="center"/>
          </w:tcPr>
          <w:bookmarkEnd w:id="14"/>
          <w:p w14:paraId="1B33C7CB" w14:textId="77777777" w:rsidR="00AC1877" w:rsidRPr="00AC1877" w:rsidRDefault="00AC1877" w:rsidP="007712F0">
            <w:pPr>
              <w:pStyle w:val="TableContents"/>
              <w:spacing w:after="120" w:line="240" w:lineRule="auto"/>
              <w:jc w:val="center"/>
              <w:rPr>
                <w:rFonts w:ascii="Arial" w:hAnsi="Arial" w:cs="Arial"/>
                <w:sz w:val="20"/>
                <w:szCs w:val="20"/>
              </w:rPr>
            </w:pPr>
            <w:commentRangeStart w:id="15"/>
            <w:r w:rsidRPr="00AC1877">
              <w:rPr>
                <w:rFonts w:ascii="Arial" w:hAnsi="Arial" w:cs="Arial"/>
                <w:b/>
                <w:bCs/>
                <w:color w:val="000000"/>
                <w:sz w:val="20"/>
                <w:szCs w:val="20"/>
              </w:rPr>
              <w:t>Name</w:t>
            </w:r>
          </w:p>
        </w:tc>
        <w:tc>
          <w:tcPr>
            <w:tcW w:w="1117" w:type="dxa"/>
            <w:tcBorders>
              <w:top w:val="single" w:sz="6" w:space="0" w:color="000000"/>
              <w:bottom w:val="single" w:sz="6" w:space="0" w:color="000000"/>
            </w:tcBorders>
            <w:vAlign w:val="center"/>
          </w:tcPr>
          <w:p w14:paraId="2C847EA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Retention Time (min)</w:t>
            </w:r>
          </w:p>
        </w:tc>
        <w:tc>
          <w:tcPr>
            <w:tcW w:w="850" w:type="dxa"/>
            <w:tcBorders>
              <w:top w:val="single" w:sz="6" w:space="0" w:color="000000"/>
              <w:bottom w:val="single" w:sz="6" w:space="0" w:color="000000"/>
            </w:tcBorders>
            <w:vAlign w:val="center"/>
          </w:tcPr>
          <w:p w14:paraId="71FC9B1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Amount (ppm)</w:t>
            </w:r>
          </w:p>
        </w:tc>
        <w:tc>
          <w:tcPr>
            <w:tcW w:w="1276" w:type="dxa"/>
            <w:tcBorders>
              <w:top w:val="single" w:sz="6" w:space="0" w:color="000000"/>
              <w:bottom w:val="single" w:sz="6" w:space="0" w:color="000000"/>
            </w:tcBorders>
            <w:vAlign w:val="center"/>
          </w:tcPr>
          <w:p w14:paraId="02D5F4C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Molecular Weight (g/mol)</w:t>
            </w:r>
          </w:p>
        </w:tc>
        <w:tc>
          <w:tcPr>
            <w:tcW w:w="1439" w:type="dxa"/>
            <w:tcBorders>
              <w:top w:val="single" w:sz="6" w:space="0" w:color="000000"/>
              <w:bottom w:val="single" w:sz="6" w:space="0" w:color="000000"/>
            </w:tcBorders>
            <w:vAlign w:val="center"/>
          </w:tcPr>
          <w:p w14:paraId="651C5E3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Molecular formula</w:t>
            </w:r>
          </w:p>
        </w:tc>
        <w:tc>
          <w:tcPr>
            <w:tcW w:w="1689" w:type="dxa"/>
            <w:tcBorders>
              <w:top w:val="single" w:sz="6" w:space="0" w:color="000000"/>
              <w:bottom w:val="single" w:sz="6" w:space="0" w:color="000000"/>
            </w:tcBorders>
            <w:vAlign w:val="center"/>
          </w:tcPr>
          <w:p w14:paraId="0C5761B7" w14:textId="77777777" w:rsidR="00AC1877" w:rsidRPr="00AC1877" w:rsidRDefault="00AC1877" w:rsidP="007712F0">
            <w:pPr>
              <w:pStyle w:val="TableContents"/>
              <w:spacing w:after="120" w:line="240" w:lineRule="auto"/>
              <w:ind w:left="-282"/>
              <w:jc w:val="center"/>
              <w:rPr>
                <w:rFonts w:ascii="Arial" w:hAnsi="Arial" w:cs="Arial"/>
                <w:sz w:val="20"/>
                <w:szCs w:val="20"/>
              </w:rPr>
            </w:pPr>
            <w:r w:rsidRPr="00AC1877">
              <w:rPr>
                <w:rFonts w:ascii="Arial" w:hAnsi="Arial" w:cs="Arial"/>
                <w:b/>
                <w:bCs/>
                <w:color w:val="000000"/>
                <w:sz w:val="20"/>
                <w:szCs w:val="20"/>
              </w:rPr>
              <w:t>Amino acid concentration (</w:t>
            </w:r>
            <w:r w:rsidRPr="00AC1877">
              <w:rPr>
                <w:rFonts w:ascii="Arial" w:eastAsia="Calibri" w:hAnsi="Arial" w:cs="Arial"/>
                <w:b/>
                <w:bCs/>
                <w:color w:val="000000"/>
                <w:sz w:val="20"/>
                <w:szCs w:val="20"/>
              </w:rPr>
              <w:t>µ</w:t>
            </w:r>
            <w:r w:rsidRPr="00AC1877">
              <w:rPr>
                <w:rFonts w:ascii="Arial" w:hAnsi="Arial" w:cs="Arial"/>
                <w:b/>
                <w:bCs/>
                <w:color w:val="000000"/>
                <w:sz w:val="20"/>
                <w:szCs w:val="20"/>
              </w:rPr>
              <w:t>mol/L)</w:t>
            </w:r>
          </w:p>
        </w:tc>
      </w:tr>
      <w:tr w:rsidR="00AC1877" w:rsidRPr="00AC1877" w14:paraId="357CC630" w14:textId="77777777" w:rsidTr="007712F0">
        <w:trPr>
          <w:jc w:val="right"/>
        </w:trPr>
        <w:tc>
          <w:tcPr>
            <w:tcW w:w="2144" w:type="dxa"/>
          </w:tcPr>
          <w:p w14:paraId="01D8BAA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Alanine</w:t>
            </w:r>
          </w:p>
        </w:tc>
        <w:tc>
          <w:tcPr>
            <w:tcW w:w="1117" w:type="dxa"/>
          </w:tcPr>
          <w:p w14:paraId="727E8E4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4.075</w:t>
            </w:r>
          </w:p>
        </w:tc>
        <w:tc>
          <w:tcPr>
            <w:tcW w:w="850" w:type="dxa"/>
          </w:tcPr>
          <w:p w14:paraId="7C246D2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9.186</w:t>
            </w:r>
          </w:p>
        </w:tc>
        <w:tc>
          <w:tcPr>
            <w:tcW w:w="1276" w:type="dxa"/>
          </w:tcPr>
          <w:p w14:paraId="1C7BF5E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89.09</w:t>
            </w:r>
          </w:p>
        </w:tc>
        <w:tc>
          <w:tcPr>
            <w:tcW w:w="1439" w:type="dxa"/>
          </w:tcPr>
          <w:p w14:paraId="5A94F0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1ED6E7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10.31</w:t>
            </w:r>
          </w:p>
        </w:tc>
      </w:tr>
      <w:tr w:rsidR="00AC1877" w:rsidRPr="00AC1877" w14:paraId="2E01CA28" w14:textId="77777777" w:rsidTr="007712F0">
        <w:trPr>
          <w:jc w:val="right"/>
        </w:trPr>
        <w:tc>
          <w:tcPr>
            <w:tcW w:w="2144" w:type="dxa"/>
          </w:tcPr>
          <w:p w14:paraId="0ECBF65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Serine</w:t>
            </w:r>
          </w:p>
        </w:tc>
        <w:tc>
          <w:tcPr>
            <w:tcW w:w="1117" w:type="dxa"/>
          </w:tcPr>
          <w:p w14:paraId="41B6CF8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5.264</w:t>
            </w:r>
          </w:p>
        </w:tc>
        <w:tc>
          <w:tcPr>
            <w:tcW w:w="850" w:type="dxa"/>
          </w:tcPr>
          <w:p w14:paraId="1D438EE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3.369</w:t>
            </w:r>
          </w:p>
        </w:tc>
        <w:tc>
          <w:tcPr>
            <w:tcW w:w="1276" w:type="dxa"/>
          </w:tcPr>
          <w:p w14:paraId="43CD5A1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105.09</w:t>
            </w:r>
          </w:p>
        </w:tc>
        <w:tc>
          <w:tcPr>
            <w:tcW w:w="1439" w:type="dxa"/>
          </w:tcPr>
          <w:p w14:paraId="3805934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48EFAE6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=C3*100/D3</w:instrText>
            </w:r>
            <w:r w:rsidRPr="00AC1877">
              <w:rPr>
                <w:rFonts w:ascii="Arial" w:hAnsi="Arial" w:cs="Arial"/>
                <w:color w:val="000000"/>
                <w:sz w:val="20"/>
                <w:szCs w:val="20"/>
              </w:rPr>
              <w:fldChar w:fldCharType="separate"/>
            </w:r>
            <w:r w:rsidRPr="00AC1877">
              <w:rPr>
                <w:rFonts w:ascii="Arial" w:hAnsi="Arial" w:cs="Arial"/>
                <w:color w:val="000000"/>
                <w:sz w:val="20"/>
                <w:szCs w:val="20"/>
              </w:rPr>
              <w:t>3.21</w:t>
            </w:r>
            <w:r w:rsidRPr="00AC1877">
              <w:rPr>
                <w:rFonts w:ascii="Arial" w:hAnsi="Arial" w:cs="Arial"/>
                <w:color w:val="000000"/>
                <w:sz w:val="20"/>
                <w:szCs w:val="20"/>
              </w:rPr>
              <w:fldChar w:fldCharType="end"/>
            </w:r>
          </w:p>
        </w:tc>
      </w:tr>
      <w:tr w:rsidR="00AC1877" w:rsidRPr="00AC1877" w14:paraId="696A58AD" w14:textId="77777777" w:rsidTr="007712F0">
        <w:trPr>
          <w:jc w:val="right"/>
        </w:trPr>
        <w:tc>
          <w:tcPr>
            <w:tcW w:w="2144" w:type="dxa"/>
          </w:tcPr>
          <w:p w14:paraId="15B5313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Proline</w:t>
            </w:r>
          </w:p>
        </w:tc>
        <w:tc>
          <w:tcPr>
            <w:tcW w:w="1117" w:type="dxa"/>
          </w:tcPr>
          <w:p w14:paraId="632E6FF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6.388</w:t>
            </w:r>
          </w:p>
        </w:tc>
        <w:tc>
          <w:tcPr>
            <w:tcW w:w="850" w:type="dxa"/>
          </w:tcPr>
          <w:p w14:paraId="078A0DC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20.052</w:t>
            </w:r>
          </w:p>
        </w:tc>
        <w:tc>
          <w:tcPr>
            <w:tcW w:w="1276" w:type="dxa"/>
          </w:tcPr>
          <w:p w14:paraId="56405EB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115.13</w:t>
            </w:r>
          </w:p>
        </w:tc>
        <w:tc>
          <w:tcPr>
            <w:tcW w:w="1439" w:type="dxa"/>
          </w:tcPr>
          <w:p w14:paraId="7E7E8C3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57D6E05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17.42</w:t>
            </w:r>
          </w:p>
        </w:tc>
      </w:tr>
      <w:tr w:rsidR="00AC1877" w:rsidRPr="00AC1877" w14:paraId="54F22B50" w14:textId="77777777" w:rsidTr="007712F0">
        <w:trPr>
          <w:jc w:val="right"/>
        </w:trPr>
        <w:tc>
          <w:tcPr>
            <w:tcW w:w="2144" w:type="dxa"/>
          </w:tcPr>
          <w:p w14:paraId="2FD8DF9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Valine</w:t>
            </w:r>
          </w:p>
        </w:tc>
        <w:tc>
          <w:tcPr>
            <w:tcW w:w="1117" w:type="dxa"/>
          </w:tcPr>
          <w:p w14:paraId="2E061ED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7.369</w:t>
            </w:r>
          </w:p>
        </w:tc>
        <w:tc>
          <w:tcPr>
            <w:tcW w:w="850" w:type="dxa"/>
          </w:tcPr>
          <w:p w14:paraId="3BD9CB1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10.291</w:t>
            </w:r>
          </w:p>
        </w:tc>
        <w:tc>
          <w:tcPr>
            <w:tcW w:w="1276" w:type="dxa"/>
          </w:tcPr>
          <w:p w14:paraId="2D4FFE0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117.15</w:t>
            </w:r>
          </w:p>
        </w:tc>
        <w:tc>
          <w:tcPr>
            <w:tcW w:w="1439" w:type="dxa"/>
          </w:tcPr>
          <w:p w14:paraId="70D21F5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480A79D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=C5*100/D5</w:instrText>
            </w:r>
            <w:r w:rsidRPr="00AC1877">
              <w:rPr>
                <w:rFonts w:ascii="Arial" w:hAnsi="Arial" w:cs="Arial"/>
                <w:color w:val="000000"/>
                <w:sz w:val="20"/>
                <w:szCs w:val="20"/>
              </w:rPr>
              <w:fldChar w:fldCharType="separate"/>
            </w:r>
            <w:r w:rsidRPr="00AC1877">
              <w:rPr>
                <w:rFonts w:ascii="Arial" w:hAnsi="Arial" w:cs="Arial"/>
                <w:color w:val="000000"/>
                <w:sz w:val="20"/>
                <w:szCs w:val="20"/>
              </w:rPr>
              <w:t>8.78</w:t>
            </w:r>
            <w:r w:rsidRPr="00AC1877">
              <w:rPr>
                <w:rFonts w:ascii="Arial" w:hAnsi="Arial" w:cs="Arial"/>
                <w:color w:val="000000"/>
                <w:sz w:val="20"/>
                <w:szCs w:val="20"/>
              </w:rPr>
              <w:fldChar w:fldCharType="end"/>
            </w:r>
          </w:p>
        </w:tc>
      </w:tr>
      <w:tr w:rsidR="00AC1877" w:rsidRPr="00AC1877" w14:paraId="06C83E37" w14:textId="77777777" w:rsidTr="007712F0">
        <w:trPr>
          <w:jc w:val="right"/>
        </w:trPr>
        <w:tc>
          <w:tcPr>
            <w:tcW w:w="2144" w:type="dxa"/>
          </w:tcPr>
          <w:p w14:paraId="69748AF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Threonine</w:t>
            </w:r>
          </w:p>
        </w:tc>
        <w:tc>
          <w:tcPr>
            <w:tcW w:w="1117" w:type="dxa"/>
          </w:tcPr>
          <w:p w14:paraId="3703AC4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8.313</w:t>
            </w:r>
          </w:p>
        </w:tc>
        <w:tc>
          <w:tcPr>
            <w:tcW w:w="850" w:type="dxa"/>
          </w:tcPr>
          <w:p w14:paraId="22F3E5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18.688</w:t>
            </w:r>
          </w:p>
        </w:tc>
        <w:tc>
          <w:tcPr>
            <w:tcW w:w="1276" w:type="dxa"/>
          </w:tcPr>
          <w:p w14:paraId="01B90A1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119.12</w:t>
            </w:r>
          </w:p>
        </w:tc>
        <w:tc>
          <w:tcPr>
            <w:tcW w:w="1439" w:type="dxa"/>
          </w:tcPr>
          <w:p w14:paraId="32C4E7F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4</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4704309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=C6*100/D6</w:instrText>
            </w:r>
            <w:r w:rsidRPr="00AC1877">
              <w:rPr>
                <w:rFonts w:ascii="Arial" w:hAnsi="Arial" w:cs="Arial"/>
                <w:color w:val="000000"/>
                <w:sz w:val="20"/>
                <w:szCs w:val="20"/>
              </w:rPr>
              <w:fldChar w:fldCharType="separate"/>
            </w:r>
            <w:r w:rsidRPr="00AC1877">
              <w:rPr>
                <w:rFonts w:ascii="Arial" w:hAnsi="Arial" w:cs="Arial"/>
                <w:color w:val="000000"/>
                <w:sz w:val="20"/>
                <w:szCs w:val="20"/>
              </w:rPr>
              <w:t>15.69</w:t>
            </w:r>
            <w:r w:rsidRPr="00AC1877">
              <w:rPr>
                <w:rFonts w:ascii="Arial" w:hAnsi="Arial" w:cs="Arial"/>
                <w:color w:val="000000"/>
                <w:sz w:val="20"/>
                <w:szCs w:val="20"/>
              </w:rPr>
              <w:fldChar w:fldCharType="end"/>
            </w:r>
          </w:p>
        </w:tc>
      </w:tr>
      <w:tr w:rsidR="00AC1877" w:rsidRPr="00AC1877" w14:paraId="537C076E" w14:textId="77777777" w:rsidTr="007712F0">
        <w:trPr>
          <w:jc w:val="right"/>
        </w:trPr>
        <w:tc>
          <w:tcPr>
            <w:tcW w:w="2144" w:type="dxa"/>
          </w:tcPr>
          <w:p w14:paraId="4B076A0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Isoleucine</w:t>
            </w:r>
          </w:p>
        </w:tc>
        <w:tc>
          <w:tcPr>
            <w:tcW w:w="1117" w:type="dxa"/>
          </w:tcPr>
          <w:p w14:paraId="767C0C5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9.130</w:t>
            </w:r>
          </w:p>
        </w:tc>
        <w:tc>
          <w:tcPr>
            <w:tcW w:w="850" w:type="dxa"/>
          </w:tcPr>
          <w:p w14:paraId="0FF1AE5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38.188</w:t>
            </w:r>
          </w:p>
        </w:tc>
        <w:tc>
          <w:tcPr>
            <w:tcW w:w="1276" w:type="dxa"/>
          </w:tcPr>
          <w:p w14:paraId="45B8E4B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131.17</w:t>
            </w:r>
          </w:p>
        </w:tc>
        <w:tc>
          <w:tcPr>
            <w:tcW w:w="1439" w:type="dxa"/>
          </w:tcPr>
          <w:p w14:paraId="612C10E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H1</w:t>
            </w:r>
            <w:r w:rsidRPr="00AC1877">
              <w:rPr>
                <w:rFonts w:ascii="Arial" w:hAnsi="Arial" w:cs="Arial"/>
                <w:color w:val="000000"/>
                <w:sz w:val="20"/>
                <w:szCs w:val="20"/>
                <w:vertAlign w:val="subscript"/>
              </w:rPr>
              <w:t>3</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729183D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=C7*100/D7</w:instrText>
            </w:r>
            <w:r w:rsidRPr="00AC1877">
              <w:rPr>
                <w:rFonts w:ascii="Arial" w:hAnsi="Arial" w:cs="Arial"/>
                <w:color w:val="000000"/>
                <w:sz w:val="20"/>
                <w:szCs w:val="20"/>
              </w:rPr>
              <w:fldChar w:fldCharType="separate"/>
            </w:r>
            <w:r w:rsidRPr="00AC1877">
              <w:rPr>
                <w:rFonts w:ascii="Arial" w:hAnsi="Arial" w:cs="Arial"/>
                <w:color w:val="000000"/>
                <w:sz w:val="20"/>
                <w:szCs w:val="20"/>
              </w:rPr>
              <w:t>29.11</w:t>
            </w:r>
            <w:r w:rsidRPr="00AC1877">
              <w:rPr>
                <w:rFonts w:ascii="Arial" w:hAnsi="Arial" w:cs="Arial"/>
                <w:color w:val="000000"/>
                <w:sz w:val="20"/>
                <w:szCs w:val="20"/>
              </w:rPr>
              <w:fldChar w:fldCharType="end"/>
            </w:r>
          </w:p>
        </w:tc>
      </w:tr>
      <w:tr w:rsidR="00AC1877" w:rsidRPr="00AC1877" w14:paraId="53715F29" w14:textId="77777777" w:rsidTr="007712F0">
        <w:trPr>
          <w:jc w:val="right"/>
        </w:trPr>
        <w:tc>
          <w:tcPr>
            <w:tcW w:w="2144" w:type="dxa"/>
          </w:tcPr>
          <w:p w14:paraId="5835DA8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Leucine</w:t>
            </w:r>
          </w:p>
        </w:tc>
        <w:tc>
          <w:tcPr>
            <w:tcW w:w="1117" w:type="dxa"/>
          </w:tcPr>
          <w:p w14:paraId="250C750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10.030</w:t>
            </w:r>
          </w:p>
        </w:tc>
        <w:tc>
          <w:tcPr>
            <w:tcW w:w="850" w:type="dxa"/>
          </w:tcPr>
          <w:p w14:paraId="69F1A80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1.817</w:t>
            </w:r>
          </w:p>
        </w:tc>
        <w:tc>
          <w:tcPr>
            <w:tcW w:w="1276" w:type="dxa"/>
          </w:tcPr>
          <w:p w14:paraId="76C7769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131.17</w:t>
            </w:r>
          </w:p>
        </w:tc>
        <w:tc>
          <w:tcPr>
            <w:tcW w:w="1439" w:type="dxa"/>
          </w:tcPr>
          <w:p w14:paraId="5D1CA61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13</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2F1BAAB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=C8*100/D8</w:instrText>
            </w:r>
            <w:r w:rsidRPr="00AC1877">
              <w:rPr>
                <w:rFonts w:ascii="Arial" w:hAnsi="Arial" w:cs="Arial"/>
                <w:color w:val="000000"/>
                <w:sz w:val="20"/>
                <w:szCs w:val="20"/>
              </w:rPr>
              <w:fldChar w:fldCharType="separate"/>
            </w:r>
            <w:r w:rsidRPr="00AC1877">
              <w:rPr>
                <w:rFonts w:ascii="Arial" w:hAnsi="Arial" w:cs="Arial"/>
                <w:color w:val="000000"/>
                <w:sz w:val="20"/>
                <w:szCs w:val="20"/>
              </w:rPr>
              <w:t>1.39</w:t>
            </w:r>
            <w:r w:rsidRPr="00AC1877">
              <w:rPr>
                <w:rFonts w:ascii="Arial" w:hAnsi="Arial" w:cs="Arial"/>
                <w:color w:val="000000"/>
                <w:sz w:val="20"/>
                <w:szCs w:val="20"/>
              </w:rPr>
              <w:fldChar w:fldCharType="end"/>
            </w:r>
          </w:p>
        </w:tc>
      </w:tr>
      <w:tr w:rsidR="00AC1877" w:rsidRPr="00AC1877" w14:paraId="32BF0C03" w14:textId="77777777" w:rsidTr="007712F0">
        <w:trPr>
          <w:jc w:val="right"/>
        </w:trPr>
        <w:tc>
          <w:tcPr>
            <w:tcW w:w="2144" w:type="dxa"/>
          </w:tcPr>
          <w:p w14:paraId="3F5C8D9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Aspartate</w:t>
            </w:r>
          </w:p>
        </w:tc>
        <w:tc>
          <w:tcPr>
            <w:tcW w:w="1117" w:type="dxa"/>
          </w:tcPr>
          <w:p w14:paraId="5CB0068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10.813</w:t>
            </w:r>
          </w:p>
        </w:tc>
        <w:tc>
          <w:tcPr>
            <w:tcW w:w="850" w:type="dxa"/>
          </w:tcPr>
          <w:p w14:paraId="67F7903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2.120</w:t>
            </w:r>
          </w:p>
        </w:tc>
        <w:tc>
          <w:tcPr>
            <w:tcW w:w="1276" w:type="dxa"/>
          </w:tcPr>
          <w:p w14:paraId="1F64245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133.10</w:t>
            </w:r>
          </w:p>
        </w:tc>
        <w:tc>
          <w:tcPr>
            <w:tcW w:w="1439" w:type="dxa"/>
          </w:tcPr>
          <w:p w14:paraId="5FD1C97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4</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0E2B6B4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=C9*100/D9</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1.59</w:t>
            </w:r>
            <w:r w:rsidRPr="00AC1877">
              <w:rPr>
                <w:rFonts w:ascii="Arial" w:eastAsia="Calibri" w:hAnsi="Arial" w:cs="Arial"/>
                <w:color w:val="000000"/>
                <w:sz w:val="20"/>
                <w:szCs w:val="20"/>
              </w:rPr>
              <w:fldChar w:fldCharType="end"/>
            </w:r>
          </w:p>
        </w:tc>
      </w:tr>
      <w:tr w:rsidR="00AC1877" w:rsidRPr="00AC1877" w14:paraId="5655F36F" w14:textId="77777777" w:rsidTr="007712F0">
        <w:trPr>
          <w:jc w:val="right"/>
        </w:trPr>
        <w:tc>
          <w:tcPr>
            <w:tcW w:w="2144" w:type="dxa"/>
          </w:tcPr>
          <w:p w14:paraId="663C8FA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Lysine</w:t>
            </w:r>
          </w:p>
        </w:tc>
        <w:tc>
          <w:tcPr>
            <w:tcW w:w="1117" w:type="dxa"/>
          </w:tcPr>
          <w:p w14:paraId="3C60CFB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11.538</w:t>
            </w:r>
          </w:p>
        </w:tc>
        <w:tc>
          <w:tcPr>
            <w:tcW w:w="850" w:type="dxa"/>
          </w:tcPr>
          <w:p w14:paraId="690D809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4.908</w:t>
            </w:r>
          </w:p>
        </w:tc>
        <w:tc>
          <w:tcPr>
            <w:tcW w:w="1276" w:type="dxa"/>
          </w:tcPr>
          <w:p w14:paraId="460AE3E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146.19</w:t>
            </w:r>
          </w:p>
        </w:tc>
        <w:tc>
          <w:tcPr>
            <w:tcW w:w="1439" w:type="dxa"/>
          </w:tcPr>
          <w:p w14:paraId="2AD677A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14</w:t>
            </w:r>
            <w:r w:rsidRPr="00AC1877">
              <w:rPr>
                <w:rFonts w:ascii="Arial" w:hAnsi="Arial" w:cs="Arial"/>
                <w:color w:val="000000"/>
                <w:sz w:val="20"/>
                <w:szCs w:val="20"/>
              </w:rPr>
              <w:t>N</w:t>
            </w:r>
            <w:r w:rsidRPr="00AC1877">
              <w:rPr>
                <w:rFonts w:ascii="Arial" w:hAnsi="Arial" w:cs="Arial"/>
                <w:color w:val="000000"/>
                <w:sz w:val="20"/>
                <w:szCs w:val="20"/>
                <w:vertAlign w:val="subscript"/>
              </w:rPr>
              <w:t>2</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0B90DE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=C10*100/D10</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3.36</w:t>
            </w:r>
            <w:r w:rsidRPr="00AC1877">
              <w:rPr>
                <w:rFonts w:ascii="Arial" w:eastAsia="Calibri" w:hAnsi="Arial" w:cs="Arial"/>
                <w:color w:val="000000"/>
                <w:sz w:val="20"/>
                <w:szCs w:val="20"/>
              </w:rPr>
              <w:fldChar w:fldCharType="end"/>
            </w:r>
          </w:p>
        </w:tc>
      </w:tr>
      <w:tr w:rsidR="00AC1877" w:rsidRPr="00AC1877" w14:paraId="52EF5EBD" w14:textId="77777777" w:rsidTr="007712F0">
        <w:trPr>
          <w:jc w:val="right"/>
        </w:trPr>
        <w:tc>
          <w:tcPr>
            <w:tcW w:w="2144" w:type="dxa"/>
          </w:tcPr>
          <w:p w14:paraId="3A68D7D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Methionine</w:t>
            </w:r>
          </w:p>
        </w:tc>
        <w:tc>
          <w:tcPr>
            <w:tcW w:w="1117" w:type="dxa"/>
          </w:tcPr>
          <w:p w14:paraId="632D5BB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12.149</w:t>
            </w:r>
          </w:p>
        </w:tc>
        <w:tc>
          <w:tcPr>
            <w:tcW w:w="850" w:type="dxa"/>
          </w:tcPr>
          <w:p w14:paraId="5E23C0E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1.176</w:t>
            </w:r>
          </w:p>
        </w:tc>
        <w:tc>
          <w:tcPr>
            <w:tcW w:w="1276" w:type="dxa"/>
          </w:tcPr>
          <w:p w14:paraId="1CAB9CA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149.21</w:t>
            </w:r>
          </w:p>
        </w:tc>
        <w:tc>
          <w:tcPr>
            <w:tcW w:w="1439" w:type="dxa"/>
          </w:tcPr>
          <w:p w14:paraId="7EA5AAD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349854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=C11*100/D11</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0.79</w:t>
            </w:r>
            <w:r w:rsidRPr="00AC1877">
              <w:rPr>
                <w:rFonts w:ascii="Arial" w:eastAsia="Calibri" w:hAnsi="Arial" w:cs="Arial"/>
                <w:color w:val="000000"/>
                <w:sz w:val="20"/>
                <w:szCs w:val="20"/>
              </w:rPr>
              <w:fldChar w:fldCharType="end"/>
            </w:r>
          </w:p>
        </w:tc>
      </w:tr>
      <w:tr w:rsidR="00AC1877" w:rsidRPr="00AC1877" w14:paraId="334149B1" w14:textId="77777777" w:rsidTr="007712F0">
        <w:trPr>
          <w:jc w:val="right"/>
        </w:trPr>
        <w:tc>
          <w:tcPr>
            <w:tcW w:w="2144" w:type="dxa"/>
          </w:tcPr>
          <w:p w14:paraId="44124C2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Glutamate</w:t>
            </w:r>
          </w:p>
        </w:tc>
        <w:tc>
          <w:tcPr>
            <w:tcW w:w="1117" w:type="dxa"/>
          </w:tcPr>
          <w:p w14:paraId="0CFF752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12.244</w:t>
            </w:r>
          </w:p>
        </w:tc>
        <w:tc>
          <w:tcPr>
            <w:tcW w:w="850" w:type="dxa"/>
          </w:tcPr>
          <w:p w14:paraId="3F3EAAA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5.636</w:t>
            </w:r>
          </w:p>
        </w:tc>
        <w:tc>
          <w:tcPr>
            <w:tcW w:w="1276" w:type="dxa"/>
          </w:tcPr>
          <w:p w14:paraId="622636D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147.13</w:t>
            </w:r>
          </w:p>
        </w:tc>
        <w:tc>
          <w:tcPr>
            <w:tcW w:w="1439" w:type="dxa"/>
          </w:tcPr>
          <w:p w14:paraId="6F13A6D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4</w:t>
            </w:r>
          </w:p>
        </w:tc>
        <w:tc>
          <w:tcPr>
            <w:tcW w:w="1689" w:type="dxa"/>
          </w:tcPr>
          <w:p w14:paraId="5FF41E7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=C12*100/D12</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3.83</w:t>
            </w:r>
            <w:r w:rsidRPr="00AC1877">
              <w:rPr>
                <w:rFonts w:ascii="Arial" w:eastAsia="Calibri" w:hAnsi="Arial" w:cs="Arial"/>
                <w:color w:val="000000"/>
                <w:sz w:val="20"/>
                <w:szCs w:val="20"/>
              </w:rPr>
              <w:fldChar w:fldCharType="end"/>
            </w:r>
          </w:p>
        </w:tc>
      </w:tr>
      <w:tr w:rsidR="00AC1877" w:rsidRPr="00AC1877" w14:paraId="3EB86D3E" w14:textId="77777777" w:rsidTr="007712F0">
        <w:trPr>
          <w:jc w:val="right"/>
        </w:trPr>
        <w:tc>
          <w:tcPr>
            <w:tcW w:w="2144" w:type="dxa"/>
          </w:tcPr>
          <w:p w14:paraId="6AB4E74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Phenylalanine</w:t>
            </w:r>
          </w:p>
        </w:tc>
        <w:tc>
          <w:tcPr>
            <w:tcW w:w="1117" w:type="dxa"/>
          </w:tcPr>
          <w:p w14:paraId="391AC40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12..874</w:t>
            </w:r>
          </w:p>
        </w:tc>
        <w:tc>
          <w:tcPr>
            <w:tcW w:w="850" w:type="dxa"/>
          </w:tcPr>
          <w:p w14:paraId="52DE08F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4.209</w:t>
            </w:r>
          </w:p>
        </w:tc>
        <w:tc>
          <w:tcPr>
            <w:tcW w:w="1276" w:type="dxa"/>
          </w:tcPr>
          <w:p w14:paraId="2B0AEB2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165.19</w:t>
            </w:r>
          </w:p>
        </w:tc>
        <w:tc>
          <w:tcPr>
            <w:tcW w:w="1439" w:type="dxa"/>
          </w:tcPr>
          <w:p w14:paraId="5CED42C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15281B9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=C13*100/D13</w:instrText>
            </w:r>
            <w:r w:rsidRPr="00AC1877">
              <w:rPr>
                <w:rFonts w:ascii="Arial" w:hAnsi="Arial" w:cs="Arial"/>
                <w:color w:val="000000"/>
                <w:sz w:val="20"/>
                <w:szCs w:val="20"/>
              </w:rPr>
              <w:fldChar w:fldCharType="separate"/>
            </w:r>
            <w:r w:rsidRPr="00AC1877">
              <w:rPr>
                <w:rFonts w:ascii="Arial" w:hAnsi="Arial" w:cs="Arial"/>
                <w:color w:val="000000"/>
                <w:sz w:val="20"/>
                <w:szCs w:val="20"/>
              </w:rPr>
              <w:t>2.55</w:t>
            </w:r>
            <w:r w:rsidRPr="00AC1877">
              <w:rPr>
                <w:rFonts w:ascii="Arial" w:hAnsi="Arial" w:cs="Arial"/>
                <w:color w:val="000000"/>
                <w:sz w:val="20"/>
                <w:szCs w:val="20"/>
              </w:rPr>
              <w:fldChar w:fldCharType="end"/>
            </w:r>
          </w:p>
        </w:tc>
      </w:tr>
      <w:tr w:rsidR="00AC1877" w:rsidRPr="00AC1877" w14:paraId="3A8B2CE6" w14:textId="77777777" w:rsidTr="007712F0">
        <w:trPr>
          <w:jc w:val="right"/>
        </w:trPr>
        <w:tc>
          <w:tcPr>
            <w:tcW w:w="2144" w:type="dxa"/>
          </w:tcPr>
          <w:p w14:paraId="4443AC2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Histidine</w:t>
            </w:r>
          </w:p>
        </w:tc>
        <w:tc>
          <w:tcPr>
            <w:tcW w:w="1117" w:type="dxa"/>
          </w:tcPr>
          <w:p w14:paraId="732F483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13.591</w:t>
            </w:r>
          </w:p>
        </w:tc>
        <w:tc>
          <w:tcPr>
            <w:tcW w:w="850" w:type="dxa"/>
          </w:tcPr>
          <w:p w14:paraId="77F1C10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2.070</w:t>
            </w:r>
          </w:p>
        </w:tc>
        <w:tc>
          <w:tcPr>
            <w:tcW w:w="1276" w:type="dxa"/>
          </w:tcPr>
          <w:p w14:paraId="108787D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155.16</w:t>
            </w:r>
          </w:p>
        </w:tc>
        <w:tc>
          <w:tcPr>
            <w:tcW w:w="1439" w:type="dxa"/>
          </w:tcPr>
          <w:p w14:paraId="3A73B3B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w:t>
            </w:r>
            <w:r w:rsidRPr="00AC1877">
              <w:rPr>
                <w:rFonts w:ascii="Arial" w:hAnsi="Arial" w:cs="Arial"/>
                <w:color w:val="000000"/>
                <w:sz w:val="20"/>
                <w:szCs w:val="20"/>
                <w:vertAlign w:val="subscript"/>
              </w:rPr>
              <w:t>3</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3C1BD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=C14*100/D14</w:instrText>
            </w:r>
            <w:r w:rsidRPr="00AC1877">
              <w:rPr>
                <w:rFonts w:ascii="Arial" w:hAnsi="Arial" w:cs="Arial"/>
                <w:color w:val="000000"/>
                <w:sz w:val="20"/>
                <w:szCs w:val="20"/>
              </w:rPr>
              <w:fldChar w:fldCharType="separate"/>
            </w:r>
            <w:r w:rsidRPr="00AC1877">
              <w:rPr>
                <w:rFonts w:ascii="Arial" w:hAnsi="Arial" w:cs="Arial"/>
                <w:color w:val="000000"/>
                <w:sz w:val="20"/>
                <w:szCs w:val="20"/>
              </w:rPr>
              <w:t>1.33</w:t>
            </w:r>
            <w:r w:rsidRPr="00AC1877">
              <w:rPr>
                <w:rFonts w:ascii="Arial" w:hAnsi="Arial" w:cs="Arial"/>
                <w:color w:val="000000"/>
                <w:sz w:val="20"/>
                <w:szCs w:val="20"/>
              </w:rPr>
              <w:fldChar w:fldCharType="end"/>
            </w:r>
          </w:p>
        </w:tc>
      </w:tr>
      <w:tr w:rsidR="00AC1877" w:rsidRPr="00AC1877" w14:paraId="3AE4335E" w14:textId="77777777" w:rsidTr="007712F0">
        <w:trPr>
          <w:jc w:val="right"/>
        </w:trPr>
        <w:tc>
          <w:tcPr>
            <w:tcW w:w="2144" w:type="dxa"/>
          </w:tcPr>
          <w:p w14:paraId="0846344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Arginine</w:t>
            </w:r>
          </w:p>
        </w:tc>
        <w:tc>
          <w:tcPr>
            <w:tcW w:w="1117" w:type="dxa"/>
          </w:tcPr>
          <w:p w14:paraId="0850F8B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14.030</w:t>
            </w:r>
          </w:p>
        </w:tc>
        <w:tc>
          <w:tcPr>
            <w:tcW w:w="850" w:type="dxa"/>
          </w:tcPr>
          <w:p w14:paraId="256150C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17.636</w:t>
            </w:r>
          </w:p>
        </w:tc>
        <w:tc>
          <w:tcPr>
            <w:tcW w:w="1276" w:type="dxa"/>
          </w:tcPr>
          <w:p w14:paraId="2165B2A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174.20</w:t>
            </w:r>
          </w:p>
        </w:tc>
        <w:tc>
          <w:tcPr>
            <w:tcW w:w="1439" w:type="dxa"/>
          </w:tcPr>
          <w:p w14:paraId="55834C8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14</w:t>
            </w:r>
            <w:r w:rsidRPr="00AC1877">
              <w:rPr>
                <w:rFonts w:ascii="Arial" w:hAnsi="Arial" w:cs="Arial"/>
                <w:color w:val="000000"/>
                <w:sz w:val="20"/>
                <w:szCs w:val="20"/>
              </w:rPr>
              <w:t>N</w:t>
            </w:r>
            <w:r w:rsidRPr="00AC1877">
              <w:rPr>
                <w:rFonts w:ascii="Arial" w:hAnsi="Arial" w:cs="Arial"/>
                <w:color w:val="000000"/>
                <w:sz w:val="20"/>
                <w:szCs w:val="20"/>
                <w:vertAlign w:val="subscript"/>
              </w:rPr>
              <w:t>4</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291C39D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=C15*100/D15</w:instrText>
            </w:r>
            <w:r w:rsidRPr="00AC1877">
              <w:rPr>
                <w:rFonts w:ascii="Arial" w:hAnsi="Arial" w:cs="Arial"/>
                <w:color w:val="000000"/>
                <w:sz w:val="20"/>
                <w:szCs w:val="20"/>
              </w:rPr>
              <w:fldChar w:fldCharType="separate"/>
            </w:r>
            <w:r w:rsidRPr="00AC1877">
              <w:rPr>
                <w:rFonts w:ascii="Arial" w:hAnsi="Arial" w:cs="Arial"/>
                <w:color w:val="000000"/>
                <w:sz w:val="20"/>
                <w:szCs w:val="20"/>
              </w:rPr>
              <w:t>10.12</w:t>
            </w:r>
            <w:r w:rsidRPr="00AC1877">
              <w:rPr>
                <w:rFonts w:ascii="Arial" w:hAnsi="Arial" w:cs="Arial"/>
                <w:color w:val="000000"/>
                <w:sz w:val="20"/>
                <w:szCs w:val="20"/>
              </w:rPr>
              <w:fldChar w:fldCharType="end"/>
            </w:r>
          </w:p>
        </w:tc>
      </w:tr>
      <w:tr w:rsidR="00AC1877" w:rsidRPr="00AC1877" w14:paraId="799E98FC" w14:textId="77777777" w:rsidTr="007712F0">
        <w:trPr>
          <w:jc w:val="right"/>
        </w:trPr>
        <w:tc>
          <w:tcPr>
            <w:tcW w:w="2144" w:type="dxa"/>
          </w:tcPr>
          <w:p w14:paraId="5F93687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Tyrosine</w:t>
            </w:r>
          </w:p>
        </w:tc>
        <w:tc>
          <w:tcPr>
            <w:tcW w:w="1117" w:type="dxa"/>
          </w:tcPr>
          <w:p w14:paraId="351AF2A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14.697</w:t>
            </w:r>
          </w:p>
        </w:tc>
        <w:tc>
          <w:tcPr>
            <w:tcW w:w="850" w:type="dxa"/>
          </w:tcPr>
          <w:p w14:paraId="65DC83B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4.535</w:t>
            </w:r>
          </w:p>
        </w:tc>
        <w:tc>
          <w:tcPr>
            <w:tcW w:w="1276" w:type="dxa"/>
          </w:tcPr>
          <w:p w14:paraId="57B66F3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181.19</w:t>
            </w:r>
          </w:p>
        </w:tc>
        <w:tc>
          <w:tcPr>
            <w:tcW w:w="1439" w:type="dxa"/>
          </w:tcPr>
          <w:p w14:paraId="0CD508A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63BA356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=C16*100/D16</w:instrText>
            </w:r>
            <w:r w:rsidRPr="00AC1877">
              <w:rPr>
                <w:rFonts w:ascii="Arial" w:hAnsi="Arial" w:cs="Arial"/>
                <w:color w:val="000000"/>
                <w:sz w:val="20"/>
                <w:szCs w:val="20"/>
              </w:rPr>
              <w:fldChar w:fldCharType="separate"/>
            </w:r>
            <w:r w:rsidRPr="00AC1877">
              <w:rPr>
                <w:rFonts w:ascii="Arial" w:hAnsi="Arial" w:cs="Arial"/>
                <w:color w:val="000000"/>
                <w:sz w:val="20"/>
                <w:szCs w:val="20"/>
              </w:rPr>
              <w:t>2.5</w:t>
            </w:r>
            <w:r w:rsidRPr="00AC1877">
              <w:rPr>
                <w:rFonts w:ascii="Arial" w:hAnsi="Arial" w:cs="Arial"/>
                <w:color w:val="000000"/>
                <w:sz w:val="20"/>
                <w:szCs w:val="20"/>
              </w:rPr>
              <w:fldChar w:fldCharType="end"/>
            </w:r>
          </w:p>
        </w:tc>
      </w:tr>
      <w:tr w:rsidR="00AC1877" w:rsidRPr="00AC1877" w14:paraId="76F4794A" w14:textId="77777777" w:rsidTr="007712F0">
        <w:trPr>
          <w:jc w:val="right"/>
        </w:trPr>
        <w:tc>
          <w:tcPr>
            <w:tcW w:w="2144" w:type="dxa"/>
          </w:tcPr>
          <w:p w14:paraId="545FF81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Tryptophan</w:t>
            </w:r>
          </w:p>
        </w:tc>
        <w:tc>
          <w:tcPr>
            <w:tcW w:w="1117" w:type="dxa"/>
          </w:tcPr>
          <w:p w14:paraId="00BCECE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15.201</w:t>
            </w:r>
          </w:p>
        </w:tc>
        <w:tc>
          <w:tcPr>
            <w:tcW w:w="850" w:type="dxa"/>
          </w:tcPr>
          <w:p w14:paraId="6AD971B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3.417</w:t>
            </w:r>
          </w:p>
        </w:tc>
        <w:tc>
          <w:tcPr>
            <w:tcW w:w="1276" w:type="dxa"/>
          </w:tcPr>
          <w:p w14:paraId="32ECA03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204.23</w:t>
            </w:r>
          </w:p>
        </w:tc>
        <w:tc>
          <w:tcPr>
            <w:tcW w:w="1439" w:type="dxa"/>
          </w:tcPr>
          <w:p w14:paraId="3ACA89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11</w:t>
            </w:r>
            <w:r w:rsidRPr="00AC1877">
              <w:rPr>
                <w:rFonts w:ascii="Arial" w:hAnsi="Arial" w:cs="Arial"/>
                <w:color w:val="000000"/>
                <w:sz w:val="20"/>
                <w:szCs w:val="20"/>
              </w:rPr>
              <w:t>H</w:t>
            </w:r>
            <w:r w:rsidRPr="00AC1877">
              <w:rPr>
                <w:rFonts w:ascii="Arial" w:hAnsi="Arial" w:cs="Arial"/>
                <w:color w:val="000000"/>
                <w:sz w:val="20"/>
                <w:szCs w:val="20"/>
                <w:vertAlign w:val="subscript"/>
              </w:rPr>
              <w:t>12</w:t>
            </w:r>
            <w:r w:rsidRPr="00AC1877">
              <w:rPr>
                <w:rFonts w:ascii="Arial" w:hAnsi="Arial" w:cs="Arial"/>
                <w:color w:val="000000"/>
                <w:sz w:val="20"/>
                <w:szCs w:val="20"/>
              </w:rPr>
              <w:t>N</w:t>
            </w:r>
            <w:r w:rsidRPr="00AC1877">
              <w:rPr>
                <w:rFonts w:ascii="Arial" w:hAnsi="Arial" w:cs="Arial"/>
                <w:color w:val="000000"/>
                <w:sz w:val="20"/>
                <w:szCs w:val="20"/>
                <w:vertAlign w:val="subscript"/>
              </w:rPr>
              <w:t>2</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705720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=C17*100/D17</w:instrText>
            </w:r>
            <w:r w:rsidRPr="00AC1877">
              <w:rPr>
                <w:rFonts w:ascii="Arial" w:hAnsi="Arial" w:cs="Arial"/>
                <w:color w:val="000000"/>
                <w:sz w:val="20"/>
                <w:szCs w:val="20"/>
              </w:rPr>
              <w:fldChar w:fldCharType="separate"/>
            </w:r>
            <w:r w:rsidRPr="00AC1877">
              <w:rPr>
                <w:rFonts w:ascii="Arial" w:hAnsi="Arial" w:cs="Arial"/>
                <w:color w:val="000000"/>
                <w:sz w:val="20"/>
                <w:szCs w:val="20"/>
              </w:rPr>
              <w:t>1.67</w:t>
            </w:r>
            <w:r w:rsidRPr="00AC1877">
              <w:rPr>
                <w:rFonts w:ascii="Arial" w:hAnsi="Arial" w:cs="Arial"/>
                <w:color w:val="000000"/>
                <w:sz w:val="20"/>
                <w:szCs w:val="20"/>
              </w:rPr>
              <w:fldChar w:fldCharType="end"/>
            </w:r>
          </w:p>
        </w:tc>
      </w:tr>
      <w:tr w:rsidR="00AC1877" w:rsidRPr="00AC1877" w14:paraId="7B37D375" w14:textId="77777777" w:rsidTr="007712F0">
        <w:trPr>
          <w:jc w:val="right"/>
        </w:trPr>
        <w:tc>
          <w:tcPr>
            <w:tcW w:w="2144" w:type="dxa"/>
            <w:tcBorders>
              <w:bottom w:val="single" w:sz="6" w:space="0" w:color="000000"/>
            </w:tcBorders>
          </w:tcPr>
          <w:p w14:paraId="1BDE0AA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Cystine</w:t>
            </w:r>
          </w:p>
        </w:tc>
        <w:tc>
          <w:tcPr>
            <w:tcW w:w="1117" w:type="dxa"/>
            <w:tcBorders>
              <w:bottom w:val="single" w:sz="6" w:space="0" w:color="000000"/>
            </w:tcBorders>
          </w:tcPr>
          <w:p w14:paraId="304BDC1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15.870</w:t>
            </w:r>
          </w:p>
        </w:tc>
        <w:tc>
          <w:tcPr>
            <w:tcW w:w="850" w:type="dxa"/>
            <w:tcBorders>
              <w:bottom w:val="single" w:sz="6" w:space="0" w:color="000000"/>
            </w:tcBorders>
          </w:tcPr>
          <w:p w14:paraId="69486C3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12.603</w:t>
            </w:r>
          </w:p>
        </w:tc>
        <w:tc>
          <w:tcPr>
            <w:tcW w:w="1276" w:type="dxa"/>
            <w:tcBorders>
              <w:bottom w:val="single" w:sz="6" w:space="0" w:color="000000"/>
            </w:tcBorders>
          </w:tcPr>
          <w:p w14:paraId="1A6CB42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121.16</w:t>
            </w:r>
          </w:p>
        </w:tc>
        <w:tc>
          <w:tcPr>
            <w:tcW w:w="1439" w:type="dxa"/>
            <w:tcBorders>
              <w:bottom w:val="single" w:sz="6" w:space="0" w:color="000000"/>
            </w:tcBorders>
          </w:tcPr>
          <w:p w14:paraId="57490AA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r w:rsidRPr="00AC1877">
              <w:rPr>
                <w:rFonts w:ascii="Arial" w:hAnsi="Arial" w:cs="Arial"/>
                <w:color w:val="000000"/>
                <w:sz w:val="20"/>
                <w:szCs w:val="20"/>
              </w:rPr>
              <w:t>S</w:t>
            </w:r>
          </w:p>
        </w:tc>
        <w:tc>
          <w:tcPr>
            <w:tcW w:w="1689" w:type="dxa"/>
            <w:tcBorders>
              <w:bottom w:val="single" w:sz="6" w:space="0" w:color="000000"/>
            </w:tcBorders>
          </w:tcPr>
          <w:p w14:paraId="282A562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10.4</w:t>
            </w:r>
            <w:commentRangeEnd w:id="15"/>
            <w:r w:rsidR="00EA4481">
              <w:rPr>
                <w:rStyle w:val="CommentReference"/>
                <w:rFonts w:ascii="Times New Roman" w:eastAsia="Times New Roman" w:hAnsi="Times New Roman" w:cs="Times New Roman"/>
                <w:lang w:val="nb-NO" w:eastAsia="nb-NO"/>
              </w:rPr>
              <w:commentReference w:id="15"/>
            </w:r>
          </w:p>
        </w:tc>
      </w:tr>
    </w:tbl>
    <w:p w14:paraId="27B81FAC" w14:textId="77777777" w:rsidR="00323FEA" w:rsidRDefault="00323FEA" w:rsidP="00AC1877">
      <w:pPr>
        <w:rPr>
          <w:rFonts w:ascii="Arial" w:hAnsi="Arial" w:cs="Arial"/>
          <w:b/>
          <w:bCs/>
        </w:rPr>
      </w:pPr>
    </w:p>
    <w:p w14:paraId="5DA3E02D" w14:textId="77777777" w:rsidR="00AC1877" w:rsidRPr="00AC1877" w:rsidRDefault="00323FEA" w:rsidP="00AC1877">
      <w:pPr>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2 </w:t>
      </w:r>
      <w:r w:rsidR="00AC1877" w:rsidRPr="00AC1877">
        <w:rPr>
          <w:rFonts w:ascii="Arial" w:hAnsi="Arial" w:cs="Arial"/>
          <w:b/>
          <w:bCs/>
        </w:rPr>
        <w:t xml:space="preserve">Mineral   composition analysis of </w:t>
      </w:r>
      <w:r w:rsidR="00AC1877" w:rsidRPr="00AC1877">
        <w:rPr>
          <w:rFonts w:ascii="Arial" w:hAnsi="Arial" w:cs="Arial"/>
          <w:i/>
          <w:iCs/>
        </w:rPr>
        <w:t>Pontederia crassipes</w:t>
      </w:r>
      <w:r w:rsidR="00AC1877" w:rsidRPr="00AC1877">
        <w:rPr>
          <w:rFonts w:ascii="Arial" w:hAnsi="Arial" w:cs="Arial"/>
          <w:b/>
          <w:bCs/>
        </w:rPr>
        <w:t xml:space="preserve"> leaf extract</w:t>
      </w:r>
    </w:p>
    <w:p w14:paraId="72DBFE41" w14:textId="77777777" w:rsidR="00AC1877" w:rsidRPr="00AC1877" w:rsidRDefault="00AC1877" w:rsidP="00AC1877">
      <w:pPr>
        <w:spacing w:after="120"/>
        <w:jc w:val="both"/>
        <w:rPr>
          <w:rFonts w:ascii="Arial" w:hAnsi="Arial" w:cs="Arial"/>
        </w:rPr>
      </w:pPr>
      <w:r w:rsidRPr="00AC1877">
        <w:rPr>
          <w:rFonts w:ascii="Arial" w:hAnsi="Arial" w:cs="Arial"/>
        </w:rPr>
        <w:t xml:space="preserve">The determination of mineral content in </w:t>
      </w:r>
      <w:r w:rsidRPr="00AC1877">
        <w:rPr>
          <w:rFonts w:ascii="Arial" w:hAnsi="Arial" w:cs="Arial"/>
          <w:i/>
          <w:iCs/>
        </w:rPr>
        <w:t>P. crassipes</w:t>
      </w:r>
      <w:r w:rsidRPr="00AC1877">
        <w:rPr>
          <w:rFonts w:ascii="Arial" w:hAnsi="Arial" w:cs="Arial"/>
        </w:rPr>
        <w:t xml:space="preserve"> (water hyacinth) is essential for understanding its nutritional value, ecological role, and potential application in phytoremediation. Based on standard plant nutrition classification, macronutrients are required in larger quantities, while micronutrients are needed in trace amounts. Macronutrients (High concentration in plant tissue). These are generally present at levels above 1 mg/l in plant tissues. The concentration of macronutrients present in the leaf extract of </w:t>
      </w:r>
      <w:r w:rsidRPr="00AC1877">
        <w:rPr>
          <w:rFonts w:ascii="Arial" w:hAnsi="Arial" w:cs="Arial"/>
          <w:i/>
          <w:iCs/>
        </w:rPr>
        <w:t xml:space="preserve">Pontederia crassipes </w:t>
      </w:r>
      <w:r w:rsidRPr="00AC1877">
        <w:rPr>
          <w:rFonts w:ascii="Arial" w:hAnsi="Arial" w:cs="Arial"/>
        </w:rPr>
        <w:t xml:space="preserve">is presented in Figure 2.  Micronutrients (Trace elements in small amounts). These are typically present at less than 1 mg/l in plant tissues (except iron and manganese, which are sometimes in the low ppm range but still classed as micronutrients). The concentration of micronutrients present in the leaf extract of </w:t>
      </w:r>
      <w:r w:rsidRPr="00AC1877">
        <w:rPr>
          <w:rFonts w:ascii="Arial" w:hAnsi="Arial" w:cs="Arial"/>
          <w:i/>
          <w:iCs/>
        </w:rPr>
        <w:t>P. crassipes</w:t>
      </w:r>
      <w:r w:rsidRPr="00AC1877">
        <w:rPr>
          <w:rFonts w:ascii="Arial" w:hAnsi="Arial" w:cs="Arial"/>
        </w:rPr>
        <w:t xml:space="preserve"> is presented in Fig 3.</w:t>
      </w:r>
    </w:p>
    <w:p w14:paraId="7CB5F0A1" w14:textId="77777777" w:rsidR="00AC1877" w:rsidRPr="00AC1877" w:rsidRDefault="00AC1877" w:rsidP="00AC1877">
      <w:pPr>
        <w:jc w:val="both"/>
        <w:rPr>
          <w:rFonts w:ascii="Arial" w:hAnsi="Arial" w:cs="Arial"/>
          <w:i/>
          <w:iCs/>
        </w:rPr>
      </w:pPr>
    </w:p>
    <w:p w14:paraId="6ADD5BC7" w14:textId="77777777" w:rsidR="00AC1877" w:rsidRPr="00AC1877" w:rsidRDefault="00AC1877" w:rsidP="00AC1877">
      <w:pPr>
        <w:jc w:val="center"/>
        <w:rPr>
          <w:rFonts w:ascii="Arial" w:hAnsi="Arial" w:cs="Arial"/>
          <w:vertAlign w:val="subscript"/>
        </w:rPr>
      </w:pPr>
      <w:r w:rsidRPr="00AC1877">
        <w:rPr>
          <w:rFonts w:ascii="Arial" w:hAnsi="Arial" w:cs="Arial"/>
          <w:noProof/>
          <w:vertAlign w:val="subscript"/>
        </w:rPr>
        <w:lastRenderedPageBreak/>
        <w:drawing>
          <wp:inline distT="0" distB="0" distL="0" distR="0" wp14:anchorId="5699AB0B" wp14:editId="67B176E8">
            <wp:extent cx="5208905" cy="3616041"/>
            <wp:effectExtent l="0" t="0" r="10795" b="3810"/>
            <wp:docPr id="18165912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16D4E8" w14:textId="77777777" w:rsidR="00AC1877" w:rsidRPr="00AC1877" w:rsidRDefault="00AC1877" w:rsidP="00AC1877">
      <w:pPr>
        <w:jc w:val="center"/>
        <w:rPr>
          <w:rFonts w:ascii="Arial" w:hAnsi="Arial" w:cs="Arial"/>
          <w:b/>
          <w:bCs/>
          <w:i/>
          <w:iCs/>
        </w:rPr>
      </w:pPr>
      <w:r w:rsidRPr="00AC1877">
        <w:rPr>
          <w:rFonts w:ascii="Arial" w:hAnsi="Arial" w:cs="Arial"/>
          <w:b/>
          <w:bCs/>
        </w:rPr>
        <w:t xml:space="preserve">Figure 2. Macronutrients present in the leaf extract of </w:t>
      </w:r>
      <w:r w:rsidRPr="00AC1877">
        <w:rPr>
          <w:rFonts w:ascii="Arial" w:hAnsi="Arial" w:cs="Arial"/>
          <w:i/>
          <w:iCs/>
        </w:rPr>
        <w:t>Pontederia crassipes</w:t>
      </w:r>
    </w:p>
    <w:p w14:paraId="0BF2AC9D" w14:textId="77777777" w:rsidR="00AC1877" w:rsidRDefault="00AC1877" w:rsidP="00AC1877">
      <w:pPr>
        <w:jc w:val="center"/>
        <w:rPr>
          <w:rFonts w:ascii="Arial" w:hAnsi="Arial" w:cs="Arial"/>
          <w:b/>
          <w:bCs/>
          <w:i/>
          <w:iCs/>
          <w:vertAlign w:val="subscript"/>
        </w:rPr>
      </w:pPr>
    </w:p>
    <w:p w14:paraId="77D4BED3" w14:textId="77777777" w:rsidR="00323FEA" w:rsidRPr="00AC1877" w:rsidRDefault="00323FEA" w:rsidP="00AC1877">
      <w:pPr>
        <w:jc w:val="center"/>
        <w:rPr>
          <w:rFonts w:ascii="Arial" w:hAnsi="Arial" w:cs="Arial"/>
          <w:b/>
          <w:bCs/>
          <w:i/>
          <w:iCs/>
          <w:vertAlign w:val="subscript"/>
        </w:rPr>
      </w:pPr>
    </w:p>
    <w:p w14:paraId="37A9A2E8" w14:textId="77777777" w:rsidR="00AC1877" w:rsidRPr="00AC1877" w:rsidRDefault="00AC1877" w:rsidP="00AC1877">
      <w:pPr>
        <w:jc w:val="center"/>
        <w:rPr>
          <w:rFonts w:ascii="Arial" w:hAnsi="Arial" w:cs="Arial"/>
          <w:b/>
          <w:bCs/>
          <w:vertAlign w:val="subscript"/>
        </w:rPr>
      </w:pPr>
      <w:r w:rsidRPr="00AC1877">
        <w:rPr>
          <w:rFonts w:ascii="Arial" w:hAnsi="Arial" w:cs="Arial"/>
          <w:noProof/>
          <w:vertAlign w:val="subscript"/>
        </w:rPr>
        <w:drawing>
          <wp:inline distT="0" distB="0" distL="0" distR="0" wp14:anchorId="20E5DEBD" wp14:editId="1E2B8111">
            <wp:extent cx="5448935" cy="3130062"/>
            <wp:effectExtent l="0" t="0" r="18415" b="13335"/>
            <wp:docPr id="12994119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DB7AAC" w14:textId="77777777" w:rsidR="00AC1877" w:rsidRPr="00AC1877" w:rsidRDefault="00AC1877" w:rsidP="00AC1877">
      <w:pPr>
        <w:jc w:val="center"/>
        <w:rPr>
          <w:rFonts w:ascii="Arial" w:hAnsi="Arial" w:cs="Arial"/>
          <w:b/>
          <w:bCs/>
        </w:rPr>
      </w:pPr>
      <w:r w:rsidRPr="00AC1877">
        <w:rPr>
          <w:rFonts w:ascii="Arial" w:hAnsi="Arial" w:cs="Arial"/>
          <w:b/>
          <w:bCs/>
        </w:rPr>
        <w:t xml:space="preserve">Figure 3. Micronutrients present in the leaf extract of </w:t>
      </w:r>
      <w:r w:rsidRPr="00AC1877">
        <w:rPr>
          <w:rFonts w:ascii="Arial" w:hAnsi="Arial" w:cs="Arial"/>
          <w:i/>
          <w:iCs/>
        </w:rPr>
        <w:t>Pontederia crassipes</w:t>
      </w:r>
    </w:p>
    <w:p w14:paraId="5BFDCA89" w14:textId="77777777" w:rsidR="00AC1877" w:rsidRDefault="00AC1877" w:rsidP="00AC1877">
      <w:pPr>
        <w:spacing w:after="120"/>
        <w:outlineLvl w:val="1"/>
        <w:rPr>
          <w:rFonts w:ascii="Arial" w:hAnsi="Arial" w:cs="Arial"/>
          <w:b/>
          <w:bCs/>
        </w:rPr>
      </w:pPr>
      <w:r w:rsidRPr="00AC1877">
        <w:rPr>
          <w:rFonts w:ascii="Arial" w:hAnsi="Arial" w:cs="Arial"/>
          <w:b/>
          <w:bCs/>
        </w:rPr>
        <w:t>Antioxidants Analysis</w:t>
      </w:r>
    </w:p>
    <w:p w14:paraId="324FD080" w14:textId="77777777" w:rsidR="00323FEA" w:rsidRPr="00AC1877" w:rsidRDefault="00323FEA" w:rsidP="00AC1877">
      <w:pPr>
        <w:spacing w:after="120"/>
        <w:outlineLvl w:val="1"/>
        <w:rPr>
          <w:rFonts w:ascii="Arial" w:hAnsi="Arial" w:cs="Arial"/>
          <w:b/>
          <w:bCs/>
        </w:rPr>
      </w:pPr>
    </w:p>
    <w:p w14:paraId="3AFE8A1A" w14:textId="77777777" w:rsidR="00AC1877" w:rsidRPr="00AC1877" w:rsidRDefault="00AC1877" w:rsidP="00AC1877">
      <w:pPr>
        <w:spacing w:after="120"/>
        <w:outlineLvl w:val="1"/>
        <w:rPr>
          <w:rFonts w:ascii="Arial" w:hAnsi="Arial" w:cs="Arial"/>
          <w:b/>
          <w:bCs/>
        </w:rPr>
      </w:pPr>
      <w:r w:rsidRPr="00AC1877">
        <w:rPr>
          <w:rFonts w:ascii="Arial" w:hAnsi="Arial" w:cs="Arial"/>
          <w:b/>
          <w:bCs/>
        </w:rPr>
        <w:lastRenderedPageBreak/>
        <w:t xml:space="preserve"> </w:t>
      </w:r>
      <w:r w:rsidR="00323FEA">
        <w:rPr>
          <w:rFonts w:ascii="Arial" w:hAnsi="Arial" w:cs="Arial"/>
          <w:b/>
          <w:bCs/>
        </w:rPr>
        <w:t>3.</w:t>
      </w:r>
      <w:r w:rsidR="000829A3">
        <w:rPr>
          <w:rFonts w:ascii="Arial" w:hAnsi="Arial" w:cs="Arial"/>
          <w:b/>
          <w:bCs/>
        </w:rPr>
        <w:t>1.</w:t>
      </w:r>
      <w:r w:rsidR="00323FEA">
        <w:rPr>
          <w:rFonts w:ascii="Arial" w:hAnsi="Arial" w:cs="Arial"/>
          <w:b/>
          <w:bCs/>
        </w:rPr>
        <w:t xml:space="preserve">3 </w:t>
      </w:r>
      <w:commentRangeStart w:id="16"/>
      <w:r w:rsidRPr="00AC1877">
        <w:rPr>
          <w:rFonts w:ascii="Arial" w:hAnsi="Arial" w:cs="Arial"/>
          <w:b/>
          <w:bCs/>
        </w:rPr>
        <w:t>DPPH Radical Scavenging Activity</w:t>
      </w:r>
      <w:commentRangeEnd w:id="16"/>
      <w:r w:rsidR="00752853">
        <w:rPr>
          <w:rStyle w:val="CommentReference"/>
          <w:rFonts w:ascii="Times New Roman" w:hAnsi="Times New Roman"/>
          <w:lang w:val="nb-NO" w:eastAsia="nb-NO"/>
        </w:rPr>
        <w:commentReference w:id="16"/>
      </w:r>
    </w:p>
    <w:p w14:paraId="5204EBD9" w14:textId="77777777" w:rsidR="00AC1877" w:rsidRPr="00AC1877" w:rsidRDefault="00AC1877" w:rsidP="00AC1877">
      <w:pPr>
        <w:jc w:val="both"/>
        <w:rPr>
          <w:rFonts w:ascii="Arial" w:hAnsi="Arial" w:cs="Arial"/>
        </w:rPr>
      </w:pPr>
      <w:r w:rsidRPr="00AC1877">
        <w:rPr>
          <w:rFonts w:ascii="Arial" w:hAnsi="Arial" w:cs="Arial"/>
        </w:rPr>
        <w:t>The extract exhibited strong activity against DPPH radicals in a concentration-dependent manner. At 10 mg/mL, scavenging activity was 78.52%, which increased steadily to 89.87% at 80 mg/</w:t>
      </w:r>
      <w:proofErr w:type="spellStart"/>
      <w:r w:rsidRPr="00AC1877">
        <w:rPr>
          <w:rFonts w:ascii="Arial" w:hAnsi="Arial" w:cs="Arial"/>
        </w:rPr>
        <w:t>mL.</w:t>
      </w:r>
      <w:proofErr w:type="spellEnd"/>
      <w:r w:rsidRPr="00AC1877">
        <w:rPr>
          <w:rFonts w:ascii="Arial" w:hAnsi="Arial" w:cs="Arial"/>
        </w:rPr>
        <w:t xml:space="preserve"> The extract compared </w:t>
      </w:r>
      <w:proofErr w:type="spellStart"/>
      <w:r w:rsidRPr="00AC1877">
        <w:rPr>
          <w:rFonts w:ascii="Arial" w:hAnsi="Arial" w:cs="Arial"/>
        </w:rPr>
        <w:t>favourably</w:t>
      </w:r>
      <w:proofErr w:type="spellEnd"/>
      <w:r w:rsidRPr="00AC1877">
        <w:rPr>
          <w:rFonts w:ascii="Arial" w:hAnsi="Arial" w:cs="Arial"/>
        </w:rPr>
        <w:t xml:space="preserve"> with the standard (BHT), which showed 95.50% activity at the highest concentration (Figure 4).</w:t>
      </w:r>
    </w:p>
    <w:p w14:paraId="21D8CCF5"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3E57E8B1" wp14:editId="06033A67">
            <wp:extent cx="3677920" cy="2361062"/>
            <wp:effectExtent l="0" t="0" r="0" b="1270"/>
            <wp:docPr id="1973496224" name="Chart 1">
              <a:extLst xmlns:a="http://schemas.openxmlformats.org/drawingml/2006/main">
                <a:ext uri="{FF2B5EF4-FFF2-40B4-BE49-F238E27FC236}">
                  <a16:creationId xmlns:a16="http://schemas.microsoft.com/office/drawing/2014/main" id="{5A78C3A8-8402-48F0-B4AD-4DC2F2354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3BA6C7" w14:textId="77777777" w:rsidR="00AC1877" w:rsidRPr="00323FEA" w:rsidRDefault="00AC1877" w:rsidP="00AC1877">
      <w:pPr>
        <w:jc w:val="center"/>
        <w:rPr>
          <w:rFonts w:ascii="Arial" w:hAnsi="Arial" w:cs="Arial"/>
          <w:b/>
        </w:rPr>
      </w:pPr>
      <w:r w:rsidRPr="00323FEA">
        <w:rPr>
          <w:rFonts w:ascii="Arial" w:hAnsi="Arial" w:cs="Arial"/>
          <w:b/>
        </w:rPr>
        <w:t xml:space="preserve">Figure 4:  Percentage DPPH Radical Scavenging Activity of </w:t>
      </w:r>
      <w:r w:rsidRPr="00323FEA">
        <w:rPr>
          <w:rFonts w:ascii="Arial" w:hAnsi="Arial" w:cs="Arial"/>
          <w:b/>
          <w:i/>
          <w:iCs/>
        </w:rPr>
        <w:t>P. crassipes</w:t>
      </w:r>
      <w:r w:rsidRPr="00323FEA">
        <w:rPr>
          <w:rFonts w:ascii="Arial" w:hAnsi="Arial" w:cs="Arial"/>
          <w:b/>
        </w:rPr>
        <w:t xml:space="preserve"> Extract</w:t>
      </w:r>
    </w:p>
    <w:p w14:paraId="2C79D69E" w14:textId="77777777" w:rsidR="00323FEA" w:rsidRDefault="00AC1877" w:rsidP="00AC1877">
      <w:pPr>
        <w:jc w:val="both"/>
        <w:rPr>
          <w:rFonts w:ascii="Arial" w:hAnsi="Arial" w:cs="Arial"/>
          <w:b/>
          <w:bCs/>
        </w:rPr>
      </w:pPr>
      <w:r w:rsidRPr="00AC1877">
        <w:rPr>
          <w:rFonts w:ascii="Arial" w:hAnsi="Arial" w:cs="Arial"/>
          <w:b/>
          <w:bCs/>
        </w:rPr>
        <w:t xml:space="preserve"> </w:t>
      </w:r>
    </w:p>
    <w:p w14:paraId="592B3953"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4 </w:t>
      </w:r>
      <w:r w:rsidR="00AC1877" w:rsidRPr="00AC1877">
        <w:rPr>
          <w:rFonts w:ascii="Arial" w:hAnsi="Arial" w:cs="Arial"/>
          <w:b/>
          <w:bCs/>
        </w:rPr>
        <w:t>ABTS Radical Scavenging Activity</w:t>
      </w:r>
    </w:p>
    <w:p w14:paraId="6A42FB64" w14:textId="77777777" w:rsidR="00AC1877" w:rsidRDefault="00AC1877" w:rsidP="00AC1877">
      <w:pPr>
        <w:jc w:val="both"/>
        <w:rPr>
          <w:rFonts w:ascii="Arial" w:hAnsi="Arial" w:cs="Arial"/>
        </w:rPr>
      </w:pPr>
      <w:r w:rsidRPr="00AC1877">
        <w:rPr>
          <w:rFonts w:ascii="Arial" w:hAnsi="Arial" w:cs="Arial"/>
        </w:rPr>
        <w:t xml:space="preserve">The ABTS assay also showed that </w:t>
      </w:r>
      <w:r w:rsidRPr="00AC1877">
        <w:rPr>
          <w:rFonts w:ascii="Arial" w:hAnsi="Arial" w:cs="Arial"/>
          <w:i/>
          <w:iCs/>
        </w:rPr>
        <w:t>P. crassipes</w:t>
      </w:r>
      <w:r w:rsidRPr="00AC1877">
        <w:rPr>
          <w:rFonts w:ascii="Arial" w:hAnsi="Arial" w:cs="Arial"/>
        </w:rPr>
        <w:t xml:space="preserve"> extract had notable free radical scavenging ability. At 100 µg/mL, the extract recorded 70.52% activity, increasing to 78.21% at 300 µg/</w:t>
      </w:r>
      <w:proofErr w:type="spellStart"/>
      <w:r w:rsidRPr="00AC1877">
        <w:rPr>
          <w:rFonts w:ascii="Arial" w:hAnsi="Arial" w:cs="Arial"/>
        </w:rPr>
        <w:t>mL.</w:t>
      </w:r>
      <w:proofErr w:type="spellEnd"/>
      <w:r w:rsidRPr="00AC1877">
        <w:rPr>
          <w:rFonts w:ascii="Arial" w:hAnsi="Arial" w:cs="Arial"/>
        </w:rPr>
        <w:t xml:space="preserve"> The values were slightly lower than the standard across concentrations but still indicated significant antioxidant potential (Figure 5).</w:t>
      </w:r>
    </w:p>
    <w:p w14:paraId="26B32E28" w14:textId="77777777" w:rsidR="00323FEA" w:rsidRPr="00AC1877" w:rsidRDefault="00323FEA" w:rsidP="00AC1877">
      <w:pPr>
        <w:jc w:val="both"/>
        <w:rPr>
          <w:rFonts w:ascii="Arial" w:hAnsi="Arial" w:cs="Arial"/>
        </w:rPr>
      </w:pPr>
    </w:p>
    <w:p w14:paraId="42FE6D8D"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43E1683F" wp14:editId="44E430FF">
            <wp:extent cx="3855085" cy="2402006"/>
            <wp:effectExtent l="0" t="0" r="12065" b="17780"/>
            <wp:docPr id="515657753" name="Chart 1">
              <a:extLst xmlns:a="http://schemas.openxmlformats.org/drawingml/2006/main">
                <a:ext uri="{FF2B5EF4-FFF2-40B4-BE49-F238E27FC236}">
                  <a16:creationId xmlns:a16="http://schemas.microsoft.com/office/drawing/2014/main" id="{4C93EC87-C0FE-40C9-B5E4-693523A8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BD9CD4" w14:textId="77777777" w:rsidR="00AC1877" w:rsidRPr="00323FEA" w:rsidRDefault="00AC1877" w:rsidP="00AC1877">
      <w:pPr>
        <w:jc w:val="center"/>
        <w:rPr>
          <w:rFonts w:ascii="Arial" w:hAnsi="Arial" w:cs="Arial"/>
          <w:b/>
        </w:rPr>
      </w:pPr>
      <w:r w:rsidRPr="00323FEA">
        <w:rPr>
          <w:rFonts w:ascii="Arial" w:hAnsi="Arial" w:cs="Arial"/>
          <w:b/>
        </w:rPr>
        <w:t xml:space="preserve">Figure 5: ABTS Radical Scavenging Activity of </w:t>
      </w:r>
      <w:r w:rsidRPr="00323FEA">
        <w:rPr>
          <w:rFonts w:ascii="Arial" w:hAnsi="Arial" w:cs="Arial"/>
          <w:b/>
          <w:i/>
          <w:iCs/>
        </w:rPr>
        <w:t>P. crassipes</w:t>
      </w:r>
      <w:r w:rsidRPr="00323FEA">
        <w:rPr>
          <w:rFonts w:ascii="Arial" w:hAnsi="Arial" w:cs="Arial"/>
          <w:b/>
        </w:rPr>
        <w:t xml:space="preserve"> Extract</w:t>
      </w:r>
    </w:p>
    <w:p w14:paraId="46364C5A" w14:textId="77777777" w:rsidR="00323FEA" w:rsidRDefault="00323FEA" w:rsidP="00AC1877">
      <w:pPr>
        <w:jc w:val="both"/>
        <w:rPr>
          <w:rFonts w:ascii="Arial" w:hAnsi="Arial" w:cs="Arial"/>
          <w:b/>
          <w:bCs/>
        </w:rPr>
      </w:pPr>
    </w:p>
    <w:p w14:paraId="2C1C02A5"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5 </w:t>
      </w:r>
      <w:r w:rsidR="00AC1877" w:rsidRPr="00AC1877">
        <w:rPr>
          <w:rFonts w:ascii="Arial" w:hAnsi="Arial" w:cs="Arial"/>
          <w:b/>
          <w:bCs/>
        </w:rPr>
        <w:t>Hydroxyl Radical Scavenging Activity</w:t>
      </w:r>
    </w:p>
    <w:p w14:paraId="499E47A3" w14:textId="77777777" w:rsidR="00AC1877" w:rsidRPr="00AC1877" w:rsidRDefault="00AC1877" w:rsidP="00AC1877">
      <w:pPr>
        <w:jc w:val="both"/>
        <w:rPr>
          <w:rFonts w:ascii="Arial" w:hAnsi="Arial" w:cs="Arial"/>
        </w:rPr>
      </w:pPr>
      <w:r w:rsidRPr="00AC1877">
        <w:rPr>
          <w:rFonts w:ascii="Arial" w:hAnsi="Arial" w:cs="Arial"/>
        </w:rPr>
        <w:t xml:space="preserve">The hydroxyl radical scavenging ability of </w:t>
      </w:r>
      <w:r w:rsidRPr="00AC1877">
        <w:rPr>
          <w:rFonts w:ascii="Arial" w:hAnsi="Arial" w:cs="Arial"/>
          <w:i/>
          <w:iCs/>
        </w:rPr>
        <w:t>P. crassipes</w:t>
      </w:r>
      <w:r w:rsidRPr="00AC1877">
        <w:rPr>
          <w:rFonts w:ascii="Arial" w:hAnsi="Arial" w:cs="Arial"/>
        </w:rPr>
        <w:t xml:space="preserve"> extract increased with concentration. At 5 mg/mL, the extract showed 59.87% activity, while at 20 mg/mL, activity rose to 62.23%. Although lower than the control values, the result demonstrates a dose-dependent increase (Figure 6).</w:t>
      </w:r>
    </w:p>
    <w:p w14:paraId="582F0DEF" w14:textId="77777777" w:rsidR="00AC1877" w:rsidRPr="00AC1877" w:rsidRDefault="00AC1877" w:rsidP="00AC1877">
      <w:pPr>
        <w:jc w:val="center"/>
        <w:rPr>
          <w:rFonts w:ascii="Arial" w:hAnsi="Arial" w:cs="Arial"/>
        </w:rPr>
      </w:pPr>
      <w:r w:rsidRPr="00AC1877">
        <w:rPr>
          <w:rFonts w:ascii="Arial" w:hAnsi="Arial" w:cs="Arial"/>
          <w:noProof/>
        </w:rPr>
        <w:lastRenderedPageBreak/>
        <w:drawing>
          <wp:inline distT="0" distB="0" distL="0" distR="0" wp14:anchorId="10B52796" wp14:editId="01388D98">
            <wp:extent cx="4045585" cy="2313296"/>
            <wp:effectExtent l="0" t="0" r="0" b="0"/>
            <wp:docPr id="887293599" name="Chart 1">
              <a:extLst xmlns:a="http://schemas.openxmlformats.org/drawingml/2006/main">
                <a:ext uri="{FF2B5EF4-FFF2-40B4-BE49-F238E27FC236}">
                  <a16:creationId xmlns:a16="http://schemas.microsoft.com/office/drawing/2014/main" id="{0ADFEBC4-C4DE-44D5-9A6D-5C3FA9B63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365BDF" w14:textId="77777777" w:rsidR="00AC1877" w:rsidRPr="00323FEA" w:rsidRDefault="00AC1877" w:rsidP="00AC1877">
      <w:pPr>
        <w:jc w:val="center"/>
        <w:rPr>
          <w:rFonts w:ascii="Arial" w:hAnsi="Arial" w:cs="Arial"/>
          <w:b/>
        </w:rPr>
      </w:pPr>
      <w:r w:rsidRPr="00323FEA">
        <w:rPr>
          <w:rFonts w:ascii="Arial" w:hAnsi="Arial" w:cs="Arial"/>
          <w:b/>
        </w:rPr>
        <w:t xml:space="preserve">Figure 6: Hydroxyl Radical Scavenging Activity of </w:t>
      </w:r>
      <w:r w:rsidRPr="00323FEA">
        <w:rPr>
          <w:rFonts w:ascii="Arial" w:hAnsi="Arial" w:cs="Arial"/>
          <w:b/>
          <w:i/>
          <w:iCs/>
        </w:rPr>
        <w:t>P. crassipes</w:t>
      </w:r>
      <w:r w:rsidRPr="00323FEA">
        <w:rPr>
          <w:rFonts w:ascii="Arial" w:hAnsi="Arial" w:cs="Arial"/>
          <w:b/>
        </w:rPr>
        <w:t xml:space="preserve"> Extract</w:t>
      </w:r>
    </w:p>
    <w:p w14:paraId="606F4FE1" w14:textId="77777777" w:rsidR="00323FEA" w:rsidRPr="00AC1877" w:rsidRDefault="00323FEA" w:rsidP="00AC1877">
      <w:pPr>
        <w:jc w:val="center"/>
        <w:rPr>
          <w:rFonts w:ascii="Arial" w:hAnsi="Arial" w:cs="Arial"/>
          <w:b/>
          <w:bCs/>
        </w:rPr>
      </w:pPr>
    </w:p>
    <w:p w14:paraId="29584AB9"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6 </w:t>
      </w:r>
      <w:r w:rsidR="00AC1877" w:rsidRPr="00AC1877">
        <w:rPr>
          <w:rFonts w:ascii="Arial" w:hAnsi="Arial" w:cs="Arial"/>
          <w:b/>
          <w:bCs/>
        </w:rPr>
        <w:t>Ferric Reducing Antioxidant Power (FRAP)</w:t>
      </w:r>
    </w:p>
    <w:p w14:paraId="3B3768D5" w14:textId="77777777" w:rsidR="00AC1877" w:rsidRPr="00AC1877" w:rsidRDefault="00AC1877" w:rsidP="00AC1877">
      <w:pPr>
        <w:jc w:val="both"/>
        <w:rPr>
          <w:rFonts w:ascii="Arial" w:hAnsi="Arial" w:cs="Arial"/>
        </w:rPr>
      </w:pPr>
      <w:r w:rsidRPr="00AC1877">
        <w:rPr>
          <w:rFonts w:ascii="Arial" w:hAnsi="Arial" w:cs="Arial"/>
        </w:rPr>
        <w:t>The ferric reducing power of the extract increased with concentration but remained consistently lower than the standard. At 10 µg/mL, reducing power was 17.38%, while at 80 µg/mL it reached 40.29%. By contrast, the standard showed much higher reducing capacity, with 94.59% activity at the same concentration (Figure 7).</w:t>
      </w:r>
    </w:p>
    <w:p w14:paraId="57BD941C"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2879880E" wp14:editId="719CA35C">
            <wp:extent cx="4051935" cy="2374711"/>
            <wp:effectExtent l="0" t="0" r="5715" b="6985"/>
            <wp:docPr id="1890572218" name="Chart 1">
              <a:extLst xmlns:a="http://schemas.openxmlformats.org/drawingml/2006/main">
                <a:ext uri="{FF2B5EF4-FFF2-40B4-BE49-F238E27FC236}">
                  <a16:creationId xmlns:a16="http://schemas.microsoft.com/office/drawing/2014/main" id="{3188F5B4-F42F-43E3-82DD-5B366C2A6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E7E31F" w14:textId="77777777" w:rsidR="00AC1877" w:rsidRPr="00323FEA" w:rsidRDefault="00AC1877" w:rsidP="00AC1877">
      <w:pPr>
        <w:jc w:val="center"/>
        <w:rPr>
          <w:rFonts w:ascii="Arial" w:hAnsi="Arial" w:cs="Arial"/>
          <w:b/>
        </w:rPr>
      </w:pPr>
      <w:r w:rsidRPr="00323FEA">
        <w:rPr>
          <w:rFonts w:ascii="Arial" w:hAnsi="Arial" w:cs="Arial"/>
          <w:b/>
        </w:rPr>
        <w:t xml:space="preserve">Figure 7: Ferric Reducing Antioxidant Power (FRAP) of </w:t>
      </w:r>
      <w:r w:rsidRPr="00323FEA">
        <w:rPr>
          <w:rFonts w:ascii="Arial" w:hAnsi="Arial" w:cs="Arial"/>
          <w:b/>
          <w:i/>
          <w:iCs/>
        </w:rPr>
        <w:t>P. crassipes</w:t>
      </w:r>
      <w:r w:rsidRPr="00323FEA">
        <w:rPr>
          <w:rFonts w:ascii="Arial" w:hAnsi="Arial" w:cs="Arial"/>
          <w:b/>
        </w:rPr>
        <w:t xml:space="preserve"> Extract</w:t>
      </w:r>
    </w:p>
    <w:p w14:paraId="4100D3C9" w14:textId="77777777" w:rsidR="00323FEA" w:rsidRDefault="00323FEA" w:rsidP="00AC1877">
      <w:pPr>
        <w:jc w:val="both"/>
        <w:rPr>
          <w:rFonts w:ascii="Arial" w:hAnsi="Arial" w:cs="Arial"/>
          <w:b/>
          <w:bCs/>
        </w:rPr>
      </w:pPr>
    </w:p>
    <w:p w14:paraId="57C99059"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7 </w:t>
      </w:r>
      <w:proofErr w:type="spellStart"/>
      <w:r w:rsidR="00AC1877" w:rsidRPr="00AC1877">
        <w:rPr>
          <w:rFonts w:ascii="Arial" w:hAnsi="Arial" w:cs="Arial"/>
          <w:b/>
          <w:bCs/>
        </w:rPr>
        <w:t>Phosphomolybdenum</w:t>
      </w:r>
      <w:proofErr w:type="spellEnd"/>
      <w:r w:rsidR="00AC1877" w:rsidRPr="00AC1877">
        <w:rPr>
          <w:rFonts w:ascii="Arial" w:hAnsi="Arial" w:cs="Arial"/>
          <w:b/>
          <w:bCs/>
        </w:rPr>
        <w:t xml:space="preserve"> Antioxidant Power Assay (PAP) </w:t>
      </w:r>
    </w:p>
    <w:p w14:paraId="6AB3875D" w14:textId="77777777" w:rsidR="00AC1877" w:rsidRPr="00AC1877" w:rsidRDefault="00AC1877" w:rsidP="00AC1877">
      <w:pPr>
        <w:jc w:val="both"/>
        <w:rPr>
          <w:rFonts w:ascii="Arial" w:hAnsi="Arial" w:cs="Arial"/>
        </w:rPr>
      </w:pPr>
      <w:r w:rsidRPr="00AC1877">
        <w:rPr>
          <w:rFonts w:ascii="Arial" w:hAnsi="Arial" w:cs="Arial"/>
        </w:rPr>
        <w:t xml:space="preserve">At the lowest concentration of 10 mg/mL, the </w:t>
      </w:r>
      <w:r w:rsidRPr="00AC1877">
        <w:rPr>
          <w:rFonts w:ascii="Arial" w:hAnsi="Arial" w:cs="Arial"/>
          <w:i/>
          <w:iCs/>
        </w:rPr>
        <w:t>P. crassipes</w:t>
      </w:r>
      <w:r w:rsidRPr="00AC1877">
        <w:rPr>
          <w:rFonts w:ascii="Arial" w:hAnsi="Arial" w:cs="Arial"/>
        </w:rPr>
        <w:t xml:space="preserve"> extract showed an absorbance of 0.084, indicating some antioxidant activity even at minimal levels. As the concentration increased up to 80 mg/mL, the absorbance rose to 0.111, suggesting a dose-dependent increase in total antioxidant capacity. When compared to garlic, which had higher values at all concentrations, the </w:t>
      </w:r>
      <w:r w:rsidRPr="00AC1877">
        <w:rPr>
          <w:rFonts w:ascii="Arial" w:hAnsi="Arial" w:cs="Arial"/>
          <w:i/>
          <w:iCs/>
        </w:rPr>
        <w:t>P. crassipes</w:t>
      </w:r>
      <w:r w:rsidRPr="00AC1877">
        <w:rPr>
          <w:rFonts w:ascii="Arial" w:hAnsi="Arial" w:cs="Arial"/>
        </w:rPr>
        <w:t xml:space="preserve"> comparatively moderate antioxidant potential across the tested range (Figure 8).</w:t>
      </w:r>
    </w:p>
    <w:p w14:paraId="045CDD3F" w14:textId="77777777" w:rsidR="00AC1877" w:rsidRPr="00AC1877" w:rsidRDefault="00AC1877" w:rsidP="00AC1877">
      <w:pPr>
        <w:jc w:val="both"/>
        <w:rPr>
          <w:rFonts w:ascii="Arial" w:hAnsi="Arial" w:cs="Arial"/>
        </w:rPr>
      </w:pPr>
    </w:p>
    <w:p w14:paraId="79A060EC" w14:textId="77777777" w:rsidR="00AC1877" w:rsidRPr="00AC1877" w:rsidRDefault="00AC1877" w:rsidP="00AC1877">
      <w:pPr>
        <w:jc w:val="center"/>
        <w:rPr>
          <w:rFonts w:ascii="Arial" w:hAnsi="Arial" w:cs="Arial"/>
        </w:rPr>
      </w:pPr>
      <w:r w:rsidRPr="00AC1877">
        <w:rPr>
          <w:rFonts w:ascii="Arial" w:hAnsi="Arial" w:cs="Arial"/>
          <w:noProof/>
        </w:rPr>
        <w:lastRenderedPageBreak/>
        <w:drawing>
          <wp:inline distT="0" distB="0" distL="0" distR="0" wp14:anchorId="1E869CFB" wp14:editId="2133E188">
            <wp:extent cx="4227683" cy="2672715"/>
            <wp:effectExtent l="0" t="0" r="1905" b="0"/>
            <wp:docPr id="346819009" name="Chart 1">
              <a:extLst xmlns:a="http://schemas.openxmlformats.org/drawingml/2006/main">
                <a:ext uri="{FF2B5EF4-FFF2-40B4-BE49-F238E27FC236}">
                  <a16:creationId xmlns:a16="http://schemas.microsoft.com/office/drawing/2014/main" id="{2785BD77-4E7B-4002-8F99-E314E3406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B32FEE" w14:textId="77777777" w:rsidR="00AC1877" w:rsidRPr="000829A3" w:rsidRDefault="00AC1877" w:rsidP="00AC1877">
      <w:pPr>
        <w:jc w:val="center"/>
        <w:rPr>
          <w:rFonts w:ascii="Arial" w:hAnsi="Arial" w:cs="Arial"/>
          <w:b/>
          <w:bCs/>
        </w:rPr>
      </w:pPr>
      <w:r w:rsidRPr="000829A3">
        <w:rPr>
          <w:rFonts w:ascii="Arial" w:hAnsi="Arial" w:cs="Arial"/>
          <w:b/>
          <w:bCs/>
        </w:rPr>
        <w:t xml:space="preserve">Figure 8: </w:t>
      </w:r>
      <w:proofErr w:type="spellStart"/>
      <w:r w:rsidRPr="000829A3">
        <w:rPr>
          <w:rFonts w:ascii="Arial" w:hAnsi="Arial" w:cs="Arial"/>
          <w:b/>
          <w:bCs/>
        </w:rPr>
        <w:t>Phosphomolybdenum</w:t>
      </w:r>
      <w:proofErr w:type="spellEnd"/>
      <w:r w:rsidRPr="000829A3">
        <w:rPr>
          <w:rFonts w:ascii="Arial" w:hAnsi="Arial" w:cs="Arial"/>
          <w:b/>
          <w:bCs/>
        </w:rPr>
        <w:t xml:space="preserve"> Antioxidant Power (PAP) of </w:t>
      </w:r>
      <w:r w:rsidRPr="000829A3">
        <w:rPr>
          <w:rFonts w:ascii="Arial" w:hAnsi="Arial" w:cs="Arial"/>
          <w:b/>
          <w:bCs/>
          <w:i/>
          <w:iCs/>
        </w:rPr>
        <w:t>P. crassipes</w:t>
      </w:r>
      <w:r w:rsidRPr="000829A3">
        <w:rPr>
          <w:rFonts w:ascii="Arial" w:hAnsi="Arial" w:cs="Arial"/>
          <w:b/>
          <w:bCs/>
        </w:rPr>
        <w:t xml:space="preserve"> Extract</w:t>
      </w:r>
    </w:p>
    <w:p w14:paraId="2D426A0B" w14:textId="77777777" w:rsidR="000829A3" w:rsidRDefault="000829A3" w:rsidP="00AC1877">
      <w:pPr>
        <w:jc w:val="both"/>
        <w:rPr>
          <w:rFonts w:ascii="Arial" w:hAnsi="Arial" w:cs="Arial"/>
          <w:b/>
          <w:bCs/>
        </w:rPr>
      </w:pPr>
    </w:p>
    <w:p w14:paraId="67EB04C1" w14:textId="77777777" w:rsidR="00AC1877" w:rsidRPr="00AC1877" w:rsidRDefault="000829A3" w:rsidP="00AC1877">
      <w:pPr>
        <w:jc w:val="both"/>
        <w:rPr>
          <w:rFonts w:ascii="Arial" w:hAnsi="Arial" w:cs="Arial"/>
          <w:b/>
          <w:bCs/>
        </w:rPr>
      </w:pPr>
      <w:r>
        <w:rPr>
          <w:rFonts w:ascii="Arial" w:hAnsi="Arial" w:cs="Arial"/>
          <w:b/>
          <w:bCs/>
        </w:rPr>
        <w:t xml:space="preserve">3.1.8 </w:t>
      </w:r>
      <w:r w:rsidR="00AC1877" w:rsidRPr="00AC1877">
        <w:rPr>
          <w:rFonts w:ascii="Arial" w:hAnsi="Arial" w:cs="Arial"/>
          <w:b/>
          <w:bCs/>
        </w:rPr>
        <w:t xml:space="preserve">Reducing Power Assay (RPA) </w:t>
      </w:r>
    </w:p>
    <w:p w14:paraId="3E225B5F" w14:textId="77777777" w:rsidR="00AC1877" w:rsidRPr="00AC1877" w:rsidRDefault="00AC1877" w:rsidP="00AC1877">
      <w:pPr>
        <w:jc w:val="both"/>
        <w:rPr>
          <w:rFonts w:ascii="Arial" w:hAnsi="Arial" w:cs="Arial"/>
        </w:rPr>
      </w:pPr>
      <w:r w:rsidRPr="00AC1877">
        <w:rPr>
          <w:rFonts w:ascii="Arial" w:hAnsi="Arial" w:cs="Arial"/>
        </w:rPr>
        <w:t xml:space="preserve">The reducing power assay result of </w:t>
      </w:r>
      <w:r w:rsidRPr="00AC1877">
        <w:rPr>
          <w:rFonts w:ascii="Arial" w:hAnsi="Arial" w:cs="Arial"/>
          <w:i/>
          <w:iCs/>
        </w:rPr>
        <w:t>P. crassipes</w:t>
      </w:r>
      <w:r w:rsidRPr="00AC1877">
        <w:rPr>
          <w:rFonts w:ascii="Arial" w:hAnsi="Arial" w:cs="Arial"/>
        </w:rPr>
        <w:t xml:space="preserve"> leaf extract showed a concentration-dependent increase in antioxidant activity. At 10 mg/ml, the extract exhibited 39.37% inhibition, which slightly increased to 41.14% at 20 mg/ml. Although there was a slight dip at 40 mg/ml (40.96%), the inhibition rose to 42.73% at 80 mg/ml. This trend indicates that the extract possesses moderate electron-donating ability, suggesting its potential to act as a natural antioxidant by reducing Fe³</w:t>
      </w:r>
      <w:r w:rsidRPr="00AC1877">
        <w:rPr>
          <w:rFonts w:ascii="Cambria Math" w:hAnsi="Cambria Math" w:cs="Cambria Math"/>
        </w:rPr>
        <w:t>⁺</w:t>
      </w:r>
      <w:r w:rsidRPr="00AC1877">
        <w:rPr>
          <w:rFonts w:ascii="Arial" w:hAnsi="Arial" w:cs="Arial"/>
        </w:rPr>
        <w:t xml:space="preserve"> to Fe²</w:t>
      </w:r>
      <w:r w:rsidRPr="00AC1877">
        <w:rPr>
          <w:rFonts w:ascii="Cambria Math" w:hAnsi="Cambria Math" w:cs="Cambria Math"/>
        </w:rPr>
        <w:t>⁺</w:t>
      </w:r>
      <w:r w:rsidRPr="00AC1877">
        <w:rPr>
          <w:rFonts w:ascii="Arial" w:hAnsi="Arial" w:cs="Arial"/>
        </w:rPr>
        <w:t xml:space="preserve"> (Figure 9).</w:t>
      </w:r>
    </w:p>
    <w:p w14:paraId="47181DA2" w14:textId="77777777" w:rsidR="00AC1877" w:rsidRPr="00AC1877" w:rsidRDefault="00AC1877" w:rsidP="00AC1877">
      <w:pPr>
        <w:jc w:val="center"/>
        <w:rPr>
          <w:rFonts w:ascii="Arial" w:hAnsi="Arial" w:cs="Arial"/>
          <w:b/>
          <w:bCs/>
        </w:rPr>
      </w:pPr>
      <w:r w:rsidRPr="00AC1877">
        <w:rPr>
          <w:rFonts w:ascii="Arial" w:hAnsi="Arial" w:cs="Arial"/>
          <w:noProof/>
        </w:rPr>
        <w:drawing>
          <wp:inline distT="0" distB="0" distL="0" distR="0" wp14:anchorId="34A4C8FA" wp14:editId="5E5FED01">
            <wp:extent cx="3877310" cy="2584938"/>
            <wp:effectExtent l="0" t="0" r="8890" b="6350"/>
            <wp:docPr id="265857647" name="Chart 1">
              <a:extLst xmlns:a="http://schemas.openxmlformats.org/drawingml/2006/main">
                <a:ext uri="{FF2B5EF4-FFF2-40B4-BE49-F238E27FC236}">
                  <a16:creationId xmlns:a16="http://schemas.microsoft.com/office/drawing/2014/main" id="{3A374F31-BC7F-49F2-96F9-286F66614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35ACB1" w14:textId="77777777" w:rsidR="00AC1877" w:rsidRPr="000829A3" w:rsidRDefault="00AC1877" w:rsidP="00AC1877">
      <w:pPr>
        <w:jc w:val="both"/>
        <w:rPr>
          <w:rFonts w:ascii="Arial" w:hAnsi="Arial" w:cs="Arial"/>
          <w:b/>
          <w:bCs/>
        </w:rPr>
      </w:pPr>
      <w:r w:rsidRPr="00AC1877">
        <w:rPr>
          <w:rFonts w:ascii="Arial" w:hAnsi="Arial" w:cs="Arial"/>
          <w:b/>
          <w:bCs/>
        </w:rPr>
        <w:t xml:space="preserve">Figure 9: </w:t>
      </w:r>
      <w:r w:rsidRPr="000829A3">
        <w:rPr>
          <w:rFonts w:ascii="Arial" w:hAnsi="Arial" w:cs="Arial"/>
          <w:b/>
          <w:bCs/>
        </w:rPr>
        <w:t>The reducing power of</w:t>
      </w:r>
      <w:r w:rsidRPr="00AC1877">
        <w:rPr>
          <w:rFonts w:ascii="Arial" w:hAnsi="Arial" w:cs="Arial"/>
        </w:rPr>
        <w:t xml:space="preserve"> </w:t>
      </w:r>
      <w:r w:rsidRPr="00AC1877">
        <w:rPr>
          <w:rFonts w:ascii="Arial" w:hAnsi="Arial" w:cs="Arial"/>
          <w:i/>
          <w:iCs/>
        </w:rPr>
        <w:t>Pontederia crassipes</w:t>
      </w:r>
      <w:r w:rsidRPr="00AC1877">
        <w:rPr>
          <w:rFonts w:ascii="Arial" w:hAnsi="Arial" w:cs="Arial"/>
        </w:rPr>
        <w:t xml:space="preserve"> </w:t>
      </w:r>
      <w:r w:rsidRPr="000829A3">
        <w:rPr>
          <w:rFonts w:ascii="Arial" w:hAnsi="Arial" w:cs="Arial"/>
          <w:b/>
          <w:bCs/>
        </w:rPr>
        <w:t xml:space="preserve">leaf extract </w:t>
      </w:r>
    </w:p>
    <w:p w14:paraId="3D2EB7CD" w14:textId="77777777" w:rsidR="000829A3" w:rsidRDefault="000829A3" w:rsidP="00AC1877">
      <w:pPr>
        <w:jc w:val="both"/>
        <w:rPr>
          <w:rFonts w:ascii="Arial" w:hAnsi="Arial" w:cs="Arial"/>
          <w:b/>
          <w:bCs/>
        </w:rPr>
      </w:pPr>
    </w:p>
    <w:p w14:paraId="444E017A" w14:textId="77777777" w:rsidR="00AC1877" w:rsidRPr="00AC1877" w:rsidRDefault="000829A3" w:rsidP="00AC1877">
      <w:pPr>
        <w:jc w:val="both"/>
        <w:rPr>
          <w:rFonts w:ascii="Arial" w:hAnsi="Arial" w:cs="Arial"/>
          <w:b/>
          <w:bCs/>
        </w:rPr>
      </w:pPr>
      <w:r>
        <w:rPr>
          <w:rFonts w:ascii="Arial" w:hAnsi="Arial" w:cs="Arial"/>
          <w:b/>
          <w:bCs/>
        </w:rPr>
        <w:t xml:space="preserve">3.1.9 </w:t>
      </w:r>
      <w:r w:rsidR="00AC1877" w:rsidRPr="00AC1877">
        <w:rPr>
          <w:rFonts w:ascii="Arial" w:hAnsi="Arial" w:cs="Arial"/>
          <w:b/>
          <w:bCs/>
        </w:rPr>
        <w:t xml:space="preserve">Nitric Oxide (NO) Scavenging Activity </w:t>
      </w:r>
    </w:p>
    <w:p w14:paraId="7F9B732B" w14:textId="77777777" w:rsidR="00AC1877" w:rsidRPr="00AC1877" w:rsidRDefault="00AC1877" w:rsidP="00AC1877">
      <w:pPr>
        <w:jc w:val="both"/>
        <w:rPr>
          <w:rFonts w:ascii="Arial" w:hAnsi="Arial" w:cs="Arial"/>
        </w:rPr>
      </w:pPr>
      <w:r w:rsidRPr="00AC1877">
        <w:rPr>
          <w:rFonts w:ascii="Arial" w:hAnsi="Arial" w:cs="Arial"/>
        </w:rPr>
        <w:t xml:space="preserve">The nitric oxide scavenging activity of </w:t>
      </w:r>
      <w:r w:rsidRPr="00AC1877">
        <w:rPr>
          <w:rFonts w:ascii="Arial" w:hAnsi="Arial" w:cs="Arial"/>
          <w:i/>
          <w:iCs/>
        </w:rPr>
        <w:t>P. crassipes</w:t>
      </w:r>
      <w:r w:rsidRPr="00AC1877">
        <w:rPr>
          <w:rFonts w:ascii="Arial" w:hAnsi="Arial" w:cs="Arial"/>
        </w:rPr>
        <w:t xml:space="preserve"> leaf extract was evaluated and compared with that of garlic extract as a standard. The absorbance values increased with concentration for garlic, indicating a dose-dependent increase in NO scavenging activity. For </w:t>
      </w:r>
      <w:r w:rsidRPr="00AC1877">
        <w:rPr>
          <w:rFonts w:ascii="Arial" w:hAnsi="Arial" w:cs="Arial"/>
          <w:i/>
          <w:iCs/>
        </w:rPr>
        <w:t>P. crassipes</w:t>
      </w:r>
      <w:r w:rsidRPr="00AC1877">
        <w:rPr>
          <w:rFonts w:ascii="Arial" w:hAnsi="Arial" w:cs="Arial"/>
        </w:rPr>
        <w:t xml:space="preserve">, absorbance values also varied with concentration, showing moderate activity, with the highest absorbance (0.174) at 20 mg/ml and slight fluctuations at higher concentrations (0.148 at </w:t>
      </w:r>
      <w:r w:rsidRPr="00AC1877">
        <w:rPr>
          <w:rFonts w:ascii="Arial" w:hAnsi="Arial" w:cs="Arial"/>
        </w:rPr>
        <w:lastRenderedPageBreak/>
        <w:t xml:space="preserve">40 mg/ml, 0.1715 at 80 mg/ml). This suggests that </w:t>
      </w:r>
      <w:r w:rsidRPr="00AC1877">
        <w:rPr>
          <w:rFonts w:ascii="Arial" w:hAnsi="Arial" w:cs="Arial"/>
          <w:i/>
          <w:iCs/>
        </w:rPr>
        <w:t>P. crassipes</w:t>
      </w:r>
      <w:r w:rsidRPr="00AC1877">
        <w:rPr>
          <w:rFonts w:ascii="Arial" w:hAnsi="Arial" w:cs="Arial"/>
        </w:rPr>
        <w:t xml:space="preserve"> possesses nitric oxide scavenging ability, although slightly lower than that of garlic. The graph below visually represents this comparison (Figure 10).</w:t>
      </w:r>
    </w:p>
    <w:p w14:paraId="099E2E43"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278A51C3" wp14:editId="21142DF6">
            <wp:extent cx="3773170" cy="2190466"/>
            <wp:effectExtent l="0" t="0" r="0" b="635"/>
            <wp:docPr id="798033525" name="Chart 1">
              <a:extLst xmlns:a="http://schemas.openxmlformats.org/drawingml/2006/main">
                <a:ext uri="{FF2B5EF4-FFF2-40B4-BE49-F238E27FC236}">
                  <a16:creationId xmlns:a16="http://schemas.microsoft.com/office/drawing/2014/main" id="{6C28C18F-88FB-41B1-90C5-1768EEEF3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617AB6" w14:textId="77777777" w:rsidR="00AC1877" w:rsidRPr="00AC1877" w:rsidRDefault="00AC1877" w:rsidP="00AC1877">
      <w:pPr>
        <w:jc w:val="center"/>
        <w:rPr>
          <w:rFonts w:ascii="Arial" w:hAnsi="Arial" w:cs="Arial"/>
          <w:b/>
          <w:bCs/>
        </w:rPr>
      </w:pPr>
    </w:p>
    <w:p w14:paraId="7AAD5EB2" w14:textId="77777777" w:rsidR="00AC1877" w:rsidRPr="00AC1877" w:rsidRDefault="00AC1877" w:rsidP="00AC1877">
      <w:pPr>
        <w:jc w:val="center"/>
        <w:rPr>
          <w:rFonts w:ascii="Arial" w:hAnsi="Arial" w:cs="Arial"/>
        </w:rPr>
      </w:pPr>
      <w:r w:rsidRPr="00AC1877">
        <w:rPr>
          <w:rFonts w:ascii="Arial" w:hAnsi="Arial" w:cs="Arial"/>
        </w:rPr>
        <w:t xml:space="preserve">Figure 10: Nitric oxide scavenging activity of </w:t>
      </w:r>
      <w:r w:rsidRPr="00AC1877">
        <w:rPr>
          <w:rFonts w:ascii="Arial" w:hAnsi="Arial" w:cs="Arial"/>
          <w:i/>
          <w:iCs/>
        </w:rPr>
        <w:t>Pontederia crassipes</w:t>
      </w:r>
      <w:r w:rsidRPr="00AC1877">
        <w:rPr>
          <w:rFonts w:ascii="Arial" w:hAnsi="Arial" w:cs="Arial"/>
        </w:rPr>
        <w:t xml:space="preserve"> leaf extract </w:t>
      </w:r>
    </w:p>
    <w:p w14:paraId="6816D6E9" w14:textId="77777777" w:rsidR="000829A3" w:rsidRDefault="000829A3" w:rsidP="00AC1877">
      <w:pPr>
        <w:textAlignment w:val="baseline"/>
        <w:rPr>
          <w:rFonts w:ascii="Arial" w:eastAsiaTheme="minorEastAsia" w:hAnsi="Arial" w:cs="Arial"/>
          <w:b/>
          <w:bCs/>
          <w:color w:val="000000"/>
          <w:kern w:val="24"/>
          <w:lang w:eastAsia="en-GB"/>
        </w:rPr>
      </w:pPr>
    </w:p>
    <w:p w14:paraId="4F3F9969" w14:textId="77777777" w:rsidR="00AC1877" w:rsidRPr="00AC1877" w:rsidRDefault="000829A3" w:rsidP="00AC1877">
      <w:pPr>
        <w:textAlignment w:val="baseline"/>
        <w:rPr>
          <w:rFonts w:ascii="Arial" w:eastAsiaTheme="minorEastAsia" w:hAnsi="Arial" w:cs="Arial"/>
          <w:b/>
          <w:bCs/>
          <w:color w:val="000000"/>
          <w:kern w:val="24"/>
          <w:lang w:eastAsia="en-GB"/>
        </w:rPr>
      </w:pPr>
      <w:r>
        <w:rPr>
          <w:rFonts w:ascii="Arial" w:eastAsiaTheme="minorEastAsia" w:hAnsi="Arial" w:cs="Arial"/>
          <w:b/>
          <w:bCs/>
          <w:color w:val="000000"/>
          <w:kern w:val="24"/>
          <w:lang w:eastAsia="en-GB"/>
        </w:rPr>
        <w:t xml:space="preserve">3.1.10 </w:t>
      </w:r>
      <w:r w:rsidR="00AC1877" w:rsidRPr="00AC1877">
        <w:rPr>
          <w:rFonts w:ascii="Arial" w:eastAsiaTheme="minorEastAsia" w:hAnsi="Arial" w:cs="Arial"/>
          <w:b/>
          <w:bCs/>
          <w:color w:val="000000"/>
          <w:kern w:val="24"/>
          <w:lang w:eastAsia="en-GB"/>
        </w:rPr>
        <w:t>Ion Chelating</w:t>
      </w:r>
    </w:p>
    <w:p w14:paraId="55ED3925" w14:textId="77777777" w:rsidR="00AC1877" w:rsidRPr="00AC1877" w:rsidRDefault="00AC1877" w:rsidP="00AC1877">
      <w:pPr>
        <w:jc w:val="center"/>
        <w:rPr>
          <w:rFonts w:ascii="Arial" w:hAnsi="Arial" w:cs="Arial"/>
        </w:rPr>
      </w:pPr>
    </w:p>
    <w:p w14:paraId="08B61EC8" w14:textId="77777777" w:rsidR="00AC1877" w:rsidRPr="00AC1877" w:rsidRDefault="00AC1877" w:rsidP="00AC1877">
      <w:pPr>
        <w:spacing w:after="120"/>
        <w:jc w:val="center"/>
        <w:outlineLvl w:val="1"/>
        <w:rPr>
          <w:rFonts w:ascii="Arial" w:hAnsi="Arial" w:cs="Arial"/>
          <w:b/>
          <w:bCs/>
        </w:rPr>
      </w:pPr>
      <w:r w:rsidRPr="00AC1877">
        <w:rPr>
          <w:rFonts w:ascii="Arial" w:hAnsi="Arial" w:cs="Arial"/>
          <w:noProof/>
        </w:rPr>
        <w:drawing>
          <wp:inline distT="0" distB="0" distL="0" distR="0" wp14:anchorId="4BC4FE75" wp14:editId="1E33EDBE">
            <wp:extent cx="4203065" cy="2217761"/>
            <wp:effectExtent l="0" t="0" r="6985" b="0"/>
            <wp:docPr id="1022462019" name="Chart 1">
              <a:extLst xmlns:a="http://schemas.openxmlformats.org/drawingml/2006/main">
                <a:ext uri="{FF2B5EF4-FFF2-40B4-BE49-F238E27FC236}">
                  <a16:creationId xmlns:a16="http://schemas.microsoft.com/office/drawing/2014/main" id="{83B5B657-E799-458A-B9CB-D0A037CC8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C78611" w14:textId="77777777" w:rsidR="00AC1877" w:rsidRPr="00AC1877" w:rsidRDefault="00AC1877" w:rsidP="00AC1877">
      <w:pPr>
        <w:jc w:val="center"/>
        <w:rPr>
          <w:rFonts w:ascii="Arial" w:hAnsi="Arial" w:cs="Arial"/>
        </w:rPr>
      </w:pPr>
      <w:r w:rsidRPr="00AC1877">
        <w:rPr>
          <w:rFonts w:ascii="Arial" w:hAnsi="Arial" w:cs="Arial"/>
        </w:rPr>
        <w:t xml:space="preserve">Figure 11: Ion chelating activity of </w:t>
      </w:r>
      <w:r w:rsidRPr="00AC1877">
        <w:rPr>
          <w:rFonts w:ascii="Arial" w:hAnsi="Arial" w:cs="Arial"/>
          <w:i/>
          <w:iCs/>
        </w:rPr>
        <w:t>Pontederia crassipes</w:t>
      </w:r>
      <w:r w:rsidRPr="00AC1877">
        <w:rPr>
          <w:rFonts w:ascii="Arial" w:hAnsi="Arial" w:cs="Arial"/>
        </w:rPr>
        <w:t xml:space="preserve"> leaf extract </w:t>
      </w:r>
    </w:p>
    <w:p w14:paraId="7A6F28D7" w14:textId="77777777" w:rsidR="000829A3" w:rsidRDefault="000829A3" w:rsidP="00AC1877">
      <w:pPr>
        <w:spacing w:after="120"/>
        <w:ind w:left="142"/>
        <w:outlineLvl w:val="1"/>
        <w:rPr>
          <w:rFonts w:ascii="Arial" w:hAnsi="Arial" w:cs="Arial"/>
          <w:b/>
          <w:bCs/>
        </w:rPr>
      </w:pPr>
    </w:p>
    <w:p w14:paraId="157ECB2D" w14:textId="77777777" w:rsidR="00AC1877" w:rsidRPr="00CE39D3" w:rsidRDefault="00CE39D3" w:rsidP="00CE39D3">
      <w:pPr>
        <w:spacing w:after="120"/>
        <w:outlineLvl w:val="1"/>
        <w:rPr>
          <w:rFonts w:ascii="Arial" w:hAnsi="Arial" w:cs="Arial"/>
          <w:b/>
          <w:bCs/>
          <w:sz w:val="22"/>
          <w:szCs w:val="22"/>
        </w:rPr>
      </w:pPr>
      <w:r w:rsidRPr="00CE39D3">
        <w:rPr>
          <w:rFonts w:ascii="Arial" w:hAnsi="Arial" w:cs="Arial"/>
          <w:b/>
          <w:bCs/>
          <w:sz w:val="22"/>
          <w:szCs w:val="22"/>
        </w:rPr>
        <w:t xml:space="preserve">3.2 </w:t>
      </w:r>
      <w:r w:rsidR="00AC1877" w:rsidRPr="00CE39D3">
        <w:rPr>
          <w:rFonts w:ascii="Arial" w:hAnsi="Arial" w:cs="Arial"/>
          <w:b/>
          <w:bCs/>
          <w:sz w:val="22"/>
          <w:szCs w:val="22"/>
        </w:rPr>
        <w:t>Discussion</w:t>
      </w:r>
    </w:p>
    <w:p w14:paraId="3C45359F" w14:textId="77777777" w:rsidR="00AC1877" w:rsidRPr="00AC1877" w:rsidRDefault="00AC1877" w:rsidP="00AC1877">
      <w:pPr>
        <w:spacing w:after="120"/>
        <w:jc w:val="both"/>
        <w:outlineLvl w:val="1"/>
        <w:rPr>
          <w:rFonts w:ascii="Arial" w:hAnsi="Arial" w:cs="Arial"/>
          <w:b/>
          <w:bCs/>
        </w:rPr>
      </w:pPr>
      <w:r w:rsidRPr="00AC1877">
        <w:rPr>
          <w:rFonts w:ascii="Arial" w:hAnsi="Arial" w:cs="Arial"/>
        </w:rPr>
        <w:t xml:space="preserve">The leaf extract exhibited a moisture content of </w:t>
      </w:r>
      <w:commentRangeStart w:id="17"/>
      <w:r w:rsidRPr="00AC1877">
        <w:rPr>
          <w:rFonts w:ascii="Arial" w:hAnsi="Arial" w:cs="Arial"/>
        </w:rPr>
        <w:t xml:space="preserve">13.61 ± 13.63 </w:t>
      </w:r>
      <w:commentRangeEnd w:id="17"/>
      <w:r w:rsidR="00EA4481">
        <w:rPr>
          <w:rStyle w:val="CommentReference"/>
          <w:rFonts w:ascii="Times New Roman" w:hAnsi="Times New Roman"/>
          <w:lang w:val="nb-NO" w:eastAsia="nb-NO"/>
        </w:rPr>
        <w:commentReference w:id="17"/>
      </w:r>
      <w:r w:rsidRPr="00AC1877">
        <w:rPr>
          <w:rFonts w:ascii="Arial" w:hAnsi="Arial" w:cs="Arial"/>
        </w:rPr>
        <w:t xml:space="preserve">%, indicating the proportion of water retained in the plant material. A moderately high moisture level suggests that the fresh leaves have substantial water content, which supports enzymatic activity and metabolic functions in the living plant but may also make the dried extract more prone to microbial spoilage if not properly stored. Lower moisture values in the extract form would be advantageous for longer shelf life.  Ash content was recorded at 5.03 ± 5.07 %, representing the total mineral matter in the leaf extract. This reflects the inorganic constituents such as potassium, calcium, magnesium, and trace elements, which are nutritionally important and can contribute to both human and animal diets. A relatively high ash content is generally associated with significant mineral richness. The crude fat value was recorded at 23.74 ± </w:t>
      </w:r>
      <w:r w:rsidRPr="00AC1877">
        <w:rPr>
          <w:rFonts w:ascii="Arial" w:hAnsi="Arial" w:cs="Arial"/>
        </w:rPr>
        <w:lastRenderedPageBreak/>
        <w:t xml:space="preserve">23.75 %, the fat content aligns with the profile of most leafy aquatic plants, which are not primary fat sources. However, the lipids present may include essential fatty acids that contribute to nutritional benefits.  The crude fiber content was 3.81 ± 3.84 %, suggesting that the leaf extract has a considerable amount of indigestible plant material such as cellulose, hemicellulose, and lignin. High fiber content is desirable for aiding digestion in humans and livestock and can help maintain gut health. The crude protein content was 14.71 ± 14.63%, showing that the leaves contain a moderate level of protein. This suggests potential nutritional value as a supplementary protein source, particularly in regions where plant-derived proteins are essential for dietary needs. Proteins in aquatic plants like P. crassipes also play a role in their ecological adaptability and could be relevant for animal feed formulation. Calculated by difference, the carbohydrate content was 39.09 ± 39.10 %, representing the largest fraction of the dry matter. This indicates that </w:t>
      </w:r>
      <w:r w:rsidRPr="00AC1877">
        <w:rPr>
          <w:rFonts w:ascii="Arial" w:hAnsi="Arial" w:cs="Arial"/>
          <w:i/>
          <w:iCs/>
        </w:rPr>
        <w:t xml:space="preserve">P. crassipes </w:t>
      </w:r>
      <w:r w:rsidRPr="00AC1877">
        <w:rPr>
          <w:rFonts w:ascii="Arial" w:hAnsi="Arial" w:cs="Arial"/>
        </w:rPr>
        <w:t>leaves are primarily composed of structural and storage carbohydrates, which could serve as an energy source in feed formulations. The results highlight</w:t>
      </w:r>
      <w:r w:rsidRPr="00AC1877">
        <w:rPr>
          <w:rFonts w:ascii="Arial" w:hAnsi="Arial" w:cs="Arial"/>
          <w:i/>
          <w:iCs/>
        </w:rPr>
        <w:t xml:space="preserve"> P. crassipes</w:t>
      </w:r>
      <w:r w:rsidRPr="00AC1877">
        <w:rPr>
          <w:rFonts w:ascii="Arial" w:hAnsi="Arial" w:cs="Arial"/>
        </w:rPr>
        <w:t xml:space="preserve"> leaves as a potential source of minerals, moderate protein, and dietary fiber, with carbohydrate as the dominant macronutrient. These findings align with earlier studies on the nutritional composition of aquatic macrophytes, which often exhibit low fat but appreciable mineral and fiber content. </w:t>
      </w:r>
    </w:p>
    <w:p w14:paraId="4626D80C" w14:textId="77777777" w:rsidR="00AC1877" w:rsidRPr="00AC1877" w:rsidRDefault="00AC1877" w:rsidP="00AC1877">
      <w:pPr>
        <w:spacing w:after="120"/>
        <w:jc w:val="both"/>
        <w:outlineLvl w:val="1"/>
        <w:rPr>
          <w:rFonts w:ascii="Arial" w:hAnsi="Arial" w:cs="Arial"/>
        </w:rPr>
      </w:pPr>
      <w:r w:rsidRPr="00AC1877">
        <w:rPr>
          <w:rFonts w:ascii="Arial" w:hAnsi="Arial" w:cs="Arial"/>
        </w:rPr>
        <w:t xml:space="preserve">The aqueous leaf extract of </w:t>
      </w:r>
      <w:r w:rsidRPr="00AC1877">
        <w:rPr>
          <w:rFonts w:ascii="Arial" w:hAnsi="Arial" w:cs="Arial"/>
          <w:i/>
          <w:iCs/>
        </w:rPr>
        <w:t>P. crassipes</w:t>
      </w:r>
      <w:r w:rsidRPr="00AC1877">
        <w:rPr>
          <w:rFonts w:ascii="Arial" w:hAnsi="Arial" w:cs="Arial"/>
        </w:rPr>
        <w:t xml:space="preserve"> was subjected to amino acid profiling, revealing the presence of 17 amino acids with distinct quantitative variations. Among the identified compounds, isoleucine exhibited the highest concentration (29.11 µmol/L), followed by threonine (15.69 µmol/L), proline (17.42 µmol/L), arginine (10.12 µmol/L), and cystine (10.40 µmol/L), indicating a significant enrichment of branched-chain and </w:t>
      </w:r>
      <w:proofErr w:type="spellStart"/>
      <w:r w:rsidRPr="00AC1877">
        <w:rPr>
          <w:rFonts w:ascii="Arial" w:hAnsi="Arial" w:cs="Arial"/>
        </w:rPr>
        <w:t>sulphur</w:t>
      </w:r>
      <w:proofErr w:type="spellEnd"/>
      <w:r w:rsidRPr="00AC1877">
        <w:rPr>
          <w:rFonts w:ascii="Arial" w:hAnsi="Arial" w:cs="Arial"/>
        </w:rPr>
        <w:t xml:space="preserve">-containing amino acids. Moderate concentrations were detected for alanine (10.31 µmol/L) and valine (8.78 µmol/L), while serine, lysine, glutamate, phenylalanine, tyrosine, and tryptophan were present at comparatively lower levels (1.67–3.83 µmol/L). The least abundant amino acids included leucine (1.39 µmol/L), aspartate (1.59 µmol/L), histidine (1.33 µmol/L), and methionine (0.79 µmol/L). This compositional pattern demonstrates a balanced distribution of both essential and non-essential amino acids, with particular dominance of isoleucine and proline, which are critical for protein synthesis, metabolic regulation, and stress adaptation. The detectable levels of </w:t>
      </w:r>
      <w:proofErr w:type="spellStart"/>
      <w:r w:rsidRPr="00AC1877">
        <w:rPr>
          <w:rFonts w:ascii="Arial" w:hAnsi="Arial" w:cs="Arial"/>
        </w:rPr>
        <w:t>sulphur</w:t>
      </w:r>
      <w:proofErr w:type="spellEnd"/>
      <w:r w:rsidRPr="00AC1877">
        <w:rPr>
          <w:rFonts w:ascii="Arial" w:hAnsi="Arial" w:cs="Arial"/>
        </w:rPr>
        <w:t xml:space="preserve"> amino acids (cystine and methionine) further suggest potential antioxidant and structural roles. Collectively, the amino acid profile highlights the nutritional and biochemical relevance of </w:t>
      </w:r>
      <w:r w:rsidRPr="00AC1877">
        <w:rPr>
          <w:rFonts w:ascii="Arial" w:hAnsi="Arial" w:cs="Arial"/>
          <w:i/>
          <w:iCs/>
        </w:rPr>
        <w:t>P. crassipes</w:t>
      </w:r>
      <w:r w:rsidRPr="00AC1877">
        <w:rPr>
          <w:rFonts w:ascii="Arial" w:hAnsi="Arial" w:cs="Arial"/>
        </w:rPr>
        <w:t xml:space="preserve"> leaf extract, providing a basis for its possible applications in nutraceutical and biochemical research.</w:t>
      </w:r>
    </w:p>
    <w:p w14:paraId="5B3B228B" w14:textId="77777777" w:rsidR="00AC1877" w:rsidRPr="00AC1877" w:rsidRDefault="00AC1877" w:rsidP="00AC1877">
      <w:pPr>
        <w:spacing w:after="120"/>
        <w:jc w:val="both"/>
        <w:rPr>
          <w:rFonts w:ascii="Arial" w:hAnsi="Arial" w:cs="Arial"/>
        </w:rPr>
      </w:pPr>
      <w:r w:rsidRPr="00AC1877">
        <w:rPr>
          <w:rFonts w:ascii="Arial" w:hAnsi="Arial" w:cs="Arial"/>
        </w:rPr>
        <w:t xml:space="preserve">The results of the mineral composition analysis of </w:t>
      </w:r>
      <w:r w:rsidRPr="00AC1877">
        <w:rPr>
          <w:rFonts w:ascii="Arial" w:hAnsi="Arial" w:cs="Arial"/>
          <w:i/>
          <w:iCs/>
        </w:rPr>
        <w:t>P. crassipes</w:t>
      </w:r>
      <w:r w:rsidRPr="00AC1877">
        <w:rPr>
          <w:rFonts w:ascii="Arial" w:hAnsi="Arial" w:cs="Arial"/>
        </w:rPr>
        <w:t xml:space="preserve"> leaves present a clear picture of a plant species with a remarkably stable and balanced nutrient profile, showing minimal variability across replicate measurements. Such consistency not only reflects a high level of analytical precision in the study but also suggests that this species has an intrinsic capacity to regulate nutrient uptake and maintain homeostasis, even in potentially fluctuating aquatic environments (García-Ávila </w:t>
      </w:r>
      <w:r w:rsidRPr="00AC1877">
        <w:rPr>
          <w:rFonts w:ascii="Arial" w:hAnsi="Arial" w:cs="Arial"/>
          <w:i/>
          <w:iCs/>
        </w:rPr>
        <w:t>et al</w:t>
      </w:r>
      <w:r w:rsidRPr="00AC1877">
        <w:rPr>
          <w:rFonts w:ascii="Arial" w:hAnsi="Arial" w:cs="Arial"/>
        </w:rPr>
        <w:t xml:space="preserve">., 2025). The measured minerals include both macronutrients, required in relatively large amounts for plant structure and metabolism, and micronutrients, essential in smaller quantities but equally critical for physiological and biochemical functions. The macronutrients—magnesium (7.89 mg/L), calcium (9.22 mg/L), sodium (8.91 mg/L), and potassium (8.44 mg/L)—were all found at relatively high concentrations compared to the micronutrients, in line with their classification and functional roles in plant physiology. These elements are vital for </w:t>
      </w:r>
      <w:r w:rsidRPr="00AC1877">
        <w:rPr>
          <w:rFonts w:ascii="Arial" w:hAnsi="Arial" w:cs="Arial"/>
          <w:i/>
          <w:iCs/>
        </w:rPr>
        <w:t>P. crassipes’</w:t>
      </w:r>
      <w:r w:rsidRPr="00AC1877">
        <w:rPr>
          <w:rFonts w:ascii="Arial" w:hAnsi="Arial" w:cs="Arial"/>
        </w:rPr>
        <w:t xml:space="preserve"> rapid growth and competitive advantage in aquatic systems. For example, magnesium, as the central atom of the chlorophyll molecule, is indispensable for photosynthesis, and its stable concentration across replicates suggests a well-buffered internal pool that prevents photosynthetic impairment even under variable water nutrient conditions (Adeyemo </w:t>
      </w:r>
      <w:r w:rsidRPr="00AC1877">
        <w:rPr>
          <w:rFonts w:ascii="Arial" w:hAnsi="Arial" w:cs="Arial"/>
          <w:i/>
          <w:iCs/>
        </w:rPr>
        <w:t>et al.,</w:t>
      </w:r>
      <w:r w:rsidRPr="00AC1877">
        <w:rPr>
          <w:rFonts w:ascii="Arial" w:hAnsi="Arial" w:cs="Arial"/>
        </w:rPr>
        <w:t xml:space="preserve"> 2022). Calcium, recorded as the highest concentration among all measured minerals, is essential for cell wall stabilization and intracellular signaling. Its abundance in </w:t>
      </w:r>
      <w:r w:rsidRPr="00AC1877">
        <w:rPr>
          <w:rFonts w:ascii="Arial" w:hAnsi="Arial" w:cs="Arial"/>
          <w:i/>
          <w:iCs/>
        </w:rPr>
        <w:t>P. crassipes</w:t>
      </w:r>
      <w:r w:rsidRPr="00AC1877">
        <w:rPr>
          <w:rFonts w:ascii="Arial" w:hAnsi="Arial" w:cs="Arial"/>
        </w:rPr>
        <w:t xml:space="preserve"> likely contributes to the plant’s robust structural integrity, which is necessary for maintaining buoyancy and resisting mechanical damage in turbulent waters </w:t>
      </w:r>
      <w:r w:rsidRPr="00AC1877">
        <w:rPr>
          <w:rFonts w:ascii="Arial" w:hAnsi="Arial" w:cs="Arial"/>
        </w:rPr>
        <w:lastRenderedPageBreak/>
        <w:t xml:space="preserve">(Zheng </w:t>
      </w:r>
      <w:r w:rsidRPr="00AC1877">
        <w:rPr>
          <w:rFonts w:ascii="Arial" w:hAnsi="Arial" w:cs="Arial"/>
          <w:i/>
          <w:iCs/>
        </w:rPr>
        <w:t>et al</w:t>
      </w:r>
      <w:r w:rsidRPr="00AC1877">
        <w:rPr>
          <w:rFonts w:ascii="Arial" w:hAnsi="Arial" w:cs="Arial"/>
        </w:rPr>
        <w:t xml:space="preserve">., 2025). Sodium, though not essential for all plants, plays a beneficial role in osmotic balance and photosynthesis in certain aquatic and halophytic species, and its consistently high levels in </w:t>
      </w:r>
      <w:r w:rsidRPr="00AC1877">
        <w:rPr>
          <w:rFonts w:ascii="Arial" w:hAnsi="Arial" w:cs="Arial"/>
          <w:i/>
          <w:iCs/>
        </w:rPr>
        <w:t>P. crassipes</w:t>
      </w:r>
      <w:r w:rsidRPr="00AC1877">
        <w:rPr>
          <w:rFonts w:ascii="Arial" w:hAnsi="Arial" w:cs="Arial"/>
        </w:rPr>
        <w:t xml:space="preserve"> may reflect both the ionic composition of its aquatic habitat and an adaptive strategy to thrive in varying salinity conditions. Potassium, another highly abundant macronutrient in this study, is central to enzyme activation, osmoregulation, and stomatal movement (Adeoye </w:t>
      </w:r>
      <w:r w:rsidRPr="00AC1877">
        <w:rPr>
          <w:rFonts w:ascii="Arial" w:hAnsi="Arial" w:cs="Arial"/>
          <w:i/>
          <w:iCs/>
        </w:rPr>
        <w:t>et al</w:t>
      </w:r>
      <w:r w:rsidRPr="00AC1877">
        <w:rPr>
          <w:rFonts w:ascii="Arial" w:hAnsi="Arial" w:cs="Arial"/>
        </w:rPr>
        <w:t xml:space="preserve">., 2021). The micronutrients—iron (3.78 mg/L), manganese (5.28 mg/L), selenium (0.082 mg/L), zinc (0.837 mg/L), copper (1.07 mg/L), and cobalt (0.0887 mg/L)—were present in smaller amounts, yet their roles are no less significant. Iron, though classified as a micronutrient, was found at levels higher than some macronutrients in other plant species, underlining its importance in </w:t>
      </w:r>
      <w:r w:rsidRPr="00AC1877">
        <w:rPr>
          <w:rFonts w:ascii="Arial" w:hAnsi="Arial" w:cs="Arial"/>
          <w:i/>
          <w:iCs/>
        </w:rPr>
        <w:t>P. crassipes’</w:t>
      </w:r>
      <w:r w:rsidRPr="00AC1877">
        <w:rPr>
          <w:rFonts w:ascii="Arial" w:hAnsi="Arial" w:cs="Arial"/>
        </w:rPr>
        <w:t xml:space="preserve"> chlorophyll synthesis and electron transport processes. The minimal variation in iron measurements may indicate not only analytical precision but also the plant’s ability to   iron uptake against fluctuations in environmental availability—a trait advantageous in aquatic habitats where redox conditions can shift rapidly (</w:t>
      </w:r>
      <w:proofErr w:type="spellStart"/>
      <w:r w:rsidRPr="00AC1877">
        <w:rPr>
          <w:rFonts w:ascii="Arial" w:hAnsi="Arial" w:cs="Arial"/>
        </w:rPr>
        <w:t>Isiodu</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2024). Manganese levels were similarly stable and given manganese’s role as a cofactor in the water-splitting reaction of photosystem II, its consistent concentration may be critical for maintaining high photosynthetic efficiency. Selenium, recorded at the lowest concentration among the measured minerals, is not universally recognized as essential for higher plants, yet it can enhance antioxidant capacity and stress tolerance. Its presence in </w:t>
      </w:r>
      <w:r w:rsidRPr="00AC1877">
        <w:rPr>
          <w:rFonts w:ascii="Arial" w:hAnsi="Arial" w:cs="Arial"/>
          <w:i/>
          <w:iCs/>
        </w:rPr>
        <w:t>P. crassipes</w:t>
      </w:r>
      <w:r w:rsidRPr="00AC1877">
        <w:rPr>
          <w:rFonts w:ascii="Arial" w:hAnsi="Arial" w:cs="Arial"/>
        </w:rPr>
        <w:t xml:space="preserve"> may be a function of the selenium status of the aquatic environment, and while the levels are low, they are measurable and consistent, suggesting that the plant can bioaccumulate even trace elements from its surroundings (Singh </w:t>
      </w:r>
      <w:r w:rsidRPr="00AC1877">
        <w:rPr>
          <w:rFonts w:ascii="Arial" w:hAnsi="Arial" w:cs="Arial"/>
          <w:i/>
          <w:iCs/>
        </w:rPr>
        <w:t>et al</w:t>
      </w:r>
      <w:r w:rsidRPr="00AC1877">
        <w:rPr>
          <w:rFonts w:ascii="Arial" w:hAnsi="Arial" w:cs="Arial"/>
        </w:rPr>
        <w:t xml:space="preserve">., 2021). Zinc, although present at less than 1 mg/l, is an important cofactor in enzyme activation, protein synthesis, and hormonal regulation, and its measured concentration suggests adequacy for physiological needs. Copper, another trace element, is essential for electron transport in photosynthesis and for cell wall metabolism. Cobalt, while not essential for all plants, can support nitrogen fixation in symbiotic associations, though in </w:t>
      </w:r>
      <w:r w:rsidRPr="00AC1877">
        <w:rPr>
          <w:rFonts w:ascii="Arial" w:hAnsi="Arial" w:cs="Arial"/>
          <w:i/>
          <w:iCs/>
        </w:rPr>
        <w:t>P. crassipes</w:t>
      </w:r>
      <w:r w:rsidRPr="00AC1877">
        <w:rPr>
          <w:rFonts w:ascii="Arial" w:hAnsi="Arial" w:cs="Arial"/>
        </w:rPr>
        <w:t xml:space="preserve">, its role is likely linked more to general enzymatic processes than to symbiosis (Wen </w:t>
      </w:r>
      <w:r w:rsidRPr="00AC1877">
        <w:rPr>
          <w:rFonts w:ascii="Arial" w:hAnsi="Arial" w:cs="Arial"/>
          <w:i/>
          <w:iCs/>
        </w:rPr>
        <w:t>et al</w:t>
      </w:r>
      <w:r w:rsidRPr="00AC1877">
        <w:rPr>
          <w:rFonts w:ascii="Arial" w:hAnsi="Arial" w:cs="Arial"/>
        </w:rPr>
        <w:t xml:space="preserve">., 2024). The mineral composition profile of </w:t>
      </w:r>
      <w:r w:rsidRPr="00AC1877">
        <w:rPr>
          <w:rFonts w:ascii="Arial" w:hAnsi="Arial" w:cs="Arial"/>
          <w:i/>
          <w:iCs/>
        </w:rPr>
        <w:t>P. crassipes</w:t>
      </w:r>
      <w:r w:rsidRPr="00AC1877">
        <w:rPr>
          <w:rFonts w:ascii="Arial" w:hAnsi="Arial" w:cs="Arial"/>
        </w:rPr>
        <w:t xml:space="preserve"> reveals a plant species that is both physiologically robust and environmentally adaptable. The stability and richness of its macro- and micronutrient content are key to its ecological success and present opportunities for beneficial uses in Nigerian environmental management. However, any attempt to utilize this biomass must be integrated with strategies to control its spread, ensuring that its benefits do not come at the cost of further ecological disruption. The plant was subjected to antioxidant analysis and findings revealed that the extract demonstrated a concentration-dependent increase in antioxidant activity across the assays performed. This suggests that </w:t>
      </w:r>
      <w:r w:rsidRPr="00AC1877">
        <w:rPr>
          <w:rFonts w:ascii="Arial" w:hAnsi="Arial" w:cs="Arial"/>
          <w:i/>
          <w:iCs/>
        </w:rPr>
        <w:t>P. crassipes</w:t>
      </w:r>
      <w:r w:rsidRPr="00AC1877">
        <w:rPr>
          <w:rFonts w:ascii="Arial" w:hAnsi="Arial" w:cs="Arial"/>
        </w:rPr>
        <w:t xml:space="preserve"> contains bioactive phytochemicals capable of </w:t>
      </w:r>
      <w:proofErr w:type="spellStart"/>
      <w:r w:rsidRPr="00AC1877">
        <w:rPr>
          <w:rFonts w:ascii="Arial" w:hAnsi="Arial" w:cs="Arial"/>
        </w:rPr>
        <w:t>neutralising</w:t>
      </w:r>
      <w:proofErr w:type="spellEnd"/>
      <w:r w:rsidRPr="00AC1877">
        <w:rPr>
          <w:rFonts w:ascii="Arial" w:hAnsi="Arial" w:cs="Arial"/>
        </w:rPr>
        <w:t xml:space="preserve"> free radicals and reducing oxidative stress, which is consistent with the phytochemical composition previously reported in this species (Ben </w:t>
      </w:r>
      <w:proofErr w:type="spellStart"/>
      <w:r w:rsidRPr="00AC1877">
        <w:rPr>
          <w:rFonts w:ascii="Arial" w:hAnsi="Arial" w:cs="Arial"/>
        </w:rPr>
        <w:t>Bakrim</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2022).The antioxidant assays, such as DPPH radical scavenging activity, ferric reducing antioxidant power (FRAP), and hydrogen peroxide scavenging, indicated that the plant extract possessed significant radical scavenging potential when compared with standard antioxidants like ascorbic acid or gallic acid. The observed activity is likely attributed to the presence of phenolic</w:t>
      </w:r>
    </w:p>
    <w:p w14:paraId="06A914B4" w14:textId="77777777" w:rsidR="00AC1877" w:rsidRPr="00AC1877" w:rsidRDefault="00AC1877" w:rsidP="00AC1877">
      <w:pPr>
        <w:spacing w:after="120"/>
        <w:jc w:val="both"/>
        <w:rPr>
          <w:rFonts w:ascii="Arial" w:hAnsi="Arial" w:cs="Arial"/>
        </w:rPr>
      </w:pPr>
      <w:r w:rsidRPr="00AC1877">
        <w:rPr>
          <w:rFonts w:ascii="Arial" w:hAnsi="Arial" w:cs="Arial"/>
        </w:rPr>
        <w:t xml:space="preserve">compounds, flavonoids, tannins, and alkaloids within the leaf matrix (Zahra </w:t>
      </w:r>
      <w:r w:rsidRPr="00AC1877">
        <w:rPr>
          <w:rFonts w:ascii="Arial" w:hAnsi="Arial" w:cs="Arial"/>
          <w:i/>
          <w:iCs/>
        </w:rPr>
        <w:t>et al.</w:t>
      </w:r>
      <w:r w:rsidRPr="00AC1877">
        <w:rPr>
          <w:rFonts w:ascii="Arial" w:hAnsi="Arial" w:cs="Arial"/>
        </w:rPr>
        <w:t xml:space="preserve">, 2024). These phytochemicals have been widely documented as major contributors to antioxidative mechanisms due to their ability to donate electrons or hydrogen atoms to unstable free radicals, compounds, flavonoids, tannins, and alkaloids within the leaf matrix (Zahra </w:t>
      </w:r>
      <w:r w:rsidRPr="00AC1877">
        <w:rPr>
          <w:rFonts w:ascii="Arial" w:hAnsi="Arial" w:cs="Arial"/>
          <w:i/>
          <w:iCs/>
        </w:rPr>
        <w:t>et al.</w:t>
      </w:r>
      <w:r w:rsidRPr="00AC1877">
        <w:rPr>
          <w:rFonts w:ascii="Arial" w:hAnsi="Arial" w:cs="Arial"/>
        </w:rPr>
        <w:t>, 2024). These phytochemicals have been widely documented as major contributors to antioxidative mechanisms due to their ability to donate electrons or hydrogen atoms to unstable free radicals, thereby preventing lipid peroxidation and cellular damage (Sies &amp; Jones, 2020).</w:t>
      </w:r>
    </w:p>
    <w:p w14:paraId="1F8BE794" w14:textId="77777777" w:rsidR="00AC1877" w:rsidRPr="00AC1877" w:rsidRDefault="00AC1877" w:rsidP="00AC1877">
      <w:pPr>
        <w:spacing w:after="120"/>
        <w:jc w:val="both"/>
        <w:rPr>
          <w:rFonts w:ascii="Arial" w:hAnsi="Arial" w:cs="Arial"/>
        </w:rPr>
      </w:pPr>
      <w:r w:rsidRPr="00AC1877">
        <w:rPr>
          <w:rFonts w:ascii="Arial" w:hAnsi="Arial" w:cs="Arial"/>
        </w:rPr>
        <w:t xml:space="preserve">Interestingly, the antioxidant efficiency of the extract increased proportionally with concentration, which aligns with reports on other medicinal plants where bioactivity correlates </w:t>
      </w:r>
      <w:r w:rsidRPr="00AC1877">
        <w:rPr>
          <w:rFonts w:ascii="Arial" w:hAnsi="Arial" w:cs="Arial"/>
        </w:rPr>
        <w:lastRenderedPageBreak/>
        <w:t>with extract dosage (</w:t>
      </w:r>
      <w:proofErr w:type="spellStart"/>
      <w:r w:rsidRPr="00AC1877">
        <w:rPr>
          <w:rFonts w:ascii="Arial" w:hAnsi="Arial" w:cs="Arial"/>
        </w:rPr>
        <w:t>Pradubyat</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2024). The findings provide scientific validation for the ethnomedicinal use of </w:t>
      </w:r>
      <w:r w:rsidRPr="00AC1877">
        <w:rPr>
          <w:rFonts w:ascii="Arial" w:hAnsi="Arial" w:cs="Arial"/>
          <w:i/>
          <w:iCs/>
        </w:rPr>
        <w:t>P. crassipes</w:t>
      </w:r>
      <w:r w:rsidRPr="00AC1877">
        <w:rPr>
          <w:rFonts w:ascii="Arial" w:hAnsi="Arial" w:cs="Arial"/>
        </w:rPr>
        <w:t xml:space="preserve"> in traditional remedies, particularly in regions where the plant has been exploited for its therapeutic properties against </w:t>
      </w:r>
      <w:r w:rsidRPr="00AC1877">
        <w:rPr>
          <w:rFonts w:ascii="Arial" w:hAnsi="Arial" w:cs="Arial"/>
          <w:i/>
          <w:iCs/>
        </w:rPr>
        <w:t>c</w:t>
      </w:r>
      <w:r w:rsidRPr="00AC1877">
        <w:rPr>
          <w:rFonts w:ascii="Arial" w:hAnsi="Arial" w:cs="Arial"/>
        </w:rPr>
        <w:t xml:space="preserve"> conditions, microbial infections, and oxidative stress–related diseases (</w:t>
      </w:r>
      <w:proofErr w:type="spellStart"/>
      <w:r w:rsidRPr="00AC1877">
        <w:rPr>
          <w:rFonts w:ascii="Arial" w:hAnsi="Arial" w:cs="Arial"/>
        </w:rPr>
        <w:t>Noufal</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2023).</w:t>
      </w:r>
    </w:p>
    <w:p w14:paraId="553FD65B" w14:textId="77777777" w:rsidR="00AC1877" w:rsidRPr="00AC1877" w:rsidRDefault="00AC1877" w:rsidP="00AC1877">
      <w:pPr>
        <w:spacing w:after="120"/>
        <w:jc w:val="both"/>
        <w:rPr>
          <w:rFonts w:ascii="Arial" w:hAnsi="Arial" w:cs="Arial"/>
        </w:rPr>
      </w:pPr>
      <w:r w:rsidRPr="00AC1877">
        <w:rPr>
          <w:rFonts w:ascii="Arial" w:hAnsi="Arial" w:cs="Arial"/>
        </w:rPr>
        <w:t>The DPPH (2,2-diphenyl-1-picrylhydrazyl) radical scavenging assay is a widely used method to evaluate the free radical scavenging ability of plant extracts. In this study, the antioxidant potential of Pontederia crassipes leaf extract was assessed using this method at different concentrations (10, 20, 40, 80 and 100 mg/ml). The results are presented in the table and graph above.</w:t>
      </w:r>
    </w:p>
    <w:p w14:paraId="0D0F46BD" w14:textId="77777777" w:rsidR="00AC1877" w:rsidRPr="00AC1877" w:rsidRDefault="00AC1877" w:rsidP="00AC1877">
      <w:pPr>
        <w:spacing w:after="120"/>
        <w:jc w:val="both"/>
        <w:rPr>
          <w:rFonts w:ascii="Arial" w:hAnsi="Arial" w:cs="Arial"/>
        </w:rPr>
      </w:pPr>
      <w:r w:rsidRPr="00AC1877">
        <w:rPr>
          <w:rFonts w:ascii="Arial" w:hAnsi="Arial" w:cs="Arial"/>
        </w:rPr>
        <w:t>At a concentration of 10 mg/ml, the extract exhibited the highest scavenging activity of 78.52%, indicating a strong ability to neutralize free radicals even at a low dose. As the concentration increased to 20 mg/ml, there was a slight increase in scavenging activity to 87.94%, and a further increase to 89.03% was observed at 40 mg/ml. Interestingly, at 80 mg/ml, it is to 89.87%, and at 100 mg/ml the scavenging activity rose to 95.50mg/ml.</w:t>
      </w:r>
    </w:p>
    <w:p w14:paraId="1E1986CC" w14:textId="77777777" w:rsidR="00AC1877" w:rsidRPr="00AC1877" w:rsidRDefault="00AC1877" w:rsidP="00AC1877">
      <w:pPr>
        <w:spacing w:after="120"/>
        <w:jc w:val="both"/>
        <w:rPr>
          <w:rFonts w:ascii="Arial" w:hAnsi="Arial" w:cs="Arial"/>
        </w:rPr>
      </w:pPr>
      <w:r w:rsidRPr="00AC1877">
        <w:rPr>
          <w:rFonts w:ascii="Arial" w:hAnsi="Arial" w:cs="Arial"/>
        </w:rPr>
        <w:t>The trend observed suggests a non-linear dose-response relationship, which may be attributed to the complex interaction of phytochemicals in the extract. Some antioxidant compounds may exhibit optimal activity at lower concentrations, while at higher doses, they may compete or interfere with one another, temporarily reducing the overall antioxidant effectiveness. The subsequent increase in activity at 80 mg/ml could imply a cumulative or synergistic effect becoming dominant at higher concentrations.</w:t>
      </w:r>
    </w:p>
    <w:p w14:paraId="5454F42F" w14:textId="77777777" w:rsidR="00AC1877" w:rsidRPr="00AC1877" w:rsidRDefault="00AC1877" w:rsidP="00AC1877">
      <w:pPr>
        <w:spacing w:after="120"/>
        <w:jc w:val="both"/>
        <w:rPr>
          <w:rFonts w:ascii="Arial" w:hAnsi="Arial" w:cs="Arial"/>
        </w:rPr>
      </w:pPr>
      <w:r w:rsidRPr="00AC1877">
        <w:rPr>
          <w:rFonts w:ascii="Arial" w:hAnsi="Arial" w:cs="Arial"/>
        </w:rPr>
        <w:t xml:space="preserve">This pattern indicates that </w:t>
      </w:r>
      <w:r w:rsidRPr="00AC1877">
        <w:rPr>
          <w:rFonts w:ascii="Arial" w:hAnsi="Arial" w:cs="Arial"/>
          <w:i/>
          <w:iCs/>
        </w:rPr>
        <w:t>P. crassipes</w:t>
      </w:r>
      <w:r w:rsidRPr="00AC1877">
        <w:rPr>
          <w:rFonts w:ascii="Arial" w:hAnsi="Arial" w:cs="Arial"/>
        </w:rPr>
        <w:t xml:space="preserve"> leaf extract possesses potent antioxidant properties, with considerable scavenging activity across all tested concentrations. The high DPPH scavenging ability supports the presence of active phytochemicals like flavonoids, phenolics, and tannins, which are known for their electron-donating capacity, allowing them to reduce the stable DPPH radical to a non-radical form.</w:t>
      </w:r>
    </w:p>
    <w:p w14:paraId="5A289221" w14:textId="77777777" w:rsidR="00AC1877" w:rsidRPr="00AC1877" w:rsidRDefault="00AC1877" w:rsidP="00AC1877">
      <w:pPr>
        <w:spacing w:after="120"/>
        <w:jc w:val="both"/>
        <w:rPr>
          <w:rFonts w:ascii="Arial" w:hAnsi="Arial" w:cs="Arial"/>
        </w:rPr>
      </w:pPr>
      <w:r w:rsidRPr="00AC1877">
        <w:rPr>
          <w:rFonts w:ascii="Arial" w:hAnsi="Arial" w:cs="Arial"/>
        </w:rPr>
        <w:t xml:space="preserve">The </w:t>
      </w:r>
      <w:proofErr w:type="spellStart"/>
      <w:r w:rsidRPr="00AC1877">
        <w:rPr>
          <w:rFonts w:ascii="Arial" w:hAnsi="Arial" w:cs="Arial"/>
        </w:rPr>
        <w:t>phosphomolybdenum</w:t>
      </w:r>
      <w:proofErr w:type="spellEnd"/>
      <w:r w:rsidRPr="00AC1877">
        <w:rPr>
          <w:rFonts w:ascii="Arial" w:hAnsi="Arial" w:cs="Arial"/>
        </w:rPr>
        <w:t xml:space="preserve"> antioxidant power assay (PAP); Is a widely used method to assess the total antioxidant capacity of plant extracts by measuring the reduction of Mo (VI) to Mo(V) in the presence of antioxidants. The intensity of the green-</w:t>
      </w:r>
      <w:proofErr w:type="spellStart"/>
      <w:r w:rsidRPr="00AC1877">
        <w:rPr>
          <w:rFonts w:ascii="Arial" w:hAnsi="Arial" w:cs="Arial"/>
        </w:rPr>
        <w:t>coloured</w:t>
      </w:r>
      <w:proofErr w:type="spellEnd"/>
      <w:r w:rsidRPr="00AC1877">
        <w:rPr>
          <w:rFonts w:ascii="Arial" w:hAnsi="Arial" w:cs="Arial"/>
        </w:rPr>
        <w:t xml:space="preserve"> complex formed, measured as absorbance, reflects the antioxidant potential of the sample.</w:t>
      </w:r>
    </w:p>
    <w:p w14:paraId="617ADAC5" w14:textId="77777777" w:rsidR="00AC1877" w:rsidRPr="00AC1877" w:rsidRDefault="00AC1877" w:rsidP="00AC1877">
      <w:pPr>
        <w:spacing w:after="120"/>
        <w:jc w:val="both"/>
        <w:rPr>
          <w:rFonts w:ascii="Arial" w:hAnsi="Arial" w:cs="Arial"/>
        </w:rPr>
      </w:pPr>
      <w:r w:rsidRPr="00AC1877">
        <w:rPr>
          <w:rFonts w:ascii="Arial" w:hAnsi="Arial" w:cs="Arial"/>
        </w:rPr>
        <w:t xml:space="preserve">In this study, the antioxidant capacity of </w:t>
      </w:r>
      <w:r w:rsidRPr="00AC1877">
        <w:rPr>
          <w:rFonts w:ascii="Arial" w:hAnsi="Arial" w:cs="Arial"/>
          <w:i/>
          <w:iCs/>
        </w:rPr>
        <w:t>P. crassipes</w:t>
      </w:r>
      <w:r w:rsidRPr="00AC1877">
        <w:rPr>
          <w:rFonts w:ascii="Arial" w:hAnsi="Arial" w:cs="Arial"/>
        </w:rPr>
        <w:t xml:space="preserve"> leaf extract was evaluated and compared to garlic (used as the standard) across various concentrations (0, 10, 20, 40, and 80 mg/ml). The results show that the absorbance values—and by extension, antioxidant activity—increased with concentration for both samples, though garlic consistently exhibited higher activity than </w:t>
      </w:r>
      <w:r w:rsidRPr="00AC1877">
        <w:rPr>
          <w:rFonts w:ascii="Arial" w:hAnsi="Arial" w:cs="Arial"/>
          <w:i/>
          <w:iCs/>
        </w:rPr>
        <w:t>P. crassipes</w:t>
      </w:r>
      <w:r w:rsidRPr="00AC1877">
        <w:rPr>
          <w:rFonts w:ascii="Arial" w:hAnsi="Arial" w:cs="Arial"/>
        </w:rPr>
        <w:t xml:space="preserve"> at all concentrations.</w:t>
      </w:r>
    </w:p>
    <w:p w14:paraId="4127AF27" w14:textId="77777777" w:rsidR="00AC1877" w:rsidRPr="00AC1877" w:rsidRDefault="00AC1877" w:rsidP="00AC1877">
      <w:pPr>
        <w:spacing w:after="120"/>
        <w:jc w:val="both"/>
        <w:rPr>
          <w:rFonts w:ascii="Arial" w:hAnsi="Arial" w:cs="Arial"/>
        </w:rPr>
      </w:pPr>
      <w:r w:rsidRPr="00AC1877">
        <w:rPr>
          <w:rFonts w:ascii="Arial" w:hAnsi="Arial" w:cs="Arial"/>
        </w:rPr>
        <w:t xml:space="preserve">At the lowest concentration (10 mg/ml), garlic showed an absorbance of 0.278, while </w:t>
      </w:r>
      <w:r w:rsidRPr="00AC1877">
        <w:rPr>
          <w:rFonts w:ascii="Arial" w:hAnsi="Arial" w:cs="Arial"/>
          <w:i/>
          <w:iCs/>
        </w:rPr>
        <w:t>P. crassipes</w:t>
      </w:r>
      <w:r w:rsidRPr="00AC1877">
        <w:rPr>
          <w:rFonts w:ascii="Arial" w:hAnsi="Arial" w:cs="Arial"/>
        </w:rPr>
        <w:t xml:space="preserve"> had 0.084. As the concentration increased, absorbance rose gradually for both: at 20 mg/ml, garlic reached 0.311 and </w:t>
      </w:r>
      <w:r w:rsidRPr="00AC1877">
        <w:rPr>
          <w:rFonts w:ascii="Arial" w:hAnsi="Arial" w:cs="Arial"/>
          <w:i/>
          <w:iCs/>
        </w:rPr>
        <w:t>P. crassipes</w:t>
      </w:r>
      <w:r w:rsidRPr="00AC1877">
        <w:rPr>
          <w:rFonts w:ascii="Arial" w:hAnsi="Arial" w:cs="Arial"/>
        </w:rPr>
        <w:t xml:space="preserve"> rose slightly to 0.097. At 40 mg/ml and 80 mg/ml, garlic maintained higher antioxidant power with absorbances of 0.383 and 0.422 respectively, compared to </w:t>
      </w:r>
      <w:r w:rsidRPr="00AC1877">
        <w:rPr>
          <w:rFonts w:ascii="Arial" w:hAnsi="Arial" w:cs="Arial"/>
          <w:i/>
          <w:iCs/>
        </w:rPr>
        <w:t>P. crassipes</w:t>
      </w:r>
      <w:r w:rsidRPr="00AC1877">
        <w:rPr>
          <w:rFonts w:ascii="Arial" w:hAnsi="Arial" w:cs="Arial"/>
        </w:rPr>
        <w:t xml:space="preserve"> with 0.108 and 0.111.</w:t>
      </w:r>
    </w:p>
    <w:p w14:paraId="2A77411D" w14:textId="77777777" w:rsidR="00AC1877" w:rsidRPr="00AC1877" w:rsidRDefault="00AC1877" w:rsidP="00AC1877">
      <w:pPr>
        <w:spacing w:after="120"/>
        <w:jc w:val="both"/>
        <w:rPr>
          <w:rFonts w:ascii="Arial" w:hAnsi="Arial" w:cs="Arial"/>
        </w:rPr>
      </w:pPr>
      <w:r w:rsidRPr="00AC1877">
        <w:rPr>
          <w:rFonts w:ascii="Arial" w:hAnsi="Arial" w:cs="Arial"/>
        </w:rPr>
        <w:t xml:space="preserve">The trend depicted </w:t>
      </w:r>
      <w:proofErr w:type="gramStart"/>
      <w:r w:rsidRPr="00AC1877">
        <w:rPr>
          <w:rFonts w:ascii="Arial" w:hAnsi="Arial" w:cs="Arial"/>
        </w:rPr>
        <w:t>In</w:t>
      </w:r>
      <w:proofErr w:type="gramEnd"/>
      <w:r w:rsidRPr="00AC1877">
        <w:rPr>
          <w:rFonts w:ascii="Arial" w:hAnsi="Arial" w:cs="Arial"/>
        </w:rPr>
        <w:t xml:space="preserve"> the graph confirms this dose-dependent increase in total antioxidant capacity. However, the </w:t>
      </w:r>
      <w:r w:rsidRPr="00AC1877">
        <w:rPr>
          <w:rFonts w:ascii="Arial" w:hAnsi="Arial" w:cs="Arial"/>
          <w:i/>
          <w:iCs/>
        </w:rPr>
        <w:t>P. crassipes</w:t>
      </w:r>
      <w:r w:rsidRPr="00AC1877">
        <w:rPr>
          <w:rFonts w:ascii="Arial" w:hAnsi="Arial" w:cs="Arial"/>
        </w:rPr>
        <w:t xml:space="preserve"> extract exhibited significantly lower antioxidant activity than garlic at each concentration. This suggests that although </w:t>
      </w:r>
      <w:r w:rsidRPr="00AC1877">
        <w:rPr>
          <w:rFonts w:ascii="Arial" w:hAnsi="Arial" w:cs="Arial"/>
          <w:i/>
          <w:iCs/>
        </w:rPr>
        <w:t>P. crassipes</w:t>
      </w:r>
      <w:r w:rsidRPr="00AC1877">
        <w:rPr>
          <w:rFonts w:ascii="Arial" w:hAnsi="Arial" w:cs="Arial"/>
        </w:rPr>
        <w:t xml:space="preserve"> has antioxidant properties, they are comparatively moderate or weak under the conditions of this assay.</w:t>
      </w:r>
    </w:p>
    <w:p w14:paraId="3C09B620" w14:textId="77777777" w:rsidR="00AC1877" w:rsidRPr="00AC1877" w:rsidRDefault="00AC1877" w:rsidP="00AC1877">
      <w:pPr>
        <w:spacing w:after="120"/>
        <w:jc w:val="both"/>
        <w:rPr>
          <w:rFonts w:ascii="Arial" w:hAnsi="Arial" w:cs="Arial"/>
        </w:rPr>
      </w:pPr>
      <w:r w:rsidRPr="00AC1877">
        <w:rPr>
          <w:rFonts w:ascii="Arial" w:hAnsi="Arial" w:cs="Arial"/>
        </w:rPr>
        <w:t xml:space="preserve">The relatively low absorbance values for </w:t>
      </w:r>
      <w:r w:rsidRPr="00AC1877">
        <w:rPr>
          <w:rFonts w:ascii="Arial" w:hAnsi="Arial" w:cs="Arial"/>
          <w:i/>
          <w:iCs/>
        </w:rPr>
        <w:t>P. crassipes</w:t>
      </w:r>
      <w:r w:rsidRPr="00AC1877">
        <w:rPr>
          <w:rFonts w:ascii="Arial" w:hAnsi="Arial" w:cs="Arial"/>
        </w:rPr>
        <w:t xml:space="preserve"> may be attributed to lower levels of bioactive antioxidant compounds such as phenolics and flavonoids, which are known to influence total antioxidant capacity. Nonetheless, the increasing trend with concentration implies that the extract still possesses concentration-dependent antioxidant potential.</w:t>
      </w:r>
    </w:p>
    <w:p w14:paraId="5B9CB321" w14:textId="77777777" w:rsidR="00AC1877" w:rsidRPr="00AC1877" w:rsidRDefault="00AC1877" w:rsidP="00AC1877">
      <w:pPr>
        <w:spacing w:after="120"/>
        <w:jc w:val="both"/>
        <w:rPr>
          <w:rFonts w:ascii="Arial" w:hAnsi="Arial" w:cs="Arial"/>
        </w:rPr>
      </w:pPr>
      <w:r w:rsidRPr="00AC1877">
        <w:rPr>
          <w:rFonts w:ascii="Arial" w:hAnsi="Arial" w:cs="Arial"/>
        </w:rPr>
        <w:lastRenderedPageBreak/>
        <w:t xml:space="preserve">The Reducing Power Assay (RPA) is used to assess the electron-donating ability of antioxidant compounds, which plays a critical role in neutralizing free radicals and reactive oxygen species. In this study, the reducing power of </w:t>
      </w:r>
      <w:r w:rsidRPr="00AC1877">
        <w:rPr>
          <w:rFonts w:ascii="Arial" w:hAnsi="Arial" w:cs="Arial"/>
          <w:i/>
          <w:iCs/>
        </w:rPr>
        <w:t>P. crassipes</w:t>
      </w:r>
      <w:r w:rsidRPr="00AC1877">
        <w:rPr>
          <w:rFonts w:ascii="Arial" w:hAnsi="Arial" w:cs="Arial"/>
        </w:rPr>
        <w:t xml:space="preserve"> leaf extract was evaluated at different concentrations ranging from 0 to 80 µg/mL, and the results are presented in terms of percentage inhibition.</w:t>
      </w:r>
    </w:p>
    <w:p w14:paraId="2590DA19" w14:textId="77777777" w:rsidR="00AC1877" w:rsidRPr="00AC1877" w:rsidRDefault="00AC1877" w:rsidP="00AC1877">
      <w:pPr>
        <w:spacing w:after="120"/>
        <w:jc w:val="both"/>
        <w:rPr>
          <w:rFonts w:ascii="Arial" w:hAnsi="Arial" w:cs="Arial"/>
        </w:rPr>
      </w:pPr>
      <w:r w:rsidRPr="00AC1877">
        <w:rPr>
          <w:rFonts w:ascii="Arial" w:hAnsi="Arial" w:cs="Arial"/>
        </w:rPr>
        <w:t>At 0 µg/mL (control), the percentage inhibition was negligible (-0.001%), indicating no reducing activity in the absence of the extract. However, at 10 µg/mL, there was a notable increase to 39.37%, suggesting that the extract contains bioactive compounds capable of reducing Fe³</w:t>
      </w:r>
      <w:r w:rsidRPr="00AC1877">
        <w:rPr>
          <w:rFonts w:ascii="Cambria Math" w:hAnsi="Cambria Math" w:cs="Cambria Math"/>
        </w:rPr>
        <w:t>⁺</w:t>
      </w:r>
      <w:r w:rsidRPr="00AC1877">
        <w:rPr>
          <w:rFonts w:ascii="Arial" w:hAnsi="Arial" w:cs="Arial"/>
        </w:rPr>
        <w:t xml:space="preserve"> to Fe²</w:t>
      </w:r>
      <w:r w:rsidRPr="00AC1877">
        <w:rPr>
          <w:rFonts w:ascii="Cambria Math" w:hAnsi="Cambria Math" w:cs="Cambria Math"/>
        </w:rPr>
        <w:t>⁺</w:t>
      </w:r>
      <w:r w:rsidRPr="00AC1877">
        <w:rPr>
          <w:rFonts w:ascii="Arial" w:hAnsi="Arial" w:cs="Arial"/>
        </w:rPr>
        <w:t>, thereby indicating antioxidant potential. As the concentration increased to 20 µg/mL and 40 µg/mL, the percentage inhibition remained relatively stable at 41.14% and 40.96%, respectively. A further increase to 80 µg/mL showed a slightly higher inhibition of 42.73%.</w:t>
      </w:r>
    </w:p>
    <w:p w14:paraId="410BB425" w14:textId="77777777" w:rsidR="00AC1877" w:rsidRPr="00AC1877" w:rsidRDefault="00AC1877" w:rsidP="00AC1877">
      <w:pPr>
        <w:spacing w:after="120"/>
        <w:jc w:val="both"/>
        <w:rPr>
          <w:rFonts w:ascii="Arial" w:hAnsi="Arial" w:cs="Arial"/>
        </w:rPr>
      </w:pPr>
      <w:r w:rsidRPr="00AC1877">
        <w:rPr>
          <w:rFonts w:ascii="Arial" w:hAnsi="Arial" w:cs="Arial"/>
        </w:rPr>
        <w:t>The results reveal a moderate and concentration-dependent reducing power, with a gradual increase in antioxidant activity observed from 10 µg/mL to 80 µg/mL, although the rate of increase plateaued at higher concentrations. This suggests that the antioxidant components in the extract may have reached a saturation point beyond which no significant enhancement in reducing activity occurred.</w:t>
      </w:r>
    </w:p>
    <w:p w14:paraId="790AB8B8" w14:textId="77777777" w:rsidR="00AC1877" w:rsidRPr="00AC1877" w:rsidRDefault="00AC1877" w:rsidP="00AC1877">
      <w:pPr>
        <w:spacing w:after="120"/>
        <w:jc w:val="both"/>
        <w:rPr>
          <w:rFonts w:ascii="Arial" w:hAnsi="Arial" w:cs="Arial"/>
        </w:rPr>
      </w:pPr>
      <w:r w:rsidRPr="00AC1877">
        <w:rPr>
          <w:rFonts w:ascii="Arial" w:hAnsi="Arial" w:cs="Arial"/>
        </w:rPr>
        <w:t xml:space="preserve">The overall trend confirms that </w:t>
      </w:r>
      <w:r w:rsidRPr="00AC1877">
        <w:rPr>
          <w:rFonts w:ascii="Arial" w:hAnsi="Arial" w:cs="Arial"/>
          <w:i/>
          <w:iCs/>
        </w:rPr>
        <w:t>Pontederia crassipes</w:t>
      </w:r>
      <w:r w:rsidRPr="00AC1877">
        <w:rPr>
          <w:rFonts w:ascii="Arial" w:hAnsi="Arial" w:cs="Arial"/>
        </w:rPr>
        <w:t xml:space="preserve"> leaf extract possesses notable reducing power, which may be attributed to its phytochemical constituents such as phenolics and flavonoids. These compounds are known to donate electrons, thereby reducing oxidized intermediates of lipid peroxidation processes and breaking free radical chain reactions. This antioxidant potential supports the traditional use of </w:t>
      </w:r>
      <w:r w:rsidRPr="00AC1877">
        <w:rPr>
          <w:rFonts w:ascii="Arial" w:hAnsi="Arial" w:cs="Arial"/>
          <w:i/>
          <w:iCs/>
        </w:rPr>
        <w:t>P. crassipes</w:t>
      </w:r>
      <w:r w:rsidRPr="00AC1877">
        <w:rPr>
          <w:rFonts w:ascii="Arial" w:hAnsi="Arial" w:cs="Arial"/>
        </w:rPr>
        <w:t xml:space="preserve"> in herbal remedies and emphasizes its relevance as a natural source of antioxidant agents.</w:t>
      </w:r>
      <w:r w:rsidRPr="00AC1877">
        <w:rPr>
          <w:rFonts w:ascii="Arial" w:hAnsi="Arial" w:cs="Arial"/>
        </w:rPr>
        <w:tab/>
      </w:r>
    </w:p>
    <w:p w14:paraId="2B5D5D69" w14:textId="77777777" w:rsidR="00AC1877" w:rsidRPr="00AC1877" w:rsidRDefault="00AC1877" w:rsidP="00AC1877">
      <w:pPr>
        <w:spacing w:after="120"/>
        <w:jc w:val="both"/>
        <w:rPr>
          <w:rFonts w:ascii="Arial" w:hAnsi="Arial" w:cs="Arial"/>
        </w:rPr>
      </w:pPr>
      <w:r w:rsidRPr="00AC1877">
        <w:rPr>
          <w:rFonts w:ascii="Arial" w:hAnsi="Arial" w:cs="Arial"/>
        </w:rPr>
        <w:t>The nitric oxide (NO) scavenging activity assay was employed to evaluate the antioxidant capacity of the leaf extract of Pontederia crassipes in comparison to a standard antioxidant, garlic extract. The principle behind this assay involves the generation of nitric oxide from sodium nitroprusside in an aqueous medium, which then reacts with oxygen to form nitrite ions. These nitrites are quantified using Griess reagent, and a reduction in absorbance at 546 nm indicates higher nitric oxide scavenging activity.</w:t>
      </w:r>
    </w:p>
    <w:p w14:paraId="37D554A5" w14:textId="77777777" w:rsidR="00AC1877" w:rsidRPr="00AC1877" w:rsidRDefault="00AC1877" w:rsidP="00AC1877">
      <w:pPr>
        <w:spacing w:after="120"/>
        <w:jc w:val="both"/>
        <w:rPr>
          <w:rFonts w:ascii="Arial" w:hAnsi="Arial" w:cs="Arial"/>
        </w:rPr>
      </w:pPr>
      <w:r w:rsidRPr="00AC1877">
        <w:rPr>
          <w:rFonts w:ascii="Arial" w:hAnsi="Arial" w:cs="Arial"/>
        </w:rPr>
        <w:t xml:space="preserve">From the graph, </w:t>
      </w:r>
      <w:r w:rsidRPr="00AC1877">
        <w:rPr>
          <w:rFonts w:ascii="Arial" w:hAnsi="Arial" w:cs="Arial"/>
          <w:i/>
          <w:iCs/>
        </w:rPr>
        <w:t>P. crassipes</w:t>
      </w:r>
      <w:r w:rsidRPr="00AC1877">
        <w:rPr>
          <w:rFonts w:ascii="Arial" w:hAnsi="Arial" w:cs="Arial"/>
        </w:rPr>
        <w:t xml:space="preserve"> exhibited NO scavenging activity that fluctuated slightly across concentrations, with absorbance values ranging from 0.136 to 0.174. Interestingly, at 10 mg/ml, the extract showed an absorbance of 0.136, which is lower than the corresponding garlic value (0.174), indicating potentially higher scavenging activity at that point (since lower absorbance suggests greater inhibition of nitric oxide formation). However, at higher concentrations like 20 and 80 mg/ml, the absorbance increased slightly (0.174 and 0.1715, respectively), suggesting a marginal variation in scavenging efficiency.</w:t>
      </w:r>
    </w:p>
    <w:p w14:paraId="0E1D0D12" w14:textId="77777777" w:rsidR="00AC1877" w:rsidRPr="00AC1877" w:rsidRDefault="00AC1877" w:rsidP="00AC1877">
      <w:pPr>
        <w:spacing w:after="120"/>
        <w:jc w:val="both"/>
        <w:rPr>
          <w:rFonts w:ascii="Arial" w:hAnsi="Arial" w:cs="Arial"/>
        </w:rPr>
      </w:pPr>
      <w:r w:rsidRPr="00AC1877">
        <w:rPr>
          <w:rFonts w:ascii="Arial" w:hAnsi="Arial" w:cs="Arial"/>
        </w:rPr>
        <w:t xml:space="preserve">The garlic extract, serving as the standard, showed a clearer concentration-dependent increase in absorbance, implying a steady decrease in scavenging efficiency with increasing concentration. This trend contrasts with </w:t>
      </w:r>
      <w:r w:rsidRPr="00AC1877">
        <w:rPr>
          <w:rFonts w:ascii="Arial" w:hAnsi="Arial" w:cs="Arial"/>
          <w:i/>
          <w:iCs/>
        </w:rPr>
        <w:t xml:space="preserve">P. </w:t>
      </w:r>
      <w:proofErr w:type="gramStart"/>
      <w:r w:rsidRPr="00AC1877">
        <w:rPr>
          <w:rFonts w:ascii="Arial" w:hAnsi="Arial" w:cs="Arial"/>
          <w:i/>
          <w:iCs/>
        </w:rPr>
        <w:t>crassipes</w:t>
      </w:r>
      <w:r w:rsidRPr="00AC1877">
        <w:rPr>
          <w:rFonts w:ascii="Arial" w:hAnsi="Arial" w:cs="Arial"/>
        </w:rPr>
        <w:t xml:space="preserve"> ,</w:t>
      </w:r>
      <w:proofErr w:type="gramEnd"/>
      <w:r w:rsidRPr="00AC1877">
        <w:rPr>
          <w:rFonts w:ascii="Arial" w:hAnsi="Arial" w:cs="Arial"/>
        </w:rPr>
        <w:t xml:space="preserve"> which maintained relatively stable NO inhibition across the tested range.</w:t>
      </w:r>
    </w:p>
    <w:p w14:paraId="0B8B17D3" w14:textId="77777777" w:rsidR="00AC1877" w:rsidRPr="00AC1877" w:rsidRDefault="00AC1877" w:rsidP="00AC1877">
      <w:pPr>
        <w:spacing w:after="120"/>
        <w:jc w:val="both"/>
        <w:rPr>
          <w:rFonts w:ascii="Arial" w:hAnsi="Arial" w:cs="Arial"/>
        </w:rPr>
      </w:pPr>
      <w:r w:rsidRPr="00AC1877">
        <w:rPr>
          <w:rFonts w:ascii="Arial" w:hAnsi="Arial" w:cs="Arial"/>
        </w:rPr>
        <w:t xml:space="preserve">The results suggest that </w:t>
      </w:r>
      <w:r w:rsidRPr="00AC1877">
        <w:rPr>
          <w:rFonts w:ascii="Arial" w:hAnsi="Arial" w:cs="Arial"/>
          <w:i/>
          <w:iCs/>
        </w:rPr>
        <w:t>P. crassipes</w:t>
      </w:r>
      <w:r w:rsidRPr="00AC1877">
        <w:rPr>
          <w:rFonts w:ascii="Arial" w:hAnsi="Arial" w:cs="Arial"/>
        </w:rPr>
        <w:t xml:space="preserve"> possesses moderate nitric oxide scavenging potential, especially noticeable at lower concentrations (10 mg/ml). This indicates the presence of bioactive compounds—likely polyphenols, flavonoids, and other phytochemicals—that can neutralize reactive nitrogen species like NO, thereby contributing to the plant’s overall antioxidant profile. This study, therefore, adds to the growing body of evidence that invasive species, while problematic, can also be part of innovative solutions when their biological characteristics are fully understood and responsibly managed.</w:t>
      </w:r>
    </w:p>
    <w:p w14:paraId="721DBA8A" w14:textId="77777777" w:rsidR="00CE39D3" w:rsidRDefault="00AC1877" w:rsidP="00AC1877">
      <w:pPr>
        <w:spacing w:after="120"/>
        <w:jc w:val="both"/>
        <w:rPr>
          <w:rFonts w:ascii="Arial" w:hAnsi="Arial" w:cs="Arial"/>
          <w:b/>
          <w:bCs/>
        </w:rPr>
      </w:pPr>
      <w:r w:rsidRPr="00AC1877">
        <w:rPr>
          <w:rFonts w:ascii="Arial" w:hAnsi="Arial" w:cs="Arial"/>
          <w:b/>
          <w:bCs/>
        </w:rPr>
        <w:t xml:space="preserve"> </w:t>
      </w:r>
    </w:p>
    <w:p w14:paraId="798A2582" w14:textId="77777777" w:rsidR="00CE39D3" w:rsidRDefault="00CE39D3" w:rsidP="00AC1877">
      <w:pPr>
        <w:spacing w:after="120"/>
        <w:jc w:val="both"/>
        <w:rPr>
          <w:rFonts w:ascii="Arial" w:hAnsi="Arial" w:cs="Arial"/>
          <w:b/>
          <w:bCs/>
        </w:rPr>
      </w:pPr>
    </w:p>
    <w:p w14:paraId="43CDE34A" w14:textId="77777777" w:rsidR="00AC1877" w:rsidRPr="00CE39D3" w:rsidRDefault="00AC1877" w:rsidP="00CE39D3">
      <w:pPr>
        <w:pStyle w:val="ListParagraph"/>
        <w:numPr>
          <w:ilvl w:val="0"/>
          <w:numId w:val="31"/>
        </w:numPr>
        <w:spacing w:after="120"/>
        <w:ind w:left="360"/>
        <w:jc w:val="both"/>
        <w:rPr>
          <w:rFonts w:ascii="Arial" w:hAnsi="Arial" w:cs="Arial"/>
          <w:b/>
          <w:bCs/>
        </w:rPr>
      </w:pPr>
      <w:r w:rsidRPr="00CE39D3">
        <w:rPr>
          <w:rFonts w:ascii="Arial" w:hAnsi="Arial" w:cs="Arial"/>
          <w:b/>
          <w:bCs/>
        </w:rPr>
        <w:lastRenderedPageBreak/>
        <w:t>CONCLUSION</w:t>
      </w:r>
    </w:p>
    <w:p w14:paraId="4C95597C" w14:textId="77777777" w:rsidR="00AC1877" w:rsidRPr="00AC1877" w:rsidRDefault="00AC1877" w:rsidP="00AC1877">
      <w:pPr>
        <w:spacing w:after="120"/>
        <w:jc w:val="both"/>
        <w:rPr>
          <w:rFonts w:ascii="Arial" w:hAnsi="Arial" w:cs="Arial"/>
        </w:rPr>
      </w:pPr>
      <w:r w:rsidRPr="00AC1877">
        <w:rPr>
          <w:rFonts w:ascii="Arial" w:hAnsi="Arial" w:cs="Arial"/>
        </w:rPr>
        <w:t xml:space="preserve">The present study on the aqueous extract of </w:t>
      </w:r>
      <w:r w:rsidRPr="00AC1877">
        <w:rPr>
          <w:rFonts w:ascii="Arial" w:hAnsi="Arial" w:cs="Arial"/>
          <w:i/>
          <w:iCs/>
        </w:rPr>
        <w:t>P. crassipes</w:t>
      </w:r>
      <w:r w:rsidRPr="00AC1877">
        <w:rPr>
          <w:rFonts w:ascii="Arial" w:hAnsi="Arial" w:cs="Arial"/>
        </w:rPr>
        <w:t xml:space="preserve"> leaves provides compelling evidence that this species has provided valuable insights into the nutritional and biochemical potential of this aquatic macrophyte. The results demonstrated that the plant contains appreciable levels of proximate, amino acids, minerals and antioxidants.   The moderate protein and </w:t>
      </w:r>
      <w:proofErr w:type="spellStart"/>
      <w:r w:rsidRPr="00AC1877">
        <w:rPr>
          <w:rFonts w:ascii="Arial" w:hAnsi="Arial" w:cs="Arial"/>
        </w:rPr>
        <w:t>fibre</w:t>
      </w:r>
      <w:proofErr w:type="spellEnd"/>
      <w:r w:rsidRPr="00AC1877">
        <w:rPr>
          <w:rFonts w:ascii="Arial" w:hAnsi="Arial" w:cs="Arial"/>
        </w:rPr>
        <w:t xml:space="preserve"> contents indicate its potential as a supplementary feed ingredient for livestock, poultry, and aquaculture, while the appreciable ash fraction suggests the presence of essential minerals required for metabolic functions. The carbohydrate component further underscores its value as an alternative energy source, particularly in feed formulation or bioresource utilization.  The amino acid profile of </w:t>
      </w:r>
      <w:r w:rsidRPr="00AC1877">
        <w:rPr>
          <w:rFonts w:ascii="Arial" w:hAnsi="Arial" w:cs="Arial"/>
          <w:i/>
          <w:iCs/>
        </w:rPr>
        <w:t>P. crassipes</w:t>
      </w:r>
      <w:r w:rsidRPr="00AC1877">
        <w:rPr>
          <w:rFonts w:ascii="Arial" w:hAnsi="Arial" w:cs="Arial"/>
        </w:rPr>
        <w:t xml:space="preserve"> leaf extract reveals a rich composition of both essential and non-essential amino acids, with particular enrichment in isoleucine, proline, threonine, arginine, and cystine. These findings highlight the dual nutritional and pharmacological significance of the plant. While the nutraceutical potential lies in its contributions to muscle growth, collagen synthesis, and antioxidant </w:t>
      </w:r>
      <w:proofErr w:type="spellStart"/>
      <w:r w:rsidRPr="00AC1877">
        <w:rPr>
          <w:rFonts w:ascii="Arial" w:hAnsi="Arial" w:cs="Arial"/>
        </w:rPr>
        <w:t>defence</w:t>
      </w:r>
      <w:proofErr w:type="spellEnd"/>
      <w:r w:rsidRPr="00AC1877">
        <w:rPr>
          <w:rFonts w:ascii="Arial" w:hAnsi="Arial" w:cs="Arial"/>
        </w:rPr>
        <w:t xml:space="preserve">, the pharmacological prospects extend to cardiovascular regulation, neurotransmission, and immune modulation. </w:t>
      </w:r>
      <w:r w:rsidRPr="00AC1877">
        <w:rPr>
          <w:rFonts w:ascii="Arial" w:hAnsi="Arial" w:cs="Arial"/>
          <w:i/>
          <w:iCs/>
        </w:rPr>
        <w:t>Pontederia crassipes</w:t>
      </w:r>
      <w:r w:rsidRPr="00AC1877">
        <w:rPr>
          <w:rFonts w:ascii="Arial" w:hAnsi="Arial" w:cs="Arial"/>
        </w:rPr>
        <w:t xml:space="preserve"> leaves</w:t>
      </w:r>
      <w:r w:rsidRPr="00AC1877">
        <w:rPr>
          <w:rFonts w:ascii="Arial" w:hAnsi="Arial" w:cs="Arial"/>
          <w:b/>
          <w:bCs/>
        </w:rPr>
        <w:t xml:space="preserve"> </w:t>
      </w:r>
      <w:r w:rsidRPr="00AC1877">
        <w:rPr>
          <w:rFonts w:ascii="Arial" w:hAnsi="Arial" w:cs="Arial"/>
        </w:rPr>
        <w:t>are more than just an invasive aquatic weed; they are a reservoir of diverse bioactive compounds, including nutritionally rich amino acids and remarkably stable minerals and antioxidants, that could serve as leads for future drug development and natural product research.</w:t>
      </w:r>
    </w:p>
    <w:p w14:paraId="1896CE74" w14:textId="77777777" w:rsidR="00790ADA" w:rsidRPr="00FB3A86" w:rsidRDefault="00790ADA" w:rsidP="00441B6F">
      <w:pPr>
        <w:pStyle w:val="Body"/>
        <w:spacing w:after="0"/>
        <w:rPr>
          <w:rFonts w:ascii="Arial" w:hAnsi="Arial" w:cs="Arial"/>
        </w:rPr>
      </w:pPr>
    </w:p>
    <w:p w14:paraId="6C7AFAE6"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4F843B0" w14:textId="77777777" w:rsidR="00860000" w:rsidRPr="00786D36" w:rsidRDefault="00860000" w:rsidP="00441B6F">
      <w:pPr>
        <w:pStyle w:val="ReferHead"/>
        <w:spacing w:after="0"/>
        <w:jc w:val="both"/>
        <w:rPr>
          <w:rFonts w:ascii="Arial" w:hAnsi="Arial" w:cs="Arial"/>
        </w:rPr>
      </w:pPr>
    </w:p>
    <w:p w14:paraId="034993C7" w14:textId="77777777" w:rsidR="00860000" w:rsidRPr="00B543F6" w:rsidRDefault="00E66E10" w:rsidP="00441B6F">
      <w:pPr>
        <w:pStyle w:val="ReferHead"/>
        <w:spacing w:after="0"/>
        <w:jc w:val="both"/>
        <w:rPr>
          <w:rFonts w:ascii="Arial" w:hAnsi="Arial" w:cs="Arial"/>
          <w:b w:val="0"/>
          <w:caps w:val="0"/>
          <w:sz w:val="20"/>
        </w:rPr>
      </w:pPr>
      <w:r w:rsidRPr="00B543F6">
        <w:rPr>
          <w:rFonts w:ascii="Arial" w:hAnsi="Arial" w:cs="Arial"/>
          <w:b w:val="0"/>
          <w:caps w:val="0"/>
          <w:sz w:val="20"/>
        </w:rPr>
        <w:t>Authors have declared that no competing interests exist</w:t>
      </w:r>
      <w:r w:rsidR="00B543F6" w:rsidRPr="00B543F6">
        <w:rPr>
          <w:rFonts w:ascii="Arial" w:hAnsi="Arial" w:cs="Arial"/>
          <w:b w:val="0"/>
          <w:caps w:val="0"/>
          <w:sz w:val="20"/>
        </w:rPr>
        <w:t>.</w:t>
      </w:r>
    </w:p>
    <w:p w14:paraId="38B6EECB" w14:textId="77777777" w:rsidR="00371FB6" w:rsidRDefault="00371FB6" w:rsidP="00441B6F">
      <w:pPr>
        <w:pStyle w:val="ReferHead"/>
        <w:spacing w:after="0"/>
        <w:jc w:val="both"/>
        <w:rPr>
          <w:rFonts w:ascii="Arial" w:hAnsi="Arial" w:cs="Arial"/>
          <w:b w:val="0"/>
          <w:caps w:val="0"/>
          <w:sz w:val="20"/>
        </w:rPr>
      </w:pPr>
    </w:p>
    <w:p w14:paraId="5CF3AFBF" w14:textId="77777777" w:rsidR="002B685A" w:rsidRDefault="002B685A" w:rsidP="00441B6F">
      <w:pPr>
        <w:pStyle w:val="ReferHead"/>
        <w:spacing w:after="0"/>
        <w:jc w:val="both"/>
        <w:rPr>
          <w:rFonts w:ascii="Arial" w:hAnsi="Arial" w:cs="Arial"/>
          <w:b w:val="0"/>
          <w:caps w:val="0"/>
          <w:sz w:val="20"/>
        </w:rPr>
      </w:pPr>
    </w:p>
    <w:p w14:paraId="0BAA269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97B139" w14:textId="77777777" w:rsidR="00790ADA" w:rsidRPr="00FB3A86" w:rsidRDefault="00790ADA" w:rsidP="00441B6F">
      <w:pPr>
        <w:pStyle w:val="ReferHead"/>
        <w:spacing w:after="0"/>
        <w:jc w:val="both"/>
        <w:rPr>
          <w:rFonts w:ascii="Arial" w:hAnsi="Arial" w:cs="Arial"/>
        </w:rPr>
      </w:pPr>
    </w:p>
    <w:p w14:paraId="6B7691ED" w14:textId="77777777" w:rsidR="005569CF" w:rsidRPr="005569CF" w:rsidRDefault="005569CF" w:rsidP="005569CF">
      <w:pPr>
        <w:spacing w:after="120"/>
        <w:jc w:val="both"/>
        <w:rPr>
          <w:rFonts w:ascii="Arial" w:hAnsi="Arial" w:cs="Arial"/>
        </w:rPr>
      </w:pPr>
      <w:proofErr w:type="spellStart"/>
      <w:r w:rsidRPr="005569CF">
        <w:rPr>
          <w:rFonts w:ascii="Arial" w:hAnsi="Arial" w:cs="Arial"/>
          <w:lang w:val="es-MX"/>
        </w:rPr>
        <w:t>Adeoye</w:t>
      </w:r>
      <w:proofErr w:type="spellEnd"/>
      <w:r w:rsidRPr="005569CF">
        <w:rPr>
          <w:rFonts w:ascii="Arial" w:hAnsi="Arial" w:cs="Arial"/>
          <w:lang w:val="es-MX"/>
        </w:rPr>
        <w:t xml:space="preserve">, A. O., &amp; </w:t>
      </w:r>
      <w:proofErr w:type="spellStart"/>
      <w:r w:rsidRPr="005569CF">
        <w:rPr>
          <w:rFonts w:ascii="Arial" w:hAnsi="Arial" w:cs="Arial"/>
          <w:lang w:val="es-MX"/>
        </w:rPr>
        <w:t>Oladipupo</w:t>
      </w:r>
      <w:proofErr w:type="spellEnd"/>
      <w:r w:rsidRPr="005569CF">
        <w:rPr>
          <w:rFonts w:ascii="Arial" w:hAnsi="Arial" w:cs="Arial"/>
          <w:lang w:val="es-MX"/>
        </w:rPr>
        <w:t xml:space="preserve">, O. (2021). </w:t>
      </w:r>
      <w:r w:rsidRPr="005569CF">
        <w:rPr>
          <w:rFonts w:ascii="Arial" w:hAnsi="Arial" w:cs="Arial"/>
        </w:rPr>
        <w:t>Nutritional and pharmacological significance of amino acid composition in medicinal plants. Journal of Medicinal Plant Research, 15(4), 156–164.</w:t>
      </w:r>
    </w:p>
    <w:p w14:paraId="3EC9101B" w14:textId="77777777" w:rsidR="005569CF" w:rsidRPr="005569CF" w:rsidRDefault="005569CF" w:rsidP="005569CF">
      <w:pPr>
        <w:spacing w:after="120"/>
        <w:jc w:val="both"/>
        <w:rPr>
          <w:rFonts w:ascii="Arial" w:hAnsi="Arial" w:cs="Arial"/>
        </w:rPr>
      </w:pPr>
      <w:r w:rsidRPr="005569CF">
        <w:rPr>
          <w:rFonts w:ascii="Arial" w:hAnsi="Arial" w:cs="Arial"/>
        </w:rPr>
        <w:t xml:space="preserve">Adeyemo, F. A., Olanrewaju, A. A., &amp; </w:t>
      </w:r>
      <w:proofErr w:type="spellStart"/>
      <w:r w:rsidRPr="005569CF">
        <w:rPr>
          <w:rFonts w:ascii="Arial" w:hAnsi="Arial" w:cs="Arial"/>
        </w:rPr>
        <w:t>Fadimu</w:t>
      </w:r>
      <w:proofErr w:type="spellEnd"/>
      <w:r w:rsidRPr="005569CF">
        <w:rPr>
          <w:rFonts w:ascii="Arial" w:hAnsi="Arial" w:cs="Arial"/>
        </w:rPr>
        <w:t xml:space="preserve">, O. Y. (2022). Phytochemical screening and antioxidant activity of selected medicinal plants in Nigeria. </w:t>
      </w:r>
      <w:r w:rsidRPr="005569CF">
        <w:rPr>
          <w:rFonts w:ascii="Arial" w:hAnsi="Arial" w:cs="Arial"/>
          <w:i/>
          <w:iCs/>
        </w:rPr>
        <w:t>Journal of Medicinal Plants Research, 16</w:t>
      </w:r>
      <w:r w:rsidRPr="005569CF">
        <w:rPr>
          <w:rFonts w:ascii="Arial" w:hAnsi="Arial" w:cs="Arial"/>
        </w:rPr>
        <w:t xml:space="preserve">(3), 45–53. </w:t>
      </w:r>
    </w:p>
    <w:p w14:paraId="427BC1F0" w14:textId="77777777" w:rsidR="005569CF" w:rsidRPr="005569CF" w:rsidRDefault="005569CF" w:rsidP="005569CF">
      <w:pPr>
        <w:pStyle w:val="NormalWeb"/>
        <w:spacing w:beforeAutospacing="0" w:after="120" w:afterAutospacing="0"/>
        <w:jc w:val="both"/>
        <w:rPr>
          <w:rFonts w:ascii="Arial" w:hAnsi="Arial" w:cs="Arial"/>
          <w:sz w:val="20"/>
          <w:szCs w:val="20"/>
        </w:rPr>
      </w:pPr>
      <w:proofErr w:type="spellStart"/>
      <w:r w:rsidRPr="005569CF">
        <w:rPr>
          <w:rFonts w:ascii="Arial" w:hAnsi="Arial" w:cs="Arial"/>
          <w:sz w:val="20"/>
          <w:szCs w:val="20"/>
        </w:rPr>
        <w:t>Afidati</w:t>
      </w:r>
      <w:proofErr w:type="spellEnd"/>
      <w:r w:rsidRPr="005569CF">
        <w:rPr>
          <w:rFonts w:ascii="Arial" w:hAnsi="Arial" w:cs="Arial"/>
          <w:sz w:val="20"/>
          <w:szCs w:val="20"/>
        </w:rPr>
        <w:t xml:space="preserve">, Y. I., Savitri, I. J., and </w:t>
      </w:r>
      <w:proofErr w:type="spellStart"/>
      <w:r w:rsidRPr="005569CF">
        <w:rPr>
          <w:rFonts w:ascii="Arial" w:hAnsi="Arial" w:cs="Arial"/>
          <w:sz w:val="20"/>
          <w:szCs w:val="20"/>
        </w:rPr>
        <w:t>Krismariono</w:t>
      </w:r>
      <w:proofErr w:type="spellEnd"/>
      <w:r w:rsidRPr="005569CF">
        <w:rPr>
          <w:rFonts w:ascii="Arial" w:hAnsi="Arial" w:cs="Arial"/>
          <w:sz w:val="20"/>
          <w:szCs w:val="20"/>
        </w:rPr>
        <w:t>, A. (2019). Inhibition activity of water hyacinth leaf extract (</w:t>
      </w:r>
      <w:r w:rsidRPr="005569CF">
        <w:rPr>
          <w:rStyle w:val="Emphasis"/>
          <w:rFonts w:ascii="Arial" w:hAnsi="Arial" w:cs="Arial"/>
          <w:sz w:val="20"/>
          <w:szCs w:val="20"/>
        </w:rPr>
        <w:t>Eichhornia crassipes</w:t>
      </w:r>
      <w:r w:rsidRPr="005569CF">
        <w:rPr>
          <w:rFonts w:ascii="Arial" w:hAnsi="Arial" w:cs="Arial"/>
          <w:sz w:val="20"/>
          <w:szCs w:val="20"/>
        </w:rPr>
        <w:t xml:space="preserve">) against </w:t>
      </w:r>
      <w:proofErr w:type="spellStart"/>
      <w:r w:rsidRPr="005569CF">
        <w:rPr>
          <w:rStyle w:val="Emphasis"/>
          <w:rFonts w:ascii="Arial" w:hAnsi="Arial" w:cs="Arial"/>
          <w:sz w:val="20"/>
          <w:szCs w:val="20"/>
        </w:rPr>
        <w:t>Aggregatibacter</w:t>
      </w:r>
      <w:proofErr w:type="spellEnd"/>
      <w:r w:rsidRPr="005569CF">
        <w:rPr>
          <w:rStyle w:val="Emphasis"/>
          <w:rFonts w:ascii="Arial" w:hAnsi="Arial" w:cs="Arial"/>
          <w:sz w:val="20"/>
          <w:szCs w:val="20"/>
        </w:rPr>
        <w:t xml:space="preserve"> </w:t>
      </w:r>
      <w:proofErr w:type="spellStart"/>
      <w:r w:rsidRPr="005569CF">
        <w:rPr>
          <w:rStyle w:val="Emphasis"/>
          <w:rFonts w:ascii="Arial" w:hAnsi="Arial" w:cs="Arial"/>
          <w:sz w:val="20"/>
          <w:szCs w:val="20"/>
        </w:rPr>
        <w:t>actinomycetemcomitans</w:t>
      </w:r>
      <w:proofErr w:type="spellEnd"/>
      <w:r w:rsidRPr="005569CF">
        <w:rPr>
          <w:rFonts w:ascii="Arial" w:hAnsi="Arial" w:cs="Arial"/>
          <w:sz w:val="20"/>
          <w:szCs w:val="20"/>
        </w:rPr>
        <w:t xml:space="preserve">. </w:t>
      </w:r>
      <w:r w:rsidRPr="005569CF">
        <w:rPr>
          <w:rStyle w:val="Emphasis"/>
          <w:rFonts w:ascii="Arial" w:hAnsi="Arial" w:cs="Arial"/>
          <w:sz w:val="20"/>
          <w:szCs w:val="20"/>
        </w:rPr>
        <w:t>Asian Journal of Pharmaceutical and Clinical Research, 12</w:t>
      </w:r>
      <w:r w:rsidRPr="005569CF">
        <w:rPr>
          <w:rFonts w:ascii="Arial" w:hAnsi="Arial" w:cs="Arial"/>
          <w:sz w:val="20"/>
          <w:szCs w:val="20"/>
        </w:rPr>
        <w:t>(6), 122–125.</w:t>
      </w:r>
    </w:p>
    <w:p w14:paraId="20CBDDC5" w14:textId="77777777" w:rsidR="005569CF" w:rsidRPr="005569CF" w:rsidRDefault="005569CF" w:rsidP="005569CF">
      <w:pPr>
        <w:spacing w:after="120"/>
        <w:jc w:val="both"/>
        <w:rPr>
          <w:rFonts w:ascii="Arial" w:hAnsi="Arial" w:cs="Arial"/>
        </w:rPr>
      </w:pPr>
      <w:r w:rsidRPr="005569CF">
        <w:rPr>
          <w:rFonts w:ascii="Arial" w:hAnsi="Arial" w:cs="Arial"/>
        </w:rPr>
        <w:t xml:space="preserve">Albin, D. M., </w:t>
      </w:r>
      <w:proofErr w:type="spellStart"/>
      <w:r w:rsidRPr="005569CF">
        <w:rPr>
          <w:rFonts w:ascii="Arial" w:hAnsi="Arial" w:cs="Arial"/>
        </w:rPr>
        <w:t>Wubben</w:t>
      </w:r>
      <w:proofErr w:type="spellEnd"/>
      <w:r w:rsidRPr="005569CF">
        <w:rPr>
          <w:rFonts w:ascii="Arial" w:hAnsi="Arial" w:cs="Arial"/>
        </w:rPr>
        <w:t xml:space="preserve">, J. E., &amp; </w:t>
      </w:r>
      <w:proofErr w:type="spellStart"/>
      <w:r w:rsidRPr="005569CF">
        <w:rPr>
          <w:rFonts w:ascii="Arial" w:hAnsi="Arial" w:cs="Arial"/>
        </w:rPr>
        <w:t>Gabert</w:t>
      </w:r>
      <w:proofErr w:type="spellEnd"/>
      <w:r w:rsidRPr="005569CF">
        <w:rPr>
          <w:rFonts w:ascii="Arial" w:hAnsi="Arial" w:cs="Arial"/>
        </w:rPr>
        <w:t xml:space="preserve">, V. M. (2000). The influence of hydrochloric acid concentration and measurement method on the determination of amino acid levels in soya bean products. Animal Feed Science and Technology, 87(3-4), 173-186. </w:t>
      </w:r>
      <w:hyperlink r:id="rId29" w:history="1">
        <w:r w:rsidRPr="005569CF">
          <w:rPr>
            <w:rStyle w:val="Hyperlink"/>
            <w:rFonts w:ascii="Arial" w:hAnsi="Arial" w:cs="Arial"/>
            <w:color w:val="auto"/>
          </w:rPr>
          <w:t>https://doi.org/10.1016/S0377-8401(00)00204-2</w:t>
        </w:r>
      </w:hyperlink>
    </w:p>
    <w:p w14:paraId="48079047" w14:textId="77777777" w:rsidR="005569CF" w:rsidRPr="005569CF" w:rsidRDefault="005569CF" w:rsidP="005569CF">
      <w:pPr>
        <w:spacing w:after="120"/>
        <w:jc w:val="both"/>
        <w:rPr>
          <w:rFonts w:ascii="Arial" w:hAnsi="Arial" w:cs="Arial"/>
        </w:rPr>
      </w:pPr>
      <w:r w:rsidRPr="005569CF">
        <w:rPr>
          <w:rFonts w:ascii="Arial" w:hAnsi="Arial" w:cs="Arial"/>
        </w:rPr>
        <w:t xml:space="preserve">Ali, B. M., </w:t>
      </w:r>
      <w:proofErr w:type="spellStart"/>
      <w:r w:rsidRPr="005569CF">
        <w:rPr>
          <w:rFonts w:ascii="Arial" w:hAnsi="Arial" w:cs="Arial"/>
        </w:rPr>
        <w:t>Boothapandi</w:t>
      </w:r>
      <w:proofErr w:type="spellEnd"/>
      <w:r w:rsidRPr="005569CF">
        <w:rPr>
          <w:rFonts w:ascii="Arial" w:hAnsi="Arial" w:cs="Arial"/>
        </w:rPr>
        <w:t>, M., &amp; Sultan Nasar, A. (2020). Nitric oxide, DPPH and hydrogen peroxide radical scavenging activity of TEMPO terminated polyurethane dendrimers: Data supporting antioxidant activity of radical dendrimers. Data in Brief, 28, 104972. https://doi.org/10.1016/j.dib.2019.104972</w:t>
      </w:r>
    </w:p>
    <w:p w14:paraId="6536D918" w14:textId="77777777" w:rsidR="005569CF" w:rsidRPr="005569CF" w:rsidRDefault="005569CF" w:rsidP="005569CF">
      <w:pPr>
        <w:spacing w:after="120"/>
        <w:jc w:val="both"/>
        <w:rPr>
          <w:rFonts w:ascii="Arial" w:hAnsi="Arial" w:cs="Arial"/>
        </w:rPr>
      </w:pPr>
      <w:r w:rsidRPr="005569CF">
        <w:rPr>
          <w:rFonts w:ascii="Arial" w:hAnsi="Arial" w:cs="Arial"/>
        </w:rPr>
        <w:t xml:space="preserve">Ben </w:t>
      </w:r>
      <w:proofErr w:type="spellStart"/>
      <w:r w:rsidRPr="005569CF">
        <w:rPr>
          <w:rFonts w:ascii="Arial" w:hAnsi="Arial" w:cs="Arial"/>
        </w:rPr>
        <w:t>Bakrim</w:t>
      </w:r>
      <w:proofErr w:type="spellEnd"/>
      <w:r w:rsidRPr="005569CF">
        <w:rPr>
          <w:rFonts w:ascii="Arial" w:hAnsi="Arial" w:cs="Arial"/>
        </w:rPr>
        <w:t xml:space="preserve">, W., </w:t>
      </w:r>
      <w:proofErr w:type="spellStart"/>
      <w:r w:rsidRPr="005569CF">
        <w:rPr>
          <w:rFonts w:ascii="Arial" w:hAnsi="Arial" w:cs="Arial"/>
        </w:rPr>
        <w:t>Ezzariai</w:t>
      </w:r>
      <w:proofErr w:type="spellEnd"/>
      <w:r w:rsidRPr="005569CF">
        <w:rPr>
          <w:rFonts w:ascii="Arial" w:hAnsi="Arial" w:cs="Arial"/>
        </w:rPr>
        <w:t xml:space="preserve">, A., </w:t>
      </w:r>
      <w:proofErr w:type="spellStart"/>
      <w:r w:rsidRPr="005569CF">
        <w:rPr>
          <w:rFonts w:ascii="Arial" w:hAnsi="Arial" w:cs="Arial"/>
        </w:rPr>
        <w:t>Karouach</w:t>
      </w:r>
      <w:proofErr w:type="spellEnd"/>
      <w:r w:rsidRPr="005569CF">
        <w:rPr>
          <w:rFonts w:ascii="Arial" w:hAnsi="Arial" w:cs="Arial"/>
        </w:rPr>
        <w:t xml:space="preserve">, F., </w:t>
      </w:r>
      <w:proofErr w:type="spellStart"/>
      <w:r w:rsidRPr="005569CF">
        <w:rPr>
          <w:rFonts w:ascii="Arial" w:hAnsi="Arial" w:cs="Arial"/>
        </w:rPr>
        <w:t>Sobeh</w:t>
      </w:r>
      <w:proofErr w:type="spellEnd"/>
      <w:r w:rsidRPr="005569CF">
        <w:rPr>
          <w:rFonts w:ascii="Arial" w:hAnsi="Arial" w:cs="Arial"/>
        </w:rPr>
        <w:t xml:space="preserve">, M., </w:t>
      </w:r>
      <w:proofErr w:type="spellStart"/>
      <w:r w:rsidRPr="005569CF">
        <w:rPr>
          <w:rFonts w:ascii="Arial" w:hAnsi="Arial" w:cs="Arial"/>
        </w:rPr>
        <w:t>Kibret</w:t>
      </w:r>
      <w:proofErr w:type="spellEnd"/>
      <w:r w:rsidRPr="005569CF">
        <w:rPr>
          <w:rFonts w:ascii="Arial" w:hAnsi="Arial" w:cs="Arial"/>
        </w:rPr>
        <w:t xml:space="preserve">, M., </w:t>
      </w:r>
      <w:proofErr w:type="spellStart"/>
      <w:r w:rsidRPr="005569CF">
        <w:rPr>
          <w:rFonts w:ascii="Arial" w:hAnsi="Arial" w:cs="Arial"/>
        </w:rPr>
        <w:t>Hafidi</w:t>
      </w:r>
      <w:proofErr w:type="spellEnd"/>
      <w:r w:rsidRPr="005569CF">
        <w:rPr>
          <w:rFonts w:ascii="Arial" w:hAnsi="Arial" w:cs="Arial"/>
        </w:rPr>
        <w:t xml:space="preserve">, M., </w:t>
      </w:r>
      <w:proofErr w:type="spellStart"/>
      <w:r w:rsidRPr="005569CF">
        <w:rPr>
          <w:rFonts w:ascii="Arial" w:hAnsi="Arial" w:cs="Arial"/>
        </w:rPr>
        <w:t>Kouisni</w:t>
      </w:r>
      <w:proofErr w:type="spellEnd"/>
      <w:r w:rsidRPr="005569CF">
        <w:rPr>
          <w:rFonts w:ascii="Arial" w:hAnsi="Arial" w:cs="Arial"/>
        </w:rPr>
        <w:t xml:space="preserve">, L., &amp; </w:t>
      </w:r>
      <w:proofErr w:type="spellStart"/>
      <w:r w:rsidRPr="005569CF">
        <w:rPr>
          <w:rFonts w:ascii="Arial" w:hAnsi="Arial" w:cs="Arial"/>
        </w:rPr>
        <w:t>Yasri</w:t>
      </w:r>
      <w:proofErr w:type="spellEnd"/>
      <w:r w:rsidRPr="005569CF">
        <w:rPr>
          <w:rFonts w:ascii="Arial" w:hAnsi="Arial" w:cs="Arial"/>
        </w:rPr>
        <w:t xml:space="preserve">, A. (2022). Eichhornia crassipes (Mart.) </w:t>
      </w:r>
      <w:proofErr w:type="spellStart"/>
      <w:r w:rsidRPr="005569CF">
        <w:rPr>
          <w:rFonts w:ascii="Arial" w:hAnsi="Arial" w:cs="Arial"/>
        </w:rPr>
        <w:t>Solms</w:t>
      </w:r>
      <w:proofErr w:type="spellEnd"/>
      <w:r w:rsidRPr="005569CF">
        <w:rPr>
          <w:rFonts w:ascii="Arial" w:hAnsi="Arial" w:cs="Arial"/>
        </w:rPr>
        <w:t xml:space="preserve">: A Comprehensive Review of Its Chemical Composition, Traditional Use, and Value-Added Products. Frontiers in Pharmacology, 13, 842511. </w:t>
      </w:r>
      <w:hyperlink r:id="rId30" w:history="1">
        <w:r w:rsidRPr="005569CF">
          <w:rPr>
            <w:rStyle w:val="Hyperlink"/>
            <w:rFonts w:ascii="Arial" w:hAnsi="Arial" w:cs="Arial"/>
            <w:color w:val="auto"/>
          </w:rPr>
          <w:t>https://doi.org/10.3389/fphar.2022.842511</w:t>
        </w:r>
      </w:hyperlink>
    </w:p>
    <w:p w14:paraId="04335DBE" w14:textId="77777777" w:rsidR="005569CF" w:rsidRPr="005569CF" w:rsidRDefault="005569CF" w:rsidP="005569CF">
      <w:pPr>
        <w:spacing w:after="120"/>
        <w:jc w:val="both"/>
        <w:rPr>
          <w:rFonts w:ascii="Arial" w:hAnsi="Arial" w:cs="Arial"/>
        </w:rPr>
      </w:pPr>
      <w:r w:rsidRPr="005569CF">
        <w:rPr>
          <w:rFonts w:ascii="Arial" w:hAnsi="Arial" w:cs="Arial"/>
        </w:rPr>
        <w:t>Chakraborty, R., &amp; Bose, S. (2022). Amino acids in nutraceuticals and their therapeutic roles: A review. Journal of Food Biochemistry, 46(8), e14255.</w:t>
      </w:r>
    </w:p>
    <w:p w14:paraId="419FE457" w14:textId="77777777" w:rsidR="005569CF" w:rsidRPr="005569CF" w:rsidRDefault="005569CF" w:rsidP="005569CF">
      <w:pPr>
        <w:spacing w:after="120"/>
        <w:jc w:val="both"/>
        <w:rPr>
          <w:rFonts w:ascii="Arial" w:hAnsi="Arial" w:cs="Arial"/>
        </w:rPr>
      </w:pPr>
      <w:r w:rsidRPr="005569CF">
        <w:rPr>
          <w:rFonts w:ascii="Arial" w:hAnsi="Arial" w:cs="Arial"/>
        </w:rPr>
        <w:lastRenderedPageBreak/>
        <w:t xml:space="preserve">Chen, Y., Liu, L., &amp; Wang, Z. (2021). Advances in GC-MS analysis of plant secondary metabolites. </w:t>
      </w:r>
      <w:r w:rsidRPr="005569CF">
        <w:rPr>
          <w:rFonts w:ascii="Arial" w:hAnsi="Arial" w:cs="Arial"/>
          <w:i/>
          <w:iCs/>
        </w:rPr>
        <w:t>Journal of Analytical Science and Technology, 12</w:t>
      </w:r>
      <w:r w:rsidRPr="005569CF">
        <w:rPr>
          <w:rFonts w:ascii="Arial" w:hAnsi="Arial" w:cs="Arial"/>
        </w:rPr>
        <w:t>(1),</w:t>
      </w:r>
      <w:r w:rsidRPr="005569CF">
        <w:rPr>
          <w:rFonts w:ascii="Arial" w:hAnsi="Arial" w:cs="Arial"/>
          <w:i/>
          <w:iCs/>
        </w:rPr>
        <w:t xml:space="preserve"> </w:t>
      </w:r>
      <w:r w:rsidRPr="005569CF">
        <w:rPr>
          <w:rFonts w:ascii="Arial" w:hAnsi="Arial" w:cs="Arial"/>
        </w:rPr>
        <w:t>45.</w:t>
      </w:r>
    </w:p>
    <w:p w14:paraId="2E07BECA"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Edeoja</w:t>
      </w:r>
      <w:proofErr w:type="spellEnd"/>
      <w:r w:rsidRPr="005569CF">
        <w:rPr>
          <w:rFonts w:ascii="Arial" w:hAnsi="Arial" w:cs="Arial"/>
        </w:rPr>
        <w:t xml:space="preserve">, A., Ibrahim, S., &amp; Yusuf, A. (2023). Bioactive compounds of aquatic weeds: Nutritional and pharmacological potentials. </w:t>
      </w:r>
      <w:r w:rsidRPr="005569CF">
        <w:rPr>
          <w:rFonts w:ascii="Arial" w:hAnsi="Arial" w:cs="Arial"/>
          <w:i/>
          <w:iCs/>
        </w:rPr>
        <w:t>Journal of Aquatic Plant Management, 61</w:t>
      </w:r>
      <w:r w:rsidRPr="005569CF">
        <w:rPr>
          <w:rFonts w:ascii="Arial" w:hAnsi="Arial" w:cs="Arial"/>
        </w:rPr>
        <w:t xml:space="preserve">(2), 123–132.management. </w:t>
      </w:r>
      <w:r w:rsidRPr="005569CF">
        <w:rPr>
          <w:rFonts w:ascii="Arial" w:hAnsi="Arial" w:cs="Arial"/>
          <w:i/>
          <w:iCs/>
        </w:rPr>
        <w:t>Frontiers in Pharmacology, 14</w:t>
      </w:r>
      <w:r w:rsidRPr="005569CF">
        <w:rPr>
          <w:rFonts w:ascii="Arial" w:hAnsi="Arial" w:cs="Arial"/>
        </w:rPr>
        <w:t>, 1234567</w:t>
      </w:r>
    </w:p>
    <w:p w14:paraId="7A2F1569" w14:textId="77777777" w:rsidR="005569CF" w:rsidRPr="005569CF" w:rsidRDefault="005569CF" w:rsidP="005569CF">
      <w:pPr>
        <w:spacing w:after="120"/>
        <w:jc w:val="both"/>
        <w:rPr>
          <w:rFonts w:ascii="Arial" w:hAnsi="Arial" w:cs="Arial"/>
        </w:rPr>
      </w:pPr>
      <w:r w:rsidRPr="005569CF">
        <w:rPr>
          <w:rFonts w:ascii="Arial" w:hAnsi="Arial" w:cs="Arial"/>
        </w:rPr>
        <w:t xml:space="preserve">García-Ávila, F., García-Pizarro, E., </w:t>
      </w:r>
      <w:proofErr w:type="spellStart"/>
      <w:r w:rsidRPr="005569CF">
        <w:rPr>
          <w:rFonts w:ascii="Arial" w:hAnsi="Arial" w:cs="Arial"/>
        </w:rPr>
        <w:t>Malla</w:t>
      </w:r>
      <w:proofErr w:type="spellEnd"/>
      <w:r w:rsidRPr="005569CF">
        <w:rPr>
          <w:rFonts w:ascii="Arial" w:hAnsi="Arial" w:cs="Arial"/>
        </w:rPr>
        <w:t xml:space="preserve">-Aguilar, G., Sánchez-Cabrera, C., </w:t>
      </w:r>
      <w:proofErr w:type="spellStart"/>
      <w:r w:rsidRPr="005569CF">
        <w:rPr>
          <w:rFonts w:ascii="Arial" w:hAnsi="Arial" w:cs="Arial"/>
        </w:rPr>
        <w:t>Cadme-Galabay</w:t>
      </w:r>
      <w:proofErr w:type="spellEnd"/>
      <w:r w:rsidRPr="005569CF">
        <w:rPr>
          <w:rFonts w:ascii="Arial" w:hAnsi="Arial" w:cs="Arial"/>
        </w:rPr>
        <w:t xml:space="preserve">, M., </w:t>
      </w:r>
      <w:proofErr w:type="spellStart"/>
      <w:r w:rsidRPr="005569CF">
        <w:rPr>
          <w:rFonts w:ascii="Arial" w:hAnsi="Arial" w:cs="Arial"/>
        </w:rPr>
        <w:t>Valdiviezo</w:t>
      </w:r>
      <w:proofErr w:type="spellEnd"/>
      <w:r w:rsidRPr="005569CF">
        <w:rPr>
          <w:rFonts w:ascii="Arial" w:hAnsi="Arial" w:cs="Arial"/>
        </w:rPr>
        <w:t>-Gonzales, L., &amp; Cabello-Torres, R. (2025). Influence of nutrients on aquatic vegetation and trophic status of lakes: Analysis of eutrophication and mitigation. Results in Engineering, 27, 106381. https://doi.org/10.1016/j.rineng.2025.106381</w:t>
      </w:r>
    </w:p>
    <w:p w14:paraId="7B5548AA"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Isiodu</w:t>
      </w:r>
      <w:proofErr w:type="spellEnd"/>
      <w:r w:rsidRPr="005569CF">
        <w:rPr>
          <w:rFonts w:ascii="Arial" w:hAnsi="Arial" w:cs="Arial"/>
        </w:rPr>
        <w:t xml:space="preserve">, V. C., </w:t>
      </w:r>
      <w:proofErr w:type="spellStart"/>
      <w:r w:rsidRPr="005569CF">
        <w:rPr>
          <w:rFonts w:ascii="Arial" w:hAnsi="Arial" w:cs="Arial"/>
        </w:rPr>
        <w:t>Onyegeme-Okerenta</w:t>
      </w:r>
      <w:proofErr w:type="spellEnd"/>
      <w:r w:rsidRPr="005569CF">
        <w:rPr>
          <w:rFonts w:ascii="Arial" w:hAnsi="Arial" w:cs="Arial"/>
        </w:rPr>
        <w:t>, B. M. &amp; Essien E. B. (2024). Dietary exposure and risk characterization of selected toxic metals in crude palm oil (</w:t>
      </w:r>
      <w:proofErr w:type="spellStart"/>
      <w:r w:rsidRPr="005569CF">
        <w:rPr>
          <w:rFonts w:ascii="Arial" w:hAnsi="Arial" w:cs="Arial"/>
        </w:rPr>
        <w:t>Elaeis</w:t>
      </w:r>
      <w:proofErr w:type="spellEnd"/>
      <w:r w:rsidRPr="005569CF">
        <w:rPr>
          <w:rFonts w:ascii="Arial" w:hAnsi="Arial" w:cs="Arial"/>
        </w:rPr>
        <w:t xml:space="preserve"> </w:t>
      </w:r>
      <w:proofErr w:type="spellStart"/>
      <w:r w:rsidRPr="005569CF">
        <w:rPr>
          <w:rFonts w:ascii="Arial" w:hAnsi="Arial" w:cs="Arial"/>
        </w:rPr>
        <w:t>guineensis</w:t>
      </w:r>
      <w:proofErr w:type="spellEnd"/>
      <w:r w:rsidRPr="005569CF">
        <w:rPr>
          <w:rFonts w:ascii="Arial" w:hAnsi="Arial" w:cs="Arial"/>
        </w:rPr>
        <w:t xml:space="preserve"> Jacq) from six states in Niger Delta, Nigeria. Magna Scientia Advanced Research and Reviews, 10(01), 025–037. https://doi.org/10.30574/msarr.2024.10.1.0174</w:t>
      </w:r>
    </w:p>
    <w:p w14:paraId="11D194C7" w14:textId="77777777" w:rsidR="005569CF" w:rsidRPr="005569CF" w:rsidRDefault="005569CF" w:rsidP="005569CF">
      <w:pPr>
        <w:spacing w:after="120"/>
        <w:jc w:val="both"/>
        <w:rPr>
          <w:rFonts w:ascii="Arial" w:hAnsi="Arial" w:cs="Arial"/>
          <w:lang w:val="de-DE"/>
        </w:rPr>
      </w:pPr>
      <w:r w:rsidRPr="005569CF">
        <w:rPr>
          <w:rFonts w:ascii="Arial" w:hAnsi="Arial" w:cs="Arial"/>
        </w:rPr>
        <w:t xml:space="preserve">Li, J., Huang, X., &amp; Song, Y. (2024). Screening of invasive aquatic plants for natural antioxidant content. </w:t>
      </w:r>
      <w:r w:rsidRPr="005569CF">
        <w:rPr>
          <w:rFonts w:ascii="Arial" w:hAnsi="Arial" w:cs="Arial"/>
          <w:lang w:val="de-DE"/>
        </w:rPr>
        <w:t xml:space="preserve">Aquatic Botany, 182, 103621.   </w:t>
      </w:r>
    </w:p>
    <w:p w14:paraId="304542E0"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Mensor, L. L., Menezes, F. S., Leitão, G. G., Reis, A. S., dos Santos, T. C., Coube, C. S., &amp; Leitão, S. G. (2001). </w:t>
      </w:r>
      <w:r w:rsidRPr="005569CF">
        <w:rPr>
          <w:rFonts w:ascii="Arial" w:hAnsi="Arial" w:cs="Arial"/>
        </w:rPr>
        <w:t xml:space="preserve">Screening of Brazilian plant extracts for antioxidant activity by the use of DPPH free radical method. Phytotherapy research: PTR, 15(2), 127–130. </w:t>
      </w:r>
      <w:hyperlink r:id="rId31" w:history="1">
        <w:r w:rsidRPr="005569CF">
          <w:rPr>
            <w:rStyle w:val="Hyperlink"/>
            <w:rFonts w:ascii="Arial" w:hAnsi="Arial" w:cs="Arial"/>
            <w:color w:val="auto"/>
          </w:rPr>
          <w:t>https://doi.org/10.1002/ptr.687</w:t>
        </w:r>
      </w:hyperlink>
    </w:p>
    <w:p w14:paraId="6C236822" w14:textId="77777777" w:rsidR="005569CF" w:rsidRPr="005569CF" w:rsidRDefault="005569CF" w:rsidP="005569CF">
      <w:pPr>
        <w:spacing w:after="120"/>
        <w:jc w:val="both"/>
        <w:rPr>
          <w:rFonts w:ascii="Arial" w:hAnsi="Arial" w:cs="Arial"/>
        </w:rPr>
      </w:pPr>
      <w:r w:rsidRPr="005569CF">
        <w:rPr>
          <w:rFonts w:ascii="Arial" w:hAnsi="Arial" w:cs="Arial"/>
        </w:rPr>
        <w:t xml:space="preserve">Mohammed, A., Ibrahim, M., &amp; Hassan, S. (2020). Evaluation of antioxidant activity of some Nigerian medicinal plants. </w:t>
      </w:r>
      <w:r w:rsidRPr="005569CF">
        <w:rPr>
          <w:rFonts w:ascii="Arial" w:hAnsi="Arial" w:cs="Arial"/>
          <w:i/>
        </w:rPr>
        <w:t>African Journal of Traditional, Complementary and Alternative Medicines,</w:t>
      </w:r>
      <w:r w:rsidRPr="005569CF">
        <w:rPr>
          <w:rFonts w:ascii="Arial" w:hAnsi="Arial" w:cs="Arial"/>
        </w:rPr>
        <w:t xml:space="preserve"> 17(3), 101–1. </w:t>
      </w:r>
    </w:p>
    <w:p w14:paraId="255EDB9C" w14:textId="77777777" w:rsidR="005569CF" w:rsidRPr="005569CF" w:rsidRDefault="005569CF" w:rsidP="005569CF">
      <w:pPr>
        <w:spacing w:after="120"/>
        <w:jc w:val="both"/>
        <w:rPr>
          <w:rFonts w:ascii="Arial" w:hAnsi="Arial" w:cs="Arial"/>
          <w:lang w:val="de-DE"/>
        </w:rPr>
      </w:pPr>
      <w:proofErr w:type="spellStart"/>
      <w:r w:rsidRPr="005569CF">
        <w:rPr>
          <w:rFonts w:ascii="Arial" w:hAnsi="Arial" w:cs="Arial"/>
        </w:rPr>
        <w:t>Noufal</w:t>
      </w:r>
      <w:proofErr w:type="spellEnd"/>
      <w:r w:rsidRPr="005569CF">
        <w:rPr>
          <w:rFonts w:ascii="Arial" w:hAnsi="Arial" w:cs="Arial"/>
        </w:rPr>
        <w:t xml:space="preserve"> K. P., Rajesh, B., &amp; Sujith, S. Nair. (2023). Antioxidant and Cytotoxic Effects of the Methanolic Extract of Eichhornia crassipes Petioles Upon Mg-63 Cell Lines: An In Vitro Study. </w:t>
      </w:r>
      <w:r w:rsidRPr="005569CF">
        <w:rPr>
          <w:rFonts w:ascii="Arial" w:hAnsi="Arial" w:cs="Arial"/>
          <w:lang w:val="de-DE"/>
        </w:rPr>
        <w:t xml:space="preserve">Cureus, 15(5), e38425. </w:t>
      </w:r>
      <w:hyperlink r:id="rId32" w:history="1">
        <w:r w:rsidRPr="005569CF">
          <w:rPr>
            <w:rStyle w:val="Hyperlink"/>
            <w:rFonts w:ascii="Arial" w:hAnsi="Arial" w:cs="Arial"/>
            <w:color w:val="auto"/>
            <w:lang w:val="de-DE"/>
          </w:rPr>
          <w:t>https://doi.org/10.7759/cureus.38425</w:t>
        </w:r>
      </w:hyperlink>
    </w:p>
    <w:p w14:paraId="431BC1DE"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Oboh, G., Akinmoladun, F. O., Ademosun, A. O., &amp; Olasehinde, T. A. (2010). </w:t>
      </w:r>
      <w:r w:rsidRPr="005569CF">
        <w:rPr>
          <w:rFonts w:ascii="Arial" w:hAnsi="Arial" w:cs="Arial"/>
        </w:rPr>
        <w:t xml:space="preserve">Inhibition of key enzymes linked to type-2 diabetes and antioxidative properties by phenolic extracts of </w:t>
      </w:r>
      <w:r w:rsidRPr="005569CF">
        <w:rPr>
          <w:rFonts w:ascii="Arial" w:hAnsi="Arial" w:cs="Arial"/>
          <w:i/>
          <w:iCs/>
        </w:rPr>
        <w:t xml:space="preserve">Amaranthus </w:t>
      </w:r>
      <w:proofErr w:type="spellStart"/>
      <w:r w:rsidRPr="005569CF">
        <w:rPr>
          <w:rFonts w:ascii="Arial" w:hAnsi="Arial" w:cs="Arial"/>
          <w:i/>
          <w:iCs/>
        </w:rPr>
        <w:t>cruentus</w:t>
      </w:r>
      <w:proofErr w:type="spellEnd"/>
      <w:r w:rsidRPr="005569CF">
        <w:rPr>
          <w:rFonts w:ascii="Arial" w:hAnsi="Arial" w:cs="Arial"/>
        </w:rPr>
        <w:t xml:space="preserve"> and </w:t>
      </w:r>
      <w:r w:rsidRPr="005569CF">
        <w:rPr>
          <w:rFonts w:ascii="Arial" w:hAnsi="Arial" w:cs="Arial"/>
          <w:i/>
          <w:iCs/>
        </w:rPr>
        <w:t>Celosia argentea</w:t>
      </w:r>
      <w:r w:rsidRPr="005569CF">
        <w:rPr>
          <w:rFonts w:ascii="Arial" w:hAnsi="Arial" w:cs="Arial"/>
        </w:rPr>
        <w:t xml:space="preserve"> leaves. </w:t>
      </w:r>
      <w:r w:rsidRPr="005569CF">
        <w:rPr>
          <w:rFonts w:ascii="Arial" w:hAnsi="Arial" w:cs="Arial"/>
          <w:i/>
          <w:iCs/>
        </w:rPr>
        <w:t>Journal of Food Biochemistry, 34</w:t>
      </w:r>
      <w:r w:rsidRPr="005569CF">
        <w:rPr>
          <w:rFonts w:ascii="Arial" w:hAnsi="Arial" w:cs="Arial"/>
        </w:rPr>
        <w:t xml:space="preserve">(6), 1322–1338. </w:t>
      </w:r>
      <w:hyperlink r:id="rId33" w:history="1">
        <w:r w:rsidRPr="005569CF">
          <w:rPr>
            <w:rStyle w:val="Hyperlink"/>
            <w:rFonts w:ascii="Arial" w:hAnsi="Arial" w:cs="Arial"/>
            <w:color w:val="auto"/>
          </w:rPr>
          <w:t>https://doi.org/10.1111/j.17</w:t>
        </w:r>
      </w:hyperlink>
      <w:r w:rsidRPr="005569CF">
        <w:rPr>
          <w:rFonts w:ascii="Arial" w:hAnsi="Arial" w:cs="Arial"/>
        </w:rPr>
        <w:t xml:space="preserve"> </w:t>
      </w:r>
    </w:p>
    <w:p w14:paraId="1AE94575"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Okoduwa</w:t>
      </w:r>
      <w:proofErr w:type="spellEnd"/>
      <w:r w:rsidRPr="005569CF">
        <w:rPr>
          <w:rFonts w:ascii="Arial" w:hAnsi="Arial" w:cs="Arial"/>
        </w:rPr>
        <w:t xml:space="preserve">, S. I. R., Umar, I. A., James, D. B., </w:t>
      </w:r>
      <w:proofErr w:type="spellStart"/>
      <w:r w:rsidRPr="005569CF">
        <w:rPr>
          <w:rFonts w:ascii="Arial" w:hAnsi="Arial" w:cs="Arial"/>
        </w:rPr>
        <w:t>Inuwa</w:t>
      </w:r>
      <w:proofErr w:type="spellEnd"/>
      <w:r w:rsidRPr="005569CF">
        <w:rPr>
          <w:rFonts w:ascii="Arial" w:hAnsi="Arial" w:cs="Arial"/>
        </w:rPr>
        <w:t xml:space="preserve">, H. M., &amp; Bello, F. (2015). Anti-diabetic potential of water hyacinth root extract in alloxan-induced diabetic rats. </w:t>
      </w:r>
      <w:r w:rsidRPr="005569CF">
        <w:rPr>
          <w:rFonts w:ascii="Arial" w:hAnsi="Arial" w:cs="Arial"/>
          <w:i/>
          <w:iCs/>
        </w:rPr>
        <w:t>Journal of Medicinal Plants Research, 9</w:t>
      </w:r>
      <w:r w:rsidRPr="005569CF">
        <w:rPr>
          <w:rFonts w:ascii="Arial" w:hAnsi="Arial" w:cs="Arial"/>
        </w:rPr>
        <w:t xml:space="preserve">(23), 681–689. </w:t>
      </w:r>
      <w:hyperlink r:id="rId34" w:history="1">
        <w:r w:rsidRPr="005569CF">
          <w:rPr>
            <w:rStyle w:val="Hyperlink"/>
            <w:rFonts w:ascii="Arial" w:hAnsi="Arial" w:cs="Arial"/>
            <w:color w:val="auto"/>
          </w:rPr>
          <w:t>https://doi.org/10.5897/JMPR2015.5845</w:t>
        </w:r>
      </w:hyperlink>
    </w:p>
    <w:p w14:paraId="021A4AE3"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Oyedemi</w:t>
      </w:r>
      <w:proofErr w:type="spellEnd"/>
      <w:r w:rsidRPr="005569CF">
        <w:rPr>
          <w:rFonts w:ascii="Arial" w:hAnsi="Arial" w:cs="Arial"/>
        </w:rPr>
        <w:t xml:space="preserve">, S. O., &amp; </w:t>
      </w:r>
      <w:proofErr w:type="spellStart"/>
      <w:r w:rsidRPr="005569CF">
        <w:rPr>
          <w:rFonts w:ascii="Arial" w:hAnsi="Arial" w:cs="Arial"/>
        </w:rPr>
        <w:t>Afolayan</w:t>
      </w:r>
      <w:proofErr w:type="spellEnd"/>
      <w:r w:rsidRPr="005569CF">
        <w:rPr>
          <w:rFonts w:ascii="Arial" w:hAnsi="Arial" w:cs="Arial"/>
        </w:rPr>
        <w:t xml:space="preserve">, A. J. (2020). Antioxidant and phytochemical analysis of selected medicinal plants. </w:t>
      </w:r>
      <w:r w:rsidRPr="005569CF">
        <w:rPr>
          <w:rFonts w:ascii="Arial" w:hAnsi="Arial" w:cs="Arial"/>
          <w:i/>
          <w:iCs/>
        </w:rPr>
        <w:t>Journal of Medicinal Food, 23</w:t>
      </w:r>
      <w:r w:rsidRPr="005569CF">
        <w:rPr>
          <w:rFonts w:ascii="Arial" w:hAnsi="Arial" w:cs="Arial"/>
        </w:rPr>
        <w:t>(2), 189–197.</w:t>
      </w:r>
    </w:p>
    <w:p w14:paraId="45B78E7A" w14:textId="77777777" w:rsidR="005569CF" w:rsidRPr="005569CF" w:rsidRDefault="005569CF" w:rsidP="005569CF">
      <w:pPr>
        <w:spacing w:after="120"/>
        <w:jc w:val="both"/>
        <w:rPr>
          <w:rFonts w:ascii="Arial" w:hAnsi="Arial" w:cs="Arial"/>
        </w:rPr>
      </w:pPr>
      <w:r w:rsidRPr="005569CF">
        <w:rPr>
          <w:rFonts w:ascii="Arial" w:hAnsi="Arial" w:cs="Arial"/>
        </w:rPr>
        <w:t xml:space="preserve">Parsons, W. T., &amp; Cuthbertson, E. G. (2001). </w:t>
      </w:r>
      <w:r w:rsidRPr="005569CF">
        <w:rPr>
          <w:rFonts w:ascii="Arial" w:hAnsi="Arial" w:cs="Arial"/>
          <w:i/>
          <w:iCs/>
        </w:rPr>
        <w:t>Noxious weeds of Australia</w:t>
      </w:r>
      <w:r w:rsidRPr="005569CF">
        <w:rPr>
          <w:rFonts w:ascii="Arial" w:hAnsi="Arial" w:cs="Arial"/>
        </w:rPr>
        <w:t xml:space="preserve"> (2nd ed.). Collingwood: CSIRO Publishing.</w:t>
      </w:r>
    </w:p>
    <w:p w14:paraId="2DE1B803"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Pradubyat</w:t>
      </w:r>
      <w:proofErr w:type="spellEnd"/>
      <w:r w:rsidRPr="005569CF">
        <w:rPr>
          <w:rFonts w:ascii="Arial" w:hAnsi="Arial" w:cs="Arial"/>
        </w:rPr>
        <w:t xml:space="preserve">, N., </w:t>
      </w:r>
      <w:proofErr w:type="spellStart"/>
      <w:r w:rsidRPr="005569CF">
        <w:rPr>
          <w:rFonts w:ascii="Arial" w:hAnsi="Arial" w:cs="Arial"/>
        </w:rPr>
        <w:t>Wunnakup</w:t>
      </w:r>
      <w:proofErr w:type="spellEnd"/>
      <w:r w:rsidRPr="005569CF">
        <w:rPr>
          <w:rFonts w:ascii="Arial" w:hAnsi="Arial" w:cs="Arial"/>
        </w:rPr>
        <w:t xml:space="preserve">, T., </w:t>
      </w:r>
      <w:proofErr w:type="spellStart"/>
      <w:r w:rsidRPr="005569CF">
        <w:rPr>
          <w:rFonts w:ascii="Arial" w:hAnsi="Arial" w:cs="Arial"/>
        </w:rPr>
        <w:t>Praparatana</w:t>
      </w:r>
      <w:proofErr w:type="spellEnd"/>
      <w:r w:rsidRPr="005569CF">
        <w:rPr>
          <w:rFonts w:ascii="Arial" w:hAnsi="Arial" w:cs="Arial"/>
        </w:rPr>
        <w:t xml:space="preserve">, R., </w:t>
      </w:r>
      <w:proofErr w:type="spellStart"/>
      <w:r w:rsidRPr="005569CF">
        <w:rPr>
          <w:rFonts w:ascii="Arial" w:hAnsi="Arial" w:cs="Arial"/>
        </w:rPr>
        <w:t>Wongwiwatthananukit</w:t>
      </w:r>
      <w:proofErr w:type="spellEnd"/>
      <w:r w:rsidRPr="005569CF">
        <w:rPr>
          <w:rFonts w:ascii="Arial" w:hAnsi="Arial" w:cs="Arial"/>
        </w:rPr>
        <w:t xml:space="preserve">, S., </w:t>
      </w:r>
      <w:proofErr w:type="spellStart"/>
      <w:r w:rsidRPr="005569CF">
        <w:rPr>
          <w:rFonts w:ascii="Arial" w:hAnsi="Arial" w:cs="Arial"/>
        </w:rPr>
        <w:t>Jongrungruangchok</w:t>
      </w:r>
      <w:proofErr w:type="spellEnd"/>
      <w:r w:rsidRPr="005569CF">
        <w:rPr>
          <w:rFonts w:ascii="Arial" w:hAnsi="Arial" w:cs="Arial"/>
        </w:rPr>
        <w:t xml:space="preserve">, S., Songsak, T., </w:t>
      </w:r>
      <w:proofErr w:type="spellStart"/>
      <w:r w:rsidRPr="005569CF">
        <w:rPr>
          <w:rFonts w:ascii="Arial" w:hAnsi="Arial" w:cs="Arial"/>
        </w:rPr>
        <w:t>Madaka</w:t>
      </w:r>
      <w:proofErr w:type="spellEnd"/>
      <w:r w:rsidRPr="005569CF">
        <w:rPr>
          <w:rFonts w:ascii="Arial" w:hAnsi="Arial" w:cs="Arial"/>
        </w:rPr>
        <w:t xml:space="preserve">, F., &amp; </w:t>
      </w:r>
      <w:proofErr w:type="spellStart"/>
      <w:r w:rsidRPr="005569CF">
        <w:rPr>
          <w:rFonts w:ascii="Arial" w:hAnsi="Arial" w:cs="Arial"/>
        </w:rPr>
        <w:t>Sudsai</w:t>
      </w:r>
      <w:proofErr w:type="spellEnd"/>
      <w:r w:rsidRPr="005569CF">
        <w:rPr>
          <w:rFonts w:ascii="Arial" w:hAnsi="Arial" w:cs="Arial"/>
        </w:rPr>
        <w:t>, T. (2024). Evaluation of antioxidant and anti-inflammatory properties, bioactive compound profiling, and molecular mechanisms of a multicomponent Thai herbal formulation. Phytomedicine Plus, 4(4), 100662. https://doi.org/10.1016/j.phyplu.2024.100662.</w:t>
      </w:r>
    </w:p>
    <w:p w14:paraId="475D25D4" w14:textId="77777777" w:rsidR="005569CF" w:rsidRPr="005569CF" w:rsidRDefault="005569CF" w:rsidP="005569CF">
      <w:pPr>
        <w:spacing w:after="120"/>
        <w:jc w:val="both"/>
        <w:rPr>
          <w:rFonts w:ascii="Arial" w:hAnsi="Arial" w:cs="Arial"/>
        </w:rPr>
      </w:pPr>
      <w:r w:rsidRPr="005569CF">
        <w:rPr>
          <w:rFonts w:ascii="Arial" w:hAnsi="Arial" w:cs="Arial"/>
        </w:rPr>
        <w:t>Sharma, S., &amp; Goel, R. (2015). Phytochemical and pharmacological profile of water hyacinth (</w:t>
      </w:r>
      <w:r w:rsidRPr="005569CF">
        <w:rPr>
          <w:rFonts w:ascii="Arial" w:hAnsi="Arial" w:cs="Arial"/>
          <w:i/>
          <w:iCs/>
        </w:rPr>
        <w:t>Eichhornia crassipes</w:t>
      </w:r>
      <w:r w:rsidRPr="005569CF">
        <w:rPr>
          <w:rFonts w:ascii="Arial" w:hAnsi="Arial" w:cs="Arial"/>
        </w:rPr>
        <w:t xml:space="preserve">): An overview. </w:t>
      </w:r>
      <w:r w:rsidRPr="005569CF">
        <w:rPr>
          <w:rFonts w:ascii="Arial" w:hAnsi="Arial" w:cs="Arial"/>
          <w:i/>
          <w:iCs/>
        </w:rPr>
        <w:t>International Journal of Pharma and Bio Sciences, 6</w:t>
      </w:r>
      <w:r w:rsidRPr="005569CF">
        <w:rPr>
          <w:rFonts w:ascii="Arial" w:hAnsi="Arial" w:cs="Arial"/>
        </w:rPr>
        <w:t>(1), 86–95.</w:t>
      </w:r>
    </w:p>
    <w:p w14:paraId="5B810E94" w14:textId="77777777" w:rsidR="005569CF" w:rsidRPr="005569CF" w:rsidRDefault="005569CF" w:rsidP="005569CF">
      <w:pPr>
        <w:spacing w:after="120"/>
        <w:jc w:val="both"/>
        <w:rPr>
          <w:rFonts w:ascii="Arial" w:hAnsi="Arial" w:cs="Arial"/>
        </w:rPr>
      </w:pPr>
      <w:proofErr w:type="spellStart"/>
      <w:r w:rsidRPr="005569CF">
        <w:rPr>
          <w:rFonts w:ascii="Arial" w:hAnsi="Arial" w:cs="Arial"/>
        </w:rPr>
        <w:lastRenderedPageBreak/>
        <w:t>Shirwaikar</w:t>
      </w:r>
      <w:proofErr w:type="spellEnd"/>
      <w:r w:rsidRPr="005569CF">
        <w:rPr>
          <w:rFonts w:ascii="Arial" w:hAnsi="Arial" w:cs="Arial"/>
        </w:rPr>
        <w:t xml:space="preserve">, A., </w:t>
      </w:r>
      <w:proofErr w:type="spellStart"/>
      <w:r w:rsidRPr="005569CF">
        <w:rPr>
          <w:rFonts w:ascii="Arial" w:hAnsi="Arial" w:cs="Arial"/>
        </w:rPr>
        <w:t>Shirwaikar</w:t>
      </w:r>
      <w:proofErr w:type="spellEnd"/>
      <w:r w:rsidRPr="005569CF">
        <w:rPr>
          <w:rFonts w:ascii="Arial" w:hAnsi="Arial" w:cs="Arial"/>
        </w:rPr>
        <w:t xml:space="preserve">, A., Rajendran, K., &amp; </w:t>
      </w:r>
      <w:proofErr w:type="spellStart"/>
      <w:r w:rsidRPr="005569CF">
        <w:rPr>
          <w:rFonts w:ascii="Arial" w:hAnsi="Arial" w:cs="Arial"/>
        </w:rPr>
        <w:t>Punitha</w:t>
      </w:r>
      <w:proofErr w:type="spellEnd"/>
      <w:r w:rsidRPr="005569CF">
        <w:rPr>
          <w:rFonts w:ascii="Arial" w:hAnsi="Arial" w:cs="Arial"/>
        </w:rPr>
        <w:t xml:space="preserve">, I. S. (2006). In vitro antioxidant studies on the benzyl tetra </w:t>
      </w:r>
      <w:proofErr w:type="spellStart"/>
      <w:r w:rsidRPr="005569CF">
        <w:rPr>
          <w:rFonts w:ascii="Arial" w:hAnsi="Arial" w:cs="Arial"/>
        </w:rPr>
        <w:t>isoquinoline</w:t>
      </w:r>
      <w:proofErr w:type="spellEnd"/>
      <w:r w:rsidRPr="005569CF">
        <w:rPr>
          <w:rFonts w:ascii="Arial" w:hAnsi="Arial" w:cs="Arial"/>
        </w:rPr>
        <w:t xml:space="preserve"> alkaloid berberine. Biological &amp; pharmaceutical bulletin, 29(9), 1906–1910. </w:t>
      </w:r>
      <w:hyperlink r:id="rId35" w:history="1">
        <w:r w:rsidRPr="005569CF">
          <w:rPr>
            <w:rStyle w:val="Hyperlink"/>
            <w:rFonts w:ascii="Arial" w:hAnsi="Arial" w:cs="Arial"/>
            <w:color w:val="auto"/>
          </w:rPr>
          <w:t>https://doi.org/10.1248/bpb.29.1906</w:t>
        </w:r>
      </w:hyperlink>
    </w:p>
    <w:p w14:paraId="0119386F" w14:textId="77777777" w:rsidR="005569CF" w:rsidRPr="005569CF" w:rsidRDefault="005569CF" w:rsidP="005569CF">
      <w:pPr>
        <w:spacing w:after="120"/>
        <w:jc w:val="both"/>
        <w:rPr>
          <w:rFonts w:ascii="Arial" w:hAnsi="Arial" w:cs="Arial"/>
        </w:rPr>
      </w:pPr>
      <w:proofErr w:type="spellStart"/>
      <w:r w:rsidRPr="005569CF">
        <w:rPr>
          <w:rFonts w:ascii="Arial" w:hAnsi="Arial" w:cs="Arial"/>
          <w:lang w:val="es-MX"/>
        </w:rPr>
        <w:t>Sies</w:t>
      </w:r>
      <w:proofErr w:type="spellEnd"/>
      <w:r w:rsidRPr="005569CF">
        <w:rPr>
          <w:rFonts w:ascii="Arial" w:hAnsi="Arial" w:cs="Arial"/>
          <w:lang w:val="es-MX"/>
        </w:rPr>
        <w:t xml:space="preserve">, H., &amp; Jones, D. P. (2020). </w:t>
      </w:r>
      <w:r w:rsidRPr="005569CF">
        <w:rPr>
          <w:rFonts w:ascii="Arial" w:hAnsi="Arial" w:cs="Arial"/>
        </w:rPr>
        <w:t xml:space="preserve">Reactive oxygen species (ROS) as pleiotropic physiological </w:t>
      </w:r>
      <w:proofErr w:type="spellStart"/>
      <w:r w:rsidRPr="005569CF">
        <w:rPr>
          <w:rFonts w:ascii="Arial" w:hAnsi="Arial" w:cs="Arial"/>
        </w:rPr>
        <w:t>signalling</w:t>
      </w:r>
      <w:proofErr w:type="spellEnd"/>
      <w:r w:rsidRPr="005569CF">
        <w:rPr>
          <w:rFonts w:ascii="Arial" w:hAnsi="Arial" w:cs="Arial"/>
        </w:rPr>
        <w:t xml:space="preserve"> agents. </w:t>
      </w:r>
      <w:r w:rsidRPr="005569CF">
        <w:rPr>
          <w:rFonts w:ascii="Arial" w:hAnsi="Arial" w:cs="Arial"/>
          <w:i/>
          <w:iCs/>
        </w:rPr>
        <w:t>Nature Reviews Molecular Cell Biology, 21</w:t>
      </w:r>
      <w:r w:rsidRPr="005569CF">
        <w:rPr>
          <w:rFonts w:ascii="Arial" w:hAnsi="Arial" w:cs="Arial"/>
        </w:rPr>
        <w:t>(7), 363–383. https://doi.org/10.1038/s41580-020-0230-3</w:t>
      </w:r>
    </w:p>
    <w:p w14:paraId="3F96A6AF" w14:textId="77777777" w:rsidR="005569CF" w:rsidRPr="005569CF" w:rsidRDefault="005569CF" w:rsidP="005569CF">
      <w:pPr>
        <w:spacing w:after="120"/>
        <w:jc w:val="both"/>
        <w:rPr>
          <w:rFonts w:ascii="Arial" w:hAnsi="Arial" w:cs="Arial"/>
        </w:rPr>
      </w:pPr>
      <w:r w:rsidRPr="005569CF">
        <w:rPr>
          <w:rFonts w:ascii="Arial" w:hAnsi="Arial" w:cs="Arial"/>
        </w:rPr>
        <w:t xml:space="preserve">Singh, A., &amp; Sharma, R. (2021). GC-MS identification of phytochemicals in medicinal weeds. </w:t>
      </w:r>
      <w:r w:rsidRPr="005569CF">
        <w:rPr>
          <w:rFonts w:ascii="Arial" w:hAnsi="Arial" w:cs="Arial"/>
          <w:i/>
          <w:iCs/>
        </w:rPr>
        <w:t>Journal of Applied Biology &amp; Biotechnology, 9</w:t>
      </w:r>
      <w:r w:rsidRPr="005569CF">
        <w:rPr>
          <w:rFonts w:ascii="Arial" w:hAnsi="Arial" w:cs="Arial"/>
        </w:rPr>
        <w:t>(4), 67–74.</w:t>
      </w:r>
    </w:p>
    <w:p w14:paraId="11854F6F" w14:textId="77777777" w:rsidR="005569CF" w:rsidRPr="005569CF" w:rsidRDefault="005569CF" w:rsidP="005569CF">
      <w:pPr>
        <w:spacing w:after="120"/>
        <w:jc w:val="both"/>
        <w:rPr>
          <w:rFonts w:ascii="Arial" w:hAnsi="Arial" w:cs="Arial"/>
          <w:lang w:val="es-MX"/>
        </w:rPr>
      </w:pPr>
      <w:r w:rsidRPr="005569CF">
        <w:rPr>
          <w:rFonts w:ascii="Arial" w:hAnsi="Arial" w:cs="Arial"/>
          <w:lang w:val="es-MX"/>
        </w:rPr>
        <w:t xml:space="preserve">Soler-Rivas, C., Espín, J. C., &amp; </w:t>
      </w:r>
      <w:proofErr w:type="spellStart"/>
      <w:r w:rsidRPr="005569CF">
        <w:rPr>
          <w:rFonts w:ascii="Arial" w:hAnsi="Arial" w:cs="Arial"/>
          <w:lang w:val="es-MX"/>
        </w:rPr>
        <w:t>Wichers</w:t>
      </w:r>
      <w:proofErr w:type="spellEnd"/>
      <w:r w:rsidRPr="005569CF">
        <w:rPr>
          <w:rFonts w:ascii="Arial" w:hAnsi="Arial" w:cs="Arial"/>
          <w:lang w:val="es-MX"/>
        </w:rPr>
        <w:t xml:space="preserve">, H. J. (2000). </w:t>
      </w:r>
      <w:proofErr w:type="spellStart"/>
      <w:r w:rsidRPr="005569CF">
        <w:rPr>
          <w:rFonts w:ascii="Arial" w:hAnsi="Arial" w:cs="Arial"/>
          <w:lang w:val="es-MX"/>
        </w:rPr>
        <w:t>An</w:t>
      </w:r>
      <w:proofErr w:type="spellEnd"/>
      <w:r w:rsidRPr="005569CF">
        <w:rPr>
          <w:rFonts w:ascii="Arial" w:hAnsi="Arial" w:cs="Arial"/>
          <w:lang w:val="es-MX"/>
        </w:rPr>
        <w:t xml:space="preserve"> </w:t>
      </w:r>
      <w:proofErr w:type="spellStart"/>
      <w:r w:rsidRPr="005569CF">
        <w:rPr>
          <w:rFonts w:ascii="Arial" w:hAnsi="Arial" w:cs="Arial"/>
          <w:lang w:val="es-MX"/>
        </w:rPr>
        <w:t>easy</w:t>
      </w:r>
      <w:proofErr w:type="spellEnd"/>
      <w:r w:rsidRPr="005569CF">
        <w:rPr>
          <w:rFonts w:ascii="Arial" w:hAnsi="Arial" w:cs="Arial"/>
          <w:lang w:val="es-MX"/>
        </w:rPr>
        <w:t xml:space="preserve"> and </w:t>
      </w:r>
      <w:proofErr w:type="spellStart"/>
      <w:r w:rsidRPr="005569CF">
        <w:rPr>
          <w:rFonts w:ascii="Arial" w:hAnsi="Arial" w:cs="Arial"/>
          <w:lang w:val="es-MX"/>
        </w:rPr>
        <w:t>fast</w:t>
      </w:r>
      <w:proofErr w:type="spellEnd"/>
      <w:r w:rsidRPr="005569CF">
        <w:rPr>
          <w:rFonts w:ascii="Arial" w:hAnsi="Arial" w:cs="Arial"/>
          <w:lang w:val="es-MX"/>
        </w:rPr>
        <w:t xml:space="preserve"> test </w:t>
      </w:r>
      <w:proofErr w:type="spellStart"/>
      <w:r w:rsidRPr="005569CF">
        <w:rPr>
          <w:rFonts w:ascii="Arial" w:hAnsi="Arial" w:cs="Arial"/>
          <w:lang w:val="es-MX"/>
        </w:rPr>
        <w:t>to</w:t>
      </w:r>
      <w:proofErr w:type="spellEnd"/>
      <w:r w:rsidRPr="005569CF">
        <w:rPr>
          <w:rFonts w:ascii="Arial" w:hAnsi="Arial" w:cs="Arial"/>
          <w:lang w:val="es-MX"/>
        </w:rPr>
        <w:t xml:space="preserve"> compare total free radical </w:t>
      </w:r>
      <w:proofErr w:type="spellStart"/>
      <w:r w:rsidRPr="005569CF">
        <w:rPr>
          <w:rFonts w:ascii="Arial" w:hAnsi="Arial" w:cs="Arial"/>
          <w:lang w:val="es-MX"/>
        </w:rPr>
        <w:t>scavenger</w:t>
      </w:r>
      <w:proofErr w:type="spellEnd"/>
      <w:r w:rsidRPr="005569CF">
        <w:rPr>
          <w:rFonts w:ascii="Arial" w:hAnsi="Arial" w:cs="Arial"/>
          <w:lang w:val="es-MX"/>
        </w:rPr>
        <w:t xml:space="preserve"> </w:t>
      </w:r>
      <w:proofErr w:type="spellStart"/>
      <w:r w:rsidRPr="005569CF">
        <w:rPr>
          <w:rFonts w:ascii="Arial" w:hAnsi="Arial" w:cs="Arial"/>
          <w:lang w:val="es-MX"/>
        </w:rPr>
        <w:t>capacity</w:t>
      </w:r>
      <w:proofErr w:type="spellEnd"/>
      <w:r w:rsidRPr="005569CF">
        <w:rPr>
          <w:rFonts w:ascii="Arial" w:hAnsi="Arial" w:cs="Arial"/>
          <w:lang w:val="es-MX"/>
        </w:rPr>
        <w:t xml:space="preserve"> </w:t>
      </w:r>
      <w:proofErr w:type="spellStart"/>
      <w:r w:rsidRPr="005569CF">
        <w:rPr>
          <w:rFonts w:ascii="Arial" w:hAnsi="Arial" w:cs="Arial"/>
          <w:lang w:val="es-MX"/>
        </w:rPr>
        <w:t>of</w:t>
      </w:r>
      <w:proofErr w:type="spellEnd"/>
      <w:r w:rsidRPr="005569CF">
        <w:rPr>
          <w:rFonts w:ascii="Arial" w:hAnsi="Arial" w:cs="Arial"/>
          <w:lang w:val="es-MX"/>
        </w:rPr>
        <w:t xml:space="preserve"> </w:t>
      </w:r>
      <w:proofErr w:type="spellStart"/>
      <w:r w:rsidRPr="005569CF">
        <w:rPr>
          <w:rFonts w:ascii="Arial" w:hAnsi="Arial" w:cs="Arial"/>
          <w:lang w:val="es-MX"/>
        </w:rPr>
        <w:t>foodstuffs</w:t>
      </w:r>
      <w:proofErr w:type="spellEnd"/>
      <w:r w:rsidRPr="005569CF">
        <w:rPr>
          <w:rFonts w:ascii="Arial" w:hAnsi="Arial" w:cs="Arial"/>
          <w:lang w:val="es-MX"/>
        </w:rPr>
        <w:t xml:space="preserve">. </w:t>
      </w:r>
      <w:proofErr w:type="spellStart"/>
      <w:r w:rsidRPr="005569CF">
        <w:rPr>
          <w:rFonts w:ascii="Arial" w:hAnsi="Arial" w:cs="Arial"/>
          <w:lang w:val="es-MX"/>
        </w:rPr>
        <w:t>Phytochemical</w:t>
      </w:r>
      <w:proofErr w:type="spellEnd"/>
      <w:r w:rsidRPr="005569CF">
        <w:rPr>
          <w:rFonts w:ascii="Arial" w:hAnsi="Arial" w:cs="Arial"/>
          <w:lang w:val="es-MX"/>
        </w:rPr>
        <w:t xml:space="preserve"> </w:t>
      </w:r>
      <w:proofErr w:type="spellStart"/>
      <w:r w:rsidRPr="005569CF">
        <w:rPr>
          <w:rFonts w:ascii="Arial" w:hAnsi="Arial" w:cs="Arial"/>
          <w:lang w:val="es-MX"/>
        </w:rPr>
        <w:t>Analysis</w:t>
      </w:r>
      <w:proofErr w:type="spellEnd"/>
      <w:r w:rsidRPr="005569CF">
        <w:rPr>
          <w:rFonts w:ascii="Arial" w:hAnsi="Arial" w:cs="Arial"/>
          <w:lang w:val="es-MX"/>
        </w:rPr>
        <w:t xml:space="preserve">, 11(5), 330-338. </w:t>
      </w:r>
      <w:hyperlink r:id="rId36" w:history="1">
        <w:r w:rsidRPr="005569CF">
          <w:rPr>
            <w:rStyle w:val="Hyperlink"/>
            <w:rFonts w:ascii="Arial" w:hAnsi="Arial" w:cs="Arial"/>
            <w:color w:val="auto"/>
            <w:lang w:val="es-MX"/>
          </w:rPr>
          <w:t>https://doi.org/10.1002/1099-1565(200009/10)11:5&lt;330::AID-PCA534&gt;3.0.CO;2-G</w:t>
        </w:r>
      </w:hyperlink>
    </w:p>
    <w:p w14:paraId="42451BAF" w14:textId="77777777" w:rsidR="005569CF" w:rsidRPr="005569CF" w:rsidRDefault="005569CF" w:rsidP="005569CF">
      <w:pPr>
        <w:spacing w:after="120"/>
        <w:jc w:val="both"/>
        <w:rPr>
          <w:rFonts w:ascii="Arial" w:hAnsi="Arial" w:cs="Arial"/>
        </w:rPr>
      </w:pPr>
      <w:r w:rsidRPr="005569CF">
        <w:rPr>
          <w:rFonts w:ascii="Arial" w:hAnsi="Arial" w:cs="Arial"/>
        </w:rPr>
        <w:t xml:space="preserve">Suleiman, M., Khadija, A. Y., </w:t>
      </w:r>
      <w:proofErr w:type="spellStart"/>
      <w:r w:rsidRPr="005569CF">
        <w:rPr>
          <w:rFonts w:ascii="Arial" w:hAnsi="Arial" w:cs="Arial"/>
        </w:rPr>
        <w:t>Nasiru</w:t>
      </w:r>
      <w:proofErr w:type="spellEnd"/>
      <w:r w:rsidRPr="005569CF">
        <w:rPr>
          <w:rFonts w:ascii="Arial" w:hAnsi="Arial" w:cs="Arial"/>
        </w:rPr>
        <w:t>, Y., Garba, A. A., Alhassan, M., and Bello, H. J. (2019</w:t>
      </w:r>
      <w:proofErr w:type="gramStart"/>
      <w:r w:rsidRPr="005569CF">
        <w:rPr>
          <w:rFonts w:ascii="Arial" w:hAnsi="Arial" w:cs="Arial"/>
        </w:rPr>
        <w:t>).Proximate</w:t>
      </w:r>
      <w:proofErr w:type="gramEnd"/>
      <w:r w:rsidRPr="005569CF">
        <w:rPr>
          <w:rFonts w:ascii="Arial" w:hAnsi="Arial" w:cs="Arial"/>
        </w:rPr>
        <w:t>, minerals and anti-nutritional composition of water hyacinth (</w:t>
      </w:r>
      <w:r w:rsidRPr="005569CF">
        <w:rPr>
          <w:rStyle w:val="Emphasis"/>
          <w:rFonts w:ascii="Arial" w:hAnsi="Arial" w:cs="Arial"/>
        </w:rPr>
        <w:t>Eichhornia crassipes</w:t>
      </w:r>
      <w:r w:rsidRPr="005569CF">
        <w:rPr>
          <w:rFonts w:ascii="Arial" w:hAnsi="Arial" w:cs="Arial"/>
        </w:rPr>
        <w:t xml:space="preserve">) grass. </w:t>
      </w:r>
      <w:proofErr w:type="spellStart"/>
      <w:r w:rsidRPr="005569CF">
        <w:rPr>
          <w:rStyle w:val="Emphasis"/>
          <w:rFonts w:ascii="Arial" w:hAnsi="Arial" w:cs="Arial"/>
        </w:rPr>
        <w:t>Earthline</w:t>
      </w:r>
      <w:proofErr w:type="spellEnd"/>
      <w:r w:rsidRPr="005569CF">
        <w:rPr>
          <w:rStyle w:val="Emphasis"/>
          <w:rFonts w:ascii="Arial" w:hAnsi="Arial" w:cs="Arial"/>
        </w:rPr>
        <w:t xml:space="preserve"> Journal of Chemical Sciences, 3</w:t>
      </w:r>
      <w:r w:rsidRPr="005569CF">
        <w:rPr>
          <w:rFonts w:ascii="Arial" w:hAnsi="Arial" w:cs="Arial"/>
        </w:rPr>
        <w:t>(1), 51–59.</w:t>
      </w:r>
    </w:p>
    <w:p w14:paraId="7043D18D" w14:textId="77777777" w:rsidR="005569CF" w:rsidRPr="005569CF" w:rsidRDefault="005569CF" w:rsidP="005569CF">
      <w:pPr>
        <w:spacing w:after="120"/>
        <w:jc w:val="both"/>
        <w:rPr>
          <w:rFonts w:ascii="Arial" w:hAnsi="Arial" w:cs="Arial"/>
          <w:lang w:val="de-DE"/>
        </w:rPr>
      </w:pPr>
      <w:proofErr w:type="spellStart"/>
      <w:r w:rsidRPr="005569CF">
        <w:rPr>
          <w:rFonts w:ascii="Arial" w:hAnsi="Arial" w:cs="Arial"/>
        </w:rPr>
        <w:t>Villamagna</w:t>
      </w:r>
      <w:proofErr w:type="spellEnd"/>
      <w:r w:rsidRPr="005569CF">
        <w:rPr>
          <w:rFonts w:ascii="Arial" w:hAnsi="Arial" w:cs="Arial"/>
        </w:rPr>
        <w:t>, A. M., &amp; Murphy, B. R. (2010). Ecological and socio-economic impacts of invasive water hyacinth (</w:t>
      </w:r>
      <w:r w:rsidRPr="005569CF">
        <w:rPr>
          <w:rFonts w:ascii="Arial" w:hAnsi="Arial" w:cs="Arial"/>
          <w:i/>
          <w:iCs/>
        </w:rPr>
        <w:t>Eichhornia crassipes</w:t>
      </w:r>
      <w:r w:rsidRPr="005569CF">
        <w:rPr>
          <w:rFonts w:ascii="Arial" w:hAnsi="Arial" w:cs="Arial"/>
        </w:rPr>
        <w:t xml:space="preserve">): A review. </w:t>
      </w:r>
      <w:r w:rsidRPr="005569CF">
        <w:rPr>
          <w:rFonts w:ascii="Arial" w:hAnsi="Arial" w:cs="Arial"/>
          <w:i/>
          <w:iCs/>
          <w:lang w:val="de-DE"/>
        </w:rPr>
        <w:t>Freshwater Biology, 55</w:t>
      </w:r>
      <w:r w:rsidRPr="005569CF">
        <w:rPr>
          <w:rFonts w:ascii="Arial" w:hAnsi="Arial" w:cs="Arial"/>
          <w:lang w:val="de-DE"/>
        </w:rPr>
        <w:t>(2), 282–298.</w:t>
      </w:r>
    </w:p>
    <w:p w14:paraId="74CB0B46"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Wen, X., Xu, P., Tang, Y., Zhong, H., Chen, P., Zhu, Z., Zhang, X., Zhang, X., &amp; Du, A. (2024). </w:t>
      </w:r>
      <w:r w:rsidRPr="005569CF">
        <w:rPr>
          <w:rFonts w:ascii="Arial" w:hAnsi="Arial" w:cs="Arial"/>
        </w:rPr>
        <w:t>Effect of copper on nitrogen uptake, transportation, assimilation processes, and related gene expression in Chinese cabbage [Brassica campestris L. ssp. Chinensis (L.)] under various nitrate-to-ammonium ratios. Frontiers in plant science, 15, 1427720. https://doi.org/10.3389/fpls.2024.1427720</w:t>
      </w:r>
    </w:p>
    <w:p w14:paraId="2C7C82C7" w14:textId="77777777" w:rsidR="005569CF" w:rsidRPr="005569CF" w:rsidRDefault="005569CF" w:rsidP="005569CF">
      <w:pPr>
        <w:spacing w:after="120"/>
        <w:jc w:val="both"/>
        <w:rPr>
          <w:rFonts w:ascii="Arial" w:hAnsi="Arial" w:cs="Arial"/>
        </w:rPr>
      </w:pPr>
      <w:r w:rsidRPr="005569CF">
        <w:rPr>
          <w:rFonts w:ascii="Arial" w:hAnsi="Arial" w:cs="Arial"/>
        </w:rPr>
        <w:t xml:space="preserve">Zahra, M., </w:t>
      </w:r>
      <w:proofErr w:type="spellStart"/>
      <w:r w:rsidRPr="005569CF">
        <w:rPr>
          <w:rFonts w:ascii="Arial" w:hAnsi="Arial" w:cs="Arial"/>
        </w:rPr>
        <w:t>Abrahamse</w:t>
      </w:r>
      <w:proofErr w:type="spellEnd"/>
      <w:r w:rsidRPr="005569CF">
        <w:rPr>
          <w:rFonts w:ascii="Arial" w:hAnsi="Arial" w:cs="Arial"/>
        </w:rPr>
        <w:t xml:space="preserve">, H., &amp; George, B. P. (2024). Flavonoids: Antioxidant Powerhouses and Their Role in Nanomedicine. Antioxidants (Basel, Switzerland), 13(8), 922. </w:t>
      </w:r>
      <w:hyperlink r:id="rId37" w:history="1">
        <w:r w:rsidRPr="005569CF">
          <w:rPr>
            <w:rStyle w:val="Hyperlink"/>
            <w:rFonts w:ascii="Arial" w:hAnsi="Arial" w:cs="Arial"/>
            <w:color w:val="auto"/>
          </w:rPr>
          <w:t>https://doi.org/10.3390/antiox13080922</w:t>
        </w:r>
      </w:hyperlink>
    </w:p>
    <w:p w14:paraId="3FB1D9FE" w14:textId="77777777" w:rsidR="005569CF" w:rsidRPr="005569CF" w:rsidRDefault="005569CF" w:rsidP="005569CF">
      <w:pPr>
        <w:spacing w:after="120"/>
        <w:jc w:val="both"/>
        <w:rPr>
          <w:rFonts w:ascii="Arial" w:hAnsi="Arial" w:cs="Arial"/>
        </w:rPr>
      </w:pPr>
      <w:r w:rsidRPr="005569CF">
        <w:rPr>
          <w:rFonts w:ascii="Arial" w:hAnsi="Arial" w:cs="Arial"/>
        </w:rPr>
        <w:t xml:space="preserve">Zhang, L., Li, X., &amp; Zhang, Z. (2023). Free radical scavenging and metal chelating activities of tropical wetland plant extracts. </w:t>
      </w:r>
      <w:r w:rsidRPr="005569CF">
        <w:rPr>
          <w:rFonts w:ascii="Arial" w:hAnsi="Arial" w:cs="Arial"/>
          <w:i/>
        </w:rPr>
        <w:t>Journal of Ethnopharmacology</w:t>
      </w:r>
      <w:r w:rsidRPr="005569CF">
        <w:rPr>
          <w:rFonts w:ascii="Arial" w:hAnsi="Arial" w:cs="Arial"/>
        </w:rPr>
        <w:t xml:space="preserve">, 310, 116346. </w:t>
      </w:r>
    </w:p>
    <w:p w14:paraId="2504CCFA" w14:textId="77777777" w:rsidR="005569CF" w:rsidRPr="005569CF" w:rsidRDefault="005569CF" w:rsidP="005569CF">
      <w:pPr>
        <w:pStyle w:val="NormalWeb"/>
        <w:spacing w:beforeAutospacing="0" w:after="120" w:afterAutospacing="0"/>
        <w:jc w:val="both"/>
        <w:rPr>
          <w:rFonts w:ascii="Arial" w:hAnsi="Arial" w:cs="Arial"/>
          <w:sz w:val="20"/>
          <w:szCs w:val="20"/>
        </w:rPr>
      </w:pPr>
      <w:r w:rsidRPr="005569CF">
        <w:rPr>
          <w:rFonts w:ascii="Arial" w:hAnsi="Arial" w:cs="Arial"/>
          <w:sz w:val="20"/>
          <w:szCs w:val="20"/>
        </w:rPr>
        <w:t xml:space="preserve">Zheng, X., Zhang, X., &amp; Zeng, F. (2025). Biological Functions and Health Benefits of Flavonoids in Fruits and Vegetables: A Contemporary Review. Foods, 14(2). https://doi.org/10.3390/foods14020155 </w:t>
      </w:r>
    </w:p>
    <w:p w14:paraId="44385548" w14:textId="77777777" w:rsidR="005569CF" w:rsidRPr="005569CF" w:rsidRDefault="005569CF" w:rsidP="005569CF">
      <w:pPr>
        <w:spacing w:after="120"/>
        <w:jc w:val="both"/>
        <w:rPr>
          <w:rFonts w:ascii="Arial" w:hAnsi="Arial" w:cs="Arial"/>
        </w:rPr>
      </w:pPr>
      <w:r w:rsidRPr="005569CF">
        <w:rPr>
          <w:rFonts w:ascii="Arial" w:hAnsi="Arial" w:cs="Arial"/>
        </w:rPr>
        <w:t>Zhou, Y., &amp; Li, H. (2021). Bioactive amino acids and their health benefits: Nutritional and pharmacological perspectives. Nutrients, 13(12), 42.</w:t>
      </w:r>
    </w:p>
    <w:sectPr w:rsidR="005569CF" w:rsidRPr="005569CF" w:rsidSect="00114F8A">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yeGeorge" w:date="2026-02-20T09:35:00Z" w:initials="TG">
    <w:p w14:paraId="1CC70B57" w14:textId="48B786D1" w:rsidR="00A27F66" w:rsidRDefault="00A27F66">
      <w:pPr>
        <w:pStyle w:val="CommentText"/>
      </w:pPr>
      <w:r>
        <w:rPr>
          <w:rStyle w:val="CommentReference"/>
        </w:rPr>
        <w:annotationRef/>
      </w:r>
      <w:r w:rsidRPr="00A27F66">
        <w:rPr>
          <w:lang w:val="en-US"/>
        </w:rPr>
        <w:t>Radical scavenging activity</w:t>
      </w:r>
      <w:r>
        <w:rPr>
          <w:lang w:val="en-US"/>
        </w:rPr>
        <w:t xml:space="preserve"> </w:t>
      </w:r>
      <w:r w:rsidRPr="00A27F66">
        <w:rPr>
          <w:lang w:val="en-US"/>
        </w:rPr>
        <w:t xml:space="preserve">could be </w:t>
      </w:r>
      <w:proofErr w:type="gramStart"/>
      <w:r>
        <w:rPr>
          <w:lang w:val="en-US"/>
        </w:rPr>
        <w:t xml:space="preserve">recast </w:t>
      </w:r>
      <w:r w:rsidRPr="00A27F66">
        <w:rPr>
          <w:lang w:val="en-US"/>
        </w:rPr>
        <w:t xml:space="preserve"> </w:t>
      </w:r>
      <w:r>
        <w:rPr>
          <w:lang w:val="en-US"/>
        </w:rPr>
        <w:t>in</w:t>
      </w:r>
      <w:r w:rsidRPr="00A27F66">
        <w:rPr>
          <w:lang w:val="en-US"/>
        </w:rPr>
        <w:t>to</w:t>
      </w:r>
      <w:proofErr w:type="gramEnd"/>
      <w:r w:rsidRPr="00A27F66">
        <w:rPr>
          <w:lang w:val="en-US"/>
        </w:rPr>
        <w:t xml:space="preserve"> In vitro free radical scavenging activity</w:t>
      </w:r>
      <w:r>
        <w:rPr>
          <w:lang w:val="en-US"/>
        </w:rPr>
        <w:t xml:space="preserve"> for clarity and precision</w:t>
      </w:r>
    </w:p>
  </w:comment>
  <w:comment w:id="2" w:author="TayeGeorge" w:date="2026-02-20T09:36:00Z" w:initials="TG">
    <w:p w14:paraId="2552AB7D" w14:textId="77777777" w:rsidR="007D6353" w:rsidRDefault="006306ED">
      <w:pPr>
        <w:pStyle w:val="CommentText"/>
        <w:rPr>
          <w:lang w:val="en-US"/>
        </w:rPr>
      </w:pPr>
      <w:r>
        <w:rPr>
          <w:rStyle w:val="CommentReference"/>
        </w:rPr>
        <w:annotationRef/>
      </w:r>
      <w:r>
        <w:t xml:space="preserve">Later in the work, </w:t>
      </w:r>
      <w:r>
        <w:rPr>
          <w:lang w:val="en-US"/>
        </w:rPr>
        <w:t>a</w:t>
      </w:r>
      <w:r w:rsidRPr="006306ED">
        <w:rPr>
          <w:lang w:val="en-US"/>
        </w:rPr>
        <w:t xml:space="preserve">ntioxidant assays (DPPH, </w:t>
      </w:r>
      <w:proofErr w:type="spellStart"/>
      <w:r w:rsidRPr="006306ED">
        <w:rPr>
          <w:lang w:val="en-US"/>
        </w:rPr>
        <w:t>ABTS</w:t>
      </w:r>
      <w:proofErr w:type="spellEnd"/>
      <w:r w:rsidRPr="006306ED">
        <w:rPr>
          <w:lang w:val="en-US"/>
        </w:rPr>
        <w:t xml:space="preserve">, FRAP, etc.) are spectrophotometric methods, not GC-MS. </w:t>
      </w:r>
    </w:p>
    <w:p w14:paraId="6051AD4B" w14:textId="0257AE5F" w:rsidR="006306ED" w:rsidRDefault="007D6353">
      <w:pPr>
        <w:pStyle w:val="CommentText"/>
      </w:pPr>
      <w:r>
        <w:rPr>
          <w:lang w:val="en-US"/>
        </w:rPr>
        <w:t>Authors should p</w:t>
      </w:r>
      <w:r w:rsidR="006306ED" w:rsidRPr="006306ED">
        <w:rPr>
          <w:lang w:val="en-US"/>
        </w:rPr>
        <w:t>lease revise to reflect all analytical techniques used.</w:t>
      </w:r>
      <w:r w:rsidR="006306ED">
        <w:t xml:space="preserve"> </w:t>
      </w:r>
    </w:p>
  </w:comment>
  <w:comment w:id="3" w:author="TayeGeorge" w:date="2026-02-20T09:38:00Z" w:initials="TG">
    <w:p w14:paraId="4312A0A3" w14:textId="4A02A1A9" w:rsidR="006A5F93" w:rsidRDefault="006A5F93">
      <w:pPr>
        <w:pStyle w:val="CommentText"/>
      </w:pPr>
      <w:r>
        <w:rPr>
          <w:rStyle w:val="CommentReference"/>
        </w:rPr>
        <w:annotationRef/>
      </w:r>
      <w:r>
        <w:t>In the write up mg/l was used, plaease confirm correct unit</w:t>
      </w:r>
    </w:p>
  </w:comment>
  <w:comment w:id="4" w:author="TayeGeorge" w:date="2026-02-20T09:39:00Z" w:initials="TG">
    <w:p w14:paraId="6200BE8A" w14:textId="3842EFDC" w:rsidR="006A5F93" w:rsidRDefault="006A5F93">
      <w:pPr>
        <w:pStyle w:val="CommentText"/>
      </w:pPr>
      <w:r>
        <w:rPr>
          <w:rStyle w:val="CommentReference"/>
        </w:rPr>
        <w:annotationRef/>
      </w:r>
      <w:r>
        <w:t>In the results section of the work FRAP and PAP activity was lower than the standaard, please reveise for accuracy</w:t>
      </w:r>
    </w:p>
  </w:comment>
  <w:comment w:id="5" w:author="TayeGeorge" w:date="2026-02-20T09:40:00Z" w:initials="TG">
    <w:p w14:paraId="7AF89AA4" w14:textId="7278D4C0" w:rsidR="006A5F93" w:rsidRDefault="006A5F93">
      <w:pPr>
        <w:pStyle w:val="CommentText"/>
      </w:pPr>
      <w:r>
        <w:rPr>
          <w:rStyle w:val="CommentReference"/>
        </w:rPr>
        <w:annotationRef/>
      </w:r>
      <w:r>
        <w:t>Thia can only be concluded when tocivcty, bioavalabilty and inviv studies has been carried out</w:t>
      </w:r>
    </w:p>
  </w:comment>
  <w:comment w:id="6" w:author="TayeGeorge" w:date="2026-02-20T09:42:00Z" w:initials="TG">
    <w:p w14:paraId="0F41787A" w14:textId="2FA686C9" w:rsidR="002773F7" w:rsidRDefault="002773F7">
      <w:pPr>
        <w:pStyle w:val="CommentText"/>
      </w:pPr>
      <w:r>
        <w:rPr>
          <w:rStyle w:val="CommentReference"/>
        </w:rPr>
        <w:annotationRef/>
      </w:r>
      <w:r>
        <w:t>This sentence i incomplete, authors should make grammatiucal corrections</w:t>
      </w:r>
    </w:p>
  </w:comment>
  <w:comment w:id="7" w:author="TayeGeorge" w:date="2026-02-20T09:43:00Z" w:initials="TG">
    <w:p w14:paraId="228DA74F" w14:textId="73129D88" w:rsidR="002773F7" w:rsidRDefault="002773F7">
      <w:pPr>
        <w:pStyle w:val="CommentText"/>
      </w:pPr>
      <w:r>
        <w:rPr>
          <w:rStyle w:val="CommentReference"/>
        </w:rPr>
        <w:annotationRef/>
      </w:r>
      <w:r w:rsidRPr="002773F7">
        <w:rPr>
          <w:lang w:val="en-US"/>
        </w:rPr>
        <w:t>This statement applies only to non-essential amino acids. Clarify</w:t>
      </w:r>
    </w:p>
  </w:comment>
  <w:comment w:id="8" w:author="TayeGeorge" w:date="2026-02-20T09:44:00Z" w:initials="TG">
    <w:p w14:paraId="5DF95FC5" w14:textId="31A4A33D" w:rsidR="002773F7" w:rsidRDefault="002773F7">
      <w:pPr>
        <w:pStyle w:val="CommentText"/>
      </w:pPr>
      <w:r>
        <w:rPr>
          <w:rStyle w:val="CommentReference"/>
        </w:rPr>
        <w:annotationRef/>
      </w:r>
      <w:r>
        <w:t>Support this claim with stronger refernces</w:t>
      </w:r>
    </w:p>
  </w:comment>
  <w:comment w:id="9" w:author="TayeGeorge" w:date="2026-02-20T09:45:00Z" w:initials="TG">
    <w:p w14:paraId="4EBDE104" w14:textId="18B0A463" w:rsidR="00EA4481" w:rsidRDefault="00EA4481">
      <w:pPr>
        <w:pStyle w:val="CommentText"/>
      </w:pPr>
      <w:r>
        <w:rPr>
          <w:rStyle w:val="CommentReference"/>
        </w:rPr>
        <w:annotationRef/>
      </w:r>
      <w:r w:rsidRPr="00EA4481">
        <w:rPr>
          <w:lang w:val="en-US"/>
        </w:rPr>
        <w:t xml:space="preserve">The equipment </w:t>
      </w:r>
      <w:r w:rsidRPr="00EA4481">
        <w:rPr>
          <w:lang w:val="en-US"/>
        </w:rPr>
        <w:t>described is</w:t>
      </w:r>
      <w:r w:rsidRPr="00EA4481">
        <w:rPr>
          <w:lang w:val="en-US"/>
        </w:rPr>
        <w:t xml:space="preserve"> characteristic of HPLC, not GC-MS</w:t>
      </w:r>
      <w:r>
        <w:rPr>
          <w:lang w:val="en-US"/>
        </w:rPr>
        <w:t>. Please clarify</w:t>
      </w:r>
    </w:p>
  </w:comment>
  <w:comment w:id="11" w:author="TayeGeorge" w:date="2026-02-20T09:50:00Z" w:initials="TG">
    <w:p w14:paraId="25F1A4F6" w14:textId="77777777" w:rsidR="00EA4481" w:rsidRDefault="00EA4481">
      <w:pPr>
        <w:pStyle w:val="CommentText"/>
        <w:rPr>
          <w:lang w:val="en-US"/>
        </w:rPr>
      </w:pPr>
      <w:r>
        <w:rPr>
          <w:rStyle w:val="CommentReference"/>
        </w:rPr>
        <w:annotationRef/>
      </w:r>
      <w:r w:rsidRPr="00EA4481">
        <w:rPr>
          <w:lang w:val="en-US"/>
        </w:rPr>
        <w:t>The section title is incorrect. Antioxidant assays described are spectrophotometric, not GC-MS-based</w:t>
      </w:r>
    </w:p>
    <w:p w14:paraId="73761FCD" w14:textId="3FB068BB" w:rsidR="00EA4481" w:rsidRDefault="00EA4481">
      <w:pPr>
        <w:pStyle w:val="CommentText"/>
      </w:pPr>
      <w:r w:rsidRPr="00EA4481">
        <w:rPr>
          <w:lang w:val="en-US"/>
        </w:rPr>
        <w:t>Please correct heading</w:t>
      </w:r>
    </w:p>
  </w:comment>
  <w:comment w:id="12" w:author="TayeGeorge" w:date="2026-02-20T09:51:00Z" w:initials="TG">
    <w:p w14:paraId="033922CD" w14:textId="426A7ED3" w:rsidR="00EA4481" w:rsidRDefault="00EA4481">
      <w:pPr>
        <w:pStyle w:val="CommentText"/>
      </w:pPr>
      <w:r>
        <w:rPr>
          <w:rStyle w:val="CommentReference"/>
        </w:rPr>
        <w:annotationRef/>
      </w:r>
      <w:r>
        <w:t>Please re verify all formular listed and use the MS-Word equation option to put them in correct mathmatical format</w:t>
      </w:r>
    </w:p>
  </w:comment>
  <w:comment w:id="13" w:author="TayeGeorge" w:date="2026-02-20T09:53:00Z" w:initials="TG">
    <w:p w14:paraId="0A903102" w14:textId="735792A1" w:rsidR="00EA4481" w:rsidRDefault="00EA4481">
      <w:pPr>
        <w:pStyle w:val="CommentText"/>
      </w:pPr>
      <w:r>
        <w:rPr>
          <w:rStyle w:val="CommentReference"/>
        </w:rPr>
        <w:annotationRef/>
      </w:r>
      <w:r>
        <w:t>Syandar deviation was not presented in the tables</w:t>
      </w:r>
    </w:p>
  </w:comment>
  <w:comment w:id="15" w:author="TayeGeorge" w:date="2026-02-20T09:48:00Z" w:initials="TG">
    <w:p w14:paraId="4B9F2229" w14:textId="3FE29B8C" w:rsidR="00EA4481" w:rsidRDefault="00EA4481" w:rsidP="00EA4481">
      <w:pPr>
        <w:pStyle w:val="CommentText"/>
        <w:tabs>
          <w:tab w:val="left" w:pos="6379"/>
        </w:tabs>
      </w:pPr>
      <w:r>
        <w:rPr>
          <w:rStyle w:val="CommentReference"/>
        </w:rPr>
        <w:annotationRef/>
      </w:r>
      <w:r>
        <w:t>Please re verify all molecular formular and chemical data</w:t>
      </w:r>
    </w:p>
  </w:comment>
  <w:comment w:id="16" w:author="TayeGeorge" w:date="2026-02-20T09:57:00Z" w:initials="TG">
    <w:p w14:paraId="57346CAB" w14:textId="2DA5934D" w:rsidR="00752853" w:rsidRDefault="00752853">
      <w:pPr>
        <w:pStyle w:val="CommentText"/>
      </w:pPr>
      <w:r>
        <w:rPr>
          <w:rStyle w:val="CommentReference"/>
        </w:rPr>
        <w:annotationRef/>
      </w:r>
      <w:r w:rsidRPr="00752853">
        <w:rPr>
          <w:lang w:val="en-US"/>
        </w:rPr>
        <w:t>No IC₅₀ values reported. These are standard for antioxidant comparisons</w:t>
      </w:r>
    </w:p>
  </w:comment>
  <w:comment w:id="17" w:author="TayeGeorge" w:date="2026-02-20T09:55:00Z" w:initials="TG">
    <w:p w14:paraId="01A119C3" w14:textId="35213D2B" w:rsidR="00EA4481" w:rsidRDefault="00EA4481">
      <w:pPr>
        <w:pStyle w:val="CommentText"/>
      </w:pPr>
      <w:r>
        <w:rPr>
          <w:rStyle w:val="CommentReference"/>
        </w:rPr>
        <w:annotationRef/>
      </w:r>
      <w:r>
        <w:t>This figure cant be found in the result section, also</w:t>
      </w:r>
      <w:r w:rsidR="00752853">
        <w:t xml:space="preserve">, this value shows that the </w:t>
      </w:r>
      <w:r w:rsidR="00752853" w:rsidRPr="00752853">
        <w:rPr>
          <w:lang w:val="en-US"/>
        </w:rPr>
        <w:t xml:space="preserve">SD nearly equal to mean, which is statistically unlikely. Please verify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C70B57" w15:done="0"/>
  <w15:commentEx w15:paraId="6051AD4B" w15:done="0"/>
  <w15:commentEx w15:paraId="4312A0A3" w15:done="0"/>
  <w15:commentEx w15:paraId="6200BE8A" w15:done="0"/>
  <w15:commentEx w15:paraId="7AF89AA4" w15:done="0"/>
  <w15:commentEx w15:paraId="0F41787A" w15:done="0"/>
  <w15:commentEx w15:paraId="228DA74F" w15:done="0"/>
  <w15:commentEx w15:paraId="5DF95FC5" w15:done="0"/>
  <w15:commentEx w15:paraId="4EBDE104" w15:done="0"/>
  <w15:commentEx w15:paraId="73761FCD" w15:done="0"/>
  <w15:commentEx w15:paraId="033922CD" w15:done="0"/>
  <w15:commentEx w15:paraId="0A903102" w15:done="0"/>
  <w15:commentEx w15:paraId="4B9F2229" w15:done="0"/>
  <w15:commentEx w15:paraId="57346CAB" w15:done="0"/>
  <w15:commentEx w15:paraId="01A119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2A94B" w16cex:dateUtc="2026-02-20T08:35:00Z"/>
  <w16cex:commentExtensible w16cex:durableId="2D42A9AF" w16cex:dateUtc="2026-02-20T08:36:00Z"/>
  <w16cex:commentExtensible w16cex:durableId="2D42AA33" w16cex:dateUtc="2026-02-20T08:38:00Z"/>
  <w16cex:commentExtensible w16cex:durableId="2D42AA6B" w16cex:dateUtc="2026-02-20T08:39:00Z"/>
  <w16cex:commentExtensible w16cex:durableId="2D42AAA4" w16cex:dateUtc="2026-02-20T08:40:00Z"/>
  <w16cex:commentExtensible w16cex:durableId="2D42AB0B" w16cex:dateUtc="2026-02-20T08:42:00Z"/>
  <w16cex:commentExtensible w16cex:durableId="2D42AB49" w16cex:dateUtc="2026-02-20T08:43:00Z"/>
  <w16cex:commentExtensible w16cex:durableId="2D42AB6F" w16cex:dateUtc="2026-02-20T08:44:00Z"/>
  <w16cex:commentExtensible w16cex:durableId="2D42ABCB" w16cex:dateUtc="2026-02-20T08:45:00Z"/>
  <w16cex:commentExtensible w16cex:durableId="2D42ACDA" w16cex:dateUtc="2026-02-20T08:50:00Z"/>
  <w16cex:commentExtensible w16cex:durableId="2D42AD10" w16cex:dateUtc="2026-02-20T08:51:00Z"/>
  <w16cex:commentExtensible w16cex:durableId="2D42AD83" w16cex:dateUtc="2026-02-20T08:53:00Z"/>
  <w16cex:commentExtensible w16cex:durableId="2D42AC85" w16cex:dateUtc="2026-02-20T08:48:00Z"/>
  <w16cex:commentExtensible w16cex:durableId="2D42AE73" w16cex:dateUtc="2026-02-20T08:57:00Z"/>
  <w16cex:commentExtensible w16cex:durableId="2D42ADFB" w16cex:dateUtc="2026-02-20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C70B57" w16cid:durableId="2D42A94B"/>
  <w16cid:commentId w16cid:paraId="6051AD4B" w16cid:durableId="2D42A9AF"/>
  <w16cid:commentId w16cid:paraId="4312A0A3" w16cid:durableId="2D42AA33"/>
  <w16cid:commentId w16cid:paraId="6200BE8A" w16cid:durableId="2D42AA6B"/>
  <w16cid:commentId w16cid:paraId="7AF89AA4" w16cid:durableId="2D42AAA4"/>
  <w16cid:commentId w16cid:paraId="0F41787A" w16cid:durableId="2D42AB0B"/>
  <w16cid:commentId w16cid:paraId="228DA74F" w16cid:durableId="2D42AB49"/>
  <w16cid:commentId w16cid:paraId="5DF95FC5" w16cid:durableId="2D42AB6F"/>
  <w16cid:commentId w16cid:paraId="4EBDE104" w16cid:durableId="2D42ABCB"/>
  <w16cid:commentId w16cid:paraId="73761FCD" w16cid:durableId="2D42ACDA"/>
  <w16cid:commentId w16cid:paraId="033922CD" w16cid:durableId="2D42AD10"/>
  <w16cid:commentId w16cid:paraId="0A903102" w16cid:durableId="2D42AD83"/>
  <w16cid:commentId w16cid:paraId="4B9F2229" w16cid:durableId="2D42AC85"/>
  <w16cid:commentId w16cid:paraId="57346CAB" w16cid:durableId="2D42AE73"/>
  <w16cid:commentId w16cid:paraId="01A119C3" w16cid:durableId="2D42AD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30332" w14:textId="77777777" w:rsidR="005E66E0" w:rsidRDefault="005E66E0" w:rsidP="00C37E61">
      <w:r>
        <w:separator/>
      </w:r>
    </w:p>
  </w:endnote>
  <w:endnote w:type="continuationSeparator" w:id="0">
    <w:p w14:paraId="6F6AC00E" w14:textId="77777777" w:rsidR="005E66E0" w:rsidRDefault="005E66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FD2B" w14:textId="77777777" w:rsidR="00114F8A" w:rsidRDefault="00114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561D" w14:textId="77777777" w:rsidR="00114F8A" w:rsidRDefault="00114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46C7" w14:textId="77777777" w:rsidR="009E048A" w:rsidRDefault="009E048A">
    <w:pPr>
      <w:pStyle w:val="Footer"/>
      <w:rPr>
        <w:rFonts w:ascii="Arial" w:hAnsi="Arial" w:cs="Arial"/>
        <w:sz w:val="16"/>
      </w:rPr>
    </w:pPr>
  </w:p>
  <w:p w14:paraId="4EDB3A0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4EE501" w14:textId="77777777" w:rsidR="009E048A" w:rsidRDefault="009E048A">
    <w:pPr>
      <w:pStyle w:val="Footer"/>
      <w:rPr>
        <w:rFonts w:ascii="Arial" w:hAnsi="Arial" w:cs="Arial"/>
        <w:sz w:val="16"/>
      </w:rPr>
    </w:pPr>
  </w:p>
  <w:p w14:paraId="2CB440D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7C620" w14:textId="77777777" w:rsidR="005E66E0" w:rsidRDefault="005E66E0" w:rsidP="00C37E61">
      <w:r>
        <w:separator/>
      </w:r>
    </w:p>
  </w:footnote>
  <w:footnote w:type="continuationSeparator" w:id="0">
    <w:p w14:paraId="1E239BFC" w14:textId="77777777" w:rsidR="005E66E0" w:rsidRDefault="005E66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E33C" w14:textId="7A25A467" w:rsidR="00114F8A" w:rsidRDefault="005E66E0">
    <w:pPr>
      <w:pStyle w:val="Header"/>
    </w:pPr>
    <w:r>
      <w:rPr>
        <w:noProof/>
      </w:rPr>
      <w:pict w14:anchorId="529A0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3ED9" w14:textId="7968255F" w:rsidR="00114F8A" w:rsidRDefault="005E66E0">
    <w:pPr>
      <w:pStyle w:val="Header"/>
    </w:pPr>
    <w:r>
      <w:rPr>
        <w:noProof/>
      </w:rPr>
      <w:pict w14:anchorId="2F9B7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DA9" w14:textId="75487B0E" w:rsidR="00296529" w:rsidRPr="00296529" w:rsidRDefault="005E66E0" w:rsidP="00296529">
    <w:pPr>
      <w:ind w:left="2160"/>
      <w:jc w:val="center"/>
      <w:rPr>
        <w:rFonts w:ascii="Times New Roman" w:eastAsia="Calibri" w:hAnsi="Times New Roman"/>
        <w:i/>
        <w:sz w:val="18"/>
        <w:szCs w:val="22"/>
      </w:rPr>
    </w:pPr>
    <w:r>
      <w:rPr>
        <w:noProof/>
      </w:rPr>
      <w:pict w14:anchorId="5116D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69E36B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EA601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81DD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2BC7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8F9EB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C953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367312"/>
    <w:multiLevelType w:val="hybridMultilevel"/>
    <w:tmpl w:val="7FFC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yeGeorge">
    <w15:presenceInfo w15:providerId="None" w15:userId="TayeGe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29A3"/>
    <w:rsid w:val="000A47FA"/>
    <w:rsid w:val="000A65D3"/>
    <w:rsid w:val="000B1E33"/>
    <w:rsid w:val="000D689F"/>
    <w:rsid w:val="000E7B7B"/>
    <w:rsid w:val="000E7D62"/>
    <w:rsid w:val="00103357"/>
    <w:rsid w:val="00114F8A"/>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73F7"/>
    <w:rsid w:val="00283105"/>
    <w:rsid w:val="00284C4C"/>
    <w:rsid w:val="00287E68"/>
    <w:rsid w:val="00296529"/>
    <w:rsid w:val="002B27FB"/>
    <w:rsid w:val="002B685A"/>
    <w:rsid w:val="002C0FC9"/>
    <w:rsid w:val="002C57D2"/>
    <w:rsid w:val="002E0D56"/>
    <w:rsid w:val="003125C2"/>
    <w:rsid w:val="00315186"/>
    <w:rsid w:val="00323FEA"/>
    <w:rsid w:val="0033343E"/>
    <w:rsid w:val="003512C2"/>
    <w:rsid w:val="00371FB6"/>
    <w:rsid w:val="003763C1"/>
    <w:rsid w:val="00376BBE"/>
    <w:rsid w:val="0039224F"/>
    <w:rsid w:val="003A43A4"/>
    <w:rsid w:val="003A7E18"/>
    <w:rsid w:val="003B18C3"/>
    <w:rsid w:val="003C4C86"/>
    <w:rsid w:val="003C558B"/>
    <w:rsid w:val="003C6258"/>
    <w:rsid w:val="003E2904"/>
    <w:rsid w:val="00401927"/>
    <w:rsid w:val="0041027F"/>
    <w:rsid w:val="00412475"/>
    <w:rsid w:val="00423789"/>
    <w:rsid w:val="004241C6"/>
    <w:rsid w:val="00440F43"/>
    <w:rsid w:val="00441B6F"/>
    <w:rsid w:val="00446221"/>
    <w:rsid w:val="00450E62"/>
    <w:rsid w:val="004539DB"/>
    <w:rsid w:val="00471A80"/>
    <w:rsid w:val="004D305E"/>
    <w:rsid w:val="004D4277"/>
    <w:rsid w:val="00502516"/>
    <w:rsid w:val="00505F06"/>
    <w:rsid w:val="00506828"/>
    <w:rsid w:val="00520DD9"/>
    <w:rsid w:val="0053056E"/>
    <w:rsid w:val="00554FDA"/>
    <w:rsid w:val="005569CF"/>
    <w:rsid w:val="005C784C"/>
    <w:rsid w:val="005D17F6"/>
    <w:rsid w:val="005E5539"/>
    <w:rsid w:val="005E66E0"/>
    <w:rsid w:val="00602BF5"/>
    <w:rsid w:val="00617FDD"/>
    <w:rsid w:val="006306ED"/>
    <w:rsid w:val="00633614"/>
    <w:rsid w:val="00633F68"/>
    <w:rsid w:val="00636EB2"/>
    <w:rsid w:val="006375B8"/>
    <w:rsid w:val="0066510A"/>
    <w:rsid w:val="00673F9F"/>
    <w:rsid w:val="00686953"/>
    <w:rsid w:val="00687DEA"/>
    <w:rsid w:val="00687E67"/>
    <w:rsid w:val="006967F7"/>
    <w:rsid w:val="006A250C"/>
    <w:rsid w:val="006A5F93"/>
    <w:rsid w:val="006B21D3"/>
    <w:rsid w:val="006B57D0"/>
    <w:rsid w:val="006D30FF"/>
    <w:rsid w:val="006D6940"/>
    <w:rsid w:val="006F11EC"/>
    <w:rsid w:val="0070082C"/>
    <w:rsid w:val="007369E6"/>
    <w:rsid w:val="00746E59"/>
    <w:rsid w:val="00751E89"/>
    <w:rsid w:val="00752853"/>
    <w:rsid w:val="00754C9A"/>
    <w:rsid w:val="0075599A"/>
    <w:rsid w:val="00761D52"/>
    <w:rsid w:val="0077749E"/>
    <w:rsid w:val="00790ADA"/>
    <w:rsid w:val="007D2288"/>
    <w:rsid w:val="007D6353"/>
    <w:rsid w:val="007E088F"/>
    <w:rsid w:val="007F7B32"/>
    <w:rsid w:val="00804BC2"/>
    <w:rsid w:val="0081431A"/>
    <w:rsid w:val="0083216F"/>
    <w:rsid w:val="00860000"/>
    <w:rsid w:val="00863BD3"/>
    <w:rsid w:val="008641ED"/>
    <w:rsid w:val="00866D66"/>
    <w:rsid w:val="008671C6"/>
    <w:rsid w:val="00875803"/>
    <w:rsid w:val="00884A01"/>
    <w:rsid w:val="008B2B6F"/>
    <w:rsid w:val="008B459E"/>
    <w:rsid w:val="008E13AE"/>
    <w:rsid w:val="008E1506"/>
    <w:rsid w:val="008E710C"/>
    <w:rsid w:val="008F69D6"/>
    <w:rsid w:val="00902823"/>
    <w:rsid w:val="00915CA6"/>
    <w:rsid w:val="00927834"/>
    <w:rsid w:val="00927B18"/>
    <w:rsid w:val="009500A6"/>
    <w:rsid w:val="00957C18"/>
    <w:rsid w:val="00961E67"/>
    <w:rsid w:val="009659BA"/>
    <w:rsid w:val="00983040"/>
    <w:rsid w:val="0098460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F66"/>
    <w:rsid w:val="00A347C0"/>
    <w:rsid w:val="00A51431"/>
    <w:rsid w:val="00A5325F"/>
    <w:rsid w:val="00A539AD"/>
    <w:rsid w:val="00A91146"/>
    <w:rsid w:val="00A94063"/>
    <w:rsid w:val="00AA6219"/>
    <w:rsid w:val="00AA74E0"/>
    <w:rsid w:val="00AB703F"/>
    <w:rsid w:val="00AC1877"/>
    <w:rsid w:val="00AC6BB8"/>
    <w:rsid w:val="00AE008F"/>
    <w:rsid w:val="00B01FCD"/>
    <w:rsid w:val="00B1776C"/>
    <w:rsid w:val="00B52583"/>
    <w:rsid w:val="00B52896"/>
    <w:rsid w:val="00B543F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39D3"/>
    <w:rsid w:val="00CE793C"/>
    <w:rsid w:val="00CF193C"/>
    <w:rsid w:val="00D173F1"/>
    <w:rsid w:val="00D74CB0"/>
    <w:rsid w:val="00D8078D"/>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4481"/>
    <w:rsid w:val="00EC6A55"/>
    <w:rsid w:val="00ED0288"/>
    <w:rsid w:val="00EE52CB"/>
    <w:rsid w:val="00EF581D"/>
    <w:rsid w:val="00EF7FD8"/>
    <w:rsid w:val="00F06F59"/>
    <w:rsid w:val="00F17988"/>
    <w:rsid w:val="00F469F0"/>
    <w:rsid w:val="00F53273"/>
    <w:rsid w:val="00F755E4"/>
    <w:rsid w:val="00F77D02"/>
    <w:rsid w:val="00FA44B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7BB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Contents">
    <w:name w:val="Table Contents"/>
    <w:basedOn w:val="Normal"/>
    <w:qFormat/>
    <w:rsid w:val="00AC1877"/>
    <w:pPr>
      <w:widowControl w:val="0"/>
      <w:suppressLineNumbers/>
      <w:suppressAutoHyphens/>
      <w:snapToGrid w:val="0"/>
      <w:spacing w:after="200" w:line="276" w:lineRule="auto"/>
      <w:jc w:val="distribute"/>
    </w:pPr>
    <w:rPr>
      <w:rFonts w:asciiTheme="minorHAnsi" w:eastAsiaTheme="minorHAnsi" w:hAnsiTheme="minorHAnsi" w:cstheme="minorBidi"/>
      <w:sz w:val="22"/>
      <w:szCs w:val="22"/>
    </w:rPr>
  </w:style>
  <w:style w:type="paragraph" w:customStyle="1" w:styleId="Default">
    <w:name w:val="Default"/>
    <w:rsid w:val="00AC1877"/>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C1877"/>
    <w:pPr>
      <w:ind w:left="720"/>
      <w:contextualSpacing/>
    </w:pPr>
  </w:style>
  <w:style w:type="paragraph" w:styleId="NormalWeb">
    <w:name w:val="Normal (Web)"/>
    <w:uiPriority w:val="99"/>
    <w:qFormat/>
    <w:rsid w:val="005569CF"/>
    <w:pPr>
      <w:spacing w:beforeAutospacing="1" w:afterAutospacing="1"/>
    </w:pPr>
    <w:rPr>
      <w:rFonts w:eastAsia="SimSun"/>
      <w:sz w:val="24"/>
      <w:szCs w:val="24"/>
      <w:lang w:eastAsia="zh-CN"/>
    </w:rPr>
  </w:style>
  <w:style w:type="paragraph" w:styleId="CommentSubject">
    <w:name w:val="annotation subject"/>
    <w:basedOn w:val="CommentText"/>
    <w:next w:val="CommentText"/>
    <w:link w:val="CommentSubjectChar"/>
    <w:semiHidden/>
    <w:unhideWhenUsed/>
    <w:rsid w:val="00A27F66"/>
    <w:rPr>
      <w:rFonts w:ascii="Helvetica" w:hAnsi="Helvetica"/>
      <w:b/>
      <w:bCs/>
      <w:lang w:val="en-US" w:eastAsia="en-US"/>
    </w:rPr>
  </w:style>
  <w:style w:type="character" w:customStyle="1" w:styleId="CommentSubjectChar">
    <w:name w:val="Comment Subject Char"/>
    <w:basedOn w:val="CommentTextChar"/>
    <w:link w:val="CommentSubject"/>
    <w:semiHidden/>
    <w:rsid w:val="00A27F6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chart" Target="charts/chart8.xml"/><Relationship Id="rId39" Type="http://schemas.microsoft.com/office/2011/relationships/people" Target="people.xml"/><Relationship Id="rId21" Type="http://schemas.openxmlformats.org/officeDocument/2006/relationships/chart" Target="charts/chart3.xml"/><Relationship Id="rId34" Type="http://schemas.openxmlformats.org/officeDocument/2006/relationships/hyperlink" Target="https://doi.org/10.5897/JMPR2015.5845"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hyperlink" Target="https://doi.org/10.1111/j.1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hyperlink" Target="https://doi.org/10.1016/S0377-8401(00)002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chart" Target="charts/chart6.xml"/><Relationship Id="rId32" Type="http://schemas.openxmlformats.org/officeDocument/2006/relationships/hyperlink" Target="https://doi.org/10.7759/cureus.38425" TargetMode="External"/><Relationship Id="rId37" Type="http://schemas.openxmlformats.org/officeDocument/2006/relationships/hyperlink" Target="https://doi.org/10.3390/antiox1308092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doi.org/10.1002/1099-1565(200009/10)11:5%3c330::AID-PCA534%3e3.0.CO;2-G" TargetMode="External"/><Relationship Id="rId10" Type="http://schemas.microsoft.com/office/2016/09/relationships/commentsIds" Target="commentsIds.xml"/><Relationship Id="rId19" Type="http://schemas.openxmlformats.org/officeDocument/2006/relationships/chart" Target="charts/chart1.xml"/><Relationship Id="rId31" Type="http://schemas.openxmlformats.org/officeDocument/2006/relationships/hyperlink" Target="https://doi.org/10.1002/ptr.68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s://doi.org/10.3389/fphar.2022.842511" TargetMode="External"/><Relationship Id="rId35" Type="http://schemas.openxmlformats.org/officeDocument/2006/relationships/hyperlink" Target="https://doi.org/10.1248/bpb.29.1906" TargetMode="Externa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WPS%20Sheets%20Quick%20Start%20Guide.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1535748753054"/>
          <c:y val="1.9661016949152541E-2"/>
          <c:w val="0.86368464251246946"/>
          <c:h val="0.8051288504191213"/>
        </c:manualLayout>
      </c:layout>
      <c:barChart>
        <c:barDir val="col"/>
        <c:grouping val="clustered"/>
        <c:varyColors val="0"/>
        <c:ser>
          <c:idx val="0"/>
          <c:order val="0"/>
          <c:tx>
            <c:strRef>
              <c:f>'[WPS Sheets Quick Start Guide.xlsx]a'!$B$1</c:f>
              <c:strCache>
                <c:ptCount val="1"/>
                <c:pt idx="0">
                  <c:v>Mean (mg/l)</c:v>
                </c:pt>
              </c:strCache>
            </c:strRef>
          </c:tx>
          <c:spPr>
            <a:solidFill>
              <a:schemeClr val="accent1"/>
            </a:solidFill>
            <a:ln>
              <a:noFill/>
            </a:ln>
            <a:effectLst/>
          </c:spPr>
          <c:invertIfNegative val="0"/>
          <c:dLbls>
            <c:dLbl>
              <c:idx val="0"/>
              <c:tx>
                <c:rich>
                  <a:bodyPr/>
                  <a:lstStyle/>
                  <a:p>
                    <a:r>
                      <a:rPr lang="en-US"/>
                      <a:t>7.89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C5B-41D7-9C44-85153F775B8F}"/>
                </c:ext>
              </c:extLst>
            </c:dLbl>
            <c:dLbl>
              <c:idx val="1"/>
              <c:tx>
                <c:rich>
                  <a:bodyPr/>
                  <a:lstStyle/>
                  <a:p>
                    <a:r>
                      <a:rPr lang="en-US"/>
                      <a:t>9.22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5B-41D7-9C44-85153F775B8F}"/>
                </c:ext>
              </c:extLst>
            </c:dLbl>
            <c:dLbl>
              <c:idx val="2"/>
              <c:tx>
                <c:rich>
                  <a:bodyPr/>
                  <a:lstStyle/>
                  <a:p>
                    <a:r>
                      <a:rPr lang="en-US"/>
                      <a:t>8.91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5B-41D7-9C44-85153F775B8F}"/>
                </c:ext>
              </c:extLst>
            </c:dLbl>
            <c:dLbl>
              <c:idx val="3"/>
              <c:tx>
                <c:rich>
                  <a:bodyPr/>
                  <a:lstStyle/>
                  <a:p>
                    <a:r>
                      <a: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rPr>
                      <a:t>8.44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5B-41D7-9C44-85153F775B8F}"/>
                </c:ext>
              </c:extLst>
            </c:dLbl>
            <c:spPr>
              <a:noFill/>
              <a:ln>
                <a:noFill/>
              </a:ln>
              <a:effectLst/>
            </c:spPr>
            <c:txPr>
              <a:bodyPr rot="0" spcFirstLastPara="0" vertOverflow="ellipsis" vert="horz" wrap="square" lIns="38100" tIns="19050" rIns="38100" bIns="19050" anchor="ctr" anchorCtr="1"/>
              <a:lstStyle/>
              <a:p>
                <a:pPr>
                  <a:defRPr lang="en-US" sz="11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'[WPS Sheets Quick Start Guide.xlsx]a'!$A$2:$A$5</c:f>
              <c:strCache>
                <c:ptCount val="4"/>
                <c:pt idx="0">
                  <c:v>Magnesium (Mg)</c:v>
                </c:pt>
                <c:pt idx="1">
                  <c:v>Calcium (Ca)</c:v>
                </c:pt>
                <c:pt idx="2">
                  <c:v>Sodium (Na)</c:v>
                </c:pt>
                <c:pt idx="3">
                  <c:v>Potassium (K)</c:v>
                </c:pt>
              </c:strCache>
            </c:strRef>
          </c:cat>
          <c:val>
            <c:numRef>
              <c:f>'[WPS Sheets Quick Start Guide.xlsx]a'!$B$2:$B$5</c:f>
              <c:numCache>
                <c:formatCode>General</c:formatCode>
                <c:ptCount val="4"/>
                <c:pt idx="0">
                  <c:v>7.8897000000000004</c:v>
                </c:pt>
                <c:pt idx="1">
                  <c:v>9.2247000000000003</c:v>
                </c:pt>
                <c:pt idx="2">
                  <c:v>8.9097000000000008</c:v>
                </c:pt>
                <c:pt idx="3">
                  <c:v>8.44</c:v>
                </c:pt>
              </c:numCache>
            </c:numRef>
          </c:val>
          <c:extLst>
            <c:ext xmlns:c16="http://schemas.microsoft.com/office/drawing/2014/chart" uri="{C3380CC4-5D6E-409C-BE32-E72D297353CC}">
              <c16:uniqueId val="{00000004-3C5B-41D7-9C44-85153F775B8F}"/>
            </c:ext>
          </c:extLst>
        </c:ser>
        <c:dLbls>
          <c:showLegendKey val="0"/>
          <c:showVal val="1"/>
          <c:showCatName val="0"/>
          <c:showSerName val="0"/>
          <c:showPercent val="0"/>
          <c:showBubbleSize val="0"/>
        </c:dLbls>
        <c:gapWidth val="246"/>
        <c:overlap val="-28"/>
        <c:axId val="795513249"/>
        <c:axId val="190968855"/>
      </c:barChart>
      <c:catAx>
        <c:axId val="795513249"/>
        <c:scaling>
          <c:orientation val="minMax"/>
        </c:scaling>
        <c:delete val="0"/>
        <c:axPos val="b"/>
        <c:numFmt formatCode="General" sourceLinked="0"/>
        <c:majorTickMark val="none"/>
        <c:minorTickMark val="none"/>
        <c:tickLblPos val="nextTo"/>
        <c:spPr>
          <a:noFill/>
          <a:ln w="12700" cap="flat" cmpd="sng" algn="ctr">
            <a:solidFill>
              <a:schemeClr val="tx1"/>
            </a:solidFill>
            <a:round/>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0968855"/>
        <c:crosses val="autoZero"/>
        <c:auto val="1"/>
        <c:lblAlgn val="ctr"/>
        <c:lblOffset val="100"/>
        <c:noMultiLvlLbl val="0"/>
      </c:catAx>
      <c:valAx>
        <c:axId val="190968855"/>
        <c:scaling>
          <c:orientation val="minMax"/>
        </c:scaling>
        <c:delete val="0"/>
        <c:axPos val="l"/>
        <c:title>
          <c:tx>
            <c:rich>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GB" sz="11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Concentration (mg/l)</a:t>
                </a:r>
              </a:p>
            </c:rich>
          </c:tx>
          <c:overlay val="0"/>
          <c:spPr>
            <a:noFill/>
            <a:ln>
              <a:noFill/>
            </a:ln>
            <a:effectLst/>
          </c:spPr>
          <c:txPr>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9551324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9134b4b1-e8b5-4cc7-85c3-86b57b4208a6}"/>
      </c:ext>
    </c:extLst>
  </c:chart>
  <c:spPr>
    <a:solidFill>
      <a:schemeClr val="bg1"/>
    </a:solidFill>
    <a:ln w="9525" cap="flat" cmpd="sng" algn="ctr">
      <a:solidFill>
        <a:schemeClr val="tx1">
          <a:lumMod val="15000"/>
          <a:lumOff val="85000"/>
        </a:schemeClr>
      </a:solidFill>
      <a:round/>
    </a:ln>
    <a:effectLst/>
  </c:spPr>
  <c:txPr>
    <a:bodyPr/>
    <a:lstStyle/>
    <a:p>
      <a:pPr>
        <a:def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Ion Chelating</a:t>
            </a:r>
          </a:p>
        </c:rich>
      </c:tx>
      <c:layout>
        <c:manualLayout>
          <c:xMode val="edge"/>
          <c:yMode val="edge"/>
          <c:x val="0.35074300087489069"/>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7661854768154"/>
          <c:y val="0.14187518226888307"/>
          <c:w val="0.82317825896762908"/>
          <c:h val="0.64897200349956252"/>
        </c:manualLayout>
      </c:layout>
      <c:scatterChart>
        <c:scatterStyle val="lineMarker"/>
        <c:varyColors val="0"/>
        <c:ser>
          <c:idx val="0"/>
          <c:order val="0"/>
          <c:tx>
            <c:strRef>
              <c:f>Ruth!$B$101</c:f>
              <c:strCache>
                <c:ptCount val="1"/>
                <c:pt idx="0">
                  <c:v>P. crassippes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Ruth!$A$102:$A$106</c:f>
              <c:numCache>
                <c:formatCode>General</c:formatCode>
                <c:ptCount val="5"/>
                <c:pt idx="0">
                  <c:v>0</c:v>
                </c:pt>
                <c:pt idx="1">
                  <c:v>10</c:v>
                </c:pt>
                <c:pt idx="2">
                  <c:v>20</c:v>
                </c:pt>
                <c:pt idx="3">
                  <c:v>40</c:v>
                </c:pt>
                <c:pt idx="4">
                  <c:v>80</c:v>
                </c:pt>
              </c:numCache>
            </c:numRef>
          </c:xVal>
          <c:yVal>
            <c:numRef>
              <c:f>Ruth!$B$102:$B$106</c:f>
              <c:numCache>
                <c:formatCode>General</c:formatCode>
                <c:ptCount val="5"/>
                <c:pt idx="0">
                  <c:v>0</c:v>
                </c:pt>
                <c:pt idx="1">
                  <c:v>39.369999999999997</c:v>
                </c:pt>
                <c:pt idx="2">
                  <c:v>40.96</c:v>
                </c:pt>
                <c:pt idx="3">
                  <c:v>41.14</c:v>
                </c:pt>
                <c:pt idx="4">
                  <c:v>42.73</c:v>
                </c:pt>
              </c:numCache>
            </c:numRef>
          </c:yVal>
          <c:smooth val="0"/>
          <c:extLst>
            <c:ext xmlns:c16="http://schemas.microsoft.com/office/drawing/2014/chart" uri="{C3380CC4-5D6E-409C-BE32-E72D297353CC}">
              <c16:uniqueId val="{00000000-1082-4810-A27D-D38A12003D61}"/>
            </c:ext>
          </c:extLst>
        </c:ser>
        <c:ser>
          <c:idx val="1"/>
          <c:order val="1"/>
          <c:tx>
            <c:strRef>
              <c:f>Ruth!$C$101</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Ruth!$A$102:$A$106</c:f>
              <c:numCache>
                <c:formatCode>General</c:formatCode>
                <c:ptCount val="5"/>
                <c:pt idx="0">
                  <c:v>0</c:v>
                </c:pt>
                <c:pt idx="1">
                  <c:v>10</c:v>
                </c:pt>
                <c:pt idx="2">
                  <c:v>20</c:v>
                </c:pt>
                <c:pt idx="3">
                  <c:v>40</c:v>
                </c:pt>
                <c:pt idx="4">
                  <c:v>80</c:v>
                </c:pt>
              </c:numCache>
            </c:numRef>
          </c:xVal>
          <c:yVal>
            <c:numRef>
              <c:f>Ruth!$C$102:$C$106</c:f>
              <c:numCache>
                <c:formatCode>General</c:formatCode>
                <c:ptCount val="5"/>
              </c:numCache>
            </c:numRef>
          </c:yVal>
          <c:smooth val="0"/>
          <c:extLst>
            <c:ext xmlns:c16="http://schemas.microsoft.com/office/drawing/2014/chart" uri="{C3380CC4-5D6E-409C-BE32-E72D297353CC}">
              <c16:uniqueId val="{00000001-1082-4810-A27D-D38A12003D61}"/>
            </c:ext>
          </c:extLst>
        </c:ser>
        <c:dLbls>
          <c:showLegendKey val="0"/>
          <c:showVal val="0"/>
          <c:showCatName val="0"/>
          <c:showSerName val="0"/>
          <c:showPercent val="0"/>
          <c:showBubbleSize val="0"/>
        </c:dLbls>
        <c:axId val="545437584"/>
        <c:axId val="545435184"/>
      </c:scatterChart>
      <c:valAx>
        <c:axId val="5454375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8520713035870513"/>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5184"/>
        <c:crosses val="autoZero"/>
        <c:crossBetween val="midCat"/>
      </c:valAx>
      <c:valAx>
        <c:axId val="5454351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758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[Book1]Sheet1!$B$1</c:f>
              <c:strCache>
                <c:ptCount val="1"/>
                <c:pt idx="0">
                  <c:v>Mean (mg/l)</c:v>
                </c:pt>
              </c:strCache>
            </c:strRef>
          </c:tx>
          <c:spPr>
            <a:solidFill>
              <a:schemeClr val="accent1"/>
            </a:solidFill>
            <a:ln>
              <a:noFill/>
            </a:ln>
            <a:effectLst/>
          </c:spPr>
          <c:invertIfNegative val="0"/>
          <c:dLbls>
            <c:dLbl>
              <c:idx val="0"/>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BC-4A9C-AF90-6561DD8917EB}"/>
                </c:ext>
              </c:extLst>
            </c:dLbl>
            <c:dLbl>
              <c:idx val="1"/>
              <c:tx>
                <c:rich>
                  <a:bodyPr/>
                  <a:lstStyle/>
                  <a:p>
                    <a:r>
                      <a:rPr lang="en-US"/>
                      <a:t>5.28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BBC-4A9C-AF90-6561DD8917EB}"/>
                </c:ext>
              </c:extLst>
            </c:dLbl>
            <c:dLbl>
              <c:idx val="2"/>
              <c:tx>
                <c:rich>
                  <a:bodyPr/>
                  <a:lstStyle/>
                  <a:p>
                    <a:r>
                      <a:rPr lang="en-US"/>
                      <a:t>0.082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BC-4A9C-AF90-6561DD8917EB}"/>
                </c:ext>
              </c:extLst>
            </c:dLbl>
            <c:dLbl>
              <c:idx val="3"/>
              <c:tx>
                <c:rich>
                  <a:bodyPr/>
                  <a:lstStyle/>
                  <a:p>
                    <a:r>
                      <a:rPr lang="en-US"/>
                      <a:t>0.84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BBC-4A9C-AF90-6561DD8917EB}"/>
                </c:ext>
              </c:extLst>
            </c:dLbl>
            <c:dLbl>
              <c:idx val="5"/>
              <c:tx>
                <c:rich>
                  <a:bodyPr/>
                  <a:lstStyle/>
                  <a:p>
                    <a:r>
                      <a:rPr lang="en-US"/>
                      <a:t>0.089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BBC-4A9C-AF90-6561DD8917EB}"/>
                </c:ext>
              </c:extLst>
            </c:dLbl>
            <c:spPr>
              <a:noFill/>
              <a:ln>
                <a:noFill/>
              </a:ln>
              <a:effectLst/>
            </c:spPr>
            <c:txPr>
              <a:bodyPr rot="0" spcFirstLastPara="0" vertOverflow="ellipsis" vert="horz" wrap="square" lIns="38100" tIns="19050" rIns="38100" bIns="19050"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[Book1]Sheet1!$A$2:$A$7</c:f>
              <c:strCache>
                <c:ptCount val="6"/>
                <c:pt idx="0">
                  <c:v>Iron (Fe)</c:v>
                </c:pt>
                <c:pt idx="1">
                  <c:v>Manganese (Mn)</c:v>
                </c:pt>
                <c:pt idx="2">
                  <c:v>Selenium (Se)</c:v>
                </c:pt>
                <c:pt idx="3">
                  <c:v>Zinc (Zn)</c:v>
                </c:pt>
                <c:pt idx="4">
                  <c:v>Copper (Cu)</c:v>
                </c:pt>
                <c:pt idx="5">
                  <c:v>Cobalt (Co)</c:v>
                </c:pt>
              </c:strCache>
            </c:strRef>
          </c:cat>
          <c:val>
            <c:numRef>
              <c:f>[Book1]Sheet1!$B$2:$B$7</c:f>
              <c:numCache>
                <c:formatCode>General</c:formatCode>
                <c:ptCount val="6"/>
                <c:pt idx="0">
                  <c:v>3.7806999999999999</c:v>
                </c:pt>
                <c:pt idx="1">
                  <c:v>5.2803000000000004</c:v>
                </c:pt>
                <c:pt idx="2">
                  <c:v>8.2299999999999998E-2</c:v>
                </c:pt>
                <c:pt idx="3">
                  <c:v>0.83699999999999997</c:v>
                </c:pt>
                <c:pt idx="4">
                  <c:v>1.0720000000000001</c:v>
                </c:pt>
                <c:pt idx="5">
                  <c:v>8.8700000000000001E-2</c:v>
                </c:pt>
              </c:numCache>
            </c:numRef>
          </c:val>
          <c:extLst>
            <c:ext xmlns:c16="http://schemas.microsoft.com/office/drawing/2014/chart" uri="{C3380CC4-5D6E-409C-BE32-E72D297353CC}">
              <c16:uniqueId val="{00000005-6BBC-4A9C-AF90-6561DD8917EB}"/>
            </c:ext>
          </c:extLst>
        </c:ser>
        <c:dLbls>
          <c:showLegendKey val="0"/>
          <c:showVal val="1"/>
          <c:showCatName val="0"/>
          <c:showSerName val="0"/>
          <c:showPercent val="0"/>
          <c:showBubbleSize val="0"/>
        </c:dLbls>
        <c:gapWidth val="246"/>
        <c:overlap val="-28"/>
        <c:axId val="848106194"/>
        <c:axId val="896690552"/>
      </c:barChart>
      <c:catAx>
        <c:axId val="848106194"/>
        <c:scaling>
          <c:orientation val="minMax"/>
        </c:scaling>
        <c:delete val="0"/>
        <c:axPos val="b"/>
        <c:numFmt formatCode="General" sourceLinked="0"/>
        <c:majorTickMark val="none"/>
        <c:minorTickMark val="none"/>
        <c:tickLblPos val="nextTo"/>
        <c:spPr>
          <a:noFill/>
          <a:ln w="12700" cap="flat" cmpd="sng" algn="ctr">
            <a:solidFill>
              <a:schemeClr val="tx1"/>
            </a:solidFill>
            <a:round/>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96690552"/>
        <c:crosses val="autoZero"/>
        <c:auto val="1"/>
        <c:lblAlgn val="ctr"/>
        <c:lblOffset val="100"/>
        <c:noMultiLvlLbl val="0"/>
      </c:catAx>
      <c:valAx>
        <c:axId val="896690552"/>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GB" sz="11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Concentration (mg/l)</a:t>
                </a:r>
              </a:p>
            </c:rich>
          </c:tx>
          <c:overlay val="0"/>
          <c:spPr>
            <a:noFill/>
            <a:ln>
              <a:noFill/>
            </a:ln>
            <a:effectLst/>
          </c:spPr>
          <c:txPr>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4810619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be31984e-1cbf-4818-8eec-4b918721dcc7}"/>
      </c:ext>
    </c:extLst>
  </c:chart>
  <c:spPr>
    <a:solidFill>
      <a:schemeClr val="bg1"/>
    </a:solidFill>
    <a:ln w="9525" cap="flat" cmpd="sng" algn="ctr">
      <a:solidFill>
        <a:schemeClr val="tx1">
          <a:lumMod val="15000"/>
          <a:lumOff val="85000"/>
        </a:schemeClr>
      </a:solidFill>
      <a:round/>
    </a:ln>
    <a:effectLst/>
  </c:spPr>
  <c:txPr>
    <a:bodyPr/>
    <a:lstStyle/>
    <a:p>
      <a:pPr>
        <a:def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DPPH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41096054291556"/>
          <c:y val="0.12352941176470589"/>
          <c:w val="0.79956279636316174"/>
          <c:h val="0.68653894199054"/>
        </c:manualLayout>
      </c:layout>
      <c:scatterChart>
        <c:scatterStyle val="lineMarker"/>
        <c:varyColors val="0"/>
        <c:ser>
          <c:idx val="0"/>
          <c:order val="0"/>
          <c:tx>
            <c:strRef>
              <c:f>Ruth!$B$49</c:f>
              <c:strCache>
                <c:ptCount val="1"/>
                <c:pt idx="0">
                  <c:v>BHT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Ruth!$A$50:$A$54</c:f>
              <c:numCache>
                <c:formatCode>General</c:formatCode>
                <c:ptCount val="5"/>
                <c:pt idx="0">
                  <c:v>0</c:v>
                </c:pt>
                <c:pt idx="1">
                  <c:v>10</c:v>
                </c:pt>
                <c:pt idx="2">
                  <c:v>20</c:v>
                </c:pt>
                <c:pt idx="3">
                  <c:v>40</c:v>
                </c:pt>
                <c:pt idx="4">
                  <c:v>80</c:v>
                </c:pt>
              </c:numCache>
            </c:numRef>
          </c:xVal>
          <c:yVal>
            <c:numRef>
              <c:f>Ruth!$B$50:$B$54</c:f>
              <c:numCache>
                <c:formatCode>General</c:formatCode>
                <c:ptCount val="5"/>
                <c:pt idx="0">
                  <c:v>0</c:v>
                </c:pt>
                <c:pt idx="1">
                  <c:v>98.5</c:v>
                </c:pt>
                <c:pt idx="2">
                  <c:v>98.5</c:v>
                </c:pt>
                <c:pt idx="3">
                  <c:v>98.5</c:v>
                </c:pt>
                <c:pt idx="4">
                  <c:v>98.5</c:v>
                </c:pt>
              </c:numCache>
            </c:numRef>
          </c:yVal>
          <c:smooth val="0"/>
          <c:extLst>
            <c:ext xmlns:c16="http://schemas.microsoft.com/office/drawing/2014/chart" uri="{C3380CC4-5D6E-409C-BE32-E72D297353CC}">
              <c16:uniqueId val="{00000000-4DE7-4F38-8F63-450A22636404}"/>
            </c:ext>
          </c:extLst>
        </c:ser>
        <c:ser>
          <c:idx val="1"/>
          <c:order val="1"/>
          <c:tx>
            <c:strRef>
              <c:f>Ruth!$C$49</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Ruth!$A$50:$A$54</c:f>
              <c:numCache>
                <c:formatCode>General</c:formatCode>
                <c:ptCount val="5"/>
                <c:pt idx="0">
                  <c:v>0</c:v>
                </c:pt>
                <c:pt idx="1">
                  <c:v>10</c:v>
                </c:pt>
                <c:pt idx="2">
                  <c:v>20</c:v>
                </c:pt>
                <c:pt idx="3">
                  <c:v>40</c:v>
                </c:pt>
                <c:pt idx="4">
                  <c:v>80</c:v>
                </c:pt>
              </c:numCache>
            </c:numRef>
          </c:xVal>
          <c:yVal>
            <c:numRef>
              <c:f>Ruth!$C$50:$C$54</c:f>
              <c:numCache>
                <c:formatCode>General</c:formatCode>
                <c:ptCount val="5"/>
                <c:pt idx="0">
                  <c:v>0</c:v>
                </c:pt>
                <c:pt idx="1">
                  <c:v>85.699999999999989</c:v>
                </c:pt>
                <c:pt idx="2">
                  <c:v>87.41</c:v>
                </c:pt>
                <c:pt idx="3">
                  <c:v>89.09</c:v>
                </c:pt>
                <c:pt idx="4">
                  <c:v>89.53</c:v>
                </c:pt>
              </c:numCache>
            </c:numRef>
          </c:yVal>
          <c:smooth val="0"/>
          <c:extLst>
            <c:ext xmlns:c16="http://schemas.microsoft.com/office/drawing/2014/chart" uri="{C3380CC4-5D6E-409C-BE32-E72D297353CC}">
              <c16:uniqueId val="{00000001-4DE7-4F38-8F63-450A22636404}"/>
            </c:ext>
          </c:extLst>
        </c:ser>
        <c:ser>
          <c:idx val="2"/>
          <c:order val="2"/>
          <c:tx>
            <c:strRef>
              <c:f>Ruth!$D$49</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Ruth!$A$50:$A$54</c:f>
              <c:numCache>
                <c:formatCode>General</c:formatCode>
                <c:ptCount val="5"/>
                <c:pt idx="0">
                  <c:v>0</c:v>
                </c:pt>
                <c:pt idx="1">
                  <c:v>10</c:v>
                </c:pt>
                <c:pt idx="2">
                  <c:v>20</c:v>
                </c:pt>
                <c:pt idx="3">
                  <c:v>40</c:v>
                </c:pt>
                <c:pt idx="4">
                  <c:v>80</c:v>
                </c:pt>
              </c:numCache>
            </c:numRef>
          </c:xVal>
          <c:yVal>
            <c:numRef>
              <c:f>Ruth!$D$50:$D$54</c:f>
              <c:numCache>
                <c:formatCode>General</c:formatCode>
                <c:ptCount val="5"/>
              </c:numCache>
            </c:numRef>
          </c:yVal>
          <c:smooth val="0"/>
          <c:extLst>
            <c:ext xmlns:c16="http://schemas.microsoft.com/office/drawing/2014/chart" uri="{C3380CC4-5D6E-409C-BE32-E72D297353CC}">
              <c16:uniqueId val="{00000002-4DE7-4F38-8F63-450A22636404}"/>
            </c:ext>
          </c:extLst>
        </c:ser>
        <c:dLbls>
          <c:showLegendKey val="0"/>
          <c:showVal val="0"/>
          <c:showCatName val="0"/>
          <c:showSerName val="0"/>
          <c:showPercent val="0"/>
          <c:showBubbleSize val="0"/>
        </c:dLbls>
        <c:axId val="991804672"/>
        <c:axId val="991806592"/>
      </c:scatterChart>
      <c:valAx>
        <c:axId val="991804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2451746946692959"/>
              <c:y val="0.9141527362555615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6592"/>
        <c:crosses val="autoZero"/>
        <c:crossBetween val="midCat"/>
      </c:valAx>
      <c:valAx>
        <c:axId val="9918065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634559252772913E-2"/>
              <c:y val="0.285501986048535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4672"/>
        <c:crosses val="autoZero"/>
        <c:crossBetween val="midCat"/>
      </c:valAx>
      <c:spPr>
        <a:noFill/>
        <a:ln>
          <a:noFill/>
        </a:ln>
        <a:effectLst/>
      </c:spPr>
    </c:plotArea>
    <c:legend>
      <c:legendPos val="b"/>
      <c:layout>
        <c:manualLayout>
          <c:xMode val="edge"/>
          <c:yMode val="edge"/>
          <c:x val="0.57592226040805672"/>
          <c:y val="0.43237664818524901"/>
          <c:w val="0.42134603254013137"/>
          <c:h val="0.114270647583791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ABTS</a:t>
            </a:r>
          </a:p>
        </c:rich>
      </c:tx>
      <c:layout>
        <c:manualLayout>
          <c:xMode val="edge"/>
          <c:yMode val="edge"/>
          <c:x val="0.44736111111111115"/>
          <c:y val="1.388888888888888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480314960629921"/>
          <c:y val="0.19949074074074077"/>
          <c:w val="0.87519685039370076"/>
          <c:h val="0.62924358413531645"/>
        </c:manualLayout>
      </c:layout>
      <c:lineChart>
        <c:grouping val="standard"/>
        <c:varyColors val="0"/>
        <c:ser>
          <c:idx val="0"/>
          <c:order val="0"/>
          <c:tx>
            <c:strRef>
              <c:f>Ruth!$C$119</c:f>
              <c:strCache>
                <c:ptCount val="1"/>
                <c:pt idx="0">
                  <c:v>Garlic</c:v>
                </c:pt>
              </c:strCache>
            </c:strRef>
          </c:tx>
          <c:spPr>
            <a:ln w="28575" cap="rnd">
              <a:solidFill>
                <a:schemeClr val="accent1"/>
              </a:solidFill>
              <a:round/>
            </a:ln>
            <a:effectLst/>
          </c:spPr>
          <c:marker>
            <c:symbol val="none"/>
          </c:marker>
          <c:cat>
            <c:numRef>
              <c:f>Ruth!$B$120:$B$122</c:f>
              <c:numCache>
                <c:formatCode>General</c:formatCode>
                <c:ptCount val="3"/>
                <c:pt idx="0">
                  <c:v>100</c:v>
                </c:pt>
                <c:pt idx="1">
                  <c:v>200</c:v>
                </c:pt>
                <c:pt idx="2">
                  <c:v>300</c:v>
                </c:pt>
              </c:numCache>
            </c:numRef>
          </c:cat>
          <c:val>
            <c:numRef>
              <c:f>Ruth!$C$120:$C$122</c:f>
              <c:numCache>
                <c:formatCode>General</c:formatCode>
                <c:ptCount val="3"/>
                <c:pt idx="0">
                  <c:v>74.209999999999994</c:v>
                </c:pt>
                <c:pt idx="1">
                  <c:v>78.86</c:v>
                </c:pt>
                <c:pt idx="2">
                  <c:v>82.03</c:v>
                </c:pt>
              </c:numCache>
            </c:numRef>
          </c:val>
          <c:smooth val="0"/>
          <c:extLst>
            <c:ext xmlns:c16="http://schemas.microsoft.com/office/drawing/2014/chart" uri="{C3380CC4-5D6E-409C-BE32-E72D297353CC}">
              <c16:uniqueId val="{00000000-F3A0-48D1-92E4-59454C7A5A9A}"/>
            </c:ext>
          </c:extLst>
        </c:ser>
        <c:ser>
          <c:idx val="1"/>
          <c:order val="1"/>
          <c:tx>
            <c:strRef>
              <c:f>Ruth!$D$119</c:f>
              <c:strCache>
                <c:ptCount val="1"/>
                <c:pt idx="0">
                  <c:v>P. crassippes</c:v>
                </c:pt>
              </c:strCache>
            </c:strRef>
          </c:tx>
          <c:spPr>
            <a:ln w="28575" cap="rnd">
              <a:solidFill>
                <a:schemeClr val="accent2"/>
              </a:solidFill>
              <a:round/>
            </a:ln>
            <a:effectLst/>
          </c:spPr>
          <c:marker>
            <c:symbol val="none"/>
          </c:marker>
          <c:cat>
            <c:numRef>
              <c:f>Ruth!$B$120:$B$122</c:f>
              <c:numCache>
                <c:formatCode>General</c:formatCode>
                <c:ptCount val="3"/>
                <c:pt idx="0">
                  <c:v>100</c:v>
                </c:pt>
                <c:pt idx="1">
                  <c:v>200</c:v>
                </c:pt>
                <c:pt idx="2">
                  <c:v>300</c:v>
                </c:pt>
              </c:numCache>
            </c:numRef>
          </c:cat>
          <c:val>
            <c:numRef>
              <c:f>Ruth!$D$120:$D$122</c:f>
              <c:numCache>
                <c:formatCode>General</c:formatCode>
                <c:ptCount val="3"/>
                <c:pt idx="0">
                  <c:v>70.819999999999993</c:v>
                </c:pt>
                <c:pt idx="1">
                  <c:v>74.28</c:v>
                </c:pt>
                <c:pt idx="2">
                  <c:v>78.25</c:v>
                </c:pt>
              </c:numCache>
            </c:numRef>
          </c:val>
          <c:smooth val="0"/>
          <c:extLst>
            <c:ext xmlns:c16="http://schemas.microsoft.com/office/drawing/2014/chart" uri="{C3380CC4-5D6E-409C-BE32-E72D297353CC}">
              <c16:uniqueId val="{00000001-F3A0-48D1-92E4-59454C7A5A9A}"/>
            </c:ext>
          </c:extLst>
        </c:ser>
        <c:ser>
          <c:idx val="2"/>
          <c:order val="2"/>
          <c:tx>
            <c:strRef>
              <c:f>Ruth!$E$119</c:f>
              <c:strCache>
                <c:ptCount val="1"/>
              </c:strCache>
            </c:strRef>
          </c:tx>
          <c:spPr>
            <a:ln w="28575" cap="rnd">
              <a:solidFill>
                <a:schemeClr val="accent3"/>
              </a:solidFill>
              <a:round/>
            </a:ln>
            <a:effectLst/>
          </c:spPr>
          <c:marker>
            <c:symbol val="none"/>
          </c:marker>
          <c:cat>
            <c:numRef>
              <c:f>Ruth!$B$120:$B$122</c:f>
              <c:numCache>
                <c:formatCode>General</c:formatCode>
                <c:ptCount val="3"/>
                <c:pt idx="0">
                  <c:v>100</c:v>
                </c:pt>
                <c:pt idx="1">
                  <c:v>200</c:v>
                </c:pt>
                <c:pt idx="2">
                  <c:v>300</c:v>
                </c:pt>
              </c:numCache>
            </c:numRef>
          </c:cat>
          <c:val>
            <c:numRef>
              <c:f>Ruth!$E$120:$E$122</c:f>
              <c:numCache>
                <c:formatCode>General</c:formatCode>
                <c:ptCount val="3"/>
              </c:numCache>
            </c:numRef>
          </c:val>
          <c:smooth val="0"/>
          <c:extLst>
            <c:ext xmlns:c16="http://schemas.microsoft.com/office/drawing/2014/chart" uri="{C3380CC4-5D6E-409C-BE32-E72D297353CC}">
              <c16:uniqueId val="{00000002-F3A0-48D1-92E4-59454C7A5A9A}"/>
            </c:ext>
          </c:extLst>
        </c:ser>
        <c:dLbls>
          <c:showLegendKey val="0"/>
          <c:showVal val="0"/>
          <c:showCatName val="0"/>
          <c:showSerName val="0"/>
          <c:showPercent val="0"/>
          <c:showBubbleSize val="0"/>
        </c:dLbls>
        <c:smooth val="0"/>
        <c:axId val="1220001488"/>
        <c:axId val="1219984208"/>
      </c:lineChart>
      <c:catAx>
        <c:axId val="12200014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4975568678915131"/>
              <c:y val="0.921874453193350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9984208"/>
        <c:crosses val="autoZero"/>
        <c:auto val="1"/>
        <c:lblAlgn val="ctr"/>
        <c:lblOffset val="100"/>
        <c:noMultiLvlLbl val="0"/>
      </c:catAx>
      <c:valAx>
        <c:axId val="12199842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a:t>
                </a:r>
                <a:r>
                  <a:rPr lang="en-GB" b="1" baseline="0">
                    <a:solidFill>
                      <a:sysClr val="windowText" lastClr="000000"/>
                    </a:solidFill>
                    <a:latin typeface="Times New Roman" panose="02020603050405020304" pitchFamily="18" charset="0"/>
                    <a:cs typeface="Times New Roman" panose="02020603050405020304" pitchFamily="18" charset="0"/>
                  </a:rPr>
                  <a:t> Scavenging</a:t>
                </a:r>
                <a:endParaRPr lang="en-GB"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354705654317365E-2"/>
              <c:y val="0.366658646835812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0001488"/>
        <c:crosses val="autoZero"/>
        <c:crossBetween val="between"/>
      </c:valAx>
      <c:spPr>
        <a:noFill/>
        <a:ln w="25400">
          <a:noFill/>
        </a:ln>
        <a:effectLst/>
      </c:spPr>
    </c:plotArea>
    <c:legend>
      <c:legendPos val="b"/>
      <c:layout>
        <c:manualLayout>
          <c:xMode val="edge"/>
          <c:yMode val="edge"/>
          <c:x val="0.59458856333095078"/>
          <c:y val="3.2985419409324625E-2"/>
          <c:w val="0.37998207485724561"/>
          <c:h val="9.846059036380366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Hydroxyl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8217081089632"/>
          <c:y val="0.13160978436179827"/>
          <c:w val="0.848178258967629"/>
          <c:h val="0.64316746864975216"/>
        </c:manualLayout>
      </c:layout>
      <c:barChart>
        <c:barDir val="col"/>
        <c:grouping val="clustered"/>
        <c:varyColors val="0"/>
        <c:ser>
          <c:idx val="0"/>
          <c:order val="0"/>
          <c:tx>
            <c:strRef>
              <c:f>Ruth!$C$27</c:f>
              <c:strCache>
                <c:ptCount val="1"/>
                <c:pt idx="0">
                  <c:v>Garlic</c:v>
                </c:pt>
              </c:strCache>
            </c:strRef>
          </c:tx>
          <c:spPr>
            <a:solidFill>
              <a:srgbClr val="C00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Ruth!$C$28:$C$33</c:f>
              <c:numCache>
                <c:formatCode>General</c:formatCode>
                <c:ptCount val="6"/>
                <c:pt idx="0">
                  <c:v>63.05</c:v>
                </c:pt>
                <c:pt idx="1">
                  <c:v>70.77</c:v>
                </c:pt>
                <c:pt idx="2">
                  <c:v>73.349999999999994</c:v>
                </c:pt>
                <c:pt idx="3">
                  <c:v>79.41</c:v>
                </c:pt>
              </c:numCache>
            </c:numRef>
          </c:val>
          <c:extLst>
            <c:ext xmlns:c16="http://schemas.microsoft.com/office/drawing/2014/chart" uri="{C3380CC4-5D6E-409C-BE32-E72D297353CC}">
              <c16:uniqueId val="{00000000-220E-4E32-AE0C-2EC2E81C003C}"/>
            </c:ext>
          </c:extLst>
        </c:ser>
        <c:ser>
          <c:idx val="1"/>
          <c:order val="1"/>
          <c:tx>
            <c:strRef>
              <c:f>Ruth!$D$27</c:f>
              <c:strCache>
                <c:ptCount val="1"/>
                <c:pt idx="0">
                  <c:v>P. crassippes</c:v>
                </c:pt>
              </c:strCache>
            </c:strRef>
          </c:tx>
          <c:spPr>
            <a:solidFill>
              <a:srgbClr val="FFC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Ruth!$D$28:$D$33</c:f>
              <c:numCache>
                <c:formatCode>General</c:formatCode>
                <c:ptCount val="6"/>
                <c:pt idx="1">
                  <c:v>57.67</c:v>
                </c:pt>
                <c:pt idx="3">
                  <c:v>60.49</c:v>
                </c:pt>
                <c:pt idx="4">
                  <c:v>61.42</c:v>
                </c:pt>
                <c:pt idx="5">
                  <c:v>61.42</c:v>
                </c:pt>
              </c:numCache>
            </c:numRef>
          </c:val>
          <c:extLst>
            <c:ext xmlns:c16="http://schemas.microsoft.com/office/drawing/2014/chart" uri="{C3380CC4-5D6E-409C-BE32-E72D297353CC}">
              <c16:uniqueId val="{00000001-220E-4E32-AE0C-2EC2E81C003C}"/>
            </c:ext>
          </c:extLst>
        </c:ser>
        <c:ser>
          <c:idx val="2"/>
          <c:order val="2"/>
          <c:tx>
            <c:strRef>
              <c:f>Ruth!$E$27</c:f>
              <c:strCache>
                <c:ptCount val="1"/>
              </c:strCache>
            </c:strRef>
          </c:tx>
          <c:spPr>
            <a:solidFill>
              <a:srgbClr val="00206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Ruth!$E$28:$E$33</c:f>
              <c:numCache>
                <c:formatCode>General</c:formatCode>
                <c:ptCount val="6"/>
              </c:numCache>
            </c:numRef>
          </c:val>
          <c:extLst>
            <c:ext xmlns:c16="http://schemas.microsoft.com/office/drawing/2014/chart" uri="{C3380CC4-5D6E-409C-BE32-E72D297353CC}">
              <c16:uniqueId val="{00000002-220E-4E32-AE0C-2EC2E81C003C}"/>
            </c:ext>
          </c:extLst>
        </c:ser>
        <c:dLbls>
          <c:showLegendKey val="0"/>
          <c:showVal val="0"/>
          <c:showCatName val="0"/>
          <c:showSerName val="0"/>
          <c:showPercent val="0"/>
          <c:showBubbleSize val="0"/>
        </c:dLbls>
        <c:gapWidth val="219"/>
        <c:overlap val="-27"/>
        <c:axId val="991821952"/>
        <c:axId val="991829152"/>
      </c:barChart>
      <c:catAx>
        <c:axId val="9918219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0913329766750905"/>
              <c:y val="0.897364756488772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9152"/>
        <c:crosses val="autoZero"/>
        <c:auto val="1"/>
        <c:lblAlgn val="ctr"/>
        <c:lblOffset val="100"/>
        <c:noMultiLvlLbl val="0"/>
      </c:catAx>
      <c:valAx>
        <c:axId val="9918291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3888888888888888E-2"/>
              <c:y val="0.2669772528433945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1952"/>
        <c:crosses val="autoZero"/>
        <c:crossBetween val="between"/>
      </c:valAx>
      <c:spPr>
        <a:noFill/>
        <a:ln w="25400">
          <a:noFill/>
        </a:ln>
        <a:effectLst/>
      </c:spPr>
    </c:plotArea>
    <c:legend>
      <c:legendPos val="b"/>
      <c:layout>
        <c:manualLayout>
          <c:xMode val="edge"/>
          <c:yMode val="edge"/>
          <c:x val="0.62316550016870242"/>
          <c:y val="6.2166673152676342E-2"/>
          <c:w val="0.34524511064869445"/>
          <c:h val="0.1334526759113924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FRAP</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2859493275356"/>
          <c:y val="0.14530020703933746"/>
          <c:w val="0.8327340873111857"/>
          <c:h val="0.65596941686637"/>
        </c:manualLayout>
      </c:layout>
      <c:scatterChart>
        <c:scatterStyle val="lineMarker"/>
        <c:varyColors val="0"/>
        <c:ser>
          <c:idx val="0"/>
          <c:order val="0"/>
          <c:tx>
            <c:strRef>
              <c:f>'Ruth No-FRAP'!$B$82</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No-FRAP'!$B$83:$B$87</c:f>
              <c:numCache>
                <c:formatCode>General</c:formatCode>
                <c:ptCount val="5"/>
                <c:pt idx="0">
                  <c:v>0</c:v>
                </c:pt>
                <c:pt idx="1">
                  <c:v>76.95</c:v>
                </c:pt>
                <c:pt idx="2">
                  <c:v>93.62</c:v>
                </c:pt>
                <c:pt idx="3">
                  <c:v>94.18</c:v>
                </c:pt>
                <c:pt idx="4">
                  <c:v>94.88</c:v>
                </c:pt>
              </c:numCache>
            </c:numRef>
          </c:yVal>
          <c:smooth val="0"/>
          <c:extLst>
            <c:ext xmlns:c16="http://schemas.microsoft.com/office/drawing/2014/chart" uri="{C3380CC4-5D6E-409C-BE32-E72D297353CC}">
              <c16:uniqueId val="{00000000-C635-493C-A349-F4D6C575592A}"/>
            </c:ext>
          </c:extLst>
        </c:ser>
        <c:ser>
          <c:idx val="1"/>
          <c:order val="1"/>
          <c:tx>
            <c:strRef>
              <c:f>'Ruth No-FRAP'!$C$82</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No-FRAP'!$C$83:$C$87</c:f>
              <c:numCache>
                <c:formatCode>General</c:formatCode>
                <c:ptCount val="5"/>
                <c:pt idx="0">
                  <c:v>0</c:v>
                </c:pt>
                <c:pt idx="1">
                  <c:v>17.38</c:v>
                </c:pt>
                <c:pt idx="2">
                  <c:v>28.01</c:v>
                </c:pt>
                <c:pt idx="3">
                  <c:v>34.39</c:v>
                </c:pt>
                <c:pt idx="4">
                  <c:v>40.78</c:v>
                </c:pt>
              </c:numCache>
            </c:numRef>
          </c:yVal>
          <c:smooth val="0"/>
          <c:extLst>
            <c:ext xmlns:c16="http://schemas.microsoft.com/office/drawing/2014/chart" uri="{C3380CC4-5D6E-409C-BE32-E72D297353CC}">
              <c16:uniqueId val="{00000001-C635-493C-A349-F4D6C575592A}"/>
            </c:ext>
          </c:extLst>
        </c:ser>
        <c:ser>
          <c:idx val="2"/>
          <c:order val="2"/>
          <c:tx>
            <c:strRef>
              <c:f>'Ruth No-FRAP'!$D$82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No-FRAP'!$D$83:$D$87</c:f>
              <c:numCache>
                <c:formatCode>General</c:formatCode>
                <c:ptCount val="5"/>
              </c:numCache>
            </c:numRef>
          </c:yVal>
          <c:smooth val="0"/>
          <c:extLst>
            <c:ext xmlns:c16="http://schemas.microsoft.com/office/drawing/2014/chart" uri="{C3380CC4-5D6E-409C-BE32-E72D297353CC}">
              <c16:uniqueId val="{00000002-C635-493C-A349-F4D6C575592A}"/>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legend>
      <c:legendPos val="b"/>
      <c:legendEntry>
        <c:idx val="2"/>
        <c:delete val="1"/>
      </c:legendEntry>
      <c:layout>
        <c:manualLayout>
          <c:xMode val="edge"/>
          <c:yMode val="edge"/>
          <c:x val="0.54725803844336096"/>
          <c:y val="0.32902519305974698"/>
          <c:w val="0.41633424149132797"/>
          <c:h val="7.024502371986110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PAP</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7270341207349"/>
          <c:y val="0.17171296296296296"/>
          <c:w val="0.83140507436570432"/>
          <c:h val="0.62366469816272962"/>
        </c:manualLayout>
      </c:layout>
      <c:scatterChart>
        <c:scatterStyle val="lineMarker"/>
        <c:varyColors val="0"/>
        <c:ser>
          <c:idx val="0"/>
          <c:order val="0"/>
          <c:tx>
            <c:strRef>
              <c:f>Ruth!$B$100</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Ruth!$A$101:$A$105</c:f>
              <c:numCache>
                <c:formatCode>General</c:formatCode>
                <c:ptCount val="5"/>
                <c:pt idx="0">
                  <c:v>0</c:v>
                </c:pt>
                <c:pt idx="1">
                  <c:v>10</c:v>
                </c:pt>
                <c:pt idx="2">
                  <c:v>20</c:v>
                </c:pt>
                <c:pt idx="3">
                  <c:v>40</c:v>
                </c:pt>
                <c:pt idx="4">
                  <c:v>80</c:v>
                </c:pt>
              </c:numCache>
            </c:numRef>
          </c:xVal>
          <c:yVal>
            <c:numRef>
              <c:f>Ruth!$B$101:$B$105</c:f>
              <c:numCache>
                <c:formatCode>General</c:formatCode>
                <c:ptCount val="5"/>
                <c:pt idx="0">
                  <c:v>0.01</c:v>
                </c:pt>
                <c:pt idx="1">
                  <c:v>0.27800000000000002</c:v>
                </c:pt>
                <c:pt idx="2">
                  <c:v>0.311</c:v>
                </c:pt>
                <c:pt idx="3">
                  <c:v>0.38300000000000001</c:v>
                </c:pt>
                <c:pt idx="4">
                  <c:v>0.42199999999999999</c:v>
                </c:pt>
              </c:numCache>
            </c:numRef>
          </c:yVal>
          <c:smooth val="0"/>
          <c:extLst>
            <c:ext xmlns:c16="http://schemas.microsoft.com/office/drawing/2014/chart" uri="{C3380CC4-5D6E-409C-BE32-E72D297353CC}">
              <c16:uniqueId val="{00000000-A810-40EC-9DE2-B36773FCBD0B}"/>
            </c:ext>
          </c:extLst>
        </c:ser>
        <c:ser>
          <c:idx val="1"/>
          <c:order val="1"/>
          <c:tx>
            <c:strRef>
              <c:f>Ruth!$C$100</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Ruth!$A$101:$A$105</c:f>
              <c:numCache>
                <c:formatCode>General</c:formatCode>
                <c:ptCount val="5"/>
                <c:pt idx="0">
                  <c:v>0</c:v>
                </c:pt>
                <c:pt idx="1">
                  <c:v>10</c:v>
                </c:pt>
                <c:pt idx="2">
                  <c:v>20</c:v>
                </c:pt>
                <c:pt idx="3">
                  <c:v>40</c:v>
                </c:pt>
                <c:pt idx="4">
                  <c:v>80</c:v>
                </c:pt>
              </c:numCache>
            </c:numRef>
          </c:xVal>
          <c:yVal>
            <c:numRef>
              <c:f>Ruth!$C$101:$C$105</c:f>
              <c:numCache>
                <c:formatCode>General</c:formatCode>
                <c:ptCount val="5"/>
                <c:pt idx="0">
                  <c:v>0.01</c:v>
                </c:pt>
                <c:pt idx="1">
                  <c:v>8.4000000000000005E-2</c:v>
                </c:pt>
                <c:pt idx="2">
                  <c:v>9.7000000000000003E-2</c:v>
                </c:pt>
                <c:pt idx="3">
                  <c:v>0.108</c:v>
                </c:pt>
                <c:pt idx="4">
                  <c:v>0.111</c:v>
                </c:pt>
              </c:numCache>
            </c:numRef>
          </c:yVal>
          <c:smooth val="0"/>
          <c:extLst>
            <c:ext xmlns:c16="http://schemas.microsoft.com/office/drawing/2014/chart" uri="{C3380CC4-5D6E-409C-BE32-E72D297353CC}">
              <c16:uniqueId val="{00000001-A810-40EC-9DE2-B36773FCBD0B}"/>
            </c:ext>
          </c:extLst>
        </c:ser>
        <c:ser>
          <c:idx val="2"/>
          <c:order val="2"/>
          <c:tx>
            <c:strRef>
              <c:f>Ruth!$D$100</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Ruth!$A$101:$A$105</c:f>
              <c:numCache>
                <c:formatCode>General</c:formatCode>
                <c:ptCount val="5"/>
                <c:pt idx="0">
                  <c:v>0</c:v>
                </c:pt>
                <c:pt idx="1">
                  <c:v>10</c:v>
                </c:pt>
                <c:pt idx="2">
                  <c:v>20</c:v>
                </c:pt>
                <c:pt idx="3">
                  <c:v>40</c:v>
                </c:pt>
                <c:pt idx="4">
                  <c:v>80</c:v>
                </c:pt>
              </c:numCache>
            </c:numRef>
          </c:xVal>
          <c:yVal>
            <c:numRef>
              <c:f>Ruth!$D$101:$D$105</c:f>
              <c:numCache>
                <c:formatCode>General</c:formatCode>
                <c:ptCount val="5"/>
              </c:numCache>
            </c:numRef>
          </c:yVal>
          <c:smooth val="0"/>
          <c:extLst>
            <c:ext xmlns:c16="http://schemas.microsoft.com/office/drawing/2014/chart" uri="{C3380CC4-5D6E-409C-BE32-E72D297353CC}">
              <c16:uniqueId val="{00000002-A810-40EC-9DE2-B36773FCBD0B}"/>
            </c:ext>
          </c:extLst>
        </c:ser>
        <c:dLbls>
          <c:showLegendKey val="0"/>
          <c:showVal val="0"/>
          <c:showCatName val="0"/>
          <c:showSerName val="0"/>
          <c:showPercent val="0"/>
          <c:showBubbleSize val="0"/>
        </c:dLbls>
        <c:axId val="991788352"/>
        <c:axId val="991790752"/>
      </c:scatterChart>
      <c:valAx>
        <c:axId val="991788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9509601924759408"/>
              <c:y val="0.8838881598133566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90752"/>
        <c:crosses val="autoZero"/>
        <c:crossBetween val="midCat"/>
      </c:valAx>
      <c:valAx>
        <c:axId val="991790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Absorbance</a:t>
                </a:r>
              </a:p>
            </c:rich>
          </c:tx>
          <c:layout>
            <c:manualLayout>
              <c:xMode val="edge"/>
              <c:yMode val="edge"/>
              <c:x val="1.3888888888888888E-2"/>
              <c:y val="0.3243208661417322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88352"/>
        <c:crosses val="autoZero"/>
        <c:crossBetween val="midCat"/>
      </c:valAx>
      <c:spPr>
        <a:noFill/>
        <a:ln w="25400">
          <a:noFill/>
        </a:ln>
        <a:effectLst/>
      </c:spPr>
    </c:plotArea>
    <c:legend>
      <c:legendPos val="b"/>
      <c:legendEntry>
        <c:idx val="2"/>
        <c:delete val="1"/>
      </c:legendEntry>
      <c:layout>
        <c:manualLayout>
          <c:xMode val="edge"/>
          <c:yMode val="edge"/>
          <c:x val="0.57236636045494316"/>
          <c:y val="4.687445319335079E-2"/>
          <c:w val="0.41061992434337258"/>
          <c:h val="6.46905375360190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RPA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39378055456124"/>
          <c:y val="0.13778832575505526"/>
          <c:w val="0.8327340873111857"/>
          <c:h val="0.65596941686637"/>
        </c:manualLayout>
      </c:layout>
      <c:scatterChart>
        <c:scatterStyle val="lineMarker"/>
        <c:varyColors val="0"/>
        <c:ser>
          <c:idx val="0"/>
          <c:order val="0"/>
          <c:tx>
            <c:strRef>
              <c:f>Ruth!$B$82</c:f>
              <c:strCache>
                <c:ptCount val="1"/>
                <c:pt idx="0">
                  <c:v>% Inhibition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Ruth!$A$83:$A$87</c:f>
              <c:numCache>
                <c:formatCode>General</c:formatCode>
                <c:ptCount val="5"/>
                <c:pt idx="0">
                  <c:v>0</c:v>
                </c:pt>
                <c:pt idx="1">
                  <c:v>10</c:v>
                </c:pt>
                <c:pt idx="2">
                  <c:v>20</c:v>
                </c:pt>
                <c:pt idx="3">
                  <c:v>40</c:v>
                </c:pt>
                <c:pt idx="4">
                  <c:v>80</c:v>
                </c:pt>
              </c:numCache>
            </c:numRef>
          </c:xVal>
          <c:yVal>
            <c:numRef>
              <c:f>Ruth!$B$83:$B$87</c:f>
              <c:numCache>
                <c:formatCode>General</c:formatCode>
                <c:ptCount val="5"/>
                <c:pt idx="0">
                  <c:v>1E-3</c:v>
                </c:pt>
                <c:pt idx="1">
                  <c:v>39.369999999999997</c:v>
                </c:pt>
                <c:pt idx="2">
                  <c:v>41.14</c:v>
                </c:pt>
                <c:pt idx="3">
                  <c:v>40.96</c:v>
                </c:pt>
                <c:pt idx="4">
                  <c:v>42.73</c:v>
                </c:pt>
              </c:numCache>
            </c:numRef>
          </c:yVal>
          <c:smooth val="0"/>
          <c:extLst>
            <c:ext xmlns:c16="http://schemas.microsoft.com/office/drawing/2014/chart" uri="{C3380CC4-5D6E-409C-BE32-E72D297353CC}">
              <c16:uniqueId val="{00000000-83DB-4219-8D96-A5CA569827D7}"/>
            </c:ext>
          </c:extLst>
        </c:ser>
        <c:ser>
          <c:idx val="1"/>
          <c:order val="1"/>
          <c:tx>
            <c:strRef>
              <c:f>Ruth!$C$82</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Ruth!$A$83:$A$87</c:f>
              <c:numCache>
                <c:formatCode>General</c:formatCode>
                <c:ptCount val="5"/>
                <c:pt idx="0">
                  <c:v>0</c:v>
                </c:pt>
                <c:pt idx="1">
                  <c:v>10</c:v>
                </c:pt>
                <c:pt idx="2">
                  <c:v>20</c:v>
                </c:pt>
                <c:pt idx="3">
                  <c:v>40</c:v>
                </c:pt>
                <c:pt idx="4">
                  <c:v>80</c:v>
                </c:pt>
              </c:numCache>
            </c:numRef>
          </c:xVal>
          <c:yVal>
            <c:numRef>
              <c:f>Ruth!$C$83:$C$87</c:f>
              <c:numCache>
                <c:formatCode>General</c:formatCode>
                <c:ptCount val="5"/>
              </c:numCache>
            </c:numRef>
          </c:yVal>
          <c:smooth val="0"/>
          <c:extLst>
            <c:ext xmlns:c16="http://schemas.microsoft.com/office/drawing/2014/chart" uri="{C3380CC4-5D6E-409C-BE32-E72D297353CC}">
              <c16:uniqueId val="{00000001-83DB-4219-8D96-A5CA569827D7}"/>
            </c:ext>
          </c:extLst>
        </c:ser>
        <c:ser>
          <c:idx val="2"/>
          <c:order val="2"/>
          <c:tx>
            <c:strRef>
              <c:f>Ruth!$D$82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Ruth!$A$83:$A$87</c:f>
              <c:numCache>
                <c:formatCode>General</c:formatCode>
                <c:ptCount val="5"/>
                <c:pt idx="0">
                  <c:v>0</c:v>
                </c:pt>
                <c:pt idx="1">
                  <c:v>10</c:v>
                </c:pt>
                <c:pt idx="2">
                  <c:v>20</c:v>
                </c:pt>
                <c:pt idx="3">
                  <c:v>40</c:v>
                </c:pt>
                <c:pt idx="4">
                  <c:v>80</c:v>
                </c:pt>
              </c:numCache>
            </c:numRef>
          </c:xVal>
          <c:yVal>
            <c:numRef>
              <c:f>Ruth!$D$83:$D$87</c:f>
              <c:numCache>
                <c:formatCode>General</c:formatCode>
                <c:ptCount val="5"/>
              </c:numCache>
            </c:numRef>
          </c:yVal>
          <c:smooth val="0"/>
          <c:extLst>
            <c:ext xmlns:c16="http://schemas.microsoft.com/office/drawing/2014/chart" uri="{C3380CC4-5D6E-409C-BE32-E72D297353CC}">
              <c16:uniqueId val="{00000002-83DB-4219-8D96-A5CA569827D7}"/>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NO</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470603674540683"/>
          <c:y val="0.16108577633007601"/>
          <c:w val="0.82473840769903761"/>
          <c:h val="0.65998512400933596"/>
        </c:manualLayout>
      </c:layout>
      <c:barChart>
        <c:barDir val="col"/>
        <c:grouping val="clustered"/>
        <c:varyColors val="0"/>
        <c:ser>
          <c:idx val="0"/>
          <c:order val="0"/>
          <c:tx>
            <c:strRef>
              <c:f>'Winnie (2)'!$C$3</c:f>
              <c:strCache>
                <c:ptCount val="1"/>
                <c:pt idx="0">
                  <c:v>Garlic</c:v>
                </c:pt>
              </c:strCache>
            </c:strRef>
          </c:tx>
          <c:spPr>
            <a:solidFill>
              <a:schemeClr val="accent1"/>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(2)'!$C$4:$C$9</c:f>
              <c:numCache>
                <c:formatCode>General</c:formatCode>
                <c:ptCount val="6"/>
                <c:pt idx="0">
                  <c:v>0.1075</c:v>
                </c:pt>
                <c:pt idx="1">
                  <c:v>0.17399999999999999</c:v>
                </c:pt>
                <c:pt idx="2">
                  <c:v>0.24049999999999999</c:v>
                </c:pt>
                <c:pt idx="3">
                  <c:v>0.29849999999999999</c:v>
                </c:pt>
              </c:numCache>
            </c:numRef>
          </c:val>
          <c:extLst>
            <c:ext xmlns:c16="http://schemas.microsoft.com/office/drawing/2014/chart" uri="{C3380CC4-5D6E-409C-BE32-E72D297353CC}">
              <c16:uniqueId val="{00000000-EB57-4A03-AEFD-1F6E0DD9A32D}"/>
            </c:ext>
          </c:extLst>
        </c:ser>
        <c:ser>
          <c:idx val="1"/>
          <c:order val="1"/>
          <c:tx>
            <c:strRef>
              <c:f>'Winnie (2)'!$D$3</c:f>
              <c:strCache>
                <c:ptCount val="1"/>
                <c:pt idx="0">
                  <c:v>P. crassippes</c:v>
                </c:pt>
              </c:strCache>
            </c:strRef>
          </c:tx>
          <c:spPr>
            <a:solidFill>
              <a:schemeClr val="accent2"/>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(2)'!$D$4:$D$9</c:f>
              <c:numCache>
                <c:formatCode>General</c:formatCode>
                <c:ptCount val="6"/>
                <c:pt idx="1">
                  <c:v>0.13600000000000001</c:v>
                </c:pt>
                <c:pt idx="3">
                  <c:v>0.152</c:v>
                </c:pt>
                <c:pt idx="4">
                  <c:v>0.17</c:v>
                </c:pt>
                <c:pt idx="5">
                  <c:v>0.17549999999999999</c:v>
                </c:pt>
              </c:numCache>
            </c:numRef>
          </c:val>
          <c:extLst>
            <c:ext xmlns:c16="http://schemas.microsoft.com/office/drawing/2014/chart" uri="{C3380CC4-5D6E-409C-BE32-E72D297353CC}">
              <c16:uniqueId val="{00000001-EB57-4A03-AEFD-1F6E0DD9A32D}"/>
            </c:ext>
          </c:extLst>
        </c:ser>
        <c:dLbls>
          <c:showLegendKey val="0"/>
          <c:showVal val="0"/>
          <c:showCatName val="0"/>
          <c:showSerName val="0"/>
          <c:showPercent val="0"/>
          <c:showBubbleSize val="0"/>
        </c:dLbls>
        <c:gapWidth val="219"/>
        <c:overlap val="-27"/>
        <c:axId val="991781152"/>
        <c:axId val="991788832"/>
      </c:barChart>
      <c:catAx>
        <c:axId val="991781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Concentration (mg/ml)</a:t>
                </a:r>
              </a:p>
            </c:rich>
          </c:tx>
          <c:layout>
            <c:manualLayout>
              <c:xMode val="edge"/>
              <c:yMode val="edge"/>
              <c:x val="0.37220713035870523"/>
              <c:y val="0.8954173399334854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8832"/>
        <c:crosses val="autoZero"/>
        <c:auto val="1"/>
        <c:lblAlgn val="ctr"/>
        <c:lblOffset val="100"/>
        <c:noMultiLvlLbl val="0"/>
      </c:catAx>
      <c:valAx>
        <c:axId val="9917888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Absorbance</a:t>
                </a:r>
              </a:p>
            </c:rich>
          </c:tx>
          <c:layout>
            <c:manualLayout>
              <c:xMode val="edge"/>
              <c:yMode val="edge"/>
              <c:x val="8.3333333333333332E-3"/>
              <c:y val="0.317820923850316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1152"/>
        <c:crosses val="autoZero"/>
        <c:crossBetween val="between"/>
      </c:valAx>
      <c:spPr>
        <a:noFill/>
        <a:ln>
          <a:noFill/>
        </a:ln>
        <a:effectLst/>
      </c:spPr>
    </c:plotArea>
    <c:legend>
      <c:legendPos val="b"/>
      <c:layout>
        <c:manualLayout>
          <c:xMode val="edge"/>
          <c:yMode val="edge"/>
          <c:x val="0.56868066491688551"/>
          <c:y val="2.1223080014021047E-2"/>
          <c:w val="0.39612751531058615"/>
          <c:h val="7.329041524532561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542F2-3EC0-4DA8-A349-F4A6A859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19</Pages>
  <Words>7968</Words>
  <Characters>45421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TayeGeorge</cp:lastModifiedBy>
  <cp:revision>18</cp:revision>
  <cp:lastPrinted>1999-07-06T11:00:00Z</cp:lastPrinted>
  <dcterms:created xsi:type="dcterms:W3CDTF">2026-02-16T22:47:00Z</dcterms:created>
  <dcterms:modified xsi:type="dcterms:W3CDTF">2026-02-20T08:58:00Z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e7f903-1de7-4802-b372-71d725d6e445_Enabled">
    <vt:lpwstr>true</vt:lpwstr>
  </property>
  <property fmtid="{D5CDD505-2E9C-101B-9397-08002B2CF9AE}" pid="3" name="MSIP_Label_00e7f903-1de7-4802-b372-71d725d6e445_SetDate">
    <vt:lpwstr>2026-02-16T19:44:37Z</vt:lpwstr>
  </property>
  <property fmtid="{D5CDD505-2E9C-101B-9397-08002B2CF9AE}" pid="4" name="MSIP_Label_00e7f903-1de7-4802-b372-71d725d6e445_Method">
    <vt:lpwstr>Standard</vt:lpwstr>
  </property>
  <property fmtid="{D5CDD505-2E9C-101B-9397-08002B2CF9AE}" pid="5" name="MSIP_Label_00e7f903-1de7-4802-b372-71d725d6e445_Name">
    <vt:lpwstr>New Confidential</vt:lpwstr>
  </property>
  <property fmtid="{D5CDD505-2E9C-101B-9397-08002B2CF9AE}" pid="6" name="MSIP_Label_00e7f903-1de7-4802-b372-71d725d6e445_SiteId">
    <vt:lpwstr>d584a4b7-b1f2-4714-a578-fd4d43c146a6</vt:lpwstr>
  </property>
  <property fmtid="{D5CDD505-2E9C-101B-9397-08002B2CF9AE}" pid="7" name="MSIP_Label_00e7f903-1de7-4802-b372-71d725d6e445_ActionId">
    <vt:lpwstr>a2667685-9060-4469-a735-c25211378b97</vt:lpwstr>
  </property>
  <property fmtid="{D5CDD505-2E9C-101B-9397-08002B2CF9AE}" pid="8" name="MSIP_Label_00e7f903-1de7-4802-b372-71d725d6e445_ContentBits">
    <vt:lpwstr>2</vt:lpwstr>
  </property>
  <property fmtid="{D5CDD505-2E9C-101B-9397-08002B2CF9AE}" pid="9" name="MSIP_Label_00e7f903-1de7-4802-b372-71d725d6e445_Tag">
    <vt:lpwstr>10, 3, 0, 1</vt:lpwstr>
  </property>
</Properties>
</file>