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FA2DA" w14:textId="77777777" w:rsidR="00B913F1" w:rsidRDefault="00B913F1" w:rsidP="00B510D5">
      <w:pPr>
        <w:rPr>
          <w:rFonts w:ascii="Times New Roman" w:hAnsi="Times New Roman" w:cs="Times New Roman"/>
          <w:b/>
          <w:sz w:val="24"/>
          <w:szCs w:val="24"/>
        </w:rPr>
      </w:pPr>
      <w:r w:rsidRPr="00B913F1">
        <w:rPr>
          <w:rFonts w:ascii="Times New Roman" w:hAnsi="Times New Roman" w:cs="Times New Roman"/>
          <w:b/>
          <w:sz w:val="24"/>
          <w:szCs w:val="24"/>
        </w:rPr>
        <w:t>Syenitic magmatism and crust–mantle interaction during late Pan-African tectonism in southwestern Nigeria</w:t>
      </w:r>
    </w:p>
    <w:p w14:paraId="72E74674" w14:textId="77777777" w:rsidR="00B510D5" w:rsidRDefault="00B510D5" w:rsidP="00022754">
      <w:pPr>
        <w:rPr>
          <w:rFonts w:ascii="Times New Roman" w:hAnsi="Times New Roman" w:cs="Times New Roman"/>
          <w:sz w:val="24"/>
          <w:szCs w:val="24"/>
        </w:rPr>
      </w:pPr>
    </w:p>
    <w:p w14:paraId="2D86D85D" w14:textId="77777777" w:rsidR="00C81275" w:rsidRPr="00EB6452" w:rsidRDefault="00C81275" w:rsidP="00022754">
      <w:pPr>
        <w:rPr>
          <w:rFonts w:ascii="Times New Roman" w:hAnsi="Times New Roman" w:cs="Times New Roman"/>
          <w:sz w:val="24"/>
          <w:szCs w:val="24"/>
        </w:rPr>
      </w:pPr>
    </w:p>
    <w:p w14:paraId="29273197" w14:textId="77777777" w:rsidR="00022754" w:rsidRPr="00EB6452" w:rsidRDefault="00022754" w:rsidP="00022754">
      <w:pPr>
        <w:rPr>
          <w:rFonts w:ascii="Times New Roman" w:hAnsi="Times New Roman" w:cs="Times New Roman"/>
          <w:b/>
          <w:sz w:val="24"/>
          <w:szCs w:val="24"/>
        </w:rPr>
      </w:pPr>
      <w:r w:rsidRPr="00EB6452">
        <w:rPr>
          <w:rFonts w:ascii="Times New Roman" w:hAnsi="Times New Roman" w:cs="Times New Roman"/>
          <w:b/>
          <w:sz w:val="24"/>
          <w:szCs w:val="24"/>
        </w:rPr>
        <w:t>Abstract</w:t>
      </w:r>
    </w:p>
    <w:p w14:paraId="5FA64479" w14:textId="77777777" w:rsidR="004C1B6D" w:rsidRPr="004C1B6D" w:rsidRDefault="004C1B6D" w:rsidP="004C1B6D">
      <w:pPr>
        <w:rPr>
          <w:rFonts w:ascii="Times New Roman" w:hAnsi="Times New Roman" w:cs="Times New Roman"/>
          <w:sz w:val="24"/>
          <w:szCs w:val="24"/>
        </w:rPr>
      </w:pPr>
      <w:r w:rsidRPr="004C1B6D">
        <w:rPr>
          <w:rFonts w:ascii="Times New Roman" w:hAnsi="Times New Roman" w:cs="Times New Roman"/>
          <w:sz w:val="24"/>
          <w:szCs w:val="24"/>
        </w:rPr>
        <w:t>Syenitic intrusions within the Igarra Schist Belt of southwestern Nigeria constitute an important yet understudied component of late Pan-African magmatism in the Nigerian Basement Complex. This study integrates petrographic observations with whole-rock major, trace, and rare earth element (REE) geochemistry to constrain the petrogenesis and tectonic significance of these syenites. Petrographic data indicate crystallization from an alkali-rich, moderately evolved magma dominated by alkali feldspar, with subordinate plagioclase and mafic phases, consistent with metaluminous, high-K compositions. Major-element geochemistry supports emplacement at shallow to mid-crustal levels during the waning stages of regional deformation.</w:t>
      </w:r>
    </w:p>
    <w:p w14:paraId="089DAEE7" w14:textId="77777777" w:rsidR="004C1B6D" w:rsidRPr="004C1B6D" w:rsidRDefault="004C1B6D" w:rsidP="004C1B6D">
      <w:pPr>
        <w:rPr>
          <w:rFonts w:ascii="Times New Roman" w:hAnsi="Times New Roman" w:cs="Times New Roman"/>
          <w:sz w:val="24"/>
          <w:szCs w:val="24"/>
        </w:rPr>
      </w:pPr>
      <w:r w:rsidRPr="004C1B6D">
        <w:rPr>
          <w:rFonts w:ascii="Times New Roman" w:hAnsi="Times New Roman" w:cs="Times New Roman"/>
          <w:sz w:val="24"/>
          <w:szCs w:val="24"/>
        </w:rPr>
        <w:t>Trace-element characteristics and tectonic discrimination diagrams indicate a transitional syn- to post-collisional magmatic affinity. Chondrite-normalized REE patterns are strongly fractionated, showing pronounced light REE enrichment relative to heavy REE and coherent inter-sample trends. The subdued heavy REE segment and absence of a significant Eu anomaly suggest partial melting of an enriched lithospheric mantle source at relatively shallow depths, with limited residual garnet and minimal pre-emplacement feldspar fractionation. These features point to magma generation during lithospheric relaxation and crust–mantle interaction following continental collision.</w:t>
      </w:r>
    </w:p>
    <w:p w14:paraId="244B7856" w14:textId="77777777" w:rsidR="004C1B6D" w:rsidRPr="004C1B6D" w:rsidRDefault="004C1B6D" w:rsidP="004C1B6D">
      <w:pPr>
        <w:rPr>
          <w:rFonts w:ascii="Times New Roman" w:hAnsi="Times New Roman" w:cs="Times New Roman"/>
          <w:sz w:val="24"/>
          <w:szCs w:val="24"/>
        </w:rPr>
      </w:pPr>
      <w:r w:rsidRPr="004C1B6D">
        <w:rPr>
          <w:rFonts w:ascii="Times New Roman" w:hAnsi="Times New Roman" w:cs="Times New Roman"/>
          <w:sz w:val="24"/>
          <w:szCs w:val="24"/>
        </w:rPr>
        <w:t>The results indicate that the Igarra syenites record late-orogenic syenitic magmatism linked to Pan-African tectonic reorganization in southwestern Nigeria. This study highlights the role of enriched mantle inputs in generating syenitic magmas during orogenic collapse and contributes to a broader understanding of crust–mantle processes associated with the terminal stages of the Pan-African orogeny.</w:t>
      </w:r>
    </w:p>
    <w:p w14:paraId="7E54395B" w14:textId="77777777" w:rsidR="00C7212A" w:rsidRPr="00EB6452" w:rsidRDefault="00BB74D8" w:rsidP="00BB74D8">
      <w:pPr>
        <w:rPr>
          <w:rFonts w:ascii="Times New Roman" w:hAnsi="Times New Roman" w:cs="Times New Roman"/>
          <w:i/>
          <w:sz w:val="24"/>
          <w:szCs w:val="24"/>
        </w:rPr>
      </w:pPr>
      <w:r w:rsidRPr="00EB6452">
        <w:rPr>
          <w:rFonts w:ascii="Times New Roman" w:hAnsi="Times New Roman" w:cs="Times New Roman"/>
          <w:b/>
          <w:i/>
          <w:sz w:val="24"/>
          <w:szCs w:val="24"/>
        </w:rPr>
        <w:t>Keywords</w:t>
      </w:r>
      <w:r w:rsidRPr="00EB6452">
        <w:rPr>
          <w:rFonts w:ascii="Times New Roman" w:hAnsi="Times New Roman" w:cs="Times New Roman"/>
          <w:i/>
          <w:sz w:val="24"/>
          <w:szCs w:val="24"/>
        </w:rPr>
        <w:t>: Syenite; Petrography; Whole-rock geochemistry; Pan-African orogeny; Igarra Schist Belt; Nigerian Basement Complex; Tectonic setting; Magmatic differentiation</w:t>
      </w:r>
    </w:p>
    <w:p w14:paraId="00294828" w14:textId="77777777" w:rsidR="003579FF" w:rsidRPr="00EB6452" w:rsidRDefault="003579FF" w:rsidP="00C7212A">
      <w:pPr>
        <w:rPr>
          <w:rFonts w:ascii="Times New Roman" w:hAnsi="Times New Roman" w:cs="Times New Roman"/>
          <w:sz w:val="24"/>
          <w:szCs w:val="24"/>
        </w:rPr>
      </w:pPr>
    </w:p>
    <w:p w14:paraId="4AC1CFD1"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1. </w:t>
      </w:r>
      <w:r w:rsidRPr="00EB6452">
        <w:rPr>
          <w:rFonts w:ascii="Times New Roman" w:hAnsi="Times New Roman" w:cs="Times New Roman"/>
          <w:b/>
          <w:sz w:val="24"/>
          <w:szCs w:val="24"/>
        </w:rPr>
        <w:t>Introduction</w:t>
      </w:r>
    </w:p>
    <w:p w14:paraId="084E61FE"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Syenites are silica-saturated to silica-undersaturated intermediate plutonic rocks dominated by alkali feldspar, with subordinate plagioclase and ferromagnesian minerals, and little or no quartz. They occur in a wide range of tectonomagmatic environments, including continental rifts, post-collisional settings, and volcanic arcs, where they commonly form stocks, batholiths, sills, dykes, and lensoid intrusions within older crustal rocks (</w:t>
      </w:r>
      <w:r w:rsidR="00070E70" w:rsidRPr="00EB6452">
        <w:rPr>
          <w:rFonts w:ascii="Times New Roman" w:hAnsi="Times New Roman" w:cs="Times New Roman"/>
          <w:color w:val="222222"/>
          <w:sz w:val="24"/>
          <w:szCs w:val="24"/>
          <w:shd w:val="clear" w:color="auto" w:fill="FFFFFF"/>
        </w:rPr>
        <w:t>Brooks</w:t>
      </w:r>
      <w:r w:rsidR="00070E70" w:rsidRPr="00EB6452">
        <w:rPr>
          <w:rFonts w:ascii="Times New Roman" w:hAnsi="Times New Roman" w:cs="Times New Roman"/>
          <w:sz w:val="24"/>
          <w:szCs w:val="24"/>
        </w:rPr>
        <w:t xml:space="preserve">, 2024; </w:t>
      </w:r>
      <w:r w:rsidR="00070E70" w:rsidRPr="00EB6452">
        <w:rPr>
          <w:rFonts w:ascii="Times New Roman" w:hAnsi="Times New Roman" w:cs="Times New Roman"/>
          <w:color w:val="222222"/>
          <w:sz w:val="24"/>
          <w:szCs w:val="24"/>
          <w:shd w:val="clear" w:color="auto" w:fill="FFFFFF"/>
        </w:rPr>
        <w:t>Bolhar et al., 2025</w:t>
      </w:r>
      <w:r w:rsidRPr="00EB6452">
        <w:rPr>
          <w:rFonts w:ascii="Times New Roman" w:hAnsi="Times New Roman" w:cs="Times New Roman"/>
          <w:sz w:val="24"/>
          <w:szCs w:val="24"/>
        </w:rPr>
        <w:t>). Texturally, syenites vary from fine- to coarse-grained, porphyritic, and locally pegmatitic, reflecting differences in emplacement depth, magma evolution, and cooling history</w:t>
      </w:r>
      <w:r w:rsidR="003A516D" w:rsidRPr="00EB6452">
        <w:rPr>
          <w:rFonts w:ascii="Times New Roman" w:hAnsi="Times New Roman" w:cs="Times New Roman"/>
          <w:sz w:val="24"/>
          <w:szCs w:val="24"/>
        </w:rPr>
        <w:t xml:space="preserve"> (</w:t>
      </w:r>
      <w:r w:rsidR="00070E70" w:rsidRPr="00EB6452">
        <w:rPr>
          <w:rFonts w:ascii="Times New Roman" w:hAnsi="Times New Roman" w:cs="Times New Roman"/>
          <w:sz w:val="24"/>
          <w:szCs w:val="24"/>
        </w:rPr>
        <w:t>Wang et al., 2021</w:t>
      </w:r>
      <w:r w:rsidR="003A516D" w:rsidRPr="00EB6452">
        <w:rPr>
          <w:rFonts w:ascii="Times New Roman" w:hAnsi="Times New Roman" w:cs="Times New Roman"/>
          <w:sz w:val="24"/>
          <w:szCs w:val="24"/>
        </w:rPr>
        <w:t>)</w:t>
      </w:r>
      <w:r w:rsidRPr="00EB6452">
        <w:rPr>
          <w:rFonts w:ascii="Times New Roman" w:hAnsi="Times New Roman" w:cs="Times New Roman"/>
          <w:sz w:val="24"/>
          <w:szCs w:val="24"/>
        </w:rPr>
        <w:t>.</w:t>
      </w:r>
    </w:p>
    <w:p w14:paraId="4211FFB3"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Beyond their petrogenetic significance, syenitic rocks are increasingly recognized for their economic and metallogenic importance. Syenite complexes worldwide host a variety of mineral commodit</w:t>
      </w:r>
      <w:r w:rsidR="00070E70" w:rsidRPr="00EB6452">
        <w:rPr>
          <w:rFonts w:ascii="Times New Roman" w:hAnsi="Times New Roman" w:cs="Times New Roman"/>
          <w:sz w:val="24"/>
          <w:szCs w:val="24"/>
        </w:rPr>
        <w:t>ies, including gemstones (</w:t>
      </w:r>
      <w:r w:rsidRPr="00EB6452">
        <w:rPr>
          <w:rFonts w:ascii="Times New Roman" w:hAnsi="Times New Roman" w:cs="Times New Roman"/>
          <w:sz w:val="24"/>
          <w:szCs w:val="24"/>
        </w:rPr>
        <w:t>sapphire-bearing syenites in Slovakia and Russia</w:t>
      </w:r>
      <w:r w:rsidR="00070E70" w:rsidRPr="00EB6452">
        <w:rPr>
          <w:rFonts w:ascii="Times New Roman" w:hAnsi="Times New Roman" w:cs="Times New Roman"/>
          <w:sz w:val="24"/>
          <w:szCs w:val="24"/>
        </w:rPr>
        <w:t xml:space="preserve"> (Sorokina et al., 2021)</w:t>
      </w:r>
      <w:r w:rsidRPr="00EB6452">
        <w:rPr>
          <w:rFonts w:ascii="Times New Roman" w:hAnsi="Times New Roman" w:cs="Times New Roman"/>
          <w:sz w:val="24"/>
          <w:szCs w:val="24"/>
        </w:rPr>
        <w:t>), precious metals</w:t>
      </w:r>
      <w:r w:rsidR="00070E70" w:rsidRPr="00EB6452">
        <w:rPr>
          <w:rFonts w:ascii="Times New Roman" w:hAnsi="Times New Roman" w:cs="Times New Roman"/>
          <w:sz w:val="24"/>
          <w:szCs w:val="24"/>
        </w:rPr>
        <w:t xml:space="preserve"> (</w:t>
      </w:r>
      <w:r w:rsidRPr="00EB6452">
        <w:rPr>
          <w:rFonts w:ascii="Times New Roman" w:hAnsi="Times New Roman" w:cs="Times New Roman"/>
          <w:sz w:val="24"/>
          <w:szCs w:val="24"/>
        </w:rPr>
        <w:t>syenite-hosted gold deposits in Canada</w:t>
      </w:r>
      <w:r w:rsidR="00070E70" w:rsidRPr="00EB6452">
        <w:rPr>
          <w:rFonts w:ascii="Times New Roman" w:hAnsi="Times New Roman" w:cs="Times New Roman"/>
          <w:sz w:val="24"/>
          <w:szCs w:val="24"/>
        </w:rPr>
        <w:t xml:space="preserve"> (</w:t>
      </w:r>
      <w:r w:rsidR="00070E70" w:rsidRPr="00EB6452">
        <w:rPr>
          <w:rFonts w:ascii="Times New Roman" w:hAnsi="Times New Roman" w:cs="Times New Roman"/>
          <w:color w:val="222222"/>
          <w:sz w:val="24"/>
          <w:szCs w:val="24"/>
          <w:shd w:val="clear" w:color="auto" w:fill="FFFFFF"/>
        </w:rPr>
        <w:t>Mathieu et al., 2025, Dubé, &amp; Mercier-Langevin, 2020</w:t>
      </w:r>
      <w:r w:rsidRPr="00EB6452">
        <w:rPr>
          <w:rFonts w:ascii="Times New Roman" w:hAnsi="Times New Roman" w:cs="Times New Roman"/>
          <w:sz w:val="24"/>
          <w:szCs w:val="24"/>
        </w:rPr>
        <w:t xml:space="preserve">), uranium-thorium-rare earth element (U–Th–REE) mineralization in agpaitic nepheline syenites, and bauxite derived from syenitic </w:t>
      </w:r>
      <w:r w:rsidR="00A64A3B" w:rsidRPr="00EB6452">
        <w:rPr>
          <w:rFonts w:ascii="Times New Roman" w:hAnsi="Times New Roman" w:cs="Times New Roman"/>
          <w:sz w:val="24"/>
          <w:szCs w:val="24"/>
        </w:rPr>
        <w:t>protoliths (</w:t>
      </w:r>
      <w:r w:rsidR="00070E70" w:rsidRPr="00EB6452">
        <w:rPr>
          <w:rFonts w:ascii="Times New Roman" w:hAnsi="Times New Roman" w:cs="Times New Roman"/>
          <w:color w:val="222222"/>
          <w:sz w:val="24"/>
          <w:szCs w:val="24"/>
          <w:shd w:val="clear" w:color="auto" w:fill="FFFFFF"/>
        </w:rPr>
        <w:t>Damdinov et al., 2022; S</w:t>
      </w:r>
      <w:r w:rsidRPr="00EB6452">
        <w:rPr>
          <w:rFonts w:ascii="Times New Roman" w:hAnsi="Times New Roman" w:cs="Times New Roman"/>
          <w:sz w:val="24"/>
          <w:szCs w:val="24"/>
        </w:rPr>
        <w:t>orokina et al., 20</w:t>
      </w:r>
      <w:r w:rsidR="00A64A3B" w:rsidRPr="00EB6452">
        <w:rPr>
          <w:rFonts w:ascii="Times New Roman" w:hAnsi="Times New Roman" w:cs="Times New Roman"/>
          <w:sz w:val="24"/>
          <w:szCs w:val="24"/>
        </w:rPr>
        <w:t>2</w:t>
      </w:r>
      <w:r w:rsidRPr="00EB6452">
        <w:rPr>
          <w:rFonts w:ascii="Times New Roman" w:hAnsi="Times New Roman" w:cs="Times New Roman"/>
          <w:sz w:val="24"/>
          <w:szCs w:val="24"/>
        </w:rPr>
        <w:t>1). Consequently, syenites provide valuable insights into crust–mantle interactions, magma differentiation processes, and the metallogenic evolution of continental crust.</w:t>
      </w:r>
    </w:p>
    <w:p w14:paraId="478B593B"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Within the Nigerian Basement Complex, syenitic rocks occur sparingly compared to granites, gneisses, and schists, a distribution pattern that mirrors their global rarity (</w:t>
      </w:r>
      <w:r w:rsidR="00D82C1A" w:rsidRPr="00EB6452">
        <w:rPr>
          <w:rFonts w:ascii="Times New Roman" w:hAnsi="Times New Roman" w:cs="Times New Roman"/>
          <w:sz w:val="24"/>
          <w:szCs w:val="24"/>
        </w:rPr>
        <w:t>Igonor et al., 2023</w:t>
      </w:r>
      <w:r w:rsidRPr="00EB6452">
        <w:rPr>
          <w:rFonts w:ascii="Times New Roman" w:hAnsi="Times New Roman" w:cs="Times New Roman"/>
          <w:sz w:val="24"/>
          <w:szCs w:val="24"/>
        </w:rPr>
        <w:t>; Vorontsov et al., 2021). Nigerian syenites are restricted to two contrasting petrographic and tectonic settings: those associated with the Pan-African Older Granites and those related to the Younger Granite complexes</w:t>
      </w:r>
      <w:r w:rsidR="00D82C1A" w:rsidRPr="00EB6452">
        <w:rPr>
          <w:rFonts w:ascii="Times New Roman" w:hAnsi="Times New Roman" w:cs="Times New Roman"/>
          <w:sz w:val="24"/>
          <w:szCs w:val="24"/>
        </w:rPr>
        <w:t xml:space="preserve"> (</w:t>
      </w:r>
      <w:r w:rsidR="004C37F8" w:rsidRPr="00EB6452">
        <w:rPr>
          <w:rFonts w:ascii="Times New Roman" w:hAnsi="Times New Roman" w:cs="Times New Roman"/>
          <w:sz w:val="24"/>
          <w:szCs w:val="24"/>
        </w:rPr>
        <w:t>Belts et al., 2024</w:t>
      </w:r>
      <w:r w:rsidR="00D82C1A" w:rsidRPr="00EB6452">
        <w:rPr>
          <w:rFonts w:ascii="Times New Roman" w:hAnsi="Times New Roman" w:cs="Times New Roman"/>
          <w:sz w:val="24"/>
          <w:szCs w:val="24"/>
        </w:rPr>
        <w:t>)</w:t>
      </w:r>
      <w:r w:rsidRPr="00EB6452">
        <w:rPr>
          <w:rFonts w:ascii="Times New Roman" w:hAnsi="Times New Roman" w:cs="Times New Roman"/>
          <w:sz w:val="24"/>
          <w:szCs w:val="24"/>
        </w:rPr>
        <w:t>. The Older Granite–related syenites are typically enriched in CaO, MgO, and K₂O, with K₂O commonly exceeding Na₂O, whereas syenites of the Younger Granite province display broader compositional variability and Na₂O/K₂O ratios approaching unity (</w:t>
      </w:r>
      <w:r w:rsidR="004C37F8" w:rsidRPr="00EB6452">
        <w:rPr>
          <w:rFonts w:ascii="Times New Roman" w:hAnsi="Times New Roman" w:cs="Times New Roman"/>
          <w:color w:val="222222"/>
          <w:sz w:val="24"/>
          <w:szCs w:val="24"/>
          <w:shd w:val="clear" w:color="auto" w:fill="FFFFFF"/>
        </w:rPr>
        <w:t>Province et al., 2024</w:t>
      </w:r>
      <w:r w:rsidRPr="00EB6452">
        <w:rPr>
          <w:rFonts w:ascii="Times New Roman" w:hAnsi="Times New Roman" w:cs="Times New Roman"/>
          <w:sz w:val="24"/>
          <w:szCs w:val="24"/>
        </w:rPr>
        <w:t>). These geochemical contrasts reflect differences in magma sources, degrees of crustal contamination, and tectonic evolution during emplacement.</w:t>
      </w:r>
      <w:r w:rsidR="002008E4" w:rsidRPr="00EB6452">
        <w:rPr>
          <w:rFonts w:ascii="Times New Roman" w:hAnsi="Times New Roman" w:cs="Times New Roman"/>
          <w:sz w:val="24"/>
          <w:szCs w:val="24"/>
        </w:rPr>
        <w:t xml:space="preserve"> (Fig.1)</w:t>
      </w:r>
    </w:p>
    <w:p w14:paraId="47EB1928"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Nigerian Basement Complex forms part of the Pan-African mobile belt, situated between the West African Craton and the Congo Craton, and south of the Tuareg Shield (</w:t>
      </w:r>
      <w:r w:rsidR="004C37F8" w:rsidRPr="00EB6452">
        <w:rPr>
          <w:rFonts w:ascii="Times New Roman" w:hAnsi="Times New Roman" w:cs="Times New Roman"/>
          <w:color w:val="222222"/>
          <w:sz w:val="24"/>
          <w:szCs w:val="24"/>
          <w:shd w:val="clear" w:color="auto" w:fill="FFFFFF"/>
        </w:rPr>
        <w:t>Ominigbo, 2022</w:t>
      </w:r>
      <w:r w:rsidRPr="00EB6452">
        <w:rPr>
          <w:rFonts w:ascii="Times New Roman" w:hAnsi="Times New Roman" w:cs="Times New Roman"/>
          <w:sz w:val="24"/>
          <w:szCs w:val="24"/>
        </w:rPr>
        <w:t>). It records a polycyclic tectonic history involving multiple orogenic episodes, notably the Liberian (~2.7 Ga), Eburnean (~2.0 Ga), Kibaran (~1.1 Ga), and Pan-African (~600 Ma) events (</w:t>
      </w:r>
      <w:r w:rsidR="004C37F8" w:rsidRPr="00EB6452">
        <w:rPr>
          <w:rFonts w:ascii="Times New Roman" w:hAnsi="Times New Roman" w:cs="Times New Roman"/>
          <w:sz w:val="24"/>
          <w:szCs w:val="24"/>
        </w:rPr>
        <w:t xml:space="preserve">Adamu et al., 2024; </w:t>
      </w:r>
      <w:r w:rsidR="004C37F8" w:rsidRPr="00EB6452">
        <w:rPr>
          <w:rFonts w:ascii="Times New Roman" w:hAnsi="Times New Roman" w:cs="Times New Roman"/>
          <w:color w:val="222222"/>
          <w:sz w:val="24"/>
          <w:szCs w:val="24"/>
          <w:shd w:val="clear" w:color="auto" w:fill="FFFFFF"/>
        </w:rPr>
        <w:t>Adeoti, &amp; Okonkwo, 2016,</w:t>
      </w:r>
      <w:r w:rsidRPr="00EB6452">
        <w:rPr>
          <w:rFonts w:ascii="Times New Roman" w:hAnsi="Times New Roman" w:cs="Times New Roman"/>
          <w:sz w:val="24"/>
          <w:szCs w:val="24"/>
        </w:rPr>
        <w:t xml:space="preserve">; </w:t>
      </w:r>
      <w:r w:rsidR="004C37F8" w:rsidRPr="00EB6452">
        <w:rPr>
          <w:rFonts w:ascii="Times New Roman" w:hAnsi="Times New Roman" w:cs="Times New Roman"/>
          <w:sz w:val="24"/>
          <w:szCs w:val="24"/>
        </w:rPr>
        <w:t>Obaje, 2009</w:t>
      </w:r>
      <w:r w:rsidRPr="00EB6452">
        <w:rPr>
          <w:rFonts w:ascii="Times New Roman" w:hAnsi="Times New Roman" w:cs="Times New Roman"/>
          <w:sz w:val="24"/>
          <w:szCs w:val="24"/>
        </w:rPr>
        <w:t>). These events produced a complex assemblage of gneiss-migmatite-quartzite complexes, schist belts, syn- to post-tectonic granitoids, and minor felsic and mafic intrusives. The Pan-African orogeny, in particular, was responsible for extensive crustal reworking, granitization, and emplacement of the Older Granites and associated syenitic bodies.</w:t>
      </w:r>
    </w:p>
    <w:p w14:paraId="2130DC83"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Igarra Schist Belt, located along the southeastern margin of the western Nigerian Basement Complex, represents one of the prominent low- to medium-grade metamorphic belts formed during this tectonic evolution. It comprises pelitic to semi-pelitic schists, marbles, calc-silicate gneisses, quartzites, and polymictic metaconglomerates, intruded by Pan-African granitoids and minor felsic to mafic bodies, including syenites (</w:t>
      </w:r>
      <w:r w:rsidR="004C37F8" w:rsidRPr="00EB6452">
        <w:rPr>
          <w:rFonts w:ascii="Times New Roman" w:hAnsi="Times New Roman" w:cs="Times New Roman"/>
          <w:color w:val="222222"/>
          <w:sz w:val="24"/>
          <w:szCs w:val="24"/>
          <w:shd w:val="clear" w:color="auto" w:fill="FFFFFF"/>
        </w:rPr>
        <w:t>Udı et al., 2023</w:t>
      </w:r>
      <w:r w:rsidRPr="00EB6452">
        <w:rPr>
          <w:rFonts w:ascii="Times New Roman" w:hAnsi="Times New Roman" w:cs="Times New Roman"/>
          <w:sz w:val="24"/>
          <w:szCs w:val="24"/>
        </w:rPr>
        <w:t xml:space="preserve">; </w:t>
      </w:r>
      <w:r w:rsidR="004C37F8" w:rsidRPr="00EB6452">
        <w:rPr>
          <w:rFonts w:ascii="Times New Roman" w:hAnsi="Times New Roman" w:cs="Times New Roman"/>
          <w:sz w:val="24"/>
          <w:szCs w:val="24"/>
        </w:rPr>
        <w:t>Adepoju et al, 2021</w:t>
      </w:r>
      <w:r w:rsidRPr="00EB6452">
        <w:rPr>
          <w:rFonts w:ascii="Times New Roman" w:hAnsi="Times New Roman" w:cs="Times New Roman"/>
          <w:sz w:val="24"/>
          <w:szCs w:val="24"/>
        </w:rPr>
        <w:t>). Structural studies indicate that the belt was affected by at least two major compressional stress regimes during the Pan-African event, with E–W-trending structures being particularly dominant (Udimwen, 2017).</w:t>
      </w:r>
    </w:p>
    <w:p w14:paraId="6A886448" w14:textId="77777777" w:rsidR="002008E4" w:rsidRPr="00EB6452" w:rsidRDefault="002008E4" w:rsidP="002008E4">
      <w:pPr>
        <w:spacing w:after="0" w:line="480" w:lineRule="auto"/>
        <w:ind w:right="73"/>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46C8664C" wp14:editId="11095185">
            <wp:extent cx="5664200" cy="4805362"/>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5668019" cy="4808602"/>
                    </a:xfrm>
                    <a:prstGeom prst="rect">
                      <a:avLst/>
                    </a:prstGeom>
                  </pic:spPr>
                </pic:pic>
              </a:graphicData>
            </a:graphic>
          </wp:inline>
        </w:drawing>
      </w:r>
    </w:p>
    <w:p w14:paraId="0D7BFE11" w14:textId="77777777" w:rsidR="002008E4" w:rsidRPr="004B4914" w:rsidRDefault="002008E4" w:rsidP="002008E4">
      <w:pPr>
        <w:spacing w:after="0" w:line="480" w:lineRule="auto"/>
        <w:jc w:val="both"/>
        <w:rPr>
          <w:rFonts w:ascii="Times New Roman" w:eastAsia="Times New Roman" w:hAnsi="Times New Roman" w:cs="Times New Roman"/>
          <w:position w:val="-1"/>
          <w:sz w:val="20"/>
          <w:szCs w:val="24"/>
        </w:rPr>
      </w:pPr>
      <w:r w:rsidRPr="004B4914">
        <w:rPr>
          <w:rFonts w:ascii="Times New Roman" w:eastAsia="Times New Roman" w:hAnsi="Times New Roman" w:cs="Times New Roman"/>
          <w:position w:val="-1"/>
          <w:sz w:val="20"/>
          <w:szCs w:val="24"/>
        </w:rPr>
        <w:t>Fig</w:t>
      </w:r>
      <w:r w:rsidRPr="004B4914">
        <w:rPr>
          <w:rFonts w:ascii="Times New Roman" w:eastAsia="Times New Roman" w:hAnsi="Times New Roman" w:cs="Times New Roman"/>
          <w:spacing w:val="1"/>
          <w:position w:val="-1"/>
          <w:sz w:val="20"/>
          <w:szCs w:val="24"/>
        </w:rPr>
        <w:t>u</w:t>
      </w:r>
      <w:r w:rsidRPr="004B4914">
        <w:rPr>
          <w:rFonts w:ascii="Times New Roman" w:eastAsia="Times New Roman" w:hAnsi="Times New Roman" w:cs="Times New Roman"/>
          <w:spacing w:val="-1"/>
          <w:position w:val="-1"/>
          <w:sz w:val="20"/>
          <w:szCs w:val="24"/>
        </w:rPr>
        <w:t>r</w:t>
      </w:r>
      <w:r w:rsidRPr="004B4914">
        <w:rPr>
          <w:rFonts w:ascii="Times New Roman" w:eastAsia="Times New Roman" w:hAnsi="Times New Roman" w:cs="Times New Roman"/>
          <w:position w:val="-1"/>
          <w:sz w:val="20"/>
          <w:szCs w:val="24"/>
        </w:rPr>
        <w:t>e</w:t>
      </w:r>
      <w:r w:rsidRPr="004B4914">
        <w:rPr>
          <w:rFonts w:ascii="Times New Roman" w:eastAsia="Times New Roman" w:hAnsi="Times New Roman" w:cs="Times New Roman"/>
          <w:spacing w:val="-1"/>
          <w:position w:val="-1"/>
          <w:sz w:val="20"/>
          <w:szCs w:val="24"/>
        </w:rPr>
        <w:t xml:space="preserve"> </w:t>
      </w:r>
      <w:r w:rsidRPr="004B4914">
        <w:rPr>
          <w:rFonts w:ascii="Times New Roman" w:eastAsia="Times New Roman" w:hAnsi="Times New Roman" w:cs="Times New Roman"/>
          <w:position w:val="-1"/>
          <w:sz w:val="20"/>
          <w:szCs w:val="24"/>
        </w:rPr>
        <w:t>1. Geological map of Igarra area (modified after Oyewole and Ofuyah, 2017)</w:t>
      </w:r>
    </w:p>
    <w:p w14:paraId="68CE98D5" w14:textId="77777777" w:rsidR="002008E4" w:rsidRPr="00EB6452" w:rsidRDefault="002008E4" w:rsidP="00C7212A">
      <w:pPr>
        <w:rPr>
          <w:rFonts w:ascii="Times New Roman" w:hAnsi="Times New Roman" w:cs="Times New Roman"/>
          <w:sz w:val="24"/>
          <w:szCs w:val="24"/>
        </w:rPr>
      </w:pPr>
    </w:p>
    <w:p w14:paraId="58CA083B"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Syenitic intrusions within the Igarra Schist Belt, notably around the Sassaro and adjacent areas, intrude marble, calc-silicate gneiss, and mica schist units and are considered relatively younger than the regional pegmatites (Ogbe et al., 2018). Despite their geological significance, previous studies on the Igarra syenites have largely emphasized field relationships, petrography, and geotechnical properties, with limited attention given to their whole-rock geochemistry, tectonic affinity, and trace-element characteristics (</w:t>
      </w:r>
      <w:r w:rsidR="00F04C76" w:rsidRPr="00EB6452">
        <w:rPr>
          <w:rFonts w:ascii="Times New Roman" w:hAnsi="Times New Roman" w:cs="Times New Roman"/>
          <w:sz w:val="24"/>
          <w:szCs w:val="24"/>
        </w:rPr>
        <w:t>Ugbe et al., 2023; Agoha et al., 2022;</w:t>
      </w:r>
      <w:r w:rsidR="00B151E8" w:rsidRPr="00EB6452">
        <w:rPr>
          <w:rFonts w:ascii="Times New Roman" w:hAnsi="Times New Roman" w:cs="Times New Roman"/>
          <w:sz w:val="24"/>
          <w:szCs w:val="24"/>
        </w:rPr>
        <w:t xml:space="preserve"> </w:t>
      </w:r>
      <w:r w:rsidR="00F04C76" w:rsidRPr="00EB6452">
        <w:rPr>
          <w:rFonts w:ascii="Times New Roman" w:hAnsi="Times New Roman" w:cs="Times New Roman"/>
          <w:color w:val="222222"/>
          <w:sz w:val="24"/>
          <w:szCs w:val="24"/>
          <w:shd w:val="clear" w:color="auto" w:fill="FFFFFF"/>
        </w:rPr>
        <w:t>Oyebamiji et al., 2024</w:t>
      </w:r>
      <w:r w:rsidRPr="00EB6452">
        <w:rPr>
          <w:rFonts w:ascii="Times New Roman" w:hAnsi="Times New Roman" w:cs="Times New Roman"/>
          <w:sz w:val="24"/>
          <w:szCs w:val="24"/>
        </w:rPr>
        <w:t>).</w:t>
      </w:r>
    </w:p>
    <w:p w14:paraId="59AAAC01"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This study addresses this gap by presenting a comprehensive mineralogical and geochemical investigation of syenitic rocks within the Igarra Schist Belt, southwestern Nigeria. Using major- and trace-element geochemistry, CIPW normative calculations, and established tectonic discrimination diagrams, the study aims to constrain the petrogenesis, aluminium saturation state, and tectonic setting of the syenitic bodies. The results contribute to a better understanding of </w:t>
      </w:r>
      <w:r w:rsidRPr="00EB6452">
        <w:rPr>
          <w:rFonts w:ascii="Times New Roman" w:hAnsi="Times New Roman" w:cs="Times New Roman"/>
          <w:sz w:val="24"/>
          <w:szCs w:val="24"/>
        </w:rPr>
        <w:lastRenderedPageBreak/>
        <w:t>Pan-African magmatism in the Nigerian Basement Complex and provide baseline geochemical data relevant to regional crustal evolution and mineral resource assessment.</w:t>
      </w:r>
    </w:p>
    <w:p w14:paraId="039583C6" w14:textId="77777777" w:rsidR="00C7212A" w:rsidRPr="00EB6452" w:rsidRDefault="00C7212A" w:rsidP="00C7212A">
      <w:pPr>
        <w:rPr>
          <w:rFonts w:ascii="Times New Roman" w:hAnsi="Times New Roman" w:cs="Times New Roman"/>
          <w:sz w:val="24"/>
          <w:szCs w:val="24"/>
        </w:rPr>
      </w:pPr>
    </w:p>
    <w:p w14:paraId="19ECFB81" w14:textId="77777777" w:rsidR="00C7212A" w:rsidRPr="004B4914" w:rsidRDefault="004B4914" w:rsidP="00C7212A">
      <w:pPr>
        <w:rPr>
          <w:rFonts w:ascii="Times New Roman" w:hAnsi="Times New Roman" w:cs="Times New Roman"/>
          <w:b/>
          <w:sz w:val="24"/>
          <w:szCs w:val="24"/>
        </w:rPr>
      </w:pPr>
      <w:r>
        <w:rPr>
          <w:rFonts w:ascii="Times New Roman" w:hAnsi="Times New Roman" w:cs="Times New Roman"/>
          <w:b/>
          <w:sz w:val="24"/>
          <w:szCs w:val="24"/>
        </w:rPr>
        <w:t>2. Materials and m</w:t>
      </w:r>
      <w:r w:rsidR="00C7212A" w:rsidRPr="004B4914">
        <w:rPr>
          <w:rFonts w:ascii="Times New Roman" w:hAnsi="Times New Roman" w:cs="Times New Roman"/>
          <w:b/>
          <w:sz w:val="24"/>
          <w:szCs w:val="24"/>
        </w:rPr>
        <w:t>ethods</w:t>
      </w:r>
    </w:p>
    <w:p w14:paraId="33793CA9"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Geological fieldwork was conducted within the Igarra Schist Belt, southwestern Nigeria, focusing on exposed syenitic intrusions. Field observations included lithology, texture, mineral assemblages, and structural features, with orientation data measured using a compass–clinometer. Sample locations were recorded using a handheld GPS receiver. Ten fresh, representative syenitic rock samples were collected across the intrusion to ensure adequate spatial coverage and minimize weathering effects.</w:t>
      </w:r>
    </w:p>
    <w:p w14:paraId="4D18ED18"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Petrographic analyses were performed on standard thin sections prepared from selected samples. Mineral identification and textural characterization were carried out using a polarizing light microscope under plane- and cross-polarized light, based on optical properties such as pleochroism, twinning, birefringence, and extinction behaviour.</w:t>
      </w:r>
    </w:p>
    <w:p w14:paraId="504C996B"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For geochemical analysis, approximately 1 kg of each sample was crushed and pulverized to &lt;425 µm. Whole-rock major- and trace-element analyses were conducted at Bureau Veritas Laboratories (Vancouver, Canada). Major elements were determined following lithium metaborate/tetraborate fusion, while trace elements were analyzed after partial digestion using modified aqua regia. Elemental concentrations were measured by Inductively Coupled Plasma–Mass Spectrometry (ICP–MS), with analytical quality control ensured through blanks, certified reference materials, and replicate analyses. CIPW normative calculations and established geochemical discrimination diagrams were employed for data interpretation.</w:t>
      </w:r>
    </w:p>
    <w:p w14:paraId="25A686B3" w14:textId="77777777" w:rsidR="00C7212A" w:rsidRPr="00EB6452" w:rsidRDefault="00C7212A" w:rsidP="00C7212A">
      <w:pPr>
        <w:rPr>
          <w:rFonts w:ascii="Times New Roman" w:hAnsi="Times New Roman" w:cs="Times New Roman"/>
          <w:sz w:val="24"/>
          <w:szCs w:val="24"/>
        </w:rPr>
      </w:pPr>
    </w:p>
    <w:p w14:paraId="008A38EE" w14:textId="77777777"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3. Results</w:t>
      </w:r>
    </w:p>
    <w:p w14:paraId="51B6A2E7"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3.1 Field occurrence and p</w:t>
      </w:r>
      <w:r w:rsidR="00C7212A" w:rsidRPr="004B4914">
        <w:rPr>
          <w:rFonts w:ascii="Times New Roman" w:hAnsi="Times New Roman" w:cs="Times New Roman"/>
          <w:i/>
          <w:sz w:val="24"/>
          <w:szCs w:val="24"/>
        </w:rPr>
        <w:t>etrography</w:t>
      </w:r>
    </w:p>
    <w:p w14:paraId="66946AB5"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syenitic rocks in the Igarra area occur as stock-like intrusions forming prominent hills, locally associated with narrow dykes. In hand specimen, the rocks are dark-coloured and predominantly medium-grained. Megascopic examination reveals feldspar and biotite as the dominant mineral phases.</w:t>
      </w:r>
    </w:p>
    <w:p w14:paraId="66CE918B"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Petrographic analysis shows that the syenites are composed mainly of alkali feldspar (orthoclase and microcline), plagioclase, quartz, and biotite, with minor opaque minerals</w:t>
      </w:r>
      <w:r w:rsidR="007B46FE" w:rsidRPr="00EB6452">
        <w:rPr>
          <w:rFonts w:ascii="Times New Roman" w:hAnsi="Times New Roman" w:cs="Times New Roman"/>
          <w:sz w:val="24"/>
          <w:szCs w:val="24"/>
        </w:rPr>
        <w:t xml:space="preserve"> (figs 2 and 3)</w:t>
      </w:r>
      <w:r w:rsidRPr="00EB6452">
        <w:rPr>
          <w:rFonts w:ascii="Times New Roman" w:hAnsi="Times New Roman" w:cs="Times New Roman"/>
          <w:sz w:val="24"/>
          <w:szCs w:val="24"/>
        </w:rPr>
        <w:t>. Biotite occurs as brown, platy grains exhibiting strong pleochroism from brown to greenish-brown. The grains commonly display preferred orientation and form intergrowths with quart</w:t>
      </w:r>
      <w:r w:rsidR="007B46FE" w:rsidRPr="00EB6452">
        <w:rPr>
          <w:rFonts w:ascii="Times New Roman" w:hAnsi="Times New Roman" w:cs="Times New Roman"/>
          <w:sz w:val="24"/>
          <w:szCs w:val="24"/>
        </w:rPr>
        <w:t>z</w:t>
      </w:r>
      <w:r w:rsidRPr="00EB6452">
        <w:rPr>
          <w:rFonts w:ascii="Times New Roman" w:hAnsi="Times New Roman" w:cs="Times New Roman"/>
          <w:sz w:val="24"/>
          <w:szCs w:val="24"/>
        </w:rPr>
        <w:t>. Alkali feldspar occurs as tabular, idiomorphic to sub-idiomorphic crystals, locally exhibiting cross-hatched twinning and containing quartz and biotite inclusions. Plagioclase occurs in subordinate proportions, while opaque minerals, including ilmenite and hematite, occur as accessory phases, collectively constituting approximately 10% of the rock volume.</w:t>
      </w:r>
    </w:p>
    <w:p w14:paraId="1DB28200" w14:textId="77777777"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rPr>
        <w:lastRenderedPageBreak/>
        <mc:AlternateContent>
          <mc:Choice Requires="wps">
            <w:drawing>
              <wp:anchor distT="0" distB="0" distL="114300" distR="114300" simplePos="0" relativeHeight="251659264" behindDoc="0" locked="0" layoutInCell="1" allowOverlap="1" wp14:anchorId="0E7080D9" wp14:editId="0D0BB90F">
                <wp:simplePos x="0" y="0"/>
                <wp:positionH relativeFrom="column">
                  <wp:posOffset>401654</wp:posOffset>
                </wp:positionH>
                <wp:positionV relativeFrom="paragraph">
                  <wp:posOffset>4491122</wp:posOffset>
                </wp:positionV>
                <wp:extent cx="474980" cy="5715"/>
                <wp:effectExtent l="0" t="19050" r="39370" b="51435"/>
                <wp:wrapNone/>
                <wp:docPr id="35" name="Straight Connector 35"/>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566F1F" id="Straight Connector 3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1.65pt,353.65pt" to="69.05pt,3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rPr>
        <w:drawing>
          <wp:inline distT="0" distB="0" distL="0" distR="0" wp14:anchorId="15C73F15" wp14:editId="17CBB8D0">
            <wp:extent cx="6540453" cy="4848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546117" cy="4852243"/>
                    </a:xfrm>
                    <a:prstGeom prst="rect">
                      <a:avLst/>
                    </a:prstGeom>
                  </pic:spPr>
                </pic:pic>
              </a:graphicData>
            </a:graphic>
          </wp:inline>
        </w:drawing>
      </w:r>
    </w:p>
    <w:p w14:paraId="6432012E" w14:textId="77777777" w:rsidR="009451CC" w:rsidRPr="00EB6452" w:rsidRDefault="009451CC" w:rsidP="009451CC">
      <w:pPr>
        <w:spacing w:after="0" w:line="480" w:lineRule="auto"/>
        <w:jc w:val="both"/>
        <w:rPr>
          <w:rFonts w:ascii="Times New Roman" w:hAnsi="Times New Roman" w:cs="Times New Roman"/>
          <w:color w:val="000000" w:themeColor="text1"/>
          <w:sz w:val="24"/>
          <w:szCs w:val="24"/>
        </w:rPr>
      </w:pPr>
      <w:r w:rsidRPr="00EB6452">
        <w:rPr>
          <w:rFonts w:ascii="Times New Roman" w:hAnsi="Times New Roman" w:cs="Times New Roman"/>
          <w:color w:val="000000" w:themeColor="text1"/>
          <w:sz w:val="24"/>
          <w:szCs w:val="24"/>
        </w:rPr>
        <w:t>Fig. 2 Photomicrograph of syenite comprising biotite (bio), microcline (mic), Quartz (qtz). Bar Scale: 3µm (xpl).</w:t>
      </w:r>
    </w:p>
    <w:p w14:paraId="6D6430FA" w14:textId="77777777" w:rsidR="009451CC" w:rsidRPr="00EB6452" w:rsidRDefault="009451CC" w:rsidP="009451CC">
      <w:pPr>
        <w:spacing w:after="0" w:line="480" w:lineRule="auto"/>
        <w:ind w:left="100" w:right="4564"/>
        <w:jc w:val="both"/>
        <w:rPr>
          <w:rFonts w:ascii="Times New Roman" w:hAnsi="Times New Roman" w:cs="Times New Roman"/>
          <w:b/>
          <w:sz w:val="24"/>
          <w:szCs w:val="24"/>
        </w:rPr>
      </w:pPr>
      <w:r w:rsidRPr="00EB6452">
        <w:rPr>
          <w:rFonts w:ascii="Times New Roman" w:hAnsi="Times New Roman" w:cs="Times New Roman"/>
          <w:noProof/>
          <w:sz w:val="24"/>
          <w:szCs w:val="24"/>
        </w:rPr>
        <w:lastRenderedPageBreak/>
        <mc:AlternateContent>
          <mc:Choice Requires="wps">
            <w:drawing>
              <wp:anchor distT="0" distB="0" distL="114300" distR="114300" simplePos="0" relativeHeight="251661312" behindDoc="0" locked="0" layoutInCell="1" allowOverlap="1" wp14:anchorId="0EDF13EF" wp14:editId="1F0C70B2">
                <wp:simplePos x="0" y="0"/>
                <wp:positionH relativeFrom="column">
                  <wp:posOffset>387116</wp:posOffset>
                </wp:positionH>
                <wp:positionV relativeFrom="paragraph">
                  <wp:posOffset>5187482</wp:posOffset>
                </wp:positionV>
                <wp:extent cx="474980" cy="5715"/>
                <wp:effectExtent l="0" t="19050" r="39370" b="51435"/>
                <wp:wrapNone/>
                <wp:docPr id="31" name="Straight Connector 31"/>
                <wp:cNvGraphicFramePr/>
                <a:graphic xmlns:a="http://schemas.openxmlformats.org/drawingml/2006/main">
                  <a:graphicData uri="http://schemas.microsoft.com/office/word/2010/wordprocessingShape">
                    <wps:wsp>
                      <wps:cNvCnPr/>
                      <wps:spPr>
                        <a:xfrm>
                          <a:off x="0" y="0"/>
                          <a:ext cx="474980" cy="5715"/>
                        </a:xfrm>
                        <a:prstGeom prst="line">
                          <a:avLst/>
                        </a:prstGeom>
                        <a:ln w="571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86574C" id="Straight Connector 3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0.5pt,408.45pt" to="67.9pt,4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" strokecolor="white [3212]" strokeweight="4.5pt">
                <v:stroke joinstyle="miter"/>
              </v:line>
            </w:pict>
          </mc:Fallback>
        </mc:AlternateContent>
      </w:r>
      <w:r w:rsidRPr="00EB6452">
        <w:rPr>
          <w:rFonts w:ascii="Times New Roman" w:hAnsi="Times New Roman" w:cs="Times New Roman"/>
          <w:noProof/>
          <w:sz w:val="24"/>
          <w:szCs w:val="24"/>
        </w:rPr>
        <w:drawing>
          <wp:inline distT="0" distB="0" distL="0" distR="0" wp14:anchorId="3B4C3155" wp14:editId="750D6D75">
            <wp:extent cx="6343126" cy="5443268"/>
            <wp:effectExtent l="0" t="0" r="63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62767" cy="5460123"/>
                    </a:xfrm>
                    <a:prstGeom prst="rect">
                      <a:avLst/>
                    </a:prstGeom>
                  </pic:spPr>
                </pic:pic>
              </a:graphicData>
            </a:graphic>
          </wp:inline>
        </w:drawing>
      </w:r>
    </w:p>
    <w:p w14:paraId="37B7DCE8" w14:textId="77777777" w:rsidR="009451CC" w:rsidRPr="004B4914" w:rsidRDefault="009451CC" w:rsidP="009451CC">
      <w:pPr>
        <w:spacing w:after="0" w:line="480" w:lineRule="auto"/>
        <w:jc w:val="both"/>
        <w:rPr>
          <w:rFonts w:ascii="Times New Roman" w:hAnsi="Times New Roman" w:cs="Times New Roman"/>
          <w:color w:val="000000" w:themeColor="text1"/>
          <w:sz w:val="20"/>
          <w:szCs w:val="24"/>
        </w:rPr>
      </w:pPr>
      <w:r w:rsidRPr="004B4914">
        <w:rPr>
          <w:rFonts w:ascii="Times New Roman" w:hAnsi="Times New Roman" w:cs="Times New Roman"/>
          <w:color w:val="000000" w:themeColor="text1"/>
          <w:sz w:val="20"/>
          <w:szCs w:val="24"/>
        </w:rPr>
        <w:t>Fig.</w:t>
      </w:r>
      <w:r w:rsidR="007B46FE" w:rsidRPr="004B4914">
        <w:rPr>
          <w:rFonts w:ascii="Times New Roman" w:hAnsi="Times New Roman" w:cs="Times New Roman"/>
          <w:color w:val="000000" w:themeColor="text1"/>
          <w:sz w:val="20"/>
          <w:szCs w:val="24"/>
        </w:rPr>
        <w:t>3</w:t>
      </w:r>
      <w:r w:rsidRPr="004B4914">
        <w:rPr>
          <w:rFonts w:ascii="Times New Roman" w:hAnsi="Times New Roman" w:cs="Times New Roman"/>
          <w:color w:val="000000" w:themeColor="text1"/>
          <w:sz w:val="20"/>
          <w:szCs w:val="24"/>
        </w:rPr>
        <w:t xml:space="preserve"> Photomicrograph of syenitic rock comprising biotite (bio), Quartz (qtz). Bar Scale: 3µm</w:t>
      </w:r>
    </w:p>
    <w:p w14:paraId="23A29450" w14:textId="77777777" w:rsidR="009451CC" w:rsidRPr="00EB6452" w:rsidRDefault="009451CC" w:rsidP="00C7212A">
      <w:pPr>
        <w:rPr>
          <w:rFonts w:ascii="Times New Roman" w:hAnsi="Times New Roman" w:cs="Times New Roman"/>
          <w:sz w:val="24"/>
          <w:szCs w:val="24"/>
        </w:rPr>
      </w:pPr>
    </w:p>
    <w:p w14:paraId="2F208759"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3.2 CIPW normative m</w:t>
      </w:r>
      <w:r w:rsidR="00C7212A" w:rsidRPr="004B4914">
        <w:rPr>
          <w:rFonts w:ascii="Times New Roman" w:hAnsi="Times New Roman" w:cs="Times New Roman"/>
          <w:i/>
          <w:sz w:val="24"/>
          <w:szCs w:val="24"/>
        </w:rPr>
        <w:t>ineralogy</w:t>
      </w:r>
    </w:p>
    <w:p w14:paraId="0DF52359"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CIPW normative calculations</w:t>
      </w:r>
      <w:r w:rsidR="009451CC"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xml:space="preserve"> indicate that the syenitic rocks are dominated by biotite (10.8–22.9%), orthoclase (20.7–27.7%), albite (17.9–20.7%), and quartz (7.4–12.7%). Plagioclase is represented by variable proportions of albite and anorthite, with anorthite contents ranging from 0.7 to 4.3%. Minor normative phases include wollastonite (6.5–9.3%), hematite (7.5–9.6%), apatite (2.4–3.1%), ilmenite (0.1–0.2%), and pyrite (≤0.1%). The total normative mineral sums range from 97.5 to 99.7 wt%.</w:t>
      </w:r>
    </w:p>
    <w:p w14:paraId="1059C1C9" w14:textId="77777777" w:rsidR="009451CC" w:rsidRPr="00EB6452" w:rsidRDefault="009451CC" w:rsidP="00C7212A">
      <w:pPr>
        <w:rPr>
          <w:rFonts w:ascii="Times New Roman" w:hAnsi="Times New Roman" w:cs="Times New Roman"/>
          <w:sz w:val="24"/>
          <w:szCs w:val="24"/>
        </w:rPr>
      </w:pPr>
    </w:p>
    <w:p w14:paraId="5E6BF530"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3.3 Major element g</w:t>
      </w:r>
      <w:r w:rsidR="00C7212A" w:rsidRPr="004B4914">
        <w:rPr>
          <w:rFonts w:ascii="Times New Roman" w:hAnsi="Times New Roman" w:cs="Times New Roman"/>
          <w:i/>
          <w:sz w:val="24"/>
          <w:szCs w:val="24"/>
        </w:rPr>
        <w:t>eochemistry</w:t>
      </w:r>
    </w:p>
    <w:p w14:paraId="6EAA22FA"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The syenitic rocks display relatively narrow compositional ranges in major oxides</w:t>
      </w:r>
      <w:r w:rsidR="009451CC" w:rsidRPr="00EB6452">
        <w:rPr>
          <w:rFonts w:ascii="Times New Roman" w:hAnsi="Times New Roman" w:cs="Times New Roman"/>
          <w:sz w:val="24"/>
          <w:szCs w:val="24"/>
        </w:rPr>
        <w:t xml:space="preserve"> (Table</w:t>
      </w:r>
      <w:r w:rsidR="00D56B14">
        <w:rPr>
          <w:rFonts w:ascii="Times New Roman" w:hAnsi="Times New Roman" w:cs="Times New Roman"/>
          <w:sz w:val="24"/>
          <w:szCs w:val="24"/>
        </w:rPr>
        <w:t xml:space="preserve"> </w:t>
      </w:r>
      <w:r w:rsidR="009451CC" w:rsidRPr="00EB6452">
        <w:rPr>
          <w:rFonts w:ascii="Times New Roman" w:hAnsi="Times New Roman" w:cs="Times New Roman"/>
          <w:sz w:val="24"/>
          <w:szCs w:val="24"/>
        </w:rPr>
        <w:t>2)</w:t>
      </w:r>
      <w:r w:rsidRPr="00EB6452">
        <w:rPr>
          <w:rFonts w:ascii="Times New Roman" w:hAnsi="Times New Roman" w:cs="Times New Roman"/>
          <w:sz w:val="24"/>
          <w:szCs w:val="24"/>
        </w:rPr>
        <w:t>. SiO₂ contents vary from 53.23 to 55.71 wt%, while Al₂O₃ ranges from 11.39 to 12.53 wt%. Total iron (Fe₂O₃) varies between 7.50 and 9.62 wt%, MgO between 5.80 and 6.93 wt%, and CaO between 5.29 and 6.47 wt%. Alkali contents show Na₂O values of 2.11–2.45 wt% and K₂O values of 6.16–6.98 wt%. TiO₂ contents range from 0.70 to 0.78 wt%, P₂O₅ from 1.02 to 1.28 wt%, MnO from 0.05 to 0.13 wt%, and Cr₂O₃ from 0.009 to 0.034 wt%. Loss on ignition (LOI) values range from 0.3 to 1.2 wt%, and analytical totals are consistently close to 100 wt%.</w:t>
      </w:r>
    </w:p>
    <w:p w14:paraId="100CCA48" w14:textId="77777777" w:rsidR="009451CC" w:rsidRPr="00EB6452" w:rsidRDefault="009451CC" w:rsidP="00C7212A">
      <w:pPr>
        <w:rPr>
          <w:rFonts w:ascii="Times New Roman" w:hAnsi="Times New Roman" w:cs="Times New Roman"/>
          <w:sz w:val="24"/>
          <w:szCs w:val="24"/>
        </w:rPr>
      </w:pPr>
    </w:p>
    <w:p w14:paraId="55B8F091"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3.4 Trace element g</w:t>
      </w:r>
      <w:r w:rsidR="00C7212A" w:rsidRPr="004B4914">
        <w:rPr>
          <w:rFonts w:ascii="Times New Roman" w:hAnsi="Times New Roman" w:cs="Times New Roman"/>
          <w:i/>
          <w:sz w:val="24"/>
          <w:szCs w:val="24"/>
        </w:rPr>
        <w:t>eochemistry</w:t>
      </w:r>
    </w:p>
    <w:p w14:paraId="32F1BE4C"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syenitic rocks contain variable concentrations of trace elements</w:t>
      </w:r>
      <w:r w:rsidR="009451CC" w:rsidRPr="00EB6452">
        <w:rPr>
          <w:rFonts w:ascii="Times New Roman" w:hAnsi="Times New Roman" w:cs="Times New Roman"/>
          <w:sz w:val="24"/>
          <w:szCs w:val="24"/>
        </w:rPr>
        <w:t xml:space="preserve"> (Table 3)</w:t>
      </w:r>
      <w:r w:rsidRPr="00EB6452">
        <w:rPr>
          <w:rFonts w:ascii="Times New Roman" w:hAnsi="Times New Roman" w:cs="Times New Roman"/>
          <w:sz w:val="24"/>
          <w:szCs w:val="24"/>
        </w:rPr>
        <w:t>. Copper shows relatively elevated values (43.22–122.45 ppm), while chromium ranges from 80.9 to 149.3 ppm. Barium displays high absolute concentrations (2711–3222 ppm). Strontium contents range from 755 to 979 ppm, whereas zirconium varies from 101 to 194 ppm. Vanadium contents range from 72 to 102 ppm, and nickel from 47 to 57 ppm.</w:t>
      </w:r>
    </w:p>
    <w:p w14:paraId="7F1E385B"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Rare earth and high-field-strength elements show moderate abundances, with lanthanum ranging from 22.6 to 32.6 ppm, yttrium from 18 to 20 ppm, and niobium from 10 to 13 ppm. Thorium values range from 2.1 to 3.9 ppm, and uranium from 0.6 to 0.81 ppm. Precious and volatile-associated elements, including Au (0.5–2.34 ppb), Ag (29–112 ppb), Hg (3–5 ppm), and Tl (0.59–0.86 ppm), are present in variable but generally low concentrations.</w:t>
      </w:r>
    </w:p>
    <w:p w14:paraId="4564F797" w14:textId="77777777" w:rsidR="00EF6477" w:rsidRPr="00EF6477" w:rsidRDefault="00EF6477" w:rsidP="00EF6477">
      <w:pPr>
        <w:rPr>
          <w:rFonts w:ascii="Times New Roman" w:hAnsi="Times New Roman" w:cs="Times New Roman"/>
          <w:i/>
          <w:sz w:val="24"/>
          <w:szCs w:val="24"/>
        </w:rPr>
      </w:pPr>
      <w:r w:rsidRPr="00EF6477">
        <w:rPr>
          <w:rFonts w:ascii="Times New Roman" w:hAnsi="Times New Roman" w:cs="Times New Roman"/>
          <w:i/>
          <w:sz w:val="24"/>
          <w:szCs w:val="24"/>
        </w:rPr>
        <w:t>3.5 Rare Earth Element (REE) geochemistry</w:t>
      </w:r>
    </w:p>
    <w:p w14:paraId="4D7B317F"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The syenitic rocks display variable but generally elevated concentrations of rare earth elements (REEs)</w:t>
      </w:r>
      <w:r w:rsidR="00D56B14">
        <w:rPr>
          <w:rFonts w:ascii="Times New Roman" w:hAnsi="Times New Roman" w:cs="Times New Roman"/>
          <w:sz w:val="24"/>
          <w:szCs w:val="24"/>
        </w:rPr>
        <w:t xml:space="preserve"> (Table 4)</w:t>
      </w:r>
      <w:r w:rsidRPr="00EF6477">
        <w:rPr>
          <w:rFonts w:ascii="Times New Roman" w:hAnsi="Times New Roman" w:cs="Times New Roman"/>
          <w:sz w:val="24"/>
          <w:szCs w:val="24"/>
        </w:rPr>
        <w:t>. Light rare earth elements (LREEs) are strongly enriched, with La ranging from 25 to 163 ppm, Ce from 80 to 942 ppm, Pr from 13 to 312 ppm, Nd from 27 to 645 ppm, and Sm from 6 to 121 ppm. Europium contents range from 1.7 to 13 ppm. Heavy rare earth elements (HREEs) occur at comparatively lower concentrations, with Gd ranging from 9 to 45 ppm, Tb from 1 to 3.5 ppm, Dy from 7 to 22 ppm, Ho from 1 to 2.8 ppm, Er from 2 to 10 ppm, Tm from 0.4 to 1.8 ppm, Yb from 2 to 7.5 ppm, and Lu from 0.3 to 1.6 ppm.</w:t>
      </w:r>
    </w:p>
    <w:p w14:paraId="0A26C695"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The REE distributions are characterized by a pronounced enrichment of LREEs relative to HREEs, reflected in the large absolute differences between La–Sm and Gd–Lu concentrations. Europium contents are moderate relative to adjacent REEs. Total REE concentrations are high, largely driven by elevated LREE abundances.</w:t>
      </w:r>
    </w:p>
    <w:p w14:paraId="0C9CF5C2" w14:textId="77777777" w:rsid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In addition to REEs, tantalum (Ta) concentrations range from 1 to 3.5 ppm, indicating low to moderate enrichment of high-field-strength elements.</w:t>
      </w:r>
    </w:p>
    <w:p w14:paraId="7C8CCCB8" w14:textId="77777777" w:rsidR="000025DA" w:rsidRDefault="000025DA" w:rsidP="00D56B14">
      <w:pPr>
        <w:spacing w:after="0" w:line="480" w:lineRule="auto"/>
        <w:jc w:val="both"/>
        <w:rPr>
          <w:rFonts w:ascii="Times New Roman" w:hAnsi="Times New Roman" w:cs="Times New Roman"/>
          <w:color w:val="000000" w:themeColor="text1"/>
          <w:sz w:val="24"/>
          <w:szCs w:val="24"/>
        </w:rPr>
      </w:pPr>
    </w:p>
    <w:p w14:paraId="4096A65B" w14:textId="77777777" w:rsidR="000025DA" w:rsidRDefault="000025DA" w:rsidP="00D56B14">
      <w:pPr>
        <w:spacing w:after="0" w:line="480" w:lineRule="auto"/>
        <w:jc w:val="both"/>
        <w:rPr>
          <w:rFonts w:ascii="Times New Roman" w:hAnsi="Times New Roman" w:cs="Times New Roman"/>
          <w:color w:val="000000" w:themeColor="text1"/>
          <w:sz w:val="24"/>
          <w:szCs w:val="24"/>
        </w:rPr>
      </w:pPr>
    </w:p>
    <w:p w14:paraId="6E78C01B" w14:textId="77777777" w:rsidR="000025DA" w:rsidRDefault="000025DA" w:rsidP="00D56B14">
      <w:pPr>
        <w:spacing w:after="0" w:line="480" w:lineRule="auto"/>
        <w:jc w:val="both"/>
        <w:rPr>
          <w:rFonts w:ascii="Times New Roman" w:hAnsi="Times New Roman" w:cs="Times New Roman"/>
          <w:color w:val="000000" w:themeColor="text1"/>
          <w:sz w:val="24"/>
          <w:szCs w:val="24"/>
        </w:rPr>
      </w:pPr>
    </w:p>
    <w:p w14:paraId="296EBDDA" w14:textId="77777777" w:rsidR="00D56B14" w:rsidRDefault="00D56B14" w:rsidP="00D56B14">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Table 1: CIPW norm result of Syenite</w:t>
      </w:r>
      <w:r w:rsidR="000025DA">
        <w:rPr>
          <w:rFonts w:ascii="Times New Roman" w:hAnsi="Times New Roman" w:cs="Times New Roman"/>
          <w:color w:val="000000" w:themeColor="text1"/>
          <w:sz w:val="24"/>
          <w:szCs w:val="24"/>
        </w:rPr>
        <w:t xml:space="preserve"> from study area</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1"/>
        <w:gridCol w:w="601"/>
        <w:gridCol w:w="601"/>
        <w:gridCol w:w="601"/>
        <w:gridCol w:w="601"/>
        <w:gridCol w:w="601"/>
        <w:gridCol w:w="601"/>
        <w:gridCol w:w="601"/>
        <w:gridCol w:w="601"/>
        <w:gridCol w:w="601"/>
        <w:gridCol w:w="601"/>
      </w:tblGrid>
      <w:tr w:rsidR="00D56B14" w:rsidRPr="00CD3EBE" w14:paraId="62DBFA71" w14:textId="77777777" w:rsidTr="00FC6DB6">
        <w:tc>
          <w:tcPr>
            <w:tcW w:w="0" w:type="auto"/>
          </w:tcPr>
          <w:p w14:paraId="1876195B"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Sample code/ minerals</w:t>
            </w:r>
          </w:p>
        </w:tc>
        <w:tc>
          <w:tcPr>
            <w:tcW w:w="0" w:type="auto"/>
          </w:tcPr>
          <w:p w14:paraId="05B784A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S1</w:t>
            </w:r>
          </w:p>
        </w:tc>
        <w:tc>
          <w:tcPr>
            <w:tcW w:w="0" w:type="auto"/>
          </w:tcPr>
          <w:p w14:paraId="6C682D1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S2</w:t>
            </w:r>
          </w:p>
        </w:tc>
        <w:tc>
          <w:tcPr>
            <w:tcW w:w="0" w:type="auto"/>
          </w:tcPr>
          <w:p w14:paraId="7397B1C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S3</w:t>
            </w:r>
          </w:p>
        </w:tc>
        <w:tc>
          <w:tcPr>
            <w:tcW w:w="0" w:type="auto"/>
          </w:tcPr>
          <w:p w14:paraId="1D8D513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S4</w:t>
            </w:r>
          </w:p>
        </w:tc>
        <w:tc>
          <w:tcPr>
            <w:tcW w:w="0" w:type="auto"/>
          </w:tcPr>
          <w:p w14:paraId="51710D3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S5</w:t>
            </w:r>
          </w:p>
        </w:tc>
        <w:tc>
          <w:tcPr>
            <w:tcW w:w="0" w:type="auto"/>
          </w:tcPr>
          <w:p w14:paraId="79158C5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S6</w:t>
            </w:r>
          </w:p>
        </w:tc>
        <w:tc>
          <w:tcPr>
            <w:tcW w:w="0" w:type="auto"/>
          </w:tcPr>
          <w:p w14:paraId="4AB6B64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S7</w:t>
            </w:r>
          </w:p>
        </w:tc>
        <w:tc>
          <w:tcPr>
            <w:tcW w:w="0" w:type="auto"/>
          </w:tcPr>
          <w:p w14:paraId="5E7AE02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S8</w:t>
            </w:r>
          </w:p>
        </w:tc>
        <w:tc>
          <w:tcPr>
            <w:tcW w:w="0" w:type="auto"/>
          </w:tcPr>
          <w:p w14:paraId="2AF66B1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S9</w:t>
            </w:r>
          </w:p>
        </w:tc>
        <w:tc>
          <w:tcPr>
            <w:tcW w:w="0" w:type="auto"/>
          </w:tcPr>
          <w:p w14:paraId="4A776EA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S10</w:t>
            </w:r>
          </w:p>
        </w:tc>
      </w:tr>
      <w:tr w:rsidR="00D56B14" w:rsidRPr="00CD3EBE" w14:paraId="3F158F3C" w14:textId="77777777" w:rsidTr="00FC6DB6">
        <w:tc>
          <w:tcPr>
            <w:tcW w:w="0" w:type="auto"/>
          </w:tcPr>
          <w:p w14:paraId="2C23A6BB"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Quartz</w:t>
            </w:r>
          </w:p>
        </w:tc>
        <w:tc>
          <w:tcPr>
            <w:tcW w:w="0" w:type="auto"/>
          </w:tcPr>
          <w:p w14:paraId="6EC01A1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11.4</w:t>
            </w:r>
          </w:p>
        </w:tc>
        <w:tc>
          <w:tcPr>
            <w:tcW w:w="0" w:type="auto"/>
          </w:tcPr>
          <w:p w14:paraId="5AB4D89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11.9</w:t>
            </w:r>
          </w:p>
        </w:tc>
        <w:tc>
          <w:tcPr>
            <w:tcW w:w="0" w:type="auto"/>
          </w:tcPr>
          <w:p w14:paraId="66E6E22A"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14:paraId="427F4B0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10.4</w:t>
            </w:r>
          </w:p>
        </w:tc>
        <w:tc>
          <w:tcPr>
            <w:tcW w:w="0" w:type="auto"/>
          </w:tcPr>
          <w:p w14:paraId="286D7F3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10.1</w:t>
            </w:r>
          </w:p>
        </w:tc>
        <w:tc>
          <w:tcPr>
            <w:tcW w:w="0" w:type="auto"/>
          </w:tcPr>
          <w:p w14:paraId="0BB5511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12.7</w:t>
            </w:r>
          </w:p>
        </w:tc>
        <w:tc>
          <w:tcPr>
            <w:tcW w:w="0" w:type="auto"/>
          </w:tcPr>
          <w:p w14:paraId="45F5CF5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w:t>
            </w:r>
          </w:p>
        </w:tc>
        <w:tc>
          <w:tcPr>
            <w:tcW w:w="0" w:type="auto"/>
          </w:tcPr>
          <w:p w14:paraId="021FA4C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9.0</w:t>
            </w:r>
          </w:p>
        </w:tc>
        <w:tc>
          <w:tcPr>
            <w:tcW w:w="0" w:type="auto"/>
          </w:tcPr>
          <w:p w14:paraId="1301494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9.9</w:t>
            </w:r>
          </w:p>
        </w:tc>
        <w:tc>
          <w:tcPr>
            <w:tcW w:w="0" w:type="auto"/>
          </w:tcPr>
          <w:p w14:paraId="3364DA4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r>
      <w:tr w:rsidR="00D56B14" w:rsidRPr="00CD3EBE" w14:paraId="7572FB82" w14:textId="77777777" w:rsidTr="00FC6DB6">
        <w:tc>
          <w:tcPr>
            <w:tcW w:w="0" w:type="auto"/>
          </w:tcPr>
          <w:p w14:paraId="3924BD4D"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Orthoclase</w:t>
            </w:r>
          </w:p>
        </w:tc>
        <w:tc>
          <w:tcPr>
            <w:tcW w:w="0" w:type="auto"/>
          </w:tcPr>
          <w:p w14:paraId="517EF7E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14:paraId="0EF95D5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24.8</w:t>
            </w:r>
          </w:p>
        </w:tc>
        <w:tc>
          <w:tcPr>
            <w:tcW w:w="0" w:type="auto"/>
          </w:tcPr>
          <w:p w14:paraId="0F7DC4B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27.7</w:t>
            </w:r>
          </w:p>
        </w:tc>
        <w:tc>
          <w:tcPr>
            <w:tcW w:w="0" w:type="auto"/>
          </w:tcPr>
          <w:p w14:paraId="66EF931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25.7</w:t>
            </w:r>
          </w:p>
        </w:tc>
        <w:tc>
          <w:tcPr>
            <w:tcW w:w="0" w:type="auto"/>
          </w:tcPr>
          <w:p w14:paraId="0FEABC9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24.1</w:t>
            </w:r>
          </w:p>
        </w:tc>
        <w:tc>
          <w:tcPr>
            <w:tcW w:w="0" w:type="auto"/>
          </w:tcPr>
          <w:p w14:paraId="3B50A6A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14:paraId="2016DD7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25.2</w:t>
            </w:r>
          </w:p>
        </w:tc>
        <w:tc>
          <w:tcPr>
            <w:tcW w:w="0" w:type="auto"/>
          </w:tcPr>
          <w:p w14:paraId="283AF4E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27.3</w:t>
            </w:r>
          </w:p>
        </w:tc>
        <w:tc>
          <w:tcPr>
            <w:tcW w:w="0" w:type="auto"/>
          </w:tcPr>
          <w:p w14:paraId="78D2E1A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25.1</w:t>
            </w:r>
          </w:p>
        </w:tc>
        <w:tc>
          <w:tcPr>
            <w:tcW w:w="0" w:type="auto"/>
          </w:tcPr>
          <w:p w14:paraId="4D273D9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25.3</w:t>
            </w:r>
          </w:p>
        </w:tc>
      </w:tr>
      <w:tr w:rsidR="00D56B14" w:rsidRPr="00CD3EBE" w14:paraId="55663CBC" w14:textId="77777777" w:rsidTr="00FC6DB6">
        <w:tc>
          <w:tcPr>
            <w:tcW w:w="0" w:type="auto"/>
          </w:tcPr>
          <w:p w14:paraId="57279DC4"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Albite</w:t>
            </w:r>
          </w:p>
        </w:tc>
        <w:tc>
          <w:tcPr>
            <w:tcW w:w="0" w:type="auto"/>
          </w:tcPr>
          <w:p w14:paraId="25DC45A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18.7</w:t>
            </w:r>
          </w:p>
        </w:tc>
        <w:tc>
          <w:tcPr>
            <w:tcW w:w="0" w:type="auto"/>
          </w:tcPr>
          <w:p w14:paraId="0E686B7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19.4</w:t>
            </w:r>
          </w:p>
        </w:tc>
        <w:tc>
          <w:tcPr>
            <w:tcW w:w="0" w:type="auto"/>
          </w:tcPr>
          <w:p w14:paraId="56EF614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14:paraId="3873278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19.1</w:t>
            </w:r>
          </w:p>
        </w:tc>
        <w:tc>
          <w:tcPr>
            <w:tcW w:w="0" w:type="auto"/>
          </w:tcPr>
          <w:p w14:paraId="34C1086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18.6</w:t>
            </w:r>
          </w:p>
        </w:tc>
        <w:tc>
          <w:tcPr>
            <w:tcW w:w="0" w:type="auto"/>
          </w:tcPr>
          <w:p w14:paraId="6C6BB8B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17.9</w:t>
            </w:r>
          </w:p>
        </w:tc>
        <w:tc>
          <w:tcPr>
            <w:tcW w:w="0" w:type="auto"/>
          </w:tcPr>
          <w:p w14:paraId="7B9972B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14:paraId="48D369B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20.2</w:t>
            </w:r>
          </w:p>
        </w:tc>
        <w:tc>
          <w:tcPr>
            <w:tcW w:w="0" w:type="auto"/>
          </w:tcPr>
          <w:p w14:paraId="718A8B9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14:paraId="6B19BCA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19.3</w:t>
            </w:r>
          </w:p>
        </w:tc>
      </w:tr>
      <w:tr w:rsidR="00D56B14" w:rsidRPr="00CD3EBE" w14:paraId="302F6D32" w14:textId="77777777" w:rsidTr="00FC6DB6">
        <w:tc>
          <w:tcPr>
            <w:tcW w:w="0" w:type="auto"/>
          </w:tcPr>
          <w:p w14:paraId="4E34E6D1"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Anorthite</w:t>
            </w:r>
          </w:p>
        </w:tc>
        <w:tc>
          <w:tcPr>
            <w:tcW w:w="0" w:type="auto"/>
          </w:tcPr>
          <w:p w14:paraId="5E87B6B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14:paraId="17788B2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4.3</w:t>
            </w:r>
          </w:p>
        </w:tc>
        <w:tc>
          <w:tcPr>
            <w:tcW w:w="0" w:type="auto"/>
          </w:tcPr>
          <w:p w14:paraId="0680264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14:paraId="7D48241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4.1</w:t>
            </w:r>
          </w:p>
        </w:tc>
        <w:tc>
          <w:tcPr>
            <w:tcW w:w="0" w:type="auto"/>
          </w:tcPr>
          <w:p w14:paraId="539E559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3.3</w:t>
            </w:r>
          </w:p>
        </w:tc>
        <w:tc>
          <w:tcPr>
            <w:tcW w:w="0" w:type="auto"/>
          </w:tcPr>
          <w:p w14:paraId="7C46287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3.4</w:t>
            </w:r>
          </w:p>
        </w:tc>
        <w:tc>
          <w:tcPr>
            <w:tcW w:w="0" w:type="auto"/>
          </w:tcPr>
          <w:p w14:paraId="2A8A65C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14:paraId="1A70089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1.1</w:t>
            </w:r>
          </w:p>
        </w:tc>
        <w:tc>
          <w:tcPr>
            <w:tcW w:w="0" w:type="auto"/>
          </w:tcPr>
          <w:p w14:paraId="57058B2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0.7</w:t>
            </w:r>
          </w:p>
        </w:tc>
        <w:tc>
          <w:tcPr>
            <w:tcW w:w="0" w:type="auto"/>
          </w:tcPr>
          <w:p w14:paraId="0AB72C6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r>
      <w:tr w:rsidR="00D56B14" w:rsidRPr="00CD3EBE" w14:paraId="7E7EDEC5" w14:textId="77777777" w:rsidTr="00FC6DB6">
        <w:tc>
          <w:tcPr>
            <w:tcW w:w="0" w:type="auto"/>
          </w:tcPr>
          <w:p w14:paraId="267CE1B8"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Wo</w:t>
            </w:r>
            <w:r>
              <w:rPr>
                <w:rFonts w:ascii="Times New Roman" w:hAnsi="Times New Roman" w:cs="Times New Roman"/>
                <w:b/>
              </w:rPr>
              <w:t>llastonite</w:t>
            </w:r>
          </w:p>
        </w:tc>
        <w:tc>
          <w:tcPr>
            <w:tcW w:w="0" w:type="auto"/>
          </w:tcPr>
          <w:p w14:paraId="1FEC1F6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14:paraId="407E21F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6.5</w:t>
            </w:r>
          </w:p>
        </w:tc>
        <w:tc>
          <w:tcPr>
            <w:tcW w:w="0" w:type="auto"/>
          </w:tcPr>
          <w:p w14:paraId="41E9CF41"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6.9</w:t>
            </w:r>
          </w:p>
        </w:tc>
        <w:tc>
          <w:tcPr>
            <w:tcW w:w="0" w:type="auto"/>
          </w:tcPr>
          <w:p w14:paraId="41C0D83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7.4</w:t>
            </w:r>
          </w:p>
        </w:tc>
        <w:tc>
          <w:tcPr>
            <w:tcW w:w="0" w:type="auto"/>
          </w:tcPr>
          <w:p w14:paraId="1E347E0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8.3</w:t>
            </w:r>
          </w:p>
        </w:tc>
        <w:tc>
          <w:tcPr>
            <w:tcW w:w="0" w:type="auto"/>
          </w:tcPr>
          <w:p w14:paraId="5ED341D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14:paraId="6991752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8.1</w:t>
            </w:r>
          </w:p>
        </w:tc>
        <w:tc>
          <w:tcPr>
            <w:tcW w:w="0" w:type="auto"/>
          </w:tcPr>
          <w:p w14:paraId="0C490F4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c>
          <w:tcPr>
            <w:tcW w:w="0" w:type="auto"/>
          </w:tcPr>
          <w:p w14:paraId="69DCA92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c>
          <w:tcPr>
            <w:tcW w:w="0" w:type="auto"/>
          </w:tcPr>
          <w:p w14:paraId="515329F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9.3</w:t>
            </w:r>
          </w:p>
        </w:tc>
      </w:tr>
      <w:tr w:rsidR="00D56B14" w:rsidRPr="00CD3EBE" w14:paraId="40150617" w14:textId="77777777" w:rsidTr="00FC6DB6">
        <w:tc>
          <w:tcPr>
            <w:tcW w:w="0" w:type="auto"/>
          </w:tcPr>
          <w:p w14:paraId="6435222D"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Ilmenite</w:t>
            </w:r>
          </w:p>
        </w:tc>
        <w:tc>
          <w:tcPr>
            <w:tcW w:w="0" w:type="auto"/>
          </w:tcPr>
          <w:p w14:paraId="656D06D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22AD496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6CE64E6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5A59EE8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471F89BA"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1FF38D9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5D8CD99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7F834A1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c>
          <w:tcPr>
            <w:tcW w:w="0" w:type="auto"/>
          </w:tcPr>
          <w:p w14:paraId="6ABF54C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4925896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0.2</w:t>
            </w:r>
          </w:p>
        </w:tc>
      </w:tr>
      <w:tr w:rsidR="00D56B14" w:rsidRPr="00CD3EBE" w14:paraId="379C4B1A" w14:textId="77777777" w:rsidTr="00FC6DB6">
        <w:tc>
          <w:tcPr>
            <w:tcW w:w="0" w:type="auto"/>
          </w:tcPr>
          <w:p w14:paraId="019779C0"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Hematite</w:t>
            </w:r>
          </w:p>
        </w:tc>
        <w:tc>
          <w:tcPr>
            <w:tcW w:w="0" w:type="auto"/>
          </w:tcPr>
          <w:p w14:paraId="2B26629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9.1</w:t>
            </w:r>
          </w:p>
        </w:tc>
        <w:tc>
          <w:tcPr>
            <w:tcW w:w="0" w:type="auto"/>
          </w:tcPr>
          <w:p w14:paraId="7AA1ECC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7.5</w:t>
            </w:r>
          </w:p>
        </w:tc>
        <w:tc>
          <w:tcPr>
            <w:tcW w:w="0" w:type="auto"/>
          </w:tcPr>
          <w:p w14:paraId="3105D8D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14:paraId="485D5F7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7.8</w:t>
            </w:r>
          </w:p>
        </w:tc>
        <w:tc>
          <w:tcPr>
            <w:tcW w:w="0" w:type="auto"/>
          </w:tcPr>
          <w:p w14:paraId="41252A0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7.9</w:t>
            </w:r>
          </w:p>
        </w:tc>
        <w:tc>
          <w:tcPr>
            <w:tcW w:w="0" w:type="auto"/>
          </w:tcPr>
          <w:p w14:paraId="49C9624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9.6</w:t>
            </w:r>
          </w:p>
        </w:tc>
        <w:tc>
          <w:tcPr>
            <w:tcW w:w="0" w:type="auto"/>
          </w:tcPr>
          <w:p w14:paraId="4DCBDF3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7.6</w:t>
            </w:r>
          </w:p>
        </w:tc>
        <w:tc>
          <w:tcPr>
            <w:tcW w:w="0" w:type="auto"/>
          </w:tcPr>
          <w:p w14:paraId="213EF4E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8.7</w:t>
            </w:r>
          </w:p>
        </w:tc>
        <w:tc>
          <w:tcPr>
            <w:tcW w:w="0" w:type="auto"/>
          </w:tcPr>
          <w:p w14:paraId="07463D6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8.8</w:t>
            </w:r>
          </w:p>
        </w:tc>
        <w:tc>
          <w:tcPr>
            <w:tcW w:w="0" w:type="auto"/>
          </w:tcPr>
          <w:p w14:paraId="2CAE591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8.9</w:t>
            </w:r>
          </w:p>
        </w:tc>
      </w:tr>
      <w:tr w:rsidR="00D56B14" w:rsidRPr="00CD3EBE" w14:paraId="0F1ADA50" w14:textId="77777777" w:rsidTr="00FC6DB6">
        <w:tc>
          <w:tcPr>
            <w:tcW w:w="0" w:type="auto"/>
          </w:tcPr>
          <w:p w14:paraId="01FA016F"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Apatite</w:t>
            </w:r>
          </w:p>
        </w:tc>
        <w:tc>
          <w:tcPr>
            <w:tcW w:w="0" w:type="auto"/>
          </w:tcPr>
          <w:p w14:paraId="6F15C2C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14:paraId="30DD789A"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2.8</w:t>
            </w:r>
          </w:p>
        </w:tc>
        <w:tc>
          <w:tcPr>
            <w:tcW w:w="0" w:type="auto"/>
          </w:tcPr>
          <w:p w14:paraId="3B687A8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c>
          <w:tcPr>
            <w:tcW w:w="0" w:type="auto"/>
          </w:tcPr>
          <w:p w14:paraId="3232151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14:paraId="465FF11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14:paraId="69B0E21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2.9</w:t>
            </w:r>
          </w:p>
        </w:tc>
        <w:tc>
          <w:tcPr>
            <w:tcW w:w="0" w:type="auto"/>
          </w:tcPr>
          <w:p w14:paraId="41DF357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3.1</w:t>
            </w:r>
          </w:p>
        </w:tc>
        <w:tc>
          <w:tcPr>
            <w:tcW w:w="0" w:type="auto"/>
          </w:tcPr>
          <w:p w14:paraId="2B12381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2.4</w:t>
            </w:r>
          </w:p>
        </w:tc>
        <w:tc>
          <w:tcPr>
            <w:tcW w:w="0" w:type="auto"/>
          </w:tcPr>
          <w:p w14:paraId="74FFD1B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2.7</w:t>
            </w:r>
          </w:p>
        </w:tc>
        <w:tc>
          <w:tcPr>
            <w:tcW w:w="0" w:type="auto"/>
          </w:tcPr>
          <w:p w14:paraId="151CDB6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2.5</w:t>
            </w:r>
          </w:p>
        </w:tc>
      </w:tr>
      <w:tr w:rsidR="00D56B14" w:rsidRPr="00CD3EBE" w14:paraId="6F45F039" w14:textId="77777777" w:rsidTr="00FC6DB6">
        <w:tc>
          <w:tcPr>
            <w:tcW w:w="0" w:type="auto"/>
          </w:tcPr>
          <w:p w14:paraId="1435F041"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Pyrite</w:t>
            </w:r>
          </w:p>
        </w:tc>
        <w:tc>
          <w:tcPr>
            <w:tcW w:w="0" w:type="auto"/>
          </w:tcPr>
          <w:p w14:paraId="744EA22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14:paraId="07AEFF3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14:paraId="5F81CD6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11B1BBE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14:paraId="6A81DAA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0.03</w:t>
            </w:r>
          </w:p>
        </w:tc>
        <w:tc>
          <w:tcPr>
            <w:tcW w:w="0" w:type="auto"/>
          </w:tcPr>
          <w:p w14:paraId="12ADA3F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2A78F5A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7D74F23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0A7D0D10"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c>
          <w:tcPr>
            <w:tcW w:w="0" w:type="auto"/>
          </w:tcPr>
          <w:p w14:paraId="7A6AD3A2"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0.1</w:t>
            </w:r>
          </w:p>
        </w:tc>
      </w:tr>
      <w:tr w:rsidR="00D56B14" w:rsidRPr="00CD3EBE" w14:paraId="2568CFEB" w14:textId="77777777" w:rsidTr="00FC6DB6">
        <w:tc>
          <w:tcPr>
            <w:tcW w:w="0" w:type="auto"/>
          </w:tcPr>
          <w:p w14:paraId="691DBD01"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Biotite</w:t>
            </w:r>
          </w:p>
        </w:tc>
        <w:tc>
          <w:tcPr>
            <w:tcW w:w="0" w:type="auto"/>
          </w:tcPr>
          <w:p w14:paraId="34E8CAC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22.6</w:t>
            </w:r>
          </w:p>
        </w:tc>
        <w:tc>
          <w:tcPr>
            <w:tcW w:w="0" w:type="auto"/>
          </w:tcPr>
          <w:p w14:paraId="61B7C79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20.6</w:t>
            </w:r>
          </w:p>
        </w:tc>
        <w:tc>
          <w:tcPr>
            <w:tcW w:w="0" w:type="auto"/>
          </w:tcPr>
          <w:p w14:paraId="627219B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14:paraId="4E51847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20.7</w:t>
            </w:r>
          </w:p>
        </w:tc>
        <w:tc>
          <w:tcPr>
            <w:tcW w:w="0" w:type="auto"/>
          </w:tcPr>
          <w:p w14:paraId="2853437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22.9</w:t>
            </w:r>
          </w:p>
        </w:tc>
        <w:tc>
          <w:tcPr>
            <w:tcW w:w="0" w:type="auto"/>
          </w:tcPr>
          <w:p w14:paraId="1D4FE03C"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19.2</w:t>
            </w:r>
          </w:p>
        </w:tc>
        <w:tc>
          <w:tcPr>
            <w:tcW w:w="0" w:type="auto"/>
          </w:tcPr>
          <w:p w14:paraId="1C5A138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20.9</w:t>
            </w:r>
          </w:p>
        </w:tc>
        <w:tc>
          <w:tcPr>
            <w:tcW w:w="0" w:type="auto"/>
          </w:tcPr>
          <w:p w14:paraId="46ABB839"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10.8</w:t>
            </w:r>
          </w:p>
        </w:tc>
        <w:tc>
          <w:tcPr>
            <w:tcW w:w="0" w:type="auto"/>
          </w:tcPr>
          <w:p w14:paraId="44C7338E"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22.3</w:t>
            </w:r>
          </w:p>
        </w:tc>
        <w:tc>
          <w:tcPr>
            <w:tcW w:w="0" w:type="auto"/>
          </w:tcPr>
          <w:p w14:paraId="2911A80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22.8</w:t>
            </w:r>
          </w:p>
        </w:tc>
      </w:tr>
      <w:tr w:rsidR="00D56B14" w:rsidRPr="00CD3EBE" w14:paraId="761C445E" w14:textId="77777777" w:rsidTr="00FC6DB6">
        <w:tc>
          <w:tcPr>
            <w:tcW w:w="0" w:type="auto"/>
          </w:tcPr>
          <w:p w14:paraId="40FD3201" w14:textId="77777777" w:rsidR="00D56B14" w:rsidRPr="00CD3EBE" w:rsidRDefault="00D56B14" w:rsidP="00D56B14">
            <w:pPr>
              <w:rPr>
                <w:rFonts w:ascii="Times New Roman" w:hAnsi="Times New Roman" w:cs="Times New Roman"/>
                <w:b/>
              </w:rPr>
            </w:pPr>
            <w:r w:rsidRPr="00CD3EBE">
              <w:rPr>
                <w:rFonts w:ascii="Times New Roman" w:hAnsi="Times New Roman" w:cs="Times New Roman"/>
                <w:b/>
              </w:rPr>
              <w:t>SUM</w:t>
            </w:r>
          </w:p>
        </w:tc>
        <w:tc>
          <w:tcPr>
            <w:tcW w:w="0" w:type="auto"/>
          </w:tcPr>
          <w:p w14:paraId="4C741CB7"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98.1</w:t>
            </w:r>
          </w:p>
        </w:tc>
        <w:tc>
          <w:tcPr>
            <w:tcW w:w="0" w:type="auto"/>
          </w:tcPr>
          <w:p w14:paraId="1D7E75D8"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14:paraId="177B9F63"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97.5</w:t>
            </w:r>
          </w:p>
        </w:tc>
        <w:tc>
          <w:tcPr>
            <w:tcW w:w="0" w:type="auto"/>
          </w:tcPr>
          <w:p w14:paraId="7C9E4A1D"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97.9</w:t>
            </w:r>
          </w:p>
        </w:tc>
        <w:tc>
          <w:tcPr>
            <w:tcW w:w="0" w:type="auto"/>
          </w:tcPr>
          <w:p w14:paraId="5F8E40BB"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98.5</w:t>
            </w:r>
          </w:p>
        </w:tc>
        <w:tc>
          <w:tcPr>
            <w:tcW w:w="0" w:type="auto"/>
          </w:tcPr>
          <w:p w14:paraId="6F562C0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14:paraId="57E52B64"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97.7</w:t>
            </w:r>
          </w:p>
        </w:tc>
        <w:tc>
          <w:tcPr>
            <w:tcW w:w="0" w:type="auto"/>
          </w:tcPr>
          <w:p w14:paraId="0DBE838F"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97.6</w:t>
            </w:r>
          </w:p>
        </w:tc>
        <w:tc>
          <w:tcPr>
            <w:tcW w:w="0" w:type="auto"/>
          </w:tcPr>
          <w:p w14:paraId="60C9AB76"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99.7</w:t>
            </w:r>
          </w:p>
        </w:tc>
        <w:tc>
          <w:tcPr>
            <w:tcW w:w="0" w:type="auto"/>
          </w:tcPr>
          <w:p w14:paraId="33C3B5A5" w14:textId="77777777" w:rsidR="00D56B14" w:rsidRPr="00D56B14" w:rsidRDefault="00D56B14" w:rsidP="00D56B14">
            <w:pPr>
              <w:rPr>
                <w:rFonts w:ascii="Times New Roman" w:hAnsi="Times New Roman" w:cs="Times New Roman"/>
              </w:rPr>
            </w:pPr>
            <w:r w:rsidRPr="00D56B14">
              <w:rPr>
                <w:rFonts w:ascii="Times New Roman" w:hAnsi="Times New Roman" w:cs="Times New Roman"/>
              </w:rPr>
              <w:t>98.3</w:t>
            </w:r>
          </w:p>
        </w:tc>
      </w:tr>
    </w:tbl>
    <w:p w14:paraId="3577CAA7" w14:textId="77777777" w:rsidR="00D56B14" w:rsidRDefault="00D56B14" w:rsidP="00EF6477">
      <w:pPr>
        <w:rPr>
          <w:rFonts w:ascii="Times New Roman" w:hAnsi="Times New Roman" w:cs="Times New Roman"/>
          <w:sz w:val="24"/>
          <w:szCs w:val="24"/>
        </w:rPr>
      </w:pPr>
    </w:p>
    <w:p w14:paraId="4FA62FED" w14:textId="77777777" w:rsidR="000025DA" w:rsidRDefault="000025DA" w:rsidP="00EF6477">
      <w:pPr>
        <w:rPr>
          <w:rFonts w:ascii="Times New Roman" w:hAnsi="Times New Roman" w:cs="Times New Roman"/>
          <w:sz w:val="24"/>
          <w:szCs w:val="24"/>
        </w:rPr>
      </w:pPr>
    </w:p>
    <w:p w14:paraId="358966F9" w14:textId="77777777" w:rsidR="000025DA" w:rsidRPr="003373D4" w:rsidRDefault="000025DA" w:rsidP="000025DA">
      <w:pPr>
        <w:spacing w:after="0" w:line="480" w:lineRule="auto"/>
        <w:ind w:left="100"/>
        <w:rPr>
          <w:rFonts w:ascii="Times New Roman" w:hAnsi="Times New Roman" w:cs="Times New Roman"/>
          <w:sz w:val="24"/>
          <w:szCs w:val="24"/>
        </w:rPr>
      </w:pPr>
      <w:r w:rsidRPr="003373D4">
        <w:rPr>
          <w:rFonts w:ascii="Times New Roman" w:hAnsi="Times New Roman" w:cs="Times New Roman"/>
          <w:sz w:val="24"/>
          <w:szCs w:val="24"/>
        </w:rPr>
        <w:t>T</w:t>
      </w:r>
      <w:r w:rsidRPr="003373D4">
        <w:rPr>
          <w:rFonts w:ascii="Times New Roman" w:hAnsi="Times New Roman" w:cs="Times New Roman"/>
          <w:spacing w:val="-1"/>
          <w:sz w:val="24"/>
          <w:szCs w:val="24"/>
        </w:rPr>
        <w:t>a</w:t>
      </w:r>
      <w:r>
        <w:rPr>
          <w:rFonts w:ascii="Times New Roman" w:hAnsi="Times New Roman" w:cs="Times New Roman"/>
          <w:sz w:val="24"/>
          <w:szCs w:val="24"/>
        </w:rPr>
        <w:t>ble 2</w:t>
      </w:r>
      <w:r w:rsidRPr="003373D4">
        <w:rPr>
          <w:rFonts w:ascii="Times New Roman" w:hAnsi="Times New Roman" w:cs="Times New Roman"/>
          <w:sz w:val="24"/>
          <w:szCs w:val="24"/>
        </w:rPr>
        <w:t>: M</w:t>
      </w:r>
      <w:r w:rsidRPr="003373D4">
        <w:rPr>
          <w:rFonts w:ascii="Times New Roman" w:hAnsi="Times New Roman" w:cs="Times New Roman"/>
          <w:spacing w:val="-1"/>
          <w:sz w:val="24"/>
          <w:szCs w:val="24"/>
        </w:rPr>
        <w:t>a</w:t>
      </w:r>
      <w:r w:rsidRPr="003373D4">
        <w:rPr>
          <w:rFonts w:ascii="Times New Roman" w:hAnsi="Times New Roman" w:cs="Times New Roman"/>
          <w:sz w:val="24"/>
          <w:szCs w:val="24"/>
        </w:rPr>
        <w:t>jor</w:t>
      </w:r>
      <w:r w:rsidRPr="003373D4">
        <w:rPr>
          <w:rFonts w:ascii="Times New Roman" w:hAnsi="Times New Roman" w:cs="Times New Roman"/>
          <w:spacing w:val="2"/>
          <w:sz w:val="24"/>
          <w:szCs w:val="24"/>
        </w:rPr>
        <w:t xml:space="preserve"> </w:t>
      </w:r>
      <w:r w:rsidRPr="003373D4">
        <w:rPr>
          <w:rFonts w:ascii="Times New Roman" w:hAnsi="Times New Roman" w:cs="Times New Roman"/>
          <w:sz w:val="24"/>
          <w:szCs w:val="24"/>
        </w:rPr>
        <w:t>O</w:t>
      </w:r>
      <w:r w:rsidRPr="003373D4">
        <w:rPr>
          <w:rFonts w:ascii="Times New Roman" w:hAnsi="Times New Roman" w:cs="Times New Roman"/>
          <w:spacing w:val="2"/>
          <w:sz w:val="24"/>
          <w:szCs w:val="24"/>
        </w:rPr>
        <w:t>x</w:t>
      </w:r>
      <w:r w:rsidRPr="003373D4">
        <w:rPr>
          <w:rFonts w:ascii="Times New Roman" w:hAnsi="Times New Roman" w:cs="Times New Roman"/>
          <w:sz w:val="24"/>
          <w:szCs w:val="24"/>
        </w:rPr>
        <w:t>ides</w:t>
      </w:r>
      <w:r w:rsidRPr="003373D4">
        <w:rPr>
          <w:rFonts w:ascii="Times New Roman" w:hAnsi="Times New Roman" w:cs="Times New Roman"/>
          <w:spacing w:val="1"/>
          <w:sz w:val="24"/>
          <w:szCs w:val="24"/>
        </w:rPr>
        <w:t xml:space="preserve"> </w:t>
      </w:r>
      <w:r w:rsidRPr="003373D4">
        <w:rPr>
          <w:rFonts w:ascii="Times New Roman" w:hAnsi="Times New Roman" w:cs="Times New Roman"/>
          <w:sz w:val="24"/>
          <w:szCs w:val="24"/>
        </w:rPr>
        <w:t>(</w:t>
      </w:r>
      <w:r w:rsidRPr="003373D4">
        <w:rPr>
          <w:rFonts w:ascii="Times New Roman" w:hAnsi="Times New Roman" w:cs="Times New Roman"/>
          <w:spacing w:val="-1"/>
          <w:sz w:val="24"/>
          <w:szCs w:val="24"/>
        </w:rPr>
        <w:t>w</w:t>
      </w:r>
      <w:r w:rsidRPr="003373D4">
        <w:rPr>
          <w:rFonts w:ascii="Times New Roman" w:hAnsi="Times New Roman" w:cs="Times New Roman"/>
          <w:sz w:val="24"/>
          <w:szCs w:val="24"/>
        </w:rPr>
        <w:t>t %)</w:t>
      </w:r>
      <w:r w:rsidRPr="003373D4">
        <w:rPr>
          <w:rFonts w:ascii="Times New Roman" w:hAnsi="Times New Roman" w:cs="Times New Roman"/>
          <w:spacing w:val="-1"/>
          <w:sz w:val="24"/>
          <w:szCs w:val="24"/>
        </w:rPr>
        <w:t xml:space="preserve"> c</w:t>
      </w:r>
      <w:r w:rsidRPr="003373D4">
        <w:rPr>
          <w:rFonts w:ascii="Times New Roman" w:hAnsi="Times New Roman" w:cs="Times New Roman"/>
          <w:sz w:val="24"/>
          <w:szCs w:val="24"/>
        </w:rPr>
        <w:t>omposi</w:t>
      </w:r>
      <w:r w:rsidRPr="003373D4">
        <w:rPr>
          <w:rFonts w:ascii="Times New Roman" w:hAnsi="Times New Roman" w:cs="Times New Roman"/>
          <w:spacing w:val="1"/>
          <w:sz w:val="24"/>
          <w:szCs w:val="24"/>
        </w:rPr>
        <w:t>t</w:t>
      </w:r>
      <w:r w:rsidRPr="003373D4">
        <w:rPr>
          <w:rFonts w:ascii="Times New Roman" w:hAnsi="Times New Roman" w:cs="Times New Roman"/>
          <w:sz w:val="24"/>
          <w:szCs w:val="24"/>
        </w:rPr>
        <w:t>ion of</w:t>
      </w:r>
      <w:r w:rsidRPr="003373D4">
        <w:rPr>
          <w:rFonts w:ascii="Times New Roman" w:hAnsi="Times New Roman" w:cs="Times New Roman"/>
          <w:spacing w:val="2"/>
          <w:sz w:val="24"/>
          <w:szCs w:val="24"/>
        </w:rPr>
        <w:t xml:space="preserve"> </w:t>
      </w:r>
      <w:r>
        <w:rPr>
          <w:rFonts w:ascii="Times New Roman" w:hAnsi="Times New Roman" w:cs="Times New Roman"/>
          <w:spacing w:val="-6"/>
          <w:sz w:val="24"/>
          <w:szCs w:val="24"/>
        </w:rPr>
        <w:t>Syenitic r</w:t>
      </w:r>
      <w:r w:rsidRPr="003373D4">
        <w:rPr>
          <w:rFonts w:ascii="Times New Roman" w:hAnsi="Times New Roman" w:cs="Times New Roman"/>
          <w:spacing w:val="-6"/>
          <w:sz w:val="24"/>
          <w:szCs w:val="24"/>
        </w:rPr>
        <w:t>ock</w:t>
      </w:r>
      <w:r w:rsidRPr="003373D4">
        <w:rPr>
          <w:rFonts w:ascii="Times New Roman" w:hAnsi="Times New Roman"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621"/>
        <w:gridCol w:w="587"/>
        <w:gridCol w:w="657"/>
        <w:gridCol w:w="664"/>
        <w:gridCol w:w="627"/>
        <w:gridCol w:w="614"/>
        <w:gridCol w:w="575"/>
        <w:gridCol w:w="636"/>
        <w:gridCol w:w="558"/>
        <w:gridCol w:w="588"/>
        <w:gridCol w:w="686"/>
        <w:gridCol w:w="550"/>
        <w:gridCol w:w="621"/>
      </w:tblGrid>
      <w:tr w:rsidR="006D01C5" w:rsidRPr="006D01C5" w14:paraId="037BBA31" w14:textId="77777777" w:rsidTr="002B134A">
        <w:trPr>
          <w:trHeight w:val="285"/>
          <w:jc w:val="center"/>
        </w:trPr>
        <w:tc>
          <w:tcPr>
            <w:tcW w:w="0" w:type="auto"/>
            <w:noWrap/>
            <w:vAlign w:val="bottom"/>
          </w:tcPr>
          <w:p w14:paraId="73402A0F" w14:textId="77777777" w:rsidR="006D01C5" w:rsidRPr="006D01C5" w:rsidRDefault="006D01C5" w:rsidP="006D01C5">
            <w:pPr>
              <w:spacing w:after="0" w:line="480" w:lineRule="auto"/>
              <w:rPr>
                <w:rFonts w:ascii="Times New Roman" w:hAnsi="Times New Roman" w:cs="Times New Roman"/>
                <w:b/>
                <w:color w:val="000000"/>
                <w:sz w:val="18"/>
                <w:szCs w:val="24"/>
              </w:rPr>
            </w:pPr>
            <w:r w:rsidRPr="006D01C5">
              <w:rPr>
                <w:rFonts w:ascii="Times New Roman" w:hAnsi="Times New Roman" w:cs="Times New Roman"/>
                <w:b/>
                <w:color w:val="000000"/>
                <w:sz w:val="18"/>
                <w:szCs w:val="24"/>
              </w:rPr>
              <w:t>Sample No</w:t>
            </w:r>
          </w:p>
        </w:tc>
        <w:tc>
          <w:tcPr>
            <w:tcW w:w="0" w:type="auto"/>
            <w:noWrap/>
            <w:vAlign w:val="bottom"/>
          </w:tcPr>
          <w:p w14:paraId="7F9A65D9"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S</w:t>
            </w:r>
            <w:r w:rsidRPr="006D01C5">
              <w:rPr>
                <w:rFonts w:ascii="Times New Roman" w:hAnsi="Times New Roman" w:cs="Times New Roman"/>
                <w:b/>
                <w:sz w:val="18"/>
                <w:szCs w:val="24"/>
              </w:rPr>
              <w:t>iO</w:t>
            </w:r>
            <w:r w:rsidRPr="006D01C5">
              <w:rPr>
                <w:rFonts w:ascii="Times New Roman" w:hAnsi="Times New Roman" w:cs="Times New Roman"/>
                <w:b/>
                <w:position w:val="-2"/>
                <w:sz w:val="18"/>
                <w:szCs w:val="24"/>
                <w:vertAlign w:val="subscript"/>
              </w:rPr>
              <w:t>2</w:t>
            </w:r>
          </w:p>
        </w:tc>
        <w:tc>
          <w:tcPr>
            <w:tcW w:w="0" w:type="auto"/>
            <w:vAlign w:val="bottom"/>
          </w:tcPr>
          <w:p w14:paraId="61424551"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TiO</w:t>
            </w:r>
            <w:r w:rsidRPr="006D01C5">
              <w:rPr>
                <w:rFonts w:ascii="Times New Roman" w:hAnsi="Times New Roman" w:cs="Times New Roman"/>
                <w:b/>
                <w:position w:val="-2"/>
                <w:sz w:val="18"/>
                <w:szCs w:val="24"/>
                <w:vertAlign w:val="subscript"/>
              </w:rPr>
              <w:t>2</w:t>
            </w:r>
          </w:p>
        </w:tc>
        <w:tc>
          <w:tcPr>
            <w:tcW w:w="0" w:type="auto"/>
            <w:noWrap/>
            <w:vAlign w:val="bottom"/>
          </w:tcPr>
          <w:p w14:paraId="466A2EA2"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Al</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noWrap/>
            <w:vAlign w:val="bottom"/>
          </w:tcPr>
          <w:p w14:paraId="728BE081"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Fe</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vAlign w:val="bottom"/>
          </w:tcPr>
          <w:p w14:paraId="7B30A507"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MnO</w:t>
            </w:r>
          </w:p>
        </w:tc>
        <w:tc>
          <w:tcPr>
            <w:tcW w:w="0" w:type="auto"/>
            <w:noWrap/>
            <w:vAlign w:val="bottom"/>
          </w:tcPr>
          <w:p w14:paraId="1437FA9A"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M</w:t>
            </w:r>
            <w:r w:rsidRPr="006D01C5">
              <w:rPr>
                <w:rFonts w:ascii="Times New Roman" w:hAnsi="Times New Roman" w:cs="Times New Roman"/>
                <w:b/>
                <w:spacing w:val="-2"/>
                <w:sz w:val="18"/>
                <w:szCs w:val="24"/>
              </w:rPr>
              <w:t>g</w:t>
            </w:r>
            <w:r w:rsidRPr="006D01C5">
              <w:rPr>
                <w:rFonts w:ascii="Times New Roman" w:hAnsi="Times New Roman" w:cs="Times New Roman"/>
                <w:b/>
                <w:sz w:val="18"/>
                <w:szCs w:val="24"/>
              </w:rPr>
              <w:t>O</w:t>
            </w:r>
          </w:p>
        </w:tc>
        <w:tc>
          <w:tcPr>
            <w:tcW w:w="0" w:type="auto"/>
            <w:noWrap/>
            <w:vAlign w:val="bottom"/>
          </w:tcPr>
          <w:p w14:paraId="42959F91"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C</w:t>
            </w:r>
            <w:r w:rsidRPr="006D01C5">
              <w:rPr>
                <w:rFonts w:ascii="Times New Roman" w:hAnsi="Times New Roman" w:cs="Times New Roman"/>
                <w:b/>
                <w:spacing w:val="-1"/>
                <w:sz w:val="18"/>
                <w:szCs w:val="24"/>
              </w:rPr>
              <w:t>a</w:t>
            </w:r>
            <w:r w:rsidRPr="006D01C5">
              <w:rPr>
                <w:rFonts w:ascii="Times New Roman" w:hAnsi="Times New Roman" w:cs="Times New Roman"/>
                <w:b/>
                <w:sz w:val="18"/>
                <w:szCs w:val="24"/>
              </w:rPr>
              <w:t>O</w:t>
            </w:r>
          </w:p>
        </w:tc>
        <w:tc>
          <w:tcPr>
            <w:tcW w:w="0" w:type="auto"/>
            <w:noWrap/>
            <w:vAlign w:val="bottom"/>
          </w:tcPr>
          <w:p w14:paraId="01174B4E"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N</w:t>
            </w:r>
            <w:r w:rsidRPr="006D01C5">
              <w:rPr>
                <w:rFonts w:ascii="Times New Roman" w:hAnsi="Times New Roman" w:cs="Times New Roman"/>
                <w:b/>
                <w:spacing w:val="-1"/>
                <w:sz w:val="18"/>
                <w:szCs w:val="24"/>
              </w:rPr>
              <w:t>a</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noWrap/>
            <w:vAlign w:val="bottom"/>
          </w:tcPr>
          <w:p w14:paraId="75B0A9B4"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z w:val="18"/>
                <w:szCs w:val="24"/>
              </w:rPr>
              <w:t>K</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p>
        </w:tc>
        <w:tc>
          <w:tcPr>
            <w:tcW w:w="0" w:type="auto"/>
            <w:noWrap/>
            <w:vAlign w:val="bottom"/>
          </w:tcPr>
          <w:p w14:paraId="156B4B57"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P</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z w:val="18"/>
                <w:szCs w:val="24"/>
              </w:rPr>
              <w:t>O</w:t>
            </w:r>
            <w:r w:rsidRPr="006D01C5">
              <w:rPr>
                <w:rFonts w:ascii="Times New Roman" w:hAnsi="Times New Roman" w:cs="Times New Roman"/>
                <w:b/>
                <w:position w:val="-2"/>
                <w:sz w:val="18"/>
                <w:szCs w:val="24"/>
                <w:vertAlign w:val="subscript"/>
              </w:rPr>
              <w:t>5</w:t>
            </w:r>
          </w:p>
        </w:tc>
        <w:tc>
          <w:tcPr>
            <w:tcW w:w="0" w:type="auto"/>
            <w:noWrap/>
            <w:vAlign w:val="bottom"/>
          </w:tcPr>
          <w:p w14:paraId="50360BAA" w14:textId="77777777" w:rsidR="006D01C5" w:rsidRPr="006D01C5" w:rsidRDefault="006D01C5" w:rsidP="006D01C5">
            <w:pPr>
              <w:spacing w:after="0" w:line="480" w:lineRule="auto"/>
              <w:jc w:val="right"/>
              <w:rPr>
                <w:rFonts w:ascii="Times New Roman" w:hAnsi="Times New Roman" w:cs="Times New Roman"/>
                <w:b/>
                <w:color w:val="000000"/>
                <w:sz w:val="18"/>
                <w:szCs w:val="24"/>
              </w:rPr>
            </w:pPr>
            <w:r w:rsidRPr="006D01C5">
              <w:rPr>
                <w:rFonts w:ascii="Times New Roman" w:hAnsi="Times New Roman" w:cs="Times New Roman"/>
                <w:b/>
                <w:spacing w:val="1"/>
                <w:sz w:val="18"/>
                <w:szCs w:val="24"/>
              </w:rPr>
              <w:t>C</w:t>
            </w:r>
            <w:r w:rsidRPr="006D01C5">
              <w:rPr>
                <w:rFonts w:ascii="Times New Roman" w:hAnsi="Times New Roman" w:cs="Times New Roman"/>
                <w:b/>
                <w:spacing w:val="-1"/>
                <w:sz w:val="18"/>
                <w:szCs w:val="24"/>
              </w:rPr>
              <w:t>r</w:t>
            </w:r>
            <w:r w:rsidRPr="006D01C5">
              <w:rPr>
                <w:rFonts w:ascii="Times New Roman" w:hAnsi="Times New Roman" w:cs="Times New Roman"/>
                <w:b/>
                <w:spacing w:val="1"/>
                <w:position w:val="-2"/>
                <w:sz w:val="18"/>
                <w:szCs w:val="24"/>
                <w:vertAlign w:val="subscript"/>
              </w:rPr>
              <w:t>2</w:t>
            </w:r>
            <w:r w:rsidRPr="006D01C5">
              <w:rPr>
                <w:rFonts w:ascii="Times New Roman" w:hAnsi="Times New Roman" w:cs="Times New Roman"/>
                <w:b/>
                <w:spacing w:val="-1"/>
                <w:sz w:val="18"/>
                <w:szCs w:val="24"/>
              </w:rPr>
              <w:t>O</w:t>
            </w:r>
            <w:r w:rsidRPr="006D01C5">
              <w:rPr>
                <w:rFonts w:ascii="Times New Roman" w:hAnsi="Times New Roman" w:cs="Times New Roman"/>
                <w:b/>
                <w:position w:val="-2"/>
                <w:sz w:val="18"/>
                <w:szCs w:val="24"/>
                <w:vertAlign w:val="subscript"/>
              </w:rPr>
              <w:t>3</w:t>
            </w:r>
          </w:p>
        </w:tc>
        <w:tc>
          <w:tcPr>
            <w:tcW w:w="0" w:type="auto"/>
          </w:tcPr>
          <w:p w14:paraId="446A6867" w14:textId="77777777"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LOI</w:t>
            </w:r>
          </w:p>
        </w:tc>
        <w:tc>
          <w:tcPr>
            <w:tcW w:w="0" w:type="auto"/>
          </w:tcPr>
          <w:p w14:paraId="4134039F" w14:textId="77777777" w:rsidR="006D01C5" w:rsidRPr="006D01C5" w:rsidRDefault="006D01C5" w:rsidP="006D01C5">
            <w:pPr>
              <w:spacing w:after="0" w:line="480" w:lineRule="auto"/>
              <w:jc w:val="right"/>
              <w:rPr>
                <w:rFonts w:ascii="Times New Roman" w:hAnsi="Times New Roman" w:cs="Times New Roman"/>
                <w:b/>
                <w:spacing w:val="1"/>
                <w:sz w:val="18"/>
                <w:szCs w:val="24"/>
              </w:rPr>
            </w:pPr>
            <w:r w:rsidRPr="006D01C5">
              <w:rPr>
                <w:rFonts w:ascii="Times New Roman" w:hAnsi="Times New Roman" w:cs="Times New Roman"/>
                <w:b/>
                <w:spacing w:val="1"/>
                <w:sz w:val="18"/>
                <w:szCs w:val="24"/>
              </w:rPr>
              <w:t>SUM</w:t>
            </w:r>
          </w:p>
        </w:tc>
      </w:tr>
      <w:tr w:rsidR="006D01C5" w:rsidRPr="003003A2" w14:paraId="0E69B759" w14:textId="77777777" w:rsidTr="002B134A">
        <w:trPr>
          <w:trHeight w:val="285"/>
          <w:jc w:val="center"/>
        </w:trPr>
        <w:tc>
          <w:tcPr>
            <w:tcW w:w="0" w:type="auto"/>
            <w:noWrap/>
            <w:vAlign w:val="bottom"/>
            <w:hideMark/>
          </w:tcPr>
          <w:p w14:paraId="3CA28B98"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w:t>
            </w:r>
          </w:p>
        </w:tc>
        <w:tc>
          <w:tcPr>
            <w:tcW w:w="0" w:type="auto"/>
            <w:noWrap/>
            <w:vAlign w:val="bottom"/>
            <w:hideMark/>
          </w:tcPr>
          <w:p w14:paraId="42D21CF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53.95</w:t>
            </w:r>
          </w:p>
        </w:tc>
        <w:tc>
          <w:tcPr>
            <w:tcW w:w="0" w:type="auto"/>
            <w:vAlign w:val="bottom"/>
          </w:tcPr>
          <w:p w14:paraId="11AED66D"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noWrap/>
            <w:vAlign w:val="bottom"/>
            <w:hideMark/>
          </w:tcPr>
          <w:p w14:paraId="7B64D62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11.89</w:t>
            </w:r>
          </w:p>
        </w:tc>
        <w:tc>
          <w:tcPr>
            <w:tcW w:w="0" w:type="auto"/>
            <w:noWrap/>
            <w:vAlign w:val="bottom"/>
            <w:hideMark/>
          </w:tcPr>
          <w:p w14:paraId="6677BB94"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9.02</w:t>
            </w:r>
          </w:p>
        </w:tc>
        <w:tc>
          <w:tcPr>
            <w:tcW w:w="0" w:type="auto"/>
            <w:vAlign w:val="bottom"/>
          </w:tcPr>
          <w:p w14:paraId="1A6405E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noWrap/>
            <w:vAlign w:val="bottom"/>
            <w:hideMark/>
          </w:tcPr>
          <w:p w14:paraId="0A42CF9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6.83</w:t>
            </w:r>
          </w:p>
        </w:tc>
        <w:tc>
          <w:tcPr>
            <w:tcW w:w="0" w:type="auto"/>
            <w:noWrap/>
            <w:vAlign w:val="bottom"/>
            <w:hideMark/>
          </w:tcPr>
          <w:p w14:paraId="4022FD4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noWrap/>
            <w:vAlign w:val="bottom"/>
            <w:hideMark/>
          </w:tcPr>
          <w:p w14:paraId="195B0DF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2.21</w:t>
            </w:r>
          </w:p>
        </w:tc>
        <w:tc>
          <w:tcPr>
            <w:tcW w:w="0" w:type="auto"/>
            <w:noWrap/>
            <w:vAlign w:val="bottom"/>
            <w:hideMark/>
          </w:tcPr>
          <w:p w14:paraId="55349F84"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noWrap/>
            <w:vAlign w:val="bottom"/>
            <w:hideMark/>
          </w:tcPr>
          <w:p w14:paraId="5ED8676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noWrap/>
            <w:vAlign w:val="bottom"/>
            <w:hideMark/>
          </w:tcPr>
          <w:p w14:paraId="2F042CE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14:paraId="4E3B096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w:t>
            </w:r>
          </w:p>
        </w:tc>
        <w:tc>
          <w:tcPr>
            <w:tcW w:w="0" w:type="auto"/>
            <w:vAlign w:val="bottom"/>
          </w:tcPr>
          <w:p w14:paraId="49E5C2A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14:paraId="58BD5751" w14:textId="77777777" w:rsidTr="002B134A">
        <w:trPr>
          <w:trHeight w:val="285"/>
          <w:jc w:val="center"/>
        </w:trPr>
        <w:tc>
          <w:tcPr>
            <w:tcW w:w="0" w:type="auto"/>
            <w:noWrap/>
            <w:vAlign w:val="bottom"/>
            <w:hideMark/>
          </w:tcPr>
          <w:p w14:paraId="08AB7EAB"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S2</w:t>
            </w:r>
          </w:p>
        </w:tc>
        <w:tc>
          <w:tcPr>
            <w:tcW w:w="0" w:type="auto"/>
            <w:noWrap/>
            <w:vAlign w:val="bottom"/>
            <w:hideMark/>
          </w:tcPr>
          <w:p w14:paraId="3627157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55.71</w:t>
            </w:r>
          </w:p>
        </w:tc>
        <w:tc>
          <w:tcPr>
            <w:tcW w:w="0" w:type="auto"/>
            <w:vAlign w:val="bottom"/>
          </w:tcPr>
          <w:p w14:paraId="146FBB5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0.78</w:t>
            </w:r>
          </w:p>
        </w:tc>
        <w:tc>
          <w:tcPr>
            <w:tcW w:w="0" w:type="auto"/>
            <w:noWrap/>
            <w:vAlign w:val="bottom"/>
            <w:hideMark/>
          </w:tcPr>
          <w:p w14:paraId="1D73DB0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w:t>
            </w:r>
          </w:p>
        </w:tc>
        <w:tc>
          <w:tcPr>
            <w:tcW w:w="0" w:type="auto"/>
            <w:noWrap/>
            <w:vAlign w:val="bottom"/>
            <w:hideMark/>
          </w:tcPr>
          <w:p w14:paraId="00A6087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w:t>
            </w:r>
          </w:p>
        </w:tc>
        <w:tc>
          <w:tcPr>
            <w:tcW w:w="0" w:type="auto"/>
            <w:vAlign w:val="bottom"/>
          </w:tcPr>
          <w:p w14:paraId="7C9E7E4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noWrap/>
            <w:vAlign w:val="bottom"/>
            <w:hideMark/>
          </w:tcPr>
          <w:p w14:paraId="6760A3C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6.22</w:t>
            </w:r>
          </w:p>
        </w:tc>
        <w:tc>
          <w:tcPr>
            <w:tcW w:w="0" w:type="auto"/>
            <w:noWrap/>
            <w:vAlign w:val="bottom"/>
            <w:hideMark/>
          </w:tcPr>
          <w:p w14:paraId="01789B4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5.53</w:t>
            </w:r>
          </w:p>
        </w:tc>
        <w:tc>
          <w:tcPr>
            <w:tcW w:w="0" w:type="auto"/>
            <w:noWrap/>
            <w:vAlign w:val="bottom"/>
            <w:hideMark/>
          </w:tcPr>
          <w:p w14:paraId="0AEAE32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2.29</w:t>
            </w:r>
          </w:p>
        </w:tc>
        <w:tc>
          <w:tcPr>
            <w:tcW w:w="0" w:type="auto"/>
            <w:noWrap/>
            <w:vAlign w:val="bottom"/>
            <w:hideMark/>
          </w:tcPr>
          <w:p w14:paraId="7018B3D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6.62</w:t>
            </w:r>
          </w:p>
        </w:tc>
        <w:tc>
          <w:tcPr>
            <w:tcW w:w="0" w:type="auto"/>
            <w:noWrap/>
            <w:vAlign w:val="bottom"/>
            <w:hideMark/>
          </w:tcPr>
          <w:p w14:paraId="7EB7592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w:t>
            </w:r>
          </w:p>
        </w:tc>
        <w:tc>
          <w:tcPr>
            <w:tcW w:w="0" w:type="auto"/>
            <w:noWrap/>
            <w:vAlign w:val="bottom"/>
            <w:hideMark/>
          </w:tcPr>
          <w:p w14:paraId="5AE488A2"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0.034</w:t>
            </w:r>
          </w:p>
        </w:tc>
        <w:tc>
          <w:tcPr>
            <w:tcW w:w="0" w:type="auto"/>
            <w:vAlign w:val="bottom"/>
          </w:tcPr>
          <w:p w14:paraId="0C5A89B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14:paraId="0862FE2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14:paraId="31A54024" w14:textId="77777777" w:rsidTr="002B134A">
        <w:trPr>
          <w:trHeight w:val="285"/>
          <w:jc w:val="center"/>
        </w:trPr>
        <w:tc>
          <w:tcPr>
            <w:tcW w:w="0" w:type="auto"/>
            <w:noWrap/>
            <w:vAlign w:val="bottom"/>
            <w:hideMark/>
          </w:tcPr>
          <w:p w14:paraId="72CB91E5"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S3</w:t>
            </w:r>
          </w:p>
        </w:tc>
        <w:tc>
          <w:tcPr>
            <w:tcW w:w="0" w:type="auto"/>
            <w:noWrap/>
            <w:vAlign w:val="bottom"/>
            <w:hideMark/>
          </w:tcPr>
          <w:p w14:paraId="06A8E55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14:paraId="187425A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noWrap/>
            <w:vAlign w:val="bottom"/>
            <w:hideMark/>
          </w:tcPr>
          <w:p w14:paraId="3AD4939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12.44</w:t>
            </w:r>
          </w:p>
        </w:tc>
        <w:tc>
          <w:tcPr>
            <w:tcW w:w="0" w:type="auto"/>
            <w:noWrap/>
            <w:vAlign w:val="bottom"/>
            <w:hideMark/>
          </w:tcPr>
          <w:p w14:paraId="082DE1B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8.68</w:t>
            </w:r>
          </w:p>
        </w:tc>
        <w:tc>
          <w:tcPr>
            <w:tcW w:w="0" w:type="auto"/>
            <w:vAlign w:val="bottom"/>
          </w:tcPr>
          <w:p w14:paraId="6339F51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noWrap/>
            <w:vAlign w:val="bottom"/>
            <w:hideMark/>
          </w:tcPr>
          <w:p w14:paraId="417D312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w:t>
            </w:r>
          </w:p>
        </w:tc>
        <w:tc>
          <w:tcPr>
            <w:tcW w:w="0" w:type="auto"/>
            <w:noWrap/>
            <w:vAlign w:val="bottom"/>
            <w:hideMark/>
          </w:tcPr>
          <w:p w14:paraId="7AD27F6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5.29</w:t>
            </w:r>
          </w:p>
        </w:tc>
        <w:tc>
          <w:tcPr>
            <w:tcW w:w="0" w:type="auto"/>
            <w:noWrap/>
            <w:vAlign w:val="bottom"/>
            <w:hideMark/>
          </w:tcPr>
          <w:p w14:paraId="786F5A87"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noWrap/>
            <w:vAlign w:val="bottom"/>
            <w:hideMark/>
          </w:tcPr>
          <w:p w14:paraId="62F0D677"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noWrap/>
            <w:vAlign w:val="bottom"/>
            <w:hideMark/>
          </w:tcPr>
          <w:p w14:paraId="4C6082F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1.06</w:t>
            </w:r>
          </w:p>
        </w:tc>
        <w:tc>
          <w:tcPr>
            <w:tcW w:w="0" w:type="auto"/>
            <w:noWrap/>
            <w:vAlign w:val="bottom"/>
            <w:hideMark/>
          </w:tcPr>
          <w:p w14:paraId="2D8C777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0.027</w:t>
            </w:r>
          </w:p>
        </w:tc>
        <w:tc>
          <w:tcPr>
            <w:tcW w:w="0" w:type="auto"/>
            <w:vAlign w:val="bottom"/>
          </w:tcPr>
          <w:p w14:paraId="00CF421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w:t>
            </w:r>
          </w:p>
        </w:tc>
        <w:tc>
          <w:tcPr>
            <w:tcW w:w="0" w:type="auto"/>
            <w:vAlign w:val="bottom"/>
          </w:tcPr>
          <w:p w14:paraId="2A26E82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683769AE" w14:textId="77777777" w:rsidTr="002B134A">
        <w:trPr>
          <w:trHeight w:val="285"/>
          <w:jc w:val="center"/>
        </w:trPr>
        <w:tc>
          <w:tcPr>
            <w:tcW w:w="0" w:type="auto"/>
            <w:noWrap/>
            <w:vAlign w:val="bottom"/>
            <w:hideMark/>
          </w:tcPr>
          <w:p w14:paraId="2B9A82DA"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S4</w:t>
            </w:r>
          </w:p>
        </w:tc>
        <w:tc>
          <w:tcPr>
            <w:tcW w:w="0" w:type="auto"/>
            <w:noWrap/>
            <w:vAlign w:val="bottom"/>
            <w:hideMark/>
          </w:tcPr>
          <w:p w14:paraId="619AB84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55.03</w:t>
            </w:r>
          </w:p>
        </w:tc>
        <w:tc>
          <w:tcPr>
            <w:tcW w:w="0" w:type="auto"/>
            <w:vAlign w:val="bottom"/>
          </w:tcPr>
          <w:p w14:paraId="079B69A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0.73</w:t>
            </w:r>
          </w:p>
        </w:tc>
        <w:tc>
          <w:tcPr>
            <w:tcW w:w="0" w:type="auto"/>
            <w:noWrap/>
            <w:vAlign w:val="bottom"/>
            <w:hideMark/>
          </w:tcPr>
          <w:p w14:paraId="7030C0C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12.53</w:t>
            </w:r>
          </w:p>
        </w:tc>
        <w:tc>
          <w:tcPr>
            <w:tcW w:w="0" w:type="auto"/>
            <w:noWrap/>
            <w:vAlign w:val="bottom"/>
            <w:hideMark/>
          </w:tcPr>
          <w:p w14:paraId="1961347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7.76</w:t>
            </w:r>
          </w:p>
        </w:tc>
        <w:tc>
          <w:tcPr>
            <w:tcW w:w="0" w:type="auto"/>
            <w:vAlign w:val="bottom"/>
          </w:tcPr>
          <w:p w14:paraId="41278C4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0.12</w:t>
            </w:r>
          </w:p>
        </w:tc>
        <w:tc>
          <w:tcPr>
            <w:tcW w:w="0" w:type="auto"/>
            <w:noWrap/>
            <w:vAlign w:val="bottom"/>
            <w:hideMark/>
          </w:tcPr>
          <w:p w14:paraId="253D7D1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6.26</w:t>
            </w:r>
          </w:p>
        </w:tc>
        <w:tc>
          <w:tcPr>
            <w:tcW w:w="0" w:type="auto"/>
            <w:noWrap/>
            <w:vAlign w:val="bottom"/>
            <w:hideMark/>
          </w:tcPr>
          <w:p w14:paraId="42F4105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5.91</w:t>
            </w:r>
          </w:p>
        </w:tc>
        <w:tc>
          <w:tcPr>
            <w:tcW w:w="0" w:type="auto"/>
            <w:noWrap/>
            <w:vAlign w:val="bottom"/>
            <w:hideMark/>
          </w:tcPr>
          <w:p w14:paraId="28242D5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2.25</w:t>
            </w:r>
          </w:p>
        </w:tc>
        <w:tc>
          <w:tcPr>
            <w:tcW w:w="0" w:type="auto"/>
            <w:noWrap/>
            <w:vAlign w:val="bottom"/>
            <w:hideMark/>
          </w:tcPr>
          <w:p w14:paraId="0EECBBAD"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noWrap/>
            <w:vAlign w:val="bottom"/>
            <w:hideMark/>
          </w:tcPr>
          <w:p w14:paraId="2AE8977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1.14</w:t>
            </w:r>
          </w:p>
        </w:tc>
        <w:tc>
          <w:tcPr>
            <w:tcW w:w="0" w:type="auto"/>
            <w:noWrap/>
            <w:vAlign w:val="bottom"/>
            <w:hideMark/>
          </w:tcPr>
          <w:p w14:paraId="380886B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14:paraId="3A25722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14:paraId="4998065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5D2C5726" w14:textId="77777777" w:rsidTr="002B134A">
        <w:trPr>
          <w:trHeight w:val="285"/>
          <w:jc w:val="center"/>
        </w:trPr>
        <w:tc>
          <w:tcPr>
            <w:tcW w:w="0" w:type="auto"/>
            <w:noWrap/>
            <w:vAlign w:val="bottom"/>
            <w:hideMark/>
          </w:tcPr>
          <w:p w14:paraId="30DE15A6"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S5</w:t>
            </w:r>
          </w:p>
        </w:tc>
        <w:tc>
          <w:tcPr>
            <w:tcW w:w="0" w:type="auto"/>
            <w:noWrap/>
            <w:vAlign w:val="bottom"/>
            <w:hideMark/>
          </w:tcPr>
          <w:p w14:paraId="52F1483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54.53</w:t>
            </w:r>
          </w:p>
        </w:tc>
        <w:tc>
          <w:tcPr>
            <w:tcW w:w="0" w:type="auto"/>
            <w:vAlign w:val="bottom"/>
          </w:tcPr>
          <w:p w14:paraId="0D6B2CD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noWrap/>
            <w:vAlign w:val="bottom"/>
            <w:hideMark/>
          </w:tcPr>
          <w:p w14:paraId="63A3C79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noWrap/>
            <w:vAlign w:val="bottom"/>
            <w:hideMark/>
          </w:tcPr>
          <w:p w14:paraId="1D2CA80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7.97</w:t>
            </w:r>
          </w:p>
        </w:tc>
        <w:tc>
          <w:tcPr>
            <w:tcW w:w="0" w:type="auto"/>
            <w:vAlign w:val="bottom"/>
          </w:tcPr>
          <w:p w14:paraId="5536C28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noWrap/>
            <w:vAlign w:val="bottom"/>
            <w:hideMark/>
          </w:tcPr>
          <w:p w14:paraId="30D262E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noWrap/>
            <w:vAlign w:val="bottom"/>
            <w:hideMark/>
          </w:tcPr>
          <w:p w14:paraId="122A17C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noWrap/>
            <w:vAlign w:val="bottom"/>
            <w:hideMark/>
          </w:tcPr>
          <w:p w14:paraId="73DF2CE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w:t>
            </w:r>
          </w:p>
        </w:tc>
        <w:tc>
          <w:tcPr>
            <w:tcW w:w="0" w:type="auto"/>
            <w:noWrap/>
            <w:vAlign w:val="bottom"/>
            <w:hideMark/>
          </w:tcPr>
          <w:p w14:paraId="53CA33D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6.78</w:t>
            </w:r>
          </w:p>
        </w:tc>
        <w:tc>
          <w:tcPr>
            <w:tcW w:w="0" w:type="auto"/>
            <w:noWrap/>
            <w:vAlign w:val="bottom"/>
            <w:hideMark/>
          </w:tcPr>
          <w:p w14:paraId="0F33B99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1.24</w:t>
            </w:r>
          </w:p>
        </w:tc>
        <w:tc>
          <w:tcPr>
            <w:tcW w:w="0" w:type="auto"/>
            <w:noWrap/>
            <w:vAlign w:val="bottom"/>
            <w:hideMark/>
          </w:tcPr>
          <w:p w14:paraId="4E64953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0.031</w:t>
            </w:r>
          </w:p>
        </w:tc>
        <w:tc>
          <w:tcPr>
            <w:tcW w:w="0" w:type="auto"/>
            <w:vAlign w:val="bottom"/>
          </w:tcPr>
          <w:p w14:paraId="03BCA537"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0.3</w:t>
            </w:r>
          </w:p>
        </w:tc>
        <w:tc>
          <w:tcPr>
            <w:tcW w:w="0" w:type="auto"/>
            <w:vAlign w:val="bottom"/>
          </w:tcPr>
          <w:p w14:paraId="771AE0B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r w:rsidR="006D01C5" w:rsidRPr="003003A2" w14:paraId="35487C65" w14:textId="77777777" w:rsidTr="002B134A">
        <w:trPr>
          <w:trHeight w:val="285"/>
          <w:jc w:val="center"/>
        </w:trPr>
        <w:tc>
          <w:tcPr>
            <w:tcW w:w="0" w:type="auto"/>
            <w:noWrap/>
            <w:vAlign w:val="bottom"/>
            <w:hideMark/>
          </w:tcPr>
          <w:p w14:paraId="09183855"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S6</w:t>
            </w:r>
          </w:p>
        </w:tc>
        <w:tc>
          <w:tcPr>
            <w:tcW w:w="0" w:type="auto"/>
            <w:noWrap/>
            <w:vAlign w:val="bottom"/>
            <w:hideMark/>
          </w:tcPr>
          <w:p w14:paraId="0135BB1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54.52</w:t>
            </w:r>
          </w:p>
        </w:tc>
        <w:tc>
          <w:tcPr>
            <w:tcW w:w="0" w:type="auto"/>
            <w:vAlign w:val="bottom"/>
          </w:tcPr>
          <w:p w14:paraId="055753A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noWrap/>
            <w:vAlign w:val="bottom"/>
            <w:hideMark/>
          </w:tcPr>
          <w:p w14:paraId="022FD4A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11.39</w:t>
            </w:r>
          </w:p>
        </w:tc>
        <w:tc>
          <w:tcPr>
            <w:tcW w:w="0" w:type="auto"/>
            <w:noWrap/>
            <w:vAlign w:val="bottom"/>
            <w:hideMark/>
          </w:tcPr>
          <w:p w14:paraId="7FFED4F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9.62</w:t>
            </w:r>
          </w:p>
        </w:tc>
        <w:tc>
          <w:tcPr>
            <w:tcW w:w="0" w:type="auto"/>
            <w:vAlign w:val="bottom"/>
          </w:tcPr>
          <w:p w14:paraId="6E3DA3D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noWrap/>
            <w:vAlign w:val="bottom"/>
            <w:hideMark/>
          </w:tcPr>
          <w:p w14:paraId="4DC3316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5.83</w:t>
            </w:r>
          </w:p>
        </w:tc>
        <w:tc>
          <w:tcPr>
            <w:tcW w:w="0" w:type="auto"/>
            <w:noWrap/>
            <w:vAlign w:val="bottom"/>
            <w:hideMark/>
          </w:tcPr>
          <w:p w14:paraId="544BA64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6.47</w:t>
            </w:r>
          </w:p>
        </w:tc>
        <w:tc>
          <w:tcPr>
            <w:tcW w:w="0" w:type="auto"/>
            <w:noWrap/>
            <w:vAlign w:val="bottom"/>
            <w:hideMark/>
          </w:tcPr>
          <w:p w14:paraId="75367B1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2.11</w:t>
            </w:r>
          </w:p>
        </w:tc>
        <w:tc>
          <w:tcPr>
            <w:tcW w:w="0" w:type="auto"/>
            <w:noWrap/>
            <w:vAlign w:val="bottom"/>
            <w:hideMark/>
          </w:tcPr>
          <w:p w14:paraId="461CC28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6.16</w:t>
            </w:r>
          </w:p>
        </w:tc>
        <w:tc>
          <w:tcPr>
            <w:tcW w:w="0" w:type="auto"/>
            <w:noWrap/>
            <w:vAlign w:val="bottom"/>
            <w:hideMark/>
          </w:tcPr>
          <w:p w14:paraId="586060A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noWrap/>
            <w:vAlign w:val="bottom"/>
            <w:hideMark/>
          </w:tcPr>
          <w:p w14:paraId="0469DBA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0.009</w:t>
            </w:r>
          </w:p>
        </w:tc>
        <w:tc>
          <w:tcPr>
            <w:tcW w:w="0" w:type="auto"/>
            <w:vAlign w:val="bottom"/>
          </w:tcPr>
          <w:p w14:paraId="6C1CC42C"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14:paraId="269ECDC3"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99.81</w:t>
            </w:r>
          </w:p>
        </w:tc>
      </w:tr>
      <w:tr w:rsidR="006D01C5" w:rsidRPr="003003A2" w14:paraId="050C871C" w14:textId="77777777" w:rsidTr="002B134A">
        <w:trPr>
          <w:trHeight w:val="285"/>
          <w:jc w:val="center"/>
        </w:trPr>
        <w:tc>
          <w:tcPr>
            <w:tcW w:w="0" w:type="auto"/>
            <w:noWrap/>
            <w:vAlign w:val="bottom"/>
            <w:hideMark/>
          </w:tcPr>
          <w:p w14:paraId="38D8FE44"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S7</w:t>
            </w:r>
          </w:p>
        </w:tc>
        <w:tc>
          <w:tcPr>
            <w:tcW w:w="0" w:type="auto"/>
            <w:noWrap/>
            <w:vAlign w:val="bottom"/>
            <w:hideMark/>
          </w:tcPr>
          <w:p w14:paraId="779F4CC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54.69</w:t>
            </w:r>
          </w:p>
        </w:tc>
        <w:tc>
          <w:tcPr>
            <w:tcW w:w="0" w:type="auto"/>
            <w:vAlign w:val="bottom"/>
          </w:tcPr>
          <w:p w14:paraId="3551FCA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noWrap/>
            <w:vAlign w:val="bottom"/>
            <w:hideMark/>
          </w:tcPr>
          <w:p w14:paraId="2555BA7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12.25</w:t>
            </w:r>
          </w:p>
        </w:tc>
        <w:tc>
          <w:tcPr>
            <w:tcW w:w="0" w:type="auto"/>
            <w:noWrap/>
            <w:vAlign w:val="bottom"/>
            <w:hideMark/>
          </w:tcPr>
          <w:p w14:paraId="64DFBC2D"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7.58</w:t>
            </w:r>
          </w:p>
        </w:tc>
        <w:tc>
          <w:tcPr>
            <w:tcW w:w="0" w:type="auto"/>
            <w:vAlign w:val="bottom"/>
          </w:tcPr>
          <w:p w14:paraId="7642ECB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0.05</w:t>
            </w:r>
          </w:p>
        </w:tc>
        <w:tc>
          <w:tcPr>
            <w:tcW w:w="0" w:type="auto"/>
            <w:noWrap/>
            <w:vAlign w:val="bottom"/>
            <w:hideMark/>
          </w:tcPr>
          <w:p w14:paraId="0080885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6.32</w:t>
            </w:r>
          </w:p>
        </w:tc>
        <w:tc>
          <w:tcPr>
            <w:tcW w:w="0" w:type="auto"/>
            <w:noWrap/>
            <w:vAlign w:val="bottom"/>
            <w:hideMark/>
          </w:tcPr>
          <w:p w14:paraId="5DFC4E1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6.13</w:t>
            </w:r>
          </w:p>
        </w:tc>
        <w:tc>
          <w:tcPr>
            <w:tcW w:w="0" w:type="auto"/>
            <w:noWrap/>
            <w:vAlign w:val="bottom"/>
            <w:hideMark/>
          </w:tcPr>
          <w:p w14:paraId="334CE7A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noWrap/>
            <w:vAlign w:val="bottom"/>
            <w:hideMark/>
          </w:tcPr>
          <w:p w14:paraId="285FDD6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6.72</w:t>
            </w:r>
          </w:p>
        </w:tc>
        <w:tc>
          <w:tcPr>
            <w:tcW w:w="0" w:type="auto"/>
            <w:noWrap/>
            <w:vAlign w:val="bottom"/>
            <w:hideMark/>
          </w:tcPr>
          <w:p w14:paraId="00BE0CF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noWrap/>
            <w:vAlign w:val="bottom"/>
            <w:hideMark/>
          </w:tcPr>
          <w:p w14:paraId="16052BD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0.012</w:t>
            </w:r>
          </w:p>
        </w:tc>
        <w:tc>
          <w:tcPr>
            <w:tcW w:w="0" w:type="auto"/>
            <w:vAlign w:val="bottom"/>
          </w:tcPr>
          <w:p w14:paraId="5F6EA59A"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0.8</w:t>
            </w:r>
          </w:p>
        </w:tc>
        <w:tc>
          <w:tcPr>
            <w:tcW w:w="0" w:type="auto"/>
            <w:vAlign w:val="bottom"/>
          </w:tcPr>
          <w:p w14:paraId="32D3DE86"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99.82</w:t>
            </w:r>
          </w:p>
        </w:tc>
      </w:tr>
      <w:tr w:rsidR="006D01C5" w:rsidRPr="003003A2" w14:paraId="650CBED8" w14:textId="77777777" w:rsidTr="002B134A">
        <w:trPr>
          <w:trHeight w:val="285"/>
          <w:jc w:val="center"/>
        </w:trPr>
        <w:tc>
          <w:tcPr>
            <w:tcW w:w="0" w:type="auto"/>
            <w:noWrap/>
            <w:vAlign w:val="bottom"/>
            <w:hideMark/>
          </w:tcPr>
          <w:p w14:paraId="4CA7FB23"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S8</w:t>
            </w:r>
          </w:p>
        </w:tc>
        <w:tc>
          <w:tcPr>
            <w:tcW w:w="0" w:type="auto"/>
            <w:noWrap/>
            <w:vAlign w:val="bottom"/>
            <w:hideMark/>
          </w:tcPr>
          <w:p w14:paraId="635A4FD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54.6</w:t>
            </w:r>
          </w:p>
        </w:tc>
        <w:tc>
          <w:tcPr>
            <w:tcW w:w="0" w:type="auto"/>
            <w:vAlign w:val="bottom"/>
          </w:tcPr>
          <w:p w14:paraId="1AB6F5E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0.77</w:t>
            </w:r>
          </w:p>
        </w:tc>
        <w:tc>
          <w:tcPr>
            <w:tcW w:w="0" w:type="auto"/>
            <w:noWrap/>
            <w:vAlign w:val="bottom"/>
            <w:hideMark/>
          </w:tcPr>
          <w:p w14:paraId="78047B3A"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11.84</w:t>
            </w:r>
          </w:p>
        </w:tc>
        <w:tc>
          <w:tcPr>
            <w:tcW w:w="0" w:type="auto"/>
            <w:noWrap/>
            <w:vAlign w:val="bottom"/>
            <w:hideMark/>
          </w:tcPr>
          <w:p w14:paraId="5EF857E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8.66</w:t>
            </w:r>
          </w:p>
        </w:tc>
        <w:tc>
          <w:tcPr>
            <w:tcW w:w="0" w:type="auto"/>
            <w:vAlign w:val="bottom"/>
          </w:tcPr>
          <w:p w14:paraId="78503DA8"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noWrap/>
            <w:vAlign w:val="bottom"/>
            <w:hideMark/>
          </w:tcPr>
          <w:p w14:paraId="395A5DF4"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5.98</w:t>
            </w:r>
          </w:p>
        </w:tc>
        <w:tc>
          <w:tcPr>
            <w:tcW w:w="0" w:type="auto"/>
            <w:noWrap/>
            <w:vAlign w:val="bottom"/>
            <w:hideMark/>
          </w:tcPr>
          <w:p w14:paraId="5AD3204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5.89</w:t>
            </w:r>
          </w:p>
        </w:tc>
        <w:tc>
          <w:tcPr>
            <w:tcW w:w="0" w:type="auto"/>
            <w:noWrap/>
            <w:vAlign w:val="bottom"/>
            <w:hideMark/>
          </w:tcPr>
          <w:p w14:paraId="708AE876"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2.39</w:t>
            </w:r>
          </w:p>
        </w:tc>
        <w:tc>
          <w:tcPr>
            <w:tcW w:w="0" w:type="auto"/>
            <w:noWrap/>
            <w:vAlign w:val="bottom"/>
            <w:hideMark/>
          </w:tcPr>
          <w:p w14:paraId="1C04E37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6.95</w:t>
            </w:r>
          </w:p>
        </w:tc>
        <w:tc>
          <w:tcPr>
            <w:tcW w:w="0" w:type="auto"/>
            <w:noWrap/>
            <w:vAlign w:val="bottom"/>
            <w:hideMark/>
          </w:tcPr>
          <w:p w14:paraId="0296212C"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w:t>
            </w:r>
          </w:p>
        </w:tc>
        <w:tc>
          <w:tcPr>
            <w:tcW w:w="0" w:type="auto"/>
            <w:noWrap/>
            <w:vAlign w:val="bottom"/>
            <w:hideMark/>
          </w:tcPr>
          <w:p w14:paraId="54835486"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0.029</w:t>
            </w:r>
          </w:p>
        </w:tc>
        <w:tc>
          <w:tcPr>
            <w:tcW w:w="0" w:type="auto"/>
            <w:vAlign w:val="bottom"/>
          </w:tcPr>
          <w:p w14:paraId="4D4E73B8"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0.9</w:t>
            </w:r>
          </w:p>
        </w:tc>
        <w:tc>
          <w:tcPr>
            <w:tcW w:w="0" w:type="auto"/>
            <w:vAlign w:val="bottom"/>
          </w:tcPr>
          <w:p w14:paraId="55BA3EEC"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5630395E" w14:textId="77777777" w:rsidTr="002B134A">
        <w:trPr>
          <w:trHeight w:val="285"/>
          <w:jc w:val="center"/>
        </w:trPr>
        <w:tc>
          <w:tcPr>
            <w:tcW w:w="0" w:type="auto"/>
            <w:noWrap/>
            <w:vAlign w:val="bottom"/>
            <w:hideMark/>
          </w:tcPr>
          <w:p w14:paraId="35025FE0"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S9</w:t>
            </w:r>
          </w:p>
        </w:tc>
        <w:tc>
          <w:tcPr>
            <w:tcW w:w="0" w:type="auto"/>
            <w:noWrap/>
            <w:vAlign w:val="bottom"/>
            <w:hideMark/>
          </w:tcPr>
          <w:p w14:paraId="3724F46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55.55</w:t>
            </w:r>
          </w:p>
        </w:tc>
        <w:tc>
          <w:tcPr>
            <w:tcW w:w="0" w:type="auto"/>
            <w:vAlign w:val="bottom"/>
          </w:tcPr>
          <w:p w14:paraId="1FC21AEC"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0.74</w:t>
            </w:r>
          </w:p>
        </w:tc>
        <w:tc>
          <w:tcPr>
            <w:tcW w:w="0" w:type="auto"/>
            <w:noWrap/>
            <w:vAlign w:val="bottom"/>
            <w:hideMark/>
          </w:tcPr>
          <w:p w14:paraId="748F85F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11.74</w:t>
            </w:r>
          </w:p>
        </w:tc>
        <w:tc>
          <w:tcPr>
            <w:tcW w:w="0" w:type="auto"/>
            <w:noWrap/>
            <w:vAlign w:val="bottom"/>
            <w:hideMark/>
          </w:tcPr>
          <w:p w14:paraId="4113DB81"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8.76</w:t>
            </w:r>
          </w:p>
        </w:tc>
        <w:tc>
          <w:tcPr>
            <w:tcW w:w="0" w:type="auto"/>
            <w:vAlign w:val="bottom"/>
          </w:tcPr>
          <w:p w14:paraId="31D8BE4E"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0.11</w:t>
            </w:r>
          </w:p>
        </w:tc>
        <w:tc>
          <w:tcPr>
            <w:tcW w:w="0" w:type="auto"/>
            <w:noWrap/>
            <w:vAlign w:val="bottom"/>
            <w:hideMark/>
          </w:tcPr>
          <w:p w14:paraId="63097307"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6.76</w:t>
            </w:r>
          </w:p>
        </w:tc>
        <w:tc>
          <w:tcPr>
            <w:tcW w:w="0" w:type="auto"/>
            <w:noWrap/>
            <w:vAlign w:val="bottom"/>
            <w:hideMark/>
          </w:tcPr>
          <w:p w14:paraId="7C8EB253"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6.11</w:t>
            </w:r>
          </w:p>
        </w:tc>
        <w:tc>
          <w:tcPr>
            <w:tcW w:w="0" w:type="auto"/>
            <w:noWrap/>
            <w:vAlign w:val="bottom"/>
            <w:hideMark/>
          </w:tcPr>
          <w:p w14:paraId="095C11BE"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2.45</w:t>
            </w:r>
          </w:p>
        </w:tc>
        <w:tc>
          <w:tcPr>
            <w:tcW w:w="0" w:type="auto"/>
            <w:noWrap/>
            <w:vAlign w:val="bottom"/>
            <w:hideMark/>
          </w:tcPr>
          <w:p w14:paraId="2C21559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6.88</w:t>
            </w:r>
          </w:p>
        </w:tc>
        <w:tc>
          <w:tcPr>
            <w:tcW w:w="0" w:type="auto"/>
            <w:noWrap/>
            <w:vAlign w:val="bottom"/>
            <w:hideMark/>
          </w:tcPr>
          <w:p w14:paraId="15DDDBE6"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1.28</w:t>
            </w:r>
          </w:p>
        </w:tc>
        <w:tc>
          <w:tcPr>
            <w:tcW w:w="0" w:type="auto"/>
            <w:noWrap/>
            <w:vAlign w:val="bottom"/>
            <w:hideMark/>
          </w:tcPr>
          <w:p w14:paraId="7B49D00E"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0.033</w:t>
            </w:r>
          </w:p>
        </w:tc>
        <w:tc>
          <w:tcPr>
            <w:tcW w:w="0" w:type="auto"/>
            <w:vAlign w:val="bottom"/>
          </w:tcPr>
          <w:p w14:paraId="59BFB08E"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1.1</w:t>
            </w:r>
          </w:p>
        </w:tc>
        <w:tc>
          <w:tcPr>
            <w:tcW w:w="0" w:type="auto"/>
            <w:vAlign w:val="bottom"/>
          </w:tcPr>
          <w:p w14:paraId="29E52103"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99.78</w:t>
            </w:r>
          </w:p>
        </w:tc>
      </w:tr>
      <w:tr w:rsidR="006D01C5" w:rsidRPr="003003A2" w14:paraId="2C76B1DF" w14:textId="77777777" w:rsidTr="002B134A">
        <w:trPr>
          <w:trHeight w:val="285"/>
          <w:jc w:val="center"/>
        </w:trPr>
        <w:tc>
          <w:tcPr>
            <w:tcW w:w="0" w:type="auto"/>
            <w:noWrap/>
            <w:vAlign w:val="bottom"/>
            <w:hideMark/>
          </w:tcPr>
          <w:p w14:paraId="1315BDB8" w14:textId="77777777" w:rsidR="006D01C5" w:rsidRPr="003003A2" w:rsidRDefault="006D01C5" w:rsidP="006D01C5">
            <w:pPr>
              <w:spacing w:after="0" w:line="480" w:lineRule="auto"/>
              <w:rPr>
                <w:rFonts w:ascii="Times New Roman" w:hAnsi="Times New Roman" w:cs="Times New Roman"/>
                <w:color w:val="000000"/>
                <w:sz w:val="18"/>
                <w:szCs w:val="24"/>
              </w:rPr>
            </w:pPr>
            <w:r w:rsidRPr="003003A2">
              <w:rPr>
                <w:rFonts w:ascii="Times New Roman" w:hAnsi="Times New Roman" w:cs="Times New Roman"/>
                <w:color w:val="000000"/>
                <w:sz w:val="18"/>
                <w:szCs w:val="24"/>
              </w:rPr>
              <w:t>S10</w:t>
            </w:r>
          </w:p>
        </w:tc>
        <w:tc>
          <w:tcPr>
            <w:tcW w:w="0" w:type="auto"/>
            <w:noWrap/>
            <w:vAlign w:val="bottom"/>
            <w:hideMark/>
          </w:tcPr>
          <w:p w14:paraId="441BE4E8"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53.23</w:t>
            </w:r>
          </w:p>
        </w:tc>
        <w:tc>
          <w:tcPr>
            <w:tcW w:w="0" w:type="auto"/>
            <w:vAlign w:val="bottom"/>
          </w:tcPr>
          <w:p w14:paraId="7D29606F"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0.72</w:t>
            </w:r>
          </w:p>
        </w:tc>
        <w:tc>
          <w:tcPr>
            <w:tcW w:w="0" w:type="auto"/>
            <w:noWrap/>
            <w:vAlign w:val="bottom"/>
            <w:hideMark/>
          </w:tcPr>
          <w:p w14:paraId="37657F75"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12.17</w:t>
            </w:r>
          </w:p>
        </w:tc>
        <w:tc>
          <w:tcPr>
            <w:tcW w:w="0" w:type="auto"/>
            <w:noWrap/>
            <w:vAlign w:val="bottom"/>
            <w:hideMark/>
          </w:tcPr>
          <w:p w14:paraId="4BD76C2B"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8.97</w:t>
            </w:r>
          </w:p>
        </w:tc>
        <w:tc>
          <w:tcPr>
            <w:tcW w:w="0" w:type="auto"/>
            <w:vAlign w:val="bottom"/>
          </w:tcPr>
          <w:p w14:paraId="225D7E19"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0.13</w:t>
            </w:r>
          </w:p>
        </w:tc>
        <w:tc>
          <w:tcPr>
            <w:tcW w:w="0" w:type="auto"/>
            <w:noWrap/>
            <w:vAlign w:val="bottom"/>
            <w:hideMark/>
          </w:tcPr>
          <w:p w14:paraId="77BB3BB4"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6.93</w:t>
            </w:r>
          </w:p>
        </w:tc>
        <w:tc>
          <w:tcPr>
            <w:tcW w:w="0" w:type="auto"/>
            <w:noWrap/>
            <w:vAlign w:val="bottom"/>
            <w:hideMark/>
          </w:tcPr>
          <w:p w14:paraId="64EE523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6.35</w:t>
            </w:r>
          </w:p>
        </w:tc>
        <w:tc>
          <w:tcPr>
            <w:tcW w:w="0" w:type="auto"/>
            <w:noWrap/>
            <w:vAlign w:val="bottom"/>
            <w:hideMark/>
          </w:tcPr>
          <w:p w14:paraId="25D3E790"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2.28</w:t>
            </w:r>
          </w:p>
        </w:tc>
        <w:tc>
          <w:tcPr>
            <w:tcW w:w="0" w:type="auto"/>
            <w:noWrap/>
            <w:vAlign w:val="bottom"/>
            <w:hideMark/>
          </w:tcPr>
          <w:p w14:paraId="4D6736E9" w14:textId="77777777" w:rsidR="006D01C5" w:rsidRPr="003003A2" w:rsidRDefault="006D01C5" w:rsidP="006D01C5">
            <w:pPr>
              <w:spacing w:after="0" w:line="480" w:lineRule="auto"/>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6.98</w:t>
            </w:r>
          </w:p>
        </w:tc>
        <w:tc>
          <w:tcPr>
            <w:tcW w:w="0" w:type="auto"/>
            <w:noWrap/>
            <w:vAlign w:val="bottom"/>
            <w:hideMark/>
          </w:tcPr>
          <w:p w14:paraId="0BB259F2"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1.02</w:t>
            </w:r>
          </w:p>
        </w:tc>
        <w:tc>
          <w:tcPr>
            <w:tcW w:w="0" w:type="auto"/>
            <w:noWrap/>
            <w:vAlign w:val="bottom"/>
            <w:hideMark/>
          </w:tcPr>
          <w:p w14:paraId="54314F76"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0.025</w:t>
            </w:r>
          </w:p>
        </w:tc>
        <w:tc>
          <w:tcPr>
            <w:tcW w:w="0" w:type="auto"/>
            <w:vAlign w:val="bottom"/>
          </w:tcPr>
          <w:p w14:paraId="02C244B4"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0.6</w:t>
            </w:r>
          </w:p>
        </w:tc>
        <w:tc>
          <w:tcPr>
            <w:tcW w:w="0" w:type="auto"/>
            <w:vAlign w:val="bottom"/>
          </w:tcPr>
          <w:p w14:paraId="71D250E7" w14:textId="77777777" w:rsidR="006D01C5" w:rsidRPr="003003A2" w:rsidRDefault="006D01C5" w:rsidP="006D01C5">
            <w:pPr>
              <w:jc w:val="right"/>
              <w:rPr>
                <w:rFonts w:ascii="Times New Roman" w:hAnsi="Times New Roman" w:cs="Times New Roman"/>
                <w:color w:val="000000"/>
                <w:sz w:val="18"/>
                <w:szCs w:val="24"/>
              </w:rPr>
            </w:pPr>
            <w:r w:rsidRPr="003003A2">
              <w:rPr>
                <w:rFonts w:ascii="Times New Roman" w:hAnsi="Times New Roman" w:cs="Times New Roman"/>
                <w:color w:val="000000"/>
                <w:sz w:val="18"/>
                <w:szCs w:val="24"/>
              </w:rPr>
              <w:t>99.79</w:t>
            </w:r>
          </w:p>
        </w:tc>
      </w:tr>
    </w:tbl>
    <w:p w14:paraId="60927D78" w14:textId="77777777" w:rsidR="00D56B14" w:rsidRDefault="00D56B14" w:rsidP="00EF6477">
      <w:pPr>
        <w:rPr>
          <w:rFonts w:ascii="Times New Roman" w:hAnsi="Times New Roman" w:cs="Times New Roman"/>
          <w:sz w:val="24"/>
          <w:szCs w:val="24"/>
        </w:rPr>
      </w:pPr>
    </w:p>
    <w:p w14:paraId="6EE44D0B" w14:textId="77777777" w:rsidR="00D56B14" w:rsidRDefault="00D56B14" w:rsidP="00EF6477">
      <w:pPr>
        <w:rPr>
          <w:rFonts w:ascii="Times New Roman" w:hAnsi="Times New Roman" w:cs="Times New Roman"/>
          <w:sz w:val="24"/>
          <w:szCs w:val="24"/>
        </w:rPr>
      </w:pPr>
    </w:p>
    <w:p w14:paraId="476C80C7" w14:textId="77777777" w:rsidR="000025DA" w:rsidRDefault="000025DA" w:rsidP="000025DA">
      <w:pPr>
        <w:jc w:val="both"/>
      </w:pPr>
      <w:r>
        <w:rPr>
          <w:rFonts w:ascii="Times New Roman" w:hAnsi="Times New Roman" w:cs="Times New Roman"/>
          <w:sz w:val="24"/>
          <w:szCs w:val="24"/>
        </w:rPr>
        <w:lastRenderedPageBreak/>
        <w:t xml:space="preserve">Table 3. </w:t>
      </w:r>
      <w:r w:rsidRPr="00376A21">
        <w:rPr>
          <w:rFonts w:ascii="Times New Roman" w:hAnsi="Times New Roman" w:cs="Times New Roman"/>
          <w:sz w:val="24"/>
          <w:szCs w:val="24"/>
        </w:rPr>
        <w:t>Average abundance of element in Earth crust, ranges and average content of the element i</w:t>
      </w:r>
      <w:r>
        <w:rPr>
          <w:rFonts w:ascii="Times New Roman" w:hAnsi="Times New Roman" w:cs="Times New Roman"/>
          <w:sz w:val="24"/>
          <w:szCs w:val="24"/>
        </w:rPr>
        <w:t>n Syenite</w:t>
      </w:r>
      <w:r w:rsidRPr="00376A21">
        <w:rPr>
          <w:rFonts w:ascii="Times New Roman" w:hAnsi="Times New Roman" w:cs="Times New Roman"/>
          <w:sz w:val="24"/>
          <w:szCs w:val="24"/>
        </w:rPr>
        <w:t xml:space="preserve"> (all values in ppm, Ag and Au in ppb) After Levinson (1974) and Rose et.al (1991)</w:t>
      </w:r>
    </w:p>
    <w:tbl>
      <w:tblPr>
        <w:tblW w:w="6020" w:type="dxa"/>
        <w:jc w:val="center"/>
        <w:tblLayout w:type="fixed"/>
        <w:tblLook w:val="04A0" w:firstRow="1" w:lastRow="0" w:firstColumn="1" w:lastColumn="0" w:noHBand="0" w:noVBand="1"/>
      </w:tblPr>
      <w:tblGrid>
        <w:gridCol w:w="1030"/>
        <w:gridCol w:w="2370"/>
        <w:gridCol w:w="1110"/>
        <w:gridCol w:w="1510"/>
      </w:tblGrid>
      <w:tr w:rsidR="000025DA" w:rsidRPr="003373D4" w14:paraId="6C268CCC" w14:textId="77777777" w:rsidTr="00944CD1">
        <w:trPr>
          <w:trHeight w:val="319"/>
          <w:jc w:val="center"/>
        </w:trPr>
        <w:tc>
          <w:tcPr>
            <w:tcW w:w="1030" w:type="dxa"/>
            <w:vMerge w:val="restart"/>
            <w:tcBorders>
              <w:top w:val="single" w:sz="8" w:space="0" w:color="auto"/>
              <w:left w:val="single" w:sz="8" w:space="0" w:color="auto"/>
              <w:right w:val="single" w:sz="8" w:space="0" w:color="auto"/>
            </w:tcBorders>
            <w:noWrap/>
            <w:vAlign w:val="center"/>
            <w:hideMark/>
          </w:tcPr>
          <w:p w14:paraId="28952DC8"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Element</w:t>
            </w:r>
          </w:p>
        </w:tc>
        <w:tc>
          <w:tcPr>
            <w:tcW w:w="2370" w:type="dxa"/>
            <w:vMerge w:val="restart"/>
            <w:tcBorders>
              <w:top w:val="single" w:sz="8" w:space="0" w:color="auto"/>
              <w:left w:val="nil"/>
              <w:right w:val="single" w:sz="8" w:space="0" w:color="auto"/>
            </w:tcBorders>
            <w:noWrap/>
            <w:vAlign w:val="center"/>
            <w:hideMark/>
          </w:tcPr>
          <w:p w14:paraId="7E0A232D"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 Crustal abundance</w:t>
            </w:r>
          </w:p>
        </w:tc>
        <w:tc>
          <w:tcPr>
            <w:tcW w:w="2620" w:type="dxa"/>
            <w:gridSpan w:val="2"/>
            <w:tcBorders>
              <w:top w:val="single" w:sz="8" w:space="0" w:color="auto"/>
              <w:left w:val="nil"/>
              <w:bottom w:val="single" w:sz="4" w:space="0" w:color="auto"/>
              <w:right w:val="single" w:sz="8" w:space="0" w:color="auto"/>
            </w:tcBorders>
            <w:noWrap/>
            <w:vAlign w:val="center"/>
            <w:hideMark/>
          </w:tcPr>
          <w:p w14:paraId="65F46729"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Syenitic rock</w:t>
            </w:r>
          </w:p>
        </w:tc>
      </w:tr>
      <w:tr w:rsidR="000025DA" w:rsidRPr="003373D4" w14:paraId="2DE4D8BF" w14:textId="77777777" w:rsidTr="00944CD1">
        <w:trPr>
          <w:trHeight w:val="231"/>
          <w:jc w:val="center"/>
        </w:trPr>
        <w:tc>
          <w:tcPr>
            <w:tcW w:w="1030" w:type="dxa"/>
            <w:vMerge/>
            <w:tcBorders>
              <w:left w:val="single" w:sz="8" w:space="0" w:color="auto"/>
              <w:bottom w:val="single" w:sz="8" w:space="0" w:color="auto"/>
              <w:right w:val="single" w:sz="8" w:space="0" w:color="auto"/>
            </w:tcBorders>
            <w:noWrap/>
            <w:vAlign w:val="center"/>
          </w:tcPr>
          <w:p w14:paraId="1DF46672"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
        </w:tc>
        <w:tc>
          <w:tcPr>
            <w:tcW w:w="2370" w:type="dxa"/>
            <w:vMerge/>
            <w:tcBorders>
              <w:left w:val="nil"/>
              <w:bottom w:val="single" w:sz="8" w:space="0" w:color="auto"/>
              <w:right w:val="single" w:sz="8" w:space="0" w:color="auto"/>
            </w:tcBorders>
            <w:noWrap/>
            <w:vAlign w:val="center"/>
          </w:tcPr>
          <w:p w14:paraId="440AF277"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p>
        </w:tc>
        <w:tc>
          <w:tcPr>
            <w:tcW w:w="1110" w:type="dxa"/>
            <w:tcBorders>
              <w:top w:val="single" w:sz="4" w:space="0" w:color="auto"/>
              <w:left w:val="nil"/>
              <w:bottom w:val="single" w:sz="8" w:space="0" w:color="auto"/>
              <w:right w:val="single" w:sz="4" w:space="0" w:color="auto"/>
            </w:tcBorders>
            <w:noWrap/>
            <w:vAlign w:val="center"/>
          </w:tcPr>
          <w:p w14:paraId="73048AE8"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Average</w:t>
            </w:r>
          </w:p>
        </w:tc>
        <w:tc>
          <w:tcPr>
            <w:tcW w:w="1510" w:type="dxa"/>
            <w:tcBorders>
              <w:top w:val="single" w:sz="4" w:space="0" w:color="auto"/>
              <w:left w:val="nil"/>
              <w:bottom w:val="single" w:sz="8" w:space="0" w:color="auto"/>
              <w:right w:val="single" w:sz="4" w:space="0" w:color="auto"/>
            </w:tcBorders>
            <w:vAlign w:val="center"/>
          </w:tcPr>
          <w:p w14:paraId="1051D1A8"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Range</w:t>
            </w:r>
          </w:p>
        </w:tc>
      </w:tr>
      <w:tr w:rsidR="000025DA" w:rsidRPr="003373D4" w14:paraId="7D60E252"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3F5BF280"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Mo</w:t>
            </w:r>
          </w:p>
        </w:tc>
        <w:tc>
          <w:tcPr>
            <w:tcW w:w="2370" w:type="dxa"/>
            <w:tcBorders>
              <w:top w:val="nil"/>
              <w:left w:val="nil"/>
              <w:bottom w:val="single" w:sz="8" w:space="0" w:color="auto"/>
              <w:right w:val="single" w:sz="8" w:space="0" w:color="auto"/>
            </w:tcBorders>
            <w:noWrap/>
          </w:tcPr>
          <w:p w14:paraId="4572ED8B"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noWrap/>
            <w:vAlign w:val="center"/>
            <w:hideMark/>
          </w:tcPr>
          <w:p w14:paraId="650FCD8D"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1.624</w:t>
            </w:r>
          </w:p>
        </w:tc>
        <w:tc>
          <w:tcPr>
            <w:tcW w:w="1510" w:type="dxa"/>
            <w:tcBorders>
              <w:top w:val="nil"/>
              <w:left w:val="single" w:sz="4" w:space="0" w:color="auto"/>
              <w:bottom w:val="single" w:sz="8" w:space="0" w:color="auto"/>
              <w:right w:val="single" w:sz="8" w:space="0" w:color="auto"/>
            </w:tcBorders>
            <w:vAlign w:val="center"/>
          </w:tcPr>
          <w:p w14:paraId="2A4D952E"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0.92-2.28</w:t>
            </w:r>
          </w:p>
        </w:tc>
      </w:tr>
      <w:tr w:rsidR="000025DA" w:rsidRPr="003373D4" w14:paraId="4D207248"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08D7511D"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Cu</w:t>
            </w:r>
          </w:p>
        </w:tc>
        <w:tc>
          <w:tcPr>
            <w:tcW w:w="2370" w:type="dxa"/>
            <w:tcBorders>
              <w:top w:val="nil"/>
              <w:left w:val="nil"/>
              <w:bottom w:val="single" w:sz="8" w:space="0" w:color="auto"/>
              <w:right w:val="single" w:sz="8" w:space="0" w:color="auto"/>
            </w:tcBorders>
            <w:noWrap/>
          </w:tcPr>
          <w:p w14:paraId="474F799C"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55</w:t>
            </w:r>
          </w:p>
        </w:tc>
        <w:tc>
          <w:tcPr>
            <w:tcW w:w="1110" w:type="dxa"/>
            <w:tcBorders>
              <w:top w:val="nil"/>
              <w:left w:val="nil"/>
              <w:bottom w:val="single" w:sz="8" w:space="0" w:color="auto"/>
              <w:right w:val="single" w:sz="4" w:space="0" w:color="auto"/>
            </w:tcBorders>
            <w:noWrap/>
            <w:vAlign w:val="center"/>
            <w:hideMark/>
          </w:tcPr>
          <w:p w14:paraId="4EF938BA"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87.279</w:t>
            </w:r>
          </w:p>
        </w:tc>
        <w:tc>
          <w:tcPr>
            <w:tcW w:w="1510" w:type="dxa"/>
            <w:tcBorders>
              <w:top w:val="nil"/>
              <w:left w:val="single" w:sz="4" w:space="0" w:color="auto"/>
              <w:bottom w:val="single" w:sz="8" w:space="0" w:color="auto"/>
              <w:right w:val="single" w:sz="8" w:space="0" w:color="auto"/>
            </w:tcBorders>
            <w:vAlign w:val="center"/>
          </w:tcPr>
          <w:p w14:paraId="4A02165B" w14:textId="77777777" w:rsidR="000025DA" w:rsidRPr="00516A61" w:rsidRDefault="000025DA" w:rsidP="00944CD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43.22-122.45</w:t>
            </w:r>
          </w:p>
        </w:tc>
      </w:tr>
      <w:tr w:rsidR="000025DA" w:rsidRPr="003373D4" w14:paraId="639F6979"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70CD0A19"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Pb</w:t>
            </w:r>
          </w:p>
        </w:tc>
        <w:tc>
          <w:tcPr>
            <w:tcW w:w="2370" w:type="dxa"/>
            <w:tcBorders>
              <w:top w:val="nil"/>
              <w:left w:val="nil"/>
              <w:bottom w:val="single" w:sz="8" w:space="0" w:color="auto"/>
              <w:right w:val="single" w:sz="8" w:space="0" w:color="auto"/>
            </w:tcBorders>
            <w:noWrap/>
          </w:tcPr>
          <w:p w14:paraId="0509480A"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12.5</w:t>
            </w:r>
          </w:p>
        </w:tc>
        <w:tc>
          <w:tcPr>
            <w:tcW w:w="1110" w:type="dxa"/>
            <w:tcBorders>
              <w:top w:val="nil"/>
              <w:left w:val="nil"/>
              <w:bottom w:val="single" w:sz="8" w:space="0" w:color="auto"/>
              <w:right w:val="single" w:sz="4" w:space="0" w:color="auto"/>
            </w:tcBorders>
            <w:noWrap/>
            <w:vAlign w:val="center"/>
            <w:hideMark/>
          </w:tcPr>
          <w:p w14:paraId="501D4AEC"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5.566</w:t>
            </w:r>
          </w:p>
        </w:tc>
        <w:tc>
          <w:tcPr>
            <w:tcW w:w="1510" w:type="dxa"/>
            <w:tcBorders>
              <w:top w:val="nil"/>
              <w:left w:val="single" w:sz="4" w:space="0" w:color="auto"/>
              <w:bottom w:val="single" w:sz="8" w:space="0" w:color="auto"/>
              <w:right w:val="single" w:sz="8" w:space="0" w:color="auto"/>
            </w:tcBorders>
            <w:vAlign w:val="center"/>
          </w:tcPr>
          <w:p w14:paraId="0ED02EC8"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1.68-15.77</w:t>
            </w:r>
          </w:p>
        </w:tc>
      </w:tr>
      <w:tr w:rsidR="000025DA" w:rsidRPr="003373D4" w14:paraId="1E82CD35"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759E3759"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Zn</w:t>
            </w:r>
          </w:p>
        </w:tc>
        <w:tc>
          <w:tcPr>
            <w:tcW w:w="2370" w:type="dxa"/>
            <w:tcBorders>
              <w:top w:val="nil"/>
              <w:left w:val="nil"/>
              <w:bottom w:val="single" w:sz="8" w:space="0" w:color="auto"/>
              <w:right w:val="single" w:sz="8" w:space="0" w:color="auto"/>
            </w:tcBorders>
            <w:noWrap/>
          </w:tcPr>
          <w:p w14:paraId="51BE3CDA"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noWrap/>
            <w:vAlign w:val="center"/>
            <w:hideMark/>
          </w:tcPr>
          <w:p w14:paraId="0A316A37"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40.53</w:t>
            </w:r>
          </w:p>
        </w:tc>
        <w:tc>
          <w:tcPr>
            <w:tcW w:w="1510" w:type="dxa"/>
            <w:tcBorders>
              <w:top w:val="nil"/>
              <w:left w:val="single" w:sz="4" w:space="0" w:color="auto"/>
              <w:bottom w:val="single" w:sz="8" w:space="0" w:color="auto"/>
              <w:right w:val="single" w:sz="8" w:space="0" w:color="auto"/>
            </w:tcBorders>
            <w:vAlign w:val="center"/>
          </w:tcPr>
          <w:p w14:paraId="24C46C7D"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32-45.35</w:t>
            </w:r>
          </w:p>
        </w:tc>
      </w:tr>
      <w:tr w:rsidR="000025DA" w:rsidRPr="003373D4" w14:paraId="6216500C"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1B071CE8"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Ag</w:t>
            </w:r>
          </w:p>
        </w:tc>
        <w:tc>
          <w:tcPr>
            <w:tcW w:w="2370" w:type="dxa"/>
            <w:tcBorders>
              <w:top w:val="nil"/>
              <w:left w:val="nil"/>
              <w:bottom w:val="single" w:sz="8" w:space="0" w:color="auto"/>
              <w:right w:val="single" w:sz="8" w:space="0" w:color="auto"/>
            </w:tcBorders>
            <w:noWrap/>
          </w:tcPr>
          <w:p w14:paraId="7AECC206"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70</w:t>
            </w:r>
          </w:p>
        </w:tc>
        <w:tc>
          <w:tcPr>
            <w:tcW w:w="1110" w:type="dxa"/>
            <w:tcBorders>
              <w:top w:val="nil"/>
              <w:left w:val="nil"/>
              <w:bottom w:val="single" w:sz="8" w:space="0" w:color="auto"/>
              <w:right w:val="single" w:sz="4" w:space="0" w:color="auto"/>
            </w:tcBorders>
            <w:noWrap/>
            <w:vAlign w:val="center"/>
            <w:hideMark/>
          </w:tcPr>
          <w:p w14:paraId="67DC66E6"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1510" w:type="dxa"/>
            <w:tcBorders>
              <w:top w:val="nil"/>
              <w:left w:val="single" w:sz="4" w:space="0" w:color="auto"/>
              <w:bottom w:val="single" w:sz="8" w:space="0" w:color="auto"/>
              <w:right w:val="single" w:sz="8" w:space="0" w:color="auto"/>
            </w:tcBorders>
            <w:vAlign w:val="center"/>
          </w:tcPr>
          <w:p w14:paraId="0D64762D"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29-112</w:t>
            </w:r>
          </w:p>
        </w:tc>
      </w:tr>
      <w:tr w:rsidR="000025DA" w:rsidRPr="003373D4" w14:paraId="3C3F9810"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0D09C2F1"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Ni</w:t>
            </w:r>
          </w:p>
        </w:tc>
        <w:tc>
          <w:tcPr>
            <w:tcW w:w="2370" w:type="dxa"/>
            <w:tcBorders>
              <w:top w:val="nil"/>
              <w:left w:val="nil"/>
              <w:bottom w:val="single" w:sz="8" w:space="0" w:color="auto"/>
              <w:right w:val="single" w:sz="8" w:space="0" w:color="auto"/>
            </w:tcBorders>
            <w:noWrap/>
          </w:tcPr>
          <w:p w14:paraId="4A883E37"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75</w:t>
            </w:r>
          </w:p>
        </w:tc>
        <w:tc>
          <w:tcPr>
            <w:tcW w:w="1110" w:type="dxa"/>
            <w:tcBorders>
              <w:top w:val="nil"/>
              <w:left w:val="nil"/>
              <w:bottom w:val="single" w:sz="8" w:space="0" w:color="auto"/>
              <w:right w:val="single" w:sz="4" w:space="0" w:color="auto"/>
            </w:tcBorders>
            <w:noWrap/>
            <w:vAlign w:val="center"/>
            <w:hideMark/>
          </w:tcPr>
          <w:p w14:paraId="67C79354"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33.09</w:t>
            </w:r>
          </w:p>
        </w:tc>
        <w:tc>
          <w:tcPr>
            <w:tcW w:w="1510" w:type="dxa"/>
            <w:tcBorders>
              <w:top w:val="nil"/>
              <w:left w:val="single" w:sz="4" w:space="0" w:color="auto"/>
              <w:bottom w:val="single" w:sz="8" w:space="0" w:color="auto"/>
              <w:right w:val="single" w:sz="8" w:space="0" w:color="auto"/>
            </w:tcBorders>
            <w:vAlign w:val="center"/>
          </w:tcPr>
          <w:p w14:paraId="6E6BE510"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47-57</w:t>
            </w:r>
          </w:p>
        </w:tc>
      </w:tr>
      <w:tr w:rsidR="000025DA" w:rsidRPr="003373D4" w14:paraId="7C1233EA"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6EB98463"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Co</w:t>
            </w:r>
          </w:p>
        </w:tc>
        <w:tc>
          <w:tcPr>
            <w:tcW w:w="2370" w:type="dxa"/>
            <w:tcBorders>
              <w:top w:val="nil"/>
              <w:left w:val="nil"/>
              <w:bottom w:val="single" w:sz="8" w:space="0" w:color="auto"/>
              <w:right w:val="single" w:sz="8" w:space="0" w:color="auto"/>
            </w:tcBorders>
            <w:noWrap/>
          </w:tcPr>
          <w:p w14:paraId="5E18BD5A"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25</w:t>
            </w:r>
          </w:p>
        </w:tc>
        <w:tc>
          <w:tcPr>
            <w:tcW w:w="1110" w:type="dxa"/>
            <w:tcBorders>
              <w:top w:val="nil"/>
              <w:left w:val="nil"/>
              <w:bottom w:val="single" w:sz="8" w:space="0" w:color="auto"/>
              <w:right w:val="single" w:sz="4" w:space="0" w:color="auto"/>
            </w:tcBorders>
            <w:noWrap/>
            <w:vAlign w:val="center"/>
            <w:hideMark/>
          </w:tcPr>
          <w:p w14:paraId="76251B68"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16.53</w:t>
            </w:r>
          </w:p>
        </w:tc>
        <w:tc>
          <w:tcPr>
            <w:tcW w:w="1510" w:type="dxa"/>
            <w:tcBorders>
              <w:top w:val="nil"/>
              <w:left w:val="single" w:sz="4" w:space="0" w:color="auto"/>
              <w:bottom w:val="single" w:sz="8" w:space="0" w:color="auto"/>
              <w:right w:val="single" w:sz="8" w:space="0" w:color="auto"/>
            </w:tcBorders>
            <w:vAlign w:val="center"/>
          </w:tcPr>
          <w:p w14:paraId="08994C56"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12.4-19.1</w:t>
            </w:r>
          </w:p>
        </w:tc>
      </w:tr>
      <w:tr w:rsidR="000025DA" w:rsidRPr="003373D4" w14:paraId="5580EF42"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615E8C72"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Mn</w:t>
            </w:r>
          </w:p>
        </w:tc>
        <w:tc>
          <w:tcPr>
            <w:tcW w:w="2370" w:type="dxa"/>
            <w:tcBorders>
              <w:top w:val="nil"/>
              <w:left w:val="nil"/>
              <w:bottom w:val="single" w:sz="8" w:space="0" w:color="auto"/>
              <w:right w:val="single" w:sz="8" w:space="0" w:color="auto"/>
            </w:tcBorders>
            <w:noWrap/>
          </w:tcPr>
          <w:p w14:paraId="033ED5BF"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1000</w:t>
            </w:r>
          </w:p>
        </w:tc>
        <w:tc>
          <w:tcPr>
            <w:tcW w:w="1110" w:type="dxa"/>
            <w:tcBorders>
              <w:top w:val="nil"/>
              <w:left w:val="nil"/>
              <w:bottom w:val="single" w:sz="8" w:space="0" w:color="auto"/>
              <w:right w:val="single" w:sz="4" w:space="0" w:color="auto"/>
            </w:tcBorders>
            <w:noWrap/>
            <w:vAlign w:val="center"/>
            <w:hideMark/>
          </w:tcPr>
          <w:p w14:paraId="1C9ABC2F"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345</w:t>
            </w:r>
          </w:p>
        </w:tc>
        <w:tc>
          <w:tcPr>
            <w:tcW w:w="1510" w:type="dxa"/>
            <w:tcBorders>
              <w:top w:val="nil"/>
              <w:left w:val="single" w:sz="4" w:space="0" w:color="auto"/>
              <w:bottom w:val="single" w:sz="8" w:space="0" w:color="auto"/>
              <w:right w:val="single" w:sz="8" w:space="0" w:color="auto"/>
            </w:tcBorders>
            <w:vAlign w:val="center"/>
          </w:tcPr>
          <w:p w14:paraId="7732089A"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253-487</w:t>
            </w:r>
          </w:p>
        </w:tc>
      </w:tr>
      <w:tr w:rsidR="000025DA" w:rsidRPr="003373D4" w14:paraId="28B40F85"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4E67A5CC"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As</w:t>
            </w:r>
          </w:p>
        </w:tc>
        <w:tc>
          <w:tcPr>
            <w:tcW w:w="2370" w:type="dxa"/>
            <w:tcBorders>
              <w:top w:val="nil"/>
              <w:left w:val="nil"/>
              <w:bottom w:val="single" w:sz="8" w:space="0" w:color="auto"/>
              <w:right w:val="single" w:sz="8" w:space="0" w:color="auto"/>
            </w:tcBorders>
            <w:noWrap/>
          </w:tcPr>
          <w:p w14:paraId="79504F62"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noWrap/>
            <w:vAlign w:val="center"/>
            <w:hideMark/>
          </w:tcPr>
          <w:p w14:paraId="19025F5C"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1.14</w:t>
            </w:r>
          </w:p>
        </w:tc>
        <w:tc>
          <w:tcPr>
            <w:tcW w:w="1510" w:type="dxa"/>
            <w:tcBorders>
              <w:top w:val="nil"/>
              <w:left w:val="single" w:sz="4" w:space="0" w:color="auto"/>
              <w:bottom w:val="single" w:sz="8" w:space="0" w:color="auto"/>
              <w:right w:val="single" w:sz="8" w:space="0" w:color="auto"/>
            </w:tcBorders>
            <w:vAlign w:val="center"/>
          </w:tcPr>
          <w:p w14:paraId="0B111089"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0.79-1.6</w:t>
            </w:r>
          </w:p>
        </w:tc>
      </w:tr>
      <w:tr w:rsidR="000025DA" w:rsidRPr="003373D4" w14:paraId="06E38800"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1EC41A30"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U</w:t>
            </w:r>
          </w:p>
        </w:tc>
        <w:tc>
          <w:tcPr>
            <w:tcW w:w="2370" w:type="dxa"/>
            <w:tcBorders>
              <w:top w:val="nil"/>
              <w:left w:val="nil"/>
              <w:bottom w:val="single" w:sz="8" w:space="0" w:color="auto"/>
              <w:right w:val="single" w:sz="8" w:space="0" w:color="auto"/>
            </w:tcBorders>
            <w:noWrap/>
          </w:tcPr>
          <w:p w14:paraId="642D781B"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2.7</w:t>
            </w:r>
          </w:p>
        </w:tc>
        <w:tc>
          <w:tcPr>
            <w:tcW w:w="1110" w:type="dxa"/>
            <w:tcBorders>
              <w:top w:val="nil"/>
              <w:left w:val="nil"/>
              <w:bottom w:val="single" w:sz="8" w:space="0" w:color="auto"/>
              <w:right w:val="single" w:sz="4" w:space="0" w:color="auto"/>
            </w:tcBorders>
            <w:noWrap/>
            <w:vAlign w:val="center"/>
            <w:hideMark/>
          </w:tcPr>
          <w:p w14:paraId="3F658763"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0.7</w:t>
            </w:r>
          </w:p>
        </w:tc>
        <w:tc>
          <w:tcPr>
            <w:tcW w:w="1510" w:type="dxa"/>
            <w:tcBorders>
              <w:top w:val="nil"/>
              <w:left w:val="single" w:sz="4" w:space="0" w:color="auto"/>
              <w:bottom w:val="single" w:sz="8" w:space="0" w:color="auto"/>
              <w:right w:val="single" w:sz="8" w:space="0" w:color="auto"/>
            </w:tcBorders>
            <w:vAlign w:val="center"/>
          </w:tcPr>
          <w:p w14:paraId="3507CA2A"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0.6-0.81</w:t>
            </w:r>
          </w:p>
        </w:tc>
      </w:tr>
      <w:tr w:rsidR="000025DA" w:rsidRPr="003373D4" w14:paraId="65FF8606"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61E51A33"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Au</w:t>
            </w:r>
          </w:p>
        </w:tc>
        <w:tc>
          <w:tcPr>
            <w:tcW w:w="2370" w:type="dxa"/>
            <w:tcBorders>
              <w:top w:val="nil"/>
              <w:left w:val="nil"/>
              <w:bottom w:val="single" w:sz="8" w:space="0" w:color="auto"/>
              <w:right w:val="single" w:sz="8" w:space="0" w:color="auto"/>
            </w:tcBorders>
            <w:noWrap/>
          </w:tcPr>
          <w:p w14:paraId="2D2B0B31"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4</w:t>
            </w:r>
          </w:p>
        </w:tc>
        <w:tc>
          <w:tcPr>
            <w:tcW w:w="1110" w:type="dxa"/>
            <w:tcBorders>
              <w:top w:val="nil"/>
              <w:left w:val="nil"/>
              <w:bottom w:val="single" w:sz="8" w:space="0" w:color="auto"/>
              <w:right w:val="single" w:sz="4" w:space="0" w:color="auto"/>
            </w:tcBorders>
            <w:noWrap/>
            <w:vAlign w:val="center"/>
            <w:hideMark/>
          </w:tcPr>
          <w:p w14:paraId="67592985"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c>
          <w:tcPr>
            <w:tcW w:w="1510" w:type="dxa"/>
            <w:tcBorders>
              <w:top w:val="nil"/>
              <w:left w:val="single" w:sz="4" w:space="0" w:color="auto"/>
              <w:bottom w:val="single" w:sz="8" w:space="0" w:color="auto"/>
              <w:right w:val="single" w:sz="8" w:space="0" w:color="auto"/>
            </w:tcBorders>
            <w:vAlign w:val="center"/>
          </w:tcPr>
          <w:p w14:paraId="629AC189"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0.5-2.34</w:t>
            </w:r>
          </w:p>
        </w:tc>
      </w:tr>
      <w:tr w:rsidR="000025DA" w:rsidRPr="003373D4" w14:paraId="15729B2B"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16C58B8B"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Th</w:t>
            </w:r>
          </w:p>
        </w:tc>
        <w:tc>
          <w:tcPr>
            <w:tcW w:w="2370" w:type="dxa"/>
            <w:tcBorders>
              <w:top w:val="nil"/>
              <w:left w:val="nil"/>
              <w:bottom w:val="single" w:sz="8" w:space="0" w:color="auto"/>
              <w:right w:val="single" w:sz="8" w:space="0" w:color="auto"/>
            </w:tcBorders>
            <w:noWrap/>
          </w:tcPr>
          <w:p w14:paraId="33871489"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10</w:t>
            </w:r>
          </w:p>
        </w:tc>
        <w:tc>
          <w:tcPr>
            <w:tcW w:w="1110" w:type="dxa"/>
            <w:tcBorders>
              <w:top w:val="nil"/>
              <w:left w:val="nil"/>
              <w:bottom w:val="single" w:sz="8" w:space="0" w:color="auto"/>
              <w:right w:val="single" w:sz="4" w:space="0" w:color="auto"/>
            </w:tcBorders>
            <w:noWrap/>
            <w:vAlign w:val="center"/>
            <w:hideMark/>
          </w:tcPr>
          <w:p w14:paraId="602B98B8"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510" w:type="dxa"/>
            <w:tcBorders>
              <w:top w:val="nil"/>
              <w:left w:val="single" w:sz="4" w:space="0" w:color="auto"/>
              <w:bottom w:val="single" w:sz="8" w:space="0" w:color="auto"/>
              <w:right w:val="single" w:sz="8" w:space="0" w:color="auto"/>
            </w:tcBorders>
            <w:vAlign w:val="center"/>
          </w:tcPr>
          <w:p w14:paraId="038EB997"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2.1-3.9</w:t>
            </w:r>
          </w:p>
        </w:tc>
      </w:tr>
      <w:tr w:rsidR="000025DA" w:rsidRPr="003373D4" w14:paraId="1117B882"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68B774C5"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Sr</w:t>
            </w:r>
          </w:p>
        </w:tc>
        <w:tc>
          <w:tcPr>
            <w:tcW w:w="2370" w:type="dxa"/>
            <w:tcBorders>
              <w:top w:val="nil"/>
              <w:left w:val="nil"/>
              <w:bottom w:val="single" w:sz="8" w:space="0" w:color="auto"/>
              <w:right w:val="single" w:sz="8" w:space="0" w:color="auto"/>
            </w:tcBorders>
            <w:noWrap/>
          </w:tcPr>
          <w:p w14:paraId="61079397"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375</w:t>
            </w:r>
          </w:p>
        </w:tc>
        <w:tc>
          <w:tcPr>
            <w:tcW w:w="1110" w:type="dxa"/>
            <w:tcBorders>
              <w:top w:val="nil"/>
              <w:left w:val="nil"/>
              <w:bottom w:val="single" w:sz="8" w:space="0" w:color="auto"/>
              <w:right w:val="single" w:sz="4" w:space="0" w:color="auto"/>
            </w:tcBorders>
            <w:noWrap/>
            <w:vAlign w:val="center"/>
            <w:hideMark/>
          </w:tcPr>
          <w:p w14:paraId="7AB5E284"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88.87</w:t>
            </w:r>
          </w:p>
        </w:tc>
        <w:tc>
          <w:tcPr>
            <w:tcW w:w="1510" w:type="dxa"/>
            <w:tcBorders>
              <w:top w:val="nil"/>
              <w:left w:val="single" w:sz="4" w:space="0" w:color="auto"/>
              <w:bottom w:val="single" w:sz="8" w:space="0" w:color="auto"/>
              <w:right w:val="single" w:sz="8" w:space="0" w:color="auto"/>
            </w:tcBorders>
            <w:vAlign w:val="center"/>
          </w:tcPr>
          <w:p w14:paraId="2EBFD9EA" w14:textId="77777777" w:rsidR="000025DA" w:rsidRPr="00516A61" w:rsidRDefault="000025DA" w:rsidP="00944CD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755-979</w:t>
            </w:r>
          </w:p>
        </w:tc>
      </w:tr>
      <w:tr w:rsidR="000025DA" w:rsidRPr="003373D4" w14:paraId="689A0FCF"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560E062D"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Cd</w:t>
            </w:r>
          </w:p>
        </w:tc>
        <w:tc>
          <w:tcPr>
            <w:tcW w:w="2370" w:type="dxa"/>
            <w:tcBorders>
              <w:top w:val="nil"/>
              <w:left w:val="nil"/>
              <w:bottom w:val="single" w:sz="8" w:space="0" w:color="auto"/>
              <w:right w:val="single" w:sz="8" w:space="0" w:color="auto"/>
            </w:tcBorders>
            <w:noWrap/>
          </w:tcPr>
          <w:p w14:paraId="730FD9F7"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0.13</w:t>
            </w:r>
          </w:p>
        </w:tc>
        <w:tc>
          <w:tcPr>
            <w:tcW w:w="1110" w:type="dxa"/>
            <w:tcBorders>
              <w:top w:val="nil"/>
              <w:left w:val="nil"/>
              <w:bottom w:val="single" w:sz="8" w:space="0" w:color="auto"/>
              <w:right w:val="single" w:sz="4" w:space="0" w:color="auto"/>
            </w:tcBorders>
            <w:noWrap/>
            <w:vAlign w:val="center"/>
            <w:hideMark/>
          </w:tcPr>
          <w:p w14:paraId="4229CEF8"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0.02</w:t>
            </w:r>
          </w:p>
        </w:tc>
        <w:tc>
          <w:tcPr>
            <w:tcW w:w="1510" w:type="dxa"/>
            <w:tcBorders>
              <w:top w:val="nil"/>
              <w:left w:val="single" w:sz="4" w:space="0" w:color="auto"/>
              <w:bottom w:val="single" w:sz="8" w:space="0" w:color="auto"/>
              <w:right w:val="single" w:sz="8" w:space="0" w:color="auto"/>
            </w:tcBorders>
            <w:vAlign w:val="center"/>
          </w:tcPr>
          <w:p w14:paraId="58F5CBD8"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0.01-0.03</w:t>
            </w:r>
          </w:p>
        </w:tc>
      </w:tr>
      <w:tr w:rsidR="000025DA" w:rsidRPr="003373D4" w14:paraId="66D563B2"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795D5914"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Sb</w:t>
            </w:r>
          </w:p>
        </w:tc>
        <w:tc>
          <w:tcPr>
            <w:tcW w:w="2370" w:type="dxa"/>
            <w:tcBorders>
              <w:top w:val="nil"/>
              <w:left w:val="nil"/>
              <w:bottom w:val="single" w:sz="8" w:space="0" w:color="auto"/>
              <w:right w:val="single" w:sz="8" w:space="0" w:color="auto"/>
            </w:tcBorders>
            <w:noWrap/>
          </w:tcPr>
          <w:p w14:paraId="0D2F4F27"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0.2</w:t>
            </w:r>
          </w:p>
        </w:tc>
        <w:tc>
          <w:tcPr>
            <w:tcW w:w="1110" w:type="dxa"/>
            <w:tcBorders>
              <w:top w:val="nil"/>
              <w:left w:val="nil"/>
              <w:bottom w:val="single" w:sz="8" w:space="0" w:color="auto"/>
              <w:right w:val="single" w:sz="4" w:space="0" w:color="auto"/>
            </w:tcBorders>
            <w:noWrap/>
            <w:vAlign w:val="center"/>
            <w:hideMark/>
          </w:tcPr>
          <w:p w14:paraId="6AFC3A72"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0.063</w:t>
            </w:r>
          </w:p>
        </w:tc>
        <w:tc>
          <w:tcPr>
            <w:tcW w:w="1510" w:type="dxa"/>
            <w:tcBorders>
              <w:top w:val="nil"/>
              <w:left w:val="single" w:sz="4" w:space="0" w:color="auto"/>
              <w:bottom w:val="single" w:sz="8" w:space="0" w:color="auto"/>
              <w:right w:val="single" w:sz="8" w:space="0" w:color="auto"/>
            </w:tcBorders>
            <w:vAlign w:val="center"/>
          </w:tcPr>
          <w:p w14:paraId="695B18DA"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0.05-0.08</w:t>
            </w:r>
          </w:p>
        </w:tc>
      </w:tr>
      <w:tr w:rsidR="000025DA" w:rsidRPr="003373D4" w14:paraId="5CD4EE0F"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235E9136"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Bi</w:t>
            </w:r>
          </w:p>
        </w:tc>
        <w:tc>
          <w:tcPr>
            <w:tcW w:w="2370" w:type="dxa"/>
            <w:tcBorders>
              <w:top w:val="nil"/>
              <w:left w:val="nil"/>
              <w:bottom w:val="single" w:sz="8" w:space="0" w:color="auto"/>
              <w:right w:val="single" w:sz="8" w:space="0" w:color="auto"/>
            </w:tcBorders>
            <w:noWrap/>
          </w:tcPr>
          <w:p w14:paraId="7DF58D85"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0.17</w:t>
            </w:r>
          </w:p>
        </w:tc>
        <w:tc>
          <w:tcPr>
            <w:tcW w:w="1110" w:type="dxa"/>
            <w:tcBorders>
              <w:top w:val="nil"/>
              <w:left w:val="nil"/>
              <w:bottom w:val="single" w:sz="8" w:space="0" w:color="auto"/>
              <w:right w:val="single" w:sz="4" w:space="0" w:color="auto"/>
            </w:tcBorders>
            <w:noWrap/>
            <w:vAlign w:val="center"/>
            <w:hideMark/>
          </w:tcPr>
          <w:p w14:paraId="50431D67"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510" w:type="dxa"/>
            <w:tcBorders>
              <w:top w:val="nil"/>
              <w:left w:val="single" w:sz="4" w:space="0" w:color="auto"/>
              <w:bottom w:val="single" w:sz="8" w:space="0" w:color="auto"/>
              <w:right w:val="single" w:sz="8" w:space="0" w:color="auto"/>
            </w:tcBorders>
            <w:vAlign w:val="center"/>
          </w:tcPr>
          <w:p w14:paraId="39CBDC73"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0.03-0.21</w:t>
            </w:r>
          </w:p>
        </w:tc>
      </w:tr>
      <w:tr w:rsidR="000025DA" w:rsidRPr="003373D4" w14:paraId="22E045D9"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6FBD9DD2"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V</w:t>
            </w:r>
          </w:p>
        </w:tc>
        <w:tc>
          <w:tcPr>
            <w:tcW w:w="2370" w:type="dxa"/>
            <w:tcBorders>
              <w:top w:val="nil"/>
              <w:left w:val="nil"/>
              <w:bottom w:val="single" w:sz="8" w:space="0" w:color="auto"/>
              <w:right w:val="single" w:sz="8" w:space="0" w:color="auto"/>
            </w:tcBorders>
            <w:noWrap/>
          </w:tcPr>
          <w:p w14:paraId="585C8277"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135</w:t>
            </w:r>
          </w:p>
        </w:tc>
        <w:tc>
          <w:tcPr>
            <w:tcW w:w="1110" w:type="dxa"/>
            <w:tcBorders>
              <w:top w:val="nil"/>
              <w:left w:val="nil"/>
              <w:bottom w:val="single" w:sz="8" w:space="0" w:color="auto"/>
              <w:right w:val="single" w:sz="4" w:space="0" w:color="auto"/>
            </w:tcBorders>
            <w:noWrap/>
            <w:vAlign w:val="center"/>
            <w:hideMark/>
          </w:tcPr>
          <w:p w14:paraId="7005EEC3"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91.3</w:t>
            </w:r>
          </w:p>
        </w:tc>
        <w:tc>
          <w:tcPr>
            <w:tcW w:w="1510" w:type="dxa"/>
            <w:tcBorders>
              <w:top w:val="nil"/>
              <w:left w:val="single" w:sz="4" w:space="0" w:color="auto"/>
              <w:bottom w:val="single" w:sz="8" w:space="0" w:color="auto"/>
              <w:right w:val="single" w:sz="8" w:space="0" w:color="auto"/>
            </w:tcBorders>
            <w:vAlign w:val="center"/>
          </w:tcPr>
          <w:p w14:paraId="2EA59F62" w14:textId="77777777" w:rsidR="000025DA" w:rsidRPr="00516A61" w:rsidRDefault="000025DA" w:rsidP="00944CD1">
            <w:pPr>
              <w:rPr>
                <w:rFonts w:ascii="Times New Roman" w:hAnsi="Times New Roman" w:cs="Times New Roman"/>
                <w:color w:val="000000"/>
                <w:sz w:val="24"/>
                <w:szCs w:val="24"/>
              </w:rPr>
            </w:pPr>
            <w:r w:rsidRPr="00516A61">
              <w:rPr>
                <w:rFonts w:ascii="Times New Roman" w:hAnsi="Times New Roman" w:cs="Times New Roman"/>
                <w:color w:val="000000"/>
                <w:sz w:val="24"/>
                <w:szCs w:val="24"/>
              </w:rPr>
              <w:t xml:space="preserve">   72-102</w:t>
            </w:r>
          </w:p>
        </w:tc>
      </w:tr>
      <w:tr w:rsidR="000025DA" w:rsidRPr="003373D4" w14:paraId="21CCB5EE"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10E4681B"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La</w:t>
            </w:r>
          </w:p>
        </w:tc>
        <w:tc>
          <w:tcPr>
            <w:tcW w:w="2370" w:type="dxa"/>
            <w:tcBorders>
              <w:top w:val="nil"/>
              <w:left w:val="nil"/>
              <w:bottom w:val="single" w:sz="8" w:space="0" w:color="auto"/>
              <w:right w:val="single" w:sz="8" w:space="0" w:color="auto"/>
            </w:tcBorders>
            <w:noWrap/>
          </w:tcPr>
          <w:p w14:paraId="257A9838"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30</w:t>
            </w:r>
          </w:p>
        </w:tc>
        <w:tc>
          <w:tcPr>
            <w:tcW w:w="1110" w:type="dxa"/>
            <w:tcBorders>
              <w:top w:val="nil"/>
              <w:left w:val="nil"/>
              <w:bottom w:val="single" w:sz="8" w:space="0" w:color="auto"/>
              <w:right w:val="single" w:sz="4" w:space="0" w:color="auto"/>
            </w:tcBorders>
            <w:noWrap/>
            <w:vAlign w:val="center"/>
            <w:hideMark/>
          </w:tcPr>
          <w:p w14:paraId="6B2E6FF6"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27.37</w:t>
            </w:r>
          </w:p>
        </w:tc>
        <w:tc>
          <w:tcPr>
            <w:tcW w:w="1510" w:type="dxa"/>
            <w:tcBorders>
              <w:top w:val="nil"/>
              <w:left w:val="single" w:sz="4" w:space="0" w:color="auto"/>
              <w:bottom w:val="single" w:sz="8" w:space="0" w:color="auto"/>
              <w:right w:val="single" w:sz="8" w:space="0" w:color="auto"/>
            </w:tcBorders>
            <w:vAlign w:val="center"/>
          </w:tcPr>
          <w:p w14:paraId="6F8A257A"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22.6-32.6</w:t>
            </w:r>
          </w:p>
        </w:tc>
      </w:tr>
      <w:tr w:rsidR="000025DA" w:rsidRPr="003373D4" w14:paraId="12AA69EC"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456C21A2"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Cr</w:t>
            </w:r>
          </w:p>
        </w:tc>
        <w:tc>
          <w:tcPr>
            <w:tcW w:w="2370" w:type="dxa"/>
            <w:tcBorders>
              <w:top w:val="nil"/>
              <w:left w:val="nil"/>
              <w:bottom w:val="single" w:sz="8" w:space="0" w:color="auto"/>
              <w:right w:val="single" w:sz="8" w:space="0" w:color="auto"/>
            </w:tcBorders>
            <w:noWrap/>
          </w:tcPr>
          <w:p w14:paraId="60532A34"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100</w:t>
            </w:r>
          </w:p>
        </w:tc>
        <w:tc>
          <w:tcPr>
            <w:tcW w:w="1110" w:type="dxa"/>
            <w:tcBorders>
              <w:top w:val="nil"/>
              <w:left w:val="nil"/>
              <w:bottom w:val="single" w:sz="8" w:space="0" w:color="auto"/>
              <w:right w:val="single" w:sz="4" w:space="0" w:color="auto"/>
            </w:tcBorders>
            <w:noWrap/>
            <w:vAlign w:val="center"/>
            <w:hideMark/>
          </w:tcPr>
          <w:p w14:paraId="7186EB5F"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120.11</w:t>
            </w:r>
          </w:p>
        </w:tc>
        <w:tc>
          <w:tcPr>
            <w:tcW w:w="1510" w:type="dxa"/>
            <w:tcBorders>
              <w:top w:val="nil"/>
              <w:left w:val="single" w:sz="4" w:space="0" w:color="auto"/>
              <w:bottom w:val="single" w:sz="8" w:space="0" w:color="auto"/>
              <w:right w:val="single" w:sz="8" w:space="0" w:color="auto"/>
            </w:tcBorders>
            <w:vAlign w:val="center"/>
          </w:tcPr>
          <w:p w14:paraId="60009D96"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80.9-149.3</w:t>
            </w:r>
          </w:p>
        </w:tc>
      </w:tr>
      <w:tr w:rsidR="000025DA" w:rsidRPr="003373D4" w14:paraId="4980B0FA"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2EAE41D3"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Ba</w:t>
            </w:r>
          </w:p>
        </w:tc>
        <w:tc>
          <w:tcPr>
            <w:tcW w:w="2370" w:type="dxa"/>
            <w:tcBorders>
              <w:top w:val="nil"/>
              <w:left w:val="nil"/>
              <w:bottom w:val="single" w:sz="8" w:space="0" w:color="auto"/>
              <w:right w:val="single" w:sz="8" w:space="0" w:color="auto"/>
            </w:tcBorders>
            <w:noWrap/>
          </w:tcPr>
          <w:p w14:paraId="6E20133E"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640</w:t>
            </w:r>
          </w:p>
        </w:tc>
        <w:tc>
          <w:tcPr>
            <w:tcW w:w="1110" w:type="dxa"/>
            <w:tcBorders>
              <w:top w:val="nil"/>
              <w:left w:val="nil"/>
              <w:bottom w:val="single" w:sz="8" w:space="0" w:color="auto"/>
              <w:right w:val="single" w:sz="4" w:space="0" w:color="auto"/>
            </w:tcBorders>
            <w:noWrap/>
            <w:vAlign w:val="center"/>
            <w:hideMark/>
          </w:tcPr>
          <w:p w14:paraId="5F8F1853"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310.31</w:t>
            </w:r>
          </w:p>
        </w:tc>
        <w:tc>
          <w:tcPr>
            <w:tcW w:w="1510" w:type="dxa"/>
            <w:tcBorders>
              <w:top w:val="nil"/>
              <w:left w:val="single" w:sz="4" w:space="0" w:color="auto"/>
              <w:bottom w:val="single" w:sz="8" w:space="0" w:color="auto"/>
              <w:right w:val="single" w:sz="8" w:space="0" w:color="auto"/>
            </w:tcBorders>
            <w:vAlign w:val="center"/>
          </w:tcPr>
          <w:p w14:paraId="0FA50A16"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2711-3222</w:t>
            </w:r>
          </w:p>
        </w:tc>
      </w:tr>
      <w:tr w:rsidR="000025DA" w:rsidRPr="003373D4" w14:paraId="22488A9B"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69124F7E"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W</w:t>
            </w:r>
          </w:p>
        </w:tc>
        <w:tc>
          <w:tcPr>
            <w:tcW w:w="2370" w:type="dxa"/>
            <w:tcBorders>
              <w:top w:val="nil"/>
              <w:left w:val="nil"/>
              <w:bottom w:val="single" w:sz="8" w:space="0" w:color="auto"/>
              <w:right w:val="single" w:sz="8" w:space="0" w:color="auto"/>
            </w:tcBorders>
            <w:noWrap/>
          </w:tcPr>
          <w:p w14:paraId="7E808B75"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8" w:space="0" w:color="auto"/>
              <w:right w:val="single" w:sz="4" w:space="0" w:color="auto"/>
            </w:tcBorders>
            <w:noWrap/>
            <w:vAlign w:val="center"/>
            <w:hideMark/>
          </w:tcPr>
          <w:p w14:paraId="2472FCEB"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0.3</w:t>
            </w:r>
            <w:r>
              <w:rPr>
                <w:rFonts w:ascii="Times New Roman" w:eastAsia="Times New Roman" w:hAnsi="Times New Roman" w:cs="Times New Roman"/>
                <w:color w:val="000000"/>
                <w:sz w:val="24"/>
                <w:szCs w:val="24"/>
              </w:rPr>
              <w:t>5</w:t>
            </w:r>
          </w:p>
        </w:tc>
        <w:tc>
          <w:tcPr>
            <w:tcW w:w="1510" w:type="dxa"/>
            <w:tcBorders>
              <w:top w:val="nil"/>
              <w:left w:val="single" w:sz="4" w:space="0" w:color="auto"/>
              <w:bottom w:val="single" w:sz="8" w:space="0" w:color="auto"/>
              <w:right w:val="single" w:sz="8" w:space="0" w:color="auto"/>
            </w:tcBorders>
            <w:vAlign w:val="center"/>
          </w:tcPr>
          <w:p w14:paraId="6A5D8F1F"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0.2-0.6</w:t>
            </w:r>
          </w:p>
        </w:tc>
      </w:tr>
      <w:tr w:rsidR="000025DA" w:rsidRPr="003373D4" w14:paraId="7084257A"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53FA16D4"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Sc</w:t>
            </w:r>
          </w:p>
        </w:tc>
        <w:tc>
          <w:tcPr>
            <w:tcW w:w="2370" w:type="dxa"/>
            <w:tcBorders>
              <w:top w:val="nil"/>
              <w:left w:val="nil"/>
              <w:bottom w:val="single" w:sz="8" w:space="0" w:color="auto"/>
              <w:right w:val="single" w:sz="8" w:space="0" w:color="auto"/>
            </w:tcBorders>
            <w:noWrap/>
          </w:tcPr>
          <w:p w14:paraId="3C4A9789"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18</w:t>
            </w:r>
          </w:p>
        </w:tc>
        <w:tc>
          <w:tcPr>
            <w:tcW w:w="1110" w:type="dxa"/>
            <w:tcBorders>
              <w:top w:val="nil"/>
              <w:left w:val="nil"/>
              <w:bottom w:val="single" w:sz="8" w:space="0" w:color="auto"/>
              <w:right w:val="single" w:sz="4" w:space="0" w:color="auto"/>
            </w:tcBorders>
            <w:noWrap/>
            <w:vAlign w:val="center"/>
            <w:hideMark/>
          </w:tcPr>
          <w:p w14:paraId="14A4386A"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w:t>
            </w:r>
          </w:p>
        </w:tc>
        <w:tc>
          <w:tcPr>
            <w:tcW w:w="1510" w:type="dxa"/>
            <w:tcBorders>
              <w:top w:val="nil"/>
              <w:left w:val="single" w:sz="4" w:space="0" w:color="auto"/>
              <w:bottom w:val="single" w:sz="8" w:space="0" w:color="auto"/>
              <w:right w:val="single" w:sz="8" w:space="0" w:color="auto"/>
            </w:tcBorders>
            <w:vAlign w:val="center"/>
          </w:tcPr>
          <w:p w14:paraId="7B150595" w14:textId="77777777" w:rsidR="000025DA" w:rsidRPr="00516A61" w:rsidRDefault="000025DA" w:rsidP="00944CD1">
            <w:pPr>
              <w:jc w:val="center"/>
              <w:rPr>
                <w:rFonts w:ascii="Times New Roman" w:hAnsi="Times New Roman" w:cs="Times New Roman"/>
                <w:color w:val="000000"/>
                <w:sz w:val="24"/>
                <w:szCs w:val="24"/>
              </w:rPr>
            </w:pPr>
            <w:r>
              <w:rPr>
                <w:rFonts w:ascii="Times New Roman" w:hAnsi="Times New Roman" w:cs="Times New Roman"/>
                <w:color w:val="000000"/>
                <w:sz w:val="24"/>
                <w:szCs w:val="24"/>
              </w:rPr>
              <w:t>1.3-3.3</w:t>
            </w:r>
          </w:p>
        </w:tc>
      </w:tr>
      <w:tr w:rsidR="000025DA" w:rsidRPr="003373D4" w14:paraId="229C9E28" w14:textId="77777777" w:rsidTr="00944CD1">
        <w:trPr>
          <w:trHeight w:val="318"/>
          <w:jc w:val="center"/>
        </w:trPr>
        <w:tc>
          <w:tcPr>
            <w:tcW w:w="1030" w:type="dxa"/>
            <w:tcBorders>
              <w:top w:val="nil"/>
              <w:left w:val="single" w:sz="8" w:space="0" w:color="auto"/>
              <w:bottom w:val="single" w:sz="8" w:space="0" w:color="auto"/>
              <w:right w:val="single" w:sz="8" w:space="0" w:color="auto"/>
            </w:tcBorders>
            <w:noWrap/>
            <w:vAlign w:val="center"/>
            <w:hideMark/>
          </w:tcPr>
          <w:p w14:paraId="189EBF5F"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Tl</w:t>
            </w:r>
          </w:p>
        </w:tc>
        <w:tc>
          <w:tcPr>
            <w:tcW w:w="2370" w:type="dxa"/>
            <w:tcBorders>
              <w:top w:val="nil"/>
              <w:left w:val="nil"/>
              <w:bottom w:val="single" w:sz="8" w:space="0" w:color="auto"/>
              <w:right w:val="single" w:sz="8" w:space="0" w:color="auto"/>
            </w:tcBorders>
            <w:noWrap/>
          </w:tcPr>
          <w:p w14:paraId="1D205157"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0.45</w:t>
            </w:r>
          </w:p>
        </w:tc>
        <w:tc>
          <w:tcPr>
            <w:tcW w:w="1110" w:type="dxa"/>
            <w:tcBorders>
              <w:top w:val="nil"/>
              <w:left w:val="nil"/>
              <w:bottom w:val="single" w:sz="8" w:space="0" w:color="auto"/>
              <w:right w:val="single" w:sz="4" w:space="0" w:color="auto"/>
            </w:tcBorders>
            <w:noWrap/>
            <w:vAlign w:val="center"/>
            <w:hideMark/>
          </w:tcPr>
          <w:p w14:paraId="7BDD486D"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67</w:t>
            </w:r>
          </w:p>
        </w:tc>
        <w:tc>
          <w:tcPr>
            <w:tcW w:w="1510" w:type="dxa"/>
            <w:tcBorders>
              <w:top w:val="nil"/>
              <w:left w:val="single" w:sz="4" w:space="0" w:color="auto"/>
              <w:bottom w:val="single" w:sz="8" w:space="0" w:color="auto"/>
              <w:right w:val="single" w:sz="8" w:space="0" w:color="auto"/>
            </w:tcBorders>
            <w:vAlign w:val="center"/>
          </w:tcPr>
          <w:p w14:paraId="733064EC"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0.59-0.86</w:t>
            </w:r>
          </w:p>
        </w:tc>
      </w:tr>
      <w:tr w:rsidR="000025DA" w:rsidRPr="003373D4" w14:paraId="15F47BEA" w14:textId="77777777" w:rsidTr="00944CD1">
        <w:trPr>
          <w:trHeight w:val="318"/>
          <w:jc w:val="center"/>
        </w:trPr>
        <w:tc>
          <w:tcPr>
            <w:tcW w:w="1030" w:type="dxa"/>
            <w:tcBorders>
              <w:top w:val="nil"/>
              <w:left w:val="single" w:sz="8" w:space="0" w:color="auto"/>
              <w:bottom w:val="single" w:sz="4" w:space="0" w:color="auto"/>
              <w:right w:val="single" w:sz="8" w:space="0" w:color="auto"/>
            </w:tcBorders>
            <w:noWrap/>
            <w:vAlign w:val="center"/>
            <w:hideMark/>
          </w:tcPr>
          <w:p w14:paraId="6D6C3813"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sidRPr="003373D4">
              <w:rPr>
                <w:rFonts w:ascii="Times New Roman" w:eastAsia="Times New Roman" w:hAnsi="Times New Roman" w:cs="Times New Roman"/>
                <w:color w:val="000000"/>
                <w:sz w:val="24"/>
                <w:szCs w:val="24"/>
              </w:rPr>
              <w:t>Ga</w:t>
            </w:r>
          </w:p>
        </w:tc>
        <w:tc>
          <w:tcPr>
            <w:tcW w:w="2370" w:type="dxa"/>
            <w:tcBorders>
              <w:top w:val="nil"/>
              <w:left w:val="nil"/>
              <w:bottom w:val="single" w:sz="4" w:space="0" w:color="auto"/>
              <w:right w:val="single" w:sz="8" w:space="0" w:color="auto"/>
            </w:tcBorders>
            <w:noWrap/>
          </w:tcPr>
          <w:p w14:paraId="6BB01F0B" w14:textId="77777777" w:rsidR="000025DA" w:rsidRPr="003373D4" w:rsidRDefault="000025DA" w:rsidP="00944CD1">
            <w:pPr>
              <w:spacing w:after="0"/>
              <w:jc w:val="center"/>
              <w:rPr>
                <w:rFonts w:ascii="Times New Roman" w:hAnsi="Times New Roman" w:cs="Times New Roman"/>
                <w:sz w:val="24"/>
                <w:szCs w:val="24"/>
              </w:rPr>
            </w:pPr>
            <w:r w:rsidRPr="003373D4">
              <w:rPr>
                <w:rFonts w:ascii="Times New Roman" w:hAnsi="Times New Roman" w:cs="Times New Roman"/>
                <w:sz w:val="24"/>
                <w:szCs w:val="24"/>
              </w:rPr>
              <w:t>15</w:t>
            </w:r>
          </w:p>
        </w:tc>
        <w:tc>
          <w:tcPr>
            <w:tcW w:w="1110" w:type="dxa"/>
            <w:tcBorders>
              <w:top w:val="nil"/>
              <w:left w:val="nil"/>
              <w:bottom w:val="single" w:sz="4" w:space="0" w:color="auto"/>
              <w:right w:val="single" w:sz="4" w:space="0" w:color="auto"/>
            </w:tcBorders>
            <w:noWrap/>
            <w:vAlign w:val="center"/>
            <w:hideMark/>
          </w:tcPr>
          <w:p w14:paraId="5EA3E9CC"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5.49</w:t>
            </w:r>
          </w:p>
        </w:tc>
        <w:tc>
          <w:tcPr>
            <w:tcW w:w="1510" w:type="dxa"/>
            <w:tcBorders>
              <w:top w:val="nil"/>
              <w:left w:val="single" w:sz="4" w:space="0" w:color="auto"/>
              <w:bottom w:val="single" w:sz="4" w:space="0" w:color="auto"/>
              <w:right w:val="single" w:sz="8" w:space="0" w:color="auto"/>
            </w:tcBorders>
            <w:vAlign w:val="center"/>
          </w:tcPr>
          <w:p w14:paraId="514D1A3D"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4-6.4</w:t>
            </w:r>
          </w:p>
        </w:tc>
      </w:tr>
      <w:tr w:rsidR="000025DA" w:rsidRPr="003373D4" w14:paraId="4A6B3321" w14:textId="77777777"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noWrap/>
            <w:vAlign w:val="center"/>
          </w:tcPr>
          <w:p w14:paraId="5F428D1C"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Zr</w:t>
            </w:r>
          </w:p>
        </w:tc>
        <w:tc>
          <w:tcPr>
            <w:tcW w:w="2370" w:type="dxa"/>
            <w:tcBorders>
              <w:top w:val="single" w:sz="4" w:space="0" w:color="auto"/>
              <w:left w:val="nil"/>
              <w:bottom w:val="single" w:sz="4" w:space="0" w:color="auto"/>
              <w:right w:val="single" w:sz="8" w:space="0" w:color="auto"/>
            </w:tcBorders>
            <w:noWrap/>
          </w:tcPr>
          <w:p w14:paraId="172C417E" w14:textId="77777777"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165</w:t>
            </w:r>
          </w:p>
        </w:tc>
        <w:tc>
          <w:tcPr>
            <w:tcW w:w="1110" w:type="dxa"/>
            <w:tcBorders>
              <w:top w:val="single" w:sz="4" w:space="0" w:color="auto"/>
              <w:left w:val="nil"/>
              <w:bottom w:val="single" w:sz="4" w:space="0" w:color="auto"/>
              <w:right w:val="single" w:sz="4" w:space="0" w:color="auto"/>
            </w:tcBorders>
            <w:noWrap/>
            <w:vAlign w:val="center"/>
          </w:tcPr>
          <w:p w14:paraId="17D93BD8"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510" w:type="dxa"/>
            <w:tcBorders>
              <w:top w:val="single" w:sz="4" w:space="0" w:color="auto"/>
              <w:left w:val="single" w:sz="4" w:space="0" w:color="auto"/>
              <w:bottom w:val="single" w:sz="4" w:space="0" w:color="auto"/>
              <w:right w:val="single" w:sz="8" w:space="0" w:color="auto"/>
            </w:tcBorders>
            <w:vAlign w:val="center"/>
          </w:tcPr>
          <w:p w14:paraId="03D9825F"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101-194</w:t>
            </w:r>
          </w:p>
        </w:tc>
      </w:tr>
      <w:tr w:rsidR="000025DA" w:rsidRPr="003373D4" w14:paraId="3D1982D0" w14:textId="77777777"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noWrap/>
            <w:vAlign w:val="center"/>
          </w:tcPr>
          <w:p w14:paraId="0D9550CF" w14:textId="77777777"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w:t>
            </w:r>
          </w:p>
        </w:tc>
        <w:tc>
          <w:tcPr>
            <w:tcW w:w="2370" w:type="dxa"/>
            <w:tcBorders>
              <w:top w:val="single" w:sz="4" w:space="0" w:color="auto"/>
              <w:left w:val="nil"/>
              <w:bottom w:val="single" w:sz="4" w:space="0" w:color="auto"/>
              <w:right w:val="single" w:sz="8" w:space="0" w:color="auto"/>
            </w:tcBorders>
            <w:noWrap/>
          </w:tcPr>
          <w:p w14:paraId="3449C42E" w14:textId="77777777"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33</w:t>
            </w:r>
          </w:p>
        </w:tc>
        <w:tc>
          <w:tcPr>
            <w:tcW w:w="1110" w:type="dxa"/>
            <w:tcBorders>
              <w:top w:val="single" w:sz="4" w:space="0" w:color="auto"/>
              <w:left w:val="nil"/>
              <w:bottom w:val="single" w:sz="4" w:space="0" w:color="auto"/>
              <w:right w:val="single" w:sz="4" w:space="0" w:color="auto"/>
            </w:tcBorders>
            <w:noWrap/>
            <w:vAlign w:val="center"/>
          </w:tcPr>
          <w:p w14:paraId="0CF7EE48"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w:t>
            </w:r>
          </w:p>
        </w:tc>
        <w:tc>
          <w:tcPr>
            <w:tcW w:w="1510" w:type="dxa"/>
            <w:tcBorders>
              <w:top w:val="single" w:sz="4" w:space="0" w:color="auto"/>
              <w:left w:val="single" w:sz="4" w:space="0" w:color="auto"/>
              <w:bottom w:val="single" w:sz="4" w:space="0" w:color="auto"/>
              <w:right w:val="single" w:sz="8" w:space="0" w:color="auto"/>
            </w:tcBorders>
            <w:vAlign w:val="center"/>
          </w:tcPr>
          <w:p w14:paraId="1E7D0445"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18-20</w:t>
            </w:r>
          </w:p>
        </w:tc>
      </w:tr>
      <w:tr w:rsidR="000025DA" w:rsidRPr="003373D4" w14:paraId="1323155C" w14:textId="77777777"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noWrap/>
            <w:vAlign w:val="center"/>
          </w:tcPr>
          <w:p w14:paraId="16BC44CD" w14:textId="77777777"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Nb</w:t>
            </w:r>
          </w:p>
        </w:tc>
        <w:tc>
          <w:tcPr>
            <w:tcW w:w="2370" w:type="dxa"/>
            <w:tcBorders>
              <w:top w:val="single" w:sz="4" w:space="0" w:color="auto"/>
              <w:left w:val="nil"/>
              <w:bottom w:val="single" w:sz="4" w:space="0" w:color="auto"/>
              <w:right w:val="single" w:sz="8" w:space="0" w:color="auto"/>
            </w:tcBorders>
            <w:noWrap/>
          </w:tcPr>
          <w:p w14:paraId="4FA81AC7" w14:textId="77777777"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20</w:t>
            </w:r>
          </w:p>
        </w:tc>
        <w:tc>
          <w:tcPr>
            <w:tcW w:w="1110" w:type="dxa"/>
            <w:tcBorders>
              <w:top w:val="single" w:sz="4" w:space="0" w:color="auto"/>
              <w:left w:val="nil"/>
              <w:bottom w:val="single" w:sz="4" w:space="0" w:color="auto"/>
              <w:right w:val="single" w:sz="4" w:space="0" w:color="auto"/>
            </w:tcBorders>
            <w:noWrap/>
            <w:vAlign w:val="center"/>
          </w:tcPr>
          <w:p w14:paraId="7F1827DF"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w:t>
            </w:r>
          </w:p>
        </w:tc>
        <w:tc>
          <w:tcPr>
            <w:tcW w:w="1510" w:type="dxa"/>
            <w:tcBorders>
              <w:top w:val="single" w:sz="4" w:space="0" w:color="auto"/>
              <w:left w:val="single" w:sz="4" w:space="0" w:color="auto"/>
              <w:bottom w:val="single" w:sz="4" w:space="0" w:color="auto"/>
              <w:right w:val="single" w:sz="8" w:space="0" w:color="auto"/>
            </w:tcBorders>
            <w:vAlign w:val="center"/>
          </w:tcPr>
          <w:p w14:paraId="5CBE7F36"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10-13</w:t>
            </w:r>
          </w:p>
        </w:tc>
      </w:tr>
      <w:tr w:rsidR="000025DA" w:rsidRPr="003373D4" w14:paraId="592CF432" w14:textId="77777777"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noWrap/>
            <w:vAlign w:val="center"/>
          </w:tcPr>
          <w:p w14:paraId="43F71CA0" w14:textId="77777777"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p>
        </w:tc>
        <w:tc>
          <w:tcPr>
            <w:tcW w:w="2370" w:type="dxa"/>
            <w:tcBorders>
              <w:top w:val="single" w:sz="4" w:space="0" w:color="auto"/>
              <w:left w:val="nil"/>
              <w:bottom w:val="single" w:sz="4" w:space="0" w:color="auto"/>
              <w:right w:val="single" w:sz="8" w:space="0" w:color="auto"/>
            </w:tcBorders>
            <w:noWrap/>
          </w:tcPr>
          <w:p w14:paraId="7A11F46C" w14:textId="77777777"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10</w:t>
            </w:r>
          </w:p>
        </w:tc>
        <w:tc>
          <w:tcPr>
            <w:tcW w:w="1110" w:type="dxa"/>
            <w:tcBorders>
              <w:top w:val="single" w:sz="4" w:space="0" w:color="auto"/>
              <w:left w:val="nil"/>
              <w:bottom w:val="single" w:sz="4" w:space="0" w:color="auto"/>
              <w:right w:val="single" w:sz="4" w:space="0" w:color="auto"/>
            </w:tcBorders>
            <w:noWrap/>
            <w:vAlign w:val="center"/>
          </w:tcPr>
          <w:p w14:paraId="1DDACC52"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17.9</w:t>
            </w:r>
          </w:p>
        </w:tc>
        <w:tc>
          <w:tcPr>
            <w:tcW w:w="1510" w:type="dxa"/>
            <w:tcBorders>
              <w:top w:val="single" w:sz="4" w:space="0" w:color="auto"/>
              <w:left w:val="single" w:sz="4" w:space="0" w:color="auto"/>
              <w:bottom w:val="single" w:sz="4" w:space="0" w:color="auto"/>
              <w:right w:val="single" w:sz="8" w:space="0" w:color="auto"/>
            </w:tcBorders>
            <w:vAlign w:val="center"/>
          </w:tcPr>
          <w:p w14:paraId="6DDD2DA5"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16-19</w:t>
            </w:r>
          </w:p>
        </w:tc>
      </w:tr>
      <w:tr w:rsidR="000025DA" w:rsidRPr="003373D4" w14:paraId="2E9398A3" w14:textId="77777777"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noWrap/>
            <w:vAlign w:val="center"/>
          </w:tcPr>
          <w:p w14:paraId="2CA119AD" w14:textId="77777777"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Hg</w:t>
            </w:r>
          </w:p>
        </w:tc>
        <w:tc>
          <w:tcPr>
            <w:tcW w:w="2370" w:type="dxa"/>
            <w:tcBorders>
              <w:top w:val="single" w:sz="4" w:space="0" w:color="auto"/>
              <w:left w:val="nil"/>
              <w:bottom w:val="single" w:sz="4" w:space="0" w:color="auto"/>
              <w:right w:val="single" w:sz="8" w:space="0" w:color="auto"/>
            </w:tcBorders>
            <w:noWrap/>
          </w:tcPr>
          <w:p w14:paraId="3B62D0D3" w14:textId="77777777"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0.08</w:t>
            </w:r>
          </w:p>
        </w:tc>
        <w:tc>
          <w:tcPr>
            <w:tcW w:w="1110" w:type="dxa"/>
            <w:tcBorders>
              <w:top w:val="single" w:sz="4" w:space="0" w:color="auto"/>
              <w:left w:val="nil"/>
              <w:bottom w:val="single" w:sz="4" w:space="0" w:color="auto"/>
              <w:right w:val="single" w:sz="4" w:space="0" w:color="auto"/>
            </w:tcBorders>
            <w:noWrap/>
            <w:vAlign w:val="center"/>
          </w:tcPr>
          <w:p w14:paraId="58F1F35C"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10" w:type="dxa"/>
            <w:tcBorders>
              <w:top w:val="single" w:sz="4" w:space="0" w:color="auto"/>
              <w:left w:val="single" w:sz="4" w:space="0" w:color="auto"/>
              <w:bottom w:val="single" w:sz="4" w:space="0" w:color="auto"/>
              <w:right w:val="single" w:sz="8" w:space="0" w:color="auto"/>
            </w:tcBorders>
            <w:vAlign w:val="center"/>
          </w:tcPr>
          <w:p w14:paraId="5511FFEA"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3-5</w:t>
            </w:r>
          </w:p>
        </w:tc>
      </w:tr>
      <w:tr w:rsidR="000025DA" w:rsidRPr="003373D4" w14:paraId="026E8F44" w14:textId="77777777"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noWrap/>
            <w:vAlign w:val="center"/>
          </w:tcPr>
          <w:p w14:paraId="6F537CE1" w14:textId="77777777"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w:t>
            </w:r>
          </w:p>
        </w:tc>
        <w:tc>
          <w:tcPr>
            <w:tcW w:w="2370" w:type="dxa"/>
            <w:tcBorders>
              <w:top w:val="single" w:sz="4" w:space="0" w:color="auto"/>
              <w:left w:val="nil"/>
              <w:bottom w:val="single" w:sz="4" w:space="0" w:color="auto"/>
              <w:right w:val="single" w:sz="8" w:space="0" w:color="auto"/>
            </w:tcBorders>
            <w:noWrap/>
          </w:tcPr>
          <w:p w14:paraId="70EAB181" w14:textId="77777777"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0.05</w:t>
            </w:r>
          </w:p>
        </w:tc>
        <w:tc>
          <w:tcPr>
            <w:tcW w:w="1110" w:type="dxa"/>
            <w:tcBorders>
              <w:top w:val="single" w:sz="4" w:space="0" w:color="auto"/>
              <w:left w:val="nil"/>
              <w:bottom w:val="single" w:sz="4" w:space="0" w:color="auto"/>
              <w:right w:val="single" w:sz="4" w:space="0" w:color="auto"/>
            </w:tcBorders>
            <w:noWrap/>
            <w:vAlign w:val="center"/>
          </w:tcPr>
          <w:p w14:paraId="76A8A61C"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510" w:type="dxa"/>
            <w:tcBorders>
              <w:top w:val="single" w:sz="4" w:space="0" w:color="auto"/>
              <w:left w:val="single" w:sz="4" w:space="0" w:color="auto"/>
              <w:bottom w:val="single" w:sz="4" w:space="0" w:color="auto"/>
              <w:right w:val="single" w:sz="8" w:space="0" w:color="auto"/>
            </w:tcBorders>
            <w:vAlign w:val="center"/>
          </w:tcPr>
          <w:p w14:paraId="3EF970F0"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0.1-0.2</w:t>
            </w:r>
          </w:p>
        </w:tc>
      </w:tr>
      <w:tr w:rsidR="000025DA" w:rsidRPr="003373D4" w14:paraId="38833125" w14:textId="77777777" w:rsidTr="00944CD1">
        <w:trPr>
          <w:trHeight w:val="318"/>
          <w:jc w:val="center"/>
        </w:trPr>
        <w:tc>
          <w:tcPr>
            <w:tcW w:w="1030" w:type="dxa"/>
            <w:tcBorders>
              <w:top w:val="single" w:sz="4" w:space="0" w:color="auto"/>
              <w:left w:val="single" w:sz="8" w:space="0" w:color="auto"/>
              <w:bottom w:val="single" w:sz="4" w:space="0" w:color="auto"/>
              <w:right w:val="single" w:sz="8" w:space="0" w:color="auto"/>
            </w:tcBorders>
            <w:noWrap/>
            <w:vAlign w:val="center"/>
          </w:tcPr>
          <w:p w14:paraId="667AE2A4" w14:textId="77777777" w:rsidR="000025DA"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w:t>
            </w:r>
          </w:p>
        </w:tc>
        <w:tc>
          <w:tcPr>
            <w:tcW w:w="2370" w:type="dxa"/>
            <w:tcBorders>
              <w:top w:val="single" w:sz="4" w:space="0" w:color="auto"/>
              <w:left w:val="nil"/>
              <w:bottom w:val="single" w:sz="4" w:space="0" w:color="auto"/>
              <w:right w:val="single" w:sz="8" w:space="0" w:color="auto"/>
            </w:tcBorders>
            <w:noWrap/>
          </w:tcPr>
          <w:p w14:paraId="13559D9A" w14:textId="77777777" w:rsidR="000025DA" w:rsidRPr="003373D4" w:rsidRDefault="000025DA" w:rsidP="00944CD1">
            <w:pPr>
              <w:spacing w:after="0"/>
              <w:jc w:val="center"/>
              <w:rPr>
                <w:rFonts w:ascii="Times New Roman" w:hAnsi="Times New Roman" w:cs="Times New Roman"/>
                <w:sz w:val="24"/>
                <w:szCs w:val="24"/>
              </w:rPr>
            </w:pPr>
            <w:r>
              <w:rPr>
                <w:rFonts w:ascii="Times New Roman" w:hAnsi="Times New Roman" w:cs="Times New Roman"/>
                <w:sz w:val="24"/>
                <w:szCs w:val="24"/>
              </w:rPr>
              <w:t>0.005</w:t>
            </w:r>
          </w:p>
        </w:tc>
        <w:tc>
          <w:tcPr>
            <w:tcW w:w="1110" w:type="dxa"/>
            <w:tcBorders>
              <w:top w:val="single" w:sz="4" w:space="0" w:color="auto"/>
              <w:left w:val="nil"/>
              <w:bottom w:val="single" w:sz="4" w:space="0" w:color="auto"/>
              <w:right w:val="single" w:sz="4" w:space="0" w:color="auto"/>
            </w:tcBorders>
            <w:noWrap/>
            <w:vAlign w:val="center"/>
          </w:tcPr>
          <w:p w14:paraId="568BD644" w14:textId="77777777" w:rsidR="000025DA" w:rsidRPr="003373D4" w:rsidRDefault="000025DA" w:rsidP="00944CD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0.023</w:t>
            </w:r>
          </w:p>
        </w:tc>
        <w:tc>
          <w:tcPr>
            <w:tcW w:w="1510" w:type="dxa"/>
            <w:tcBorders>
              <w:top w:val="single" w:sz="4" w:space="0" w:color="auto"/>
              <w:left w:val="single" w:sz="4" w:space="0" w:color="auto"/>
              <w:bottom w:val="single" w:sz="4" w:space="0" w:color="auto"/>
              <w:right w:val="single" w:sz="8" w:space="0" w:color="auto"/>
            </w:tcBorders>
            <w:vAlign w:val="center"/>
          </w:tcPr>
          <w:p w14:paraId="4DA7C6D1" w14:textId="77777777" w:rsidR="000025DA" w:rsidRPr="00516A61" w:rsidRDefault="000025DA" w:rsidP="00944CD1">
            <w:pPr>
              <w:jc w:val="center"/>
              <w:rPr>
                <w:rFonts w:ascii="Times New Roman" w:hAnsi="Times New Roman" w:cs="Times New Roman"/>
                <w:color w:val="000000"/>
                <w:sz w:val="24"/>
                <w:szCs w:val="24"/>
              </w:rPr>
            </w:pPr>
            <w:r w:rsidRPr="00516A61">
              <w:rPr>
                <w:rFonts w:ascii="Times New Roman" w:hAnsi="Times New Roman" w:cs="Times New Roman"/>
                <w:color w:val="000000"/>
                <w:sz w:val="24"/>
                <w:szCs w:val="24"/>
              </w:rPr>
              <w:t>0.02-0.03</w:t>
            </w:r>
          </w:p>
        </w:tc>
      </w:tr>
    </w:tbl>
    <w:p w14:paraId="1C011D87" w14:textId="77777777" w:rsidR="00D56B14" w:rsidRDefault="00D56B14" w:rsidP="00EF6477">
      <w:pPr>
        <w:rPr>
          <w:rFonts w:ascii="Times New Roman" w:hAnsi="Times New Roman" w:cs="Times New Roman"/>
          <w:sz w:val="24"/>
          <w:szCs w:val="24"/>
        </w:rPr>
      </w:pPr>
    </w:p>
    <w:p w14:paraId="71D689A6" w14:textId="77777777" w:rsidR="005D4857" w:rsidRPr="00D56B14" w:rsidRDefault="00D56B14" w:rsidP="00EF6477">
      <w:pPr>
        <w:rPr>
          <w:rFonts w:ascii="Times New Roman" w:hAnsi="Times New Roman" w:cs="Times New Roman"/>
          <w:i/>
          <w:sz w:val="24"/>
          <w:szCs w:val="24"/>
        </w:rPr>
      </w:pPr>
      <w:r w:rsidRPr="00D56B14">
        <w:rPr>
          <w:rFonts w:ascii="Times New Roman" w:hAnsi="Times New Roman" w:cs="Times New Roman"/>
          <w:i/>
          <w:sz w:val="24"/>
          <w:szCs w:val="24"/>
        </w:rPr>
        <w:t xml:space="preserve">Table </w:t>
      </w:r>
      <w:r>
        <w:rPr>
          <w:rFonts w:ascii="Times New Roman" w:hAnsi="Times New Roman" w:cs="Times New Roman"/>
          <w:i/>
          <w:sz w:val="24"/>
          <w:szCs w:val="24"/>
        </w:rPr>
        <w:t>4</w:t>
      </w:r>
      <w:r w:rsidRPr="00D56B14">
        <w:rPr>
          <w:rFonts w:ascii="Times New Roman" w:hAnsi="Times New Roman" w:cs="Times New Roman"/>
          <w:i/>
          <w:sz w:val="24"/>
          <w:szCs w:val="24"/>
        </w:rPr>
        <w:t>. Rare Earth Element concentrations and chondrite-normalized values for the Igarra syenites (Chondrite values after Boynton, 1984)</w:t>
      </w:r>
    </w:p>
    <w:tbl>
      <w:tblPr>
        <w:tblStyle w:val="TableGrid"/>
        <w:tblW w:w="7650" w:type="dxa"/>
        <w:tblLook w:val="04A0" w:firstRow="1" w:lastRow="0" w:firstColumn="1" w:lastColumn="0" w:noHBand="0" w:noVBand="1"/>
      </w:tblPr>
      <w:tblGrid>
        <w:gridCol w:w="1129"/>
        <w:gridCol w:w="1560"/>
        <w:gridCol w:w="2126"/>
        <w:gridCol w:w="2835"/>
      </w:tblGrid>
      <w:tr w:rsidR="005D4857" w:rsidRPr="005D4857" w14:paraId="32BF8691" w14:textId="77777777" w:rsidTr="005D4857">
        <w:tc>
          <w:tcPr>
            <w:tcW w:w="1129" w:type="dxa"/>
          </w:tcPr>
          <w:p w14:paraId="4E6B9BB1" w14:textId="77777777"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Element</w:t>
            </w:r>
          </w:p>
        </w:tc>
        <w:tc>
          <w:tcPr>
            <w:tcW w:w="1560" w:type="dxa"/>
          </w:tcPr>
          <w:p w14:paraId="1140AED8" w14:textId="77777777"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Range (ppm)</w:t>
            </w:r>
          </w:p>
        </w:tc>
        <w:tc>
          <w:tcPr>
            <w:tcW w:w="2126" w:type="dxa"/>
          </w:tcPr>
          <w:p w14:paraId="79804A44" w14:textId="77777777"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Chondrite value</w:t>
            </w:r>
          </w:p>
        </w:tc>
        <w:tc>
          <w:tcPr>
            <w:tcW w:w="2835" w:type="dxa"/>
          </w:tcPr>
          <w:p w14:paraId="49ADFC94" w14:textId="77777777" w:rsidR="005D4857" w:rsidRPr="005D4857" w:rsidRDefault="005D4857" w:rsidP="00D56B14">
            <w:pPr>
              <w:rPr>
                <w:rFonts w:ascii="Times New Roman" w:hAnsi="Times New Roman" w:cs="Times New Roman"/>
                <w:b/>
                <w:sz w:val="24"/>
                <w:szCs w:val="24"/>
              </w:rPr>
            </w:pPr>
            <w:r w:rsidRPr="005D4857">
              <w:rPr>
                <w:rFonts w:ascii="Times New Roman" w:hAnsi="Times New Roman" w:cs="Times New Roman"/>
                <w:b/>
                <w:sz w:val="24"/>
                <w:szCs w:val="24"/>
              </w:rPr>
              <w:t>Normalized range (CN)</w:t>
            </w:r>
          </w:p>
        </w:tc>
      </w:tr>
      <w:tr w:rsidR="005D4857" w:rsidRPr="005D4857" w14:paraId="703C5FAB" w14:textId="77777777" w:rsidTr="005D4857">
        <w:tc>
          <w:tcPr>
            <w:tcW w:w="1129" w:type="dxa"/>
          </w:tcPr>
          <w:p w14:paraId="789A497B"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La</w:t>
            </w:r>
          </w:p>
        </w:tc>
        <w:tc>
          <w:tcPr>
            <w:tcW w:w="1560" w:type="dxa"/>
          </w:tcPr>
          <w:p w14:paraId="5201E79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25 – 163</w:t>
            </w:r>
          </w:p>
        </w:tc>
        <w:tc>
          <w:tcPr>
            <w:tcW w:w="2126" w:type="dxa"/>
          </w:tcPr>
          <w:p w14:paraId="2E1EB26C"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0.234</w:t>
            </w:r>
          </w:p>
        </w:tc>
        <w:tc>
          <w:tcPr>
            <w:tcW w:w="2835" w:type="dxa"/>
          </w:tcPr>
          <w:p w14:paraId="6AAFAAE7"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107 – 697</w:t>
            </w:r>
          </w:p>
        </w:tc>
      </w:tr>
      <w:tr w:rsidR="005D4857" w:rsidRPr="005D4857" w14:paraId="1D842445" w14:textId="77777777" w:rsidTr="005D4857">
        <w:tc>
          <w:tcPr>
            <w:tcW w:w="1129" w:type="dxa"/>
          </w:tcPr>
          <w:p w14:paraId="572F17B5"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Ce</w:t>
            </w:r>
          </w:p>
        </w:tc>
        <w:tc>
          <w:tcPr>
            <w:tcW w:w="1560" w:type="dxa"/>
          </w:tcPr>
          <w:p w14:paraId="44AD6CDF"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80 – 942</w:t>
            </w:r>
          </w:p>
        </w:tc>
        <w:tc>
          <w:tcPr>
            <w:tcW w:w="2126" w:type="dxa"/>
          </w:tcPr>
          <w:p w14:paraId="4C3672FD"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0.613</w:t>
            </w:r>
          </w:p>
        </w:tc>
        <w:tc>
          <w:tcPr>
            <w:tcW w:w="2835" w:type="dxa"/>
          </w:tcPr>
          <w:p w14:paraId="5FE634C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131 – 1537</w:t>
            </w:r>
          </w:p>
        </w:tc>
      </w:tr>
      <w:tr w:rsidR="005D4857" w:rsidRPr="005D4857" w14:paraId="6167C22A" w14:textId="77777777" w:rsidTr="005D4857">
        <w:tc>
          <w:tcPr>
            <w:tcW w:w="1129" w:type="dxa"/>
          </w:tcPr>
          <w:p w14:paraId="71701A58"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Pr</w:t>
            </w:r>
          </w:p>
        </w:tc>
        <w:tc>
          <w:tcPr>
            <w:tcW w:w="1560" w:type="dxa"/>
          </w:tcPr>
          <w:p w14:paraId="74AF9368"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312</w:t>
            </w:r>
          </w:p>
        </w:tc>
        <w:tc>
          <w:tcPr>
            <w:tcW w:w="2126" w:type="dxa"/>
          </w:tcPr>
          <w:p w14:paraId="0EB6FD4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0.092</w:t>
            </w:r>
          </w:p>
        </w:tc>
        <w:tc>
          <w:tcPr>
            <w:tcW w:w="2835" w:type="dxa"/>
          </w:tcPr>
          <w:p w14:paraId="1D1FA0C7"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141 – 3391</w:t>
            </w:r>
          </w:p>
        </w:tc>
      </w:tr>
      <w:tr w:rsidR="005D4857" w:rsidRPr="005D4857" w14:paraId="08582614" w14:textId="77777777" w:rsidTr="005D4857">
        <w:tc>
          <w:tcPr>
            <w:tcW w:w="1129" w:type="dxa"/>
          </w:tcPr>
          <w:p w14:paraId="6490B73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Nd</w:t>
            </w:r>
          </w:p>
        </w:tc>
        <w:tc>
          <w:tcPr>
            <w:tcW w:w="1560" w:type="dxa"/>
          </w:tcPr>
          <w:p w14:paraId="1ED1EA1D"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27 – 645</w:t>
            </w:r>
          </w:p>
        </w:tc>
        <w:tc>
          <w:tcPr>
            <w:tcW w:w="2126" w:type="dxa"/>
          </w:tcPr>
          <w:p w14:paraId="760F1D4B"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0.457</w:t>
            </w:r>
          </w:p>
        </w:tc>
        <w:tc>
          <w:tcPr>
            <w:tcW w:w="2835" w:type="dxa"/>
          </w:tcPr>
          <w:p w14:paraId="3CE3C061"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59 – 1411</w:t>
            </w:r>
          </w:p>
        </w:tc>
      </w:tr>
      <w:tr w:rsidR="005D4857" w:rsidRPr="005D4857" w14:paraId="0C4992C8" w14:textId="77777777" w:rsidTr="005D4857">
        <w:tc>
          <w:tcPr>
            <w:tcW w:w="1129" w:type="dxa"/>
          </w:tcPr>
          <w:p w14:paraId="38B982C4"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Sm</w:t>
            </w:r>
          </w:p>
        </w:tc>
        <w:tc>
          <w:tcPr>
            <w:tcW w:w="1560" w:type="dxa"/>
          </w:tcPr>
          <w:p w14:paraId="3FDA6734"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6 – 121</w:t>
            </w:r>
          </w:p>
        </w:tc>
        <w:tc>
          <w:tcPr>
            <w:tcW w:w="2126" w:type="dxa"/>
          </w:tcPr>
          <w:p w14:paraId="38B6131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0.153</w:t>
            </w:r>
          </w:p>
        </w:tc>
        <w:tc>
          <w:tcPr>
            <w:tcW w:w="2835" w:type="dxa"/>
          </w:tcPr>
          <w:p w14:paraId="3C07A4C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39 – 791</w:t>
            </w:r>
          </w:p>
        </w:tc>
      </w:tr>
      <w:tr w:rsidR="005D4857" w:rsidRPr="005D4857" w14:paraId="31FB9270" w14:textId="77777777" w:rsidTr="005D4857">
        <w:tc>
          <w:tcPr>
            <w:tcW w:w="1129" w:type="dxa"/>
          </w:tcPr>
          <w:p w14:paraId="7D90BB60"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Eu</w:t>
            </w:r>
          </w:p>
        </w:tc>
        <w:tc>
          <w:tcPr>
            <w:tcW w:w="1560" w:type="dxa"/>
          </w:tcPr>
          <w:p w14:paraId="34713EF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1.7 – 13</w:t>
            </w:r>
          </w:p>
        </w:tc>
        <w:tc>
          <w:tcPr>
            <w:tcW w:w="2126" w:type="dxa"/>
          </w:tcPr>
          <w:p w14:paraId="77899BE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0.058</w:t>
            </w:r>
          </w:p>
        </w:tc>
        <w:tc>
          <w:tcPr>
            <w:tcW w:w="2835" w:type="dxa"/>
          </w:tcPr>
          <w:p w14:paraId="752F4874"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29 – 224</w:t>
            </w:r>
          </w:p>
        </w:tc>
      </w:tr>
      <w:tr w:rsidR="005D4857" w:rsidRPr="005D4857" w14:paraId="4E68B9BD" w14:textId="77777777" w:rsidTr="005D4857">
        <w:tc>
          <w:tcPr>
            <w:tcW w:w="1129" w:type="dxa"/>
          </w:tcPr>
          <w:p w14:paraId="1B2D95C0"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Gd</w:t>
            </w:r>
          </w:p>
        </w:tc>
        <w:tc>
          <w:tcPr>
            <w:tcW w:w="1560" w:type="dxa"/>
          </w:tcPr>
          <w:p w14:paraId="3ED6B008"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9 – 45</w:t>
            </w:r>
          </w:p>
        </w:tc>
        <w:tc>
          <w:tcPr>
            <w:tcW w:w="2126" w:type="dxa"/>
          </w:tcPr>
          <w:p w14:paraId="4D2BEF1C"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0.199</w:t>
            </w:r>
          </w:p>
        </w:tc>
        <w:tc>
          <w:tcPr>
            <w:tcW w:w="2835" w:type="dxa"/>
          </w:tcPr>
          <w:p w14:paraId="2980D49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45 – 226</w:t>
            </w:r>
          </w:p>
        </w:tc>
      </w:tr>
      <w:tr w:rsidR="005D4857" w:rsidRPr="005D4857" w14:paraId="5AE5EA25" w14:textId="77777777" w:rsidTr="005D4857">
        <w:tc>
          <w:tcPr>
            <w:tcW w:w="1129" w:type="dxa"/>
          </w:tcPr>
          <w:p w14:paraId="22AA5E6E"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Tb</w:t>
            </w:r>
          </w:p>
        </w:tc>
        <w:tc>
          <w:tcPr>
            <w:tcW w:w="1560" w:type="dxa"/>
          </w:tcPr>
          <w:p w14:paraId="7CF5627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3.5</w:t>
            </w:r>
          </w:p>
        </w:tc>
        <w:tc>
          <w:tcPr>
            <w:tcW w:w="2126" w:type="dxa"/>
          </w:tcPr>
          <w:p w14:paraId="6CCFA4DB"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0.036</w:t>
            </w:r>
          </w:p>
        </w:tc>
        <w:tc>
          <w:tcPr>
            <w:tcW w:w="2835" w:type="dxa"/>
          </w:tcPr>
          <w:p w14:paraId="74F44AC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97</w:t>
            </w:r>
          </w:p>
        </w:tc>
      </w:tr>
      <w:tr w:rsidR="005D4857" w:rsidRPr="005D4857" w14:paraId="26874AF6" w14:textId="77777777" w:rsidTr="005D4857">
        <w:tc>
          <w:tcPr>
            <w:tcW w:w="1129" w:type="dxa"/>
          </w:tcPr>
          <w:p w14:paraId="4154614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Dy</w:t>
            </w:r>
          </w:p>
        </w:tc>
        <w:tc>
          <w:tcPr>
            <w:tcW w:w="1560" w:type="dxa"/>
          </w:tcPr>
          <w:p w14:paraId="5D25112C"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7 – 22</w:t>
            </w:r>
          </w:p>
        </w:tc>
        <w:tc>
          <w:tcPr>
            <w:tcW w:w="2126" w:type="dxa"/>
          </w:tcPr>
          <w:p w14:paraId="7210B526"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0.249</w:t>
            </w:r>
          </w:p>
        </w:tc>
        <w:tc>
          <w:tcPr>
            <w:tcW w:w="2835" w:type="dxa"/>
          </w:tcPr>
          <w:p w14:paraId="06026FC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28 – 88</w:t>
            </w:r>
          </w:p>
        </w:tc>
      </w:tr>
      <w:tr w:rsidR="005D4857" w:rsidRPr="005D4857" w14:paraId="6B0F9CDF" w14:textId="77777777" w:rsidTr="005D4857">
        <w:tc>
          <w:tcPr>
            <w:tcW w:w="1129" w:type="dxa"/>
          </w:tcPr>
          <w:p w14:paraId="2F538A26"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Ho</w:t>
            </w:r>
          </w:p>
        </w:tc>
        <w:tc>
          <w:tcPr>
            <w:tcW w:w="1560" w:type="dxa"/>
          </w:tcPr>
          <w:p w14:paraId="32E791EC"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 – 2.8</w:t>
            </w:r>
          </w:p>
        </w:tc>
        <w:tc>
          <w:tcPr>
            <w:tcW w:w="2126" w:type="dxa"/>
          </w:tcPr>
          <w:p w14:paraId="78D5D476"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0.056</w:t>
            </w:r>
          </w:p>
        </w:tc>
        <w:tc>
          <w:tcPr>
            <w:tcW w:w="2835" w:type="dxa"/>
          </w:tcPr>
          <w:p w14:paraId="3E44A8E1"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18 – 50</w:t>
            </w:r>
          </w:p>
        </w:tc>
      </w:tr>
      <w:tr w:rsidR="005D4857" w:rsidRPr="005D4857" w14:paraId="5E59F34F" w14:textId="77777777" w:rsidTr="005D4857">
        <w:tc>
          <w:tcPr>
            <w:tcW w:w="1129" w:type="dxa"/>
          </w:tcPr>
          <w:p w14:paraId="51020EBF"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Er</w:t>
            </w:r>
          </w:p>
        </w:tc>
        <w:tc>
          <w:tcPr>
            <w:tcW w:w="1560" w:type="dxa"/>
          </w:tcPr>
          <w:p w14:paraId="56FC996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10</w:t>
            </w:r>
          </w:p>
        </w:tc>
        <w:tc>
          <w:tcPr>
            <w:tcW w:w="2126" w:type="dxa"/>
          </w:tcPr>
          <w:p w14:paraId="33966428"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0.165</w:t>
            </w:r>
          </w:p>
        </w:tc>
        <w:tc>
          <w:tcPr>
            <w:tcW w:w="2835" w:type="dxa"/>
          </w:tcPr>
          <w:p w14:paraId="2B8D148B"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61</w:t>
            </w:r>
          </w:p>
        </w:tc>
      </w:tr>
      <w:tr w:rsidR="005D4857" w:rsidRPr="005D4857" w14:paraId="7E3DDC67" w14:textId="77777777" w:rsidTr="005D4857">
        <w:tc>
          <w:tcPr>
            <w:tcW w:w="1129" w:type="dxa"/>
          </w:tcPr>
          <w:p w14:paraId="3BD7FD3C"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Tm</w:t>
            </w:r>
          </w:p>
        </w:tc>
        <w:tc>
          <w:tcPr>
            <w:tcW w:w="1560" w:type="dxa"/>
          </w:tcPr>
          <w:p w14:paraId="681AB0F9"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0.4 – 1.8</w:t>
            </w:r>
          </w:p>
        </w:tc>
        <w:tc>
          <w:tcPr>
            <w:tcW w:w="2126" w:type="dxa"/>
          </w:tcPr>
          <w:p w14:paraId="630439EA"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0.025</w:t>
            </w:r>
          </w:p>
        </w:tc>
        <w:tc>
          <w:tcPr>
            <w:tcW w:w="2835" w:type="dxa"/>
          </w:tcPr>
          <w:p w14:paraId="342EB0B5"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16 – 72</w:t>
            </w:r>
          </w:p>
        </w:tc>
      </w:tr>
      <w:tr w:rsidR="005D4857" w:rsidRPr="005D4857" w14:paraId="51D37798" w14:textId="77777777" w:rsidTr="005D4857">
        <w:tc>
          <w:tcPr>
            <w:tcW w:w="1129" w:type="dxa"/>
          </w:tcPr>
          <w:p w14:paraId="263D54A7"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Yb</w:t>
            </w:r>
          </w:p>
        </w:tc>
        <w:tc>
          <w:tcPr>
            <w:tcW w:w="1560" w:type="dxa"/>
          </w:tcPr>
          <w:p w14:paraId="19E5609D"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2 – 7.5</w:t>
            </w:r>
          </w:p>
        </w:tc>
        <w:tc>
          <w:tcPr>
            <w:tcW w:w="2126" w:type="dxa"/>
          </w:tcPr>
          <w:p w14:paraId="0FB827A0"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0.161</w:t>
            </w:r>
          </w:p>
        </w:tc>
        <w:tc>
          <w:tcPr>
            <w:tcW w:w="2835" w:type="dxa"/>
          </w:tcPr>
          <w:p w14:paraId="26D4EEA2"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12 – 47</w:t>
            </w:r>
          </w:p>
        </w:tc>
      </w:tr>
      <w:tr w:rsidR="005D4857" w:rsidRPr="005D4857" w14:paraId="006FFCB3" w14:textId="77777777" w:rsidTr="005D4857">
        <w:tc>
          <w:tcPr>
            <w:tcW w:w="1129" w:type="dxa"/>
          </w:tcPr>
          <w:p w14:paraId="389FEBA5"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Lu</w:t>
            </w:r>
          </w:p>
        </w:tc>
        <w:tc>
          <w:tcPr>
            <w:tcW w:w="1560" w:type="dxa"/>
          </w:tcPr>
          <w:p w14:paraId="6A1FE238"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0.3 – 1.6</w:t>
            </w:r>
          </w:p>
        </w:tc>
        <w:tc>
          <w:tcPr>
            <w:tcW w:w="2126" w:type="dxa"/>
          </w:tcPr>
          <w:p w14:paraId="643670E8"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0.024</w:t>
            </w:r>
          </w:p>
        </w:tc>
        <w:tc>
          <w:tcPr>
            <w:tcW w:w="2835" w:type="dxa"/>
          </w:tcPr>
          <w:p w14:paraId="17966A12" w14:textId="77777777" w:rsidR="005D4857" w:rsidRPr="005D4857" w:rsidRDefault="005D4857" w:rsidP="00D56B14">
            <w:pPr>
              <w:rPr>
                <w:rFonts w:ascii="Times New Roman" w:hAnsi="Times New Roman" w:cs="Times New Roman"/>
                <w:sz w:val="24"/>
                <w:szCs w:val="24"/>
              </w:rPr>
            </w:pPr>
            <w:r w:rsidRPr="005D4857">
              <w:rPr>
                <w:rFonts w:ascii="Times New Roman" w:hAnsi="Times New Roman" w:cs="Times New Roman"/>
                <w:sz w:val="24"/>
                <w:szCs w:val="24"/>
              </w:rPr>
              <w:t>13 – 67</w:t>
            </w:r>
          </w:p>
        </w:tc>
      </w:tr>
    </w:tbl>
    <w:p w14:paraId="633E0F6E" w14:textId="77777777" w:rsidR="000025DA" w:rsidRDefault="000025DA" w:rsidP="00C7212A">
      <w:pPr>
        <w:rPr>
          <w:rFonts w:ascii="Times New Roman" w:hAnsi="Times New Roman" w:cs="Times New Roman"/>
          <w:b/>
          <w:sz w:val="24"/>
          <w:szCs w:val="24"/>
        </w:rPr>
      </w:pPr>
    </w:p>
    <w:p w14:paraId="5EE2D5D6" w14:textId="77777777"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4. Discussion</w:t>
      </w:r>
    </w:p>
    <w:p w14:paraId="3F32671B" w14:textId="77777777"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4.1 Petrographic </w:t>
      </w:r>
      <w:r w:rsidR="004B4914" w:rsidRPr="004B4914">
        <w:rPr>
          <w:rFonts w:ascii="Times New Roman" w:hAnsi="Times New Roman" w:cs="Times New Roman"/>
          <w:i/>
          <w:sz w:val="24"/>
          <w:szCs w:val="24"/>
        </w:rPr>
        <w:t>characteristics and magmatic e</w:t>
      </w:r>
      <w:r w:rsidRPr="004B4914">
        <w:rPr>
          <w:rFonts w:ascii="Times New Roman" w:hAnsi="Times New Roman" w:cs="Times New Roman"/>
          <w:i/>
          <w:sz w:val="24"/>
          <w:szCs w:val="24"/>
        </w:rPr>
        <w:t>volution</w:t>
      </w:r>
    </w:p>
    <w:p w14:paraId="0BAA5406"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petrographic features of the Igarra syenites provide important constraints on their crystallization history and magmatic evolution. The dominance of alkali feldspar, with subordinate plagioclase and biotite, is consistent with syenitic compositions derived from evolved intermediate magmas. The presence of both orthoclase and microcline, locally exhibiting perthitic and cross-hatched twinning, suggests slow cooling under plutonic conditions, allowing subsolidus re-equilibration of alkali feldspars</w:t>
      </w:r>
      <w:r w:rsidR="00507E71" w:rsidRPr="00EB6452">
        <w:rPr>
          <w:rFonts w:ascii="Times New Roman" w:hAnsi="Times New Roman" w:cs="Times New Roman"/>
          <w:sz w:val="24"/>
          <w:szCs w:val="24"/>
        </w:rPr>
        <w:t xml:space="preserve"> (</w:t>
      </w:r>
      <w:r w:rsidR="00F04C76" w:rsidRPr="00EB6452">
        <w:rPr>
          <w:rFonts w:ascii="Times New Roman" w:hAnsi="Times New Roman" w:cs="Times New Roman"/>
          <w:color w:val="222222"/>
          <w:sz w:val="24"/>
          <w:szCs w:val="24"/>
          <w:shd w:val="clear" w:color="auto" w:fill="FFFFFF"/>
        </w:rPr>
        <w:t>Salazar-Naranjo, &amp; Vlach, 2018</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Myrmekitic intergrowths between quartz and feldspar further indicate late-stage crystallization processes and localized silica saturation during magma solidification.</w:t>
      </w:r>
    </w:p>
    <w:p w14:paraId="20661C29"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Biotite occurs as the principal ferromagnesian phase, displaying strong pleochroism and preferred orientation, which may reflect magmatic flow alignment prior to complete crystallization. The scarcity of mafic minerals such as amphibole or pyroxene suggests that the magma underwent significant fractionation before emplacement</w:t>
      </w:r>
      <w:r w:rsidR="00507E71" w:rsidRPr="00EB6452">
        <w:rPr>
          <w:rFonts w:ascii="Times New Roman" w:hAnsi="Times New Roman" w:cs="Times New Roman"/>
          <w:sz w:val="24"/>
          <w:szCs w:val="24"/>
        </w:rPr>
        <w:t xml:space="preserve"> (</w:t>
      </w:r>
      <w:r w:rsidR="00F04C76" w:rsidRPr="00EB6452">
        <w:rPr>
          <w:rFonts w:ascii="Times New Roman" w:hAnsi="Times New Roman" w:cs="Times New Roman"/>
          <w:color w:val="222222"/>
          <w:sz w:val="24"/>
          <w:szCs w:val="24"/>
          <w:shd w:val="clear" w:color="auto" w:fill="FFFFFF"/>
        </w:rPr>
        <w:t>Keshavarzi, et al., 2014</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 Accessory opaque minerals, including ilmenite and hematite, indicate relatively oxidizing magmatic conditions, consistent with the presence of Fe³⁺-rich phases and the observed total iron contents</w:t>
      </w:r>
      <w:r w:rsidR="00507E71" w:rsidRPr="00EB6452">
        <w:rPr>
          <w:rFonts w:ascii="Times New Roman" w:hAnsi="Times New Roman" w:cs="Times New Roman"/>
          <w:sz w:val="24"/>
          <w:szCs w:val="24"/>
        </w:rPr>
        <w:t xml:space="preserve"> (</w:t>
      </w:r>
      <w:r w:rsidR="00213097" w:rsidRPr="00EB6452">
        <w:rPr>
          <w:rFonts w:ascii="Times New Roman" w:hAnsi="Times New Roman" w:cs="Times New Roman"/>
          <w:color w:val="222222"/>
          <w:sz w:val="24"/>
          <w:szCs w:val="24"/>
          <w:shd w:val="clear" w:color="auto" w:fill="FFFFFF"/>
        </w:rPr>
        <w:t>Aulbach et al., 2022</w:t>
      </w:r>
      <w:r w:rsidR="00507E7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08530A4B" w14:textId="77777777"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4.2 Major element g</w:t>
      </w:r>
      <w:r w:rsidR="00C7212A" w:rsidRPr="004B4914">
        <w:rPr>
          <w:rFonts w:ascii="Times New Roman" w:hAnsi="Times New Roman" w:cs="Times New Roman"/>
          <w:i/>
          <w:sz w:val="24"/>
          <w:szCs w:val="24"/>
        </w:rPr>
        <w:t xml:space="preserve">eochemistry and </w:t>
      </w:r>
      <w:r w:rsidRPr="004B4914">
        <w:rPr>
          <w:rFonts w:ascii="Times New Roman" w:hAnsi="Times New Roman" w:cs="Times New Roman"/>
          <w:i/>
          <w:sz w:val="24"/>
          <w:szCs w:val="24"/>
        </w:rPr>
        <w:t>magmatic a</w:t>
      </w:r>
      <w:r w:rsidR="00A900A5" w:rsidRPr="004B4914">
        <w:rPr>
          <w:rFonts w:ascii="Times New Roman" w:hAnsi="Times New Roman" w:cs="Times New Roman"/>
          <w:i/>
          <w:sz w:val="24"/>
          <w:szCs w:val="24"/>
        </w:rPr>
        <w:t>ffinity</w:t>
      </w:r>
    </w:p>
    <w:p w14:paraId="74BE97F7"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Major-element compositions confirm the syenitic affinity of the studied rocks and are consistent with petrographic observations. SiO₂ contents between 53 and 56 wt% place the rocks within the intermediate compositional range, while elevated K₂O contents (6.16–6.98 wt%) relative to Na₂O indicate a potassic character. Such high K₂O values are characteristic of syenites associated with post-orogenic and late-to-post-collisional tectonic environments within continental crust</w:t>
      </w:r>
      <w:r w:rsidR="00110C41" w:rsidRPr="00EB6452">
        <w:rPr>
          <w:rFonts w:ascii="Times New Roman" w:hAnsi="Times New Roman" w:cs="Times New Roman"/>
          <w:sz w:val="24"/>
          <w:szCs w:val="24"/>
        </w:rPr>
        <w:t xml:space="preserve"> (</w:t>
      </w:r>
      <w:r w:rsidR="00213097" w:rsidRPr="00EB6452">
        <w:rPr>
          <w:rFonts w:ascii="Times New Roman" w:hAnsi="Times New Roman" w:cs="Times New Roman"/>
          <w:color w:val="222222"/>
          <w:sz w:val="24"/>
          <w:szCs w:val="24"/>
          <w:shd w:val="clear" w:color="auto" w:fill="FFFFFF"/>
        </w:rPr>
        <w:t xml:space="preserve">Li et al., 2024; </w:t>
      </w:r>
      <w:r w:rsidR="00213097" w:rsidRPr="00EB6452">
        <w:rPr>
          <w:rFonts w:ascii="Times New Roman" w:hAnsi="Times New Roman" w:cs="Times New Roman"/>
          <w:bCs/>
          <w:sz w:val="24"/>
          <w:szCs w:val="24"/>
        </w:rPr>
        <w:t>Akpan et al., 2023</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4ED8CBD3"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The relatively narrow range of Al₂O₃ </w:t>
      </w:r>
      <w:r w:rsidR="00362CCA" w:rsidRPr="00EB6452">
        <w:rPr>
          <w:rFonts w:ascii="Times New Roman" w:hAnsi="Times New Roman" w:cs="Times New Roman"/>
          <w:sz w:val="24"/>
          <w:szCs w:val="24"/>
        </w:rPr>
        <w:t>contents (11.39–12.53 wt%) and Aluminium Saturation I</w:t>
      </w:r>
      <w:r w:rsidRPr="00EB6452">
        <w:rPr>
          <w:rFonts w:ascii="Times New Roman" w:hAnsi="Times New Roman" w:cs="Times New Roman"/>
          <w:sz w:val="24"/>
          <w:szCs w:val="24"/>
        </w:rPr>
        <w:t xml:space="preserve">ndices indicate predominantly metaluminous compositions. This suggests that feldspar crystallization occurred without significant excess aluminium, and that the magma source was not strongly peraluminous or sediment-derived. The metaluminous nature is consistent with derivation from mantle-influenced magmas or lower crustal sources modified by fractional crystallization rather than extensive crustal </w:t>
      </w:r>
      <w:commentRangeStart w:id="0"/>
      <w:r w:rsidR="00110C41" w:rsidRPr="00EB6452">
        <w:rPr>
          <w:rFonts w:ascii="Times New Roman" w:hAnsi="Times New Roman" w:cs="Times New Roman"/>
          <w:sz w:val="24"/>
          <w:szCs w:val="24"/>
        </w:rPr>
        <w:t>anataxis</w:t>
      </w:r>
      <w:commentRangeEnd w:id="0"/>
      <w:r w:rsidR="0038238D">
        <w:rPr>
          <w:rStyle w:val="CommentReference"/>
        </w:rPr>
        <w:commentReference w:id="0"/>
      </w:r>
      <w:r w:rsidR="00110C41" w:rsidRPr="00EB6452">
        <w:rPr>
          <w:rFonts w:ascii="Times New Roman" w:hAnsi="Times New Roman" w:cs="Times New Roman"/>
          <w:sz w:val="24"/>
          <w:szCs w:val="24"/>
        </w:rPr>
        <w:t xml:space="preserve"> (</w:t>
      </w:r>
      <w:r w:rsidR="00213097" w:rsidRPr="00EB6452">
        <w:rPr>
          <w:rFonts w:ascii="Times New Roman" w:hAnsi="Times New Roman" w:cs="Times New Roman"/>
          <w:sz w:val="24"/>
          <w:szCs w:val="24"/>
        </w:rPr>
        <w:t>Chappell, &amp; Wyborn, 2024</w:t>
      </w:r>
      <w:r w:rsidR="00110C4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6E104979" w14:textId="77777777" w:rsidR="007B46FE" w:rsidRPr="00EB6452" w:rsidRDefault="00C7212A" w:rsidP="007B46FE">
      <w:pPr>
        <w:rPr>
          <w:rFonts w:ascii="Times New Roman" w:hAnsi="Times New Roman" w:cs="Times New Roman"/>
          <w:sz w:val="24"/>
          <w:szCs w:val="24"/>
        </w:rPr>
      </w:pPr>
      <w:r w:rsidRPr="00EB6452">
        <w:rPr>
          <w:rFonts w:ascii="Times New Roman" w:hAnsi="Times New Roman" w:cs="Times New Roman"/>
          <w:sz w:val="24"/>
          <w:szCs w:val="24"/>
        </w:rPr>
        <w:t xml:space="preserve">The TAS </w:t>
      </w:r>
      <w:r w:rsidR="00362CCA" w:rsidRPr="00EB6452">
        <w:rPr>
          <w:rFonts w:ascii="Times New Roman" w:hAnsi="Times New Roman" w:cs="Times New Roman"/>
          <w:sz w:val="24"/>
          <w:szCs w:val="24"/>
        </w:rPr>
        <w:t>plots of Cox et al., 1979 and Middlemost 1994 (figs</w:t>
      </w:r>
      <w:r w:rsidR="00967BC4" w:rsidRPr="00EB6452">
        <w:rPr>
          <w:rFonts w:ascii="Times New Roman" w:hAnsi="Times New Roman" w:cs="Times New Roman"/>
          <w:sz w:val="24"/>
          <w:szCs w:val="24"/>
        </w:rPr>
        <w:t>.</w:t>
      </w:r>
      <w:r w:rsidR="00362CCA" w:rsidRPr="00EB6452">
        <w:rPr>
          <w:rFonts w:ascii="Times New Roman" w:hAnsi="Times New Roman" w:cs="Times New Roman"/>
          <w:sz w:val="24"/>
          <w:szCs w:val="24"/>
        </w:rPr>
        <w:t xml:space="preserve"> 4 and 5) </w:t>
      </w:r>
      <w:r w:rsidRPr="00EB6452">
        <w:rPr>
          <w:rFonts w:ascii="Times New Roman" w:hAnsi="Times New Roman" w:cs="Times New Roman"/>
          <w:sz w:val="24"/>
          <w:szCs w:val="24"/>
        </w:rPr>
        <w:t xml:space="preserve">and R1–R2 </w:t>
      </w:r>
      <w:r w:rsidR="00967BC4" w:rsidRPr="00EB6452">
        <w:rPr>
          <w:rFonts w:ascii="Times New Roman" w:hAnsi="Times New Roman" w:cs="Times New Roman"/>
          <w:sz w:val="24"/>
          <w:szCs w:val="24"/>
        </w:rPr>
        <w:t xml:space="preserve">multicationic  </w:t>
      </w:r>
      <w:r w:rsidRPr="00EB6452">
        <w:rPr>
          <w:rFonts w:ascii="Times New Roman" w:hAnsi="Times New Roman" w:cs="Times New Roman"/>
          <w:sz w:val="24"/>
          <w:szCs w:val="24"/>
        </w:rPr>
        <w:t>classifications</w:t>
      </w:r>
      <w:r w:rsidR="00362CCA" w:rsidRPr="00EB6452">
        <w:rPr>
          <w:rFonts w:ascii="Times New Roman" w:hAnsi="Times New Roman" w:cs="Times New Roman"/>
          <w:sz w:val="24"/>
          <w:szCs w:val="24"/>
        </w:rPr>
        <w:t xml:space="preserve"> (fig. 6),</w:t>
      </w:r>
      <w:r w:rsidRPr="00EB6452">
        <w:rPr>
          <w:rFonts w:ascii="Times New Roman" w:hAnsi="Times New Roman" w:cs="Times New Roman"/>
          <w:sz w:val="24"/>
          <w:szCs w:val="24"/>
        </w:rPr>
        <w:t xml:space="preserve"> place</w:t>
      </w:r>
      <w:r w:rsidR="00362CCA" w:rsidRPr="00EB6452">
        <w:rPr>
          <w:rFonts w:ascii="Times New Roman" w:hAnsi="Times New Roman" w:cs="Times New Roman"/>
          <w:sz w:val="24"/>
          <w:szCs w:val="24"/>
        </w:rPr>
        <w:t>s</w:t>
      </w:r>
      <w:r w:rsidRPr="00EB6452">
        <w:rPr>
          <w:rFonts w:ascii="Times New Roman" w:hAnsi="Times New Roman" w:cs="Times New Roman"/>
          <w:sz w:val="24"/>
          <w:szCs w:val="24"/>
        </w:rPr>
        <w:t xml:space="preserve"> the samples across syenite, syenodiorite, and monzonite fields, reflecting slight compositional heterogeneity within the intrusion. This variability likely reflects internal magmatic differentiation, possibly through fractional crystallization of plagioclase and ferromagnesian minerals during magma ascent or emplacement.</w:t>
      </w:r>
      <w:r w:rsidR="00967BC4" w:rsidRPr="00EB6452">
        <w:rPr>
          <w:rFonts w:ascii="Times New Roman" w:hAnsi="Times New Roman" w:cs="Times New Roman"/>
          <w:sz w:val="24"/>
          <w:szCs w:val="24"/>
        </w:rPr>
        <w:t xml:space="preserve"> </w:t>
      </w:r>
      <w:r w:rsidR="007B46FE" w:rsidRPr="00EB6452">
        <w:rPr>
          <w:rFonts w:ascii="Times New Roman" w:hAnsi="Times New Roman" w:cs="Times New Roman"/>
          <w:sz w:val="24"/>
          <w:szCs w:val="24"/>
        </w:rPr>
        <w:t>Aluminium saturation indices indicate that the rocks are predominantly metaluminous, as shown by A/CNK–A/NK</w:t>
      </w:r>
      <w:r w:rsidR="00967BC4" w:rsidRPr="00EB6452">
        <w:rPr>
          <w:rFonts w:ascii="Times New Roman" w:hAnsi="Times New Roman" w:cs="Times New Roman"/>
          <w:sz w:val="24"/>
          <w:szCs w:val="24"/>
        </w:rPr>
        <w:t xml:space="preserve"> (fig.7)</w:t>
      </w:r>
      <w:r w:rsidR="007B46FE" w:rsidRPr="00EB6452">
        <w:rPr>
          <w:rFonts w:ascii="Times New Roman" w:hAnsi="Times New Roman" w:cs="Times New Roman"/>
          <w:sz w:val="24"/>
          <w:szCs w:val="24"/>
        </w:rPr>
        <w:t xml:space="preserve"> and B–A</w:t>
      </w:r>
      <w:r w:rsidR="00967BC4" w:rsidRPr="00EB6452">
        <w:rPr>
          <w:rFonts w:ascii="Times New Roman" w:hAnsi="Times New Roman" w:cs="Times New Roman"/>
          <w:sz w:val="24"/>
          <w:szCs w:val="24"/>
        </w:rPr>
        <w:t xml:space="preserve"> (fig.8)</w:t>
      </w:r>
      <w:r w:rsidR="007B46FE" w:rsidRPr="00EB6452">
        <w:rPr>
          <w:rFonts w:ascii="Times New Roman" w:hAnsi="Times New Roman" w:cs="Times New Roman"/>
          <w:sz w:val="24"/>
          <w:szCs w:val="24"/>
        </w:rPr>
        <w:t xml:space="preserve"> plots.</w:t>
      </w:r>
      <w:r w:rsidR="00EF51F9" w:rsidRPr="00EB6452">
        <w:rPr>
          <w:rFonts w:ascii="Times New Roman" w:hAnsi="Times New Roman" w:cs="Times New Roman"/>
          <w:sz w:val="24"/>
          <w:szCs w:val="24"/>
        </w:rPr>
        <w:t xml:space="preserve"> </w:t>
      </w:r>
    </w:p>
    <w:p w14:paraId="01DF8F69" w14:textId="77777777"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On the Frost and Frost (2008) granitoid discrimination diagram, the syenite samples plot within the mag</w:t>
      </w:r>
      <w:r w:rsidR="008A789D" w:rsidRPr="00EB6452">
        <w:rPr>
          <w:rFonts w:ascii="Times New Roman" w:hAnsi="Times New Roman" w:cs="Times New Roman"/>
          <w:sz w:val="24"/>
          <w:szCs w:val="24"/>
        </w:rPr>
        <w:t>nesian field (Figure 9</w:t>
      </w:r>
      <w:r w:rsidRPr="00EB6452">
        <w:rPr>
          <w:rFonts w:ascii="Times New Roman" w:hAnsi="Times New Roman" w:cs="Times New Roman"/>
          <w:sz w:val="24"/>
          <w:szCs w:val="24"/>
        </w:rPr>
        <w:t>), indicating an oxidized magma series typical of orogenic environments. Magnesian granitoids are widely associated with subduction-related, syn-collisional, and post-collisional tectonic regimes, in contrast to ferroan granitoids characteristic of within-plate anorogenic settings. The positioning of the Igarra syenites therefore supports an orogenic affinity consistent with Pan-African tectonism.</w:t>
      </w:r>
    </w:p>
    <w:p w14:paraId="788D6AB6" w14:textId="77777777"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Further constraints on magmatic affinity are provided by the Miyashiro (1974) FeO*/MgO discrimination plot, where the samples fall dominantly within the</w:t>
      </w:r>
      <w:r w:rsidR="008A789D" w:rsidRPr="00EB6452">
        <w:rPr>
          <w:rFonts w:ascii="Times New Roman" w:hAnsi="Times New Roman" w:cs="Times New Roman"/>
          <w:sz w:val="24"/>
          <w:szCs w:val="24"/>
        </w:rPr>
        <w:t xml:space="preserve"> calc-alkaline field </w:t>
      </w:r>
      <w:commentRangeStart w:id="1"/>
      <w:r w:rsidR="008A789D" w:rsidRPr="00EB6452">
        <w:rPr>
          <w:rFonts w:ascii="Times New Roman" w:hAnsi="Times New Roman" w:cs="Times New Roman"/>
          <w:sz w:val="24"/>
          <w:szCs w:val="24"/>
        </w:rPr>
        <w:t>(Figure 10</w:t>
      </w:r>
      <w:r w:rsidRPr="00EB6452">
        <w:rPr>
          <w:rFonts w:ascii="Times New Roman" w:hAnsi="Times New Roman" w:cs="Times New Roman"/>
          <w:sz w:val="24"/>
          <w:szCs w:val="24"/>
        </w:rPr>
        <w:t xml:space="preserve">). </w:t>
      </w:r>
      <w:commentRangeEnd w:id="1"/>
      <w:r w:rsidR="005B704F">
        <w:rPr>
          <w:rStyle w:val="CommentReference"/>
        </w:rPr>
        <w:commentReference w:id="1"/>
      </w:r>
      <w:r w:rsidRPr="00EB6452">
        <w:rPr>
          <w:rFonts w:ascii="Times New Roman" w:hAnsi="Times New Roman" w:cs="Times New Roman"/>
          <w:sz w:val="24"/>
          <w:szCs w:val="24"/>
        </w:rPr>
        <w:t>This calc-alkaline signature reflects suppression of iron enrichment during magma evolution, commonly attributed to early crystallization of Fe–Ti oxides under oxidizing conditions. Such characteristics are typical of magmas generated in convergent margin or collisional settings and further argue against a tholeiitic or within-plate origin</w:t>
      </w:r>
      <w:r w:rsidR="00110C41" w:rsidRPr="00EB6452">
        <w:rPr>
          <w:rFonts w:ascii="Times New Roman" w:hAnsi="Times New Roman" w:cs="Times New Roman"/>
          <w:sz w:val="24"/>
          <w:szCs w:val="24"/>
        </w:rPr>
        <w:t xml:space="preserve"> (Marxer et al., 2025; Tang et al., 2021)</w:t>
      </w:r>
      <w:r w:rsidRPr="00EB6452">
        <w:rPr>
          <w:rFonts w:ascii="Times New Roman" w:hAnsi="Times New Roman" w:cs="Times New Roman"/>
          <w:sz w:val="24"/>
          <w:szCs w:val="24"/>
        </w:rPr>
        <w:t>.</w:t>
      </w:r>
    </w:p>
    <w:p w14:paraId="6443B178" w14:textId="77777777"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60FE4F83" wp14:editId="173D3ACB">
            <wp:extent cx="5943600" cy="5400675"/>
            <wp:effectExtent l="0" t="0" r="0" b="9525"/>
            <wp:docPr id="3" name="Picture 3" descr="C:\Users\HP\Desktop\FUTA WORK\ALL SYENITES PLOTS\T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UTA WORK\ALL SYENITES PLOTS\TAS.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t="9134"/>
                    <a:stretch/>
                  </pic:blipFill>
                  <pic:spPr bwMode="auto">
                    <a:xfrm>
                      <a:off x="0" y="0"/>
                      <a:ext cx="5943600" cy="5400675"/>
                    </a:xfrm>
                    <a:prstGeom prst="rect">
                      <a:avLst/>
                    </a:prstGeom>
                    <a:noFill/>
                    <a:ln>
                      <a:noFill/>
                    </a:ln>
                    <a:extLst>
                      <a:ext uri="{53640926-AAD7-44D8-BBD7-CCE9431645EC}">
                        <a14:shadowObscured xmlns:a14="http://schemas.microsoft.com/office/drawing/2010/main"/>
                      </a:ext>
                    </a:extLst>
                  </pic:spPr>
                </pic:pic>
              </a:graphicData>
            </a:graphic>
          </wp:inline>
        </w:drawing>
      </w:r>
    </w:p>
    <w:p w14:paraId="13FC21FC" w14:textId="77777777"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4: SiO</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 vs Na</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O + K</w:t>
      </w:r>
      <w:r w:rsidRPr="004B4914">
        <w:rPr>
          <w:rFonts w:ascii="Times New Roman" w:hAnsi="Times New Roman" w:cs="Times New Roman"/>
          <w:sz w:val="20"/>
          <w:szCs w:val="24"/>
          <w:vertAlign w:val="subscript"/>
        </w:rPr>
        <w:t>2</w:t>
      </w:r>
      <w:r w:rsidRPr="004B4914">
        <w:rPr>
          <w:rFonts w:ascii="Times New Roman" w:hAnsi="Times New Roman" w:cs="Times New Roman"/>
          <w:sz w:val="20"/>
          <w:szCs w:val="24"/>
        </w:rPr>
        <w:t xml:space="preserve">O (TAS) diagram after Cox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(1979)</w:t>
      </w:r>
    </w:p>
    <w:p w14:paraId="4AB08EC6" w14:textId="77777777" w:rsidR="008A789D" w:rsidRPr="00EB6452" w:rsidRDefault="008A789D" w:rsidP="008A789D">
      <w:pPr>
        <w:spacing w:after="0" w:line="480" w:lineRule="auto"/>
        <w:ind w:left="100" w:right="76"/>
        <w:jc w:val="both"/>
        <w:rPr>
          <w:rFonts w:ascii="Times New Roman" w:hAnsi="Times New Roman" w:cs="Times New Roman"/>
          <w:noProof/>
          <w:sz w:val="24"/>
          <w:szCs w:val="24"/>
        </w:rPr>
      </w:pPr>
    </w:p>
    <w:p w14:paraId="72620DAE" w14:textId="77777777" w:rsidR="008A789D" w:rsidRPr="00EB6452" w:rsidRDefault="008A789D" w:rsidP="008A789D">
      <w:pPr>
        <w:spacing w:after="0" w:line="480" w:lineRule="auto"/>
        <w:ind w:left="100" w:right="76"/>
        <w:jc w:val="both"/>
        <w:rPr>
          <w:rFonts w:ascii="Times New Roman" w:hAnsi="Times New Roman" w:cs="Times New Roman"/>
          <w:noProof/>
          <w:sz w:val="24"/>
          <w:szCs w:val="24"/>
        </w:rPr>
      </w:pPr>
    </w:p>
    <w:p w14:paraId="36B3BE8D" w14:textId="77777777" w:rsidR="008A789D" w:rsidRPr="00EB6452" w:rsidRDefault="008A789D" w:rsidP="008A789D">
      <w:pPr>
        <w:spacing w:after="0" w:line="480" w:lineRule="auto"/>
        <w:ind w:left="100" w:right="76"/>
        <w:jc w:val="both"/>
        <w:rPr>
          <w:rFonts w:ascii="Times New Roman" w:hAnsi="Times New Roman" w:cs="Times New Roman"/>
          <w:noProof/>
          <w:sz w:val="24"/>
          <w:szCs w:val="24"/>
        </w:rPr>
      </w:pPr>
    </w:p>
    <w:p w14:paraId="28A20842" w14:textId="77777777" w:rsidR="008A789D" w:rsidRPr="00EB6452" w:rsidRDefault="008A789D" w:rsidP="008A789D">
      <w:pPr>
        <w:spacing w:after="0" w:line="480" w:lineRule="auto"/>
        <w:ind w:left="100" w:right="76"/>
        <w:jc w:val="both"/>
        <w:rPr>
          <w:rFonts w:ascii="Times New Roman" w:hAnsi="Times New Roman" w:cs="Times New Roman"/>
          <w:noProof/>
          <w:sz w:val="24"/>
          <w:szCs w:val="24"/>
        </w:rPr>
      </w:pPr>
    </w:p>
    <w:p w14:paraId="6B238811" w14:textId="77777777" w:rsidR="008A789D" w:rsidRPr="00EB6452" w:rsidRDefault="008A789D" w:rsidP="008A789D">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23054E4C" wp14:editId="1D997734">
            <wp:extent cx="5943600" cy="5324475"/>
            <wp:effectExtent l="0" t="0" r="0" b="9525"/>
            <wp:docPr id="7" name="Picture 7" descr="C:\Users\HP\Desktop\FUTA WORK\ALL SYENITES PLOTS\TAS MIDDLEMO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UTA WORK\ALL SYENITES PLOTS\TAS MIDDLEMOST.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10417"/>
                    <a:stretch/>
                  </pic:blipFill>
                  <pic:spPr bwMode="auto">
                    <a:xfrm>
                      <a:off x="0" y="0"/>
                      <a:ext cx="5943600" cy="5324475"/>
                    </a:xfrm>
                    <a:prstGeom prst="rect">
                      <a:avLst/>
                    </a:prstGeom>
                    <a:noFill/>
                    <a:ln>
                      <a:noFill/>
                    </a:ln>
                    <a:extLst>
                      <a:ext uri="{53640926-AAD7-44D8-BBD7-CCE9431645EC}">
                        <a14:shadowObscured xmlns:a14="http://schemas.microsoft.com/office/drawing/2010/main"/>
                      </a:ext>
                    </a:extLst>
                  </pic:spPr>
                </pic:pic>
              </a:graphicData>
            </a:graphic>
          </wp:inline>
        </w:drawing>
      </w:r>
    </w:p>
    <w:p w14:paraId="4D27E7F1" w14:textId="77777777" w:rsidR="008A789D" w:rsidRPr="004B4914" w:rsidRDefault="008A789D" w:rsidP="008A789D">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Figure 5: Total Alkali Silica (TAS) diagram classification (after Middlemost, 1994)</w:t>
      </w:r>
    </w:p>
    <w:p w14:paraId="0EF9D475" w14:textId="77777777" w:rsidR="00A24213" w:rsidRPr="00EB6452" w:rsidRDefault="00A24213" w:rsidP="00A24213">
      <w:pPr>
        <w:spacing w:after="0" w:line="480" w:lineRule="auto"/>
        <w:ind w:left="100" w:right="76"/>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68BA60D9" wp14:editId="51225380">
            <wp:extent cx="5943600" cy="5429250"/>
            <wp:effectExtent l="0" t="0" r="0" b="0"/>
            <wp:docPr id="8" name="Picture 8" descr="C:\Users\HP\Desktop\FUTA WORK\ALL SYENITES PLOTS\R1_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UTA WORK\ALL SYENITES PLOTS\R1_R2.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14:paraId="2158400F" w14:textId="77777777" w:rsidR="00A24213" w:rsidRPr="004B4914" w:rsidRDefault="00A24213" w:rsidP="00A24213">
      <w:pPr>
        <w:spacing w:after="0" w:line="480" w:lineRule="auto"/>
        <w:ind w:left="100" w:right="76"/>
        <w:jc w:val="both"/>
        <w:rPr>
          <w:rFonts w:ascii="Times New Roman" w:hAnsi="Times New Roman" w:cs="Times New Roman"/>
          <w:sz w:val="20"/>
          <w:szCs w:val="24"/>
        </w:rPr>
      </w:pPr>
      <w:r w:rsidRPr="004B4914">
        <w:rPr>
          <w:rFonts w:ascii="Times New Roman" w:hAnsi="Times New Roman" w:cs="Times New Roman"/>
          <w:sz w:val="20"/>
          <w:szCs w:val="24"/>
        </w:rPr>
        <w:t xml:space="preserve">Figure 6: R1-R2 diagram of De La Roche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(1980)</w:t>
      </w:r>
    </w:p>
    <w:p w14:paraId="519E31BA" w14:textId="77777777"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05822CFF" wp14:editId="6E04DC25">
            <wp:extent cx="5943600" cy="5391150"/>
            <wp:effectExtent l="0" t="0" r="0" b="0"/>
            <wp:docPr id="10" name="Picture 10" descr="C:\Users\HP\Desktop\FUTA WORK\ALL SYENITES PLOTS\ACNK_AN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UTA WORK\ALL SYENITES PLOTS\ACNK_ANK.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t="9295"/>
                    <a:stretch/>
                  </pic:blipFill>
                  <pic:spPr bwMode="auto">
                    <a:xfrm>
                      <a:off x="0" y="0"/>
                      <a:ext cx="5943600" cy="5391150"/>
                    </a:xfrm>
                    <a:prstGeom prst="rect">
                      <a:avLst/>
                    </a:prstGeom>
                    <a:noFill/>
                    <a:ln>
                      <a:noFill/>
                    </a:ln>
                    <a:extLst>
                      <a:ext uri="{53640926-AAD7-44D8-BBD7-CCE9431645EC}">
                        <a14:shadowObscured xmlns:a14="http://schemas.microsoft.com/office/drawing/2010/main"/>
                      </a:ext>
                    </a:extLst>
                  </pic:spPr>
                </pic:pic>
              </a:graphicData>
            </a:graphic>
          </wp:inline>
        </w:drawing>
      </w:r>
    </w:p>
    <w:p w14:paraId="3CE681D7" w14:textId="77777777"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7: A/CNK vs A/NK plot of Shand (1943) discriminating metaluminous, peraluminous and peralkaline composition.</w:t>
      </w:r>
    </w:p>
    <w:p w14:paraId="720FE3B4" w14:textId="77777777" w:rsidR="00A24213" w:rsidRPr="00EB6452" w:rsidRDefault="00A24213" w:rsidP="00A24213">
      <w:pPr>
        <w:spacing w:after="0" w:line="480" w:lineRule="auto"/>
        <w:rPr>
          <w:rFonts w:ascii="Times New Roman" w:hAnsi="Times New Roman" w:cs="Times New Roman"/>
          <w:sz w:val="24"/>
          <w:szCs w:val="24"/>
        </w:rPr>
      </w:pPr>
    </w:p>
    <w:p w14:paraId="669F5EFC" w14:textId="77777777" w:rsidR="00A24213" w:rsidRPr="00EB6452" w:rsidRDefault="00A24213" w:rsidP="00A24213">
      <w:pPr>
        <w:spacing w:after="0" w:line="480" w:lineRule="auto"/>
        <w:rPr>
          <w:rFonts w:ascii="Times New Roman" w:hAnsi="Times New Roman" w:cs="Times New Roman"/>
          <w:sz w:val="24"/>
          <w:szCs w:val="24"/>
        </w:rPr>
      </w:pPr>
    </w:p>
    <w:p w14:paraId="0B0BC749" w14:textId="77777777" w:rsidR="00A24213" w:rsidRPr="00EB6452" w:rsidRDefault="00A24213" w:rsidP="00A24213">
      <w:pPr>
        <w:spacing w:after="0" w:line="480" w:lineRule="auto"/>
        <w:rPr>
          <w:rFonts w:ascii="Times New Roman" w:hAnsi="Times New Roman" w:cs="Times New Roman"/>
          <w:sz w:val="24"/>
          <w:szCs w:val="24"/>
        </w:rPr>
      </w:pPr>
    </w:p>
    <w:p w14:paraId="5DE8F7E9" w14:textId="77777777"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4B7E6968" wp14:editId="4B9E9F42">
            <wp:extent cx="5943600" cy="5429250"/>
            <wp:effectExtent l="0" t="0" r="0" b="0"/>
            <wp:docPr id="11" name="Picture 11" descr="C:\Users\HP\Desktop\FUTA WORK\ALL SYENITES PLOTS\B_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FUTA WORK\ALL SYENITES PLOTS\B_A.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t="8654"/>
                    <a:stretch/>
                  </pic:blipFill>
                  <pic:spPr bwMode="auto">
                    <a:xfrm>
                      <a:off x="0" y="0"/>
                      <a:ext cx="5943600" cy="5429250"/>
                    </a:xfrm>
                    <a:prstGeom prst="rect">
                      <a:avLst/>
                    </a:prstGeom>
                    <a:noFill/>
                    <a:ln>
                      <a:noFill/>
                    </a:ln>
                    <a:extLst>
                      <a:ext uri="{53640926-AAD7-44D8-BBD7-CCE9431645EC}">
                        <a14:shadowObscured xmlns:a14="http://schemas.microsoft.com/office/drawing/2010/main"/>
                      </a:ext>
                    </a:extLst>
                  </pic:spPr>
                </pic:pic>
              </a:graphicData>
            </a:graphic>
          </wp:inline>
        </w:drawing>
      </w:r>
    </w:p>
    <w:p w14:paraId="4D7B8EEB" w14:textId="77777777" w:rsidR="00A24213" w:rsidRPr="00EB6452" w:rsidRDefault="00A24213" w:rsidP="00A24213">
      <w:pPr>
        <w:spacing w:after="0" w:line="480" w:lineRule="auto"/>
        <w:rPr>
          <w:rFonts w:ascii="Times New Roman" w:hAnsi="Times New Roman" w:cs="Times New Roman"/>
          <w:sz w:val="24"/>
          <w:szCs w:val="24"/>
        </w:rPr>
      </w:pPr>
    </w:p>
    <w:p w14:paraId="1826AF15" w14:textId="77777777"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8: B-A diagram after Villaseca </w:t>
      </w:r>
      <w:r w:rsidRPr="004B4914">
        <w:rPr>
          <w:rFonts w:ascii="Times New Roman" w:hAnsi="Times New Roman" w:cs="Times New Roman"/>
          <w:i/>
          <w:sz w:val="20"/>
          <w:szCs w:val="24"/>
        </w:rPr>
        <w:t xml:space="preserve">et. al., </w:t>
      </w:r>
      <w:r w:rsidRPr="004B4914">
        <w:rPr>
          <w:rFonts w:ascii="Times New Roman" w:hAnsi="Times New Roman" w:cs="Times New Roman"/>
          <w:sz w:val="20"/>
          <w:szCs w:val="24"/>
        </w:rPr>
        <w:t>(1998)</w:t>
      </w:r>
    </w:p>
    <w:p w14:paraId="1F1766B6" w14:textId="77777777" w:rsidR="00A24213" w:rsidRPr="00EB6452" w:rsidRDefault="00A24213" w:rsidP="00A24213">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5DF21852" wp14:editId="2B9BD8A2">
            <wp:extent cx="5942965" cy="2866847"/>
            <wp:effectExtent l="0" t="0" r="635" b="0"/>
            <wp:docPr id="12" name="Picture 12" descr="C:\Users\HP\Desktop\FUTA WORK\ALL SYENITES PLOTS\FROST 2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FUTA WORK\ALL SYENITES PLOTS\FROST 2008.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t="5046" b="51557"/>
                    <a:stretch/>
                  </pic:blipFill>
                  <pic:spPr bwMode="auto">
                    <a:xfrm>
                      <a:off x="0" y="0"/>
                      <a:ext cx="5943600" cy="2867153"/>
                    </a:xfrm>
                    <a:prstGeom prst="rect">
                      <a:avLst/>
                    </a:prstGeom>
                    <a:noFill/>
                    <a:ln>
                      <a:noFill/>
                    </a:ln>
                    <a:extLst>
                      <a:ext uri="{53640926-AAD7-44D8-BBD7-CCE9431645EC}">
                        <a14:shadowObscured xmlns:a14="http://schemas.microsoft.com/office/drawing/2010/main"/>
                      </a:ext>
                    </a:extLst>
                  </pic:spPr>
                </pic:pic>
              </a:graphicData>
            </a:graphic>
          </wp:inline>
        </w:drawing>
      </w:r>
    </w:p>
    <w:p w14:paraId="5FCC22CA" w14:textId="77777777" w:rsidR="00A24213" w:rsidRPr="00EB6452" w:rsidRDefault="00A24213" w:rsidP="00A24213">
      <w:pPr>
        <w:spacing w:after="0" w:line="480" w:lineRule="auto"/>
        <w:rPr>
          <w:rFonts w:ascii="Times New Roman" w:hAnsi="Times New Roman" w:cs="Times New Roman"/>
          <w:sz w:val="24"/>
          <w:szCs w:val="24"/>
        </w:rPr>
      </w:pPr>
    </w:p>
    <w:p w14:paraId="355F94F2" w14:textId="77777777" w:rsidR="00A24213" w:rsidRPr="004B4914" w:rsidRDefault="00A24213" w:rsidP="00A24213">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 xml:space="preserve">Figure 9 and 10: Granite tectonic discrimination diagram after </w:t>
      </w:r>
      <w:commentRangeStart w:id="2"/>
      <w:r w:rsidRPr="004B4914">
        <w:rPr>
          <w:rFonts w:ascii="Times New Roman" w:hAnsi="Times New Roman" w:cs="Times New Roman"/>
          <w:sz w:val="20"/>
          <w:szCs w:val="24"/>
        </w:rPr>
        <w:t>Frost and Frost</w:t>
      </w:r>
      <w:r w:rsidRPr="004B4914">
        <w:rPr>
          <w:rFonts w:ascii="Times New Roman" w:hAnsi="Times New Roman" w:cs="Times New Roman"/>
          <w:i/>
          <w:sz w:val="20"/>
          <w:szCs w:val="24"/>
        </w:rPr>
        <w:t xml:space="preserve"> </w:t>
      </w:r>
      <w:r w:rsidRPr="004B4914">
        <w:rPr>
          <w:rFonts w:ascii="Times New Roman" w:hAnsi="Times New Roman" w:cs="Times New Roman"/>
          <w:sz w:val="20"/>
          <w:szCs w:val="24"/>
        </w:rPr>
        <w:t>(2008)</w:t>
      </w:r>
      <w:commentRangeEnd w:id="2"/>
      <w:r w:rsidR="0026552C">
        <w:rPr>
          <w:rStyle w:val="CommentReference"/>
        </w:rPr>
        <w:commentReference w:id="2"/>
      </w:r>
    </w:p>
    <w:p w14:paraId="2EE1E188" w14:textId="77777777" w:rsidR="004C0D4A" w:rsidRPr="00EB6452" w:rsidRDefault="004C0D4A" w:rsidP="00C7212A">
      <w:pPr>
        <w:rPr>
          <w:rFonts w:ascii="Times New Roman" w:hAnsi="Times New Roman" w:cs="Times New Roman"/>
          <w:sz w:val="24"/>
          <w:szCs w:val="24"/>
        </w:rPr>
      </w:pPr>
    </w:p>
    <w:p w14:paraId="2A95DB2D"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4.3 CIPW normative mineralogy and magma c</w:t>
      </w:r>
      <w:r w:rsidR="00C7212A" w:rsidRPr="004B4914">
        <w:rPr>
          <w:rFonts w:ascii="Times New Roman" w:hAnsi="Times New Roman" w:cs="Times New Roman"/>
          <w:i/>
          <w:sz w:val="24"/>
          <w:szCs w:val="24"/>
        </w:rPr>
        <w:t>hemistry</w:t>
      </w:r>
    </w:p>
    <w:p w14:paraId="52060CBC"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CIPW normative mineralogy further reinforces the syenitic character of the rocks and provides quantitative insight into magma chemistry</w:t>
      </w:r>
      <w:r w:rsidR="00EF51F9" w:rsidRPr="00EB6452">
        <w:rPr>
          <w:rFonts w:ascii="Times New Roman" w:hAnsi="Times New Roman" w:cs="Times New Roman"/>
          <w:sz w:val="24"/>
          <w:szCs w:val="24"/>
        </w:rPr>
        <w:t xml:space="preserve"> (Table 1)</w:t>
      </w:r>
      <w:r w:rsidRPr="00EB6452">
        <w:rPr>
          <w:rFonts w:ascii="Times New Roman" w:hAnsi="Times New Roman" w:cs="Times New Roman"/>
          <w:sz w:val="24"/>
          <w:szCs w:val="24"/>
        </w:rPr>
        <w:t>. High normative orthoclase and albite contents reflect the alkali-rich nature of the magma, while moderate quartz norms (7.4–12.7%) indicate silica saturation to slight oversaturation. The presence of normative quartz aligns with petrographic evidence of interstitial quartz and suggests that the magma evolved toward silica saturation during late crystallization stages.</w:t>
      </w:r>
    </w:p>
    <w:p w14:paraId="4D237BC3"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Low anorthite contents (≤4.3%) indicate limited calcic plagioclase, supporting the inference of advanced fractionation prior to emplacement. Normative wollastonite and hematite suggest contributions from Ca- and Fe-rich components, consistent with observed CaO and Fe₂O₃ concentrations. The occurrence of normative apatite corresponds with elevated P₂O₅ contents, implying early saturation of phosphorus and potential enrichment of incompatible elements during magmatic evolution.</w:t>
      </w:r>
    </w:p>
    <w:p w14:paraId="654FBE28" w14:textId="77777777" w:rsidR="00C7212A" w:rsidRPr="004B4914" w:rsidRDefault="004B4914" w:rsidP="00C7212A">
      <w:pPr>
        <w:rPr>
          <w:rFonts w:ascii="Times New Roman" w:hAnsi="Times New Roman" w:cs="Times New Roman"/>
          <w:i/>
          <w:sz w:val="24"/>
          <w:szCs w:val="24"/>
        </w:rPr>
      </w:pPr>
      <w:r w:rsidRPr="004B4914">
        <w:rPr>
          <w:rFonts w:ascii="Times New Roman" w:hAnsi="Times New Roman" w:cs="Times New Roman"/>
          <w:i/>
          <w:sz w:val="24"/>
          <w:szCs w:val="24"/>
        </w:rPr>
        <w:t>4.4 Trace element characteristics and s</w:t>
      </w:r>
      <w:r w:rsidR="00C7212A" w:rsidRPr="004B4914">
        <w:rPr>
          <w:rFonts w:ascii="Times New Roman" w:hAnsi="Times New Roman" w:cs="Times New Roman"/>
          <w:i/>
          <w:sz w:val="24"/>
          <w:szCs w:val="24"/>
        </w:rPr>
        <w:t>ou</w:t>
      </w:r>
      <w:r w:rsidRPr="004B4914">
        <w:rPr>
          <w:rFonts w:ascii="Times New Roman" w:hAnsi="Times New Roman" w:cs="Times New Roman"/>
          <w:i/>
          <w:sz w:val="24"/>
          <w:szCs w:val="24"/>
        </w:rPr>
        <w:t>rce i</w:t>
      </w:r>
      <w:r w:rsidR="00C7212A" w:rsidRPr="004B4914">
        <w:rPr>
          <w:rFonts w:ascii="Times New Roman" w:hAnsi="Times New Roman" w:cs="Times New Roman"/>
          <w:i/>
          <w:sz w:val="24"/>
          <w:szCs w:val="24"/>
        </w:rPr>
        <w:t>mplications</w:t>
      </w:r>
    </w:p>
    <w:p w14:paraId="3F3EE7F6"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Trace-element abundances provide critical constraints on magma source characteristics and tectonic setting. The high concentrations of large-ion lithophile elements (LILE) such as Ba (up to &gt;3200 ppm) and Sr (up to ~980 ppm) are indicative of enrichment processes commonly associated with subduction-modified mantle sources or metasomatized lithospheric mantle</w:t>
      </w:r>
      <w:r w:rsidR="00C2168A" w:rsidRPr="00EB6452">
        <w:rPr>
          <w:rFonts w:ascii="Times New Roman" w:hAnsi="Times New Roman" w:cs="Times New Roman"/>
          <w:sz w:val="24"/>
          <w:szCs w:val="24"/>
        </w:rPr>
        <w:t xml:space="preserve"> (</w:t>
      </w:r>
      <w:r w:rsidR="00DD05B5" w:rsidRPr="00EB6452">
        <w:rPr>
          <w:rFonts w:ascii="Times New Roman" w:hAnsi="Times New Roman" w:cs="Times New Roman"/>
          <w:sz w:val="24"/>
          <w:szCs w:val="24"/>
        </w:rPr>
        <w:t>Wang et al., 2025</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These elements are readily mobilized by fluids and melts, suggesting a mantle source that experienced prior enrichment rather than a depleted asthenospheric source.</w:t>
      </w:r>
    </w:p>
    <w:p w14:paraId="6B55A3A1" w14:textId="77777777"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lastRenderedPageBreak/>
        <w:t>On the Co–Th discrimination diagram of Hastie et al. (2007), the samples plot within th</w:t>
      </w:r>
      <w:r w:rsidR="008A789D" w:rsidRPr="00EB6452">
        <w:rPr>
          <w:rFonts w:ascii="Times New Roman" w:hAnsi="Times New Roman" w:cs="Times New Roman"/>
          <w:sz w:val="24"/>
          <w:szCs w:val="24"/>
        </w:rPr>
        <w:t>e volcanic-arc field (Figure 11</w:t>
      </w:r>
      <w:r w:rsidRPr="00EB6452">
        <w:rPr>
          <w:rFonts w:ascii="Times New Roman" w:hAnsi="Times New Roman" w:cs="Times New Roman"/>
          <w:sz w:val="24"/>
          <w:szCs w:val="24"/>
        </w:rPr>
        <w:t>), reflecting relative enrichment in Th compared to Co. Thorium enrichment is commonly associated with slab-derived fluids or melts that metasomatize the mantle wedge during subduction. This signature indicates a subduction-modified mantle source, even though the syenites were emplaced during the later stages of orogenesis.</w:t>
      </w:r>
    </w:p>
    <w:p w14:paraId="4F733A78" w14:textId="77777777" w:rsidR="00A900A5" w:rsidRPr="00EB6452" w:rsidRDefault="00A900A5" w:rsidP="00A900A5">
      <w:pPr>
        <w:rPr>
          <w:rFonts w:ascii="Times New Roman" w:hAnsi="Times New Roman" w:cs="Times New Roman"/>
          <w:sz w:val="24"/>
          <w:szCs w:val="24"/>
        </w:rPr>
      </w:pPr>
      <w:r w:rsidRPr="00EB6452">
        <w:rPr>
          <w:rFonts w:ascii="Times New Roman" w:hAnsi="Times New Roman" w:cs="Times New Roman"/>
          <w:sz w:val="24"/>
          <w:szCs w:val="24"/>
        </w:rPr>
        <w:t>The Pearce</w:t>
      </w:r>
      <w:r w:rsidR="00563366" w:rsidRPr="00EB6452">
        <w:rPr>
          <w:rFonts w:ascii="Times New Roman" w:hAnsi="Times New Roman" w:cs="Times New Roman"/>
          <w:sz w:val="24"/>
          <w:szCs w:val="24"/>
        </w:rPr>
        <w:t xml:space="preserve"> et al.</w:t>
      </w:r>
      <w:r w:rsidRPr="00EB6452">
        <w:rPr>
          <w:rFonts w:ascii="Times New Roman" w:hAnsi="Times New Roman" w:cs="Times New Roman"/>
          <w:sz w:val="24"/>
          <w:szCs w:val="24"/>
        </w:rPr>
        <w:t xml:space="preserve"> (1984) trace-element discrimination diagrams further constrain the tectonic setting. On the Nb–Y and Rb–(Y+Nb) plots, the syenite samples cluster predominantly within the volcanic-arc granite (VAG) and syn-collisional granite (syn-COLG) fields, with minor overlap toward the within-plate granite (WPG) field (Fig</w:t>
      </w:r>
      <w:r w:rsidR="008A789D" w:rsidRPr="00EB6452">
        <w:rPr>
          <w:rFonts w:ascii="Times New Roman" w:hAnsi="Times New Roman" w:cs="Times New Roman"/>
          <w:sz w:val="24"/>
          <w:szCs w:val="24"/>
        </w:rPr>
        <w:t>ure 12</w:t>
      </w:r>
      <w:r w:rsidRPr="00EB6452">
        <w:rPr>
          <w:rFonts w:ascii="Times New Roman" w:hAnsi="Times New Roman" w:cs="Times New Roman"/>
          <w:sz w:val="24"/>
          <w:szCs w:val="24"/>
        </w:rPr>
        <w:t>). The suppression of Nb relative to Y and Rb is a hallmark of subduction-related magmas and reflects retention of Nb in residual phases during slab melting or mantle metasomatism. The limited dispersion toward WPG fields likely reflects late-stage differentiation rather than a true intraplate origin.</w:t>
      </w:r>
    </w:p>
    <w:p w14:paraId="1296E57D"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Elevated concentrations of compatible elements such as Cr, Ni, and V are notable for rocks of syenitic composition and may reflect limited early removal of mafic phases or minor assimilation of mafic lower crustal material. Conversely, moderate abundances of high-field-strength elements (HFSE) such as Nb, Zr, and Y suggest a source that was not strongly depleted, but also not typical of within-plate alkaline magmatism, which commonly exhibits higher HFSE enrichment.</w:t>
      </w:r>
    </w:p>
    <w:p w14:paraId="41EEA25C" w14:textId="77777777" w:rsidR="004C0D4A"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low to moderate Th and U contents further support a mantle-dominated source with limited involvement of highly radiogenic upper crustal materials</w:t>
      </w:r>
      <w:r w:rsidR="00C2168A" w:rsidRPr="00EB6452">
        <w:rPr>
          <w:rFonts w:ascii="Times New Roman" w:hAnsi="Times New Roman" w:cs="Times New Roman"/>
          <w:sz w:val="24"/>
          <w:szCs w:val="24"/>
        </w:rPr>
        <w:t xml:space="preserve"> (</w:t>
      </w:r>
      <w:r w:rsidR="00563366" w:rsidRPr="00EB6452">
        <w:rPr>
          <w:rFonts w:ascii="Times New Roman" w:hAnsi="Times New Roman" w:cs="Times New Roman"/>
          <w:color w:val="222222"/>
          <w:sz w:val="24"/>
          <w:szCs w:val="24"/>
          <w:shd w:val="clear" w:color="auto" w:fill="FFFFFF"/>
        </w:rPr>
        <w:t>Aulbach et al., 2022</w:t>
      </w:r>
      <w:r w:rsidR="00C2168A" w:rsidRPr="00EB6452">
        <w:rPr>
          <w:rFonts w:ascii="Times New Roman" w:hAnsi="Times New Roman" w:cs="Times New Roman"/>
          <w:sz w:val="24"/>
          <w:szCs w:val="24"/>
        </w:rPr>
        <w:t>)</w:t>
      </w:r>
      <w:r w:rsidRPr="00EB6452">
        <w:rPr>
          <w:rFonts w:ascii="Times New Roman" w:hAnsi="Times New Roman" w:cs="Times New Roman"/>
          <w:sz w:val="24"/>
          <w:szCs w:val="24"/>
        </w:rPr>
        <w:t>. The trace-element signature as a whole is consistent with magmas generated in tectonic settings transitional between subduction-related and post-collisional environments.</w:t>
      </w:r>
    </w:p>
    <w:p w14:paraId="7AD774DE"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The REE characteristics of the Igarra syenites provide important constraints on magma source composition and evolutionary processes. The strong enrichment in light rare earth elements relative to heavy rare earth elements indicates derivation from an enriched magma source, rather than a depleted mantle</w:t>
      </w:r>
      <w:r w:rsidR="0014507E">
        <w:rPr>
          <w:rFonts w:ascii="Times New Roman" w:hAnsi="Times New Roman" w:cs="Times New Roman"/>
          <w:sz w:val="24"/>
          <w:szCs w:val="24"/>
        </w:rPr>
        <w:t xml:space="preserve"> (Sun et al., 2025)</w:t>
      </w:r>
      <w:r w:rsidR="00515C00">
        <w:rPr>
          <w:rFonts w:ascii="Times New Roman" w:hAnsi="Times New Roman" w:cs="Times New Roman"/>
          <w:sz w:val="24"/>
          <w:szCs w:val="24"/>
        </w:rPr>
        <w:t xml:space="preserve"> (Fig 13)</w:t>
      </w:r>
      <w:r w:rsidRPr="00EF6477">
        <w:rPr>
          <w:rFonts w:ascii="Times New Roman" w:hAnsi="Times New Roman" w:cs="Times New Roman"/>
          <w:sz w:val="24"/>
          <w:szCs w:val="24"/>
        </w:rPr>
        <w:t>. Such LREE-enriched patterns are typical of magmas generated from metasomatized lithospheric mantle or mantle sources influenced by subduction-related fluids and melts.</w:t>
      </w:r>
      <w:r>
        <w:rPr>
          <w:rFonts w:ascii="Times New Roman" w:hAnsi="Times New Roman" w:cs="Times New Roman"/>
          <w:sz w:val="24"/>
          <w:szCs w:val="24"/>
        </w:rPr>
        <w:t xml:space="preserve"> </w:t>
      </w:r>
      <w:r w:rsidRPr="00EF6477">
        <w:rPr>
          <w:rFonts w:ascii="Times New Roman" w:hAnsi="Times New Roman" w:cs="Times New Roman"/>
          <w:sz w:val="24"/>
          <w:szCs w:val="24"/>
        </w:rPr>
        <w:t>The comparatively lower concentrations of HREEs suggest limited involvement of residual garnet in the source region or partial melting at relatively shallow mantle depths. This inference is consistent with generation of the magma within the lithospheric mantle or lower crust, rather than deep asthenospheric sources</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Alpaslan</w:t>
      </w:r>
      <w:r w:rsidR="0014507E">
        <w:rPr>
          <w:rFonts w:ascii="Times New Roman" w:hAnsi="Times New Roman" w:cs="Times New Roman"/>
          <w:sz w:val="24"/>
          <w:szCs w:val="24"/>
        </w:rPr>
        <w:t xml:space="preserve"> et al., 2025)</w:t>
      </w:r>
      <w:r w:rsidRPr="00EF6477">
        <w:rPr>
          <w:rFonts w:ascii="Times New Roman" w:hAnsi="Times New Roman" w:cs="Times New Roman"/>
          <w:sz w:val="24"/>
          <w:szCs w:val="24"/>
        </w:rPr>
        <w:t>. The overall REE distribution impl</w:t>
      </w:r>
      <w:r>
        <w:rPr>
          <w:rFonts w:ascii="Times New Roman" w:hAnsi="Times New Roman" w:cs="Times New Roman"/>
          <w:sz w:val="24"/>
          <w:szCs w:val="24"/>
        </w:rPr>
        <w:t xml:space="preserve">ies significant incompatibility </w:t>
      </w:r>
      <w:r w:rsidRPr="00EF6477">
        <w:rPr>
          <w:rFonts w:ascii="Times New Roman" w:hAnsi="Times New Roman" w:cs="Times New Roman"/>
          <w:sz w:val="24"/>
          <w:szCs w:val="24"/>
        </w:rPr>
        <w:t>controlled enrichment during partial melting and subsequent magmatic differentiation.</w:t>
      </w:r>
    </w:p>
    <w:p w14:paraId="36AB537F"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t>Moderate europium contents indicate that Eu behaved neither as a strongly compatible nor incompatible element during magma evolution. This suggests limited plagioclase fractionation prior to or during emplacement, consistent with the metaluminous nature of the rocks and the dominance of alkali feldspar over calcic plagioclase observed petrographically. The absence of extreme Eu depletion further supports crystallization from a magma that had not undergone extensive feldspar removal at depth</w:t>
      </w:r>
      <w:r w:rsidR="0014507E">
        <w:rPr>
          <w:rFonts w:ascii="Times New Roman" w:hAnsi="Times New Roman" w:cs="Times New Roman"/>
          <w:sz w:val="24"/>
          <w:szCs w:val="24"/>
        </w:rPr>
        <w:t xml:space="preserve"> (Li et at., 2022)</w:t>
      </w:r>
      <w:r w:rsidRPr="00EF6477">
        <w:rPr>
          <w:rFonts w:ascii="Times New Roman" w:hAnsi="Times New Roman" w:cs="Times New Roman"/>
          <w:sz w:val="24"/>
          <w:szCs w:val="24"/>
        </w:rPr>
        <w:t>.</w:t>
      </w:r>
    </w:p>
    <w:p w14:paraId="65AF09DF" w14:textId="77777777" w:rsidR="00EF6477" w:rsidRPr="00EF6477" w:rsidRDefault="00EF6477" w:rsidP="00EF6477">
      <w:pPr>
        <w:rPr>
          <w:rFonts w:ascii="Times New Roman" w:hAnsi="Times New Roman" w:cs="Times New Roman"/>
          <w:sz w:val="24"/>
          <w:szCs w:val="24"/>
        </w:rPr>
      </w:pPr>
      <w:r w:rsidRPr="00EF6477">
        <w:rPr>
          <w:rFonts w:ascii="Times New Roman" w:hAnsi="Times New Roman" w:cs="Times New Roman"/>
          <w:sz w:val="24"/>
          <w:szCs w:val="24"/>
        </w:rPr>
        <w:lastRenderedPageBreak/>
        <w:t>The low to moderate Ta concentrations are characteristic of magmas generated in orogenic tectonic settings, where high-field-strength elements are typically depleted relative to within-plate alkaline magmas. This behavior is consistent with the volcanic-arc to syn- and post-collisional affinities indicated by tectonic discrimination diagrams and supports derivation from a subduction-modified mantle source</w:t>
      </w:r>
      <w:r w:rsidR="0014507E" w:rsidRPr="0014507E">
        <w:t xml:space="preserve"> </w:t>
      </w:r>
      <w:r w:rsidR="0014507E">
        <w:t>(</w:t>
      </w:r>
      <w:r w:rsidR="0014507E">
        <w:rPr>
          <w:rFonts w:ascii="Times New Roman" w:hAnsi="Times New Roman" w:cs="Times New Roman"/>
          <w:sz w:val="24"/>
          <w:szCs w:val="24"/>
        </w:rPr>
        <w:t xml:space="preserve">Verplanck </w:t>
      </w:r>
      <w:r w:rsidR="0014507E" w:rsidRPr="0014507E">
        <w:rPr>
          <w:rFonts w:ascii="Times New Roman" w:hAnsi="Times New Roman" w:cs="Times New Roman"/>
          <w:sz w:val="24"/>
          <w:szCs w:val="24"/>
        </w:rPr>
        <w:t>&amp; Hitzman,</w:t>
      </w:r>
      <w:r w:rsidR="0014507E">
        <w:rPr>
          <w:rFonts w:ascii="Times New Roman" w:hAnsi="Times New Roman" w:cs="Times New Roman"/>
          <w:sz w:val="24"/>
          <w:szCs w:val="24"/>
        </w:rPr>
        <w:t xml:space="preserve"> </w:t>
      </w:r>
      <w:r w:rsidR="0014507E" w:rsidRPr="0014507E">
        <w:rPr>
          <w:rFonts w:ascii="Times New Roman" w:hAnsi="Times New Roman" w:cs="Times New Roman"/>
          <w:sz w:val="24"/>
          <w:szCs w:val="24"/>
        </w:rPr>
        <w:t>2025).</w:t>
      </w:r>
      <w:r w:rsidR="0014507E">
        <w:rPr>
          <w:rFonts w:ascii="Times New Roman" w:hAnsi="Times New Roman" w:cs="Times New Roman"/>
          <w:sz w:val="24"/>
          <w:szCs w:val="24"/>
        </w:rPr>
        <w:t xml:space="preserve"> </w:t>
      </w:r>
      <w:r w:rsidR="002D79C9">
        <w:rPr>
          <w:rFonts w:ascii="Times New Roman" w:hAnsi="Times New Roman" w:cs="Times New Roman"/>
          <w:sz w:val="24"/>
          <w:szCs w:val="24"/>
        </w:rPr>
        <w:t>Thus</w:t>
      </w:r>
      <w:r w:rsidRPr="00EF6477">
        <w:rPr>
          <w:rFonts w:ascii="Times New Roman" w:hAnsi="Times New Roman" w:cs="Times New Roman"/>
          <w:sz w:val="24"/>
          <w:szCs w:val="24"/>
        </w:rPr>
        <w:t>, the trace-element and REE signatures of the Igarra syenites are consistent with late- to post-collisional Pan-African magmatism, involving partial melting of an enriched mantle source followed by internal magmatic differentiation and limited crustal contamination.</w:t>
      </w:r>
    </w:p>
    <w:p w14:paraId="071AAEF2" w14:textId="77777777" w:rsidR="00EF6477" w:rsidRPr="00EB6452" w:rsidRDefault="00EF6477" w:rsidP="00C7212A">
      <w:pPr>
        <w:rPr>
          <w:rFonts w:ascii="Times New Roman" w:hAnsi="Times New Roman" w:cs="Times New Roman"/>
          <w:sz w:val="24"/>
          <w:szCs w:val="24"/>
        </w:rPr>
      </w:pPr>
    </w:p>
    <w:p w14:paraId="25B621DA" w14:textId="77777777" w:rsidR="00C7212A" w:rsidRPr="004B4914" w:rsidRDefault="00C7212A" w:rsidP="00C7212A">
      <w:pPr>
        <w:rPr>
          <w:rFonts w:ascii="Times New Roman" w:hAnsi="Times New Roman" w:cs="Times New Roman"/>
          <w:i/>
          <w:sz w:val="24"/>
          <w:szCs w:val="24"/>
        </w:rPr>
      </w:pPr>
      <w:r w:rsidRPr="004B4914">
        <w:rPr>
          <w:rFonts w:ascii="Times New Roman" w:hAnsi="Times New Roman" w:cs="Times New Roman"/>
          <w:i/>
          <w:sz w:val="24"/>
          <w:szCs w:val="24"/>
        </w:rPr>
        <w:t xml:space="preserve">4.5 </w:t>
      </w:r>
      <w:r w:rsidR="00EF51F9" w:rsidRPr="004B4914">
        <w:rPr>
          <w:rFonts w:ascii="Times New Roman" w:hAnsi="Times New Roman" w:cs="Times New Roman"/>
          <w:i/>
          <w:sz w:val="24"/>
          <w:szCs w:val="24"/>
        </w:rPr>
        <w:t>Geotectonic setting and Pan-African c</w:t>
      </w:r>
      <w:r w:rsidRPr="004B4914">
        <w:rPr>
          <w:rFonts w:ascii="Times New Roman" w:hAnsi="Times New Roman" w:cs="Times New Roman"/>
          <w:i/>
          <w:sz w:val="24"/>
          <w:szCs w:val="24"/>
        </w:rPr>
        <w:t>ontext</w:t>
      </w:r>
    </w:p>
    <w:p w14:paraId="573D7AEA" w14:textId="77777777" w:rsidR="00C7212A" w:rsidRPr="00EB6452" w:rsidRDefault="00A900A5" w:rsidP="00C7212A">
      <w:pPr>
        <w:rPr>
          <w:rFonts w:ascii="Times New Roman" w:hAnsi="Times New Roman" w:cs="Times New Roman"/>
          <w:sz w:val="24"/>
          <w:szCs w:val="24"/>
        </w:rPr>
      </w:pPr>
      <w:r w:rsidRPr="00EB6452">
        <w:rPr>
          <w:rFonts w:ascii="Times New Roman" w:hAnsi="Times New Roman" w:cs="Times New Roman"/>
          <w:sz w:val="24"/>
          <w:szCs w:val="24"/>
        </w:rPr>
        <w:t>The multicationic R1–R2 tectonic discrimination diagram (Batchelor and Bowden, 1985) places the Igarra syenites mainly within the post-collisional granite field, with minor overlap into the syn</w:t>
      </w:r>
      <w:r w:rsidR="008A789D" w:rsidRPr="00EB6452">
        <w:rPr>
          <w:rFonts w:ascii="Times New Roman" w:hAnsi="Times New Roman" w:cs="Times New Roman"/>
          <w:sz w:val="24"/>
          <w:szCs w:val="24"/>
        </w:rPr>
        <w:t>-collisional domain (Figure 1</w:t>
      </w:r>
      <w:r w:rsidR="00515C00">
        <w:rPr>
          <w:rFonts w:ascii="Times New Roman" w:hAnsi="Times New Roman" w:cs="Times New Roman"/>
          <w:sz w:val="24"/>
          <w:szCs w:val="24"/>
        </w:rPr>
        <w:t>4</w:t>
      </w:r>
      <w:r w:rsidRPr="00EB6452">
        <w:rPr>
          <w:rFonts w:ascii="Times New Roman" w:hAnsi="Times New Roman" w:cs="Times New Roman"/>
          <w:sz w:val="24"/>
          <w:szCs w:val="24"/>
        </w:rPr>
        <w:t xml:space="preserve">). </w:t>
      </w:r>
      <w:r w:rsidR="00C7212A" w:rsidRPr="00EB6452">
        <w:rPr>
          <w:rFonts w:ascii="Times New Roman" w:hAnsi="Times New Roman" w:cs="Times New Roman"/>
          <w:sz w:val="24"/>
          <w:szCs w:val="24"/>
        </w:rPr>
        <w:t>This distribution reflects the transitional tectonic environment prevailing during the late stages of the Pan-African orogeny in southwestern Nigeria. Following continental collision, lithospheric delamination, slab break-off, or asthenospheric upwelling may have facilitated partial melting of enriched mantle sources, producing potassic to high-K magmas.</w:t>
      </w:r>
    </w:p>
    <w:p w14:paraId="6CA1513A"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emplacement of syenitic intrusions within the Igarra Schist Belt is therefore interpreted as part of late-to-post-orogenic magmatism associated with crustal relaxation and tectonic reorganization after peak Pan-African deformation. This interpretation is consistent with regional geological evidence indicating widespread granitoid and minor syenitic intrusions emplaced during the waning stages of Pan-African tectonism.</w:t>
      </w:r>
    </w:p>
    <w:p w14:paraId="03B5FF55"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 xml:space="preserve">Comparable syenitic bodies elsewhere in the Nigerian Basement Complex </w:t>
      </w:r>
      <w:r w:rsidR="00A77B61" w:rsidRPr="00EB6452">
        <w:rPr>
          <w:rFonts w:ascii="Times New Roman" w:hAnsi="Times New Roman" w:cs="Times New Roman"/>
          <w:sz w:val="24"/>
          <w:szCs w:val="24"/>
        </w:rPr>
        <w:t>(</w:t>
      </w:r>
      <w:r w:rsidR="00563366" w:rsidRPr="00EB6452">
        <w:rPr>
          <w:rFonts w:ascii="Times New Roman" w:hAnsi="Times New Roman" w:cs="Times New Roman"/>
          <w:sz w:val="24"/>
          <w:szCs w:val="24"/>
        </w:rPr>
        <w:t>Bolarinwa, 2023;</w:t>
      </w:r>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Lawal et al., 2025; Yelwa, &amp; Shuaibu, 2024</w:t>
      </w:r>
      <w:r w:rsidR="00A77B61" w:rsidRPr="00EB6452">
        <w:rPr>
          <w:rFonts w:ascii="Times New Roman" w:hAnsi="Times New Roman" w:cs="Times New Roman"/>
          <w:sz w:val="24"/>
          <w:szCs w:val="24"/>
        </w:rPr>
        <w:t xml:space="preserve">) </w:t>
      </w:r>
      <w:r w:rsidRPr="00EB6452">
        <w:rPr>
          <w:rFonts w:ascii="Times New Roman" w:hAnsi="Times New Roman" w:cs="Times New Roman"/>
          <w:sz w:val="24"/>
          <w:szCs w:val="24"/>
        </w:rPr>
        <w:t>have been similarly interpreted as products of post-collisional magmatism, reflecting a shift from compressional to extensional regimes and renewed mantle input into the crust.</w:t>
      </w:r>
    </w:p>
    <w:p w14:paraId="78110AA9" w14:textId="77777777" w:rsidR="00366716" w:rsidRPr="00EB6452" w:rsidRDefault="00366716" w:rsidP="00366716">
      <w:pPr>
        <w:spacing w:after="0" w:line="480" w:lineRule="auto"/>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2E44E105" wp14:editId="23795875">
            <wp:extent cx="5943600" cy="5467350"/>
            <wp:effectExtent l="0" t="0" r="0" b="0"/>
            <wp:docPr id="47" name="Picture 47" descr="C:\Users\HP\Desktop\FUTA WORK\ALL SYENITES PLOTS\cO_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Desktop\FUTA WORK\ALL SYENITES PLOTS\cO_tH.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t="8013"/>
                    <a:stretch/>
                  </pic:blipFill>
                  <pic:spPr bwMode="auto">
                    <a:xfrm>
                      <a:off x="0" y="0"/>
                      <a:ext cx="5943600" cy="5467350"/>
                    </a:xfrm>
                    <a:prstGeom prst="rect">
                      <a:avLst/>
                    </a:prstGeom>
                    <a:noFill/>
                    <a:ln>
                      <a:noFill/>
                    </a:ln>
                    <a:extLst>
                      <a:ext uri="{53640926-AAD7-44D8-BBD7-CCE9431645EC}">
                        <a14:shadowObscured xmlns:a14="http://schemas.microsoft.com/office/drawing/2010/main"/>
                      </a:ext>
                    </a:extLst>
                  </pic:spPr>
                </pic:pic>
              </a:graphicData>
            </a:graphic>
          </wp:inline>
        </w:drawing>
      </w:r>
    </w:p>
    <w:p w14:paraId="40D2EABC" w14:textId="77777777" w:rsidR="00366716" w:rsidRPr="004B4914" w:rsidRDefault="00366716" w:rsidP="00366716">
      <w:pPr>
        <w:spacing w:after="0" w:line="480" w:lineRule="auto"/>
        <w:jc w:val="both"/>
        <w:rPr>
          <w:rFonts w:ascii="Times New Roman" w:hAnsi="Times New Roman" w:cs="Times New Roman"/>
          <w:sz w:val="20"/>
          <w:szCs w:val="24"/>
        </w:rPr>
      </w:pPr>
      <w:r w:rsidRPr="004B4914">
        <w:rPr>
          <w:rFonts w:ascii="Times New Roman" w:hAnsi="Times New Roman" w:cs="Times New Roman"/>
          <w:sz w:val="20"/>
          <w:szCs w:val="24"/>
        </w:rPr>
        <w:t xml:space="preserve">Figure 11: Samples showing the Co-Th plot of syenite analyses (Hastie </w:t>
      </w:r>
      <w:r w:rsidRPr="004B4914">
        <w:rPr>
          <w:rFonts w:ascii="Times New Roman" w:hAnsi="Times New Roman" w:cs="Times New Roman"/>
          <w:i/>
          <w:sz w:val="20"/>
          <w:szCs w:val="24"/>
        </w:rPr>
        <w:t>et al.</w:t>
      </w:r>
      <w:r w:rsidRPr="004B4914">
        <w:rPr>
          <w:rFonts w:ascii="Times New Roman" w:hAnsi="Times New Roman" w:cs="Times New Roman"/>
          <w:sz w:val="20"/>
          <w:szCs w:val="24"/>
        </w:rPr>
        <w:t>2007)</w:t>
      </w:r>
    </w:p>
    <w:p w14:paraId="7683F327" w14:textId="77777777" w:rsidR="00E45CE0" w:rsidRPr="00EB6452" w:rsidRDefault="00E45CE0" w:rsidP="00E45CE0">
      <w:pPr>
        <w:spacing w:after="0" w:line="480" w:lineRule="auto"/>
        <w:ind w:left="-900" w:right="79"/>
        <w:jc w:val="both"/>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6158156D" wp14:editId="0B3AD9BB">
            <wp:extent cx="5381625" cy="5231127"/>
            <wp:effectExtent l="0" t="0" r="0" b="8255"/>
            <wp:docPr id="44" name="Picture 44" descr="C:\Users\HP\Desktop\FUTA WORK\ALL SYENITES PLOTS\PEAR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FUTA WORK\ALL SYENITES PLOTS\PEARCE.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48884" t="5478" b="49823"/>
                    <a:stretch/>
                  </pic:blipFill>
                  <pic:spPr bwMode="auto">
                    <a:xfrm>
                      <a:off x="0" y="0"/>
                      <a:ext cx="5387183" cy="5236530"/>
                    </a:xfrm>
                    <a:prstGeom prst="rect">
                      <a:avLst/>
                    </a:prstGeom>
                    <a:noFill/>
                    <a:ln>
                      <a:noFill/>
                    </a:ln>
                    <a:extLst>
                      <a:ext uri="{53640926-AAD7-44D8-BBD7-CCE9431645EC}">
                        <a14:shadowObscured xmlns:a14="http://schemas.microsoft.com/office/drawing/2010/main"/>
                      </a:ext>
                    </a:extLst>
                  </pic:spPr>
                </pic:pic>
              </a:graphicData>
            </a:graphic>
          </wp:inline>
        </w:drawing>
      </w:r>
    </w:p>
    <w:p w14:paraId="3F141C99" w14:textId="77777777" w:rsidR="00E45CE0" w:rsidRPr="004B4914" w:rsidRDefault="00E45CE0" w:rsidP="004B4914">
      <w:pPr>
        <w:pStyle w:val="NoSpacing"/>
        <w:rPr>
          <w:rFonts w:ascii="Times New Roman" w:hAnsi="Times New Roman" w:cs="Times New Roman"/>
          <w:sz w:val="20"/>
          <w:szCs w:val="20"/>
        </w:rPr>
      </w:pPr>
      <w:r w:rsidRPr="004B4914">
        <w:rPr>
          <w:rFonts w:ascii="Times New Roman" w:hAnsi="Times New Roman" w:cs="Times New Roman"/>
          <w:sz w:val="20"/>
          <w:szCs w:val="20"/>
        </w:rPr>
        <w:t>Figure 12: Trace-element discrimination diagrams (after Pearce</w:t>
      </w:r>
      <w:r w:rsidR="00563366" w:rsidRPr="004B4914">
        <w:rPr>
          <w:rFonts w:ascii="Times New Roman" w:hAnsi="Times New Roman" w:cs="Times New Roman"/>
          <w:sz w:val="20"/>
          <w:szCs w:val="20"/>
        </w:rPr>
        <w:t xml:space="preserve"> et al.</w:t>
      </w:r>
      <w:r w:rsidRPr="004B4914">
        <w:rPr>
          <w:rFonts w:ascii="Times New Roman" w:hAnsi="Times New Roman" w:cs="Times New Roman"/>
          <w:sz w:val="20"/>
          <w:szCs w:val="20"/>
        </w:rPr>
        <w:t>, 1984) for granites derived from melts parental to REE-enriched syenite. VAG: volcanic-arc granites, ORG: ocean-ridge granites, syn-COLG: syncollisional granites, WPG: within-plate granites.</w:t>
      </w:r>
    </w:p>
    <w:p w14:paraId="0199F61F" w14:textId="77777777" w:rsidR="004C0D4A" w:rsidRDefault="004C0D4A" w:rsidP="00C7212A">
      <w:pPr>
        <w:rPr>
          <w:rFonts w:ascii="Times New Roman" w:hAnsi="Times New Roman" w:cs="Times New Roman"/>
          <w:sz w:val="24"/>
          <w:szCs w:val="24"/>
        </w:rPr>
      </w:pPr>
    </w:p>
    <w:p w14:paraId="0A83C341" w14:textId="77777777" w:rsidR="00515C00" w:rsidRDefault="00515C00" w:rsidP="00C7212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BAF3DF" wp14:editId="362A5D52">
            <wp:extent cx="5248275" cy="3905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E plot.JPG"/>
                    <pic:cNvPicPr/>
                  </pic:nvPicPr>
                  <pic:blipFill>
                    <a:blip r:embed="rId21">
                      <a:extLst>
                        <a:ext uri="{28A0092B-C50C-407E-A947-70E740481C1C}">
                          <a14:useLocalDpi xmlns:a14="http://schemas.microsoft.com/office/drawing/2010/main" val="0"/>
                        </a:ext>
                      </a:extLst>
                    </a:blip>
                    <a:stretch>
                      <a:fillRect/>
                    </a:stretch>
                  </pic:blipFill>
                  <pic:spPr>
                    <a:xfrm>
                      <a:off x="0" y="0"/>
                      <a:ext cx="5248275" cy="3905250"/>
                    </a:xfrm>
                    <a:prstGeom prst="rect">
                      <a:avLst/>
                    </a:prstGeom>
                  </pic:spPr>
                </pic:pic>
              </a:graphicData>
            </a:graphic>
          </wp:inline>
        </w:drawing>
      </w:r>
    </w:p>
    <w:p w14:paraId="7BE64CBB" w14:textId="77777777" w:rsidR="00515C00" w:rsidRPr="00515C00" w:rsidRDefault="00515C00" w:rsidP="00C7212A">
      <w:pPr>
        <w:rPr>
          <w:rFonts w:ascii="Times New Roman" w:hAnsi="Times New Roman" w:cs="Times New Roman"/>
          <w:i/>
          <w:sz w:val="24"/>
          <w:szCs w:val="24"/>
        </w:rPr>
      </w:pPr>
      <w:r w:rsidRPr="00515C00">
        <w:rPr>
          <w:rFonts w:ascii="Times New Roman" w:hAnsi="Times New Roman" w:cs="Times New Roman"/>
          <w:i/>
          <w:sz w:val="24"/>
          <w:szCs w:val="24"/>
        </w:rPr>
        <w:t>Figure 13. Chondrite-normalized rare earth element (REE) envelope (minimum–maximum values) for syenitic rocks from the Igarra Schist Belt, southwestern Nigeria. Normalization values are after Boynton (1984). The shaded field highlights strong LREE enrichment relative to HREEs and limited dispersion in the HREE segment.</w:t>
      </w:r>
    </w:p>
    <w:p w14:paraId="4D1AAF83" w14:textId="77777777" w:rsidR="00E45CE0" w:rsidRPr="00EB6452" w:rsidRDefault="00E45CE0" w:rsidP="00E45CE0">
      <w:pPr>
        <w:spacing w:after="0" w:line="480" w:lineRule="auto"/>
        <w:rPr>
          <w:rFonts w:ascii="Times New Roman" w:hAnsi="Times New Roman" w:cs="Times New Roman"/>
          <w:sz w:val="24"/>
          <w:szCs w:val="24"/>
        </w:rPr>
      </w:pPr>
      <w:r w:rsidRPr="00EB6452">
        <w:rPr>
          <w:rFonts w:ascii="Times New Roman" w:hAnsi="Times New Roman" w:cs="Times New Roman"/>
          <w:noProof/>
          <w:sz w:val="24"/>
          <w:szCs w:val="24"/>
        </w:rPr>
        <w:lastRenderedPageBreak/>
        <w:drawing>
          <wp:inline distT="0" distB="0" distL="0" distR="0" wp14:anchorId="3075EBBC" wp14:editId="36E14EE2">
            <wp:extent cx="5943600" cy="5438775"/>
            <wp:effectExtent l="0" t="0" r="0" b="9525"/>
            <wp:docPr id="45" name="Picture 45" descr="C:\Users\HP\Desktop\FUTA WORK\ALL SYENITES PLOTS\R1_R2 AGA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Desktop\FUTA WORK\ALL SYENITES PLOTS\R1_R2 AGAIN.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t="8494"/>
                    <a:stretch/>
                  </pic:blipFill>
                  <pic:spPr bwMode="auto">
                    <a:xfrm>
                      <a:off x="0" y="0"/>
                      <a:ext cx="5943600" cy="5438775"/>
                    </a:xfrm>
                    <a:prstGeom prst="rect">
                      <a:avLst/>
                    </a:prstGeom>
                    <a:noFill/>
                    <a:ln>
                      <a:noFill/>
                    </a:ln>
                    <a:extLst>
                      <a:ext uri="{53640926-AAD7-44D8-BBD7-CCE9431645EC}">
                        <a14:shadowObscured xmlns:a14="http://schemas.microsoft.com/office/drawing/2010/main"/>
                      </a:ext>
                    </a:extLst>
                  </pic:spPr>
                </pic:pic>
              </a:graphicData>
            </a:graphic>
          </wp:inline>
        </w:drawing>
      </w:r>
    </w:p>
    <w:p w14:paraId="13CC0358" w14:textId="77777777" w:rsidR="00E45CE0" w:rsidRPr="004B4914" w:rsidRDefault="00E45CE0" w:rsidP="00E45CE0">
      <w:pPr>
        <w:spacing w:after="0" w:line="480" w:lineRule="auto"/>
        <w:rPr>
          <w:rFonts w:ascii="Times New Roman" w:hAnsi="Times New Roman" w:cs="Times New Roman"/>
          <w:sz w:val="20"/>
          <w:szCs w:val="24"/>
        </w:rPr>
      </w:pPr>
      <w:r w:rsidRPr="004B4914">
        <w:rPr>
          <w:rFonts w:ascii="Times New Roman" w:hAnsi="Times New Roman" w:cs="Times New Roman"/>
          <w:sz w:val="20"/>
          <w:szCs w:val="24"/>
        </w:rPr>
        <w:t>Figure 1</w:t>
      </w:r>
      <w:r w:rsidR="00515C00">
        <w:rPr>
          <w:rFonts w:ascii="Times New Roman" w:hAnsi="Times New Roman" w:cs="Times New Roman"/>
          <w:sz w:val="20"/>
          <w:szCs w:val="24"/>
        </w:rPr>
        <w:t>4</w:t>
      </w:r>
      <w:r w:rsidRPr="004B4914">
        <w:rPr>
          <w:rFonts w:ascii="Times New Roman" w:hAnsi="Times New Roman" w:cs="Times New Roman"/>
          <w:sz w:val="20"/>
          <w:szCs w:val="24"/>
        </w:rPr>
        <w:t>: Tectonic Setting Discrimination diagram of R1-R2 (after Batchelor and Bowden, 1985)</w:t>
      </w:r>
    </w:p>
    <w:p w14:paraId="14A8F6C7" w14:textId="77777777" w:rsidR="00E45CE0" w:rsidRPr="00EB6452" w:rsidRDefault="00E45CE0" w:rsidP="00C7212A">
      <w:pPr>
        <w:rPr>
          <w:rFonts w:ascii="Times New Roman" w:hAnsi="Times New Roman" w:cs="Times New Roman"/>
          <w:sz w:val="24"/>
          <w:szCs w:val="24"/>
        </w:rPr>
      </w:pPr>
    </w:p>
    <w:p w14:paraId="310FDF6D" w14:textId="77777777" w:rsidR="00C7212A" w:rsidRPr="004B4914" w:rsidRDefault="004B4914" w:rsidP="00C7212A">
      <w:pPr>
        <w:rPr>
          <w:rFonts w:ascii="Times New Roman" w:hAnsi="Times New Roman" w:cs="Times New Roman"/>
          <w:i/>
          <w:sz w:val="24"/>
          <w:szCs w:val="24"/>
        </w:rPr>
      </w:pPr>
      <w:r>
        <w:rPr>
          <w:rFonts w:ascii="Times New Roman" w:hAnsi="Times New Roman" w:cs="Times New Roman"/>
          <w:i/>
          <w:sz w:val="24"/>
          <w:szCs w:val="24"/>
        </w:rPr>
        <w:t>4.6 Regional and economic i</w:t>
      </w:r>
      <w:r w:rsidR="00C7212A" w:rsidRPr="004B4914">
        <w:rPr>
          <w:rFonts w:ascii="Times New Roman" w:hAnsi="Times New Roman" w:cs="Times New Roman"/>
          <w:i/>
          <w:sz w:val="24"/>
          <w:szCs w:val="24"/>
        </w:rPr>
        <w:t>mplications</w:t>
      </w:r>
    </w:p>
    <w:p w14:paraId="48FB15BD"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t>The geochemical characteristics of the Igarra syenites bear implications for regional crustal evolution and mineralization potential. Elevated Ba, Sr, P, and moderate HFSE contents suggest that these rocks may act as fertile hosts for incompatible element enrichment. Although no direct economic mineralization was identified in this study, syenites worldwide are known to host or be spatially associated with REE, U–Th, and gemstone mineralization</w:t>
      </w:r>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Verplanck, &amp; Hitzman</w:t>
      </w:r>
      <w:r w:rsidR="00A77B61" w:rsidRPr="00EB6452">
        <w:rPr>
          <w:rFonts w:ascii="Times New Roman" w:hAnsi="Times New Roman" w:cs="Times New Roman"/>
          <w:sz w:val="24"/>
          <w:szCs w:val="24"/>
        </w:rPr>
        <w:t xml:space="preserve">, </w:t>
      </w:r>
      <w:r w:rsidR="00563366" w:rsidRPr="00EB6452">
        <w:rPr>
          <w:rFonts w:ascii="Times New Roman" w:hAnsi="Times New Roman" w:cs="Times New Roman"/>
          <w:sz w:val="24"/>
          <w:szCs w:val="24"/>
        </w:rPr>
        <w:t xml:space="preserve">2025; Benali, &amp; Cherfi, 2024; Watts, &amp; Miller, </w:t>
      </w:r>
      <w:r w:rsidR="007217FB" w:rsidRPr="00EB6452">
        <w:rPr>
          <w:rFonts w:ascii="Times New Roman" w:hAnsi="Times New Roman" w:cs="Times New Roman"/>
          <w:sz w:val="24"/>
          <w:szCs w:val="24"/>
        </w:rPr>
        <w:t>2024</w:t>
      </w:r>
      <w:r w:rsidR="00A77B61" w:rsidRPr="00EB6452">
        <w:rPr>
          <w:rFonts w:ascii="Times New Roman" w:hAnsi="Times New Roman" w:cs="Times New Roman"/>
          <w:sz w:val="24"/>
          <w:szCs w:val="24"/>
        </w:rPr>
        <w:t>)</w:t>
      </w:r>
      <w:r w:rsidRPr="00EB6452">
        <w:rPr>
          <w:rFonts w:ascii="Times New Roman" w:hAnsi="Times New Roman" w:cs="Times New Roman"/>
          <w:sz w:val="24"/>
          <w:szCs w:val="24"/>
        </w:rPr>
        <w:t>.</w:t>
      </w:r>
    </w:p>
    <w:p w14:paraId="637DD5E4" w14:textId="77777777" w:rsidR="00C7212A" w:rsidRPr="00EB6452" w:rsidRDefault="00C7212A" w:rsidP="00C7212A">
      <w:pPr>
        <w:rPr>
          <w:rFonts w:ascii="Times New Roman" w:hAnsi="Times New Roman" w:cs="Times New Roman"/>
          <w:sz w:val="24"/>
          <w:szCs w:val="24"/>
        </w:rPr>
      </w:pPr>
      <w:r w:rsidRPr="00EB6452">
        <w:rPr>
          <w:rFonts w:ascii="Times New Roman" w:hAnsi="Times New Roman" w:cs="Times New Roman"/>
          <w:sz w:val="24"/>
          <w:szCs w:val="24"/>
        </w:rPr>
        <w:lastRenderedPageBreak/>
        <w:t>From a regional perspective, the Igarra syenites provide valuable constraints on the nature of Pan-African magmatism in southwestern Nigeria, highlighting the role of enriched mantle sources and late-stage tectonic processes in crustal growth and modification.</w:t>
      </w:r>
    </w:p>
    <w:p w14:paraId="6D836AAF" w14:textId="77777777" w:rsidR="00C7212A" w:rsidRPr="00EB6452" w:rsidRDefault="00C7212A" w:rsidP="00C7212A">
      <w:pPr>
        <w:rPr>
          <w:rFonts w:ascii="Times New Roman" w:hAnsi="Times New Roman" w:cs="Times New Roman"/>
          <w:sz w:val="24"/>
          <w:szCs w:val="24"/>
        </w:rPr>
      </w:pPr>
    </w:p>
    <w:p w14:paraId="65A0BA20" w14:textId="77777777" w:rsidR="00C7212A" w:rsidRPr="004B4914" w:rsidRDefault="00C7212A" w:rsidP="00C7212A">
      <w:pPr>
        <w:rPr>
          <w:rFonts w:ascii="Times New Roman" w:hAnsi="Times New Roman" w:cs="Times New Roman"/>
          <w:b/>
          <w:sz w:val="24"/>
          <w:szCs w:val="24"/>
        </w:rPr>
      </w:pPr>
      <w:r w:rsidRPr="004B4914">
        <w:rPr>
          <w:rFonts w:ascii="Times New Roman" w:hAnsi="Times New Roman" w:cs="Times New Roman"/>
          <w:b/>
          <w:sz w:val="24"/>
          <w:szCs w:val="24"/>
        </w:rPr>
        <w:t>5. Conclusion</w:t>
      </w:r>
    </w:p>
    <w:p w14:paraId="621155E2" w14:textId="77777777" w:rsidR="00B913F1" w:rsidRPr="00B913F1"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Syenitic magmatism within the Igarra Schist Belt represents a discrete phase of intermediate, alkali-rich plutonism linked to the terminal stages of the Pan-African orogeny in southwestern Nigeria. Petrographic characteristics and major-element chemistry indicate crystallization from a differentiated, metaluminous, high-K magma emplaced at shallow to mid-crustal levels following regional deformation. These features distinguish the Igarra syenites from syn-tectonic granitoids and align them with late-orogenic intrusive suites developed during post-collisional lithospheric reorganization.</w:t>
      </w:r>
    </w:p>
    <w:p w14:paraId="4E18AD65" w14:textId="77777777" w:rsidR="00B913F1" w:rsidRPr="00B913F1"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Rare earth element systematics provide critical constraints on magma generation and evolution. The consistently fractionated chondrite-normalized REE patterns, marked by strong LREE enrichment and subdued HREE abundances, indicate partial melting of an enriched lithospheric mantle source at relatively shallow depths, where residual garnet was insignificant. The coherent REE envelopes across samples imply a common source and melting regime, while the absence of a pronounced Eu anomaly suggests that feldspar fractionation was limited prior to emplacement and that differentiation occurred largely during late-stage crystallization within the crust.</w:t>
      </w:r>
    </w:p>
    <w:p w14:paraId="23C0E3EB" w14:textId="77777777" w:rsidR="0026267F" w:rsidRDefault="00B913F1" w:rsidP="00B913F1">
      <w:pPr>
        <w:rPr>
          <w:rFonts w:ascii="Times New Roman" w:hAnsi="Times New Roman" w:cs="Times New Roman"/>
          <w:sz w:val="24"/>
          <w:szCs w:val="24"/>
        </w:rPr>
      </w:pPr>
      <w:r w:rsidRPr="00B913F1">
        <w:rPr>
          <w:rFonts w:ascii="Times New Roman" w:hAnsi="Times New Roman" w:cs="Times New Roman"/>
          <w:sz w:val="24"/>
          <w:szCs w:val="24"/>
        </w:rPr>
        <w:t>When integrated with trace-element tectonic discrimination results, the REE characteristics confirm that the Igarra syenites were not products of anorogenic or within-plate magmatism, but rather formed in a transitional syn- to post-collisional setting associated with the waning stages of Pan-African convergence. These syenites thus record an important episode of enriched mantle input and crust–mantle interaction during orogenic collapse, contributing to a more complete understanding of late Pan-African magmatism and its geodynamic significance within the Nigerian Basement Complex.</w:t>
      </w:r>
    </w:p>
    <w:p w14:paraId="39F47B40" w14:textId="77777777"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Data availability</w:t>
      </w:r>
    </w:p>
    <w:p w14:paraId="732907A9" w14:textId="77777777"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The datasets generated and analysed during the current study are available from the corresponding author on reasonable request. </w:t>
      </w:r>
    </w:p>
    <w:p w14:paraId="0817CE31" w14:textId="77777777"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Declarations </w:t>
      </w:r>
    </w:p>
    <w:p w14:paraId="144DE194" w14:textId="77777777"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Ethics approval and consent to participate </w:t>
      </w:r>
    </w:p>
    <w:p w14:paraId="0AD3B1F3" w14:textId="77777777" w:rsidR="0026267F" w:rsidRPr="0026267F"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 xml:space="preserve">This study did not involve human participants or animals, and therefore, ethical approval was not required. All fieldwork and sample collection were conducted in accordance with standard institutional and environmental guidelines. Not applicable, as this study did not involve human participants. </w:t>
      </w:r>
    </w:p>
    <w:p w14:paraId="765E802E" w14:textId="77777777"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t xml:space="preserve">Consent to publication </w:t>
      </w:r>
    </w:p>
    <w:p w14:paraId="22685ACD" w14:textId="77777777" w:rsidR="0026267F" w:rsidRDefault="0026267F" w:rsidP="0026267F">
      <w:pPr>
        <w:rPr>
          <w:rFonts w:ascii="Times New Roman" w:hAnsi="Times New Roman" w:cs="Times New Roman"/>
          <w:sz w:val="24"/>
          <w:szCs w:val="24"/>
        </w:rPr>
      </w:pPr>
      <w:r>
        <w:rPr>
          <w:rFonts w:ascii="Times New Roman" w:hAnsi="Times New Roman" w:cs="Times New Roman"/>
          <w:sz w:val="24"/>
          <w:szCs w:val="24"/>
        </w:rPr>
        <w:t xml:space="preserve">The author gives </w:t>
      </w:r>
      <w:r w:rsidRPr="0026267F">
        <w:rPr>
          <w:rFonts w:ascii="Times New Roman" w:hAnsi="Times New Roman" w:cs="Times New Roman"/>
          <w:sz w:val="24"/>
          <w:szCs w:val="24"/>
        </w:rPr>
        <w:t xml:space="preserve">consent </w:t>
      </w:r>
      <w:r>
        <w:rPr>
          <w:rFonts w:ascii="Times New Roman" w:hAnsi="Times New Roman" w:cs="Times New Roman"/>
          <w:sz w:val="24"/>
          <w:szCs w:val="24"/>
        </w:rPr>
        <w:t>to publish the work</w:t>
      </w:r>
      <w:r w:rsidRPr="0026267F">
        <w:rPr>
          <w:rFonts w:ascii="Times New Roman" w:hAnsi="Times New Roman" w:cs="Times New Roman"/>
          <w:sz w:val="24"/>
          <w:szCs w:val="24"/>
        </w:rPr>
        <w:t xml:space="preserve">. </w:t>
      </w:r>
    </w:p>
    <w:p w14:paraId="18702824" w14:textId="77777777" w:rsidR="0026267F" w:rsidRPr="0026267F" w:rsidRDefault="0026267F" w:rsidP="0026267F">
      <w:pPr>
        <w:rPr>
          <w:rFonts w:ascii="Times New Roman" w:hAnsi="Times New Roman" w:cs="Times New Roman"/>
          <w:b/>
          <w:i/>
          <w:sz w:val="24"/>
          <w:szCs w:val="24"/>
        </w:rPr>
      </w:pPr>
      <w:r w:rsidRPr="0026267F">
        <w:rPr>
          <w:rFonts w:ascii="Times New Roman" w:hAnsi="Times New Roman" w:cs="Times New Roman"/>
          <w:b/>
          <w:i/>
          <w:sz w:val="24"/>
          <w:szCs w:val="24"/>
        </w:rPr>
        <w:lastRenderedPageBreak/>
        <w:t xml:space="preserve">Competing interests </w:t>
      </w:r>
    </w:p>
    <w:p w14:paraId="21C0B35D" w14:textId="77777777" w:rsidR="00C7212A" w:rsidRPr="00EB6452" w:rsidRDefault="0026267F" w:rsidP="0026267F">
      <w:pPr>
        <w:rPr>
          <w:rFonts w:ascii="Times New Roman" w:hAnsi="Times New Roman" w:cs="Times New Roman"/>
          <w:sz w:val="24"/>
          <w:szCs w:val="24"/>
        </w:rPr>
      </w:pPr>
      <w:r w:rsidRPr="0026267F">
        <w:rPr>
          <w:rFonts w:ascii="Times New Roman" w:hAnsi="Times New Roman" w:cs="Times New Roman"/>
          <w:sz w:val="24"/>
          <w:szCs w:val="24"/>
        </w:rPr>
        <w:t>Th</w:t>
      </w:r>
      <w:r w:rsidR="009041D8">
        <w:rPr>
          <w:rFonts w:ascii="Times New Roman" w:hAnsi="Times New Roman" w:cs="Times New Roman"/>
          <w:sz w:val="24"/>
          <w:szCs w:val="24"/>
        </w:rPr>
        <w:t>e author</w:t>
      </w:r>
      <w:r>
        <w:rPr>
          <w:rFonts w:ascii="Times New Roman" w:hAnsi="Times New Roman" w:cs="Times New Roman"/>
          <w:sz w:val="24"/>
          <w:szCs w:val="24"/>
        </w:rPr>
        <w:t xml:space="preserve"> declare</w:t>
      </w:r>
      <w:r w:rsidR="009041D8">
        <w:rPr>
          <w:rFonts w:ascii="Times New Roman" w:hAnsi="Times New Roman" w:cs="Times New Roman"/>
          <w:sz w:val="24"/>
          <w:szCs w:val="24"/>
        </w:rPr>
        <w:t>s</w:t>
      </w:r>
      <w:r>
        <w:rPr>
          <w:rFonts w:ascii="Times New Roman" w:hAnsi="Times New Roman" w:cs="Times New Roman"/>
          <w:sz w:val="24"/>
          <w:szCs w:val="24"/>
        </w:rPr>
        <w:t xml:space="preserve"> no competing </w:t>
      </w:r>
      <w:r w:rsidRPr="0026267F">
        <w:rPr>
          <w:rFonts w:ascii="Times New Roman" w:hAnsi="Times New Roman" w:cs="Times New Roman"/>
          <w:sz w:val="24"/>
          <w:szCs w:val="24"/>
        </w:rPr>
        <w:t>interests</w:t>
      </w:r>
    </w:p>
    <w:p w14:paraId="78ADB8CB" w14:textId="77777777" w:rsidR="007217FB" w:rsidRPr="00EB6452" w:rsidRDefault="007217FB" w:rsidP="00C7212A">
      <w:pPr>
        <w:rPr>
          <w:rFonts w:ascii="Times New Roman" w:hAnsi="Times New Roman" w:cs="Times New Roman"/>
          <w:sz w:val="24"/>
          <w:szCs w:val="24"/>
        </w:rPr>
      </w:pPr>
    </w:p>
    <w:p w14:paraId="3B9744EC" w14:textId="77777777" w:rsidR="007217FB" w:rsidRPr="004B4914" w:rsidRDefault="007217FB" w:rsidP="00C7212A">
      <w:pPr>
        <w:rPr>
          <w:rFonts w:ascii="Times New Roman" w:hAnsi="Times New Roman" w:cs="Times New Roman"/>
          <w:b/>
          <w:sz w:val="24"/>
          <w:szCs w:val="24"/>
        </w:rPr>
      </w:pPr>
      <w:r w:rsidRPr="004B4914">
        <w:rPr>
          <w:rFonts w:ascii="Times New Roman" w:hAnsi="Times New Roman" w:cs="Times New Roman"/>
          <w:b/>
          <w:sz w:val="24"/>
          <w:szCs w:val="24"/>
        </w:rPr>
        <w:t>References</w:t>
      </w:r>
    </w:p>
    <w:p w14:paraId="353BF145"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Adamu, L. M., Lekdukun, M. O., Adesina, D. A., Emmanuel, A. U., Ibrah, S. O., &amp; Adamu, N. (2024). Geology, Petrology and Geochemistry of the Basement Rocks around Ihima, Southwestern Basement Complex, Nigeria. World Scientific News, 190(2), 70-100.</w:t>
      </w:r>
    </w:p>
    <w:p w14:paraId="57A3AE3F"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Adeoti, B., &amp; Okonkwo, C. T. (2016). Structural geology of the basement complex rocks in Iwaraja Area, Southwestern Nigeria. International Letters of Natural Sciences, (58).</w:t>
      </w:r>
    </w:p>
    <w:p w14:paraId="3D6079FC"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Adepoju, M. O., Odeyemi, I. B., &amp; Akinluyi, F. O. (2021). Landsat-8 lineament analysis for detection of epigenetic mineralization zones in parts of Igarra Schist Belt, Southwestern Nigeria. Remote Sensing in Earth Systems Sciences, 4(1), 76-86.</w:t>
      </w:r>
    </w:p>
    <w:p w14:paraId="39347CE2"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Agoha, C. C., Adejuwon, B. B., Mgbeojedo, T. I., Onwubuariri, C. N., Akiang, F. B., Ibeneme, S. I., ... &amp; Njoku, J. O. (2022). Natural radioactivity assessment and geophysical interpretation of parts of Igarra area, Southern Nigeria. Environmental Monitoring and Assessment, 194(6), 438.</w:t>
      </w:r>
    </w:p>
    <w:p w14:paraId="2DA7B6C1" w14:textId="77777777"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Akpan, A. E., Ekwueme, B. N., &amp; Ephraim, B. E. (2023). Tectonic setting of the syenite around Igarra, southwestern Nigeria: Constraints from geochemistry. Journal of the Nigerian Society of Physical Sciences, 5(1), 999. </w:t>
      </w:r>
      <w:hyperlink r:id="rId23" w:history="1">
        <w:r w:rsidR="00EE2400" w:rsidRPr="00D53E9E">
          <w:rPr>
            <w:rStyle w:val="Hyperlink"/>
            <w:rFonts w:ascii="Times New Roman" w:hAnsi="Times New Roman" w:cs="Times New Roman"/>
            <w:sz w:val="24"/>
            <w:szCs w:val="24"/>
          </w:rPr>
          <w:t>https://doi.org/10.46481/jnsps.2023.999</w:t>
        </w:r>
      </w:hyperlink>
    </w:p>
    <w:p w14:paraId="161ADCFD" w14:textId="77777777"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Alpaslan, M., Guezou, J.-C., Boztuğ, D., &amp; Temel, A. (2025). Geochemical and Pb-Sr-Nd isotopic constraints indicating an enriched-mantle source for Late Cretaceous to Early Tertiary volcanism, Central Anatolia, Turkey. International Geology Review, 67(3), 1025–1042. https://doi.org/10.1080/00206814.2025.2381090</w:t>
      </w:r>
    </w:p>
    <w:p w14:paraId="1F9C8558"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Aulbach, S., Marras, G., Stagno, V., &amp; Mikhailenko, D. S. (2022). Fe³⁺ distribution and Fe³⁺/ΣFe-oxygen fugacity variations in kimberlite-borne eclogite xenoliths, with comments on clinopyroxene-garnet oxy-thermobarometry. Journal of Petrology, 63(8), egac076. https://doi.org/10.1093/petrology/egac076</w:t>
      </w:r>
    </w:p>
    <w:p w14:paraId="52B4339F"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Aulbach, S., Marras, G., Stagno, V., &amp; Mikhailenko, D. S. (2022). Fe³⁺ distribution and Fe³⁺/ΣFe-oxygen fugacity variations in kimberlite-borne eclogite xenoliths, with comments on clinopyroxene-garnet oxy-thermobarometry. Journal of Petrology, 63(8), egac076. https://doi.org/10.1093/petrology/egac076</w:t>
      </w:r>
    </w:p>
    <w:p w14:paraId="662D2C82"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Batchelor, R.A. and Bowden, P. (1985) Petrogenetic Interpretation of Granitoid Rock Series Using Multicationic Parameters. Chemical Geology, 48, 43-55. http://dx.doi.org/10.1016/0009-2541(85) 90034-8 </w:t>
      </w:r>
    </w:p>
    <w:p w14:paraId="6E115795"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Belts, S., Nigeria, N., Oluyede, K., Garba, I., Danbatta, U., Ogunleye, P., &amp; Klötzli, U. (2024). Origin and Geological Setting. Geology and Natural Resources of Nigeria, 124.</w:t>
      </w:r>
    </w:p>
    <w:p w14:paraId="2A59DF99"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Benali, H., &amp; Cherfi, Y. (2024). Syenite hosted-REE mineralization in the Ediacaran Tioueine granitoid ring-complex, western Hoggar (Tuareg shield), southern Algeria. Journal of African Earth Sciences, 212, 105-121. https://doi.org/10.1016/j.jafrearsci.2024.105121</w:t>
      </w:r>
    </w:p>
    <w:p w14:paraId="54E3BCC8"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Bolarinwa, A. T. (2023). Geochemistry of weathered profiles over syenite and younger granite in Pankshin area, north central Nigeria. Earth Science Research, 12(1). https://doi.org/10.5539/esr.v12n1p1</w:t>
      </w:r>
    </w:p>
    <w:p w14:paraId="3FCE3A72"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Bolhar, R., Maghdour-Mashhour, R., Milani, L., Mondal, S., O'Sullivan, G. J., Klemd, R., &amp; Chang, Q. (2025). Petrogenesis of syenites at Phalaborwa, Kaapvaal Craton:(isotope) geochemical, modelling and age constraints. Chemical Geology, 123202.</w:t>
      </w:r>
    </w:p>
    <w:p w14:paraId="65A4EF91"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Brooks, K. (2024). Syenites. Geology Today, 40(2), 72-78.</w:t>
      </w:r>
    </w:p>
    <w:p w14:paraId="03878ACF"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Chappell, B. W., &amp; Wyborn, D. (2024). Origin of I-type and S-type granites: A review of 50 years of the I-S classification. Australian Journal of Earth Sciences, 71(2), 145–168. https://doi.org/10.1080/08120099.2023.2245678</w:t>
      </w:r>
    </w:p>
    <w:p w14:paraId="01E4E7B7"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Cox, K. G., Bell, J. D., Pankhurst, R. J. (1979). The Interpretation of Igneous Rocks. Allen and Unwin, London, 450 p. http://dx.doi.org/10.1007/978-94-017-3373-1</w:t>
      </w:r>
    </w:p>
    <w:p w14:paraId="459A1A04" w14:textId="77777777"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Damdinov, B. B., Damdinova, L. B., &amp; Tugutova, S. Z. (2022). Rare Earth–Uranium–Thorium Mineralization in the Molybdenum Ores of the Buluktaevskoe Mo–W Deposit (Western Transbaikalia, Russia). Geology of Ore Deposits, 64(5), 300-312.</w:t>
      </w:r>
    </w:p>
    <w:p w14:paraId="43E4F0AF" w14:textId="77777777" w:rsidR="00881DDB" w:rsidRPr="00881DDB" w:rsidRDefault="00881DDB" w:rsidP="00881DDB">
      <w:pPr>
        <w:rPr>
          <w:rFonts w:ascii="Times New Roman" w:hAnsi="Times New Roman" w:cs="Times New Roman"/>
          <w:sz w:val="24"/>
          <w:szCs w:val="24"/>
        </w:rPr>
      </w:pPr>
      <w:r w:rsidRPr="00881DDB">
        <w:rPr>
          <w:rFonts w:ascii="Times New Roman" w:hAnsi="Times New Roman" w:cs="Times New Roman"/>
          <w:sz w:val="24"/>
          <w:szCs w:val="24"/>
        </w:rPr>
        <w:t xml:space="preserve">De la Roche, H., Leterrier, J., Grandclaude, P. and Marchal, M. (1980) A Classification of Volcanic and Plutonic Rocks Using R1-R2 Diagrams and Major Element Analyses—Its Relationships with Current Nomenclature. Chemical Geology, 29, 183-210. </w:t>
      </w:r>
      <w:hyperlink r:id="rId24" w:history="1">
        <w:r w:rsidRPr="00120C62">
          <w:rPr>
            <w:rStyle w:val="Hyperlink"/>
            <w:rFonts w:ascii="Times New Roman" w:hAnsi="Times New Roman" w:cs="Times New Roman"/>
            <w:sz w:val="24"/>
            <w:szCs w:val="24"/>
          </w:rPr>
          <w:t>http://dx.doi.org/10.1016/0009-2541(80)90020-0</w:t>
        </w:r>
      </w:hyperlink>
      <w:r>
        <w:rPr>
          <w:rFonts w:ascii="Times New Roman" w:hAnsi="Times New Roman" w:cs="Times New Roman"/>
          <w:sz w:val="24"/>
          <w:szCs w:val="24"/>
        </w:rPr>
        <w:t xml:space="preserve"> </w:t>
      </w:r>
    </w:p>
    <w:p w14:paraId="40F24343"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Dubé, B., &amp; Mercier-Langevin, P. (2020). Gold deposits of the Archean Abitibi greenstone belt, Canada.</w:t>
      </w:r>
    </w:p>
    <w:p w14:paraId="290B4B71"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Frost, B.R. and Frost, C.D. (2008) A Geochemical Classification for Feldspathic Igneous Rocks. Journal of Petrology, 49, 1955-1969. http://dx.doi.org/10.1093/petrology/egn054 </w:t>
      </w:r>
    </w:p>
    <w:p w14:paraId="3159E952"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Hastie, A.R., Kerr, A.C., Pearce, J.A. and Mitchell, S.F. (2007) Classification of Altered Volcanic Island Arc Rocks using Immobile Trace Elements: Development of the Th-Co Discrimination Diagram. Journal of Petrology, 48, 2341-2357. </w:t>
      </w:r>
      <w:hyperlink r:id="rId25" w:history="1">
        <w:r w:rsidR="00CA355B" w:rsidRPr="00EB6452">
          <w:rPr>
            <w:rStyle w:val="Hyperlink"/>
            <w:rFonts w:ascii="Times New Roman" w:hAnsi="Times New Roman" w:cs="Times New Roman"/>
            <w:sz w:val="24"/>
            <w:szCs w:val="24"/>
          </w:rPr>
          <w:t>https://doi.org/10.1093/petrology/egm062</w:t>
        </w:r>
      </w:hyperlink>
      <w:r w:rsidR="00CA355B" w:rsidRPr="00EB6452">
        <w:rPr>
          <w:rFonts w:ascii="Times New Roman" w:hAnsi="Times New Roman" w:cs="Times New Roman"/>
          <w:sz w:val="24"/>
          <w:szCs w:val="24"/>
        </w:rPr>
        <w:t xml:space="preserve"> </w:t>
      </w:r>
    </w:p>
    <w:p w14:paraId="6158BC43" w14:textId="77777777" w:rsidR="00CA355B" w:rsidRPr="00EB6452" w:rsidRDefault="00CA355B" w:rsidP="007217FB">
      <w:pPr>
        <w:rPr>
          <w:rFonts w:ascii="Times New Roman" w:hAnsi="Times New Roman" w:cs="Times New Roman"/>
          <w:sz w:val="24"/>
          <w:szCs w:val="24"/>
        </w:rPr>
      </w:pPr>
      <w:r w:rsidRPr="00EB6452">
        <w:rPr>
          <w:rFonts w:ascii="Times New Roman" w:hAnsi="Times New Roman" w:cs="Times New Roman"/>
          <w:sz w:val="24"/>
          <w:szCs w:val="24"/>
        </w:rPr>
        <w:t>Igonor, E. E., Daramola, S.O. and Oladipupo, K.J, (2023). Petrogenetic characterisation of Pan-African Granitoids within FUTA, southwest Nigeria: Mesoscopical, Mineralogical and Geochemical evaluation, Journ. Earth and Atm. Sci. 6(1), 43-60.</w:t>
      </w:r>
    </w:p>
    <w:p w14:paraId="243B4F80"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Keshavarzi, R. , Esmaili, D. , Kahkhaei, M. , Mokhtari, M. and Kordlou, M. (2014) Mineral Chemistry and Magmatic Differentiation Evidences in the Neshveh Intrusion (NW Saveh, Central Iran). Open Journal of Geology, 4, 262-288. doi: 10.4236/ojg.2014.46020.</w:t>
      </w:r>
    </w:p>
    <w:p w14:paraId="1265B054"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Lawal, M., Mohammed, M. A., &amp; Alalade, K. A. (2025). Geology of basement complex rocks in Kabo area, Kano, northwestern Nigeria: Insights into the trends of mineralization in the region. International Journal of Science for Global Sustainability, 11(1).</w:t>
      </w:r>
    </w:p>
    <w:p w14:paraId="622A3D49" w14:textId="77777777" w:rsidR="00EE2400"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Li, X., Wang, Q., Zhang, C., &amp; Dan, W. (2022). Identifying crystal accumulation and melt extraction during formation of high-silica granite. Geology, 50(2), 216–220. </w:t>
      </w:r>
      <w:hyperlink r:id="rId26" w:history="1">
        <w:r w:rsidRPr="00D53E9E">
          <w:rPr>
            <w:rStyle w:val="Hyperlink"/>
            <w:rFonts w:ascii="Times New Roman" w:hAnsi="Times New Roman" w:cs="Times New Roman"/>
            <w:sz w:val="24"/>
            <w:szCs w:val="24"/>
          </w:rPr>
          <w:t>https://doi.org/10.1130/G49424.1</w:t>
        </w:r>
      </w:hyperlink>
    </w:p>
    <w:p w14:paraId="097E1142" w14:textId="77777777" w:rsidR="00EE2400"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Li, J., Zhang, H., &amp; Wang, C. (2024). Mineral textures and chemistry trace the origin and transcrustal evolution of the Sanyuangou syenite in southern North China Craton. Journal of Petrology, 65(6), egae056. </w:t>
      </w:r>
      <w:hyperlink r:id="rId27" w:history="1">
        <w:r w:rsidR="00EE2400" w:rsidRPr="00D53E9E">
          <w:rPr>
            <w:rStyle w:val="Hyperlink"/>
            <w:rFonts w:ascii="Times New Roman" w:hAnsi="Times New Roman" w:cs="Times New Roman"/>
            <w:sz w:val="24"/>
            <w:szCs w:val="24"/>
          </w:rPr>
          <w:t>https://doi.org/10.1093/petrology/egae056</w:t>
        </w:r>
      </w:hyperlink>
    </w:p>
    <w:p w14:paraId="4468CE7E"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Marxer, K., Ulmer, P., &amp; Müntener, O. (2025). The role of oxygen fugacity in hydrous basaltic phase equilibria: Experimental constraints at 0.2 and 0.8 GPa. Contributions to Mineralogy and Petrology, 180(11), Article 82. https://doi.org/10.1007/s00410-025-02189-x</w:t>
      </w:r>
    </w:p>
    <w:p w14:paraId="03C6967D"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Mathieu, L., Estrade, G., Miranda, M., Laurent, O., &amp; Grégoire, M. (2025). Crystallization conditions and magmatic–hydrothermal evolution of syenite dykes spatially associated with gold mineralization: the example of the Dolodau syenite–carbonatite complex, Abitibi greenstone belt. Canadian journal of earth sciences, 62(6), 1062-1087.</w:t>
      </w:r>
    </w:p>
    <w:p w14:paraId="7487DD4C"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Middlemost, E.A.K. (1994) Naming Materials in the Magma/Igneous Rock System. Earth-Science Reviews, 37, 215-224.</w:t>
      </w:r>
    </w:p>
    <w:p w14:paraId="1B41AD0A"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 xml:space="preserve">Miyashiro, A. (1974) Volcanic Rock Series in Island Arcs and Active Continental Margins. American Journal of Science, 274, 321-355. https://doi.org/10.2475/ajs.274.4.321 </w:t>
      </w:r>
    </w:p>
    <w:p w14:paraId="419818FF"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Obaje, N. G. (2009). The basement complex. In Geology and Mineral Resources of Nigeria (pp. 13-30). Berlin, Heidelberg: Springer Berlin Heidelberg.</w:t>
      </w:r>
    </w:p>
    <w:p w14:paraId="0303C99B"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Ogbe, O. B., Olobaniyi, S. B., Ejeh, O. I., Omo-Irabor, O. O., Osokpor, J., Ocheli, A., &amp; Overare, B. (2018). Petrological and structural investigation of rocks around Igarra, Southwestern Nigeria. Ife Journal of Science, 20(3), 663-677.</w:t>
      </w:r>
    </w:p>
    <w:p w14:paraId="4359E00D"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Ominigbo, O. E. (2022). Evolution of the Nigerian basement complex: current status and suggestions for future research. Journal of mining and Geology, 58(1), 229-236.</w:t>
      </w:r>
    </w:p>
    <w:p w14:paraId="69F53B06"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Oyebamiji, A., Akinola, O., Olaolorun, O., Abdu-Raheem, Y., Adeoye, A., &amp; Oguntuase, M. (2024). Geochemistry, petrogenesis and geological implication of granitic rocks in Igarra area, southwestern Nigeria. Applied Earth Science, 133(3), 174-189.</w:t>
      </w:r>
    </w:p>
    <w:p w14:paraId="7FE64006"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Pearce, J.A., Harris, N.B.W. and Tindle, A.G. (1984) Trace Element Discrimination Diagrams for the Tectonic Interpretation of Granitic Rocks. Journal of Petrology, 25, 956-983. http://dx.doi.org/10.1093/petrology/25.4.956</w:t>
      </w:r>
    </w:p>
    <w:p w14:paraId="3F332722"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Province, G., Ashano, E. C., &amp; Olasehinde, A. (2024). The Nigerian Younger. Geology and Natural Resources of Nigeria, 80.</w:t>
      </w:r>
    </w:p>
    <w:p w14:paraId="28710E0F" w14:textId="77777777"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Salazar-Naranjo, A. F., &amp; Vlach, S. R. F. (2018). On the crystallization conditions of the Neoproterozoic, high-K calc-alkaline, Bragança Paulista-type magmatism, southern Brasília Orogen, SE Brazil. Brazilian Journal of Geology, 48, 631-650.</w:t>
      </w:r>
    </w:p>
    <w:p w14:paraId="14350C99" w14:textId="77777777" w:rsidR="004B4914" w:rsidRPr="00EB6452" w:rsidRDefault="004B4914" w:rsidP="007217FB">
      <w:pPr>
        <w:rPr>
          <w:rFonts w:ascii="Times New Roman" w:hAnsi="Times New Roman" w:cs="Times New Roman"/>
          <w:sz w:val="24"/>
          <w:szCs w:val="24"/>
        </w:rPr>
      </w:pPr>
      <w:r w:rsidRPr="004B4914">
        <w:rPr>
          <w:rFonts w:ascii="Times New Roman" w:hAnsi="Times New Roman" w:cs="Times New Roman"/>
          <w:sz w:val="24"/>
          <w:szCs w:val="24"/>
        </w:rPr>
        <w:t>Shand, S.J. (1943) Eruptive Rocks. Their Genesis Composition. Classification, and Their Relation to Ore-Deposits with a Chapter on Meteorit</w:t>
      </w:r>
      <w:r>
        <w:rPr>
          <w:rFonts w:ascii="Times New Roman" w:hAnsi="Times New Roman" w:cs="Times New Roman"/>
          <w:sz w:val="24"/>
          <w:szCs w:val="24"/>
        </w:rPr>
        <w:t>e. John Wiley &amp; Sons, New York.</w:t>
      </w:r>
    </w:p>
    <w:p w14:paraId="5231176F" w14:textId="77777777" w:rsidR="007217FB"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Sorokina, E. S., Botcharnikov, R. E., Kostitsyn, Y. A., Rösel, D., Häger, T., Rassomakhin, M. A., ... &amp; Hofmeister, W. (2021). Sapphire-bearing magmatic rocks trace the boundary between paleo-continents: A case study of Ilmenogorsky alkaline complex, Uralian collision zone of Russia. Gondwana research, 92, 239-252.</w:t>
      </w:r>
    </w:p>
    <w:p w14:paraId="405CCC99" w14:textId="77777777" w:rsidR="00EE2400" w:rsidRPr="00EB6452" w:rsidRDefault="00EE2400" w:rsidP="007217FB">
      <w:pPr>
        <w:rPr>
          <w:rFonts w:ascii="Times New Roman" w:hAnsi="Times New Roman" w:cs="Times New Roman"/>
          <w:sz w:val="24"/>
          <w:szCs w:val="24"/>
        </w:rPr>
      </w:pPr>
      <w:r w:rsidRPr="00EE2400">
        <w:rPr>
          <w:rFonts w:ascii="Times New Roman" w:hAnsi="Times New Roman" w:cs="Times New Roman"/>
          <w:sz w:val="24"/>
          <w:szCs w:val="24"/>
        </w:rPr>
        <w:t xml:space="preserve">Sun, J., Liu, C.-Z., Dick, H. J. B., &amp; Zhang, C. (2025). The mantle source of REE-rich alkaline silicate magmas can be enriched by continent-derived sediment subduction. Nature Communications, 16(1), Article 11191. </w:t>
      </w:r>
      <w:hyperlink r:id="rId28" w:history="1">
        <w:r w:rsidRPr="00D53E9E">
          <w:rPr>
            <w:rStyle w:val="Hyperlink"/>
            <w:rFonts w:ascii="Times New Roman" w:hAnsi="Times New Roman" w:cs="Times New Roman"/>
            <w:sz w:val="24"/>
            <w:szCs w:val="24"/>
          </w:rPr>
          <w:t>https://doi.org/10.1038/s41467-025-54321-x</w:t>
        </w:r>
      </w:hyperlink>
      <w:r>
        <w:rPr>
          <w:rFonts w:ascii="Times New Roman" w:hAnsi="Times New Roman" w:cs="Times New Roman"/>
          <w:sz w:val="24"/>
          <w:szCs w:val="24"/>
        </w:rPr>
        <w:t xml:space="preserve"> </w:t>
      </w:r>
    </w:p>
    <w:p w14:paraId="4321EA2A"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Tang, M., Chu, X., Hao, J., &amp; Shen, B. (2021). Orogenic iron cycle and the evolution of atmospheric oxygen. Proceedings of the National Academy of Sciences (PNAS), 118(13), e2017297118. https://doi.org/10.1073/pnas.2017297118</w:t>
      </w:r>
    </w:p>
    <w:p w14:paraId="07212C45"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Udı, E. M., Imasuen, O. I., Avwenagha, E. O., &amp; Odokuma-Alonge, O. I. (2023). Examination of the Pan–African Orogeny: Implications on the Architecture of Basement Rocks in Igarra, Southwestern Nigeria. International Journal of Earth Sciences Knowledge and Applications, 5(1), 92-102.</w:t>
      </w:r>
    </w:p>
    <w:p w14:paraId="1EAC12D5" w14:textId="77777777" w:rsidR="00CA355B" w:rsidRPr="00EB6452" w:rsidRDefault="00CA355B" w:rsidP="007217FB">
      <w:pPr>
        <w:rPr>
          <w:rFonts w:ascii="Times New Roman" w:hAnsi="Times New Roman" w:cs="Times New Roman"/>
          <w:sz w:val="24"/>
          <w:szCs w:val="24"/>
        </w:rPr>
      </w:pPr>
      <w:r w:rsidRPr="00EB6452">
        <w:rPr>
          <w:rFonts w:ascii="Times New Roman" w:hAnsi="Times New Roman" w:cs="Times New Roman"/>
          <w:sz w:val="24"/>
          <w:szCs w:val="24"/>
        </w:rPr>
        <w:t>Udimwen, E., (2017) “Paleostress configuration of Pan-African orogeny: evidence from Igarra Schist Belt, SW Nigeria”, Iranian Journal of Earth Sciences 9, 85.</w:t>
      </w:r>
    </w:p>
    <w:p w14:paraId="4A5B3EF5"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Ugbe, F. C., Ominigbo, O. E., &amp; Akano, A. O. (2023). Tectonic Setting of the Syenite Around Igarra, Southwestern Nigeria: Constraints from Geochemistry. Journal of the Nigerian Society of Physical Sciences, 999-999.</w:t>
      </w:r>
    </w:p>
    <w:p w14:paraId="298B2515" w14:textId="77777777" w:rsidR="00970415" w:rsidRPr="00970415" w:rsidRDefault="007217FB" w:rsidP="007217FB">
      <w:pPr>
        <w:rPr>
          <w:rFonts w:ascii="Times New Roman" w:hAnsi="Times New Roman" w:cs="Times New Roman"/>
          <w:color w:val="0563C1" w:themeColor="hyperlink"/>
          <w:sz w:val="24"/>
          <w:szCs w:val="24"/>
          <w:u w:val="single"/>
        </w:rPr>
      </w:pPr>
      <w:r w:rsidRPr="00EB6452">
        <w:rPr>
          <w:rFonts w:ascii="Times New Roman" w:hAnsi="Times New Roman" w:cs="Times New Roman"/>
          <w:sz w:val="24"/>
          <w:szCs w:val="24"/>
        </w:rPr>
        <w:t xml:space="preserve">Verplanck, P. L., &amp; Hitzman, M. W. (2025). Rare earth mineralization in igneous rocks: Sources and processes. Journal of Geochemical Exploration, 264, 107-128. </w:t>
      </w:r>
      <w:hyperlink r:id="rId29" w:history="1">
        <w:r w:rsidR="00A33F16" w:rsidRPr="00120C62">
          <w:rPr>
            <w:rStyle w:val="Hyperlink"/>
            <w:rFonts w:ascii="Times New Roman" w:hAnsi="Times New Roman" w:cs="Times New Roman"/>
            <w:sz w:val="24"/>
            <w:szCs w:val="24"/>
          </w:rPr>
          <w:t>https://doi.org/10.1016/j.gexplo.2024.107128</w:t>
        </w:r>
      </w:hyperlink>
    </w:p>
    <w:p w14:paraId="5A1A5591" w14:textId="77777777" w:rsidR="00A33F16" w:rsidRPr="00EB6452" w:rsidRDefault="00A33F16" w:rsidP="007217FB">
      <w:pPr>
        <w:rPr>
          <w:rFonts w:ascii="Times New Roman" w:hAnsi="Times New Roman" w:cs="Times New Roman"/>
          <w:sz w:val="24"/>
          <w:szCs w:val="24"/>
        </w:rPr>
      </w:pPr>
      <w:r w:rsidRPr="00A33F16">
        <w:rPr>
          <w:rFonts w:ascii="Times New Roman" w:hAnsi="Times New Roman" w:cs="Times New Roman"/>
          <w:sz w:val="24"/>
          <w:szCs w:val="24"/>
        </w:rPr>
        <w:t>Villaseca, C., Barbero, L. and Herreros, V. (1998) A Re-Examination of the Typology of Peraluminous Granite Types in Intracontinental Orogenic Belts. Transactions of the Royal Society of Edinburgh. Earth Sciences, 89, 113-119.</w:t>
      </w:r>
    </w:p>
    <w:p w14:paraId="3F518BB2"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Wang, H., Tang, Y., Xu, Y. S., Zhang, H., Lv, Z. H., Qin, S. X., &amp; Song, Y. W. (2021). Textures and Chemical Compositions of Nb-Bearing Minerals and Nb Mineralization in the Shuangshan Nepheline Syenite Pluton, East Qinling, China. Minerals, 11(11), 1163.</w:t>
      </w:r>
    </w:p>
    <w:p w14:paraId="3668F458"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Wang, P., Yang, G., Zhuang, Y., &amp; Li, H. (2025). Petrogenesis of Late Miocene high Ba–Sr granitoids in Eastern Pamir, Northwest Tibetan Plateau: Insights into lithospheric mantle evolution and geodynamic processes during India–Asia bidirectional subduction. Journal of Petrology, 66(4), egad091. https://doi.org/10.1093/petrology/egad091</w:t>
      </w:r>
    </w:p>
    <w:p w14:paraId="7372B526"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lastRenderedPageBreak/>
        <w:t>Watts, K. E., &amp; Miller, J. S. (2024). Mafic alkaline magmatism and rare earth element mineralization in the Mojave Desert, California: The Bobcat Hills connection to Mountain Pass. Geochemistry, Geophysics, Geosystems, 25(2), e2023GC011253. https://doi.org/10.1029/2023GC011253</w:t>
      </w:r>
    </w:p>
    <w:p w14:paraId="129C6333" w14:textId="77777777" w:rsidR="007217FB" w:rsidRPr="00EB6452" w:rsidRDefault="007217FB" w:rsidP="007217FB">
      <w:pPr>
        <w:rPr>
          <w:rFonts w:ascii="Times New Roman" w:hAnsi="Times New Roman" w:cs="Times New Roman"/>
          <w:sz w:val="24"/>
          <w:szCs w:val="24"/>
        </w:rPr>
      </w:pPr>
      <w:r w:rsidRPr="00EB6452">
        <w:rPr>
          <w:rFonts w:ascii="Times New Roman" w:hAnsi="Times New Roman" w:cs="Times New Roman"/>
          <w:sz w:val="24"/>
          <w:szCs w:val="24"/>
        </w:rPr>
        <w:t>Yelwa, N. A., &amp; Shuaibu, A. M. (2024). Geology and geochemical characterization of basement rocks around Burumburum area, North Central Basement Complex, Nigeria. Science World Journal, 19(1), 142–155.</w:t>
      </w:r>
    </w:p>
    <w:sectPr w:rsidR="007217FB" w:rsidRPr="00EB6452">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Dipendu Bhushan Guha" w:date="2026-03-05T12:01:00Z" w:initials="DG">
    <w:p w14:paraId="4A873A10" w14:textId="330B64E4" w:rsidR="0038238D" w:rsidRDefault="0038238D">
      <w:pPr>
        <w:pStyle w:val="CommentText"/>
      </w:pPr>
      <w:r>
        <w:rPr>
          <w:rStyle w:val="CommentReference"/>
        </w:rPr>
        <w:annotationRef/>
      </w:r>
      <w:r w:rsidR="00A54E8E">
        <w:t>Anatexis</w:t>
      </w:r>
    </w:p>
  </w:comment>
  <w:comment w:id="1" w:author="Dipendu Bhushan Guha" w:date="2026-03-05T12:04:00Z" w:initials="DG">
    <w:p w14:paraId="50332610" w14:textId="68F461CA" w:rsidR="005B704F" w:rsidRDefault="005B704F">
      <w:pPr>
        <w:pStyle w:val="CommentText"/>
      </w:pPr>
      <w:r>
        <w:rPr>
          <w:rStyle w:val="CommentReference"/>
        </w:rPr>
        <w:annotationRef/>
      </w:r>
      <w:r w:rsidR="00870F5A">
        <w:t>Figure is mismatch. Miyashiro (1974) not provided.</w:t>
      </w:r>
    </w:p>
  </w:comment>
  <w:comment w:id="2" w:author="Dipendu Bhushan Guha" w:date="2026-03-05T12:06:00Z" w:initials="DG">
    <w:p w14:paraId="380B6821" w14:textId="759161A9" w:rsidR="0026552C" w:rsidRDefault="0026552C">
      <w:pPr>
        <w:pStyle w:val="CommentText"/>
      </w:pPr>
      <w:r>
        <w:rPr>
          <w:rStyle w:val="CommentReference"/>
        </w:rPr>
        <w:annotationRef/>
      </w:r>
      <w:r w:rsidR="00A971CC">
        <w:t>Text above describes something else.  Please provide appropriate figure 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A873A10" w15:done="0"/>
  <w15:commentEx w15:paraId="50332610" w15:done="0"/>
  <w15:commentEx w15:paraId="380B68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0E2666" w16cex:dateUtc="2026-03-05T06:31:00Z"/>
  <w16cex:commentExtensible w16cex:durableId="343793D5" w16cex:dateUtc="2026-03-05T06:34:00Z"/>
  <w16cex:commentExtensible w16cex:durableId="47B982A7" w16cex:dateUtc="2026-03-05T06: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A873A10" w16cid:durableId="640E2666"/>
  <w16cid:commentId w16cid:paraId="50332610" w16cid:durableId="343793D5"/>
  <w16cid:commentId w16cid:paraId="380B6821" w16cid:durableId="47B982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1D47FD" w14:textId="77777777" w:rsidR="00FD4948" w:rsidRDefault="00FD4948" w:rsidP="00C81275">
      <w:pPr>
        <w:spacing w:after="0" w:line="240" w:lineRule="auto"/>
      </w:pPr>
      <w:r>
        <w:separator/>
      </w:r>
    </w:p>
  </w:endnote>
  <w:endnote w:type="continuationSeparator" w:id="0">
    <w:p w14:paraId="03813299" w14:textId="77777777" w:rsidR="00FD4948" w:rsidRDefault="00FD4948" w:rsidP="00C81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503A0" w14:textId="77777777" w:rsidR="00C81275" w:rsidRDefault="00C812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4F95" w14:textId="77777777" w:rsidR="00C81275" w:rsidRDefault="00C812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09EF5" w14:textId="77777777" w:rsidR="00C81275" w:rsidRDefault="00C812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F91A9" w14:textId="77777777" w:rsidR="00FD4948" w:rsidRDefault="00FD4948" w:rsidP="00C81275">
      <w:pPr>
        <w:spacing w:after="0" w:line="240" w:lineRule="auto"/>
      </w:pPr>
      <w:r>
        <w:separator/>
      </w:r>
    </w:p>
  </w:footnote>
  <w:footnote w:type="continuationSeparator" w:id="0">
    <w:p w14:paraId="0A89B8D3" w14:textId="77777777" w:rsidR="00FD4948" w:rsidRDefault="00FD4948" w:rsidP="00C81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0C83" w14:textId="77777777" w:rsidR="00C81275" w:rsidRDefault="00000000">
    <w:pPr>
      <w:pStyle w:val="Header"/>
    </w:pPr>
    <w:r>
      <w:rPr>
        <w:noProof/>
      </w:rPr>
      <w:pict w14:anchorId="17D4EF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863283"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AC098" w14:textId="77777777" w:rsidR="00C81275" w:rsidRDefault="00000000">
    <w:pPr>
      <w:pStyle w:val="Header"/>
    </w:pPr>
    <w:r>
      <w:rPr>
        <w:noProof/>
      </w:rPr>
      <w:pict w14:anchorId="007B8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863284"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41460" w14:textId="77777777" w:rsidR="00C81275" w:rsidRDefault="00000000">
    <w:pPr>
      <w:pStyle w:val="Header"/>
    </w:pPr>
    <w:r>
      <w:rPr>
        <w:noProof/>
      </w:rPr>
      <w:pict w14:anchorId="416E9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863282"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ipendu Bhushan Guha">
    <w15:presenceInfo w15:providerId="Windows Live" w15:userId="39bcc1642e36d72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754"/>
    <w:rsid w:val="000025DA"/>
    <w:rsid w:val="0002186A"/>
    <w:rsid w:val="00022754"/>
    <w:rsid w:val="00070E70"/>
    <w:rsid w:val="00110C41"/>
    <w:rsid w:val="00130E82"/>
    <w:rsid w:val="0014507E"/>
    <w:rsid w:val="00156889"/>
    <w:rsid w:val="002008E4"/>
    <w:rsid w:val="00213097"/>
    <w:rsid w:val="0026267F"/>
    <w:rsid w:val="0026552C"/>
    <w:rsid w:val="002C2532"/>
    <w:rsid w:val="002C78A6"/>
    <w:rsid w:val="002D79C9"/>
    <w:rsid w:val="002F6BFA"/>
    <w:rsid w:val="003579FF"/>
    <w:rsid w:val="00362CCA"/>
    <w:rsid w:val="00366716"/>
    <w:rsid w:val="0038238D"/>
    <w:rsid w:val="003A516D"/>
    <w:rsid w:val="004B4914"/>
    <w:rsid w:val="004C0D4A"/>
    <w:rsid w:val="004C1B6D"/>
    <w:rsid w:val="004C37F8"/>
    <w:rsid w:val="00507E71"/>
    <w:rsid w:val="00515C00"/>
    <w:rsid w:val="00563366"/>
    <w:rsid w:val="00571D38"/>
    <w:rsid w:val="005B704F"/>
    <w:rsid w:val="005D4857"/>
    <w:rsid w:val="005E0811"/>
    <w:rsid w:val="006D01C5"/>
    <w:rsid w:val="007217FB"/>
    <w:rsid w:val="007B46FE"/>
    <w:rsid w:val="00870F5A"/>
    <w:rsid w:val="00881DDB"/>
    <w:rsid w:val="008A183D"/>
    <w:rsid w:val="008A789D"/>
    <w:rsid w:val="009041D8"/>
    <w:rsid w:val="009451CC"/>
    <w:rsid w:val="00967BC4"/>
    <w:rsid w:val="00970415"/>
    <w:rsid w:val="00997AEE"/>
    <w:rsid w:val="009A5B09"/>
    <w:rsid w:val="009E390A"/>
    <w:rsid w:val="00A24213"/>
    <w:rsid w:val="00A33F16"/>
    <w:rsid w:val="00A53E52"/>
    <w:rsid w:val="00A54E8E"/>
    <w:rsid w:val="00A64A3B"/>
    <w:rsid w:val="00A77B61"/>
    <w:rsid w:val="00A900A5"/>
    <w:rsid w:val="00A971CC"/>
    <w:rsid w:val="00B151E8"/>
    <w:rsid w:val="00B4386A"/>
    <w:rsid w:val="00B510D5"/>
    <w:rsid w:val="00B913F1"/>
    <w:rsid w:val="00BB74D8"/>
    <w:rsid w:val="00C2168A"/>
    <w:rsid w:val="00C7212A"/>
    <w:rsid w:val="00C81275"/>
    <w:rsid w:val="00CA355B"/>
    <w:rsid w:val="00D56B14"/>
    <w:rsid w:val="00D82C1A"/>
    <w:rsid w:val="00DD05B5"/>
    <w:rsid w:val="00E45CE0"/>
    <w:rsid w:val="00EB6452"/>
    <w:rsid w:val="00EE2400"/>
    <w:rsid w:val="00EF51F9"/>
    <w:rsid w:val="00EF6477"/>
    <w:rsid w:val="00F04C76"/>
    <w:rsid w:val="00FC6DB6"/>
    <w:rsid w:val="00FD4948"/>
    <w:rsid w:val="00FD5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A6BFF"/>
  <w15:chartTrackingRefBased/>
  <w15:docId w15:val="{7FB48D4D-B9B0-4E3F-BAE2-0F4E0733D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510D5"/>
    <w:rPr>
      <w:color w:val="0563C1" w:themeColor="hyperlink"/>
      <w:u w:val="single"/>
    </w:rPr>
  </w:style>
  <w:style w:type="paragraph" w:styleId="NoSpacing">
    <w:name w:val="No Spacing"/>
    <w:uiPriority w:val="1"/>
    <w:qFormat/>
    <w:rsid w:val="00B510D5"/>
    <w:pPr>
      <w:spacing w:after="0" w:line="240" w:lineRule="auto"/>
    </w:pPr>
  </w:style>
  <w:style w:type="table" w:styleId="TableGrid">
    <w:name w:val="Table Grid"/>
    <w:basedOn w:val="TableNormal"/>
    <w:uiPriority w:val="39"/>
    <w:rsid w:val="005D4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812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275"/>
  </w:style>
  <w:style w:type="paragraph" w:styleId="Footer">
    <w:name w:val="footer"/>
    <w:basedOn w:val="Normal"/>
    <w:link w:val="FooterChar"/>
    <w:uiPriority w:val="99"/>
    <w:unhideWhenUsed/>
    <w:rsid w:val="00C812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275"/>
  </w:style>
  <w:style w:type="character" w:styleId="CommentReference">
    <w:name w:val="annotation reference"/>
    <w:basedOn w:val="DefaultParagraphFont"/>
    <w:uiPriority w:val="99"/>
    <w:semiHidden/>
    <w:unhideWhenUsed/>
    <w:rsid w:val="0038238D"/>
    <w:rPr>
      <w:sz w:val="16"/>
      <w:szCs w:val="16"/>
    </w:rPr>
  </w:style>
  <w:style w:type="paragraph" w:styleId="CommentText">
    <w:name w:val="annotation text"/>
    <w:basedOn w:val="Normal"/>
    <w:link w:val="CommentTextChar"/>
    <w:uiPriority w:val="99"/>
    <w:semiHidden/>
    <w:unhideWhenUsed/>
    <w:rsid w:val="0038238D"/>
    <w:pPr>
      <w:spacing w:line="240" w:lineRule="auto"/>
    </w:pPr>
    <w:rPr>
      <w:sz w:val="20"/>
      <w:szCs w:val="20"/>
    </w:rPr>
  </w:style>
  <w:style w:type="character" w:customStyle="1" w:styleId="CommentTextChar">
    <w:name w:val="Comment Text Char"/>
    <w:basedOn w:val="DefaultParagraphFont"/>
    <w:link w:val="CommentText"/>
    <w:uiPriority w:val="99"/>
    <w:semiHidden/>
    <w:rsid w:val="0038238D"/>
    <w:rPr>
      <w:sz w:val="20"/>
      <w:szCs w:val="20"/>
    </w:rPr>
  </w:style>
  <w:style w:type="paragraph" w:styleId="CommentSubject">
    <w:name w:val="annotation subject"/>
    <w:basedOn w:val="CommentText"/>
    <w:next w:val="CommentText"/>
    <w:link w:val="CommentSubjectChar"/>
    <w:uiPriority w:val="99"/>
    <w:semiHidden/>
    <w:unhideWhenUsed/>
    <w:rsid w:val="0038238D"/>
    <w:rPr>
      <w:b/>
      <w:bCs/>
    </w:rPr>
  </w:style>
  <w:style w:type="character" w:customStyle="1" w:styleId="CommentSubjectChar">
    <w:name w:val="Comment Subject Char"/>
    <w:basedOn w:val="CommentTextChar"/>
    <w:link w:val="CommentSubject"/>
    <w:uiPriority w:val="99"/>
    <w:semiHidden/>
    <w:rsid w:val="003823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doi.org/10.1130/G49424.1" TargetMode="External"/><Relationship Id="rId21" Type="http://schemas.openxmlformats.org/officeDocument/2006/relationships/image" Target="media/image12.JPG"/><Relationship Id="rId34" Type="http://schemas.openxmlformats.org/officeDocument/2006/relationships/header" Target="header3.xml"/><Relationship Id="rId7" Type="http://schemas.openxmlformats.org/officeDocument/2006/relationships/image" Target="media/image2.png"/><Relationship Id="rId12" Type="http://schemas.microsoft.com/office/2018/08/relationships/commentsExtensible" Target="commentsExtensible.xml"/><Relationship Id="rId17" Type="http://schemas.openxmlformats.org/officeDocument/2006/relationships/image" Target="media/image8.jpeg"/><Relationship Id="rId25" Type="http://schemas.openxmlformats.org/officeDocument/2006/relationships/hyperlink" Target="https://doi.org/10.1093/petrology/egm062"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s://doi.org/10.1016/j.gexplo.2024.107128" TargetMode="External"/><Relationship Id="rId1" Type="http://schemas.openxmlformats.org/officeDocument/2006/relationships/styles" Target="styles.xml"/><Relationship Id="rId6" Type="http://schemas.openxmlformats.org/officeDocument/2006/relationships/image" Target="media/image1.png"/><Relationship Id="rId11" Type="http://schemas.microsoft.com/office/2016/09/relationships/commentsIds" Target="commentsIds.xml"/><Relationship Id="rId24" Type="http://schemas.openxmlformats.org/officeDocument/2006/relationships/hyperlink" Target="http://dx.doi.org/10.1016/0009-2541(80)90020-0"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hyperlink" Target="https://doi.org/10.46481/jnsps.2023.999" TargetMode="External"/><Relationship Id="rId28" Type="http://schemas.openxmlformats.org/officeDocument/2006/relationships/hyperlink" Target="https://doi.org/10.1038/s41467-025-54321-x" TargetMode="External"/><Relationship Id="rId36"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jpeg"/><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comments" Target="comment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doi.org/10.1093/petrology/egae056"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2026</TotalTime>
  <Pages>29</Pages>
  <Words>6551</Words>
  <Characters>37345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Dipendu Bhushan Guha</cp:lastModifiedBy>
  <cp:revision>42</cp:revision>
  <dcterms:created xsi:type="dcterms:W3CDTF">2025-12-24T14:26:00Z</dcterms:created>
  <dcterms:modified xsi:type="dcterms:W3CDTF">2026-03-05T06:38:00Z</dcterms:modified>
</cp:coreProperties>
</file>