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73C" w:rsidRDefault="00DE573C">
      <w:pPr>
        <w:pStyle w:val="BodyText"/>
        <w:spacing w:before="102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DE573C">
        <w:trPr>
          <w:trHeight w:val="290"/>
        </w:trPr>
        <w:tc>
          <w:tcPr>
            <w:tcW w:w="5167" w:type="dxa"/>
          </w:tcPr>
          <w:p w:rsidR="00DE573C" w:rsidRDefault="00222CE2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7" w:type="dxa"/>
          </w:tcPr>
          <w:p w:rsidR="00DE573C" w:rsidRDefault="001934DC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7">
              <w:r w:rsidR="00222CE2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Asian</w:t>
              </w:r>
              <w:r w:rsidR="00222CE2">
                <w:rPr>
                  <w:rFonts w:ascii="Arial"/>
                  <w:b/>
                  <w:color w:val="0000FF"/>
                  <w:spacing w:val="-6"/>
                  <w:sz w:val="20"/>
                  <w:u w:val="thick" w:color="0000FF"/>
                </w:rPr>
                <w:t xml:space="preserve"> </w:t>
              </w:r>
              <w:r w:rsidR="00222CE2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Journal</w:t>
              </w:r>
              <w:r w:rsidR="00222CE2">
                <w:rPr>
                  <w:rFonts w:ascii="Arial"/>
                  <w:b/>
                  <w:color w:val="0000FF"/>
                  <w:spacing w:val="-6"/>
                  <w:sz w:val="20"/>
                  <w:u w:val="thick" w:color="0000FF"/>
                </w:rPr>
                <w:t xml:space="preserve"> </w:t>
              </w:r>
              <w:r w:rsidR="00222CE2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of</w:t>
              </w:r>
              <w:r w:rsidR="00222CE2">
                <w:rPr>
                  <w:rFonts w:ascii="Arial"/>
                  <w:b/>
                  <w:color w:val="0000FF"/>
                  <w:spacing w:val="-8"/>
                  <w:sz w:val="20"/>
                  <w:u w:val="thick" w:color="0000FF"/>
                </w:rPr>
                <w:t xml:space="preserve"> </w:t>
              </w:r>
              <w:r w:rsidR="00222CE2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Fisheries</w:t>
              </w:r>
              <w:r w:rsidR="00222CE2">
                <w:rPr>
                  <w:rFonts w:ascii="Arial"/>
                  <w:b/>
                  <w:color w:val="0000FF"/>
                  <w:spacing w:val="-6"/>
                  <w:sz w:val="20"/>
                  <w:u w:val="thick" w:color="0000FF"/>
                </w:rPr>
                <w:t xml:space="preserve"> </w:t>
              </w:r>
              <w:r w:rsidR="00222CE2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and</w:t>
              </w:r>
              <w:r w:rsidR="00222CE2">
                <w:rPr>
                  <w:rFonts w:ascii="Arial"/>
                  <w:b/>
                  <w:color w:val="0000FF"/>
                  <w:spacing w:val="-8"/>
                  <w:sz w:val="20"/>
                  <w:u w:val="thick" w:color="0000FF"/>
                </w:rPr>
                <w:t xml:space="preserve"> </w:t>
              </w:r>
              <w:r w:rsidR="00222CE2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Aquatic</w:t>
              </w:r>
              <w:r w:rsidR="00222CE2">
                <w:rPr>
                  <w:rFonts w:ascii="Arial"/>
                  <w:b/>
                  <w:color w:val="0000FF"/>
                  <w:spacing w:val="-7"/>
                  <w:sz w:val="20"/>
                  <w:u w:val="thick" w:color="0000FF"/>
                </w:rPr>
                <w:t xml:space="preserve"> </w:t>
              </w:r>
              <w:r w:rsidR="00222CE2">
                <w:rPr>
                  <w:rFonts w:ascii="Arial"/>
                  <w:b/>
                  <w:color w:val="0000FF"/>
                  <w:spacing w:val="-2"/>
                  <w:sz w:val="20"/>
                  <w:u w:val="thick" w:color="0000FF"/>
                </w:rPr>
                <w:t>Research</w:t>
              </w:r>
            </w:hyperlink>
          </w:p>
        </w:tc>
      </w:tr>
      <w:tr w:rsidR="00DE573C">
        <w:trPr>
          <w:trHeight w:val="290"/>
        </w:trPr>
        <w:tc>
          <w:tcPr>
            <w:tcW w:w="5167" w:type="dxa"/>
          </w:tcPr>
          <w:p w:rsidR="00DE573C" w:rsidRDefault="00222CE2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7" w:type="dxa"/>
          </w:tcPr>
          <w:p w:rsidR="00DE573C" w:rsidRDefault="00222CE2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Ms_AJFAR_154277</w:t>
            </w:r>
          </w:p>
        </w:tc>
      </w:tr>
      <w:tr w:rsidR="00DE573C">
        <w:trPr>
          <w:trHeight w:val="650"/>
        </w:trPr>
        <w:tc>
          <w:tcPr>
            <w:tcW w:w="5167" w:type="dxa"/>
          </w:tcPr>
          <w:p w:rsidR="00DE573C" w:rsidRDefault="00222CE2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Manuscript:</w:t>
            </w:r>
          </w:p>
        </w:tc>
        <w:tc>
          <w:tcPr>
            <w:tcW w:w="15767" w:type="dxa"/>
          </w:tcPr>
          <w:p w:rsidR="00DE573C" w:rsidRDefault="00222CE2">
            <w:pPr>
              <w:pStyle w:val="TableParagraph"/>
              <w:spacing w:before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NEW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DISTIBUTIONAL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RECORD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PHYLACTOLAEMATE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BRYOZOAN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RUMARCANELLA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HIMALAYANA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ANNANDALE,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1911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SATHYAMANGALAM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TIGER RESERVE, ERODE DISTRICT, TAMIL NADU, INDIA</w:t>
            </w:r>
          </w:p>
        </w:tc>
      </w:tr>
      <w:tr w:rsidR="00DE573C">
        <w:trPr>
          <w:trHeight w:val="331"/>
        </w:trPr>
        <w:tc>
          <w:tcPr>
            <w:tcW w:w="5167" w:type="dxa"/>
          </w:tcPr>
          <w:p w:rsidR="00DE573C" w:rsidRDefault="00222CE2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the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7" w:type="dxa"/>
          </w:tcPr>
          <w:p w:rsidR="00DE573C" w:rsidRDefault="00222CE2">
            <w:pPr>
              <w:pStyle w:val="TableParagraph"/>
              <w:spacing w:before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DE573C" w:rsidRDefault="00DE573C">
      <w:pPr>
        <w:pStyle w:val="BodyText"/>
        <w:spacing w:before="8"/>
        <w:rPr>
          <w:b w:val="0"/>
        </w:rPr>
      </w:pPr>
      <w:bookmarkStart w:id="0" w:name="General_guidelines_for_the_Peer_Review_p"/>
      <w:bookmarkEnd w:id="0"/>
    </w:p>
    <w:p w:rsidR="00DE573C" w:rsidRDefault="00222CE2">
      <w:pPr>
        <w:pStyle w:val="BodyText"/>
        <w:ind w:left="165"/>
      </w:pPr>
      <w:bookmarkStart w:id="1" w:name="PART__1:_Comments"/>
      <w:bookmarkEnd w:id="1"/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:rsidR="00DE573C" w:rsidRDefault="00DE573C">
      <w:pPr>
        <w:pStyle w:val="BodyText"/>
        <w:spacing w:before="2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DE573C">
        <w:trPr>
          <w:trHeight w:val="965"/>
        </w:trPr>
        <w:tc>
          <w:tcPr>
            <w:tcW w:w="5351" w:type="dxa"/>
          </w:tcPr>
          <w:p w:rsidR="00DE573C" w:rsidRDefault="00DE57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</w:tcPr>
          <w:p w:rsidR="00DE573C" w:rsidRDefault="00222CE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DE573C" w:rsidRDefault="00DE573C">
            <w:pPr>
              <w:pStyle w:val="TableParagraph"/>
              <w:ind w:left="108" w:right="171"/>
              <w:rPr>
                <w:b/>
                <w:sz w:val="20"/>
              </w:rPr>
            </w:pPr>
          </w:p>
        </w:tc>
        <w:tc>
          <w:tcPr>
            <w:tcW w:w="6442" w:type="dxa"/>
          </w:tcPr>
          <w:p w:rsidR="00DE573C" w:rsidRDefault="00222CE2">
            <w:pPr>
              <w:pStyle w:val="TableParagraph"/>
              <w:spacing w:line="254" w:lineRule="auto"/>
              <w:ind w:left="106" w:right="73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DE573C">
        <w:trPr>
          <w:trHeight w:val="1264"/>
        </w:trPr>
        <w:tc>
          <w:tcPr>
            <w:tcW w:w="5351" w:type="dxa"/>
          </w:tcPr>
          <w:p w:rsidR="00DE573C" w:rsidRDefault="00222CE2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DE573C" w:rsidRDefault="00222CE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new finding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Plankton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Characteristic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distribution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area. The characteristic was </w:t>
            </w:r>
            <w:proofErr w:type="spellStart"/>
            <w:r>
              <w:rPr>
                <w:b/>
                <w:sz w:val="20"/>
              </w:rPr>
              <w:t>discribed</w:t>
            </w:r>
            <w:proofErr w:type="spellEnd"/>
            <w:r>
              <w:rPr>
                <w:b/>
                <w:sz w:val="20"/>
              </w:rPr>
              <w:t xml:space="preserve">, and the sampling location </w:t>
            </w:r>
            <w:proofErr w:type="spellStart"/>
            <w:r>
              <w:rPr>
                <w:b/>
                <w:sz w:val="20"/>
              </w:rPr>
              <w:t>olso</w:t>
            </w:r>
            <w:proofErr w:type="spellEnd"/>
            <w:r>
              <w:rPr>
                <w:b/>
                <w:sz w:val="20"/>
              </w:rPr>
              <w:t xml:space="preserve"> clarify clearly. It is </w:t>
            </w:r>
            <w:proofErr w:type="gramStart"/>
            <w:r>
              <w:rPr>
                <w:b/>
                <w:sz w:val="20"/>
              </w:rPr>
              <w:t>give</w:t>
            </w:r>
            <w:proofErr w:type="gramEnd"/>
            <w:r>
              <w:rPr>
                <w:b/>
                <w:sz w:val="20"/>
              </w:rPr>
              <w:t xml:space="preserve"> new information </w:t>
            </w:r>
            <w:proofErr w:type="spellStart"/>
            <w:r>
              <w:rPr>
                <w:b/>
                <w:sz w:val="20"/>
              </w:rPr>
              <w:t>aboit</w:t>
            </w:r>
            <w:proofErr w:type="spellEnd"/>
            <w:r>
              <w:rPr>
                <w:b/>
                <w:sz w:val="20"/>
              </w:rPr>
              <w:t xml:space="preserve"> the plankton.</w:t>
            </w:r>
          </w:p>
        </w:tc>
        <w:tc>
          <w:tcPr>
            <w:tcW w:w="6442" w:type="dxa"/>
          </w:tcPr>
          <w:p w:rsidR="00DE573C" w:rsidRDefault="00DE573C">
            <w:pPr>
              <w:pStyle w:val="TableParagraph"/>
              <w:ind w:left="0"/>
              <w:rPr>
                <w:sz w:val="18"/>
              </w:rPr>
            </w:pPr>
          </w:p>
        </w:tc>
      </w:tr>
      <w:tr w:rsidR="00DE573C">
        <w:trPr>
          <w:trHeight w:val="1262"/>
        </w:trPr>
        <w:tc>
          <w:tcPr>
            <w:tcW w:w="5351" w:type="dxa"/>
          </w:tcPr>
          <w:p w:rsidR="00DE573C" w:rsidRDefault="00222CE2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DE573C" w:rsidRDefault="00222CE2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DE573C" w:rsidRDefault="00222CE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suitable, but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typo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word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“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Distibutional</w:t>
            </w:r>
            <w:proofErr w:type="spellEnd"/>
            <w:proofErr w:type="gramEnd"/>
            <w:r>
              <w:rPr>
                <w:b/>
                <w:sz w:val="20"/>
              </w:rPr>
              <w:t>”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doubled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Species </w:t>
            </w:r>
            <w:r>
              <w:rPr>
                <w:b/>
                <w:spacing w:val="-2"/>
                <w:sz w:val="20"/>
              </w:rPr>
              <w:t>name.</w:t>
            </w:r>
          </w:p>
        </w:tc>
        <w:tc>
          <w:tcPr>
            <w:tcW w:w="6442" w:type="dxa"/>
          </w:tcPr>
          <w:p w:rsidR="00DE573C" w:rsidRDefault="00DE573C">
            <w:pPr>
              <w:pStyle w:val="TableParagraph"/>
              <w:ind w:left="0"/>
              <w:rPr>
                <w:sz w:val="18"/>
              </w:rPr>
            </w:pPr>
          </w:p>
        </w:tc>
      </w:tr>
      <w:tr w:rsidR="00DE573C">
        <w:trPr>
          <w:trHeight w:val="1261"/>
        </w:trPr>
        <w:tc>
          <w:tcPr>
            <w:tcW w:w="5351" w:type="dxa"/>
          </w:tcPr>
          <w:p w:rsidR="00DE573C" w:rsidRDefault="00222CE2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2" w:name="Is_the_abstract_of_the_article_comprehen"/>
            <w:bookmarkEnd w:id="2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DE573C" w:rsidRDefault="00222CE2">
            <w:pPr>
              <w:pStyle w:val="TableParagraph"/>
              <w:ind w:left="108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yet,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containing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purpose,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methods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conclusion</w:t>
            </w:r>
          </w:p>
        </w:tc>
        <w:tc>
          <w:tcPr>
            <w:tcW w:w="6442" w:type="dxa"/>
          </w:tcPr>
          <w:p w:rsidR="00DE573C" w:rsidRDefault="00DE573C">
            <w:pPr>
              <w:pStyle w:val="TableParagraph"/>
              <w:ind w:left="0"/>
              <w:rPr>
                <w:sz w:val="18"/>
              </w:rPr>
            </w:pPr>
          </w:p>
        </w:tc>
      </w:tr>
      <w:tr w:rsidR="00DE573C">
        <w:trPr>
          <w:trHeight w:val="703"/>
        </w:trPr>
        <w:tc>
          <w:tcPr>
            <w:tcW w:w="5351" w:type="dxa"/>
          </w:tcPr>
          <w:p w:rsidR="00DE573C" w:rsidRDefault="00222CE2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3" w:name="Is_the_manuscript_scientifically,_correc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DE573C" w:rsidRDefault="00222CE2">
            <w:pPr>
              <w:pStyle w:val="TableParagraph"/>
              <w:ind w:left="108" w:right="2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comprhensive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confusion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especially 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structure of the manuscript, and the method of the sampling.</w:t>
            </w:r>
          </w:p>
        </w:tc>
        <w:tc>
          <w:tcPr>
            <w:tcW w:w="6442" w:type="dxa"/>
          </w:tcPr>
          <w:p w:rsidR="00DE573C" w:rsidRDefault="00DE573C">
            <w:pPr>
              <w:pStyle w:val="TableParagraph"/>
              <w:ind w:left="0"/>
              <w:rPr>
                <w:sz w:val="18"/>
              </w:rPr>
            </w:pPr>
          </w:p>
        </w:tc>
      </w:tr>
      <w:tr w:rsidR="00DE573C">
        <w:trPr>
          <w:trHeight w:val="702"/>
        </w:trPr>
        <w:tc>
          <w:tcPr>
            <w:tcW w:w="5351" w:type="dxa"/>
          </w:tcPr>
          <w:p w:rsidR="00DE573C" w:rsidRDefault="00222CE2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</w:t>
            </w:r>
          </w:p>
          <w:p w:rsidR="00DE573C" w:rsidRDefault="00222CE2">
            <w:pPr>
              <w:pStyle w:val="TableParagraph"/>
              <w:spacing w:line="224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them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form.</w:t>
            </w:r>
          </w:p>
        </w:tc>
        <w:tc>
          <w:tcPr>
            <w:tcW w:w="9357" w:type="dxa"/>
          </w:tcPr>
          <w:p w:rsidR="00DE573C" w:rsidRDefault="00222CE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suffiicient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refernces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6442" w:type="dxa"/>
          </w:tcPr>
          <w:p w:rsidR="00DE573C" w:rsidRDefault="00DE573C">
            <w:pPr>
              <w:pStyle w:val="TableParagraph"/>
              <w:ind w:left="0"/>
              <w:rPr>
                <w:sz w:val="18"/>
              </w:rPr>
            </w:pPr>
          </w:p>
        </w:tc>
      </w:tr>
      <w:tr w:rsidR="00DE573C">
        <w:trPr>
          <w:trHeight w:val="690"/>
        </w:trPr>
        <w:tc>
          <w:tcPr>
            <w:tcW w:w="5351" w:type="dxa"/>
          </w:tcPr>
          <w:p w:rsidR="00DE573C" w:rsidRDefault="00222CE2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4" w:name="Is_the_language/English_quality_of_the_a"/>
            <w:bookmarkEnd w:id="4"/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DE573C" w:rsidRDefault="00222CE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english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improved,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typo.</w:t>
            </w:r>
          </w:p>
        </w:tc>
        <w:tc>
          <w:tcPr>
            <w:tcW w:w="6442" w:type="dxa"/>
          </w:tcPr>
          <w:p w:rsidR="00DE573C" w:rsidRDefault="00DE573C">
            <w:pPr>
              <w:pStyle w:val="TableParagraph"/>
              <w:ind w:left="0"/>
              <w:rPr>
                <w:sz w:val="18"/>
              </w:rPr>
            </w:pPr>
          </w:p>
        </w:tc>
      </w:tr>
      <w:tr w:rsidR="00DE573C">
        <w:trPr>
          <w:trHeight w:val="1177"/>
        </w:trPr>
        <w:tc>
          <w:tcPr>
            <w:tcW w:w="5351" w:type="dxa"/>
          </w:tcPr>
          <w:p w:rsidR="00DE573C" w:rsidRDefault="00222CE2">
            <w:pPr>
              <w:pStyle w:val="TableParagraph"/>
              <w:rPr>
                <w:sz w:val="20"/>
              </w:rPr>
            </w:pPr>
            <w:bookmarkStart w:id="5" w:name="Optional/General_comments"/>
            <w:bookmarkEnd w:id="5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DE573C" w:rsidRDefault="00222CE2">
            <w:pPr>
              <w:pStyle w:val="TableParagraph"/>
              <w:ind w:left="108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The manuscript </w:t>
            </w:r>
            <w:proofErr w:type="gramStart"/>
            <w:r>
              <w:rPr>
                <w:b/>
                <w:sz w:val="20"/>
              </w:rPr>
              <w:t>give</w:t>
            </w:r>
            <w:proofErr w:type="gramEnd"/>
            <w:r>
              <w:rPr>
                <w:b/>
                <w:sz w:val="20"/>
              </w:rPr>
              <w:t xml:space="preserve"> new information about the </w:t>
            </w:r>
            <w:proofErr w:type="spellStart"/>
            <w:r>
              <w:rPr>
                <w:b/>
                <w:sz w:val="20"/>
              </w:rPr>
              <w:t>distribuition</w:t>
            </w:r>
            <w:proofErr w:type="spellEnd"/>
            <w:r>
              <w:rPr>
                <w:b/>
                <w:sz w:val="20"/>
              </w:rPr>
              <w:t xml:space="preserve"> of the species, but the manuscript is not giving clearly about how, and where was the species taken. The explanation should give about microanatomy structure,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position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clasification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purpose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conclusion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is</w:t>
            </w:r>
            <w:proofErr w:type="gramEnd"/>
            <w:r>
              <w:rPr>
                <w:b/>
                <w:sz w:val="20"/>
              </w:rPr>
              <w:t xml:space="preserve"> not match.</w:t>
            </w:r>
          </w:p>
          <w:p w:rsidR="00663C7A" w:rsidRDefault="00663C7A">
            <w:pPr>
              <w:pStyle w:val="TableParagraph"/>
              <w:ind w:left="108" w:right="171"/>
              <w:rPr>
                <w:b/>
                <w:sz w:val="20"/>
              </w:rPr>
            </w:pPr>
          </w:p>
        </w:tc>
        <w:tc>
          <w:tcPr>
            <w:tcW w:w="6442" w:type="dxa"/>
          </w:tcPr>
          <w:p w:rsidR="00DE573C" w:rsidRDefault="00DE573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E573C" w:rsidRDefault="00DE573C">
      <w:pPr>
        <w:pStyle w:val="BodyText"/>
      </w:pPr>
    </w:p>
    <w:p w:rsidR="00DE573C" w:rsidRDefault="00DE573C">
      <w:pPr>
        <w:pStyle w:val="BodyText"/>
      </w:pPr>
    </w:p>
    <w:p w:rsidR="00DE573C" w:rsidRDefault="00DE573C">
      <w:pPr>
        <w:pStyle w:val="BodyText"/>
      </w:pPr>
    </w:p>
    <w:p w:rsidR="00DE573C" w:rsidRDefault="00DE573C">
      <w:pPr>
        <w:pStyle w:val="BodyText"/>
      </w:pPr>
    </w:p>
    <w:p w:rsidR="00DE573C" w:rsidRDefault="00DE573C">
      <w:pPr>
        <w:pStyle w:val="BodyText"/>
      </w:pPr>
    </w:p>
    <w:p w:rsidR="00DE573C" w:rsidRDefault="00DE573C">
      <w:pPr>
        <w:pStyle w:val="BodyText"/>
      </w:pPr>
    </w:p>
    <w:p w:rsidR="00DE573C" w:rsidRDefault="00DE573C">
      <w:pPr>
        <w:pStyle w:val="BodyText"/>
      </w:pPr>
    </w:p>
    <w:p w:rsidR="00DE573C" w:rsidRDefault="00DE573C">
      <w:pPr>
        <w:pStyle w:val="BodyText"/>
      </w:pPr>
    </w:p>
    <w:p w:rsidR="00DE573C" w:rsidRDefault="00DE573C">
      <w:pPr>
        <w:pStyle w:val="BodyText"/>
      </w:pPr>
    </w:p>
    <w:p w:rsidR="00DE573C" w:rsidRDefault="00DE573C">
      <w:pPr>
        <w:pStyle w:val="BodyText"/>
      </w:pPr>
    </w:p>
    <w:p w:rsidR="00DE573C" w:rsidRDefault="00DE573C">
      <w:pPr>
        <w:pStyle w:val="BodyText"/>
      </w:pPr>
    </w:p>
    <w:p w:rsidR="00DE573C" w:rsidRDefault="00DE573C">
      <w:pPr>
        <w:pStyle w:val="BodyText"/>
      </w:pPr>
    </w:p>
    <w:p w:rsidR="00DE573C" w:rsidRDefault="00DE573C">
      <w:pPr>
        <w:pStyle w:val="BodyText"/>
        <w:spacing w:before="5"/>
      </w:pPr>
    </w:p>
    <w:p w:rsidR="00DE573C" w:rsidRDefault="00222CE2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DE573C" w:rsidRDefault="00DE573C">
      <w:pPr>
        <w:pStyle w:val="BodyText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7"/>
      </w:tblGrid>
      <w:tr w:rsidR="00DE573C">
        <w:trPr>
          <w:trHeight w:val="933"/>
        </w:trPr>
        <w:tc>
          <w:tcPr>
            <w:tcW w:w="6831" w:type="dxa"/>
          </w:tcPr>
          <w:p w:rsidR="00DE573C" w:rsidRDefault="00DE57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2" w:type="dxa"/>
          </w:tcPr>
          <w:p w:rsidR="00DE573C" w:rsidRDefault="00222CE2">
            <w:pPr>
              <w:pStyle w:val="TableParagraph"/>
              <w:spacing w:line="228" w:lineRule="exact"/>
              <w:rPr>
                <w:b/>
                <w:sz w:val="20"/>
              </w:rPr>
            </w:pPr>
            <w:bookmarkStart w:id="6" w:name="Reviewer’s_comment"/>
            <w:bookmarkEnd w:id="6"/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DE573C" w:rsidRDefault="00DE573C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5677" w:type="dxa"/>
          </w:tcPr>
          <w:p w:rsidR="00DE573C" w:rsidRDefault="00222CE2">
            <w:pPr>
              <w:pStyle w:val="TableParagraph"/>
              <w:spacing w:line="256" w:lineRule="auto"/>
              <w:ind w:left="4" w:right="71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</w:tbl>
    <w:p w:rsidR="00DE573C" w:rsidRDefault="00DE573C">
      <w:pPr>
        <w:pStyle w:val="TableParagraph"/>
        <w:spacing w:line="256" w:lineRule="auto"/>
        <w:rPr>
          <w:sz w:val="20"/>
        </w:rPr>
        <w:sectPr w:rsidR="00DE573C">
          <w:headerReference w:type="default" r:id="rId8"/>
          <w:footerReference w:type="default" r:id="rId9"/>
          <w:pgSz w:w="23820" w:h="16840" w:orient="landscape"/>
          <w:pgMar w:top="1820" w:right="1275" w:bottom="1337" w:left="1275" w:header="1284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7"/>
      </w:tblGrid>
      <w:tr w:rsidR="00DE573C">
        <w:trPr>
          <w:trHeight w:val="920"/>
        </w:trPr>
        <w:tc>
          <w:tcPr>
            <w:tcW w:w="6831" w:type="dxa"/>
          </w:tcPr>
          <w:p w:rsidR="00DE573C" w:rsidRDefault="00222CE2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:rsidR="00DE573C" w:rsidRDefault="00222CE2">
            <w:pPr>
              <w:pStyle w:val="TableParagraph"/>
              <w:spacing w:before="113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DE573C" w:rsidRDefault="00DE5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DE573C" w:rsidRDefault="00222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</w:t>
            </w:r>
          </w:p>
        </w:tc>
        <w:tc>
          <w:tcPr>
            <w:tcW w:w="5677" w:type="dxa"/>
          </w:tcPr>
          <w:p w:rsidR="00DE573C" w:rsidRDefault="00DE573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22CE2" w:rsidRDefault="00222CE2"/>
    <w:p w:rsidR="008941B6" w:rsidRDefault="008941B6" w:rsidP="008941B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8941B6" w:rsidRDefault="008941B6" w:rsidP="008941B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941B6" w:rsidRDefault="008941B6" w:rsidP="008941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Bambang </w:t>
      </w:r>
      <w:proofErr w:type="spellStart"/>
      <w:r>
        <w:rPr>
          <w:rFonts w:ascii="Arial" w:hAnsi="Arial" w:cs="Arial"/>
        </w:rPr>
        <w:t>Setyo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Sihananto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Mandiangin</w:t>
      </w:r>
      <w:proofErr w:type="spellEnd"/>
      <w:r>
        <w:rPr>
          <w:rFonts w:ascii="Arial" w:hAnsi="Arial" w:cs="Arial"/>
        </w:rPr>
        <w:t xml:space="preserve"> Freshwater Aquaculture Development Center (MFADC), Indonesia</w:t>
      </w:r>
      <w:r>
        <w:rPr>
          <w:rFonts w:ascii="Arial" w:hAnsi="Arial" w:cs="Arial"/>
        </w:rPr>
        <w:br/>
      </w:r>
    </w:p>
    <w:p w:rsidR="008941B6" w:rsidRDefault="008941B6">
      <w:bookmarkStart w:id="7" w:name="_GoBack"/>
      <w:bookmarkEnd w:id="7"/>
    </w:p>
    <w:sectPr w:rsidR="008941B6">
      <w:pgSz w:w="23820" w:h="16840" w:orient="landscape"/>
      <w:pgMar w:top="182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4DC" w:rsidRDefault="001934DC">
      <w:r>
        <w:separator/>
      </w:r>
    </w:p>
  </w:endnote>
  <w:endnote w:type="continuationSeparator" w:id="0">
    <w:p w:rsidR="001934DC" w:rsidRDefault="0019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3C" w:rsidRDefault="00222CE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573C" w:rsidRDefault="00222CE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OzNRdHgAAAADQEAAA8AAABkcnMvZG93bnJldi54bWxMT8FOg0AUvJv4&#10;D5tn4s0upZUIsjSN0ZOJkeLB48K+Ain7Ftlti3/v66neZt5M5s3km9kO4oST7x0pWC4iEEiNMz21&#10;Cr6qt4cnED5oMnpwhAp+0cOmuL3JdWbcmUo87UIrOIR8phV0IYyZlL7p0Gq/cCMSa3s3WR2YTq00&#10;kz5zuB1kHEWJtLon/tDpEV86bA67o1Ww/abytf/5qD/LfdlXVRrRe3JQ6v5u3j6DCDiHqxku9bk6&#10;FNypdkcyXgzM1zFvCQwe0wtiS7xOViBqPiXLVQqyyOX/FcUfAAAA//8DAFBLAQItABQABgAIAAAA&#10;IQC2gziS/gAAAOEBAAATAAAAAAAAAAAAAAAAAAAAAABbQ29udGVudF9UeXBlc10ueG1sUEsBAi0A&#10;FAAGAAgAAAAhADj9If/WAAAAlAEAAAsAAAAAAAAAAAAAAAAALwEAAF9yZWxzLy5yZWxzUEsBAi0A&#10;FAAGAAgAAAAhAAjnlNGqAQAARQMAAA4AAAAAAAAAAAAAAAAALgIAAGRycy9lMm9Eb2MueG1sUEsB&#10;Ai0AFAAGAAgAAAAhAOzNRdHgAAAADQEAAA8AAAAAAAAAAAAAAAAABAQAAGRycy9kb3ducmV2Lnht&#10;bFBLBQYAAAAABAAEAPMAAAARBQAAAAA=&#10;" filled="f" stroked="f">
              <v:textbox inset="0,0,0,0">
                <w:txbxContent>
                  <w:p w:rsidR="00DE573C" w:rsidRDefault="00222CE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573C" w:rsidRDefault="00222CE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pt;width:55.7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mqjXy4gAAAA0BAAAPAAAAZHJzL2Rvd25yZXYueG1sTI/BTsMwEETv&#10;SPyDtUjcqJOUBBLiVBWCExJqGg4cndhNrMbrELtt+HuWExx3ZjT7ptwsdmRnPXvjUEC8ioBp7Jwy&#10;2Av4aF7vHoH5IFHJ0aEW8K09bKrrq1IWyl2w1ud96BmVoC+kgCGEqeDcd4O20q/cpJG8g5utDHTO&#10;PVezvFC5HXkSRRm30iB9GOSknwfdHfcnK2D7ifWL+Xpvd/WhNk2TR/iWHYW4vVm2T8CCXsJfGH7x&#10;CR0qYmrdCZVno4D7OCX0QEaaJ7SKImnysAbWkpTF6xx4VfL/K6of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GaqNfLiAAAADQEAAA8AAAAAAAAAAAAAAAAABQQAAGRycy9kb3ducmV2&#10;LnhtbFBLBQYAAAAABAAEAPMAAAAUBQAAAAA=&#10;" filled="f" stroked="f">
              <v:textbox inset="0,0,0,0">
                <w:txbxContent>
                  <w:p w:rsidR="00DE573C" w:rsidRDefault="00222CE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573C" w:rsidRDefault="00222CE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pt;width:67.8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E1WLrhAAAADQEAAA8AAABkcnMvZG93bnJldi54bWxMj8FOwzAQRO9I&#10;/QdrK3GjTlM1qkOcqkJwQkKk4cDRid3EarwOsduGv2c5wXFnnmZniv3sBnY1U7AeJaxXCTCDrdcW&#10;Owkf9cvDDliICrUaPBoJ3ybAvlzcFSrX/oaVuR5jxygEQ64k9DGOOeeh7Y1TYeVHg+Sd/ORUpHPq&#10;uJ7UjcLdwNMkybhTFulDr0bz1Jv2fLw4CYdPrJ7t11vzXp0qW9ciwdfsLOX9cj48Aotmjn8w/Nan&#10;6lBSp8ZfUAc2SMjENiWUjK1IaRUhu00igDUkZeuNAF4W/P+K8gcAAP//AwBQSwECLQAUAAYACAAA&#10;ACEAtoM4kv4AAADhAQAAEwAAAAAAAAAAAAAAAAAAAAAAW0NvbnRlbnRfVHlwZXNdLnhtbFBLAQIt&#10;ABQABgAIAAAAIQA4/SH/1gAAAJQBAAALAAAAAAAAAAAAAAAAAC8BAABfcmVscy8ucmVsc1BLAQIt&#10;ABQABgAIAAAAIQBwIKwrqgEAAEUDAAAOAAAAAAAAAAAAAAAAAC4CAABkcnMvZTJvRG9jLnhtbFBL&#10;AQItABQABgAIAAAAIQDBNVi64QAAAA0BAAAPAAAAAAAAAAAAAAAAAAQEAABkcnMvZG93bnJldi54&#10;bWxQSwUGAAAAAAQABADzAAAAEgUAAAAA&#10;" filled="f" stroked="f">
              <v:textbox inset="0,0,0,0">
                <w:txbxContent>
                  <w:p w:rsidR="00DE573C" w:rsidRDefault="00222CE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573C" w:rsidRDefault="00222CE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pt;width:80.3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GypDH7iAAAADwEAAA8AAABkcnMvZG93bnJldi54bWxMj8FOwzAQRO9I&#10;/QdrK3GjTlMRkhCnqhCckBBpOHB0YjexGq9D7Lbh79me6O2NdjQ7U2xnO7CznrxxKGC9ioBpbJ0y&#10;2An4qt8eUmA+SFRycKgF/GoP23JxV8hcuQtW+rwPHaMQ9LkU0Icw5pz7ttdW+pUbNdLt4CYrA8mp&#10;42qSFwq3A4+jKOFWGqQPvRz1S6/b4/5kBey+sXo1Px/NZ3WoTF1nEb4nRyHul/PuGVjQc/g3w7U+&#10;VYeSOjXuhMqzgXT0lNKYQPSYxURXT7xJE2ANUbLeZMDLgt/uKP8A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bKkMfuIAAAAPAQAADwAAAAAAAAAAAAAAAAAEBAAAZHJzL2Rvd25yZXYu&#10;eG1sUEsFBgAAAAAEAAQA8wAAABMFAAAAAA==&#10;" filled="f" stroked="f">
              <v:textbox inset="0,0,0,0">
                <w:txbxContent>
                  <w:p w:rsidR="00DE573C" w:rsidRDefault="00222CE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4DC" w:rsidRDefault="001934DC">
      <w:r>
        <w:separator/>
      </w:r>
    </w:p>
  </w:footnote>
  <w:footnote w:type="continuationSeparator" w:id="0">
    <w:p w:rsidR="001934DC" w:rsidRDefault="0019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3C" w:rsidRDefault="00222CE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573C" w:rsidRDefault="00222CE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DE573C" w:rsidRDefault="00222CE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73C"/>
    <w:rsid w:val="001934DC"/>
    <w:rsid w:val="00222CE2"/>
    <w:rsid w:val="00323565"/>
    <w:rsid w:val="003A7E3F"/>
    <w:rsid w:val="00631897"/>
    <w:rsid w:val="00634B4A"/>
    <w:rsid w:val="00663C7A"/>
    <w:rsid w:val="006E49ED"/>
    <w:rsid w:val="007009F8"/>
    <w:rsid w:val="008941B6"/>
    <w:rsid w:val="00A0193C"/>
    <w:rsid w:val="00A44697"/>
    <w:rsid w:val="00B30180"/>
    <w:rsid w:val="00DD2B27"/>
    <w:rsid w:val="00D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FFDF"/>
  <w15:docId w15:val="{A8D41BE1-D53B-436A-9C02-930B138F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0193C"/>
    <w:rPr>
      <w:color w:val="0000FF"/>
      <w:u w:val="single"/>
    </w:rPr>
  </w:style>
  <w:style w:type="paragraph" w:customStyle="1" w:styleId="Affiliation">
    <w:name w:val="Affiliation"/>
    <w:basedOn w:val="Normal"/>
    <w:rsid w:val="008941B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far.com/index.php/AJF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0C5D8-C7A5-4F96-A7B3-EA625CC8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11</cp:revision>
  <dcterms:created xsi:type="dcterms:W3CDTF">2026-03-02T09:59:00Z</dcterms:created>
  <dcterms:modified xsi:type="dcterms:W3CDTF">2026-03-06T08:20:00Z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2026-03-02T00:00:00Z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D:20260301133121+08'00'</vt:lpwstr>
  </property>
</Properties>
</file>