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DFC4" w14:textId="77777777" w:rsidR="00BD63DC" w:rsidRDefault="00BD63DC" w:rsidP="00762F79">
      <w:pPr>
        <w:pStyle w:val="Author"/>
        <w:spacing w:line="240" w:lineRule="auto"/>
        <w:rPr>
          <w:rFonts w:ascii="Arial" w:hAnsi="Arial" w:cs="Arial"/>
          <w:sz w:val="36"/>
          <w:szCs w:val="36"/>
        </w:rPr>
      </w:pPr>
      <w:r w:rsidRPr="00BD63DC">
        <w:rPr>
          <w:rFonts w:ascii="Arial" w:hAnsi="Arial" w:cs="Arial"/>
          <w:sz w:val="36"/>
          <w:szCs w:val="36"/>
        </w:rPr>
        <w:t>Original Research Article</w:t>
      </w:r>
    </w:p>
    <w:p w14:paraId="6D5881E1" w14:textId="77777777" w:rsidR="00BD63DC" w:rsidRDefault="00BD63DC" w:rsidP="00762F79">
      <w:pPr>
        <w:pStyle w:val="Author"/>
        <w:spacing w:line="240" w:lineRule="auto"/>
        <w:rPr>
          <w:rFonts w:ascii="Arial" w:hAnsi="Arial" w:cs="Arial"/>
          <w:sz w:val="36"/>
          <w:szCs w:val="36"/>
        </w:rPr>
      </w:pPr>
    </w:p>
    <w:p w14:paraId="5BCC07A3" w14:textId="23C90614" w:rsidR="00CE5571" w:rsidRPr="001F6062" w:rsidRDefault="00EF5B86" w:rsidP="00762F79">
      <w:pPr>
        <w:pStyle w:val="Author"/>
        <w:spacing w:line="240" w:lineRule="auto"/>
        <w:rPr>
          <w:rFonts w:ascii="Arial" w:hAnsi="Arial" w:cs="Arial"/>
          <w:bCs/>
          <w:iCs/>
          <w:kern w:val="28"/>
          <w:sz w:val="36"/>
          <w:szCs w:val="36"/>
        </w:rPr>
      </w:pPr>
      <w:r w:rsidRPr="00EF5B86">
        <w:rPr>
          <w:rFonts w:ascii="Arial" w:hAnsi="Arial" w:cs="Arial"/>
          <w:sz w:val="36"/>
          <w:szCs w:val="36"/>
        </w:rPr>
        <w:t xml:space="preserve">Characteristics of Size and Growth Patterns of </w:t>
      </w:r>
      <w:r w:rsidRPr="00EF5B86">
        <w:rPr>
          <w:rStyle w:val="Emphasis"/>
          <w:rFonts w:ascii="Arial" w:hAnsi="Arial" w:cs="Arial"/>
          <w:sz w:val="36"/>
          <w:szCs w:val="36"/>
        </w:rPr>
        <w:t>Octopus cyanea</w:t>
      </w:r>
      <w:r w:rsidRPr="00EF5B86">
        <w:rPr>
          <w:rFonts w:ascii="Arial" w:hAnsi="Arial" w:cs="Arial"/>
          <w:sz w:val="36"/>
          <w:szCs w:val="36"/>
        </w:rPr>
        <w:t xml:space="preserve"> in the Waters around Seruni Mumbul Village, East Lombok Regency</w:t>
      </w:r>
      <w:r w:rsidR="00DF0313">
        <w:rPr>
          <w:rFonts w:ascii="Arial" w:hAnsi="Arial" w:cs="Arial"/>
          <w:sz w:val="36"/>
          <w:szCs w:val="36"/>
        </w:rPr>
        <w:t>, Indonesia</w:t>
      </w:r>
    </w:p>
    <w:p w14:paraId="3E980AE8" w14:textId="5A9018C5" w:rsidR="00870C64" w:rsidRDefault="00870C64" w:rsidP="00870C64">
      <w:pPr>
        <w:jc w:val="right"/>
        <w:rPr>
          <w:rFonts w:ascii="Arial" w:eastAsia="Calibri" w:hAnsi="Arial" w:cs="Arial"/>
          <w:i/>
          <w:iCs/>
        </w:rPr>
      </w:pPr>
      <w:r w:rsidRPr="00870C64">
        <w:rPr>
          <w:rFonts w:ascii="Arial" w:eastAsia="Calibri" w:hAnsi="Arial" w:cs="Arial"/>
          <w:i/>
          <w:iCs/>
        </w:rPr>
        <w:t xml:space="preserve">  </w:t>
      </w:r>
      <w:r>
        <w:rPr>
          <w:rFonts w:ascii="Arial" w:eastAsia="Calibri" w:hAnsi="Arial" w:cs="Arial"/>
          <w:i/>
          <w:iCs/>
        </w:rPr>
        <w:t xml:space="preserve"> </w:t>
      </w:r>
    </w:p>
    <w:p w14:paraId="025A25F3" w14:textId="77777777" w:rsidR="00870C64" w:rsidRPr="001F6062" w:rsidRDefault="00870C64" w:rsidP="00870C64">
      <w:pPr>
        <w:jc w:val="right"/>
        <w:rPr>
          <w:rFonts w:ascii="Arial" w:eastAsia="Calibri" w:hAnsi="Arial" w:cs="Arial"/>
          <w:i/>
          <w:iCs/>
        </w:rPr>
      </w:pPr>
    </w:p>
    <w:p w14:paraId="1934ECCF" w14:textId="77777777" w:rsidR="002C57D2" w:rsidRPr="001F6062" w:rsidRDefault="002C57D2" w:rsidP="00441B6F">
      <w:pPr>
        <w:pStyle w:val="Affiliation"/>
        <w:spacing w:after="0" w:line="240" w:lineRule="auto"/>
        <w:jc w:val="both"/>
        <w:rPr>
          <w:rFonts w:ascii="Arial" w:hAnsi="Arial" w:cs="Arial"/>
        </w:rPr>
      </w:pPr>
    </w:p>
    <w:p w14:paraId="1E6D86CF" w14:textId="0DBDA5D3" w:rsidR="00B01FCD" w:rsidRPr="00FB3A86" w:rsidRDefault="00E55906" w:rsidP="00441B6F">
      <w:pPr>
        <w:pStyle w:val="Copyright"/>
        <w:spacing w:after="0" w:line="240" w:lineRule="auto"/>
        <w:jc w:val="both"/>
        <w:rPr>
          <w:rFonts w:ascii="Arial" w:hAnsi="Arial" w:cs="Arial"/>
        </w:rPr>
        <w:sectPr w:rsidR="00B01FCD" w:rsidRPr="00FB3A86" w:rsidSect="00AB31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EEB375" wp14:editId="24EF5C88">
                <wp:extent cx="5303520" cy="635"/>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4622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6AD98338" w14:textId="345C635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8BFB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F7BE6" w14:paraId="2E098083" w14:textId="77777777" w:rsidTr="001E44FE">
        <w:tc>
          <w:tcPr>
            <w:tcW w:w="9576" w:type="dxa"/>
            <w:shd w:val="clear" w:color="auto" w:fill="F2F2F2"/>
          </w:tcPr>
          <w:p w14:paraId="6739C362" w14:textId="0ECFF6E1" w:rsidR="004B669B" w:rsidRPr="00A97752" w:rsidRDefault="006054C0" w:rsidP="00E46903">
            <w:pPr>
              <w:pStyle w:val="NormalWeb"/>
              <w:jc w:val="both"/>
              <w:rPr>
                <w:rFonts w:ascii="Arial" w:hAnsi="Arial" w:cs="Arial"/>
                <w:sz w:val="20"/>
                <w:szCs w:val="20"/>
              </w:rPr>
            </w:pPr>
            <w:r w:rsidRPr="006054C0">
              <w:rPr>
                <w:rFonts w:ascii="Arial" w:hAnsi="Arial" w:cs="Arial"/>
                <w:sz w:val="20"/>
                <w:szCs w:val="20"/>
              </w:rPr>
              <w:t>The waters around Seruni Mumbul Village, East Lombok Regency, are recognized as a potential habitat for the reef octopus (</w:t>
            </w:r>
            <w:r w:rsidRPr="006054C0">
              <w:rPr>
                <w:rStyle w:val="Emphasis"/>
                <w:rFonts w:ascii="Arial" w:hAnsi="Arial" w:cs="Arial"/>
                <w:sz w:val="20"/>
                <w:szCs w:val="20"/>
              </w:rPr>
              <w:t>Octopus cyanea</w:t>
            </w:r>
            <w:r w:rsidRPr="006054C0">
              <w:rPr>
                <w:rFonts w:ascii="Arial" w:hAnsi="Arial" w:cs="Arial"/>
                <w:sz w:val="20"/>
                <w:szCs w:val="20"/>
              </w:rPr>
              <w:t xml:space="preserve">). This study aimed to examine the distribution of dorsal mantle length (DML), body weight, and growth patterns of </w:t>
            </w:r>
            <w:r w:rsidRPr="006054C0">
              <w:rPr>
                <w:rStyle w:val="Emphasis"/>
                <w:rFonts w:ascii="Arial" w:hAnsi="Arial" w:cs="Arial"/>
                <w:sz w:val="20"/>
                <w:szCs w:val="20"/>
              </w:rPr>
              <w:t>O</w:t>
            </w:r>
            <w:r w:rsidR="008825A6">
              <w:rPr>
                <w:rStyle w:val="Emphasis"/>
                <w:rFonts w:ascii="Arial" w:hAnsi="Arial" w:cs="Arial"/>
                <w:sz w:val="20"/>
                <w:szCs w:val="20"/>
              </w:rPr>
              <w:t>ctopus</w:t>
            </w:r>
            <w:r w:rsidRPr="006054C0">
              <w:rPr>
                <w:rStyle w:val="Emphasis"/>
                <w:rFonts w:ascii="Arial" w:hAnsi="Arial" w:cs="Arial"/>
                <w:sz w:val="20"/>
                <w:szCs w:val="20"/>
              </w:rPr>
              <w:t xml:space="preserve"> cyanea</w:t>
            </w:r>
            <w:r w:rsidRPr="006054C0">
              <w:rPr>
                <w:rFonts w:ascii="Arial" w:hAnsi="Arial" w:cs="Arial"/>
                <w:sz w:val="20"/>
                <w:szCs w:val="20"/>
              </w:rPr>
              <w:t xml:space="preserve"> in the area. </w:t>
            </w:r>
            <w:commentRangeStart w:id="0"/>
            <w:r w:rsidRPr="006054C0">
              <w:rPr>
                <w:rFonts w:ascii="Arial" w:hAnsi="Arial" w:cs="Arial"/>
                <w:sz w:val="20"/>
                <w:szCs w:val="20"/>
              </w:rPr>
              <w:t xml:space="preserve">Field sampling was conducted from April to August 2025 </w:t>
            </w:r>
            <w:commentRangeEnd w:id="0"/>
            <w:r w:rsidR="008B1B14">
              <w:rPr>
                <w:rStyle w:val="CommentReference"/>
                <w:lang w:val="nb-NO" w:eastAsia="nb-NO"/>
              </w:rPr>
              <w:commentReference w:id="0"/>
            </w:r>
            <w:r w:rsidRPr="006054C0">
              <w:rPr>
                <w:rFonts w:ascii="Arial" w:hAnsi="Arial" w:cs="Arial"/>
                <w:sz w:val="20"/>
                <w:szCs w:val="20"/>
              </w:rPr>
              <w:t>at two main landing sites: the Segare Harapan Jaya Cooperative and collectors in Dusun Kampung Mandar, Seruni Mumbul Village, Pringgabaya Subdistrict, East Lombok Regency, West Nusa Tenggara Province. Daily in situ measurements were performed on all landed individuals to obtain accurate morphometric data, including DML, body weight, and sex determination, with species identification following FAO guidelines. Data analyses included DML distribution, body weight distribution, and the length–weight relationship (W = aLᵇ), analyzed separately by sex.</w:t>
            </w:r>
            <w:r>
              <w:rPr>
                <w:rFonts w:ascii="Arial" w:hAnsi="Arial" w:cs="Arial"/>
                <w:sz w:val="20"/>
                <w:szCs w:val="20"/>
              </w:rPr>
              <w:t xml:space="preserve"> </w:t>
            </w:r>
            <w:commentRangeStart w:id="1"/>
            <w:r w:rsidRPr="006054C0">
              <w:rPr>
                <w:rFonts w:ascii="Arial" w:hAnsi="Arial" w:cs="Arial"/>
                <w:sz w:val="20"/>
                <w:szCs w:val="20"/>
              </w:rPr>
              <w:t>A total of 467 individuals were recorded, comprising 190 males and 277 females. DML ranged from 6 cm in both sexes, with maximum values of 20 cm for males and 22 cm for females. The mean DML of males was 11.36 ± 2.55 cm, dominated by the 8–10 cm size class, while females averaged 11.62 ± 2.45 cm, dominated by the 10–12 cm class. Body weight ranged from 60 g in both sexes, with maxima of 3,876 g for males and 3,600 g for females. The mean body weight of males was 1,140.6 ± 669.9 g (dominant weight class 823–1,077 g), while females averaged 1,102.38 ± 622.35 g (dominant class 568–823 g).</w:t>
            </w:r>
            <w:commentRangeEnd w:id="1"/>
            <w:r w:rsidR="004C191C">
              <w:rPr>
                <w:rStyle w:val="CommentReference"/>
                <w:lang w:val="nb-NO" w:eastAsia="nb-NO"/>
              </w:rPr>
              <w:commentReference w:id="1"/>
            </w:r>
            <w:r w:rsidRPr="006054C0">
              <w:rPr>
                <w:rFonts w:ascii="Arial" w:hAnsi="Arial" w:cs="Arial"/>
                <w:sz w:val="20"/>
                <w:szCs w:val="20"/>
              </w:rPr>
              <w:t xml:space="preserve"> The length–weight relationship indicated negative allometric growth (b &lt; 3) for both sexes, suggesting that increases in length exceed gains in body weight. </w:t>
            </w:r>
            <w:commentRangeStart w:id="2"/>
            <w:r w:rsidRPr="006054C0">
              <w:rPr>
                <w:rFonts w:ascii="Arial" w:hAnsi="Arial" w:cs="Arial"/>
                <w:sz w:val="20"/>
                <w:szCs w:val="20"/>
              </w:rPr>
              <w:t xml:space="preserve">The </w:t>
            </w:r>
            <w:r w:rsidRPr="006054C0">
              <w:rPr>
                <w:rStyle w:val="Emphasis"/>
                <w:rFonts w:ascii="Arial" w:hAnsi="Arial" w:cs="Arial"/>
                <w:sz w:val="20"/>
                <w:szCs w:val="20"/>
              </w:rPr>
              <w:t>O</w:t>
            </w:r>
            <w:r w:rsidR="008825A6">
              <w:rPr>
                <w:rStyle w:val="Emphasis"/>
                <w:rFonts w:ascii="Arial" w:hAnsi="Arial" w:cs="Arial"/>
                <w:sz w:val="20"/>
                <w:szCs w:val="20"/>
              </w:rPr>
              <w:t>ctopus</w:t>
            </w:r>
            <w:r w:rsidRPr="006054C0">
              <w:rPr>
                <w:rStyle w:val="Emphasis"/>
                <w:rFonts w:ascii="Arial" w:hAnsi="Arial" w:cs="Arial"/>
                <w:sz w:val="20"/>
                <w:szCs w:val="20"/>
              </w:rPr>
              <w:t xml:space="preserve"> cyanea</w:t>
            </w:r>
            <w:r w:rsidRPr="006054C0">
              <w:rPr>
                <w:rFonts w:ascii="Arial" w:hAnsi="Arial" w:cs="Arial"/>
                <w:sz w:val="20"/>
                <w:szCs w:val="20"/>
              </w:rPr>
              <w:t xml:space="preserve"> population in the study area was dominated by individuals in the active somatic growth phase.</w:t>
            </w:r>
            <w:commentRangeEnd w:id="2"/>
            <w:r w:rsidR="00187880">
              <w:rPr>
                <w:rStyle w:val="CommentReference"/>
                <w:lang w:val="nb-NO" w:eastAsia="nb-NO"/>
              </w:rPr>
              <w:commentReference w:id="2"/>
            </w:r>
            <w:r w:rsidRPr="006054C0">
              <w:rPr>
                <w:rFonts w:ascii="Arial" w:hAnsi="Arial" w:cs="Arial"/>
                <w:sz w:val="20"/>
                <w:szCs w:val="20"/>
              </w:rPr>
              <w:t xml:space="preserve"> These findings provide a scientific basis for sustainable octopus fishery management, particularly regarding catch size regulation, stock management, and local conservation strategies.</w:t>
            </w:r>
          </w:p>
        </w:tc>
      </w:tr>
    </w:tbl>
    <w:p w14:paraId="0D3EEAA2" w14:textId="77777777" w:rsidR="009F5FB8" w:rsidRDefault="009F5FB8" w:rsidP="00D56E1E">
      <w:pPr>
        <w:pStyle w:val="Body"/>
        <w:spacing w:after="0"/>
        <w:rPr>
          <w:rFonts w:ascii="Arial" w:hAnsi="Arial" w:cs="Arial"/>
          <w:i/>
        </w:rPr>
      </w:pPr>
    </w:p>
    <w:p w14:paraId="35BB5166" w14:textId="634C9D64" w:rsidR="00D03CFD" w:rsidRDefault="00A24E7E" w:rsidP="009F5FB8">
      <w:pPr>
        <w:pStyle w:val="Body"/>
        <w:spacing w:after="0"/>
        <w:ind w:left="993" w:hanging="993"/>
        <w:rPr>
          <w:i/>
          <w:iCs/>
        </w:rPr>
      </w:pPr>
      <w:r w:rsidRPr="001F6062">
        <w:rPr>
          <w:rFonts w:ascii="Arial" w:hAnsi="Arial" w:cs="Arial"/>
          <w:i/>
        </w:rPr>
        <w:t xml:space="preserve">Keywords: </w:t>
      </w:r>
      <w:r w:rsidR="00D56E1E" w:rsidRPr="00D56E1E">
        <w:rPr>
          <w:rStyle w:val="Emphasis"/>
        </w:rPr>
        <w:t>Octopus cyanea</w:t>
      </w:r>
      <w:r w:rsidR="00D56E1E" w:rsidRPr="00D56E1E">
        <w:t xml:space="preserve">; </w:t>
      </w:r>
      <w:r w:rsidR="00D56E1E" w:rsidRPr="00D56E1E">
        <w:rPr>
          <w:i/>
          <w:iCs/>
        </w:rPr>
        <w:t>growth pattern; dorsal mantle length; length–weight relationship; East Lombok; reef octopus</w:t>
      </w:r>
    </w:p>
    <w:p w14:paraId="46AA675F" w14:textId="77777777" w:rsidR="00D56E1E" w:rsidRPr="001F6062" w:rsidRDefault="00D56E1E" w:rsidP="00D56E1E">
      <w:pPr>
        <w:pStyle w:val="Body"/>
        <w:spacing w:after="0"/>
        <w:rPr>
          <w:rFonts w:ascii="Arial" w:hAnsi="Arial" w:cs="Arial"/>
        </w:rPr>
      </w:pPr>
    </w:p>
    <w:p w14:paraId="56A2FFBB" w14:textId="55F86804" w:rsidR="007F7B32" w:rsidRPr="001F6062" w:rsidRDefault="00902823" w:rsidP="00441B6F">
      <w:pPr>
        <w:pStyle w:val="AbstHead"/>
        <w:spacing w:after="0"/>
        <w:jc w:val="both"/>
        <w:rPr>
          <w:rFonts w:ascii="Arial" w:hAnsi="Arial" w:cs="Arial"/>
        </w:rPr>
      </w:pPr>
      <w:r w:rsidRPr="001F6062">
        <w:rPr>
          <w:rFonts w:ascii="Arial" w:hAnsi="Arial" w:cs="Arial"/>
        </w:rPr>
        <w:t>1.</w:t>
      </w:r>
      <w:commentRangeStart w:id="3"/>
      <w:r w:rsidRPr="001F6062">
        <w:rPr>
          <w:rFonts w:ascii="Arial" w:hAnsi="Arial" w:cs="Arial"/>
        </w:rPr>
        <w:t xml:space="preserve"> </w:t>
      </w:r>
      <w:r w:rsidR="00B01FCD" w:rsidRPr="001F6062">
        <w:rPr>
          <w:rFonts w:ascii="Arial" w:hAnsi="Arial" w:cs="Arial"/>
        </w:rPr>
        <w:t>INTRODUCTION</w:t>
      </w:r>
      <w:commentRangeEnd w:id="3"/>
      <w:r w:rsidR="009738C2">
        <w:rPr>
          <w:rStyle w:val="CommentReference"/>
          <w:rFonts w:ascii="Times New Roman" w:hAnsi="Times New Roman"/>
          <w:b w:val="0"/>
          <w:caps w:val="0"/>
          <w:lang w:val="nb-NO" w:eastAsia="nb-NO"/>
        </w:rPr>
        <w:commentReference w:id="3"/>
      </w:r>
    </w:p>
    <w:p w14:paraId="4639998D" w14:textId="77777777" w:rsidR="00790ADA" w:rsidRPr="001F6062" w:rsidRDefault="00790ADA" w:rsidP="00441B6F">
      <w:pPr>
        <w:pStyle w:val="AbstHead"/>
        <w:spacing w:after="0"/>
        <w:jc w:val="both"/>
        <w:rPr>
          <w:rFonts w:ascii="Arial" w:hAnsi="Arial" w:cs="Arial"/>
        </w:rPr>
      </w:pPr>
    </w:p>
    <w:p w14:paraId="163C1BB7" w14:textId="72D40BFA" w:rsidR="00B271C8" w:rsidRPr="00D56E1E" w:rsidRDefault="00D56E1E" w:rsidP="00B271C8">
      <w:pPr>
        <w:pStyle w:val="CommentText"/>
        <w:jc w:val="both"/>
        <w:rPr>
          <w:rFonts w:ascii="Arial" w:hAnsi="Arial" w:cs="Arial"/>
        </w:rPr>
      </w:pPr>
      <w:r w:rsidRPr="00D56E1E">
        <w:rPr>
          <w:rFonts w:ascii="Arial" w:hAnsi="Arial" w:cs="Arial"/>
        </w:rPr>
        <w:t>West Nusa Tenggara</w:t>
      </w:r>
      <w:r w:rsidR="00DF0313">
        <w:rPr>
          <w:rFonts w:ascii="Arial" w:hAnsi="Arial" w:cs="Arial"/>
        </w:rPr>
        <w:t xml:space="preserve"> </w:t>
      </w:r>
      <w:r w:rsidR="00DF0313" w:rsidRPr="00D56E1E">
        <w:rPr>
          <w:rFonts w:ascii="Arial" w:hAnsi="Arial" w:cs="Arial"/>
        </w:rPr>
        <w:t>(</w:t>
      </w:r>
      <w:r w:rsidR="00DF0313">
        <w:rPr>
          <w:rFonts w:ascii="Arial" w:hAnsi="Arial" w:cs="Arial"/>
        </w:rPr>
        <w:t>WNT</w:t>
      </w:r>
      <w:r w:rsidR="00DF0313" w:rsidRPr="00D56E1E">
        <w:rPr>
          <w:rFonts w:ascii="Arial" w:hAnsi="Arial" w:cs="Arial"/>
        </w:rPr>
        <w:t>)</w:t>
      </w:r>
      <w:r w:rsidRPr="00D56E1E">
        <w:rPr>
          <w:rFonts w:ascii="Arial" w:hAnsi="Arial" w:cs="Arial"/>
        </w:rPr>
        <w:t xml:space="preserve"> Province has a marine area of 29,159.04 km² with high habitat complexity, including 76,420 ha of coral reef ecosystems that support marine biodiversity (FIP2B, 2022). These ecosystems provide critical ecological niches for various benthic organisms, including </w:t>
      </w:r>
      <w:r w:rsidRPr="00D56E1E">
        <w:rPr>
          <w:rStyle w:val="Emphasis"/>
          <w:rFonts w:ascii="Arial" w:hAnsi="Arial" w:cs="Arial"/>
        </w:rPr>
        <w:t>Octopus cyanea</w:t>
      </w:r>
      <w:r w:rsidRPr="00D56E1E">
        <w:rPr>
          <w:rFonts w:ascii="Arial" w:hAnsi="Arial" w:cs="Arial"/>
        </w:rPr>
        <w:t xml:space="preserve"> (Taqwa</w:t>
      </w:r>
      <w:r>
        <w:rPr>
          <w:rFonts w:ascii="Arial" w:hAnsi="Arial" w:cs="Arial"/>
        </w:rPr>
        <w:t xml:space="preserve">, </w:t>
      </w:r>
      <w:r w:rsidRPr="00D56E1E">
        <w:rPr>
          <w:rFonts w:ascii="Arial" w:hAnsi="Arial" w:cs="Arial"/>
        </w:rPr>
        <w:t xml:space="preserve">2024). Ecologically, octopuses are semelparous organisms with short life cycles that occupy an important position in the food web, functioning both as </w:t>
      </w:r>
      <w:commentRangeStart w:id="4"/>
      <w:r w:rsidRPr="00D56E1E">
        <w:rPr>
          <w:rFonts w:ascii="Arial" w:hAnsi="Arial" w:cs="Arial"/>
        </w:rPr>
        <w:t xml:space="preserve">top predators </w:t>
      </w:r>
      <w:commentRangeEnd w:id="4"/>
      <w:r w:rsidR="008E5988">
        <w:rPr>
          <w:rStyle w:val="CommentReference"/>
        </w:rPr>
        <w:commentReference w:id="4"/>
      </w:r>
      <w:r w:rsidRPr="00D56E1E">
        <w:rPr>
          <w:rFonts w:ascii="Arial" w:hAnsi="Arial" w:cs="Arial"/>
        </w:rPr>
        <w:t xml:space="preserve">in coral communities and as prey for larger organisms </w:t>
      </w:r>
      <w:r w:rsidRPr="00D56E1E">
        <w:rPr>
          <w:rFonts w:ascii="Arial" w:hAnsi="Arial" w:cs="Arial"/>
        </w:rPr>
        <w:lastRenderedPageBreak/>
        <w:t xml:space="preserve">(Toha </w:t>
      </w:r>
      <w:r w:rsidRPr="00D56E1E">
        <w:rPr>
          <w:rFonts w:ascii="Arial" w:hAnsi="Arial" w:cs="Arial"/>
          <w:i/>
          <w:iCs/>
        </w:rPr>
        <w:t>et al</w:t>
      </w:r>
      <w:r w:rsidRPr="00D56E1E">
        <w:rPr>
          <w:rFonts w:ascii="Arial" w:hAnsi="Arial" w:cs="Arial"/>
        </w:rPr>
        <w:t xml:space="preserve">., 2015 </w:t>
      </w:r>
      <w:r w:rsidRPr="00D36572">
        <w:rPr>
          <w:rFonts w:ascii="Arial" w:hAnsi="Arial" w:cs="Arial"/>
          <w:i/>
          <w:iCs/>
        </w:rPr>
        <w:t>in</w:t>
      </w:r>
      <w:r w:rsidRPr="00D56E1E">
        <w:rPr>
          <w:rFonts w:ascii="Arial" w:hAnsi="Arial" w:cs="Arial"/>
        </w:rPr>
        <w:t xml:space="preserve"> Linung </w:t>
      </w:r>
      <w:r w:rsidRPr="00D56E1E">
        <w:rPr>
          <w:rFonts w:ascii="Arial" w:hAnsi="Arial" w:cs="Arial"/>
          <w:i/>
          <w:iCs/>
        </w:rPr>
        <w:t>et al</w:t>
      </w:r>
      <w:r w:rsidRPr="00D56E1E">
        <w:rPr>
          <w:rFonts w:ascii="Arial" w:hAnsi="Arial" w:cs="Arial"/>
        </w:rPr>
        <w:t xml:space="preserve">., 2024). They utilize coral crevices and hard substrates as dens for shelter and reproduction (Taqwa, 2024). However, as intertidal to subtidal species, </w:t>
      </w:r>
      <w:r w:rsidRPr="00D56E1E">
        <w:rPr>
          <w:rStyle w:val="Emphasis"/>
          <w:rFonts w:ascii="Arial" w:hAnsi="Arial" w:cs="Arial"/>
        </w:rPr>
        <w:t>O</w:t>
      </w:r>
      <w:r w:rsidR="008825A6">
        <w:rPr>
          <w:rStyle w:val="Emphasis"/>
          <w:rFonts w:ascii="Arial" w:hAnsi="Arial" w:cs="Arial"/>
        </w:rPr>
        <w:t xml:space="preserve">ctopus </w:t>
      </w:r>
      <w:r w:rsidRPr="00D56E1E">
        <w:rPr>
          <w:rStyle w:val="Emphasis"/>
          <w:rFonts w:ascii="Arial" w:hAnsi="Arial" w:cs="Arial"/>
        </w:rPr>
        <w:t>cyanea</w:t>
      </w:r>
      <w:r w:rsidRPr="00D56E1E">
        <w:rPr>
          <w:rFonts w:ascii="Arial" w:hAnsi="Arial" w:cs="Arial"/>
        </w:rPr>
        <w:t xml:space="preserve"> populations are vulnerable to anthropogenic pressures. Intensive resource extraction not only reduces abundance but may also alter size structure and trophic balance within marine ecosystems (Tarigan &amp; Simbolon, 2020 </w:t>
      </w:r>
      <w:r w:rsidRPr="00D56E1E">
        <w:rPr>
          <w:rFonts w:ascii="Arial" w:hAnsi="Arial" w:cs="Arial"/>
          <w:i/>
          <w:iCs/>
        </w:rPr>
        <w:t>in</w:t>
      </w:r>
      <w:r w:rsidRPr="00D56E1E">
        <w:rPr>
          <w:rFonts w:ascii="Arial" w:hAnsi="Arial" w:cs="Arial"/>
        </w:rPr>
        <w:t xml:space="preserve"> Lamelelang </w:t>
      </w:r>
      <w:r w:rsidRPr="00D56E1E">
        <w:rPr>
          <w:rFonts w:ascii="Arial" w:hAnsi="Arial" w:cs="Arial"/>
          <w:i/>
          <w:iCs/>
        </w:rPr>
        <w:t>et al</w:t>
      </w:r>
      <w:r w:rsidRPr="00D56E1E">
        <w:rPr>
          <w:rFonts w:ascii="Arial" w:hAnsi="Arial" w:cs="Arial"/>
        </w:rPr>
        <w:t>., 2024).</w:t>
      </w:r>
    </w:p>
    <w:p w14:paraId="31763784" w14:textId="77777777" w:rsidR="00D56E1E" w:rsidRDefault="00D56E1E" w:rsidP="00441B6F">
      <w:pPr>
        <w:pStyle w:val="Body"/>
        <w:spacing w:after="0"/>
      </w:pPr>
    </w:p>
    <w:p w14:paraId="43A57C85" w14:textId="771142F4" w:rsidR="00790ADA" w:rsidRDefault="00D56E1E" w:rsidP="00441B6F">
      <w:pPr>
        <w:pStyle w:val="Body"/>
        <w:spacing w:after="0"/>
      </w:pPr>
      <w:r>
        <w:t xml:space="preserve">Understanding biological aspects, particularly growth patterns, is fundamental in marine science to explain how organisms respond to environmental conditions. The growth patterns of </w:t>
      </w:r>
      <w:r>
        <w:rPr>
          <w:rStyle w:val="Emphasis"/>
        </w:rPr>
        <w:t>O</w:t>
      </w:r>
      <w:r w:rsidR="008825A6">
        <w:rPr>
          <w:rStyle w:val="Emphasis"/>
        </w:rPr>
        <w:t xml:space="preserve">ctopus </w:t>
      </w:r>
      <w:r>
        <w:rPr>
          <w:rStyle w:val="Emphasis"/>
        </w:rPr>
        <w:t>cyanea</w:t>
      </w:r>
      <w:r>
        <w:t xml:space="preserve"> are highly plastic and strongly influenced by oceanographic variables and food availability in their habitat (Indrayani </w:t>
      </w:r>
      <w:r w:rsidRPr="00D56E1E">
        <w:rPr>
          <w:i/>
          <w:iCs/>
        </w:rPr>
        <w:t>et al</w:t>
      </w:r>
      <w:r>
        <w:t xml:space="preserve">., 2023). </w:t>
      </w:r>
      <w:commentRangeStart w:id="5"/>
      <w:r>
        <w:t xml:space="preserve">Analyzing the length–weight relationship is an effective biometric approach to predict the physiological condition or “health” </w:t>
      </w:r>
      <w:commentRangeEnd w:id="5"/>
      <w:r w:rsidR="008570C5">
        <w:rPr>
          <w:rStyle w:val="CommentReference"/>
          <w:rFonts w:ascii="Times New Roman" w:hAnsi="Times New Roman"/>
          <w:lang w:val="nb-NO" w:eastAsia="nb-NO"/>
        </w:rPr>
        <w:commentReference w:id="5"/>
      </w:r>
      <w:r>
        <w:t xml:space="preserve">of individuals within a population </w:t>
      </w:r>
      <w:commentRangeStart w:id="6"/>
      <w:r>
        <w:t xml:space="preserve">(Andy Omar </w:t>
      </w:r>
      <w:r w:rsidRPr="00D36572">
        <w:rPr>
          <w:i/>
          <w:iCs/>
        </w:rPr>
        <w:t>et al</w:t>
      </w:r>
      <w:r>
        <w:t xml:space="preserve">., 2020 Kartini </w:t>
      </w:r>
      <w:r w:rsidRPr="00D56E1E">
        <w:rPr>
          <w:i/>
          <w:iCs/>
        </w:rPr>
        <w:t>et al</w:t>
      </w:r>
      <w:r>
        <w:t>., 2023</w:t>
      </w:r>
      <w:commentRangeEnd w:id="6"/>
      <w:r w:rsidR="004151AB">
        <w:rPr>
          <w:rStyle w:val="CommentReference"/>
          <w:rFonts w:ascii="Times New Roman" w:hAnsi="Times New Roman"/>
          <w:lang w:val="nb-NO" w:eastAsia="nb-NO"/>
        </w:rPr>
        <w:commentReference w:id="6"/>
      </w:r>
      <w:r>
        <w:t xml:space="preserve">). Ahmed </w:t>
      </w:r>
      <w:r w:rsidRPr="00D36572">
        <w:rPr>
          <w:i/>
          <w:iCs/>
        </w:rPr>
        <w:t>et al</w:t>
      </w:r>
      <w:r>
        <w:t xml:space="preserve">. (2021) emphasized that growth parameters reflect habitat suitability and the species’ adaptive capacity to environmental variability. Differences in physicochemical characteristics of the water can trigger morphometric variation as a form of phenotypic adaptation (Semmens </w:t>
      </w:r>
      <w:r w:rsidRPr="00D36572">
        <w:rPr>
          <w:i/>
          <w:iCs/>
        </w:rPr>
        <w:t>et al</w:t>
      </w:r>
      <w:r>
        <w:t xml:space="preserve">., 2004; Diniariwisan </w:t>
      </w:r>
      <w:r w:rsidRPr="00D36572">
        <w:rPr>
          <w:i/>
          <w:iCs/>
        </w:rPr>
        <w:t>et al</w:t>
      </w:r>
      <w:r>
        <w:t xml:space="preserve">., 2023). Therefore, morphometric analysis serves not only as statistical data but also as an ecological indicator reflecting the quality of the habitat in which the organisms live (Tahir </w:t>
      </w:r>
      <w:r w:rsidRPr="00D36572">
        <w:rPr>
          <w:i/>
          <w:iCs/>
        </w:rPr>
        <w:t>et al</w:t>
      </w:r>
      <w:r>
        <w:t xml:space="preserve">., 2024). </w:t>
      </w:r>
    </w:p>
    <w:p w14:paraId="06A8C1ED" w14:textId="77777777" w:rsidR="00D56E1E" w:rsidRDefault="00D56E1E" w:rsidP="00441B6F">
      <w:pPr>
        <w:pStyle w:val="Body"/>
        <w:spacing w:after="0"/>
      </w:pPr>
    </w:p>
    <w:p w14:paraId="2C0A2033" w14:textId="025E6ADA" w:rsidR="00D56E1E" w:rsidRPr="0075135D" w:rsidRDefault="00D56E1E" w:rsidP="00441B6F">
      <w:pPr>
        <w:pStyle w:val="Body"/>
        <w:spacing w:after="0"/>
        <w:rPr>
          <w:rFonts w:ascii="Arial" w:hAnsi="Arial" w:cs="Arial"/>
        </w:rPr>
      </w:pPr>
      <w:commentRangeStart w:id="7"/>
      <w:r w:rsidRPr="0075135D">
        <w:rPr>
          <w:rFonts w:ascii="Arial" w:hAnsi="Arial" w:cs="Arial"/>
        </w:rPr>
        <w:t xml:space="preserve">The waters surrounding Seruni Mumbul Village, East Lombok Regency, represent a specific habitat for </w:t>
      </w:r>
      <w:r w:rsidRPr="0075135D">
        <w:rPr>
          <w:rStyle w:val="Emphasis"/>
          <w:rFonts w:ascii="Arial" w:hAnsi="Arial" w:cs="Arial"/>
        </w:rPr>
        <w:t>O</w:t>
      </w:r>
      <w:r w:rsidR="008825A6">
        <w:rPr>
          <w:rStyle w:val="Emphasis"/>
          <w:rFonts w:ascii="Arial" w:hAnsi="Arial" w:cs="Arial"/>
        </w:rPr>
        <w:t xml:space="preserve">ctopus </w:t>
      </w:r>
      <w:r w:rsidRPr="0075135D">
        <w:rPr>
          <w:rStyle w:val="Emphasis"/>
          <w:rFonts w:ascii="Arial" w:hAnsi="Arial" w:cs="Arial"/>
        </w:rPr>
        <w:t>cyanea</w:t>
      </w:r>
      <w:r w:rsidRPr="0075135D">
        <w:rPr>
          <w:rFonts w:ascii="Arial" w:hAnsi="Arial" w:cs="Arial"/>
        </w:rPr>
        <w:t xml:space="preserve"> in </w:t>
      </w:r>
      <w:r w:rsidR="00DF0313">
        <w:rPr>
          <w:rFonts w:ascii="Arial" w:hAnsi="Arial" w:cs="Arial"/>
        </w:rPr>
        <w:t>WNT</w:t>
      </w:r>
      <w:r w:rsidRPr="0075135D">
        <w:rPr>
          <w:rFonts w:ascii="Arial" w:hAnsi="Arial" w:cs="Arial"/>
        </w:rPr>
        <w:t xml:space="preserve"> Province. Although Mulyani </w:t>
      </w:r>
      <w:r w:rsidRPr="0075135D">
        <w:rPr>
          <w:rFonts w:ascii="Arial" w:hAnsi="Arial" w:cs="Arial"/>
          <w:i/>
          <w:iCs/>
        </w:rPr>
        <w:t>et al</w:t>
      </w:r>
      <w:r w:rsidRPr="0075135D">
        <w:rPr>
          <w:rFonts w:ascii="Arial" w:hAnsi="Arial" w:cs="Arial"/>
        </w:rPr>
        <w:t xml:space="preserve">. (2024) reported the dominance of this species in the Alas Strait, detailed information on the local population growth dynamics in the waters near Seruni Mumbul remains limited. This represents a crucial research gap, considering that </w:t>
      </w:r>
      <w:r w:rsidRPr="0075135D">
        <w:rPr>
          <w:rStyle w:val="Emphasis"/>
          <w:rFonts w:ascii="Arial" w:hAnsi="Arial" w:cs="Arial"/>
        </w:rPr>
        <w:t>O</w:t>
      </w:r>
      <w:r w:rsidR="008825A6">
        <w:rPr>
          <w:rStyle w:val="Emphasis"/>
          <w:rFonts w:ascii="Arial" w:hAnsi="Arial" w:cs="Arial"/>
        </w:rPr>
        <w:t>ctopus</w:t>
      </w:r>
      <w:r w:rsidRPr="0075135D">
        <w:rPr>
          <w:rStyle w:val="Emphasis"/>
          <w:rFonts w:ascii="Arial" w:hAnsi="Arial" w:cs="Arial"/>
        </w:rPr>
        <w:t xml:space="preserve"> cyanea</w:t>
      </w:r>
      <w:r w:rsidRPr="0075135D">
        <w:rPr>
          <w:rFonts w:ascii="Arial" w:hAnsi="Arial" w:cs="Arial"/>
        </w:rPr>
        <w:t xml:space="preserve"> exhibits rapid growth and a very short lifespan of less than one year (Linung </w:t>
      </w:r>
      <w:r w:rsidRPr="0075135D">
        <w:rPr>
          <w:rFonts w:ascii="Arial" w:hAnsi="Arial" w:cs="Arial"/>
          <w:i/>
          <w:iCs/>
        </w:rPr>
        <w:t>et al</w:t>
      </w:r>
      <w:r w:rsidRPr="0075135D">
        <w:rPr>
          <w:rFonts w:ascii="Arial" w:hAnsi="Arial" w:cs="Arial"/>
        </w:rPr>
        <w:t xml:space="preserve">., 2024), with male and female reproductive phases occurring within a brief period (Rufiati </w:t>
      </w:r>
      <w:r w:rsidRPr="0075135D">
        <w:rPr>
          <w:rFonts w:ascii="Arial" w:hAnsi="Arial" w:cs="Arial"/>
          <w:i/>
          <w:iCs/>
        </w:rPr>
        <w:t>et al</w:t>
      </w:r>
      <w:r w:rsidRPr="0075135D">
        <w:rPr>
          <w:rFonts w:ascii="Arial" w:hAnsi="Arial" w:cs="Arial"/>
        </w:rPr>
        <w:t xml:space="preserve">., 2024). </w:t>
      </w:r>
      <w:commentRangeEnd w:id="7"/>
      <w:r w:rsidR="007A3120">
        <w:rPr>
          <w:rStyle w:val="CommentReference"/>
          <w:rFonts w:ascii="Times New Roman" w:hAnsi="Times New Roman"/>
          <w:lang w:val="nb-NO" w:eastAsia="nb-NO"/>
        </w:rPr>
        <w:commentReference w:id="7"/>
      </w:r>
      <w:r w:rsidRPr="0075135D">
        <w:rPr>
          <w:rFonts w:ascii="Arial" w:hAnsi="Arial" w:cs="Arial"/>
        </w:rPr>
        <w:t xml:space="preserve">The lack of baseline data on local biological characteristics can hinder conservation efforts and understanding of environmental carrying capacity. Given that octopus distribution is influenced by local factors, this study is essential to analyze the growth patterns of </w:t>
      </w:r>
      <w:r w:rsidRPr="0075135D">
        <w:rPr>
          <w:rStyle w:val="Emphasis"/>
          <w:rFonts w:ascii="Arial" w:hAnsi="Arial" w:cs="Arial"/>
        </w:rPr>
        <w:t>O</w:t>
      </w:r>
      <w:r w:rsidR="008825A6">
        <w:rPr>
          <w:rStyle w:val="Emphasis"/>
          <w:rFonts w:ascii="Arial" w:hAnsi="Arial" w:cs="Arial"/>
        </w:rPr>
        <w:t>ctopus</w:t>
      </w:r>
      <w:r w:rsidRPr="0075135D">
        <w:rPr>
          <w:rStyle w:val="Emphasis"/>
          <w:rFonts w:ascii="Arial" w:hAnsi="Arial" w:cs="Arial"/>
        </w:rPr>
        <w:t xml:space="preserve"> cyanea</w:t>
      </w:r>
      <w:r w:rsidRPr="0075135D">
        <w:rPr>
          <w:rFonts w:ascii="Arial" w:hAnsi="Arial" w:cs="Arial"/>
        </w:rPr>
        <w:t xml:space="preserve"> as biological baseline data to understand population dynamics in the waters around Seruni Mumbul Village.</w:t>
      </w:r>
    </w:p>
    <w:p w14:paraId="75A4DC02" w14:textId="77777777" w:rsidR="00D56E1E" w:rsidRPr="001F6062" w:rsidRDefault="00D56E1E" w:rsidP="00441B6F">
      <w:pPr>
        <w:pStyle w:val="Body"/>
        <w:spacing w:after="0"/>
        <w:rPr>
          <w:rFonts w:ascii="Arial" w:hAnsi="Arial" w:cs="Arial"/>
        </w:rPr>
      </w:pPr>
    </w:p>
    <w:p w14:paraId="3EA6E1DE" w14:textId="589ED9A2" w:rsidR="007F7B32" w:rsidRPr="001F6062" w:rsidRDefault="00902823" w:rsidP="00441B6F">
      <w:pPr>
        <w:pStyle w:val="AbstHead"/>
        <w:spacing w:after="0"/>
        <w:jc w:val="both"/>
        <w:rPr>
          <w:rFonts w:ascii="Arial" w:hAnsi="Arial" w:cs="Arial"/>
        </w:rPr>
      </w:pPr>
      <w:r w:rsidRPr="001F6062">
        <w:rPr>
          <w:rFonts w:ascii="Arial" w:hAnsi="Arial" w:cs="Arial"/>
        </w:rPr>
        <w:t>2. material and method</w:t>
      </w:r>
      <w:r w:rsidR="00000F8F" w:rsidRPr="001F6062">
        <w:rPr>
          <w:rFonts w:ascii="Arial" w:hAnsi="Arial" w:cs="Arial"/>
        </w:rPr>
        <w:t>s</w:t>
      </w:r>
    </w:p>
    <w:p w14:paraId="2333DC8A" w14:textId="77777777" w:rsidR="00790ADA" w:rsidRPr="001F6062" w:rsidRDefault="00790ADA" w:rsidP="00441B6F">
      <w:pPr>
        <w:pStyle w:val="AbstHead"/>
        <w:spacing w:after="0"/>
        <w:jc w:val="both"/>
        <w:rPr>
          <w:rFonts w:ascii="Arial" w:hAnsi="Arial" w:cs="Arial"/>
        </w:rPr>
      </w:pPr>
    </w:p>
    <w:p w14:paraId="506B5F53" w14:textId="4E21EA42" w:rsidR="00B271C8" w:rsidRPr="009F5FB8" w:rsidRDefault="00C202B7" w:rsidP="009F5FB8">
      <w:pPr>
        <w:pStyle w:val="AbstHead"/>
        <w:spacing w:after="0"/>
        <w:jc w:val="both"/>
        <w:rPr>
          <w:rFonts w:ascii="Arial" w:hAnsi="Arial" w:cs="Arial"/>
        </w:rPr>
      </w:pPr>
      <w:r w:rsidRPr="009F5FB8">
        <w:rPr>
          <w:rFonts w:ascii="Arial" w:hAnsi="Arial" w:cs="Arial"/>
        </w:rPr>
        <w:t xml:space="preserve">2.1 </w:t>
      </w:r>
      <w:r w:rsidR="009F5FB8" w:rsidRPr="009F5FB8">
        <w:rPr>
          <w:rFonts w:ascii="Arial" w:hAnsi="Arial" w:cs="Arial"/>
          <w:caps w:val="0"/>
        </w:rPr>
        <w:t>Study Area</w:t>
      </w:r>
    </w:p>
    <w:p w14:paraId="091D48F7" w14:textId="77777777" w:rsidR="009F5FB8" w:rsidRDefault="009F5FB8" w:rsidP="000552C3">
      <w:pPr>
        <w:pStyle w:val="CommentText"/>
        <w:jc w:val="both"/>
        <w:rPr>
          <w:rFonts w:ascii="Arial" w:hAnsi="Arial" w:cs="Arial"/>
        </w:rPr>
      </w:pPr>
    </w:p>
    <w:p w14:paraId="4AC335E7" w14:textId="2D434791" w:rsidR="00583075" w:rsidRPr="0075135D" w:rsidRDefault="00583075" w:rsidP="000552C3">
      <w:pPr>
        <w:pStyle w:val="CommentText"/>
        <w:jc w:val="both"/>
        <w:rPr>
          <w:rFonts w:ascii="Arial" w:hAnsi="Arial" w:cs="Arial"/>
        </w:rPr>
      </w:pPr>
      <w:r w:rsidRPr="0075135D">
        <w:rPr>
          <w:rFonts w:ascii="Arial" w:hAnsi="Arial" w:cs="Arial"/>
        </w:rPr>
        <w:t xml:space="preserve">The study was conducted over a five-month period, from April to August 2025. Data collection focused on </w:t>
      </w:r>
      <w:commentRangeStart w:id="8"/>
      <w:r w:rsidRPr="0075135D">
        <w:rPr>
          <w:rFonts w:ascii="Arial" w:hAnsi="Arial" w:cs="Arial"/>
        </w:rPr>
        <w:t xml:space="preserve">the catch of local fishers operating </w:t>
      </w:r>
      <w:commentRangeEnd w:id="8"/>
      <w:r w:rsidR="009F6EF6">
        <w:rPr>
          <w:rStyle w:val="CommentReference"/>
        </w:rPr>
        <w:commentReference w:id="8"/>
      </w:r>
      <w:r w:rsidRPr="0075135D">
        <w:rPr>
          <w:rFonts w:ascii="Arial" w:hAnsi="Arial" w:cs="Arial"/>
        </w:rPr>
        <w:t>in the waters surrounding Seruni Mumbul Village, East Lombok Regency, geographically located along the coast of the Alas Strait (Figure 1). This marine area is characterized by coral reef and seagrass habitats, which serve as the primary fishing grounds for local fishers.</w:t>
      </w:r>
    </w:p>
    <w:p w14:paraId="222CA085" w14:textId="31DE67CF" w:rsidR="00011EDD" w:rsidRPr="0075135D" w:rsidRDefault="00011EDD" w:rsidP="000552C3">
      <w:pPr>
        <w:pStyle w:val="CommentText"/>
        <w:jc w:val="both"/>
        <w:rPr>
          <w:rFonts w:ascii="Arial" w:hAnsi="Arial" w:cs="Arial"/>
        </w:rPr>
      </w:pPr>
    </w:p>
    <w:p w14:paraId="62D3917B" w14:textId="0DF64DDA" w:rsidR="000552C3" w:rsidRPr="0075135D" w:rsidRDefault="00583075" w:rsidP="000552C3">
      <w:pPr>
        <w:pStyle w:val="CommentText"/>
        <w:jc w:val="both"/>
        <w:rPr>
          <w:rFonts w:ascii="Arial" w:hAnsi="Arial" w:cs="Arial"/>
        </w:rPr>
      </w:pPr>
      <w:r w:rsidRPr="0075135D">
        <w:rPr>
          <w:rFonts w:ascii="Arial" w:hAnsi="Arial" w:cs="Arial"/>
        </w:rPr>
        <w:t xml:space="preserve">In situ data collection was carried out </w:t>
      </w:r>
      <w:commentRangeStart w:id="9"/>
      <w:r w:rsidRPr="0075135D">
        <w:rPr>
          <w:rFonts w:ascii="Arial" w:hAnsi="Arial" w:cs="Arial"/>
        </w:rPr>
        <w:t>at two main landing sites representing the catches from the area: the Segare Harapan Jaya Cooperative and collectors in Dusun Kampung Mandar</w:t>
      </w:r>
      <w:commentRangeEnd w:id="9"/>
      <w:r w:rsidR="00AE460E">
        <w:rPr>
          <w:rStyle w:val="CommentReference"/>
        </w:rPr>
        <w:commentReference w:id="9"/>
      </w:r>
      <w:r w:rsidRPr="0075135D">
        <w:rPr>
          <w:rFonts w:ascii="Arial" w:hAnsi="Arial" w:cs="Arial"/>
        </w:rPr>
        <w:t xml:space="preserve">. </w:t>
      </w:r>
      <w:commentRangeStart w:id="10"/>
      <w:r w:rsidRPr="0075135D">
        <w:rPr>
          <w:rFonts w:ascii="Arial" w:hAnsi="Arial" w:cs="Arial"/>
        </w:rPr>
        <w:t xml:space="preserve">All </w:t>
      </w:r>
      <w:r w:rsidRPr="0075135D">
        <w:rPr>
          <w:rStyle w:val="Emphasis"/>
          <w:rFonts w:ascii="Arial" w:hAnsi="Arial" w:cs="Arial"/>
        </w:rPr>
        <w:t>Octopus cyanea</w:t>
      </w:r>
      <w:r w:rsidRPr="0075135D">
        <w:rPr>
          <w:rFonts w:ascii="Arial" w:hAnsi="Arial" w:cs="Arial"/>
        </w:rPr>
        <w:t xml:space="preserve"> individuals </w:t>
      </w:r>
      <w:commentRangeEnd w:id="10"/>
      <w:r w:rsidR="00F00C17">
        <w:rPr>
          <w:rStyle w:val="CommentReference"/>
        </w:rPr>
        <w:commentReference w:id="10"/>
      </w:r>
      <w:r w:rsidRPr="0075135D">
        <w:rPr>
          <w:rFonts w:ascii="Arial" w:hAnsi="Arial" w:cs="Arial"/>
        </w:rPr>
        <w:t>were measured immediately after landing to ensure the accuracy of morphometric measurements.</w:t>
      </w:r>
    </w:p>
    <w:p w14:paraId="28FD71A1" w14:textId="7060E729" w:rsidR="008C5027" w:rsidRPr="0075135D" w:rsidRDefault="007C514D" w:rsidP="008C5027">
      <w:pPr>
        <w:spacing w:before="120" w:after="120"/>
        <w:ind w:firstLine="567"/>
        <w:jc w:val="center"/>
        <w:rPr>
          <w:rFonts w:ascii="Arial" w:hAnsi="Arial" w:cs="Arial"/>
          <w:color w:val="000000"/>
        </w:rPr>
      </w:pPr>
      <w:r>
        <w:rPr>
          <w:rFonts w:ascii="Arial" w:hAnsi="Arial" w:cs="Arial"/>
          <w:noProof/>
          <w:color w:val="000000"/>
        </w:rPr>
        <w:lastRenderedPageBreak/>
        <w:drawing>
          <wp:inline distT="0" distB="0" distL="0" distR="0" wp14:anchorId="5090F888" wp14:editId="25CAB5D4">
            <wp:extent cx="3687921" cy="26515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a:extLst>
                        <a:ext uri="{28A0092B-C50C-407E-A947-70E740481C1C}">
                          <a14:useLocalDpi xmlns:a14="http://schemas.microsoft.com/office/drawing/2010/main" val="0"/>
                        </a:ext>
                      </a:extLst>
                    </a:blip>
                    <a:srcRect l="19530" t="15015" r="19215" b="6656"/>
                    <a:stretch/>
                  </pic:blipFill>
                  <pic:spPr bwMode="auto">
                    <a:xfrm>
                      <a:off x="0" y="0"/>
                      <a:ext cx="3711896" cy="2668773"/>
                    </a:xfrm>
                    <a:prstGeom prst="rect">
                      <a:avLst/>
                    </a:prstGeom>
                    <a:ln>
                      <a:noFill/>
                    </a:ln>
                    <a:extLst>
                      <a:ext uri="{53640926-AAD7-44D8-BBD7-CCE9431645EC}">
                        <a14:shadowObscured xmlns:a14="http://schemas.microsoft.com/office/drawing/2010/main"/>
                      </a:ext>
                    </a:extLst>
                  </pic:spPr>
                </pic:pic>
              </a:graphicData>
            </a:graphic>
          </wp:inline>
        </w:drawing>
      </w:r>
    </w:p>
    <w:p w14:paraId="74EC3706" w14:textId="112E8A49" w:rsidR="000B7BF1" w:rsidRPr="0075135D" w:rsidRDefault="00583075" w:rsidP="00F56A80">
      <w:pPr>
        <w:spacing w:before="120" w:after="120"/>
        <w:ind w:firstLine="567"/>
        <w:jc w:val="center"/>
        <w:rPr>
          <w:rFonts w:ascii="Arial" w:hAnsi="Arial" w:cs="Arial"/>
          <w:color w:val="000000"/>
        </w:rPr>
      </w:pPr>
      <w:r w:rsidRPr="0075135D">
        <w:rPr>
          <w:rFonts w:ascii="Arial" w:hAnsi="Arial" w:cs="Arial"/>
        </w:rPr>
        <w:t>Figure 1. Study Area Map</w:t>
      </w:r>
    </w:p>
    <w:p w14:paraId="617AAB15" w14:textId="172F0DAF" w:rsidR="00C202B7" w:rsidRPr="009F5FB8" w:rsidRDefault="00C202B7" w:rsidP="009F5FB8">
      <w:pPr>
        <w:pStyle w:val="AbstHead"/>
        <w:spacing w:after="0"/>
        <w:jc w:val="both"/>
        <w:rPr>
          <w:rFonts w:ascii="Arial" w:hAnsi="Arial" w:cs="Arial"/>
        </w:rPr>
      </w:pPr>
      <w:commentRangeStart w:id="11"/>
      <w:r w:rsidRPr="009F5FB8">
        <w:rPr>
          <w:rFonts w:ascii="Arial" w:hAnsi="Arial" w:cs="Arial"/>
        </w:rPr>
        <w:t xml:space="preserve">2.2 </w:t>
      </w:r>
      <w:commentRangeStart w:id="12"/>
      <w:r w:rsidR="009F5FB8" w:rsidRPr="009F5FB8">
        <w:rPr>
          <w:rFonts w:ascii="Arial" w:hAnsi="Arial" w:cs="Arial"/>
          <w:caps w:val="0"/>
        </w:rPr>
        <w:t>Data Collection</w:t>
      </w:r>
      <w:commentRangeEnd w:id="11"/>
      <w:r w:rsidR="00ED470C">
        <w:rPr>
          <w:rStyle w:val="CommentReference"/>
          <w:rFonts w:ascii="Times New Roman" w:hAnsi="Times New Roman"/>
          <w:b w:val="0"/>
          <w:caps w:val="0"/>
          <w:lang w:val="nb-NO" w:eastAsia="nb-NO"/>
        </w:rPr>
        <w:commentReference w:id="11"/>
      </w:r>
      <w:commentRangeEnd w:id="12"/>
      <w:r w:rsidR="004A6DC2">
        <w:rPr>
          <w:rStyle w:val="CommentReference"/>
          <w:rFonts w:ascii="Times New Roman" w:hAnsi="Times New Roman"/>
          <w:b w:val="0"/>
          <w:caps w:val="0"/>
          <w:lang w:val="nb-NO" w:eastAsia="nb-NO"/>
        </w:rPr>
        <w:commentReference w:id="12"/>
      </w:r>
    </w:p>
    <w:p w14:paraId="1D3432B0" w14:textId="77777777" w:rsidR="009F5FB8" w:rsidRDefault="009F5FB8" w:rsidP="009F5FB8">
      <w:pPr>
        <w:pStyle w:val="NormalWeb"/>
        <w:spacing w:before="0" w:beforeAutospacing="0" w:after="0" w:afterAutospacing="0"/>
        <w:jc w:val="both"/>
        <w:rPr>
          <w:rFonts w:ascii="Arial" w:hAnsi="Arial" w:cs="Arial"/>
          <w:sz w:val="20"/>
          <w:szCs w:val="20"/>
        </w:rPr>
      </w:pPr>
    </w:p>
    <w:p w14:paraId="632FFD91" w14:textId="423598D0" w:rsidR="00011EDD" w:rsidRDefault="00583075" w:rsidP="009F5FB8">
      <w:pPr>
        <w:pStyle w:val="NormalWeb"/>
        <w:spacing w:before="0" w:beforeAutospacing="0" w:after="0" w:afterAutospacing="0"/>
        <w:jc w:val="both"/>
        <w:rPr>
          <w:rFonts w:ascii="Arial" w:hAnsi="Arial" w:cs="Arial"/>
          <w:sz w:val="20"/>
          <w:szCs w:val="20"/>
        </w:rPr>
      </w:pPr>
      <w:r w:rsidRPr="0075135D">
        <w:rPr>
          <w:rFonts w:ascii="Arial" w:hAnsi="Arial" w:cs="Arial"/>
          <w:sz w:val="20"/>
          <w:szCs w:val="20"/>
        </w:rPr>
        <w:t xml:space="preserve">The study utilized both primary and secondary data. Primary data were obtained through direct </w:t>
      </w:r>
      <w:commentRangeStart w:id="13"/>
      <w:r w:rsidRPr="0075135D">
        <w:rPr>
          <w:rFonts w:ascii="Arial" w:hAnsi="Arial" w:cs="Arial"/>
          <w:sz w:val="20"/>
          <w:szCs w:val="20"/>
        </w:rPr>
        <w:t xml:space="preserve">measurements of all </w:t>
      </w:r>
      <w:r w:rsidRPr="0075135D">
        <w:rPr>
          <w:rStyle w:val="Emphasis"/>
          <w:rFonts w:ascii="Arial" w:hAnsi="Arial" w:cs="Arial"/>
          <w:sz w:val="20"/>
          <w:szCs w:val="20"/>
        </w:rPr>
        <w:t>Octopus cyanea</w:t>
      </w:r>
      <w:r w:rsidRPr="0075135D">
        <w:rPr>
          <w:rFonts w:ascii="Arial" w:hAnsi="Arial" w:cs="Arial"/>
          <w:sz w:val="20"/>
          <w:szCs w:val="20"/>
        </w:rPr>
        <w:t xml:space="preserve"> </w:t>
      </w:r>
      <w:commentRangeEnd w:id="13"/>
      <w:r w:rsidR="001A52B7">
        <w:rPr>
          <w:rStyle w:val="CommentReference"/>
          <w:lang w:val="nb-NO" w:eastAsia="nb-NO"/>
        </w:rPr>
        <w:commentReference w:id="13"/>
      </w:r>
      <w:r w:rsidRPr="0075135D">
        <w:rPr>
          <w:rFonts w:ascii="Arial" w:hAnsi="Arial" w:cs="Arial"/>
          <w:sz w:val="20"/>
          <w:szCs w:val="20"/>
        </w:rPr>
        <w:t xml:space="preserve">individuals landed at the two sites, namely the Segare Harapan Jaya Cooperative and collectors in Dusun Kampung Mandar. Measured parameters included </w:t>
      </w:r>
      <w:commentRangeStart w:id="14"/>
      <w:r w:rsidRPr="0075135D">
        <w:rPr>
          <w:rFonts w:ascii="Arial" w:hAnsi="Arial" w:cs="Arial"/>
          <w:sz w:val="20"/>
          <w:szCs w:val="20"/>
        </w:rPr>
        <w:t xml:space="preserve">dorsal mantle length (DML), </w:t>
      </w:r>
      <w:commentRangeEnd w:id="14"/>
      <w:r w:rsidR="004C6DE5">
        <w:rPr>
          <w:rStyle w:val="CommentReference"/>
          <w:lang w:val="nb-NO" w:eastAsia="nb-NO"/>
        </w:rPr>
        <w:commentReference w:id="14"/>
      </w:r>
      <w:r w:rsidRPr="0075135D">
        <w:rPr>
          <w:rFonts w:ascii="Arial" w:hAnsi="Arial" w:cs="Arial"/>
          <w:sz w:val="20"/>
          <w:szCs w:val="20"/>
        </w:rPr>
        <w:t xml:space="preserve">body weight, and sex, with </w:t>
      </w:r>
      <w:commentRangeStart w:id="15"/>
      <w:r w:rsidRPr="0075135D">
        <w:rPr>
          <w:rFonts w:ascii="Arial" w:hAnsi="Arial" w:cs="Arial"/>
          <w:sz w:val="20"/>
          <w:szCs w:val="20"/>
        </w:rPr>
        <w:t>species identification following FAO identification guides.</w:t>
      </w:r>
      <w:commentRangeEnd w:id="15"/>
      <w:r w:rsidR="00771296">
        <w:rPr>
          <w:rStyle w:val="CommentReference"/>
          <w:lang w:val="nb-NO" w:eastAsia="nb-NO"/>
        </w:rPr>
        <w:commentReference w:id="15"/>
      </w:r>
    </w:p>
    <w:p w14:paraId="714B92E8" w14:textId="77777777" w:rsidR="009F5FB8" w:rsidRPr="0075135D" w:rsidRDefault="009F5FB8" w:rsidP="009F5FB8">
      <w:pPr>
        <w:pStyle w:val="NormalWeb"/>
        <w:spacing w:before="0" w:beforeAutospacing="0" w:after="0" w:afterAutospacing="0"/>
        <w:jc w:val="both"/>
        <w:rPr>
          <w:rFonts w:ascii="Arial" w:hAnsi="Arial" w:cs="Arial"/>
          <w:sz w:val="20"/>
          <w:szCs w:val="20"/>
        </w:rPr>
      </w:pPr>
    </w:p>
    <w:p w14:paraId="453ECCAC" w14:textId="17A9C602" w:rsidR="00583075" w:rsidRDefault="00583075" w:rsidP="009F5FB8">
      <w:pPr>
        <w:pStyle w:val="NormalWeb"/>
        <w:spacing w:before="0" w:beforeAutospacing="0" w:after="0" w:afterAutospacing="0"/>
        <w:jc w:val="both"/>
        <w:rPr>
          <w:rFonts w:ascii="Arial" w:hAnsi="Arial" w:cs="Arial"/>
          <w:sz w:val="20"/>
          <w:szCs w:val="20"/>
        </w:rPr>
      </w:pPr>
      <w:commentRangeStart w:id="16"/>
      <w:r w:rsidRPr="0075135D">
        <w:rPr>
          <w:rFonts w:ascii="Arial" w:hAnsi="Arial" w:cs="Arial"/>
          <w:sz w:val="20"/>
          <w:szCs w:val="20"/>
        </w:rPr>
        <w:t>Dorsal mantle length (DML) was measured from the posterior end of the mantle to the center of the eye</w:t>
      </w:r>
      <w:commentRangeEnd w:id="16"/>
      <w:r w:rsidR="00CD5F79">
        <w:rPr>
          <w:rStyle w:val="CommentReference"/>
          <w:lang w:val="nb-NO" w:eastAsia="nb-NO"/>
        </w:rPr>
        <w:commentReference w:id="16"/>
      </w:r>
      <w:r w:rsidRPr="0075135D">
        <w:rPr>
          <w:rFonts w:ascii="Arial" w:hAnsi="Arial" w:cs="Arial"/>
          <w:sz w:val="20"/>
          <w:szCs w:val="20"/>
        </w:rPr>
        <w:t xml:space="preserve">. During measurement, individuals were placed on a flat measuring board to maintain accuracy, considering the flexible body of octopuses. DML was measured using a </w:t>
      </w:r>
      <w:commentRangeStart w:id="17"/>
      <w:r w:rsidRPr="0075135D">
        <w:rPr>
          <w:rFonts w:ascii="Arial" w:hAnsi="Arial" w:cs="Arial"/>
          <w:sz w:val="20"/>
          <w:szCs w:val="20"/>
        </w:rPr>
        <w:t>measuring board and tape measure, while body weight was recorded using a digital scale.</w:t>
      </w:r>
      <w:commentRangeEnd w:id="17"/>
      <w:r w:rsidR="00457A2A">
        <w:rPr>
          <w:rStyle w:val="CommentReference"/>
          <w:lang w:val="nb-NO" w:eastAsia="nb-NO"/>
        </w:rPr>
        <w:commentReference w:id="17"/>
      </w:r>
    </w:p>
    <w:p w14:paraId="54185A38" w14:textId="77777777" w:rsidR="009F5FB8" w:rsidRPr="0075135D" w:rsidRDefault="009F5FB8" w:rsidP="009F5FB8">
      <w:pPr>
        <w:pStyle w:val="NormalWeb"/>
        <w:spacing w:before="0" w:beforeAutospacing="0" w:after="0" w:afterAutospacing="0"/>
        <w:jc w:val="both"/>
        <w:rPr>
          <w:rFonts w:ascii="Arial" w:hAnsi="Arial" w:cs="Arial"/>
          <w:sz w:val="20"/>
          <w:szCs w:val="20"/>
        </w:rPr>
      </w:pPr>
    </w:p>
    <w:p w14:paraId="7F964E1C" w14:textId="0028009D" w:rsidR="00583075" w:rsidRDefault="00583075" w:rsidP="009F5FB8">
      <w:pPr>
        <w:pStyle w:val="NormalWeb"/>
        <w:spacing w:before="0" w:beforeAutospacing="0" w:after="0" w:afterAutospacing="0"/>
        <w:jc w:val="both"/>
        <w:rPr>
          <w:rFonts w:ascii="Arial" w:hAnsi="Arial" w:cs="Arial"/>
          <w:sz w:val="20"/>
          <w:szCs w:val="20"/>
        </w:rPr>
      </w:pPr>
      <w:commentRangeStart w:id="18"/>
      <w:r w:rsidRPr="0075135D">
        <w:rPr>
          <w:rFonts w:ascii="Arial" w:hAnsi="Arial" w:cs="Arial"/>
          <w:sz w:val="20"/>
          <w:szCs w:val="20"/>
        </w:rPr>
        <w:t>Sex was determined by observing the reproductive organs</w:t>
      </w:r>
      <w:commentRangeEnd w:id="18"/>
      <w:r w:rsidR="00947924">
        <w:rPr>
          <w:rStyle w:val="CommentReference"/>
          <w:lang w:val="nb-NO" w:eastAsia="nb-NO"/>
        </w:rPr>
        <w:commentReference w:id="18"/>
      </w:r>
      <w:r w:rsidRPr="0075135D">
        <w:rPr>
          <w:rFonts w:ascii="Arial" w:hAnsi="Arial" w:cs="Arial"/>
          <w:sz w:val="20"/>
          <w:szCs w:val="20"/>
        </w:rPr>
        <w:t>, specifically by identifying the presence of a hectocotylus on the third arm, following FAO identification guidelines. Each measured individual was documented with photographs and recorded on a data collection form. Data collection was conducted daily throughout the study period from April to August 2025. Secondary data were obtained from books, scientific journals, and other supporting documents related to octopus biology.</w:t>
      </w:r>
    </w:p>
    <w:p w14:paraId="2A4CBE95" w14:textId="77777777" w:rsidR="009F5FB8" w:rsidRPr="0075135D" w:rsidRDefault="009F5FB8" w:rsidP="009F5FB8">
      <w:pPr>
        <w:pStyle w:val="NormalWeb"/>
        <w:spacing w:before="0" w:beforeAutospacing="0" w:after="0" w:afterAutospacing="0"/>
        <w:jc w:val="both"/>
        <w:rPr>
          <w:rFonts w:ascii="Arial" w:hAnsi="Arial" w:cs="Arial"/>
          <w:sz w:val="20"/>
          <w:szCs w:val="20"/>
        </w:rPr>
      </w:pPr>
    </w:p>
    <w:p w14:paraId="6EAB94C5" w14:textId="611A0B61" w:rsidR="00C202B7" w:rsidRDefault="00C202B7" w:rsidP="009F5FB8">
      <w:pPr>
        <w:pStyle w:val="Body"/>
        <w:spacing w:after="0"/>
        <w:rPr>
          <w:rFonts w:ascii="Arial" w:hAnsi="Arial" w:cs="Arial"/>
          <w:b/>
          <w:bCs/>
          <w:sz w:val="22"/>
          <w:szCs w:val="22"/>
        </w:rPr>
      </w:pPr>
      <w:r w:rsidRPr="001F6062">
        <w:rPr>
          <w:rFonts w:ascii="Arial" w:hAnsi="Arial" w:cs="Arial"/>
          <w:b/>
          <w:bCs/>
          <w:sz w:val="22"/>
          <w:szCs w:val="22"/>
        </w:rPr>
        <w:t>2.</w:t>
      </w:r>
      <w:r w:rsidR="0061114F">
        <w:rPr>
          <w:rFonts w:ascii="Arial" w:hAnsi="Arial" w:cs="Arial"/>
          <w:b/>
          <w:bCs/>
          <w:sz w:val="22"/>
          <w:szCs w:val="22"/>
        </w:rPr>
        <w:t>3</w:t>
      </w:r>
      <w:r w:rsidRPr="001F6062">
        <w:rPr>
          <w:rFonts w:ascii="Arial" w:hAnsi="Arial" w:cs="Arial"/>
          <w:b/>
          <w:bCs/>
          <w:sz w:val="22"/>
          <w:szCs w:val="22"/>
        </w:rPr>
        <w:t xml:space="preserve"> Data Analysis</w:t>
      </w:r>
    </w:p>
    <w:p w14:paraId="3F3BB2D1" w14:textId="77777777" w:rsidR="009F5FB8" w:rsidRPr="009F5FB8" w:rsidRDefault="009F5FB8" w:rsidP="009F5FB8">
      <w:pPr>
        <w:pStyle w:val="Body"/>
        <w:spacing w:after="0"/>
        <w:rPr>
          <w:rFonts w:ascii="Arial" w:hAnsi="Arial" w:cs="Arial"/>
          <w:b/>
          <w:bCs/>
        </w:rPr>
      </w:pPr>
    </w:p>
    <w:p w14:paraId="4669FB7C" w14:textId="5E6B9782" w:rsidR="00C202B7" w:rsidRPr="001F6062" w:rsidRDefault="00C202B7" w:rsidP="009F5FB8">
      <w:pPr>
        <w:pStyle w:val="Body"/>
        <w:spacing w:after="0"/>
        <w:rPr>
          <w:rFonts w:ascii="Arial" w:hAnsi="Arial" w:cs="Arial"/>
          <w:b/>
          <w:bCs/>
        </w:rPr>
      </w:pPr>
      <w:r w:rsidRPr="001F6062">
        <w:rPr>
          <w:rFonts w:ascii="Arial" w:hAnsi="Arial" w:cs="Arial"/>
          <w:b/>
          <w:bCs/>
        </w:rPr>
        <w:t>2.</w:t>
      </w:r>
      <w:r w:rsidR="0061114F">
        <w:rPr>
          <w:rFonts w:ascii="Arial" w:hAnsi="Arial" w:cs="Arial"/>
          <w:b/>
          <w:bCs/>
        </w:rPr>
        <w:t>3</w:t>
      </w:r>
      <w:r w:rsidRPr="001F6062">
        <w:rPr>
          <w:rFonts w:ascii="Arial" w:hAnsi="Arial" w:cs="Arial"/>
          <w:b/>
          <w:bCs/>
        </w:rPr>
        <w:t xml:space="preserve">.1 </w:t>
      </w:r>
      <w:r w:rsidR="0075135D" w:rsidRPr="0075135D">
        <w:rPr>
          <w:b/>
          <w:bCs/>
        </w:rPr>
        <w:t>Dorsal Mantle Length and Body Weight Distribution</w:t>
      </w:r>
    </w:p>
    <w:p w14:paraId="5E0C9625" w14:textId="77777777" w:rsidR="009F5FB8" w:rsidRDefault="009F5FB8" w:rsidP="009F5FB8">
      <w:pPr>
        <w:pStyle w:val="Body"/>
        <w:spacing w:after="0"/>
        <w:ind w:firstLine="567"/>
        <w:rPr>
          <w:rFonts w:ascii="Arial" w:hAnsi="Arial" w:cs="Arial"/>
        </w:rPr>
      </w:pPr>
    </w:p>
    <w:p w14:paraId="7FD21638" w14:textId="3553FD06" w:rsidR="00ED4D99" w:rsidRPr="001F6062" w:rsidRDefault="0075135D" w:rsidP="009F5FB8">
      <w:pPr>
        <w:pStyle w:val="Body"/>
        <w:spacing w:after="0"/>
        <w:ind w:firstLine="567"/>
        <w:rPr>
          <w:rFonts w:ascii="Arial" w:hAnsi="Arial" w:cs="Arial"/>
        </w:rPr>
      </w:pPr>
      <w:r w:rsidRPr="0075135D">
        <w:rPr>
          <w:rFonts w:ascii="Arial" w:hAnsi="Arial" w:cs="Arial"/>
        </w:rPr>
        <w:t xml:space="preserve">The distribution of dorsal mantle length (DML) and body weight of </w:t>
      </w:r>
      <w:r w:rsidRPr="0075135D">
        <w:rPr>
          <w:rStyle w:val="Emphasis"/>
          <w:rFonts w:ascii="Arial" w:hAnsi="Arial" w:cs="Arial"/>
        </w:rPr>
        <w:t>Octopus cyanea</w:t>
      </w:r>
      <w:r w:rsidRPr="0075135D">
        <w:rPr>
          <w:rFonts w:ascii="Arial" w:hAnsi="Arial" w:cs="Arial"/>
        </w:rPr>
        <w:t xml:space="preserve"> was analyzed using histograms. Analyses were conducted separately by sex (male and female) to identify differences in the size distribution of DML and body weight between sexes. The number of classes and class width for the histograms were determined using </w:t>
      </w:r>
      <w:r w:rsidRPr="0075135D">
        <w:rPr>
          <w:rStyle w:val="Strong"/>
          <w:rFonts w:ascii="Arial" w:hAnsi="Arial" w:cs="Arial"/>
          <w:b w:val="0"/>
          <w:bCs w:val="0"/>
        </w:rPr>
        <w:t>Sturges’ formula</w:t>
      </w:r>
      <w:r w:rsidRPr="0075135D">
        <w:rPr>
          <w:rFonts w:ascii="Arial" w:hAnsi="Arial" w:cs="Arial"/>
        </w:rPr>
        <w:t xml:space="preserve">, allowing the size distribution to proportionally represent the population structure of </w:t>
      </w:r>
      <w:r w:rsidRPr="0075135D">
        <w:rPr>
          <w:rStyle w:val="Emphasis"/>
          <w:rFonts w:ascii="Arial" w:hAnsi="Arial" w:cs="Arial"/>
        </w:rPr>
        <w:t>O</w:t>
      </w:r>
      <w:r w:rsidR="008825A6">
        <w:rPr>
          <w:rStyle w:val="Emphasis"/>
          <w:rFonts w:ascii="Arial" w:hAnsi="Arial" w:cs="Arial"/>
        </w:rPr>
        <w:t>ctopus</w:t>
      </w:r>
      <w:r w:rsidRPr="0075135D">
        <w:rPr>
          <w:rStyle w:val="Emphasis"/>
          <w:rFonts w:ascii="Arial" w:hAnsi="Arial" w:cs="Arial"/>
        </w:rPr>
        <w:t xml:space="preserve"> cyanea</w:t>
      </w:r>
      <w:r w:rsidRPr="0075135D">
        <w:rPr>
          <w:rFonts w:ascii="Arial" w:hAnsi="Arial" w:cs="Arial"/>
        </w:rPr>
        <w:t xml:space="preserve"> at the study sites. The resulting DML and body weight distributions were then </w:t>
      </w:r>
      <w:commentRangeStart w:id="19"/>
      <w:r w:rsidRPr="0075135D">
        <w:rPr>
          <w:rFonts w:ascii="Arial" w:hAnsi="Arial" w:cs="Arial"/>
        </w:rPr>
        <w:t xml:space="preserve">compared with gonadal maturity sizes based on sex from previous studies, </w:t>
      </w:r>
      <w:commentRangeEnd w:id="19"/>
      <w:r w:rsidR="00DA5802">
        <w:rPr>
          <w:rStyle w:val="CommentReference"/>
          <w:rFonts w:ascii="Times New Roman" w:hAnsi="Times New Roman"/>
          <w:lang w:val="nb-NO" w:eastAsia="nb-NO"/>
        </w:rPr>
        <w:commentReference w:id="19"/>
      </w:r>
      <w:r w:rsidRPr="0075135D">
        <w:rPr>
          <w:rFonts w:ascii="Arial" w:hAnsi="Arial" w:cs="Arial"/>
        </w:rPr>
        <w:t>in order to estimate the proportion of individuals that had reached maturity and were considered harvestable.</w:t>
      </w:r>
      <w:r w:rsidR="009F5FB8">
        <w:rPr>
          <w:rFonts w:ascii="Arial" w:hAnsi="Arial" w:cs="Arial"/>
        </w:rPr>
        <w:t xml:space="preserve"> </w:t>
      </w:r>
      <w:r>
        <w:t xml:space="preserve">Sturges’ formula used was as follows (Yunita </w:t>
      </w:r>
      <w:r w:rsidRPr="00487BBF">
        <w:rPr>
          <w:i/>
          <w:iCs/>
        </w:rPr>
        <w:t>et al</w:t>
      </w:r>
      <w:r>
        <w:t>., 2016</w:t>
      </w:r>
      <w:r w:rsidR="00ED4D99" w:rsidRPr="001F6062">
        <w:rPr>
          <w:rFonts w:ascii="Arial" w:hAnsi="Arial" w:cs="Arial"/>
        </w:rPr>
        <w:t>):</w:t>
      </w:r>
    </w:p>
    <w:p w14:paraId="58835368" w14:textId="77777777" w:rsidR="0021644E" w:rsidRPr="00776A83" w:rsidRDefault="0021644E" w:rsidP="001F3270">
      <w:pPr>
        <w:spacing w:before="120" w:after="120"/>
        <w:ind w:left="426"/>
        <w:jc w:val="both"/>
        <w:rPr>
          <w:rFonts w:ascii="Arial" w:hAnsi="Arial" w:cs="Arial"/>
          <w:color w:val="000000"/>
        </w:rPr>
      </w:pPr>
      <m:oMathPara>
        <m:oMathParaPr>
          <m:jc m:val="center"/>
        </m:oMathParaPr>
        <m:oMath>
          <m:r>
            <m:rPr>
              <m:sty m:val="p"/>
            </m:rPr>
            <w:rPr>
              <w:rFonts w:ascii="Cambria Math" w:hAnsi="Cambria Math" w:cs="Arial"/>
              <w:color w:val="000000"/>
            </w:rPr>
            <w:lastRenderedPageBreak/>
            <m:t>K=1+</m:t>
          </m:r>
          <m:d>
            <m:dPr>
              <m:ctrlPr>
                <w:rPr>
                  <w:rFonts w:ascii="Cambria Math" w:hAnsi="Cambria Math" w:cs="Arial"/>
                  <w:bCs/>
                  <w:iCs/>
                  <w:color w:val="000000"/>
                </w:rPr>
              </m:ctrlPr>
            </m:dPr>
            <m:e>
              <m:r>
                <m:rPr>
                  <m:sty m:val="p"/>
                </m:rPr>
                <w:rPr>
                  <w:rFonts w:ascii="Cambria Math" w:hAnsi="Cambria Math" w:cs="Arial"/>
                  <w:color w:val="000000"/>
                </w:rPr>
                <m:t>3,32×</m:t>
              </m:r>
              <m:func>
                <m:funcPr>
                  <m:ctrlPr>
                    <w:rPr>
                      <w:rFonts w:ascii="Cambria Math" w:hAnsi="Cambria Math" w:cs="Arial"/>
                      <w:bCs/>
                      <w:iCs/>
                      <w:color w:val="000000"/>
                    </w:rPr>
                  </m:ctrlPr>
                </m:funcPr>
                <m:fName>
                  <m:r>
                    <m:rPr>
                      <m:sty m:val="p"/>
                    </m:rPr>
                    <w:rPr>
                      <w:rFonts w:ascii="Cambria Math" w:hAnsi="Cambria Math" w:cs="Arial"/>
                      <w:color w:val="000000"/>
                    </w:rPr>
                    <m:t xml:space="preserve">log </m:t>
                  </m:r>
                </m:fName>
                <m:e>
                  <m:r>
                    <m:rPr>
                      <m:sty m:val="p"/>
                    </m:rPr>
                    <w:rPr>
                      <w:rFonts w:ascii="Cambria Math" w:hAnsi="Cambria Math" w:cs="Arial"/>
                      <w:color w:val="000000"/>
                    </w:rPr>
                    <m:t>(n</m:t>
                  </m:r>
                </m:e>
              </m:func>
            </m:e>
          </m:d>
          <m:r>
            <m:rPr>
              <m:sty m:val="p"/>
            </m:rPr>
            <w:rPr>
              <w:rFonts w:ascii="Cambria Math" w:hAnsi="Cambria Math" w:cs="Arial"/>
              <w:color w:val="000000"/>
            </w:rPr>
            <m:t xml:space="preserve"> </m:t>
          </m:r>
        </m:oMath>
      </m:oMathPara>
    </w:p>
    <w:p w14:paraId="41239605" w14:textId="77777777" w:rsidR="0021644E" w:rsidRPr="00776A83" w:rsidRDefault="0021644E" w:rsidP="001F3270">
      <w:pPr>
        <w:spacing w:before="120" w:after="120"/>
        <w:ind w:left="426"/>
        <w:jc w:val="both"/>
        <w:rPr>
          <w:rFonts w:ascii="Arial" w:hAnsi="Arial" w:cs="Arial"/>
          <w:color w:val="000000"/>
          <w:lang w:val="sv-SE"/>
        </w:rPr>
      </w:pPr>
      <m:oMathPara>
        <m:oMathParaPr>
          <m:jc m:val="center"/>
        </m:oMathParaPr>
        <m:oMath>
          <m:r>
            <m:rPr>
              <m:sty m:val="p"/>
            </m:rPr>
            <w:rPr>
              <w:rFonts w:ascii="Cambria Math" w:hAnsi="Cambria Math" w:cs="Arial"/>
              <w:color w:val="000000"/>
              <w:lang w:val="sv-SE"/>
            </w:rPr>
            <m:t>i=</m:t>
          </m:r>
          <m:f>
            <m:fPr>
              <m:ctrlPr>
                <w:rPr>
                  <w:rFonts w:ascii="Cambria Math" w:hAnsi="Cambria Math" w:cs="Arial"/>
                  <w:bCs/>
                  <w:iCs/>
                  <w:color w:val="000000"/>
                </w:rPr>
              </m:ctrlPr>
            </m:fPr>
            <m:num>
              <m:sSub>
                <m:sSubPr>
                  <m:ctrlPr>
                    <w:rPr>
                      <w:rFonts w:ascii="Cambria Math" w:hAnsi="Cambria Math" w:cs="Arial"/>
                      <w:bCs/>
                      <w:iCs/>
                      <w:color w:val="000000"/>
                    </w:rPr>
                  </m:ctrlPr>
                </m:sSubPr>
                <m:e>
                  <m:r>
                    <m:rPr>
                      <m:sty m:val="p"/>
                    </m:rPr>
                    <w:rPr>
                      <w:rFonts w:ascii="Cambria Math" w:hAnsi="Cambria Math" w:cs="Arial"/>
                      <w:color w:val="000000"/>
                      <w:lang w:val="sv-SE"/>
                    </w:rPr>
                    <m:t>X</m:t>
                  </m:r>
                </m:e>
                <m:sub>
                  <m:r>
                    <m:rPr>
                      <m:nor/>
                    </m:rPr>
                    <w:rPr>
                      <w:rFonts w:ascii="Arial" w:hAnsi="Arial" w:cs="Arial"/>
                      <w:bCs/>
                      <w:iCs/>
                      <w:color w:val="000000"/>
                      <w:lang w:val="sv-SE"/>
                    </w:rPr>
                    <m:t>max</m:t>
                  </m:r>
                </m:sub>
              </m:sSub>
              <m:r>
                <m:rPr>
                  <m:sty m:val="p"/>
                </m:rPr>
                <w:rPr>
                  <w:rFonts w:ascii="Cambria Math" w:hAnsi="Cambria Math" w:cs="Arial"/>
                  <w:color w:val="000000"/>
                  <w:lang w:val="sv-SE"/>
                </w:rPr>
                <m:t>-</m:t>
              </m:r>
              <m:sSub>
                <m:sSubPr>
                  <m:ctrlPr>
                    <w:rPr>
                      <w:rFonts w:ascii="Cambria Math" w:hAnsi="Cambria Math" w:cs="Arial"/>
                      <w:bCs/>
                      <w:iCs/>
                      <w:color w:val="000000"/>
                    </w:rPr>
                  </m:ctrlPr>
                </m:sSubPr>
                <m:e>
                  <m:r>
                    <m:rPr>
                      <m:sty m:val="p"/>
                    </m:rPr>
                    <w:rPr>
                      <w:rFonts w:ascii="Cambria Math" w:hAnsi="Cambria Math" w:cs="Arial"/>
                      <w:color w:val="000000"/>
                      <w:lang w:val="sv-SE"/>
                    </w:rPr>
                    <m:t>X</m:t>
                  </m:r>
                </m:e>
                <m:sub>
                  <m:r>
                    <m:rPr>
                      <m:nor/>
                    </m:rPr>
                    <w:rPr>
                      <w:rFonts w:ascii="Arial" w:hAnsi="Arial" w:cs="Arial"/>
                      <w:bCs/>
                      <w:iCs/>
                      <w:color w:val="000000"/>
                      <w:lang w:val="sv-SE"/>
                    </w:rPr>
                    <m:t>min</m:t>
                  </m:r>
                </m:sub>
              </m:sSub>
            </m:num>
            <m:den>
              <m:r>
                <m:rPr>
                  <m:sty m:val="p"/>
                </m:rPr>
                <w:rPr>
                  <w:rFonts w:ascii="Cambria Math" w:hAnsi="Cambria Math" w:cs="Arial"/>
                  <w:color w:val="000000"/>
                  <w:lang w:val="sv-SE"/>
                </w:rPr>
                <m:t>K</m:t>
              </m:r>
            </m:den>
          </m:f>
        </m:oMath>
      </m:oMathPara>
    </w:p>
    <w:p w14:paraId="0D3F2479" w14:textId="15D83DC3" w:rsidR="0021644E" w:rsidRPr="0021644E" w:rsidRDefault="00776A83" w:rsidP="001F3270">
      <w:pPr>
        <w:pBdr>
          <w:top w:val="nil"/>
          <w:left w:val="nil"/>
          <w:bottom w:val="nil"/>
          <w:right w:val="nil"/>
          <w:between w:val="nil"/>
        </w:pBdr>
        <w:ind w:left="426"/>
        <w:jc w:val="both"/>
        <w:rPr>
          <w:rFonts w:ascii="Arial" w:hAnsi="Arial" w:cs="Arial"/>
          <w:bCs/>
          <w:color w:val="000000"/>
        </w:rPr>
      </w:pPr>
      <w:r>
        <w:rPr>
          <w:rFonts w:ascii="Arial" w:hAnsi="Arial" w:cs="Arial"/>
          <w:bCs/>
          <w:color w:val="000000"/>
        </w:rPr>
        <w:t>Where</w:t>
      </w:r>
      <w:r w:rsidR="0021644E" w:rsidRPr="0021644E">
        <w:rPr>
          <w:rFonts w:ascii="Arial" w:hAnsi="Arial" w:cs="Arial"/>
          <w:bCs/>
          <w:color w:val="000000"/>
        </w:rPr>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122"/>
      </w:tblGrid>
      <w:tr w:rsidR="0021644E" w:rsidRPr="0021644E" w14:paraId="7655848D" w14:textId="77777777" w:rsidTr="00C6390A">
        <w:tc>
          <w:tcPr>
            <w:tcW w:w="567" w:type="dxa"/>
          </w:tcPr>
          <w:p w14:paraId="4A66E397" w14:textId="77777777"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K</w:t>
            </w:r>
          </w:p>
        </w:tc>
        <w:tc>
          <w:tcPr>
            <w:tcW w:w="2122" w:type="dxa"/>
          </w:tcPr>
          <w:p w14:paraId="6835E315" w14:textId="145B0974"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 xml:space="preserve">= </w:t>
            </w:r>
            <w:r w:rsidR="00487BBF" w:rsidRPr="00487BBF">
              <w:rPr>
                <w:rFonts w:ascii="Arial" w:eastAsia="Times New Roman" w:hAnsi="Arial" w:cs="Arial"/>
                <w:bCs/>
                <w:color w:val="000000"/>
                <w:sz w:val="20"/>
                <w:szCs w:val="20"/>
              </w:rPr>
              <w:t>N</w:t>
            </w:r>
            <w:r w:rsidR="00487BBF" w:rsidRPr="00487BBF">
              <w:rPr>
                <w:rFonts w:ascii="Arial" w:hAnsi="Arial" w:cs="Arial"/>
                <w:sz w:val="20"/>
                <w:szCs w:val="20"/>
              </w:rPr>
              <w:t>umber of classes</w:t>
            </w:r>
          </w:p>
        </w:tc>
      </w:tr>
      <w:tr w:rsidR="0021644E" w:rsidRPr="0021644E" w14:paraId="1B5EF1CF" w14:textId="77777777" w:rsidTr="00C6390A">
        <w:tc>
          <w:tcPr>
            <w:tcW w:w="567" w:type="dxa"/>
          </w:tcPr>
          <w:p w14:paraId="49CB12F4" w14:textId="77777777"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n</w:t>
            </w:r>
          </w:p>
        </w:tc>
        <w:tc>
          <w:tcPr>
            <w:tcW w:w="2122" w:type="dxa"/>
          </w:tcPr>
          <w:p w14:paraId="0EA2ECB1" w14:textId="215E1F23"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 xml:space="preserve">= </w:t>
            </w:r>
            <w:r w:rsidR="00487BBF">
              <w:rPr>
                <w:rFonts w:ascii="Arial" w:eastAsia="Times New Roman" w:hAnsi="Arial" w:cs="Arial"/>
                <w:bCs/>
                <w:color w:val="000000"/>
                <w:sz w:val="20"/>
                <w:szCs w:val="20"/>
              </w:rPr>
              <w:t>Sample size</w:t>
            </w:r>
          </w:p>
        </w:tc>
      </w:tr>
      <w:tr w:rsidR="0021644E" w:rsidRPr="0021644E" w14:paraId="4743E5BD" w14:textId="77777777" w:rsidTr="00C6390A">
        <w:tc>
          <w:tcPr>
            <w:tcW w:w="567" w:type="dxa"/>
          </w:tcPr>
          <w:p w14:paraId="246F4BD2" w14:textId="77777777" w:rsidR="0021644E" w:rsidRPr="0021644E" w:rsidRDefault="0021644E" w:rsidP="00C6390A">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i</w:t>
            </w:r>
          </w:p>
        </w:tc>
        <w:tc>
          <w:tcPr>
            <w:tcW w:w="2122" w:type="dxa"/>
          </w:tcPr>
          <w:p w14:paraId="5CBC84EA" w14:textId="28C1A08D" w:rsidR="0021644E" w:rsidRPr="00487BBF" w:rsidRDefault="0021644E" w:rsidP="00C6390A">
            <w:pPr>
              <w:jc w:val="both"/>
              <w:rPr>
                <w:rFonts w:ascii="Arial" w:eastAsia="Times New Roman" w:hAnsi="Arial" w:cs="Arial"/>
                <w:bCs/>
                <w:color w:val="000000"/>
                <w:sz w:val="20"/>
                <w:szCs w:val="20"/>
              </w:rPr>
            </w:pPr>
            <w:r w:rsidRPr="00487BBF">
              <w:rPr>
                <w:rFonts w:ascii="Arial" w:eastAsia="Times New Roman" w:hAnsi="Arial" w:cs="Arial"/>
                <w:bCs/>
                <w:color w:val="000000"/>
                <w:sz w:val="20"/>
                <w:szCs w:val="20"/>
              </w:rPr>
              <w:t xml:space="preserve">= </w:t>
            </w:r>
            <w:r w:rsidR="00487BBF">
              <w:rPr>
                <w:rFonts w:ascii="Arial" w:hAnsi="Arial" w:cs="Arial"/>
                <w:sz w:val="20"/>
                <w:szCs w:val="20"/>
              </w:rPr>
              <w:t>C</w:t>
            </w:r>
            <w:r w:rsidR="00487BBF" w:rsidRPr="00487BBF">
              <w:rPr>
                <w:rFonts w:ascii="Arial" w:hAnsi="Arial" w:cs="Arial"/>
                <w:sz w:val="20"/>
                <w:szCs w:val="20"/>
              </w:rPr>
              <w:t>lass width</w:t>
            </w:r>
          </w:p>
        </w:tc>
      </w:tr>
      <w:tr w:rsidR="0021644E" w:rsidRPr="0021644E" w14:paraId="48E1F07E" w14:textId="77777777" w:rsidTr="00C6390A">
        <w:tc>
          <w:tcPr>
            <w:tcW w:w="567" w:type="dxa"/>
          </w:tcPr>
          <w:p w14:paraId="12D1709C" w14:textId="77777777" w:rsidR="0021644E" w:rsidRPr="0021644E" w:rsidRDefault="00000000" w:rsidP="00C6390A">
            <w:pPr>
              <w:jc w:val="both"/>
              <w:rPr>
                <w:rFonts w:ascii="Arial" w:eastAsia="Times New Roman" w:hAnsi="Arial" w:cs="Arial"/>
                <w:bCs/>
                <w:color w:val="000000"/>
                <w:sz w:val="20"/>
                <w:szCs w:val="20"/>
              </w:rPr>
            </w:pPr>
            <m:oMathPara>
              <m:oMath>
                <m:sSub>
                  <m:sSubPr>
                    <m:ctrlPr>
                      <w:rPr>
                        <w:rFonts w:ascii="Cambria Math" w:eastAsia="Times New Roman" w:hAnsi="Cambria Math" w:cs="Arial"/>
                        <w:bCs/>
                        <w:i/>
                        <w:color w:val="000000"/>
                        <w:sz w:val="20"/>
                        <w:szCs w:val="20"/>
                      </w:rPr>
                    </m:ctrlPr>
                  </m:sSubPr>
                  <m:e>
                    <m:r>
                      <w:rPr>
                        <w:rFonts w:ascii="Cambria Math" w:eastAsia="Times New Roman" w:hAnsi="Cambria Math" w:cs="Arial"/>
                        <w:color w:val="000000"/>
                        <w:sz w:val="20"/>
                        <w:szCs w:val="20"/>
                      </w:rPr>
                      <m:t>X</m:t>
                    </m:r>
                  </m:e>
                  <m:sub>
                    <m:r>
                      <m:rPr>
                        <m:nor/>
                      </m:rPr>
                      <w:rPr>
                        <w:rFonts w:ascii="Arial" w:eastAsia="Times New Roman" w:hAnsi="Arial" w:cs="Arial"/>
                        <w:bCs/>
                        <w:color w:val="000000"/>
                        <w:sz w:val="20"/>
                        <w:szCs w:val="20"/>
                      </w:rPr>
                      <m:t>max</m:t>
                    </m:r>
                  </m:sub>
                </m:sSub>
              </m:oMath>
            </m:oMathPara>
          </w:p>
        </w:tc>
        <w:tc>
          <w:tcPr>
            <w:tcW w:w="2122" w:type="dxa"/>
          </w:tcPr>
          <w:p w14:paraId="07D9C833" w14:textId="75270E25" w:rsidR="0021644E" w:rsidRPr="00487BBF" w:rsidRDefault="0021644E" w:rsidP="00C6390A">
            <w:pPr>
              <w:jc w:val="both"/>
              <w:rPr>
                <w:rFonts w:ascii="Arial" w:eastAsia="Times New Roman" w:hAnsi="Arial" w:cs="Arial"/>
                <w:bCs/>
                <w:color w:val="000000"/>
                <w:sz w:val="20"/>
                <w:szCs w:val="20"/>
              </w:rPr>
            </w:pPr>
            <w:r w:rsidRPr="00487BBF">
              <w:rPr>
                <w:rFonts w:ascii="Arial" w:eastAsia="Times New Roman" w:hAnsi="Arial" w:cs="Arial"/>
                <w:bCs/>
                <w:color w:val="000000"/>
                <w:sz w:val="20"/>
                <w:szCs w:val="20"/>
              </w:rPr>
              <w:t xml:space="preserve">= </w:t>
            </w:r>
            <w:r w:rsidR="00487BBF" w:rsidRPr="00487BBF">
              <w:rPr>
                <w:rFonts w:ascii="Arial" w:eastAsia="Times New Roman" w:hAnsi="Arial" w:cs="Arial"/>
                <w:bCs/>
                <w:color w:val="000000"/>
                <w:sz w:val="20"/>
                <w:szCs w:val="20"/>
              </w:rPr>
              <w:t>M</w:t>
            </w:r>
            <w:r w:rsidR="00487BBF" w:rsidRPr="00487BBF">
              <w:rPr>
                <w:rFonts w:ascii="Arial" w:hAnsi="Arial" w:cs="Arial"/>
                <w:sz w:val="20"/>
                <w:szCs w:val="20"/>
              </w:rPr>
              <w:t>aximum value</w:t>
            </w:r>
          </w:p>
        </w:tc>
      </w:tr>
      <w:tr w:rsidR="0021644E" w:rsidRPr="0021644E" w14:paraId="34B629A6" w14:textId="77777777" w:rsidTr="00C6390A">
        <w:tc>
          <w:tcPr>
            <w:tcW w:w="567" w:type="dxa"/>
          </w:tcPr>
          <w:p w14:paraId="1ED3F2CF" w14:textId="77777777" w:rsidR="0021644E" w:rsidRPr="0021644E" w:rsidRDefault="00000000" w:rsidP="00C6390A">
            <w:pPr>
              <w:jc w:val="both"/>
              <w:rPr>
                <w:rFonts w:ascii="Arial" w:hAnsi="Arial" w:cs="Arial"/>
                <w:bCs/>
                <w:i/>
                <w:color w:val="000000"/>
                <w:sz w:val="20"/>
                <w:szCs w:val="20"/>
              </w:rPr>
            </w:pPr>
            <m:oMathPara>
              <m:oMath>
                <m:sSub>
                  <m:sSubPr>
                    <m:ctrlPr>
                      <w:rPr>
                        <w:rFonts w:ascii="Cambria Math" w:eastAsia="Times New Roman" w:hAnsi="Cambria Math" w:cs="Arial"/>
                        <w:bCs/>
                        <w:i/>
                        <w:color w:val="000000"/>
                        <w:sz w:val="20"/>
                        <w:szCs w:val="20"/>
                      </w:rPr>
                    </m:ctrlPr>
                  </m:sSubPr>
                  <m:e>
                    <m:r>
                      <w:rPr>
                        <w:rFonts w:ascii="Cambria Math" w:eastAsia="Times New Roman" w:hAnsi="Cambria Math" w:cs="Arial"/>
                        <w:color w:val="000000"/>
                        <w:sz w:val="20"/>
                        <w:szCs w:val="20"/>
                      </w:rPr>
                      <m:t>X</m:t>
                    </m:r>
                  </m:e>
                  <m:sub>
                    <m:r>
                      <m:rPr>
                        <m:nor/>
                      </m:rPr>
                      <w:rPr>
                        <w:rFonts w:ascii="Arial" w:eastAsia="Times New Roman" w:hAnsi="Arial" w:cs="Arial"/>
                        <w:bCs/>
                        <w:color w:val="000000"/>
                        <w:sz w:val="20"/>
                        <w:szCs w:val="20"/>
                      </w:rPr>
                      <m:t>min</m:t>
                    </m:r>
                  </m:sub>
                </m:sSub>
              </m:oMath>
            </m:oMathPara>
          </w:p>
        </w:tc>
        <w:tc>
          <w:tcPr>
            <w:tcW w:w="2122" w:type="dxa"/>
          </w:tcPr>
          <w:p w14:paraId="4416AB4B" w14:textId="1F2355D8" w:rsidR="0021644E" w:rsidRPr="00487BBF" w:rsidRDefault="0021644E" w:rsidP="00C6390A">
            <w:pPr>
              <w:jc w:val="both"/>
              <w:rPr>
                <w:rFonts w:ascii="Arial" w:eastAsia="Times New Roman" w:hAnsi="Arial" w:cs="Arial"/>
                <w:bCs/>
                <w:color w:val="000000"/>
                <w:sz w:val="20"/>
                <w:szCs w:val="20"/>
              </w:rPr>
            </w:pPr>
            <w:r w:rsidRPr="00487BBF">
              <w:rPr>
                <w:rFonts w:ascii="Arial" w:eastAsia="Times New Roman" w:hAnsi="Arial" w:cs="Arial"/>
                <w:bCs/>
                <w:color w:val="000000"/>
                <w:sz w:val="20"/>
                <w:szCs w:val="20"/>
              </w:rPr>
              <w:t xml:space="preserve">= </w:t>
            </w:r>
            <w:r w:rsidR="00487BBF" w:rsidRPr="00487BBF">
              <w:rPr>
                <w:rFonts w:ascii="Arial" w:hAnsi="Arial" w:cs="Arial"/>
                <w:sz w:val="20"/>
                <w:szCs w:val="20"/>
              </w:rPr>
              <w:t>Minimum value</w:t>
            </w:r>
          </w:p>
        </w:tc>
      </w:tr>
    </w:tbl>
    <w:p w14:paraId="4F41FAFC" w14:textId="77777777" w:rsidR="009F56B8" w:rsidRDefault="009F56B8" w:rsidP="009F5FB8">
      <w:pPr>
        <w:pStyle w:val="Body"/>
        <w:spacing w:after="0"/>
        <w:rPr>
          <w:rFonts w:ascii="Arial" w:hAnsi="Arial" w:cs="Arial"/>
        </w:rPr>
      </w:pPr>
    </w:p>
    <w:p w14:paraId="6A2599A5" w14:textId="7051CA27" w:rsidR="00C202B7" w:rsidRPr="00487BBF" w:rsidRDefault="00C202B7" w:rsidP="009F5FB8">
      <w:pPr>
        <w:pStyle w:val="Body"/>
        <w:spacing w:after="0"/>
        <w:rPr>
          <w:rFonts w:ascii="Arial" w:hAnsi="Arial" w:cs="Arial"/>
          <w:b/>
          <w:bCs/>
        </w:rPr>
      </w:pPr>
      <w:r w:rsidRPr="003123E7">
        <w:rPr>
          <w:rFonts w:ascii="Arial" w:hAnsi="Arial" w:cs="Arial"/>
          <w:b/>
          <w:bCs/>
        </w:rPr>
        <w:t>2.</w:t>
      </w:r>
      <w:r w:rsidR="0061114F">
        <w:rPr>
          <w:rFonts w:ascii="Arial" w:hAnsi="Arial" w:cs="Arial"/>
          <w:b/>
          <w:bCs/>
        </w:rPr>
        <w:t>3</w:t>
      </w:r>
      <w:r w:rsidRPr="003123E7">
        <w:rPr>
          <w:rFonts w:ascii="Arial" w:hAnsi="Arial" w:cs="Arial"/>
          <w:b/>
          <w:bCs/>
        </w:rPr>
        <w:t xml:space="preserve">.2 </w:t>
      </w:r>
      <w:r w:rsidR="00487BBF" w:rsidRPr="00487BBF">
        <w:rPr>
          <w:rFonts w:ascii="Arial" w:hAnsi="Arial" w:cs="Arial"/>
          <w:b/>
          <w:bCs/>
        </w:rPr>
        <w:t>Growth Pattern Analysis</w:t>
      </w:r>
    </w:p>
    <w:p w14:paraId="14A15067" w14:textId="77777777" w:rsidR="009F5FB8" w:rsidRDefault="009F5FB8" w:rsidP="003123E7">
      <w:pPr>
        <w:pStyle w:val="Body"/>
        <w:spacing w:after="0"/>
        <w:rPr>
          <w:rFonts w:ascii="Arial" w:hAnsi="Arial" w:cs="Arial"/>
        </w:rPr>
      </w:pPr>
    </w:p>
    <w:p w14:paraId="03774673" w14:textId="0803CB77" w:rsidR="0021644E" w:rsidRPr="001F6062" w:rsidRDefault="00487BBF" w:rsidP="003123E7">
      <w:pPr>
        <w:pStyle w:val="Body"/>
        <w:spacing w:after="0"/>
        <w:rPr>
          <w:rFonts w:ascii="Arial" w:hAnsi="Arial" w:cs="Arial"/>
          <w:bCs/>
          <w:color w:val="000000"/>
        </w:rPr>
      </w:pPr>
      <w:r w:rsidRPr="00487BBF">
        <w:rPr>
          <w:rFonts w:ascii="Arial" w:hAnsi="Arial" w:cs="Arial"/>
        </w:rPr>
        <w:t xml:space="preserve">Dorsal mantle length and body weight data of </w:t>
      </w:r>
      <w:r w:rsidRPr="00487BBF">
        <w:rPr>
          <w:rStyle w:val="Emphasis"/>
          <w:rFonts w:ascii="Arial" w:hAnsi="Arial" w:cs="Arial"/>
        </w:rPr>
        <w:t>O</w:t>
      </w:r>
      <w:r w:rsidR="008825A6">
        <w:rPr>
          <w:rStyle w:val="Emphasis"/>
          <w:rFonts w:ascii="Arial" w:hAnsi="Arial" w:cs="Arial"/>
        </w:rPr>
        <w:t>ctopus</w:t>
      </w:r>
      <w:r w:rsidRPr="00487BBF">
        <w:rPr>
          <w:rStyle w:val="Emphasis"/>
          <w:rFonts w:ascii="Arial" w:hAnsi="Arial" w:cs="Arial"/>
        </w:rPr>
        <w:t xml:space="preserve"> cyanea</w:t>
      </w:r>
      <w:r w:rsidRPr="00487BBF">
        <w:rPr>
          <w:rFonts w:ascii="Arial" w:hAnsi="Arial" w:cs="Arial"/>
        </w:rPr>
        <w:t xml:space="preserve"> were used to assess the morphometric condition of individuals (Effendie, 1997). These data were analyzed using the length–weight relationship. The following equation was applied (Le Cren, 1951 </w:t>
      </w:r>
      <w:r w:rsidRPr="00487BBF">
        <w:rPr>
          <w:rFonts w:ascii="Arial" w:hAnsi="Arial" w:cs="Arial"/>
          <w:i/>
          <w:iCs/>
        </w:rPr>
        <w:t>in</w:t>
      </w:r>
      <w:r w:rsidRPr="00487BBF">
        <w:rPr>
          <w:rFonts w:ascii="Arial" w:hAnsi="Arial" w:cs="Arial"/>
        </w:rPr>
        <w:t xml:space="preserve"> Lempoy </w:t>
      </w:r>
      <w:r w:rsidRPr="00487BBF">
        <w:rPr>
          <w:rFonts w:ascii="Arial" w:hAnsi="Arial" w:cs="Arial"/>
          <w:i/>
          <w:iCs/>
        </w:rPr>
        <w:t>et al</w:t>
      </w:r>
      <w:r w:rsidRPr="00487BBF">
        <w:rPr>
          <w:rFonts w:ascii="Arial" w:hAnsi="Arial" w:cs="Arial"/>
        </w:rPr>
        <w:t>., 2020):</w:t>
      </w:r>
    </w:p>
    <w:p w14:paraId="69AAC559" w14:textId="4268767E" w:rsidR="00776A83" w:rsidRPr="00776A83" w:rsidRDefault="0021644E" w:rsidP="00776A83">
      <w:pPr>
        <w:pBdr>
          <w:top w:val="nil"/>
          <w:left w:val="nil"/>
          <w:bottom w:val="nil"/>
          <w:right w:val="nil"/>
          <w:between w:val="nil"/>
        </w:pBdr>
        <w:ind w:left="567"/>
        <w:jc w:val="both"/>
        <w:rPr>
          <w:rFonts w:ascii="Arial" w:hAnsi="Arial" w:cs="Arial"/>
          <w:bCs/>
          <w:iCs/>
          <w:color w:val="000000"/>
        </w:rPr>
      </w:pPr>
      <m:oMathPara>
        <m:oMath>
          <m:r>
            <m:rPr>
              <m:sty m:val="p"/>
            </m:rPr>
            <w:rPr>
              <w:rFonts w:ascii="Cambria Math" w:hAnsi="Cambria Math" w:cs="Arial"/>
              <w:color w:val="000000"/>
            </w:rPr>
            <m:t>W=a</m:t>
          </m:r>
          <m:sSup>
            <m:sSupPr>
              <m:ctrlPr>
                <w:rPr>
                  <w:rFonts w:ascii="Cambria Math" w:hAnsi="Cambria Math" w:cs="Arial"/>
                  <w:bCs/>
                  <w:iCs/>
                  <w:color w:val="000000"/>
                </w:rPr>
              </m:ctrlPr>
            </m:sSupPr>
            <m:e>
              <m:r>
                <m:rPr>
                  <m:sty m:val="p"/>
                </m:rPr>
                <w:rPr>
                  <w:rFonts w:ascii="Cambria Math" w:hAnsi="Cambria Math" w:cs="Arial"/>
                  <w:color w:val="000000"/>
                </w:rPr>
                <m:t>L</m:t>
              </m:r>
            </m:e>
            <m:sup>
              <m:r>
                <m:rPr>
                  <m:sty m:val="p"/>
                </m:rPr>
                <w:rPr>
                  <w:rFonts w:ascii="Cambria Math" w:hAnsi="Cambria Math" w:cs="Arial"/>
                  <w:color w:val="000000"/>
                </w:rPr>
                <m:t>b</m:t>
              </m:r>
            </m:sup>
          </m:sSup>
        </m:oMath>
      </m:oMathPara>
    </w:p>
    <w:p w14:paraId="7E4FA915" w14:textId="5E0C1DE7" w:rsidR="0021644E" w:rsidRPr="0021644E" w:rsidRDefault="0021644E" w:rsidP="003123E7">
      <w:pPr>
        <w:pBdr>
          <w:top w:val="nil"/>
          <w:left w:val="nil"/>
          <w:bottom w:val="nil"/>
          <w:right w:val="nil"/>
          <w:between w:val="nil"/>
        </w:pBdr>
        <w:jc w:val="both"/>
        <w:rPr>
          <w:rFonts w:ascii="Arial" w:hAnsi="Arial" w:cs="Arial"/>
          <w:bCs/>
          <w:color w:val="000000"/>
        </w:rPr>
      </w:pPr>
      <w:r w:rsidRPr="0021644E">
        <w:rPr>
          <w:rFonts w:ascii="Arial" w:hAnsi="Arial" w:cs="Arial"/>
          <w:bCs/>
          <w:color w:val="000000"/>
        </w:rPr>
        <w:t xml:space="preserve">        </w:t>
      </w:r>
      <w:r w:rsidR="00776A83">
        <w:rPr>
          <w:rFonts w:ascii="Arial" w:hAnsi="Arial" w:cs="Arial"/>
          <w:bCs/>
          <w:color w:val="000000"/>
        </w:rPr>
        <w:t>Where</w:t>
      </w:r>
      <w:r w:rsidRPr="0021644E">
        <w:rPr>
          <w:rFonts w:ascii="Arial" w:hAnsi="Arial" w:cs="Arial"/>
          <w:bCs/>
          <w:color w:val="000000"/>
        </w:rPr>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5670"/>
      </w:tblGrid>
      <w:tr w:rsidR="0021644E" w:rsidRPr="0021644E" w14:paraId="08CB33B2" w14:textId="77777777" w:rsidTr="00C6390A">
        <w:tc>
          <w:tcPr>
            <w:tcW w:w="708" w:type="dxa"/>
          </w:tcPr>
          <w:p w14:paraId="511679E6" w14:textId="77777777" w:rsidR="0021644E" w:rsidRPr="0021644E" w:rsidRDefault="0021644E" w:rsidP="003123E7">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W</w:t>
            </w:r>
          </w:p>
        </w:tc>
        <w:tc>
          <w:tcPr>
            <w:tcW w:w="5670" w:type="dxa"/>
          </w:tcPr>
          <w:p w14:paraId="664F3C5A" w14:textId="46BA5720" w:rsidR="0021644E" w:rsidRPr="00710D60" w:rsidRDefault="0021644E" w:rsidP="003123E7">
            <w:pPr>
              <w:jc w:val="both"/>
              <w:rPr>
                <w:rFonts w:ascii="Arial" w:eastAsia="Times New Roman" w:hAnsi="Arial" w:cs="Arial"/>
                <w:b/>
                <w:color w:val="000000"/>
                <w:sz w:val="20"/>
                <w:szCs w:val="20"/>
              </w:rPr>
            </w:pPr>
            <w:r w:rsidRPr="00710D60">
              <w:rPr>
                <w:rFonts w:ascii="Arial" w:eastAsia="Times New Roman" w:hAnsi="Arial" w:cs="Arial"/>
                <w:bCs/>
                <w:color w:val="000000"/>
                <w:sz w:val="20"/>
                <w:szCs w:val="20"/>
              </w:rPr>
              <w:t>=</w:t>
            </w:r>
            <w:r w:rsidRPr="00710D60">
              <w:rPr>
                <w:rFonts w:ascii="Arial" w:eastAsia="Times New Roman" w:hAnsi="Arial" w:cs="Arial"/>
                <w:b/>
                <w:color w:val="000000"/>
                <w:sz w:val="20"/>
                <w:szCs w:val="20"/>
              </w:rPr>
              <w:t xml:space="preserve"> </w:t>
            </w:r>
            <w:r w:rsidR="00710D60" w:rsidRPr="00710D60">
              <w:rPr>
                <w:rStyle w:val="Strong"/>
                <w:rFonts w:ascii="Arial" w:hAnsi="Arial" w:cs="Arial"/>
                <w:b w:val="0"/>
                <w:sz w:val="20"/>
                <w:szCs w:val="20"/>
              </w:rPr>
              <w:t>Total body weight</w:t>
            </w:r>
            <w:r w:rsidR="00710D60" w:rsidRPr="00710D60">
              <w:rPr>
                <w:rFonts w:ascii="Arial" w:hAnsi="Arial" w:cs="Arial"/>
                <w:b/>
                <w:sz w:val="20"/>
                <w:szCs w:val="20"/>
              </w:rPr>
              <w:t xml:space="preserve"> </w:t>
            </w:r>
            <w:r w:rsidR="00710D60" w:rsidRPr="00710D60">
              <w:rPr>
                <w:rFonts w:ascii="Arial" w:hAnsi="Arial" w:cs="Arial"/>
                <w:bCs/>
                <w:sz w:val="20"/>
                <w:szCs w:val="20"/>
              </w:rPr>
              <w:t>(g)</w:t>
            </w:r>
          </w:p>
        </w:tc>
      </w:tr>
      <w:tr w:rsidR="0021644E" w:rsidRPr="0021644E" w14:paraId="0B4EAEDD" w14:textId="77777777" w:rsidTr="00C6390A">
        <w:trPr>
          <w:trHeight w:val="126"/>
        </w:trPr>
        <w:tc>
          <w:tcPr>
            <w:tcW w:w="708" w:type="dxa"/>
          </w:tcPr>
          <w:p w14:paraId="768AF5D3" w14:textId="77777777" w:rsidR="0021644E" w:rsidRPr="0021644E" w:rsidRDefault="0021644E" w:rsidP="003123E7">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L</w:t>
            </w:r>
          </w:p>
        </w:tc>
        <w:tc>
          <w:tcPr>
            <w:tcW w:w="5670" w:type="dxa"/>
          </w:tcPr>
          <w:p w14:paraId="4C058867" w14:textId="327FE0D0" w:rsidR="0021644E" w:rsidRPr="00710D60" w:rsidRDefault="0021644E" w:rsidP="003123E7">
            <w:pPr>
              <w:jc w:val="both"/>
              <w:rPr>
                <w:rFonts w:ascii="Arial" w:eastAsia="Times New Roman" w:hAnsi="Arial" w:cs="Arial"/>
                <w:bCs/>
                <w:color w:val="000000"/>
                <w:sz w:val="20"/>
                <w:szCs w:val="20"/>
              </w:rPr>
            </w:pPr>
            <w:r w:rsidRPr="00710D60">
              <w:rPr>
                <w:rFonts w:ascii="Arial" w:eastAsia="Times New Roman" w:hAnsi="Arial" w:cs="Arial"/>
                <w:bCs/>
                <w:color w:val="000000"/>
                <w:sz w:val="20"/>
                <w:szCs w:val="20"/>
              </w:rPr>
              <w:t xml:space="preserve">= </w:t>
            </w:r>
            <w:r w:rsidR="00710D60" w:rsidRPr="00710D60">
              <w:rPr>
                <w:rFonts w:ascii="Arial" w:hAnsi="Arial" w:cs="Arial"/>
                <w:sz w:val="20"/>
                <w:szCs w:val="20"/>
              </w:rPr>
              <w:t>Dorsal mantle length (cm)</w:t>
            </w:r>
          </w:p>
        </w:tc>
      </w:tr>
      <w:tr w:rsidR="0021644E" w:rsidRPr="006F7BE6" w14:paraId="510E3B66" w14:textId="77777777" w:rsidTr="00C6390A">
        <w:trPr>
          <w:trHeight w:val="126"/>
        </w:trPr>
        <w:tc>
          <w:tcPr>
            <w:tcW w:w="708" w:type="dxa"/>
          </w:tcPr>
          <w:p w14:paraId="649706C9" w14:textId="77777777" w:rsidR="0021644E" w:rsidRPr="0021644E" w:rsidRDefault="0021644E" w:rsidP="003123E7">
            <w:pPr>
              <w:jc w:val="both"/>
              <w:rPr>
                <w:rFonts w:ascii="Arial" w:eastAsia="Times New Roman" w:hAnsi="Arial" w:cs="Arial"/>
                <w:bCs/>
                <w:color w:val="000000"/>
                <w:sz w:val="20"/>
                <w:szCs w:val="20"/>
              </w:rPr>
            </w:pPr>
            <w:r w:rsidRPr="0021644E">
              <w:rPr>
                <w:rFonts w:ascii="Arial" w:eastAsia="Times New Roman" w:hAnsi="Arial" w:cs="Arial"/>
                <w:bCs/>
                <w:color w:val="000000"/>
                <w:sz w:val="20"/>
                <w:szCs w:val="20"/>
              </w:rPr>
              <w:t>a &amp; b</w:t>
            </w:r>
          </w:p>
        </w:tc>
        <w:tc>
          <w:tcPr>
            <w:tcW w:w="5670" w:type="dxa"/>
          </w:tcPr>
          <w:p w14:paraId="10EC3732" w14:textId="5B52A3B2" w:rsidR="0021644E" w:rsidRPr="001F6062" w:rsidRDefault="0021644E" w:rsidP="003123E7">
            <w:pPr>
              <w:jc w:val="both"/>
              <w:rPr>
                <w:rFonts w:ascii="Arial" w:eastAsia="Times New Roman" w:hAnsi="Arial" w:cs="Arial"/>
                <w:bCs/>
                <w:color w:val="000000"/>
                <w:sz w:val="20"/>
                <w:szCs w:val="20"/>
              </w:rPr>
            </w:pPr>
            <w:r w:rsidRPr="001F6062">
              <w:rPr>
                <w:rFonts w:ascii="Arial" w:eastAsia="Times New Roman" w:hAnsi="Arial" w:cs="Arial"/>
                <w:bCs/>
                <w:color w:val="000000"/>
                <w:sz w:val="20"/>
                <w:szCs w:val="20"/>
              </w:rPr>
              <w:t xml:space="preserve">= </w:t>
            </w:r>
            <w:r w:rsidR="00710D60" w:rsidRPr="00710D60">
              <w:rPr>
                <w:rFonts w:ascii="Arial" w:hAnsi="Arial" w:cs="Arial"/>
                <w:sz w:val="20"/>
                <w:szCs w:val="20"/>
              </w:rPr>
              <w:t>Constants of the length–weight relationship</w:t>
            </w:r>
          </w:p>
        </w:tc>
      </w:tr>
    </w:tbl>
    <w:p w14:paraId="5875846E" w14:textId="77777777" w:rsidR="003123E7" w:rsidRPr="001F6062" w:rsidRDefault="003123E7" w:rsidP="003123E7">
      <w:pPr>
        <w:pBdr>
          <w:top w:val="nil"/>
          <w:left w:val="nil"/>
          <w:bottom w:val="nil"/>
          <w:right w:val="nil"/>
          <w:between w:val="nil"/>
        </w:pBdr>
        <w:jc w:val="both"/>
        <w:rPr>
          <w:rFonts w:ascii="Arial" w:hAnsi="Arial" w:cs="Arial"/>
          <w:bCs/>
          <w:color w:val="000000"/>
        </w:rPr>
      </w:pPr>
    </w:p>
    <w:p w14:paraId="789ECBD4" w14:textId="3970B4EB" w:rsidR="00710D60" w:rsidRPr="001F6062" w:rsidRDefault="00710D60" w:rsidP="00710D60">
      <w:pPr>
        <w:pBdr>
          <w:top w:val="nil"/>
          <w:left w:val="nil"/>
          <w:bottom w:val="nil"/>
          <w:right w:val="nil"/>
          <w:between w:val="nil"/>
        </w:pBdr>
        <w:jc w:val="both"/>
        <w:rPr>
          <w:rFonts w:ascii="Arial" w:hAnsi="Arial" w:cs="Arial"/>
          <w:bCs/>
          <w:color w:val="000000"/>
        </w:rPr>
      </w:pPr>
      <w:r w:rsidRPr="00710D60">
        <w:rPr>
          <w:rFonts w:ascii="Arial" w:hAnsi="Arial" w:cs="Arial"/>
        </w:rPr>
        <w:t xml:space="preserve">The exponent </w:t>
      </w:r>
      <w:r w:rsidRPr="00710D60">
        <w:rPr>
          <w:rStyle w:val="mord"/>
          <w:rFonts w:ascii="Arial" w:hAnsi="Arial" w:cs="Arial"/>
        </w:rPr>
        <w:t>b</w:t>
      </w:r>
      <w:r w:rsidRPr="00710D60">
        <w:rPr>
          <w:rFonts w:ascii="Arial" w:hAnsi="Arial" w:cs="Arial"/>
        </w:rPr>
        <w:t xml:space="preserve"> was used to determine the growth pattern:</w:t>
      </w:r>
    </w:p>
    <w:p w14:paraId="3FCA438A" w14:textId="55A94740" w:rsidR="003123E7" w:rsidRPr="001F6062" w:rsidRDefault="001A20EB" w:rsidP="001F3270">
      <w:pPr>
        <w:pStyle w:val="ListParagraph"/>
        <w:numPr>
          <w:ilvl w:val="0"/>
          <w:numId w:val="31"/>
        </w:numPr>
        <w:pBdr>
          <w:top w:val="nil"/>
          <w:left w:val="nil"/>
          <w:bottom w:val="nil"/>
          <w:right w:val="nil"/>
          <w:between w:val="nil"/>
        </w:pBdr>
        <w:ind w:left="284" w:hanging="284"/>
        <w:contextualSpacing w:val="0"/>
        <w:jc w:val="both"/>
        <w:rPr>
          <w:rFonts w:eastAsia="Times New Roman"/>
          <w:bCs/>
          <w:color w:val="000000"/>
          <w:sz w:val="20"/>
          <w:szCs w:val="20"/>
          <w:lang w:val="en-US"/>
        </w:rPr>
      </w:pPr>
      <w:r>
        <w:rPr>
          <w:rFonts w:eastAsia="Times New Roman"/>
          <w:bCs/>
          <w:color w:val="000000"/>
          <w:sz w:val="20"/>
          <w:szCs w:val="20"/>
          <w:lang w:val="en-US"/>
        </w:rPr>
        <w:t>If</w:t>
      </w:r>
      <w:r w:rsidR="003123E7" w:rsidRPr="001F6062">
        <w:rPr>
          <w:rFonts w:eastAsia="Times New Roman"/>
          <w:bCs/>
          <w:color w:val="000000"/>
          <w:sz w:val="20"/>
          <w:szCs w:val="20"/>
          <w:lang w:val="en-US"/>
        </w:rPr>
        <w:t xml:space="preserve">, b = 3, </w:t>
      </w:r>
      <w:r w:rsidR="00710D60" w:rsidRPr="00710D60">
        <w:rPr>
          <w:rStyle w:val="Strong"/>
          <w:b w:val="0"/>
          <w:bCs w:val="0"/>
          <w:sz w:val="20"/>
          <w:szCs w:val="20"/>
        </w:rPr>
        <w:t>isometric growth</w:t>
      </w:r>
      <w:r w:rsidR="00710D60" w:rsidRPr="00710D60">
        <w:rPr>
          <w:sz w:val="20"/>
          <w:szCs w:val="20"/>
        </w:rPr>
        <w:t>, indicating proportional increases in length and weight</w:t>
      </w:r>
      <w:r w:rsidR="003123E7" w:rsidRPr="001F6062">
        <w:rPr>
          <w:rFonts w:eastAsia="Times New Roman"/>
          <w:bCs/>
          <w:color w:val="000000"/>
          <w:sz w:val="20"/>
          <w:szCs w:val="20"/>
          <w:lang w:val="en-US"/>
        </w:rPr>
        <w:t>.</w:t>
      </w:r>
    </w:p>
    <w:p w14:paraId="22D02277" w14:textId="47DE61F1" w:rsidR="00710D60" w:rsidRPr="00710D60" w:rsidRDefault="001A20EB" w:rsidP="001F3270">
      <w:pPr>
        <w:pStyle w:val="ListParagraph"/>
        <w:numPr>
          <w:ilvl w:val="0"/>
          <w:numId w:val="31"/>
        </w:numPr>
        <w:pBdr>
          <w:top w:val="nil"/>
          <w:left w:val="nil"/>
          <w:bottom w:val="nil"/>
          <w:right w:val="nil"/>
          <w:between w:val="nil"/>
        </w:pBdr>
        <w:ind w:left="284" w:hanging="284"/>
        <w:contextualSpacing w:val="0"/>
        <w:jc w:val="both"/>
        <w:rPr>
          <w:sz w:val="20"/>
          <w:szCs w:val="20"/>
        </w:rPr>
      </w:pPr>
      <w:r>
        <w:rPr>
          <w:rFonts w:eastAsia="Times New Roman"/>
          <w:bCs/>
          <w:color w:val="000000"/>
          <w:sz w:val="20"/>
          <w:szCs w:val="20"/>
          <w:lang w:val="en-US"/>
        </w:rPr>
        <w:t>If</w:t>
      </w:r>
      <w:r w:rsidR="003123E7" w:rsidRPr="001F6062">
        <w:rPr>
          <w:rFonts w:eastAsia="Times New Roman"/>
          <w:bCs/>
          <w:color w:val="000000"/>
          <w:sz w:val="20"/>
          <w:szCs w:val="20"/>
          <w:lang w:val="en-US"/>
        </w:rPr>
        <w:t xml:space="preserve"> b &lt; 3 </w:t>
      </w:r>
      <w:r w:rsidR="00710D60" w:rsidRPr="00710D60">
        <w:rPr>
          <w:rStyle w:val="Strong"/>
          <w:b w:val="0"/>
          <w:bCs w:val="0"/>
          <w:sz w:val="20"/>
          <w:szCs w:val="20"/>
        </w:rPr>
        <w:t>negative allometric growth</w:t>
      </w:r>
      <w:r w:rsidR="00710D60" w:rsidRPr="00710D60">
        <w:rPr>
          <w:sz w:val="20"/>
          <w:szCs w:val="20"/>
        </w:rPr>
        <w:t>, indicating that length increases more than weight</w:t>
      </w:r>
    </w:p>
    <w:p w14:paraId="5F1692A0" w14:textId="4C419B42" w:rsidR="009F56B8" w:rsidRDefault="001A20EB" w:rsidP="001F3270">
      <w:pPr>
        <w:pStyle w:val="ListParagraph"/>
        <w:numPr>
          <w:ilvl w:val="0"/>
          <w:numId w:val="31"/>
        </w:numPr>
        <w:pBdr>
          <w:top w:val="nil"/>
          <w:left w:val="nil"/>
          <w:bottom w:val="nil"/>
          <w:right w:val="nil"/>
          <w:between w:val="nil"/>
        </w:pBdr>
        <w:ind w:left="284" w:hanging="284"/>
        <w:contextualSpacing w:val="0"/>
        <w:jc w:val="both"/>
        <w:rPr>
          <w:sz w:val="20"/>
          <w:szCs w:val="20"/>
        </w:rPr>
      </w:pPr>
      <w:r>
        <w:rPr>
          <w:rFonts w:eastAsia="Times New Roman"/>
          <w:bCs/>
          <w:color w:val="000000"/>
          <w:sz w:val="20"/>
          <w:szCs w:val="20"/>
          <w:lang w:val="en-US"/>
        </w:rPr>
        <w:t>If</w:t>
      </w:r>
      <w:r w:rsidR="003123E7" w:rsidRPr="001F6062">
        <w:rPr>
          <w:rFonts w:eastAsia="Times New Roman"/>
          <w:bCs/>
          <w:color w:val="000000"/>
          <w:sz w:val="20"/>
          <w:szCs w:val="20"/>
          <w:lang w:val="en-US"/>
        </w:rPr>
        <w:t xml:space="preserve"> b &gt; </w:t>
      </w:r>
      <w:r w:rsidR="00710D60" w:rsidRPr="00710D60">
        <w:rPr>
          <w:rStyle w:val="Strong"/>
          <w:b w:val="0"/>
          <w:bCs w:val="0"/>
          <w:sz w:val="20"/>
          <w:szCs w:val="20"/>
        </w:rPr>
        <w:t>positive allometric growth</w:t>
      </w:r>
      <w:r w:rsidR="00710D60" w:rsidRPr="00710D60">
        <w:rPr>
          <w:sz w:val="20"/>
          <w:szCs w:val="20"/>
        </w:rPr>
        <w:t>, indicating that weight increases more than length</w:t>
      </w:r>
    </w:p>
    <w:p w14:paraId="38A5E153" w14:textId="77777777" w:rsidR="0061114F" w:rsidRPr="00710D60" w:rsidRDefault="0061114F" w:rsidP="0061114F">
      <w:pPr>
        <w:pStyle w:val="ListParagraph"/>
        <w:pBdr>
          <w:top w:val="nil"/>
          <w:left w:val="nil"/>
          <w:bottom w:val="nil"/>
          <w:right w:val="nil"/>
          <w:between w:val="nil"/>
        </w:pBdr>
        <w:ind w:left="426"/>
        <w:contextualSpacing w:val="0"/>
        <w:jc w:val="both"/>
        <w:rPr>
          <w:sz w:val="20"/>
          <w:szCs w:val="20"/>
        </w:rPr>
      </w:pPr>
    </w:p>
    <w:p w14:paraId="0C01A489" w14:textId="4A074646" w:rsidR="00902823" w:rsidRPr="00FA5968" w:rsidRDefault="00000F8F" w:rsidP="00441B6F">
      <w:pPr>
        <w:pStyle w:val="Head1"/>
        <w:spacing w:after="0"/>
        <w:jc w:val="both"/>
        <w:rPr>
          <w:rFonts w:ascii="Arial" w:hAnsi="Arial" w:cs="Arial"/>
        </w:rPr>
      </w:pPr>
      <w:r w:rsidRPr="00FA5968">
        <w:rPr>
          <w:rFonts w:ascii="Arial" w:hAnsi="Arial" w:cs="Arial"/>
        </w:rPr>
        <w:t>3</w:t>
      </w:r>
      <w:r w:rsidR="00902823" w:rsidRPr="00FA5968">
        <w:rPr>
          <w:rFonts w:ascii="Arial" w:hAnsi="Arial" w:cs="Arial"/>
        </w:rPr>
        <w:t xml:space="preserve">. </w:t>
      </w:r>
      <w:commentRangeStart w:id="20"/>
      <w:r w:rsidRPr="00FA5968">
        <w:rPr>
          <w:rFonts w:ascii="Arial" w:hAnsi="Arial" w:cs="Arial"/>
        </w:rPr>
        <w:t>results</w:t>
      </w:r>
      <w:commentRangeEnd w:id="20"/>
      <w:r w:rsidR="001617B0">
        <w:rPr>
          <w:rStyle w:val="CommentReference"/>
          <w:rFonts w:ascii="Times New Roman" w:hAnsi="Times New Roman"/>
          <w:b w:val="0"/>
          <w:caps w:val="0"/>
          <w:lang w:val="nb-NO" w:eastAsia="nb-NO"/>
        </w:rPr>
        <w:commentReference w:id="20"/>
      </w:r>
      <w:r w:rsidRPr="00FA5968">
        <w:rPr>
          <w:rFonts w:ascii="Arial" w:hAnsi="Arial" w:cs="Arial"/>
        </w:rPr>
        <w:t xml:space="preserve"> and discussion</w:t>
      </w:r>
    </w:p>
    <w:p w14:paraId="141FB6BC" w14:textId="77777777" w:rsidR="00F51D33" w:rsidRPr="001F3270" w:rsidRDefault="00F51D33" w:rsidP="00441B6F">
      <w:pPr>
        <w:pStyle w:val="Head1"/>
        <w:spacing w:after="0"/>
        <w:jc w:val="both"/>
        <w:rPr>
          <w:rFonts w:ascii="Arial" w:hAnsi="Arial" w:cs="Arial"/>
          <w:sz w:val="20"/>
        </w:rPr>
      </w:pPr>
    </w:p>
    <w:p w14:paraId="1EC18944" w14:textId="50097794" w:rsidR="003123E7" w:rsidRPr="00FA5968" w:rsidRDefault="00A019BB" w:rsidP="001F3270">
      <w:pPr>
        <w:pStyle w:val="Head1"/>
        <w:spacing w:after="0"/>
        <w:jc w:val="both"/>
        <w:rPr>
          <w:rFonts w:ascii="Arial" w:hAnsi="Arial" w:cs="Arial"/>
        </w:rPr>
      </w:pPr>
      <w:r w:rsidRPr="00FA5968">
        <w:rPr>
          <w:rFonts w:ascii="Arial" w:hAnsi="Arial" w:cs="Arial"/>
          <w:caps w:val="0"/>
        </w:rPr>
        <w:t xml:space="preserve">3.1 </w:t>
      </w:r>
      <w:r w:rsidR="00710D60" w:rsidRPr="00FA5968">
        <w:rPr>
          <w:rFonts w:ascii="Arial" w:hAnsi="Arial" w:cs="Arial"/>
          <w:caps w:val="0"/>
        </w:rPr>
        <w:t xml:space="preserve">Dorsal Mantle Length Distribution of </w:t>
      </w:r>
      <w:r w:rsidR="00710D60" w:rsidRPr="00FA5968">
        <w:rPr>
          <w:rStyle w:val="Emphasis"/>
          <w:rFonts w:ascii="Arial" w:hAnsi="Arial" w:cs="Arial"/>
          <w:caps w:val="0"/>
        </w:rPr>
        <w:t>Octopus cyanea</w:t>
      </w:r>
    </w:p>
    <w:p w14:paraId="46246D9B" w14:textId="77777777" w:rsidR="001F3270" w:rsidRDefault="001F3270" w:rsidP="001F3270">
      <w:pPr>
        <w:pStyle w:val="Head1"/>
        <w:spacing w:after="0"/>
        <w:jc w:val="both"/>
        <w:rPr>
          <w:rFonts w:ascii="Arial" w:hAnsi="Arial" w:cs="Arial"/>
          <w:b w:val="0"/>
          <w:bCs/>
          <w:caps w:val="0"/>
          <w:sz w:val="20"/>
        </w:rPr>
      </w:pPr>
    </w:p>
    <w:p w14:paraId="48455BC5" w14:textId="0DC086A2" w:rsidR="00710D60" w:rsidRDefault="00022BB1" w:rsidP="001F3270">
      <w:pPr>
        <w:pStyle w:val="Head1"/>
        <w:spacing w:after="0"/>
        <w:jc w:val="both"/>
        <w:rPr>
          <w:rFonts w:ascii="Arial" w:hAnsi="Arial" w:cs="Arial"/>
          <w:b w:val="0"/>
          <w:bCs/>
          <w:caps w:val="0"/>
          <w:sz w:val="20"/>
        </w:rPr>
      </w:pPr>
      <w:r>
        <w:rPr>
          <w:rFonts w:ascii="Arial" w:hAnsi="Arial" w:cs="Arial"/>
          <w:b w:val="0"/>
          <w:bCs/>
          <w:caps w:val="0"/>
          <w:sz w:val="20"/>
        </w:rPr>
        <w:t>A</w:t>
      </w:r>
      <w:r w:rsidRPr="00022BB1">
        <w:rPr>
          <w:rFonts w:ascii="Arial" w:hAnsi="Arial" w:cs="Arial"/>
          <w:b w:val="0"/>
          <w:bCs/>
          <w:caps w:val="0"/>
          <w:sz w:val="20"/>
        </w:rPr>
        <w:t xml:space="preserve"> total of 467 </w:t>
      </w:r>
      <w:r>
        <w:rPr>
          <w:rStyle w:val="Emphasis"/>
          <w:rFonts w:ascii="Arial" w:hAnsi="Arial" w:cs="Arial"/>
          <w:b w:val="0"/>
          <w:bCs/>
          <w:caps w:val="0"/>
          <w:sz w:val="20"/>
        </w:rPr>
        <w:t>O</w:t>
      </w:r>
      <w:r w:rsidR="008825A6">
        <w:rPr>
          <w:rStyle w:val="Emphasis"/>
          <w:rFonts w:ascii="Arial" w:hAnsi="Arial" w:cs="Arial"/>
          <w:b w:val="0"/>
          <w:bCs/>
          <w:caps w:val="0"/>
          <w:sz w:val="20"/>
        </w:rPr>
        <w:t>ctopus</w:t>
      </w:r>
      <w:r w:rsidRPr="00022BB1">
        <w:rPr>
          <w:rStyle w:val="Emphasis"/>
          <w:rFonts w:ascii="Arial" w:hAnsi="Arial" w:cs="Arial"/>
          <w:b w:val="0"/>
          <w:bCs/>
          <w:caps w:val="0"/>
          <w:sz w:val="20"/>
        </w:rPr>
        <w:t xml:space="preserve"> cyanea</w:t>
      </w:r>
      <w:r w:rsidRPr="00022BB1">
        <w:rPr>
          <w:rFonts w:ascii="Arial" w:hAnsi="Arial" w:cs="Arial"/>
          <w:b w:val="0"/>
          <w:bCs/>
          <w:caps w:val="0"/>
          <w:sz w:val="20"/>
        </w:rPr>
        <w:t xml:space="preserve"> individuals were measured during the study, with a sex ratio dominated by females (277 individuals, 59.3%) and males numbering 190 individuals (40.7%). </w:t>
      </w:r>
      <w:commentRangeStart w:id="21"/>
      <w:r w:rsidRPr="00022BB1">
        <w:rPr>
          <w:rFonts w:ascii="Arial" w:hAnsi="Arial" w:cs="Arial"/>
          <w:b w:val="0"/>
          <w:bCs/>
          <w:caps w:val="0"/>
          <w:sz w:val="20"/>
        </w:rPr>
        <w:t>morphometric analysis indicated a relatively wide size variation within the population</w:t>
      </w:r>
      <w:commentRangeEnd w:id="21"/>
      <w:r w:rsidR="0062241C">
        <w:rPr>
          <w:rStyle w:val="CommentReference"/>
          <w:rFonts w:ascii="Times New Roman" w:hAnsi="Times New Roman"/>
          <w:b w:val="0"/>
          <w:caps w:val="0"/>
          <w:lang w:val="nb-NO" w:eastAsia="nb-NO"/>
        </w:rPr>
        <w:commentReference w:id="21"/>
      </w:r>
      <w:r w:rsidRPr="00022BB1">
        <w:rPr>
          <w:rFonts w:ascii="Arial" w:hAnsi="Arial" w:cs="Arial"/>
          <w:b w:val="0"/>
          <w:bCs/>
          <w:caps w:val="0"/>
          <w:sz w:val="20"/>
        </w:rPr>
        <w:t xml:space="preserve">. </w:t>
      </w:r>
      <w:r>
        <w:rPr>
          <w:rFonts w:ascii="Arial" w:hAnsi="Arial" w:cs="Arial"/>
          <w:b w:val="0"/>
          <w:bCs/>
          <w:caps w:val="0"/>
          <w:sz w:val="20"/>
        </w:rPr>
        <w:t>T</w:t>
      </w:r>
      <w:r w:rsidRPr="00022BB1">
        <w:rPr>
          <w:rFonts w:ascii="Arial" w:hAnsi="Arial" w:cs="Arial"/>
          <w:b w:val="0"/>
          <w:bCs/>
          <w:caps w:val="0"/>
          <w:sz w:val="20"/>
        </w:rPr>
        <w:t>he minimum dorsal mantle length (</w:t>
      </w:r>
      <w:r>
        <w:rPr>
          <w:rFonts w:ascii="Arial" w:hAnsi="Arial" w:cs="Arial"/>
          <w:b w:val="0"/>
          <w:bCs/>
          <w:caps w:val="0"/>
          <w:sz w:val="20"/>
        </w:rPr>
        <w:t>DML</w:t>
      </w:r>
      <w:r w:rsidRPr="00022BB1">
        <w:rPr>
          <w:rFonts w:ascii="Arial" w:hAnsi="Arial" w:cs="Arial"/>
          <w:b w:val="0"/>
          <w:bCs/>
          <w:caps w:val="0"/>
          <w:sz w:val="20"/>
        </w:rPr>
        <w:t xml:space="preserve">) recorded was identical for both sexes at 6 cm; however, the maximum </w:t>
      </w:r>
      <w:r>
        <w:rPr>
          <w:rFonts w:ascii="Arial" w:hAnsi="Arial" w:cs="Arial"/>
          <w:b w:val="0"/>
          <w:bCs/>
          <w:caps w:val="0"/>
          <w:sz w:val="20"/>
        </w:rPr>
        <w:t>DML</w:t>
      </w:r>
      <w:r w:rsidRPr="00022BB1">
        <w:rPr>
          <w:rFonts w:ascii="Arial" w:hAnsi="Arial" w:cs="Arial"/>
          <w:b w:val="0"/>
          <w:bCs/>
          <w:caps w:val="0"/>
          <w:sz w:val="20"/>
        </w:rPr>
        <w:t xml:space="preserve"> of females reached 22 cm, exceeding that of males (20 cm). </w:t>
      </w:r>
      <w:r>
        <w:rPr>
          <w:rFonts w:ascii="Arial" w:hAnsi="Arial" w:cs="Arial"/>
          <w:b w:val="0"/>
          <w:bCs/>
          <w:caps w:val="0"/>
          <w:sz w:val="20"/>
        </w:rPr>
        <w:t>T</w:t>
      </w:r>
      <w:r w:rsidRPr="00022BB1">
        <w:rPr>
          <w:rFonts w:ascii="Arial" w:hAnsi="Arial" w:cs="Arial"/>
          <w:b w:val="0"/>
          <w:bCs/>
          <w:caps w:val="0"/>
          <w:sz w:val="20"/>
        </w:rPr>
        <w:t xml:space="preserve">he mean </w:t>
      </w:r>
      <w:r>
        <w:rPr>
          <w:rFonts w:ascii="Arial" w:hAnsi="Arial" w:cs="Arial"/>
          <w:b w:val="0"/>
          <w:bCs/>
          <w:caps w:val="0"/>
          <w:sz w:val="20"/>
        </w:rPr>
        <w:t>DML</w:t>
      </w:r>
      <w:r w:rsidRPr="00022BB1">
        <w:rPr>
          <w:rFonts w:ascii="Arial" w:hAnsi="Arial" w:cs="Arial"/>
          <w:b w:val="0"/>
          <w:bCs/>
          <w:caps w:val="0"/>
          <w:sz w:val="20"/>
        </w:rPr>
        <w:t xml:space="preserve"> of males was 11.36 ± 2.55 cm, while females averaged slightly larger at 11.62 ± 2.45 cm. </w:t>
      </w:r>
      <w:r>
        <w:rPr>
          <w:rFonts w:ascii="Arial" w:hAnsi="Arial" w:cs="Arial"/>
          <w:b w:val="0"/>
          <w:bCs/>
          <w:caps w:val="0"/>
          <w:sz w:val="20"/>
        </w:rPr>
        <w:t>P</w:t>
      </w:r>
      <w:r w:rsidRPr="00022BB1">
        <w:rPr>
          <w:rFonts w:ascii="Arial" w:hAnsi="Arial" w:cs="Arial"/>
          <w:b w:val="0"/>
          <w:bCs/>
          <w:caps w:val="0"/>
          <w:sz w:val="20"/>
        </w:rPr>
        <w:t xml:space="preserve">opulation structure based on size classes exhibited a </w:t>
      </w:r>
      <w:commentRangeStart w:id="22"/>
      <w:r w:rsidRPr="00022BB1">
        <w:rPr>
          <w:rFonts w:ascii="Arial" w:hAnsi="Arial" w:cs="Arial"/>
          <w:b w:val="0"/>
          <w:bCs/>
          <w:caps w:val="0"/>
          <w:sz w:val="20"/>
        </w:rPr>
        <w:t xml:space="preserve">unimodal distribution </w:t>
      </w:r>
      <w:commentRangeEnd w:id="22"/>
      <w:r w:rsidR="000225B3">
        <w:rPr>
          <w:rStyle w:val="CommentReference"/>
          <w:rFonts w:ascii="Times New Roman" w:hAnsi="Times New Roman"/>
          <w:b w:val="0"/>
          <w:caps w:val="0"/>
          <w:lang w:val="nb-NO" w:eastAsia="nb-NO"/>
        </w:rPr>
        <w:commentReference w:id="22"/>
      </w:r>
      <w:r w:rsidRPr="00022BB1">
        <w:rPr>
          <w:rFonts w:ascii="Arial" w:hAnsi="Arial" w:cs="Arial"/>
          <w:b w:val="0"/>
          <w:bCs/>
          <w:caps w:val="0"/>
          <w:sz w:val="20"/>
        </w:rPr>
        <w:t>for both sexes (</w:t>
      </w:r>
      <w:r w:rsidR="003102FE">
        <w:rPr>
          <w:rFonts w:ascii="Arial" w:hAnsi="Arial" w:cs="Arial"/>
          <w:b w:val="0"/>
          <w:bCs/>
          <w:caps w:val="0"/>
          <w:sz w:val="20"/>
        </w:rPr>
        <w:t>F</w:t>
      </w:r>
      <w:r w:rsidRPr="00022BB1">
        <w:rPr>
          <w:rFonts w:ascii="Arial" w:hAnsi="Arial" w:cs="Arial"/>
          <w:b w:val="0"/>
          <w:bCs/>
          <w:caps w:val="0"/>
          <w:sz w:val="20"/>
        </w:rPr>
        <w:t>igure 2</w:t>
      </w:r>
      <w:r w:rsidR="006C436A">
        <w:rPr>
          <w:rFonts w:ascii="Arial" w:hAnsi="Arial" w:cs="Arial"/>
          <w:b w:val="0"/>
          <w:bCs/>
          <w:caps w:val="0"/>
          <w:sz w:val="20"/>
        </w:rPr>
        <w:t xml:space="preserve"> &amp; </w:t>
      </w:r>
      <w:r w:rsidR="003102FE">
        <w:rPr>
          <w:rFonts w:ascii="Arial" w:hAnsi="Arial" w:cs="Arial"/>
          <w:b w:val="0"/>
          <w:bCs/>
          <w:caps w:val="0"/>
          <w:sz w:val="20"/>
        </w:rPr>
        <w:t>F</w:t>
      </w:r>
      <w:r w:rsidR="006C436A">
        <w:rPr>
          <w:rFonts w:ascii="Arial" w:hAnsi="Arial" w:cs="Arial"/>
          <w:b w:val="0"/>
          <w:bCs/>
          <w:caps w:val="0"/>
          <w:sz w:val="20"/>
        </w:rPr>
        <w:t>igure 3</w:t>
      </w:r>
      <w:r w:rsidRPr="00022BB1">
        <w:rPr>
          <w:rFonts w:ascii="Arial" w:hAnsi="Arial" w:cs="Arial"/>
          <w:b w:val="0"/>
          <w:bCs/>
          <w:caps w:val="0"/>
          <w:sz w:val="20"/>
        </w:rPr>
        <w:t>), with the mode for males in the 8–10 cm class (54 individuals) and for females in the 10–12 cm class (84 individuals).</w:t>
      </w:r>
    </w:p>
    <w:p w14:paraId="7CB0FE8D" w14:textId="77777777" w:rsidR="001F3270" w:rsidRDefault="001F3270" w:rsidP="001F3270">
      <w:pPr>
        <w:pStyle w:val="Head1"/>
        <w:spacing w:after="0"/>
        <w:jc w:val="both"/>
        <w:rPr>
          <w:rFonts w:ascii="Arial" w:hAnsi="Arial" w:cs="Arial"/>
          <w:b w:val="0"/>
          <w:bCs/>
          <w:caps w:val="0"/>
          <w:sz w:val="20"/>
        </w:rPr>
      </w:pPr>
    </w:p>
    <w:p w14:paraId="313B6A92" w14:textId="65FA54B2" w:rsidR="00022BB1" w:rsidRDefault="00022BB1" w:rsidP="001F3270">
      <w:pPr>
        <w:pStyle w:val="Head1"/>
        <w:spacing w:after="0"/>
        <w:jc w:val="both"/>
        <w:rPr>
          <w:rFonts w:ascii="Arial" w:hAnsi="Arial" w:cs="Arial"/>
          <w:b w:val="0"/>
          <w:bCs/>
          <w:caps w:val="0"/>
          <w:sz w:val="20"/>
        </w:rPr>
      </w:pPr>
      <w:r>
        <w:rPr>
          <w:rFonts w:ascii="Arial" w:hAnsi="Arial" w:cs="Arial"/>
          <w:b w:val="0"/>
          <w:bCs/>
          <w:caps w:val="0"/>
          <w:sz w:val="20"/>
        </w:rPr>
        <w:t>T</w:t>
      </w:r>
      <w:r w:rsidRPr="00022BB1">
        <w:rPr>
          <w:rFonts w:ascii="Arial" w:hAnsi="Arial" w:cs="Arial"/>
          <w:b w:val="0"/>
          <w:bCs/>
          <w:caps w:val="0"/>
          <w:sz w:val="20"/>
        </w:rPr>
        <w:t xml:space="preserve">he larger maximum size of females indicates sexual dimorphism in </w:t>
      </w:r>
      <w:r>
        <w:rPr>
          <w:rStyle w:val="Emphasis"/>
          <w:rFonts w:ascii="Arial" w:hAnsi="Arial" w:cs="Arial"/>
          <w:b w:val="0"/>
          <w:bCs/>
          <w:caps w:val="0"/>
          <w:sz w:val="20"/>
        </w:rPr>
        <w:t>O</w:t>
      </w:r>
      <w:r w:rsidR="005003F9">
        <w:rPr>
          <w:rStyle w:val="Emphasis"/>
          <w:rFonts w:ascii="Arial" w:hAnsi="Arial" w:cs="Arial"/>
          <w:b w:val="0"/>
          <w:bCs/>
          <w:caps w:val="0"/>
          <w:sz w:val="20"/>
        </w:rPr>
        <w:t>ctopus</w:t>
      </w:r>
      <w:r w:rsidRPr="00022BB1">
        <w:rPr>
          <w:rStyle w:val="Emphasis"/>
          <w:rFonts w:ascii="Arial" w:hAnsi="Arial" w:cs="Arial"/>
          <w:b w:val="0"/>
          <w:bCs/>
          <w:caps w:val="0"/>
          <w:sz w:val="20"/>
        </w:rPr>
        <w:t xml:space="preserve"> cyanea</w:t>
      </w:r>
      <w:r w:rsidRPr="00022BB1">
        <w:rPr>
          <w:rFonts w:ascii="Arial" w:hAnsi="Arial" w:cs="Arial"/>
          <w:b w:val="0"/>
          <w:bCs/>
          <w:caps w:val="0"/>
          <w:sz w:val="20"/>
        </w:rPr>
        <w:t xml:space="preserve"> captured in the waters surrounding </w:t>
      </w:r>
      <w:r>
        <w:rPr>
          <w:rFonts w:ascii="Arial" w:hAnsi="Arial" w:cs="Arial"/>
          <w:b w:val="0"/>
          <w:bCs/>
          <w:caps w:val="0"/>
          <w:sz w:val="20"/>
        </w:rPr>
        <w:t>S</w:t>
      </w:r>
      <w:r w:rsidRPr="00022BB1">
        <w:rPr>
          <w:rFonts w:ascii="Arial" w:hAnsi="Arial" w:cs="Arial"/>
          <w:b w:val="0"/>
          <w:bCs/>
          <w:caps w:val="0"/>
          <w:sz w:val="20"/>
        </w:rPr>
        <w:t xml:space="preserve">eruni </w:t>
      </w:r>
      <w:r>
        <w:rPr>
          <w:rFonts w:ascii="Arial" w:hAnsi="Arial" w:cs="Arial"/>
          <w:b w:val="0"/>
          <w:bCs/>
          <w:caps w:val="0"/>
          <w:sz w:val="20"/>
        </w:rPr>
        <w:t>M</w:t>
      </w:r>
      <w:r w:rsidRPr="00022BB1">
        <w:rPr>
          <w:rFonts w:ascii="Arial" w:hAnsi="Arial" w:cs="Arial"/>
          <w:b w:val="0"/>
          <w:bCs/>
          <w:caps w:val="0"/>
          <w:sz w:val="20"/>
        </w:rPr>
        <w:t xml:space="preserve">umbul village. </w:t>
      </w:r>
      <w:r>
        <w:rPr>
          <w:rFonts w:ascii="Arial" w:hAnsi="Arial" w:cs="Arial"/>
          <w:b w:val="0"/>
          <w:bCs/>
          <w:caps w:val="0"/>
          <w:sz w:val="20"/>
        </w:rPr>
        <w:t>B</w:t>
      </w:r>
      <w:r w:rsidRPr="00022BB1">
        <w:rPr>
          <w:rFonts w:ascii="Arial" w:hAnsi="Arial" w:cs="Arial"/>
          <w:b w:val="0"/>
          <w:bCs/>
          <w:caps w:val="0"/>
          <w:sz w:val="20"/>
        </w:rPr>
        <w:t>iologically, this reflects energy allocation strategies, where females require greater mantle cavity space and body mass to support ovarian development and maximize fecundity (number of eggs) (</w:t>
      </w:r>
      <w:r>
        <w:rPr>
          <w:rFonts w:ascii="Arial" w:hAnsi="Arial" w:cs="Arial"/>
          <w:b w:val="0"/>
          <w:bCs/>
          <w:caps w:val="0"/>
          <w:sz w:val="20"/>
        </w:rPr>
        <w:t>S</w:t>
      </w:r>
      <w:r w:rsidRPr="00022BB1">
        <w:rPr>
          <w:rFonts w:ascii="Arial" w:hAnsi="Arial" w:cs="Arial"/>
          <w:b w:val="0"/>
          <w:bCs/>
          <w:caps w:val="0"/>
          <w:sz w:val="20"/>
        </w:rPr>
        <w:t xml:space="preserve">emmens </w:t>
      </w:r>
      <w:r w:rsidRPr="00022BB1">
        <w:rPr>
          <w:rFonts w:ascii="Arial" w:hAnsi="Arial" w:cs="Arial"/>
          <w:b w:val="0"/>
          <w:bCs/>
          <w:i/>
          <w:iCs/>
          <w:caps w:val="0"/>
          <w:sz w:val="20"/>
        </w:rPr>
        <w:t>et al</w:t>
      </w:r>
      <w:r w:rsidRPr="00022BB1">
        <w:rPr>
          <w:rFonts w:ascii="Arial" w:hAnsi="Arial" w:cs="Arial"/>
          <w:b w:val="0"/>
          <w:bCs/>
          <w:caps w:val="0"/>
          <w:sz w:val="20"/>
        </w:rPr>
        <w:t xml:space="preserve">., 2004). </w:t>
      </w:r>
      <w:r>
        <w:rPr>
          <w:rFonts w:ascii="Arial" w:hAnsi="Arial" w:cs="Arial"/>
          <w:b w:val="0"/>
          <w:bCs/>
          <w:caps w:val="0"/>
          <w:sz w:val="20"/>
        </w:rPr>
        <w:t>T</w:t>
      </w:r>
      <w:r w:rsidRPr="00022BB1">
        <w:rPr>
          <w:rFonts w:ascii="Arial" w:hAnsi="Arial" w:cs="Arial"/>
          <w:b w:val="0"/>
          <w:bCs/>
          <w:caps w:val="0"/>
          <w:sz w:val="20"/>
        </w:rPr>
        <w:t>he shift of the modal size toward larger classes in females also suggests that somatic growth in females is relatively faster, or that they have a slightly longer lifespan than males prior to post-</w:t>
      </w:r>
      <w:r w:rsidRPr="00022BB1">
        <w:rPr>
          <w:rFonts w:ascii="Arial" w:hAnsi="Arial" w:cs="Arial"/>
          <w:b w:val="0"/>
          <w:bCs/>
          <w:caps w:val="0"/>
          <w:sz w:val="20"/>
        </w:rPr>
        <w:lastRenderedPageBreak/>
        <w:t>reproductive senescence, consistent with findings on other cephalopod species (</w:t>
      </w:r>
      <w:r>
        <w:rPr>
          <w:rFonts w:ascii="Arial" w:hAnsi="Arial" w:cs="Arial"/>
          <w:b w:val="0"/>
          <w:bCs/>
          <w:caps w:val="0"/>
          <w:sz w:val="20"/>
        </w:rPr>
        <w:t>M</w:t>
      </w:r>
      <w:r w:rsidRPr="00022BB1">
        <w:rPr>
          <w:rFonts w:ascii="Arial" w:hAnsi="Arial" w:cs="Arial"/>
          <w:b w:val="0"/>
          <w:bCs/>
          <w:caps w:val="0"/>
          <w:sz w:val="20"/>
        </w:rPr>
        <w:t xml:space="preserve">angold, 1987 </w:t>
      </w:r>
      <w:r w:rsidRPr="00022BB1">
        <w:rPr>
          <w:rFonts w:ascii="Arial" w:hAnsi="Arial" w:cs="Arial"/>
          <w:b w:val="0"/>
          <w:bCs/>
          <w:i/>
          <w:iCs/>
          <w:caps w:val="0"/>
          <w:sz w:val="20"/>
        </w:rPr>
        <w:t>in</w:t>
      </w:r>
      <w:r w:rsidRPr="00022BB1">
        <w:rPr>
          <w:rFonts w:ascii="Arial" w:hAnsi="Arial" w:cs="Arial"/>
          <w:b w:val="0"/>
          <w:bCs/>
          <w:caps w:val="0"/>
          <w:sz w:val="20"/>
        </w:rPr>
        <w:t xml:space="preserve"> </w:t>
      </w:r>
      <w:r>
        <w:rPr>
          <w:rFonts w:ascii="Arial" w:hAnsi="Arial" w:cs="Arial"/>
          <w:b w:val="0"/>
          <w:bCs/>
          <w:caps w:val="0"/>
          <w:sz w:val="20"/>
        </w:rPr>
        <w:t>S</w:t>
      </w:r>
      <w:r w:rsidRPr="00022BB1">
        <w:rPr>
          <w:rFonts w:ascii="Arial" w:hAnsi="Arial" w:cs="Arial"/>
          <w:b w:val="0"/>
          <w:bCs/>
          <w:caps w:val="0"/>
          <w:sz w:val="20"/>
        </w:rPr>
        <w:t xml:space="preserve">mith </w:t>
      </w:r>
      <w:r w:rsidRPr="00022BB1">
        <w:rPr>
          <w:rFonts w:ascii="Arial" w:hAnsi="Arial" w:cs="Arial"/>
          <w:b w:val="0"/>
          <w:bCs/>
          <w:i/>
          <w:iCs/>
          <w:caps w:val="0"/>
          <w:sz w:val="20"/>
        </w:rPr>
        <w:t>et al</w:t>
      </w:r>
      <w:r w:rsidRPr="00022BB1">
        <w:rPr>
          <w:rFonts w:ascii="Arial" w:hAnsi="Arial" w:cs="Arial"/>
          <w:b w:val="0"/>
          <w:bCs/>
          <w:caps w:val="0"/>
          <w:sz w:val="20"/>
        </w:rPr>
        <w:t>., 2005).</w:t>
      </w:r>
    </w:p>
    <w:p w14:paraId="140CB6FA" w14:textId="77777777" w:rsidR="001F3270" w:rsidRDefault="001F3270" w:rsidP="001F3270">
      <w:pPr>
        <w:pStyle w:val="Head1"/>
        <w:spacing w:after="0"/>
        <w:jc w:val="both"/>
        <w:rPr>
          <w:rFonts w:ascii="Arial" w:hAnsi="Arial" w:cs="Arial"/>
          <w:b w:val="0"/>
          <w:bCs/>
          <w:caps w:val="0"/>
          <w:sz w:val="20"/>
        </w:rPr>
      </w:pPr>
    </w:p>
    <w:p w14:paraId="2D016B82" w14:textId="4DF9870E" w:rsidR="00022BB1" w:rsidRDefault="00022BB1" w:rsidP="001F3270">
      <w:pPr>
        <w:pStyle w:val="Head1"/>
        <w:spacing w:after="0"/>
        <w:jc w:val="both"/>
        <w:rPr>
          <w:rFonts w:ascii="Arial" w:hAnsi="Arial" w:cs="Arial"/>
          <w:b w:val="0"/>
          <w:bCs/>
          <w:caps w:val="0"/>
          <w:sz w:val="20"/>
        </w:rPr>
      </w:pPr>
      <w:commentRangeStart w:id="23"/>
      <w:r>
        <w:rPr>
          <w:rFonts w:ascii="Arial" w:hAnsi="Arial" w:cs="Arial"/>
          <w:b w:val="0"/>
          <w:bCs/>
          <w:caps w:val="0"/>
          <w:sz w:val="20"/>
        </w:rPr>
        <w:t>B</w:t>
      </w:r>
      <w:r w:rsidRPr="00022BB1">
        <w:rPr>
          <w:rFonts w:ascii="Arial" w:hAnsi="Arial" w:cs="Arial"/>
          <w:b w:val="0"/>
          <w:bCs/>
          <w:caps w:val="0"/>
          <w:sz w:val="20"/>
        </w:rPr>
        <w:t>ased on gonadal maturity size (</w:t>
      </w:r>
      <w:r>
        <w:rPr>
          <w:rFonts w:ascii="Arial" w:hAnsi="Arial" w:cs="Arial"/>
          <w:b w:val="0"/>
          <w:bCs/>
          <w:caps w:val="0"/>
          <w:sz w:val="20"/>
        </w:rPr>
        <w:t>L</w:t>
      </w:r>
      <w:r w:rsidRPr="00022BB1">
        <w:rPr>
          <w:rFonts w:ascii="Arial" w:hAnsi="Arial" w:cs="Arial"/>
          <w:b w:val="0"/>
          <w:bCs/>
          <w:caps w:val="0"/>
          <w:sz w:val="20"/>
        </w:rPr>
        <w:t xml:space="preserve">m) estimates from </w:t>
      </w:r>
      <w:r>
        <w:rPr>
          <w:rFonts w:ascii="Arial" w:hAnsi="Arial" w:cs="Arial"/>
          <w:b w:val="0"/>
          <w:bCs/>
          <w:caps w:val="0"/>
          <w:sz w:val="20"/>
        </w:rPr>
        <w:t>O</w:t>
      </w:r>
      <w:r w:rsidRPr="00022BB1">
        <w:rPr>
          <w:rFonts w:ascii="Arial" w:hAnsi="Arial" w:cs="Arial"/>
          <w:b w:val="0"/>
          <w:bCs/>
          <w:caps w:val="0"/>
          <w:sz w:val="20"/>
        </w:rPr>
        <w:t xml:space="preserve">mar </w:t>
      </w:r>
      <w:r w:rsidRPr="00022BB1">
        <w:rPr>
          <w:rFonts w:ascii="Arial" w:hAnsi="Arial" w:cs="Arial"/>
          <w:b w:val="0"/>
          <w:bCs/>
          <w:i/>
          <w:iCs/>
          <w:caps w:val="0"/>
          <w:sz w:val="20"/>
        </w:rPr>
        <w:t>et al</w:t>
      </w:r>
      <w:r w:rsidRPr="00022BB1">
        <w:rPr>
          <w:rFonts w:ascii="Arial" w:hAnsi="Arial" w:cs="Arial"/>
          <w:b w:val="0"/>
          <w:bCs/>
          <w:caps w:val="0"/>
          <w:sz w:val="20"/>
        </w:rPr>
        <w:t xml:space="preserve">. (2020), </w:t>
      </w:r>
      <w:commentRangeEnd w:id="23"/>
      <w:r w:rsidR="000132D7">
        <w:rPr>
          <w:rStyle w:val="CommentReference"/>
          <w:rFonts w:ascii="Times New Roman" w:hAnsi="Times New Roman"/>
          <w:b w:val="0"/>
          <w:caps w:val="0"/>
          <w:lang w:val="nb-NO" w:eastAsia="nb-NO"/>
        </w:rPr>
        <w:commentReference w:id="23"/>
      </w:r>
      <w:r w:rsidRPr="00022BB1">
        <w:rPr>
          <w:rFonts w:ascii="Arial" w:hAnsi="Arial" w:cs="Arial"/>
          <w:b w:val="0"/>
          <w:bCs/>
          <w:caps w:val="0"/>
          <w:sz w:val="20"/>
        </w:rPr>
        <w:t xml:space="preserve">≥12.9 cm for males and ≥15.5 cm for females, the captured population was predominantly composed of individuals that had not yet reached gonadal maturity. </w:t>
      </w:r>
      <w:commentRangeStart w:id="24"/>
      <w:r>
        <w:rPr>
          <w:rFonts w:ascii="Arial" w:hAnsi="Arial" w:cs="Arial"/>
          <w:b w:val="0"/>
          <w:bCs/>
          <w:caps w:val="0"/>
          <w:sz w:val="20"/>
        </w:rPr>
        <w:t>O</w:t>
      </w:r>
      <w:r w:rsidRPr="00022BB1">
        <w:rPr>
          <w:rFonts w:ascii="Arial" w:hAnsi="Arial" w:cs="Arial"/>
          <w:b w:val="0"/>
          <w:bCs/>
          <w:caps w:val="0"/>
          <w:sz w:val="20"/>
        </w:rPr>
        <w:t>nly 74 individuals (15.8%) were estimated to have attained gonadal maturity, including 62 males and 12 females</w:t>
      </w:r>
      <w:commentRangeEnd w:id="24"/>
      <w:r w:rsidR="001354D1">
        <w:rPr>
          <w:rStyle w:val="CommentReference"/>
          <w:rFonts w:ascii="Times New Roman" w:hAnsi="Times New Roman"/>
          <w:b w:val="0"/>
          <w:caps w:val="0"/>
          <w:lang w:val="nb-NO" w:eastAsia="nb-NO"/>
        </w:rPr>
        <w:commentReference w:id="24"/>
      </w:r>
      <w:commentRangeStart w:id="25"/>
      <w:r w:rsidRPr="00022BB1">
        <w:rPr>
          <w:rFonts w:ascii="Arial" w:hAnsi="Arial" w:cs="Arial"/>
          <w:b w:val="0"/>
          <w:bCs/>
          <w:caps w:val="0"/>
          <w:sz w:val="20"/>
        </w:rPr>
        <w:t>.</w:t>
      </w:r>
      <w:commentRangeEnd w:id="25"/>
      <w:r w:rsidR="00310BB1">
        <w:rPr>
          <w:rStyle w:val="CommentReference"/>
          <w:rFonts w:ascii="Times New Roman" w:hAnsi="Times New Roman"/>
          <w:b w:val="0"/>
          <w:caps w:val="0"/>
          <w:lang w:val="nb-NO" w:eastAsia="nb-NO"/>
        </w:rPr>
        <w:commentReference w:id="25"/>
      </w:r>
      <w:r w:rsidRPr="00022BB1">
        <w:rPr>
          <w:rFonts w:ascii="Arial" w:hAnsi="Arial" w:cs="Arial"/>
          <w:b w:val="0"/>
          <w:bCs/>
          <w:caps w:val="0"/>
          <w:sz w:val="20"/>
        </w:rPr>
        <w:t xml:space="preserve"> </w:t>
      </w:r>
      <w:r>
        <w:rPr>
          <w:rFonts w:ascii="Arial" w:hAnsi="Arial" w:cs="Arial"/>
          <w:b w:val="0"/>
          <w:bCs/>
          <w:caps w:val="0"/>
          <w:sz w:val="20"/>
        </w:rPr>
        <w:t>T</w:t>
      </w:r>
      <w:r w:rsidRPr="00022BB1">
        <w:rPr>
          <w:rFonts w:ascii="Arial" w:hAnsi="Arial" w:cs="Arial"/>
          <w:b w:val="0"/>
          <w:bCs/>
          <w:caps w:val="0"/>
          <w:sz w:val="20"/>
        </w:rPr>
        <w:t xml:space="preserve">his indicates that approximately 84% of the catch consisted of juveniles to sub-adults. </w:t>
      </w:r>
      <w:r>
        <w:rPr>
          <w:rFonts w:ascii="Arial" w:hAnsi="Arial" w:cs="Arial"/>
          <w:b w:val="0"/>
          <w:bCs/>
          <w:caps w:val="0"/>
          <w:sz w:val="20"/>
        </w:rPr>
        <w:t>T</w:t>
      </w:r>
      <w:r w:rsidRPr="00022BB1">
        <w:rPr>
          <w:rFonts w:ascii="Arial" w:hAnsi="Arial" w:cs="Arial"/>
          <w:b w:val="0"/>
          <w:bCs/>
          <w:caps w:val="0"/>
          <w:sz w:val="20"/>
        </w:rPr>
        <w:t xml:space="preserve">he high proportion of individuals below </w:t>
      </w:r>
      <w:r w:rsidR="00FA5968">
        <w:rPr>
          <w:rFonts w:ascii="Arial" w:hAnsi="Arial" w:cs="Arial"/>
          <w:b w:val="0"/>
          <w:bCs/>
          <w:caps w:val="0"/>
          <w:sz w:val="20"/>
        </w:rPr>
        <w:t>Lm</w:t>
      </w:r>
      <w:r w:rsidRPr="00022BB1">
        <w:rPr>
          <w:rFonts w:ascii="Arial" w:hAnsi="Arial" w:cs="Arial"/>
          <w:b w:val="0"/>
          <w:bCs/>
          <w:caps w:val="0"/>
          <w:sz w:val="20"/>
        </w:rPr>
        <w:t xml:space="preserve"> highlights the potential for </w:t>
      </w:r>
      <w:r w:rsidRPr="00FA5968">
        <w:rPr>
          <w:rStyle w:val="Strong"/>
          <w:rFonts w:ascii="Arial" w:hAnsi="Arial" w:cs="Arial"/>
          <w:caps w:val="0"/>
          <w:sz w:val="20"/>
        </w:rPr>
        <w:t>growth overfishing</w:t>
      </w:r>
      <w:r w:rsidRPr="00022BB1">
        <w:rPr>
          <w:rFonts w:ascii="Arial" w:hAnsi="Arial" w:cs="Arial"/>
          <w:b w:val="0"/>
          <w:bCs/>
          <w:caps w:val="0"/>
          <w:sz w:val="20"/>
        </w:rPr>
        <w:t>, whereby most individuals are captured before reproduction, potentially compromising natural recruitment (</w:t>
      </w:r>
      <w:r w:rsidR="00FA5968">
        <w:rPr>
          <w:rFonts w:ascii="Arial" w:hAnsi="Arial" w:cs="Arial"/>
          <w:b w:val="0"/>
          <w:bCs/>
          <w:caps w:val="0"/>
          <w:sz w:val="20"/>
        </w:rPr>
        <w:t>E</w:t>
      </w:r>
      <w:r w:rsidRPr="00022BB1">
        <w:rPr>
          <w:rFonts w:ascii="Arial" w:hAnsi="Arial" w:cs="Arial"/>
          <w:b w:val="0"/>
          <w:bCs/>
          <w:caps w:val="0"/>
          <w:sz w:val="20"/>
        </w:rPr>
        <w:t xml:space="preserve">ffendie, 1997 </w:t>
      </w:r>
      <w:r w:rsidRPr="00FA5968">
        <w:rPr>
          <w:rFonts w:ascii="Arial" w:hAnsi="Arial" w:cs="Arial"/>
          <w:b w:val="0"/>
          <w:bCs/>
          <w:i/>
          <w:iCs/>
          <w:caps w:val="0"/>
          <w:sz w:val="20"/>
        </w:rPr>
        <w:t>in</w:t>
      </w:r>
      <w:r w:rsidRPr="00022BB1">
        <w:rPr>
          <w:rFonts w:ascii="Arial" w:hAnsi="Arial" w:cs="Arial"/>
          <w:b w:val="0"/>
          <w:bCs/>
          <w:caps w:val="0"/>
          <w:sz w:val="20"/>
        </w:rPr>
        <w:t xml:space="preserve"> </w:t>
      </w:r>
      <w:r w:rsidR="00FA5968">
        <w:rPr>
          <w:rFonts w:ascii="Arial" w:hAnsi="Arial" w:cs="Arial"/>
          <w:b w:val="0"/>
          <w:bCs/>
          <w:caps w:val="0"/>
          <w:sz w:val="20"/>
        </w:rPr>
        <w:t>W</w:t>
      </w:r>
      <w:r w:rsidRPr="00022BB1">
        <w:rPr>
          <w:rFonts w:ascii="Arial" w:hAnsi="Arial" w:cs="Arial"/>
          <w:b w:val="0"/>
          <w:bCs/>
          <w:caps w:val="0"/>
          <w:sz w:val="20"/>
        </w:rPr>
        <w:t>ulandari, 2022).</w:t>
      </w:r>
    </w:p>
    <w:p w14:paraId="7D313729" w14:textId="77777777" w:rsidR="001F3270" w:rsidRPr="001F6062" w:rsidRDefault="001F3270" w:rsidP="001F3270">
      <w:pPr>
        <w:pStyle w:val="Head1"/>
        <w:spacing w:after="0"/>
        <w:jc w:val="both"/>
        <w:rPr>
          <w:rFonts w:ascii="Arial" w:hAnsi="Arial" w:cs="Arial"/>
          <w:b w:val="0"/>
          <w:bCs/>
          <w:caps w:val="0"/>
          <w:sz w:val="20"/>
        </w:rPr>
      </w:pPr>
    </w:p>
    <w:p w14:paraId="4D02916E" w14:textId="2D56DC52" w:rsidR="006278FF" w:rsidRDefault="00FA5968" w:rsidP="001F3270">
      <w:pPr>
        <w:pStyle w:val="Head1"/>
        <w:spacing w:after="0"/>
        <w:jc w:val="both"/>
        <w:rPr>
          <w:rFonts w:ascii="Arial" w:hAnsi="Arial" w:cs="Arial"/>
          <w:b w:val="0"/>
          <w:caps w:val="0"/>
          <w:sz w:val="20"/>
        </w:rPr>
      </w:pPr>
      <w:r w:rsidRPr="001F6062">
        <w:rPr>
          <w:rFonts w:ascii="Arial" w:hAnsi="Arial" w:cs="Arial"/>
          <w:b w:val="0"/>
          <w:caps w:val="0"/>
          <w:sz w:val="20"/>
        </w:rPr>
        <w:t xml:space="preserve">Data also showed that males reach maturity at smaller sizes than females. This aligns with the general life history strategy of cephalopods, in which males allocate energy to early sexual maturity to ensure reproductive success, while females delay maturity to attain optimal body size for energy reserves (yolk) and support the brooding period, during which they undergo total fasting until death (Mangold </w:t>
      </w:r>
      <w:r w:rsidRPr="001F6062">
        <w:rPr>
          <w:rFonts w:ascii="Arial" w:hAnsi="Arial" w:cs="Arial"/>
          <w:b w:val="0"/>
          <w:i/>
          <w:iCs/>
          <w:caps w:val="0"/>
          <w:sz w:val="20"/>
        </w:rPr>
        <w:t>et al</w:t>
      </w:r>
      <w:r w:rsidRPr="001F6062">
        <w:rPr>
          <w:rFonts w:ascii="Arial" w:hAnsi="Arial" w:cs="Arial"/>
          <w:b w:val="0"/>
          <w:caps w:val="0"/>
          <w:sz w:val="20"/>
        </w:rPr>
        <w:t xml:space="preserve">., 1987; Avila-Poveda </w:t>
      </w:r>
      <w:r w:rsidRPr="001F6062">
        <w:rPr>
          <w:rFonts w:ascii="Arial" w:hAnsi="Arial" w:cs="Arial"/>
          <w:b w:val="0"/>
          <w:i/>
          <w:iCs/>
          <w:caps w:val="0"/>
          <w:sz w:val="20"/>
        </w:rPr>
        <w:t>et al</w:t>
      </w:r>
      <w:r w:rsidRPr="001F6062">
        <w:rPr>
          <w:rFonts w:ascii="Arial" w:hAnsi="Arial" w:cs="Arial"/>
          <w:b w:val="0"/>
          <w:caps w:val="0"/>
          <w:sz w:val="20"/>
        </w:rPr>
        <w:t xml:space="preserve">., 2009; Smith </w:t>
      </w:r>
      <w:r w:rsidRPr="001F6062">
        <w:rPr>
          <w:rFonts w:ascii="Arial" w:hAnsi="Arial" w:cs="Arial"/>
          <w:b w:val="0"/>
          <w:i/>
          <w:iCs/>
          <w:caps w:val="0"/>
          <w:sz w:val="20"/>
        </w:rPr>
        <w:t>et al</w:t>
      </w:r>
      <w:r w:rsidRPr="001F6062">
        <w:rPr>
          <w:rFonts w:ascii="Arial" w:hAnsi="Arial" w:cs="Arial"/>
          <w:b w:val="0"/>
          <w:caps w:val="0"/>
          <w:sz w:val="20"/>
        </w:rPr>
        <w:t>., 2005).</w:t>
      </w:r>
    </w:p>
    <w:p w14:paraId="1765BC6A" w14:textId="77777777" w:rsidR="001F3270" w:rsidRPr="001F6062" w:rsidRDefault="001F3270" w:rsidP="001F3270">
      <w:pPr>
        <w:pStyle w:val="Head1"/>
        <w:spacing w:after="0"/>
        <w:jc w:val="both"/>
        <w:rPr>
          <w:rFonts w:ascii="Arial" w:hAnsi="Arial" w:cs="Arial"/>
          <w:b w:val="0"/>
          <w:caps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039"/>
      </w:tblGrid>
      <w:tr w:rsidR="007938B0" w14:paraId="3A4B701E" w14:textId="77777777" w:rsidTr="007938B0">
        <w:trPr>
          <w:trHeight w:val="1908"/>
        </w:trPr>
        <w:tc>
          <w:tcPr>
            <w:tcW w:w="4212" w:type="dxa"/>
          </w:tcPr>
          <w:p w14:paraId="56F89AF5" w14:textId="7C64A2B6" w:rsidR="00A315B0" w:rsidRDefault="006C436A" w:rsidP="001F3270">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3BC315FB" wp14:editId="462F0D62">
                  <wp:extent cx="2560816" cy="165323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23667" cy="1693811"/>
                          </a:xfrm>
                          <a:prstGeom prst="rect">
                            <a:avLst/>
                          </a:prstGeom>
                        </pic:spPr>
                      </pic:pic>
                    </a:graphicData>
                  </a:graphic>
                </wp:inline>
              </w:drawing>
            </w:r>
          </w:p>
        </w:tc>
        <w:tc>
          <w:tcPr>
            <w:tcW w:w="4212" w:type="dxa"/>
          </w:tcPr>
          <w:p w14:paraId="13262AFA" w14:textId="581CF104" w:rsidR="00A315B0" w:rsidRDefault="006C436A" w:rsidP="001F3270">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6956FF64" wp14:editId="49909078">
                  <wp:extent cx="2470150" cy="166254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09662" cy="1689140"/>
                          </a:xfrm>
                          <a:prstGeom prst="rect">
                            <a:avLst/>
                          </a:prstGeom>
                        </pic:spPr>
                      </pic:pic>
                    </a:graphicData>
                  </a:graphic>
                </wp:inline>
              </w:drawing>
            </w:r>
          </w:p>
        </w:tc>
      </w:tr>
      <w:tr w:rsidR="007938B0" w14:paraId="6119B36D" w14:textId="77777777" w:rsidTr="007938B0">
        <w:tc>
          <w:tcPr>
            <w:tcW w:w="4212" w:type="dxa"/>
          </w:tcPr>
          <w:p w14:paraId="7B190AAF" w14:textId="45B20BA3" w:rsidR="00A315B0" w:rsidRDefault="00FA5968"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3102FE">
              <w:rPr>
                <w:rFonts w:ascii="Arial" w:hAnsi="Arial" w:cs="Arial"/>
                <w:b w:val="0"/>
                <w:bCs/>
                <w:caps w:val="0"/>
                <w:sz w:val="20"/>
              </w:rPr>
              <w:t>2</w:t>
            </w:r>
            <w:r w:rsidR="006C436A">
              <w:rPr>
                <w:rFonts w:ascii="Arial" w:hAnsi="Arial" w:cs="Arial"/>
                <w:b w:val="0"/>
                <w:bCs/>
                <w:caps w:val="0"/>
                <w:sz w:val="20"/>
              </w:rPr>
              <w:t xml:space="preserve">. </w:t>
            </w:r>
            <w:r w:rsidR="006C436A" w:rsidRPr="006C436A">
              <w:rPr>
                <w:rFonts w:ascii="Arial" w:hAnsi="Arial" w:cs="Arial"/>
                <w:b w:val="0"/>
                <w:bCs/>
                <w:caps w:val="0"/>
                <w:sz w:val="20"/>
              </w:rPr>
              <w:t xml:space="preserve">Dorsal Mantle Length Distribution of Female </w:t>
            </w:r>
            <w:r w:rsidR="006C436A" w:rsidRPr="006C436A">
              <w:rPr>
                <w:rFonts w:ascii="Arial" w:hAnsi="Arial" w:cs="Arial"/>
                <w:b w:val="0"/>
                <w:bCs/>
                <w:i/>
                <w:iCs/>
                <w:caps w:val="0"/>
                <w:sz w:val="20"/>
              </w:rPr>
              <w:t>Octopus cyanea</w:t>
            </w:r>
          </w:p>
        </w:tc>
        <w:tc>
          <w:tcPr>
            <w:tcW w:w="4212" w:type="dxa"/>
          </w:tcPr>
          <w:p w14:paraId="0ABBC8F9" w14:textId="7064F873" w:rsidR="00A315B0" w:rsidRDefault="00FA5968"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3102FE">
              <w:rPr>
                <w:rFonts w:ascii="Arial" w:hAnsi="Arial" w:cs="Arial"/>
                <w:b w:val="0"/>
                <w:bCs/>
                <w:caps w:val="0"/>
                <w:sz w:val="20"/>
              </w:rPr>
              <w:t xml:space="preserve">3. </w:t>
            </w:r>
            <w:r w:rsidR="003102FE" w:rsidRPr="003102FE">
              <w:rPr>
                <w:rFonts w:ascii="Arial" w:hAnsi="Arial" w:cs="Arial"/>
                <w:b w:val="0"/>
                <w:bCs/>
                <w:caps w:val="0"/>
                <w:sz w:val="20"/>
              </w:rPr>
              <w:t xml:space="preserve">Dorsal Mantle Length Distribution of Male </w:t>
            </w:r>
            <w:r w:rsidR="003102FE" w:rsidRPr="003102FE">
              <w:rPr>
                <w:rFonts w:ascii="Arial" w:hAnsi="Arial" w:cs="Arial"/>
                <w:b w:val="0"/>
                <w:bCs/>
                <w:i/>
                <w:iCs/>
                <w:caps w:val="0"/>
                <w:sz w:val="20"/>
              </w:rPr>
              <w:t>Octopus cyanea</w:t>
            </w:r>
          </w:p>
        </w:tc>
      </w:tr>
    </w:tbl>
    <w:p w14:paraId="6CFFB58E" w14:textId="77777777" w:rsidR="001F3270" w:rsidRDefault="001F3270" w:rsidP="001F3270">
      <w:pPr>
        <w:pStyle w:val="Head1"/>
        <w:spacing w:after="0"/>
        <w:jc w:val="both"/>
        <w:rPr>
          <w:rFonts w:ascii="Arial" w:hAnsi="Arial" w:cs="Arial"/>
          <w:b w:val="0"/>
          <w:bCs/>
          <w:caps w:val="0"/>
        </w:rPr>
      </w:pPr>
    </w:p>
    <w:p w14:paraId="0099FC73" w14:textId="7743E5CA" w:rsidR="004F112C" w:rsidRDefault="004F112C" w:rsidP="004F112C">
      <w:pPr>
        <w:pStyle w:val="Head1"/>
        <w:spacing w:after="0"/>
        <w:jc w:val="both"/>
        <w:rPr>
          <w:rFonts w:ascii="Arial" w:hAnsi="Arial" w:cs="Arial"/>
          <w:caps w:val="0"/>
          <w:szCs w:val="22"/>
        </w:rPr>
      </w:pPr>
      <w:r w:rsidRPr="000B7BF1">
        <w:rPr>
          <w:rFonts w:ascii="Arial" w:hAnsi="Arial" w:cs="Arial"/>
          <w:szCs w:val="22"/>
        </w:rPr>
        <w:t xml:space="preserve">3.2 </w:t>
      </w:r>
      <w:r w:rsidR="00FA5968" w:rsidRPr="00FA5968">
        <w:rPr>
          <w:rFonts w:ascii="Arial" w:hAnsi="Arial" w:cs="Arial"/>
          <w:caps w:val="0"/>
          <w:szCs w:val="22"/>
        </w:rPr>
        <w:t xml:space="preserve">Body Weight Distribution of Male and Female </w:t>
      </w:r>
      <w:r w:rsidR="00FA5968" w:rsidRPr="00FA5968">
        <w:rPr>
          <w:rFonts w:ascii="Arial" w:hAnsi="Arial" w:cs="Arial"/>
          <w:i/>
          <w:iCs/>
          <w:caps w:val="0"/>
          <w:szCs w:val="22"/>
        </w:rPr>
        <w:t>Octopus cyanea</w:t>
      </w:r>
    </w:p>
    <w:p w14:paraId="77A1BC42" w14:textId="77777777" w:rsidR="00A06F81" w:rsidRPr="000B7BF1" w:rsidRDefault="00A06F81" w:rsidP="004F112C">
      <w:pPr>
        <w:pStyle w:val="Head1"/>
        <w:spacing w:after="0"/>
        <w:jc w:val="both"/>
        <w:rPr>
          <w:rFonts w:ascii="Arial" w:hAnsi="Arial" w:cs="Arial"/>
          <w:caps w:val="0"/>
          <w:szCs w:val="22"/>
        </w:rPr>
      </w:pPr>
    </w:p>
    <w:p w14:paraId="77066CE8" w14:textId="7ACE609B" w:rsidR="00FA5968" w:rsidRDefault="00FA5968" w:rsidP="001F3270">
      <w:pPr>
        <w:jc w:val="both"/>
      </w:pPr>
      <w:r>
        <w:t xml:space="preserve">The body weight distribution of </w:t>
      </w:r>
      <w:r>
        <w:rPr>
          <w:rStyle w:val="Emphasis"/>
        </w:rPr>
        <w:t>O</w:t>
      </w:r>
      <w:r w:rsidR="008825A6">
        <w:rPr>
          <w:rStyle w:val="Emphasis"/>
        </w:rPr>
        <w:t xml:space="preserve">ctopus </w:t>
      </w:r>
      <w:r>
        <w:rPr>
          <w:rStyle w:val="Emphasis"/>
        </w:rPr>
        <w:t>cyanea</w:t>
      </w:r>
      <w:r>
        <w:t xml:space="preserve"> in the waters surrounding Seruni Mumbul exhibited relatively </w:t>
      </w:r>
      <w:commentRangeStart w:id="26"/>
      <w:r>
        <w:t xml:space="preserve">uniform patterns </w:t>
      </w:r>
      <w:commentRangeEnd w:id="26"/>
      <w:r w:rsidR="00234A2B">
        <w:rPr>
          <w:rStyle w:val="CommentReference"/>
          <w:rFonts w:ascii="Times New Roman" w:hAnsi="Times New Roman"/>
          <w:lang w:val="nb-NO" w:eastAsia="nb-NO"/>
        </w:rPr>
        <w:commentReference w:id="26"/>
      </w:r>
      <w:r>
        <w:t xml:space="preserve">between sexes, although extreme values varied. Minimum body weight was identical for males and females at 60 g. Maximum body weight reached 3,876 g for males and 3,600 g for females. On average, males weighed 1,140.6 ± 669.9 g (Figure </w:t>
      </w:r>
      <w:r w:rsidR="00923932">
        <w:t>4</w:t>
      </w:r>
      <w:r>
        <w:t xml:space="preserve">), while females averaged 1,102.38 ± 622.35 g (Figure </w:t>
      </w:r>
      <w:r w:rsidR="00923932">
        <w:t>5</w:t>
      </w:r>
      <w:r>
        <w:t>). The population was dominated by medium-sized individuals, with the mode for males in the 823–1,077 g class (40 individuals) and for females in the 568–823 g class (56 individuals).</w:t>
      </w:r>
    </w:p>
    <w:p w14:paraId="2F9C8E4A" w14:textId="77777777" w:rsidR="001F3270" w:rsidRDefault="001F3270" w:rsidP="001F3270">
      <w:pPr>
        <w:jc w:val="both"/>
      </w:pPr>
    </w:p>
    <w:p w14:paraId="41E00915" w14:textId="060E713E" w:rsidR="00FA5968" w:rsidRDefault="00FA5968" w:rsidP="001F3270">
      <w:pPr>
        <w:pStyle w:val="NormalWeb"/>
        <w:spacing w:before="0" w:beforeAutospacing="0" w:after="0" w:afterAutospacing="0"/>
        <w:jc w:val="both"/>
        <w:rPr>
          <w:rFonts w:ascii="Arial" w:hAnsi="Arial" w:cs="Arial"/>
          <w:sz w:val="20"/>
          <w:szCs w:val="20"/>
        </w:rPr>
      </w:pPr>
      <w:r w:rsidRPr="00FA5968">
        <w:rPr>
          <w:rFonts w:ascii="Arial" w:hAnsi="Arial" w:cs="Arial"/>
          <w:sz w:val="20"/>
          <w:szCs w:val="20"/>
        </w:rPr>
        <w:t xml:space="preserve">Although females exhibited larger maximum DML, </w:t>
      </w:r>
      <w:commentRangeStart w:id="27"/>
      <w:r w:rsidRPr="00FA5968">
        <w:rPr>
          <w:rFonts w:ascii="Arial" w:hAnsi="Arial" w:cs="Arial"/>
          <w:sz w:val="20"/>
          <w:szCs w:val="20"/>
        </w:rPr>
        <w:t xml:space="preserve">the higher maximum weight in males indicates differences in condition factor between sexes. </w:t>
      </w:r>
      <w:commentRangeEnd w:id="27"/>
      <w:r w:rsidR="00DC65CA">
        <w:rPr>
          <w:rStyle w:val="CommentReference"/>
          <w:lang w:val="nb-NO" w:eastAsia="nb-NO"/>
        </w:rPr>
        <w:commentReference w:id="27"/>
      </w:r>
      <w:r w:rsidRPr="00FA5968">
        <w:rPr>
          <w:rFonts w:ascii="Arial" w:hAnsi="Arial" w:cs="Arial"/>
          <w:sz w:val="20"/>
          <w:szCs w:val="20"/>
        </w:rPr>
        <w:t xml:space="preserve">This is likely associated with energy allocation, as females invest substantial energy in egg production and brooding, often followed by a significant reduction in body mass post-reproduction (Smith </w:t>
      </w:r>
      <w:r w:rsidRPr="00FA5968">
        <w:rPr>
          <w:rFonts w:ascii="Arial" w:hAnsi="Arial" w:cs="Arial"/>
          <w:i/>
          <w:iCs/>
          <w:sz w:val="20"/>
          <w:szCs w:val="20"/>
        </w:rPr>
        <w:t>et al</w:t>
      </w:r>
      <w:r w:rsidRPr="00FA5968">
        <w:rPr>
          <w:rFonts w:ascii="Arial" w:hAnsi="Arial" w:cs="Arial"/>
          <w:sz w:val="20"/>
          <w:szCs w:val="20"/>
        </w:rPr>
        <w:t xml:space="preserve">., 2005; Semmens </w:t>
      </w:r>
      <w:r w:rsidRPr="00FA5968">
        <w:rPr>
          <w:rFonts w:ascii="Arial" w:hAnsi="Arial" w:cs="Arial"/>
          <w:i/>
          <w:iCs/>
          <w:sz w:val="20"/>
          <w:szCs w:val="20"/>
        </w:rPr>
        <w:t>et al</w:t>
      </w:r>
      <w:r w:rsidRPr="00FA5968">
        <w:rPr>
          <w:rFonts w:ascii="Arial" w:hAnsi="Arial" w:cs="Arial"/>
          <w:sz w:val="20"/>
          <w:szCs w:val="20"/>
        </w:rPr>
        <w:t>., 2004).</w:t>
      </w:r>
    </w:p>
    <w:p w14:paraId="4E43263F" w14:textId="77777777" w:rsidR="001F3270" w:rsidRDefault="001F3270" w:rsidP="001F3270">
      <w:pPr>
        <w:pStyle w:val="NormalWeb"/>
        <w:spacing w:before="0" w:beforeAutospacing="0" w:after="0" w:afterAutospacing="0"/>
        <w:jc w:val="both"/>
        <w:rPr>
          <w:rFonts w:ascii="Arial" w:hAnsi="Arial" w:cs="Arial"/>
          <w:sz w:val="20"/>
          <w:szCs w:val="20"/>
        </w:rPr>
      </w:pPr>
    </w:p>
    <w:p w14:paraId="0119EC51" w14:textId="57C1BE0E" w:rsidR="00FA5968" w:rsidRDefault="00FA5968" w:rsidP="001F3270">
      <w:pPr>
        <w:jc w:val="both"/>
        <w:rPr>
          <w:rFonts w:ascii="Arial" w:hAnsi="Arial" w:cs="Arial"/>
        </w:rPr>
      </w:pPr>
      <w:commentRangeStart w:id="28"/>
      <w:r w:rsidRPr="00FA5968">
        <w:rPr>
          <w:rFonts w:ascii="Arial" w:hAnsi="Arial" w:cs="Arial"/>
        </w:rPr>
        <w:t xml:space="preserve">Using gonadal weight thresholds </w:t>
      </w:r>
      <w:commentRangeEnd w:id="28"/>
      <w:r w:rsidR="001A2AF6">
        <w:rPr>
          <w:rStyle w:val="CommentReference"/>
          <w:rFonts w:ascii="Times New Roman" w:hAnsi="Times New Roman"/>
          <w:lang w:val="nb-NO" w:eastAsia="nb-NO"/>
        </w:rPr>
        <w:commentReference w:id="28"/>
      </w:r>
      <w:r w:rsidRPr="00FA5968">
        <w:rPr>
          <w:rFonts w:ascii="Arial" w:hAnsi="Arial" w:cs="Arial"/>
        </w:rPr>
        <w:t xml:space="preserve">from Omar </w:t>
      </w:r>
      <w:r w:rsidRPr="00FA5968">
        <w:rPr>
          <w:rFonts w:ascii="Arial" w:hAnsi="Arial" w:cs="Arial"/>
          <w:i/>
          <w:iCs/>
        </w:rPr>
        <w:t>et al</w:t>
      </w:r>
      <w:r w:rsidRPr="00FA5968">
        <w:rPr>
          <w:rFonts w:ascii="Arial" w:hAnsi="Arial" w:cs="Arial"/>
        </w:rPr>
        <w:t xml:space="preserve">. (2020) (750 g for males and 900 g for females), 241 individuals (51.6% of the population) were estimated to have reached biological adulthood. This percentage is substantially higher than the maturity estimate based on DML (15.8%), suggesting that </w:t>
      </w:r>
      <w:r w:rsidRPr="00AD5E81">
        <w:rPr>
          <w:rFonts w:ascii="Arial" w:hAnsi="Arial" w:cs="Arial"/>
          <w:i/>
          <w:iCs/>
        </w:rPr>
        <w:t>O</w:t>
      </w:r>
      <w:r w:rsidR="008825A6">
        <w:rPr>
          <w:rFonts w:ascii="Arial" w:hAnsi="Arial" w:cs="Arial"/>
          <w:i/>
          <w:iCs/>
        </w:rPr>
        <w:t xml:space="preserve">ctopus </w:t>
      </w:r>
      <w:r w:rsidRPr="00AD5E81">
        <w:rPr>
          <w:rFonts w:ascii="Arial" w:hAnsi="Arial" w:cs="Arial"/>
          <w:i/>
          <w:iCs/>
        </w:rPr>
        <w:t>cyanea</w:t>
      </w:r>
      <w:r w:rsidRPr="00FA5968">
        <w:rPr>
          <w:rFonts w:ascii="Arial" w:hAnsi="Arial" w:cs="Arial"/>
        </w:rPr>
        <w:t xml:space="preserve"> in this area exhibits faster body mass growth relative to length, likely supported by abundant prey availability, enabling individuals to reach critical </w:t>
      </w:r>
      <w:r w:rsidRPr="00FA5968">
        <w:rPr>
          <w:rFonts w:ascii="Arial" w:hAnsi="Arial" w:cs="Arial"/>
        </w:rPr>
        <w:lastRenderedPageBreak/>
        <w:t xml:space="preserve">reproductive weight more rapidly (Indrayani </w:t>
      </w:r>
      <w:r w:rsidRPr="00AD5E81">
        <w:rPr>
          <w:rFonts w:ascii="Arial" w:hAnsi="Arial" w:cs="Arial"/>
          <w:i/>
          <w:iCs/>
        </w:rPr>
        <w:t>et al</w:t>
      </w:r>
      <w:r w:rsidRPr="00FA5968">
        <w:rPr>
          <w:rFonts w:ascii="Arial" w:hAnsi="Arial" w:cs="Arial"/>
        </w:rPr>
        <w:t>., 2023).</w:t>
      </w:r>
      <w:r w:rsidR="00AD5E81">
        <w:rPr>
          <w:rFonts w:ascii="Arial" w:hAnsi="Arial" w:cs="Arial"/>
        </w:rPr>
        <w:t xml:space="preserve"> </w:t>
      </w:r>
      <w:r w:rsidRPr="00FA5968">
        <w:rPr>
          <w:rFonts w:ascii="Arial" w:hAnsi="Arial" w:cs="Arial"/>
        </w:rPr>
        <w:t xml:space="preserve">This phenomenon is influenced by local prey abundance and oceanographic parameters, as reflected in geographic variation in gonadal maturity size of </w:t>
      </w:r>
      <w:r w:rsidR="008825A6">
        <w:rPr>
          <w:rFonts w:ascii="Arial" w:hAnsi="Arial" w:cs="Arial"/>
          <w:i/>
          <w:iCs/>
        </w:rPr>
        <w:t>Octopus</w:t>
      </w:r>
      <w:r w:rsidRPr="00AD5E81">
        <w:rPr>
          <w:rFonts w:ascii="Arial" w:hAnsi="Arial" w:cs="Arial"/>
          <w:i/>
          <w:iCs/>
        </w:rPr>
        <w:t xml:space="preserve"> cyanea</w:t>
      </w:r>
      <w:r w:rsidRPr="00FA5968">
        <w:rPr>
          <w:rFonts w:ascii="Arial" w:hAnsi="Arial" w:cs="Arial"/>
        </w:rPr>
        <w:t xml:space="preserve"> (Guard &amp; Mgaya, 2002; Raberinary &amp; Benbawa, 2012; Courage, 2013). For comparison, male </w:t>
      </w:r>
      <w:r w:rsidRPr="00AD5E81">
        <w:rPr>
          <w:rFonts w:ascii="Arial" w:hAnsi="Arial" w:cs="Arial"/>
          <w:i/>
          <w:iCs/>
        </w:rPr>
        <w:t>O</w:t>
      </w:r>
      <w:r w:rsidR="008825A6">
        <w:rPr>
          <w:rFonts w:ascii="Arial" w:hAnsi="Arial" w:cs="Arial"/>
          <w:i/>
          <w:iCs/>
        </w:rPr>
        <w:t>ctopus</w:t>
      </w:r>
      <w:r w:rsidRPr="00AD5E81">
        <w:rPr>
          <w:rFonts w:ascii="Arial" w:hAnsi="Arial" w:cs="Arial"/>
          <w:i/>
          <w:iCs/>
        </w:rPr>
        <w:t xml:space="preserve"> cyanea</w:t>
      </w:r>
      <w:r w:rsidRPr="00FA5968">
        <w:rPr>
          <w:rFonts w:ascii="Arial" w:hAnsi="Arial" w:cs="Arial"/>
        </w:rPr>
        <w:t xml:space="preserve"> in Tanzania mature at 320 g and females at 600 g (Guard &amp; Mgaya, 2002), whereas in Madagascar, gonadal maturity occurs at 643 g for males and 2,246 g for females (Raberinary &amp; Benbawa, 2012). Geographic differences are largely driven by local oceanographic conditions such as temperature and prey availability (Courage, 2013; Semmens </w:t>
      </w:r>
      <w:r w:rsidRPr="00AD5E81">
        <w:rPr>
          <w:rFonts w:ascii="Arial" w:hAnsi="Arial" w:cs="Arial"/>
          <w:i/>
          <w:iCs/>
        </w:rPr>
        <w:t>et al</w:t>
      </w:r>
      <w:r w:rsidRPr="00FA5968">
        <w:rPr>
          <w:rFonts w:ascii="Arial" w:hAnsi="Arial" w:cs="Arial"/>
        </w:rPr>
        <w:t>., 2004). Optimal water temperatures in the coral reef ecosystem of Seruni Mumbul likely enhance metabolism, influencing energy allocation for somatic growth and reproductive organ development.</w:t>
      </w:r>
    </w:p>
    <w:p w14:paraId="7B39C91A" w14:textId="77777777" w:rsidR="007938B0" w:rsidRPr="001F6062" w:rsidRDefault="007938B0" w:rsidP="001F3270">
      <w:pPr>
        <w:pStyle w:val="Head1"/>
        <w:spacing w:after="0"/>
        <w:jc w:val="both"/>
        <w:rPr>
          <w:rFonts w:ascii="Arial" w:hAnsi="Arial" w:cs="Arial"/>
          <w:b w:val="0"/>
          <w:bCs/>
          <w:caps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3"/>
        <w:gridCol w:w="4265"/>
      </w:tblGrid>
      <w:tr w:rsidR="008B1F7B" w14:paraId="69C5D7D8" w14:textId="77777777" w:rsidTr="008B1F7B">
        <w:trPr>
          <w:trHeight w:val="2105"/>
        </w:trPr>
        <w:tc>
          <w:tcPr>
            <w:tcW w:w="3972" w:type="dxa"/>
          </w:tcPr>
          <w:p w14:paraId="0301288F" w14:textId="0A201586" w:rsidR="00A315B0" w:rsidRDefault="008B1F7B" w:rsidP="008B1A84">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0BE660EB" wp14:editId="56C72293">
                  <wp:extent cx="2411536" cy="1935678"/>
                  <wp:effectExtent l="0" t="0" r="825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57950" cy="1972934"/>
                          </a:xfrm>
                          <a:prstGeom prst="rect">
                            <a:avLst/>
                          </a:prstGeom>
                        </pic:spPr>
                      </pic:pic>
                    </a:graphicData>
                  </a:graphic>
                </wp:inline>
              </w:drawing>
            </w:r>
          </w:p>
        </w:tc>
        <w:tc>
          <w:tcPr>
            <w:tcW w:w="4236" w:type="dxa"/>
          </w:tcPr>
          <w:p w14:paraId="14C87890" w14:textId="4EAD2E66" w:rsidR="00A315B0" w:rsidRDefault="008B1F7B" w:rsidP="008B1A84">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64D9D093" wp14:editId="554BCDE9">
                  <wp:extent cx="2625725" cy="1947553"/>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a:extLst>
                              <a:ext uri="{28A0092B-C50C-407E-A947-70E740481C1C}">
                                <a14:useLocalDpi xmlns:a14="http://schemas.microsoft.com/office/drawing/2010/main" val="0"/>
                              </a:ext>
                            </a:extLst>
                          </a:blip>
                          <a:stretch>
                            <a:fillRect/>
                          </a:stretch>
                        </pic:blipFill>
                        <pic:spPr>
                          <a:xfrm>
                            <a:off x="0" y="0"/>
                            <a:ext cx="2666228" cy="1977595"/>
                          </a:xfrm>
                          <a:prstGeom prst="rect">
                            <a:avLst/>
                          </a:prstGeom>
                        </pic:spPr>
                      </pic:pic>
                    </a:graphicData>
                  </a:graphic>
                </wp:inline>
              </w:drawing>
            </w:r>
          </w:p>
        </w:tc>
      </w:tr>
      <w:tr w:rsidR="008B1F7B" w14:paraId="0BC5350E" w14:textId="77777777" w:rsidTr="008B1F7B">
        <w:tc>
          <w:tcPr>
            <w:tcW w:w="3972" w:type="dxa"/>
          </w:tcPr>
          <w:p w14:paraId="65F667C3" w14:textId="0F5CDA84" w:rsidR="00A315B0" w:rsidRDefault="00AD5E81" w:rsidP="00AD5E81">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3102FE">
              <w:rPr>
                <w:rFonts w:ascii="Arial" w:hAnsi="Arial" w:cs="Arial"/>
                <w:b w:val="0"/>
                <w:bCs/>
                <w:caps w:val="0"/>
                <w:sz w:val="20"/>
              </w:rPr>
              <w:t xml:space="preserve">4. </w:t>
            </w:r>
            <w:r w:rsidR="003102FE" w:rsidRPr="003102FE">
              <w:rPr>
                <w:rFonts w:ascii="Arial" w:hAnsi="Arial" w:cs="Arial"/>
                <w:b w:val="0"/>
                <w:bCs/>
                <w:caps w:val="0"/>
                <w:sz w:val="20"/>
              </w:rPr>
              <w:t xml:space="preserve">Body Weight Distribution of Male </w:t>
            </w:r>
            <w:r w:rsidR="003102FE" w:rsidRPr="00897AA3">
              <w:rPr>
                <w:rFonts w:ascii="Arial" w:hAnsi="Arial" w:cs="Arial"/>
                <w:b w:val="0"/>
                <w:bCs/>
                <w:i/>
                <w:iCs/>
                <w:caps w:val="0"/>
                <w:sz w:val="20"/>
              </w:rPr>
              <w:t>Octopus cyanea</w:t>
            </w:r>
          </w:p>
        </w:tc>
        <w:tc>
          <w:tcPr>
            <w:tcW w:w="4236" w:type="dxa"/>
          </w:tcPr>
          <w:p w14:paraId="38F78C11" w14:textId="3795E09B" w:rsidR="00A315B0" w:rsidRDefault="00AD5E81" w:rsidP="003102FE">
            <w:pPr>
              <w:pStyle w:val="Head1"/>
              <w:tabs>
                <w:tab w:val="center" w:pos="2024"/>
                <w:tab w:val="left" w:pos="3015"/>
              </w:tabs>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sidR="003102FE">
              <w:rPr>
                <w:rFonts w:ascii="Arial" w:hAnsi="Arial" w:cs="Arial"/>
                <w:b w:val="0"/>
                <w:bCs/>
                <w:caps w:val="0"/>
                <w:sz w:val="20"/>
              </w:rPr>
              <w:t xml:space="preserve">5. </w:t>
            </w:r>
            <w:r w:rsidR="003102FE" w:rsidRPr="003102FE">
              <w:rPr>
                <w:rFonts w:ascii="Arial" w:hAnsi="Arial" w:cs="Arial"/>
                <w:b w:val="0"/>
                <w:bCs/>
                <w:caps w:val="0"/>
                <w:sz w:val="20"/>
              </w:rPr>
              <w:t xml:space="preserve">Body Weight Distribution of Female </w:t>
            </w:r>
            <w:r w:rsidR="003102FE" w:rsidRPr="003102FE">
              <w:rPr>
                <w:rFonts w:ascii="Arial" w:hAnsi="Arial" w:cs="Arial"/>
                <w:b w:val="0"/>
                <w:bCs/>
                <w:i/>
                <w:iCs/>
                <w:caps w:val="0"/>
                <w:sz w:val="20"/>
              </w:rPr>
              <w:t>Octopus cyanea</w:t>
            </w:r>
          </w:p>
        </w:tc>
      </w:tr>
    </w:tbl>
    <w:p w14:paraId="4C554C1F" w14:textId="77777777" w:rsidR="001F3270" w:rsidRDefault="001F3270" w:rsidP="00103A8B">
      <w:pPr>
        <w:pStyle w:val="Head1"/>
        <w:spacing w:after="0"/>
        <w:jc w:val="both"/>
        <w:rPr>
          <w:rFonts w:ascii="Arial" w:hAnsi="Arial" w:cs="Arial"/>
          <w:b w:val="0"/>
          <w:bCs/>
          <w:caps w:val="0"/>
          <w:sz w:val="20"/>
        </w:rPr>
      </w:pPr>
    </w:p>
    <w:p w14:paraId="41E8EF65" w14:textId="6C32C343" w:rsidR="00103A8B" w:rsidRPr="001F6062" w:rsidRDefault="00103A8B" w:rsidP="00103A8B">
      <w:pPr>
        <w:pStyle w:val="Head1"/>
        <w:spacing w:after="0"/>
        <w:jc w:val="both"/>
        <w:rPr>
          <w:rFonts w:ascii="Arial" w:hAnsi="Arial" w:cs="Arial"/>
          <w:caps w:val="0"/>
          <w:szCs w:val="22"/>
        </w:rPr>
      </w:pPr>
      <w:r w:rsidRPr="001F6062">
        <w:rPr>
          <w:rFonts w:ascii="Arial" w:hAnsi="Arial" w:cs="Arial"/>
          <w:caps w:val="0"/>
          <w:szCs w:val="22"/>
        </w:rPr>
        <w:t xml:space="preserve">3.3 </w:t>
      </w:r>
      <w:r w:rsidR="00AD5E81" w:rsidRPr="001F6062">
        <w:rPr>
          <w:rFonts w:ascii="Arial" w:hAnsi="Arial" w:cs="Arial"/>
          <w:caps w:val="0"/>
          <w:szCs w:val="22"/>
        </w:rPr>
        <w:t xml:space="preserve">Growth Patterns of Male and Female </w:t>
      </w:r>
      <w:r w:rsidR="00AD5E81" w:rsidRPr="001F6062">
        <w:rPr>
          <w:rFonts w:ascii="Arial" w:hAnsi="Arial" w:cs="Arial"/>
          <w:i/>
          <w:iCs/>
          <w:caps w:val="0"/>
          <w:szCs w:val="22"/>
        </w:rPr>
        <w:t>Octopus</w:t>
      </w:r>
      <w:r w:rsidR="00AD5E81" w:rsidRPr="001F6062">
        <w:rPr>
          <w:rFonts w:ascii="Arial" w:hAnsi="Arial" w:cs="Arial"/>
          <w:caps w:val="0"/>
          <w:szCs w:val="22"/>
        </w:rPr>
        <w:t xml:space="preserve"> </w:t>
      </w:r>
      <w:r w:rsidR="00AD5E81" w:rsidRPr="001F6062">
        <w:rPr>
          <w:rFonts w:ascii="Arial" w:hAnsi="Arial" w:cs="Arial"/>
          <w:i/>
          <w:iCs/>
          <w:caps w:val="0"/>
          <w:szCs w:val="22"/>
        </w:rPr>
        <w:t>cyanea</w:t>
      </w:r>
    </w:p>
    <w:p w14:paraId="6FFE1042" w14:textId="77777777" w:rsidR="001F3270" w:rsidRDefault="001F3270" w:rsidP="001F3270">
      <w:pPr>
        <w:pStyle w:val="NormalWeb"/>
        <w:spacing w:before="0" w:beforeAutospacing="0" w:after="0" w:afterAutospacing="0"/>
        <w:jc w:val="both"/>
        <w:rPr>
          <w:rFonts w:ascii="Arial" w:hAnsi="Arial" w:cs="Arial"/>
          <w:sz w:val="20"/>
          <w:szCs w:val="20"/>
        </w:rPr>
      </w:pPr>
    </w:p>
    <w:p w14:paraId="7B888EFD" w14:textId="2633994D" w:rsidR="00560F80" w:rsidRPr="00560F80" w:rsidRDefault="00AD5E81" w:rsidP="001F3270">
      <w:pPr>
        <w:pStyle w:val="NormalWeb"/>
        <w:spacing w:before="0" w:beforeAutospacing="0" w:after="0" w:afterAutospacing="0"/>
        <w:jc w:val="both"/>
        <w:rPr>
          <w:rFonts w:ascii="Arial" w:hAnsi="Arial" w:cs="Arial"/>
          <w:sz w:val="20"/>
          <w:szCs w:val="20"/>
        </w:rPr>
      </w:pPr>
      <w:r w:rsidRPr="00560F80">
        <w:rPr>
          <w:rFonts w:ascii="Arial" w:hAnsi="Arial" w:cs="Arial"/>
          <w:sz w:val="20"/>
          <w:szCs w:val="20"/>
        </w:rPr>
        <w:t xml:space="preserve">Regression analysis indicated similar growth patterns between sexes </w:t>
      </w:r>
      <w:commentRangeStart w:id="29"/>
      <w:r w:rsidRPr="00560F80">
        <w:rPr>
          <w:rFonts w:ascii="Arial" w:hAnsi="Arial" w:cs="Arial"/>
          <w:sz w:val="20"/>
          <w:szCs w:val="20"/>
        </w:rPr>
        <w:t xml:space="preserve">(Figure 4). </w:t>
      </w:r>
      <w:commentRangeEnd w:id="29"/>
      <w:r w:rsidR="00420E74">
        <w:rPr>
          <w:rStyle w:val="CommentReference"/>
          <w:lang w:val="nb-NO" w:eastAsia="nb-NO"/>
        </w:rPr>
        <w:commentReference w:id="29"/>
      </w:r>
      <w:r w:rsidRPr="00560F80">
        <w:rPr>
          <w:rFonts w:ascii="Arial" w:hAnsi="Arial" w:cs="Arial"/>
          <w:sz w:val="20"/>
          <w:szCs w:val="20"/>
        </w:rPr>
        <w:t xml:space="preserve">For males, the DML–body weight relationship was expressed as </w:t>
      </w:r>
      <w:r w:rsidRPr="00560F80">
        <w:rPr>
          <w:rStyle w:val="Strong"/>
          <w:rFonts w:ascii="Arial" w:hAnsi="Arial" w:cs="Arial"/>
          <w:b w:val="0"/>
          <w:bCs w:val="0"/>
          <w:sz w:val="20"/>
          <w:szCs w:val="20"/>
        </w:rPr>
        <w:t xml:space="preserve">W = </w:t>
      </w:r>
      <w:commentRangeStart w:id="30"/>
      <w:r w:rsidRPr="00560F80">
        <w:rPr>
          <w:rStyle w:val="Strong"/>
          <w:rFonts w:ascii="Arial" w:hAnsi="Arial" w:cs="Arial"/>
          <w:b w:val="0"/>
          <w:bCs w:val="0"/>
          <w:sz w:val="20"/>
          <w:szCs w:val="20"/>
        </w:rPr>
        <w:t xml:space="preserve">6,6401 L²·⁰⁶⁷⁶ </w:t>
      </w:r>
      <w:commentRangeEnd w:id="30"/>
      <w:r w:rsidR="005E2451">
        <w:rPr>
          <w:rStyle w:val="CommentReference"/>
          <w:lang w:val="nb-NO" w:eastAsia="nb-NO"/>
        </w:rPr>
        <w:commentReference w:id="30"/>
      </w:r>
      <w:r w:rsidRPr="00560F80">
        <w:rPr>
          <w:rFonts w:ascii="Arial" w:hAnsi="Arial" w:cs="Arial"/>
          <w:sz w:val="20"/>
          <w:szCs w:val="20"/>
        </w:rPr>
        <w:t xml:space="preserve">with </w:t>
      </w:r>
      <w:r w:rsidRPr="00560F80">
        <w:rPr>
          <w:rStyle w:val="Strong"/>
          <w:rFonts w:ascii="Arial" w:hAnsi="Arial" w:cs="Arial"/>
          <w:b w:val="0"/>
          <w:bCs w:val="0"/>
          <w:sz w:val="20"/>
          <w:szCs w:val="20"/>
        </w:rPr>
        <w:t>R² = 0,6177</w:t>
      </w:r>
      <w:r w:rsidR="00560F80" w:rsidRPr="00560F80">
        <w:rPr>
          <w:rStyle w:val="Strong"/>
          <w:rFonts w:ascii="Arial" w:hAnsi="Arial" w:cs="Arial"/>
          <w:b w:val="0"/>
          <w:bCs w:val="0"/>
          <w:sz w:val="20"/>
          <w:szCs w:val="20"/>
        </w:rPr>
        <w:t xml:space="preserve"> </w:t>
      </w:r>
      <w:r w:rsidRPr="00560F80">
        <w:rPr>
          <w:rFonts w:ascii="Arial" w:hAnsi="Arial" w:cs="Arial"/>
          <w:sz w:val="20"/>
          <w:szCs w:val="20"/>
        </w:rPr>
        <w:t xml:space="preserve">(Figure </w:t>
      </w:r>
      <w:r w:rsidR="00923932">
        <w:rPr>
          <w:rFonts w:ascii="Arial" w:hAnsi="Arial" w:cs="Arial"/>
          <w:sz w:val="20"/>
          <w:szCs w:val="20"/>
        </w:rPr>
        <w:t>6</w:t>
      </w:r>
      <w:r w:rsidRPr="00560F80">
        <w:rPr>
          <w:rFonts w:ascii="Arial" w:hAnsi="Arial" w:cs="Arial"/>
          <w:sz w:val="20"/>
          <w:szCs w:val="20"/>
        </w:rPr>
        <w:t xml:space="preserve">), while females followed </w:t>
      </w:r>
      <w:r w:rsidR="00560F80" w:rsidRPr="00560F80">
        <w:rPr>
          <w:rStyle w:val="Strong"/>
          <w:rFonts w:ascii="Arial" w:hAnsi="Arial" w:cs="Arial"/>
          <w:b w:val="0"/>
          <w:bCs w:val="0"/>
          <w:sz w:val="20"/>
          <w:szCs w:val="20"/>
        </w:rPr>
        <w:t xml:space="preserve">W = 2,8043 L²·³⁸⁷⁵ with R² = 0,6742 (Figure </w:t>
      </w:r>
      <w:r w:rsidR="00923932">
        <w:rPr>
          <w:rStyle w:val="Strong"/>
          <w:rFonts w:ascii="Arial" w:hAnsi="Arial" w:cs="Arial"/>
          <w:b w:val="0"/>
          <w:bCs w:val="0"/>
          <w:sz w:val="20"/>
          <w:szCs w:val="20"/>
        </w:rPr>
        <w:t>7</w:t>
      </w:r>
      <w:r w:rsidR="00560F80" w:rsidRPr="00560F80">
        <w:rPr>
          <w:rStyle w:val="Strong"/>
          <w:rFonts w:ascii="Arial" w:hAnsi="Arial" w:cs="Arial"/>
          <w:b w:val="0"/>
          <w:bCs w:val="0"/>
          <w:sz w:val="20"/>
          <w:szCs w:val="20"/>
        </w:rPr>
        <w:t>)</w:t>
      </w:r>
      <w:r w:rsidRPr="00560F80">
        <w:rPr>
          <w:rFonts w:ascii="Arial" w:hAnsi="Arial" w:cs="Arial"/>
          <w:sz w:val="20"/>
          <w:szCs w:val="20"/>
        </w:rPr>
        <w:t>.</w:t>
      </w:r>
      <w:r w:rsidR="00560F80" w:rsidRPr="00560F80">
        <w:rPr>
          <w:rFonts w:ascii="Arial" w:hAnsi="Arial" w:cs="Arial"/>
          <w:sz w:val="20"/>
          <w:szCs w:val="20"/>
        </w:rPr>
        <w:t xml:space="preserve"> The coefficients of determination (R²) of 0.6177 for males and 0.6742 for females indicate that approximately 61–67% of the variation in body weight can be explained by increases in mantle length. The remaining variation is likely influenced by other biological factors, such as gut fullness and arm condition. The correlation coefficients (</w:t>
      </w:r>
      <w:r w:rsidR="00560F80" w:rsidRPr="00560F80">
        <w:rPr>
          <w:rStyle w:val="katex-mathml"/>
          <w:rFonts w:ascii="Arial" w:hAnsi="Arial" w:cs="Arial"/>
          <w:sz w:val="20"/>
          <w:szCs w:val="20"/>
        </w:rPr>
        <w:t>r</w:t>
      </w:r>
      <w:r w:rsidR="00560F80" w:rsidRPr="00560F80">
        <w:rPr>
          <w:rFonts w:ascii="Arial" w:hAnsi="Arial" w:cs="Arial"/>
          <w:sz w:val="20"/>
          <w:szCs w:val="20"/>
        </w:rPr>
        <w:t>), calculated as the square root of (R²), demonstrate a moderately strong positive relationship between dorsal mantle length and total body weight in both sexes.</w:t>
      </w:r>
    </w:p>
    <w:p w14:paraId="2C199C5C" w14:textId="77777777" w:rsidR="001F3270" w:rsidRDefault="001F3270" w:rsidP="001F3270">
      <w:pPr>
        <w:pStyle w:val="NormalWeb"/>
        <w:spacing w:before="0" w:beforeAutospacing="0" w:after="0" w:afterAutospacing="0"/>
        <w:jc w:val="both"/>
        <w:rPr>
          <w:rFonts w:ascii="Arial" w:hAnsi="Arial" w:cs="Arial"/>
          <w:sz w:val="20"/>
          <w:szCs w:val="20"/>
        </w:rPr>
      </w:pPr>
    </w:p>
    <w:p w14:paraId="07057190" w14:textId="046EDCCF" w:rsidR="00560F80" w:rsidRPr="00560F80" w:rsidRDefault="00560F80" w:rsidP="001F3270">
      <w:pPr>
        <w:pStyle w:val="NormalWeb"/>
        <w:spacing w:before="0" w:beforeAutospacing="0" w:after="0" w:afterAutospacing="0"/>
        <w:jc w:val="both"/>
        <w:rPr>
          <w:rFonts w:ascii="Arial" w:hAnsi="Arial" w:cs="Arial"/>
          <w:sz w:val="20"/>
          <w:szCs w:val="20"/>
        </w:rPr>
      </w:pPr>
      <w:r w:rsidRPr="00560F80">
        <w:rPr>
          <w:rFonts w:ascii="Arial" w:hAnsi="Arial" w:cs="Arial"/>
          <w:sz w:val="20"/>
          <w:szCs w:val="20"/>
        </w:rPr>
        <w:t>Allometric coefficients (b) were 2</w:t>
      </w:r>
      <w:r w:rsidR="007B79F2">
        <w:rPr>
          <w:rFonts w:ascii="Arial" w:hAnsi="Arial" w:cs="Arial"/>
          <w:sz w:val="20"/>
          <w:szCs w:val="20"/>
        </w:rPr>
        <w:t>,</w:t>
      </w:r>
      <w:r w:rsidRPr="00560F80">
        <w:rPr>
          <w:rFonts w:ascii="Arial" w:hAnsi="Arial" w:cs="Arial"/>
          <w:sz w:val="20"/>
          <w:szCs w:val="20"/>
        </w:rPr>
        <w:t>06 for males and 2</w:t>
      </w:r>
      <w:r w:rsidR="007B79F2">
        <w:rPr>
          <w:rFonts w:ascii="Arial" w:hAnsi="Arial" w:cs="Arial"/>
          <w:sz w:val="20"/>
          <w:szCs w:val="20"/>
        </w:rPr>
        <w:t>,</w:t>
      </w:r>
      <w:r w:rsidRPr="00560F80">
        <w:rPr>
          <w:rFonts w:ascii="Arial" w:hAnsi="Arial" w:cs="Arial"/>
          <w:sz w:val="20"/>
          <w:szCs w:val="20"/>
        </w:rPr>
        <w:t xml:space="preserve">38 for females, both significantly below 3 </w:t>
      </w:r>
      <w:r w:rsidR="007B79F2">
        <w:rPr>
          <w:rFonts w:ascii="Arial" w:hAnsi="Arial" w:cs="Arial"/>
          <w:sz w:val="20"/>
          <w:szCs w:val="20"/>
        </w:rPr>
        <w:t xml:space="preserve">(b </w:t>
      </w:r>
      <w:r w:rsidR="007B79F2" w:rsidRPr="008059D2">
        <w:rPr>
          <w:rFonts w:ascii="Arial" w:hAnsi="Arial" w:cs="Arial"/>
          <w:sz w:val="20"/>
          <w:szCs w:val="20"/>
        </w:rPr>
        <w:t>&lt; 3)</w:t>
      </w:r>
      <w:r w:rsidRPr="00560F80">
        <w:rPr>
          <w:rFonts w:ascii="Arial" w:hAnsi="Arial" w:cs="Arial"/>
          <w:sz w:val="20"/>
          <w:szCs w:val="20"/>
        </w:rPr>
        <w:t xml:space="preserve">, indicating negative allometric growth. This pattern suggests that the population is dominated by individuals in the active somatic growth phase, allocating more energy to mantle elongation than muscle mass accumulation. These findings are consistent with Marzuki </w:t>
      </w:r>
      <w:r w:rsidRPr="007B79F2">
        <w:rPr>
          <w:rFonts w:ascii="Arial" w:hAnsi="Arial" w:cs="Arial"/>
          <w:i/>
          <w:iCs/>
          <w:sz w:val="20"/>
          <w:szCs w:val="20"/>
        </w:rPr>
        <w:t>et al</w:t>
      </w:r>
      <w:r w:rsidRPr="00560F80">
        <w:rPr>
          <w:rFonts w:ascii="Arial" w:hAnsi="Arial" w:cs="Arial"/>
          <w:sz w:val="20"/>
          <w:szCs w:val="20"/>
        </w:rPr>
        <w:t xml:space="preserve">. (2023) and Diniariwisan </w:t>
      </w:r>
      <w:r w:rsidRPr="007B79F2">
        <w:rPr>
          <w:rFonts w:ascii="Arial" w:hAnsi="Arial" w:cs="Arial"/>
          <w:i/>
          <w:iCs/>
          <w:sz w:val="20"/>
          <w:szCs w:val="20"/>
        </w:rPr>
        <w:t>et al</w:t>
      </w:r>
      <w:r w:rsidRPr="00560F80">
        <w:rPr>
          <w:rFonts w:ascii="Arial" w:hAnsi="Arial" w:cs="Arial"/>
          <w:sz w:val="20"/>
          <w:szCs w:val="20"/>
        </w:rPr>
        <w:t>. (2023), who also reported negative allometric growth in octopuses from Ketapang Beach, East Lombok. The consistency across nearby waters indicates similar habitat characteristics in coastal East Lombok.</w:t>
      </w:r>
    </w:p>
    <w:p w14:paraId="50EFF09C" w14:textId="77777777" w:rsidR="001F3270" w:rsidRDefault="001F3270" w:rsidP="001F3270">
      <w:pPr>
        <w:pStyle w:val="NormalWeb"/>
        <w:spacing w:before="0" w:beforeAutospacing="0" w:after="0" w:afterAutospacing="0"/>
        <w:jc w:val="both"/>
        <w:rPr>
          <w:rFonts w:ascii="Arial" w:hAnsi="Arial" w:cs="Arial"/>
          <w:sz w:val="20"/>
          <w:szCs w:val="20"/>
        </w:rPr>
      </w:pPr>
    </w:p>
    <w:p w14:paraId="33962666" w14:textId="16FF0859" w:rsidR="007B79F2" w:rsidRPr="007B79F2" w:rsidRDefault="007B79F2" w:rsidP="001F3270">
      <w:pPr>
        <w:pStyle w:val="NormalWeb"/>
        <w:spacing w:before="0" w:beforeAutospacing="0" w:after="0" w:afterAutospacing="0"/>
        <w:jc w:val="both"/>
        <w:rPr>
          <w:rFonts w:ascii="Arial" w:hAnsi="Arial" w:cs="Arial"/>
          <w:sz w:val="20"/>
          <w:szCs w:val="20"/>
        </w:rPr>
      </w:pPr>
      <w:r w:rsidRPr="007B79F2">
        <w:rPr>
          <w:rFonts w:ascii="Arial" w:hAnsi="Arial" w:cs="Arial"/>
          <w:sz w:val="20"/>
          <w:szCs w:val="20"/>
        </w:rPr>
        <w:t xml:space="preserve">Low values of the allometric coefficient </w:t>
      </w:r>
      <w:r w:rsidRPr="007B79F2">
        <w:rPr>
          <w:rStyle w:val="katex-mathml"/>
          <w:rFonts w:ascii="Arial" w:hAnsi="Arial" w:cs="Arial"/>
          <w:sz w:val="20"/>
          <w:szCs w:val="20"/>
        </w:rPr>
        <w:t>b</w:t>
      </w:r>
      <w:r w:rsidRPr="007B79F2">
        <w:rPr>
          <w:rFonts w:ascii="Arial" w:hAnsi="Arial" w:cs="Arial"/>
          <w:sz w:val="20"/>
          <w:szCs w:val="20"/>
        </w:rPr>
        <w:t xml:space="preserve"> may be influenced by both environmental (external) and biological (internal) factors. According to Amir </w:t>
      </w:r>
      <w:r w:rsidRPr="007B79F2">
        <w:rPr>
          <w:rFonts w:ascii="Arial" w:hAnsi="Arial" w:cs="Arial"/>
          <w:i/>
          <w:iCs/>
          <w:sz w:val="20"/>
          <w:szCs w:val="20"/>
        </w:rPr>
        <w:t>et al</w:t>
      </w:r>
      <w:r w:rsidRPr="007B79F2">
        <w:rPr>
          <w:rFonts w:ascii="Arial" w:hAnsi="Arial" w:cs="Arial"/>
          <w:sz w:val="20"/>
          <w:szCs w:val="20"/>
        </w:rPr>
        <w:t xml:space="preserve">. (2021), variations in </w:t>
      </w:r>
      <w:r w:rsidRPr="007B79F2">
        <w:rPr>
          <w:rStyle w:val="katex-mathml"/>
          <w:rFonts w:ascii="Arial" w:hAnsi="Arial" w:cs="Arial"/>
          <w:sz w:val="20"/>
          <w:szCs w:val="20"/>
        </w:rPr>
        <w:t>b</w:t>
      </w:r>
      <w:r w:rsidRPr="007B79F2">
        <w:rPr>
          <w:rFonts w:ascii="Arial" w:hAnsi="Arial" w:cs="Arial"/>
          <w:sz w:val="20"/>
          <w:szCs w:val="20"/>
        </w:rPr>
        <w:t xml:space="preserve"> are largely determined by prey availability and water conditions. From an ecophysiological perspective, Semmens </w:t>
      </w:r>
      <w:r w:rsidRPr="007B79F2">
        <w:rPr>
          <w:rFonts w:ascii="Arial" w:hAnsi="Arial" w:cs="Arial"/>
          <w:i/>
          <w:iCs/>
          <w:sz w:val="20"/>
          <w:szCs w:val="20"/>
        </w:rPr>
        <w:t>et al</w:t>
      </w:r>
      <w:r w:rsidRPr="007B79F2">
        <w:rPr>
          <w:rFonts w:ascii="Arial" w:hAnsi="Arial" w:cs="Arial"/>
          <w:sz w:val="20"/>
          <w:szCs w:val="20"/>
        </w:rPr>
        <w:t>. (2004) explained that warm water temperatures, such as those</w:t>
      </w:r>
      <w:r>
        <w:rPr>
          <w:rFonts w:ascii="Arial" w:hAnsi="Arial" w:cs="Arial"/>
          <w:sz w:val="20"/>
          <w:szCs w:val="20"/>
        </w:rPr>
        <w:t xml:space="preserve"> </w:t>
      </w:r>
      <w:r w:rsidRPr="007B79F2">
        <w:rPr>
          <w:rFonts w:ascii="Arial" w:hAnsi="Arial" w:cs="Arial"/>
          <w:sz w:val="20"/>
          <w:szCs w:val="20"/>
        </w:rPr>
        <w:t xml:space="preserve">characteristic of tropical waters in </w:t>
      </w:r>
      <w:r w:rsidR="00DF0313">
        <w:rPr>
          <w:rFonts w:ascii="Arial" w:hAnsi="Arial" w:cs="Arial"/>
          <w:sz w:val="20"/>
          <w:szCs w:val="20"/>
        </w:rPr>
        <w:t>WNT</w:t>
      </w:r>
      <w:r w:rsidRPr="007B79F2">
        <w:rPr>
          <w:rFonts w:ascii="Arial" w:hAnsi="Arial" w:cs="Arial"/>
          <w:sz w:val="20"/>
          <w:szCs w:val="20"/>
        </w:rPr>
        <w:t xml:space="preserve">, can stimulate octopus metabolism, causing energy obtained from food to be rapidly allocated to activity and mantle elongation, leaving limited energy for body </w:t>
      </w:r>
      <w:r w:rsidRPr="007B79F2">
        <w:rPr>
          <w:rFonts w:ascii="Arial" w:hAnsi="Arial" w:cs="Arial"/>
          <w:sz w:val="20"/>
          <w:szCs w:val="20"/>
        </w:rPr>
        <w:lastRenderedPageBreak/>
        <w:t xml:space="preserve">mass deposition. Additionally, intensive fishing pressure in the study area (Omar </w:t>
      </w:r>
      <w:r w:rsidRPr="007B79F2">
        <w:rPr>
          <w:rFonts w:ascii="Arial" w:hAnsi="Arial" w:cs="Arial"/>
          <w:i/>
          <w:iCs/>
          <w:sz w:val="20"/>
          <w:szCs w:val="20"/>
        </w:rPr>
        <w:t>et al</w:t>
      </w:r>
      <w:r w:rsidRPr="007B79F2">
        <w:rPr>
          <w:rFonts w:ascii="Arial" w:hAnsi="Arial" w:cs="Arial"/>
          <w:sz w:val="20"/>
          <w:szCs w:val="20"/>
        </w:rPr>
        <w:t xml:space="preserve">., 2020) may result in </w:t>
      </w:r>
      <w:r w:rsidRPr="007B79F2">
        <w:rPr>
          <w:rStyle w:val="Strong"/>
          <w:rFonts w:ascii="Arial" w:hAnsi="Arial" w:cs="Arial"/>
          <w:b w:val="0"/>
          <w:bCs w:val="0"/>
          <w:sz w:val="20"/>
          <w:szCs w:val="20"/>
        </w:rPr>
        <w:t>growth overfishing</w:t>
      </w:r>
      <w:r w:rsidRPr="007B79F2">
        <w:rPr>
          <w:rFonts w:ascii="Arial" w:hAnsi="Arial" w:cs="Arial"/>
          <w:sz w:val="20"/>
          <w:szCs w:val="20"/>
        </w:rPr>
        <w:t>, whereby octopuses are captured during their rapid growth phase before achieving optimal (isometric) body proportions.</w:t>
      </w:r>
    </w:p>
    <w:p w14:paraId="19CDC237" w14:textId="72ADD0DA" w:rsidR="009A020D" w:rsidRPr="001F6062" w:rsidRDefault="009A020D" w:rsidP="001F3270">
      <w:pPr>
        <w:pStyle w:val="Head1"/>
        <w:spacing w:after="0"/>
        <w:jc w:val="both"/>
        <w:rPr>
          <w:rFonts w:ascii="Arial" w:hAnsi="Arial" w:cs="Arial"/>
          <w:b w:val="0"/>
          <w:bCs/>
          <w:caps w:val="0"/>
          <w:sz w:val="20"/>
        </w:rPr>
      </w:pPr>
      <w:r w:rsidRPr="001F6062">
        <w:rPr>
          <w:rFonts w:ascii="Arial" w:hAnsi="Arial" w:cs="Arial"/>
          <w:b w:val="0"/>
          <w:bCs/>
          <w:caps w:val="0"/>
          <w:sz w:val="20"/>
        </w:rPr>
        <w:t xml:space="preserve"> </w:t>
      </w: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059"/>
      </w:tblGrid>
      <w:tr w:rsidR="004509F1" w14:paraId="6E7085A2" w14:textId="77777777" w:rsidTr="004509F1">
        <w:trPr>
          <w:trHeight w:val="2105"/>
        </w:trPr>
        <w:tc>
          <w:tcPr>
            <w:tcW w:w="4301" w:type="dxa"/>
          </w:tcPr>
          <w:p w14:paraId="57AF193B" w14:textId="444CC206" w:rsidR="00A315B0" w:rsidRDefault="004509F1" w:rsidP="009A020D">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4FBC4063" wp14:editId="4D8CD270">
                  <wp:extent cx="2539521" cy="216130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3">
                            <a:extLst>
                              <a:ext uri="{28A0092B-C50C-407E-A947-70E740481C1C}">
                                <a14:useLocalDpi xmlns:a14="http://schemas.microsoft.com/office/drawing/2010/main" val="0"/>
                              </a:ext>
                            </a:extLst>
                          </a:blip>
                          <a:stretch>
                            <a:fillRect/>
                          </a:stretch>
                        </pic:blipFill>
                        <pic:spPr>
                          <a:xfrm>
                            <a:off x="0" y="0"/>
                            <a:ext cx="2578785" cy="2194725"/>
                          </a:xfrm>
                          <a:prstGeom prst="rect">
                            <a:avLst/>
                          </a:prstGeom>
                        </pic:spPr>
                      </pic:pic>
                    </a:graphicData>
                  </a:graphic>
                </wp:inline>
              </w:drawing>
            </w:r>
          </w:p>
        </w:tc>
        <w:tc>
          <w:tcPr>
            <w:tcW w:w="3889" w:type="dxa"/>
          </w:tcPr>
          <w:p w14:paraId="7367C153" w14:textId="2D560529" w:rsidR="00A315B0" w:rsidRDefault="004509F1" w:rsidP="009A020D">
            <w:pPr>
              <w:pStyle w:val="Head1"/>
              <w:spacing w:after="0"/>
              <w:jc w:val="both"/>
              <w:rPr>
                <w:rFonts w:ascii="Arial" w:hAnsi="Arial" w:cs="Arial"/>
                <w:b w:val="0"/>
                <w:bCs/>
                <w:caps w:val="0"/>
                <w:sz w:val="20"/>
              </w:rPr>
            </w:pPr>
            <w:r>
              <w:rPr>
                <w:rFonts w:ascii="Arial" w:hAnsi="Arial" w:cs="Arial"/>
                <w:b w:val="0"/>
                <w:bCs/>
                <w:caps w:val="0"/>
                <w:noProof/>
                <w:sz w:val="20"/>
              </w:rPr>
              <w:drawing>
                <wp:inline distT="0" distB="0" distL="0" distR="0" wp14:anchorId="5810C23F" wp14:editId="347F952F">
                  <wp:extent cx="2481580" cy="2149434"/>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extLst>
                              <a:ext uri="{28A0092B-C50C-407E-A947-70E740481C1C}">
                                <a14:useLocalDpi xmlns:a14="http://schemas.microsoft.com/office/drawing/2010/main" val="0"/>
                              </a:ext>
                            </a:extLst>
                          </a:blip>
                          <a:stretch>
                            <a:fillRect/>
                          </a:stretch>
                        </pic:blipFill>
                        <pic:spPr>
                          <a:xfrm>
                            <a:off x="0" y="0"/>
                            <a:ext cx="2590420" cy="2243706"/>
                          </a:xfrm>
                          <a:prstGeom prst="rect">
                            <a:avLst/>
                          </a:prstGeom>
                        </pic:spPr>
                      </pic:pic>
                    </a:graphicData>
                  </a:graphic>
                </wp:inline>
              </w:drawing>
            </w:r>
          </w:p>
        </w:tc>
      </w:tr>
      <w:tr w:rsidR="004509F1" w14:paraId="5F1EB170" w14:textId="77777777" w:rsidTr="004509F1">
        <w:tc>
          <w:tcPr>
            <w:tcW w:w="4301" w:type="dxa"/>
          </w:tcPr>
          <w:p w14:paraId="6DC39B0C" w14:textId="365E0433" w:rsidR="00A315B0" w:rsidRDefault="00897AA3" w:rsidP="001F3270">
            <w:pPr>
              <w:pStyle w:val="Head1"/>
              <w:spacing w:after="0"/>
              <w:jc w:val="center"/>
              <w:rPr>
                <w:rFonts w:ascii="Arial" w:hAnsi="Arial" w:cs="Arial"/>
                <w:b w:val="0"/>
                <w:bCs/>
                <w:caps w:val="0"/>
                <w:sz w:val="20"/>
              </w:rPr>
            </w:pPr>
            <w:r>
              <w:rPr>
                <w:rFonts w:ascii="Arial" w:hAnsi="Arial" w:cs="Arial"/>
                <w:b w:val="0"/>
                <w:bCs/>
                <w:caps w:val="0"/>
                <w:sz w:val="20"/>
              </w:rPr>
              <w:t>Figure</w:t>
            </w:r>
            <w:r w:rsidR="00A315B0">
              <w:rPr>
                <w:rFonts w:ascii="Arial" w:hAnsi="Arial" w:cs="Arial"/>
                <w:b w:val="0"/>
                <w:bCs/>
                <w:caps w:val="0"/>
                <w:sz w:val="20"/>
              </w:rPr>
              <w:t xml:space="preserve"> </w:t>
            </w:r>
            <w:r>
              <w:rPr>
                <w:rFonts w:ascii="Arial" w:hAnsi="Arial" w:cs="Arial"/>
                <w:b w:val="0"/>
                <w:bCs/>
                <w:caps w:val="0"/>
                <w:sz w:val="20"/>
              </w:rPr>
              <w:t xml:space="preserve">6. </w:t>
            </w:r>
            <w:r w:rsidRPr="00897AA3">
              <w:rPr>
                <w:rFonts w:ascii="Arial" w:hAnsi="Arial" w:cs="Arial"/>
                <w:b w:val="0"/>
                <w:bCs/>
                <w:caps w:val="0"/>
                <w:sz w:val="20"/>
              </w:rPr>
              <w:t xml:space="preserve">Relationship between Length and Weight of Male </w:t>
            </w:r>
            <w:r w:rsidRPr="00897AA3">
              <w:rPr>
                <w:rFonts w:ascii="Arial" w:hAnsi="Arial" w:cs="Arial"/>
                <w:b w:val="0"/>
                <w:bCs/>
                <w:i/>
                <w:iCs/>
                <w:caps w:val="0"/>
                <w:sz w:val="20"/>
              </w:rPr>
              <w:t>Octopus cyanea</w:t>
            </w:r>
          </w:p>
        </w:tc>
        <w:tc>
          <w:tcPr>
            <w:tcW w:w="3889" w:type="dxa"/>
          </w:tcPr>
          <w:p w14:paraId="04201DAA" w14:textId="78557B8C" w:rsidR="00A315B0" w:rsidRDefault="00897AA3" w:rsidP="001F3270">
            <w:pPr>
              <w:pStyle w:val="Head1"/>
              <w:spacing w:after="0"/>
              <w:jc w:val="center"/>
              <w:rPr>
                <w:rFonts w:ascii="Arial" w:hAnsi="Arial" w:cs="Arial"/>
                <w:b w:val="0"/>
                <w:bCs/>
                <w:caps w:val="0"/>
                <w:sz w:val="20"/>
              </w:rPr>
            </w:pPr>
            <w:commentRangeStart w:id="31"/>
            <w:r>
              <w:rPr>
                <w:rFonts w:ascii="Arial" w:hAnsi="Arial" w:cs="Arial"/>
                <w:b w:val="0"/>
                <w:bCs/>
                <w:caps w:val="0"/>
                <w:sz w:val="20"/>
              </w:rPr>
              <w:t>Figure</w:t>
            </w:r>
            <w:r w:rsidR="00A315B0">
              <w:rPr>
                <w:rFonts w:ascii="Arial" w:hAnsi="Arial" w:cs="Arial"/>
                <w:b w:val="0"/>
                <w:bCs/>
                <w:caps w:val="0"/>
                <w:sz w:val="20"/>
              </w:rPr>
              <w:t xml:space="preserve"> </w:t>
            </w:r>
            <w:r>
              <w:rPr>
                <w:rFonts w:ascii="Arial" w:hAnsi="Arial" w:cs="Arial"/>
                <w:b w:val="0"/>
                <w:bCs/>
                <w:caps w:val="0"/>
                <w:sz w:val="20"/>
              </w:rPr>
              <w:t xml:space="preserve">7. </w:t>
            </w:r>
            <w:r w:rsidRPr="00897AA3">
              <w:rPr>
                <w:rFonts w:ascii="Arial" w:hAnsi="Arial" w:cs="Arial"/>
                <w:b w:val="0"/>
                <w:bCs/>
                <w:caps w:val="0"/>
                <w:sz w:val="20"/>
              </w:rPr>
              <w:t xml:space="preserve">Relationship between Length and Weight of Male </w:t>
            </w:r>
            <w:r w:rsidRPr="00897AA3">
              <w:rPr>
                <w:rFonts w:ascii="Arial" w:hAnsi="Arial" w:cs="Arial"/>
                <w:b w:val="0"/>
                <w:bCs/>
                <w:i/>
                <w:iCs/>
                <w:caps w:val="0"/>
                <w:sz w:val="20"/>
              </w:rPr>
              <w:t>Octopus cyanea</w:t>
            </w:r>
            <w:commentRangeEnd w:id="31"/>
            <w:r w:rsidR="00FC4BB3">
              <w:rPr>
                <w:rStyle w:val="CommentReference"/>
                <w:rFonts w:ascii="Times New Roman" w:eastAsia="Times New Roman" w:hAnsi="Times New Roman"/>
                <w:b w:val="0"/>
                <w:caps w:val="0"/>
                <w:lang w:val="nb-NO" w:eastAsia="nb-NO"/>
              </w:rPr>
              <w:commentReference w:id="31"/>
            </w:r>
          </w:p>
        </w:tc>
      </w:tr>
    </w:tbl>
    <w:p w14:paraId="2A0DB574" w14:textId="77777777" w:rsidR="001F3270" w:rsidRPr="00FB3A86" w:rsidRDefault="001F3270" w:rsidP="00441B6F">
      <w:pPr>
        <w:pStyle w:val="Body"/>
        <w:spacing w:after="0"/>
        <w:rPr>
          <w:rFonts w:ascii="Arial" w:hAnsi="Arial" w:cs="Arial"/>
        </w:rPr>
      </w:pPr>
    </w:p>
    <w:p w14:paraId="1BBE96A7" w14:textId="03C5F9F5" w:rsidR="0069111D" w:rsidRDefault="00000F8F" w:rsidP="007B79F2">
      <w:pPr>
        <w:pStyle w:val="ConcHead"/>
        <w:spacing w:after="0"/>
        <w:jc w:val="both"/>
        <w:rPr>
          <w:rFonts w:ascii="Arial" w:hAnsi="Arial" w:cs="Arial"/>
        </w:rPr>
      </w:pPr>
      <w:r>
        <w:rPr>
          <w:rFonts w:ascii="Arial" w:hAnsi="Arial" w:cs="Arial"/>
        </w:rPr>
        <w:t xml:space="preserve">4. </w:t>
      </w:r>
      <w:commentRangeStart w:id="32"/>
      <w:r w:rsidR="00B01FCD" w:rsidRPr="00FB3A86">
        <w:rPr>
          <w:rFonts w:ascii="Arial" w:hAnsi="Arial" w:cs="Arial"/>
        </w:rPr>
        <w:t>Conclusion</w:t>
      </w:r>
      <w:commentRangeEnd w:id="32"/>
      <w:r w:rsidR="00C27B5D">
        <w:rPr>
          <w:rStyle w:val="CommentReference"/>
          <w:rFonts w:ascii="Times New Roman" w:hAnsi="Times New Roman"/>
          <w:b w:val="0"/>
          <w:caps w:val="0"/>
          <w:lang w:val="nb-NO" w:eastAsia="nb-NO"/>
        </w:rPr>
        <w:commentReference w:id="32"/>
      </w:r>
    </w:p>
    <w:p w14:paraId="3472C656" w14:textId="77777777" w:rsidR="001F3270" w:rsidRDefault="001F3270" w:rsidP="001F3270">
      <w:pPr>
        <w:pStyle w:val="NormalWeb"/>
        <w:spacing w:before="0" w:beforeAutospacing="0" w:after="0" w:afterAutospacing="0"/>
        <w:jc w:val="both"/>
        <w:rPr>
          <w:rFonts w:ascii="Arial" w:hAnsi="Arial" w:cs="Arial"/>
          <w:sz w:val="20"/>
          <w:szCs w:val="20"/>
        </w:rPr>
      </w:pPr>
    </w:p>
    <w:p w14:paraId="623C7DDB" w14:textId="6D74C9E8" w:rsidR="0069111D" w:rsidRDefault="007B79F2" w:rsidP="001F3270">
      <w:pPr>
        <w:pStyle w:val="NormalWeb"/>
        <w:spacing w:before="0" w:beforeAutospacing="0" w:after="0" w:afterAutospacing="0"/>
        <w:jc w:val="both"/>
        <w:rPr>
          <w:rFonts w:ascii="Arial" w:hAnsi="Arial" w:cs="Arial"/>
          <w:sz w:val="20"/>
          <w:szCs w:val="20"/>
        </w:rPr>
      </w:pPr>
      <w:r w:rsidRPr="007B79F2">
        <w:rPr>
          <w:rFonts w:ascii="Arial" w:hAnsi="Arial" w:cs="Arial"/>
          <w:sz w:val="20"/>
          <w:szCs w:val="20"/>
        </w:rPr>
        <w:t xml:space="preserve">The biological characteristics of the </w:t>
      </w:r>
      <w:r w:rsidRPr="007B79F2">
        <w:rPr>
          <w:rStyle w:val="Emphasis"/>
          <w:rFonts w:ascii="Arial" w:hAnsi="Arial" w:cs="Arial"/>
          <w:sz w:val="20"/>
          <w:szCs w:val="20"/>
        </w:rPr>
        <w:t>Octopus cyanea</w:t>
      </w:r>
      <w:r w:rsidRPr="007B79F2">
        <w:rPr>
          <w:rFonts w:ascii="Arial" w:hAnsi="Arial" w:cs="Arial"/>
          <w:sz w:val="20"/>
          <w:szCs w:val="20"/>
        </w:rPr>
        <w:t xml:space="preserve"> population in the waters surrounding Seruni Mumbul Village are dominated by medium-sized individuals with a unimodal size distribution and exhibit sexual dimorphism. Females tend to reach larger maximum dorsal mantle lengths as an adaptation to enhance fecundity, whereas males achieve higher maximum body weights. The analysis of the length–weight relationship for both sexes confirmed a negative allometric growth pattern (</w:t>
      </w:r>
      <w:r w:rsidRPr="007B79F2">
        <w:rPr>
          <w:rStyle w:val="katex-mathml"/>
          <w:rFonts w:ascii="Arial" w:hAnsi="Arial" w:cs="Arial"/>
          <w:sz w:val="20"/>
          <w:szCs w:val="20"/>
        </w:rPr>
        <w:t>b&lt;3</w:t>
      </w:r>
      <w:r w:rsidRPr="007B79F2">
        <w:rPr>
          <w:rFonts w:ascii="Arial" w:hAnsi="Arial" w:cs="Arial"/>
          <w:sz w:val="20"/>
          <w:szCs w:val="20"/>
        </w:rPr>
        <w:t>), indicating that the population is dominated by individuals in the active somatic growth phase, with mantle elongation prevailing over body mass accumulation.</w:t>
      </w:r>
      <w:r>
        <w:rPr>
          <w:rFonts w:ascii="Arial" w:hAnsi="Arial" w:cs="Arial"/>
          <w:sz w:val="20"/>
          <w:szCs w:val="20"/>
        </w:rPr>
        <w:t xml:space="preserve"> </w:t>
      </w:r>
      <w:r w:rsidRPr="007B79F2">
        <w:rPr>
          <w:rFonts w:ascii="Arial" w:hAnsi="Arial" w:cs="Arial"/>
          <w:sz w:val="20"/>
          <w:szCs w:val="20"/>
        </w:rPr>
        <w:t xml:space="preserve">Furthermore, the disparity between the low proportion of gonadally mature individuals based on mantle length (15.8%) and the higher proportion estimated from body weight (51.6%) not only reflects the phenotypic plasticity of octopuses in response to local environmental conditions but also </w:t>
      </w:r>
      <w:commentRangeStart w:id="33"/>
      <w:r w:rsidRPr="007B79F2">
        <w:rPr>
          <w:rFonts w:ascii="Arial" w:hAnsi="Arial" w:cs="Arial"/>
          <w:sz w:val="20"/>
          <w:szCs w:val="20"/>
        </w:rPr>
        <w:t>indicates intense exploitation pressure on juvenile individuals</w:t>
      </w:r>
      <w:commentRangeEnd w:id="33"/>
      <w:r w:rsidR="00513D5D">
        <w:rPr>
          <w:rStyle w:val="CommentReference"/>
          <w:lang w:val="nb-NO" w:eastAsia="nb-NO"/>
        </w:rPr>
        <w:commentReference w:id="33"/>
      </w:r>
      <w:r w:rsidRPr="007B79F2">
        <w:rPr>
          <w:rFonts w:ascii="Arial" w:hAnsi="Arial" w:cs="Arial"/>
          <w:sz w:val="20"/>
          <w:szCs w:val="20"/>
        </w:rPr>
        <w:t xml:space="preserve">. These findings highlight the population’s vulnerability to </w:t>
      </w:r>
      <w:r w:rsidRPr="007B79F2">
        <w:rPr>
          <w:rStyle w:val="Strong"/>
          <w:rFonts w:ascii="Arial" w:hAnsi="Arial" w:cs="Arial"/>
          <w:b w:val="0"/>
          <w:bCs w:val="0"/>
          <w:sz w:val="20"/>
          <w:szCs w:val="20"/>
        </w:rPr>
        <w:t>growth overfishing</w:t>
      </w:r>
      <w:r w:rsidRPr="007B79F2">
        <w:rPr>
          <w:rFonts w:ascii="Arial" w:hAnsi="Arial" w:cs="Arial"/>
          <w:sz w:val="20"/>
          <w:szCs w:val="20"/>
        </w:rPr>
        <w:t>, which could disrupt natural stock recruitment if appropriate size-based catch regulations are not implemented.</w:t>
      </w:r>
    </w:p>
    <w:p w14:paraId="5BB8EAE1" w14:textId="77777777" w:rsidR="001F3270" w:rsidRPr="008825A6" w:rsidRDefault="001F3270" w:rsidP="001F3270">
      <w:pPr>
        <w:pStyle w:val="NormalWeb"/>
        <w:spacing w:before="0" w:beforeAutospacing="0" w:after="0" w:afterAutospacing="0"/>
        <w:jc w:val="both"/>
        <w:rPr>
          <w:rFonts w:ascii="Arial" w:hAnsi="Arial" w:cs="Arial"/>
          <w:sz w:val="20"/>
          <w:szCs w:val="20"/>
        </w:rPr>
      </w:pPr>
    </w:p>
    <w:p w14:paraId="18510C0D" w14:textId="77777777" w:rsidR="00860000" w:rsidRDefault="00860000" w:rsidP="00441B6F">
      <w:pPr>
        <w:pStyle w:val="ReferHead"/>
        <w:spacing w:after="0"/>
        <w:jc w:val="both"/>
        <w:rPr>
          <w:rFonts w:ascii="Arial" w:hAnsi="Arial" w:cs="Arial"/>
        </w:rPr>
      </w:pPr>
    </w:p>
    <w:p w14:paraId="2D9EC103" w14:textId="54E3773A" w:rsidR="00D02E8A" w:rsidRDefault="00B01FCD" w:rsidP="001140E0">
      <w:pPr>
        <w:pStyle w:val="ReferHead"/>
        <w:spacing w:after="0"/>
        <w:jc w:val="both"/>
        <w:rPr>
          <w:rFonts w:ascii="Arial" w:hAnsi="Arial" w:cs="Arial"/>
        </w:rPr>
      </w:pPr>
      <w:r w:rsidRPr="00FB3A86">
        <w:rPr>
          <w:rFonts w:ascii="Arial" w:hAnsi="Arial" w:cs="Arial"/>
        </w:rPr>
        <w:t>References</w:t>
      </w:r>
    </w:p>
    <w:p w14:paraId="3561CAEE" w14:textId="77777777" w:rsidR="001140E0" w:rsidRPr="001140E0" w:rsidRDefault="001140E0" w:rsidP="001140E0">
      <w:pPr>
        <w:pStyle w:val="ReferHead"/>
        <w:spacing w:after="0"/>
        <w:jc w:val="both"/>
        <w:rPr>
          <w:rFonts w:ascii="Arial" w:hAnsi="Arial" w:cs="Arial"/>
        </w:rPr>
      </w:pPr>
    </w:p>
    <w:p w14:paraId="3E5F50FA" w14:textId="02AEE9D7" w:rsidR="00D02E8A" w:rsidRPr="004768AE" w:rsidRDefault="0067624C" w:rsidP="0067624C">
      <w:pPr>
        <w:ind w:left="567" w:hanging="567"/>
        <w:jc w:val="both"/>
        <w:rPr>
          <w:rFonts w:ascii="Arial" w:hAnsi="Arial" w:cs="Arial"/>
          <w:color w:val="222222"/>
          <w:shd w:val="clear" w:color="auto" w:fill="FFFFFF"/>
        </w:rPr>
      </w:pPr>
      <w:r>
        <w:rPr>
          <w:rFonts w:ascii="Arial" w:hAnsi="Arial" w:cs="Arial"/>
          <w:bCs/>
          <w:color w:val="000000"/>
          <w:lang w:val="sv-SE"/>
        </w:rPr>
        <w:t xml:space="preserve">Ahmed, A. S., El-Ganainy, A. A., Osman, M. F., &amp; Khalil, M. T. (2021). </w:t>
      </w:r>
      <w:r>
        <w:t xml:space="preserve">Observations on some morphometric characters of the webfoot octopus, </w:t>
      </w:r>
      <w:r>
        <w:rPr>
          <w:rStyle w:val="Emphasis"/>
        </w:rPr>
        <w:t>Amphioctopus membranaceus</w:t>
      </w:r>
      <w:r>
        <w:t xml:space="preserve"> (Quoy and Gaimard, 1832) from the Gulf of Suez, Red Sea, Egypt</w:t>
      </w:r>
      <w:r>
        <w:rPr>
          <w:rFonts w:ascii="Arial" w:hAnsi="Arial" w:cs="Arial"/>
          <w:bCs/>
          <w:color w:val="000000"/>
        </w:rPr>
        <w:t xml:space="preserve">. </w:t>
      </w:r>
      <w:r w:rsidRPr="0067624C">
        <w:rPr>
          <w:rFonts w:ascii="Arial" w:hAnsi="Arial" w:cs="Arial"/>
          <w:bCs/>
          <w:color w:val="000000"/>
        </w:rPr>
        <w:t xml:space="preserve">Egyptian Journal </w:t>
      </w:r>
      <w:r w:rsidR="00923932">
        <w:rPr>
          <w:rFonts w:ascii="Arial" w:hAnsi="Arial" w:cs="Arial"/>
          <w:bCs/>
          <w:color w:val="000000"/>
        </w:rPr>
        <w:t>o</w:t>
      </w:r>
      <w:r w:rsidRPr="0067624C">
        <w:rPr>
          <w:rFonts w:ascii="Arial" w:hAnsi="Arial" w:cs="Arial"/>
          <w:bCs/>
          <w:color w:val="000000"/>
        </w:rPr>
        <w:t xml:space="preserve">f Aquatic Biology </w:t>
      </w:r>
      <w:r w:rsidR="00923932">
        <w:rPr>
          <w:rFonts w:ascii="Arial" w:hAnsi="Arial" w:cs="Arial"/>
          <w:bCs/>
          <w:color w:val="000000"/>
        </w:rPr>
        <w:t>a</w:t>
      </w:r>
      <w:r w:rsidRPr="0067624C">
        <w:rPr>
          <w:rFonts w:ascii="Arial" w:hAnsi="Arial" w:cs="Arial"/>
          <w:bCs/>
          <w:color w:val="000000"/>
        </w:rPr>
        <w:t>nd Fisheries, 25</w:t>
      </w:r>
      <w:r>
        <w:rPr>
          <w:rFonts w:ascii="Arial" w:hAnsi="Arial" w:cs="Arial"/>
          <w:bCs/>
          <w:color w:val="000000"/>
        </w:rPr>
        <w:t xml:space="preserve">(2), 103 - 115. </w:t>
      </w:r>
      <w:hyperlink r:id="rId25" w:history="1">
        <w:r w:rsidR="005940F3" w:rsidRPr="00464427">
          <w:rPr>
            <w:rStyle w:val="Hyperlink"/>
            <w:rFonts w:ascii="Arial" w:hAnsi="Arial" w:cs="Arial"/>
            <w:bCs/>
          </w:rPr>
          <w:t>https://doi.org/10.21608/Ejabf.2021.158705</w:t>
        </w:r>
      </w:hyperlink>
      <w:r w:rsidR="00923932">
        <w:rPr>
          <w:rFonts w:ascii="Arial" w:hAnsi="Arial" w:cs="Arial"/>
          <w:bCs/>
        </w:rPr>
        <w:t>.</w:t>
      </w:r>
      <w:r>
        <w:rPr>
          <w:rFonts w:ascii="Arial" w:hAnsi="Arial" w:cs="Arial"/>
          <w:color w:val="222222"/>
          <w:shd w:val="clear" w:color="auto" w:fill="FFFFFF"/>
        </w:rPr>
        <w:t xml:space="preserve"> </w:t>
      </w:r>
    </w:p>
    <w:p w14:paraId="0220C6BA" w14:textId="6547FEE3" w:rsidR="0067624C" w:rsidRPr="00923932" w:rsidRDefault="0067624C" w:rsidP="0067624C">
      <w:pPr>
        <w:ind w:left="567" w:hanging="567"/>
        <w:jc w:val="both"/>
      </w:pPr>
      <w:r>
        <w:rPr>
          <w:rFonts w:ascii="Arial" w:hAnsi="Arial" w:cs="Arial"/>
          <w:color w:val="222222"/>
          <w:shd w:val="clear" w:color="auto" w:fill="FFFFFF"/>
        </w:rPr>
        <w:t xml:space="preserve">Amir, F., Mallawa, A., &amp; Umar, M. T. (2021). </w:t>
      </w:r>
      <w:r>
        <w:t>Growth pattern and sex ratio of octopus (</w:t>
      </w:r>
      <w:r>
        <w:rPr>
          <w:rStyle w:val="Emphasis"/>
        </w:rPr>
        <w:t>Octopus vulgaris</w:t>
      </w:r>
      <w:r>
        <w:t>) in Bone Bay</w:t>
      </w:r>
      <w:r>
        <w:rPr>
          <w:rFonts w:ascii="Arial" w:hAnsi="Arial" w:cs="Arial"/>
          <w:color w:val="222222"/>
          <w:shd w:val="clear" w:color="auto" w:fill="FFFFFF"/>
        </w:rPr>
        <w:t>. </w:t>
      </w:r>
      <w:r w:rsidRPr="00923932">
        <w:rPr>
          <w:rFonts w:ascii="Arial" w:hAnsi="Arial" w:cs="Arial"/>
          <w:color w:val="222222"/>
          <w:shd w:val="clear" w:color="auto" w:fill="FFFFFF"/>
        </w:rPr>
        <w:t xml:space="preserve">Jurnal Ilmiah </w:t>
      </w:r>
      <w:r w:rsidR="00923932">
        <w:rPr>
          <w:rFonts w:ascii="Arial" w:hAnsi="Arial" w:cs="Arial"/>
          <w:color w:val="222222"/>
          <w:shd w:val="clear" w:color="auto" w:fill="FFFFFF"/>
        </w:rPr>
        <w:t>A</w:t>
      </w:r>
      <w:r w:rsidRPr="00923932">
        <w:rPr>
          <w:rFonts w:ascii="Arial" w:hAnsi="Arial" w:cs="Arial"/>
          <w:color w:val="222222"/>
          <w:shd w:val="clear" w:color="auto" w:fill="FFFFFF"/>
        </w:rPr>
        <w:t xml:space="preserve">gribisnis dan Perikanan, 14(2), </w:t>
      </w:r>
      <w:r>
        <w:t>527-532.</w:t>
      </w:r>
      <w:r w:rsidR="006B0152">
        <w:t xml:space="preserve"> </w:t>
      </w:r>
      <w:r w:rsidR="006B0152" w:rsidRPr="00C05713">
        <w:rPr>
          <w:rStyle w:val="Strong"/>
          <w:b w:val="0"/>
          <w:bCs w:val="0"/>
        </w:rPr>
        <w:t>[In Bahasa Indonesia]</w:t>
      </w:r>
      <w:r w:rsidR="005940F3" w:rsidRPr="005940F3">
        <w:rPr>
          <w:rStyle w:val="Strong"/>
          <w:b w:val="0"/>
          <w:bCs w:val="0"/>
        </w:rPr>
        <w:t>.</w:t>
      </w:r>
      <w:r w:rsidRPr="005940F3">
        <w:rPr>
          <w:rStyle w:val="Strong"/>
        </w:rPr>
        <w:t xml:space="preserve"> </w:t>
      </w:r>
      <w:hyperlink r:id="rId26" w:history="1">
        <w:r w:rsidRPr="00923932">
          <w:rPr>
            <w:rStyle w:val="Hyperlink"/>
          </w:rPr>
          <w:t>https://doi.org/10.52046/agrikan.v14i2.873</w:t>
        </w:r>
      </w:hyperlink>
      <w:r w:rsidR="00923932">
        <w:t>.</w:t>
      </w:r>
    </w:p>
    <w:p w14:paraId="714EFFC1" w14:textId="46CB2D8B" w:rsidR="00F63E3F" w:rsidRDefault="0067624C" w:rsidP="002F40CD">
      <w:pPr>
        <w:pBdr>
          <w:top w:val="nil"/>
          <w:left w:val="nil"/>
          <w:bottom w:val="nil"/>
          <w:right w:val="nil"/>
          <w:between w:val="nil"/>
        </w:pBdr>
        <w:ind w:left="567" w:hanging="567"/>
        <w:jc w:val="both"/>
      </w:pPr>
      <w:r w:rsidRPr="00923932">
        <w:rPr>
          <w:rFonts w:ascii="Arial" w:hAnsi="Arial" w:cs="Arial"/>
          <w:color w:val="222222"/>
          <w:shd w:val="clear" w:color="auto" w:fill="FFFFFF"/>
        </w:rPr>
        <w:t xml:space="preserve">Omar, S. B. A., Safitri, A. R. D., Rahmadhani, A., Tresnati, J., Suwarni, S., Umar, M. T., &amp; Kaseng, E. S. (2020). </w:t>
      </w:r>
      <w:r>
        <w:t xml:space="preserve">Relative growth of octopus, </w:t>
      </w:r>
      <w:r>
        <w:rPr>
          <w:rStyle w:val="Emphasis"/>
        </w:rPr>
        <w:t>Octopus cyanea</w:t>
      </w:r>
      <w:r>
        <w:t xml:space="preserve"> Gray, 1849, in the Makassar Strait and Bone Bay waters. </w:t>
      </w:r>
      <w:r w:rsidRPr="0067624C">
        <w:rPr>
          <w:rStyle w:val="Emphasis"/>
          <w:i w:val="0"/>
          <w:iCs w:val="0"/>
        </w:rPr>
        <w:t>Proceedings of the National Symposium on Marine and Fisheries</w:t>
      </w:r>
      <w:r w:rsidRPr="0067624C">
        <w:rPr>
          <w:i/>
          <w:iCs/>
        </w:rPr>
        <w:t>,</w:t>
      </w:r>
      <w:r>
        <w:t xml:space="preserve"> 7</w:t>
      </w:r>
      <w:r w:rsidR="000E39B1">
        <w:t>. [In Bahasa Indonesia]</w:t>
      </w:r>
      <w:r w:rsidR="00923932">
        <w:t>.</w:t>
      </w:r>
      <w:r w:rsidR="000E39B1">
        <w:t xml:space="preserve"> </w:t>
      </w:r>
    </w:p>
    <w:p w14:paraId="57E58311" w14:textId="4D32B31A" w:rsidR="00F63E3F" w:rsidRDefault="0067624C" w:rsidP="0067624C">
      <w:pPr>
        <w:ind w:left="567" w:hanging="567"/>
        <w:jc w:val="both"/>
        <w:rPr>
          <w:rFonts w:ascii="Arial" w:hAnsi="Arial" w:cs="Arial"/>
          <w:color w:val="222222"/>
          <w:shd w:val="clear" w:color="auto" w:fill="FFFFFF"/>
        </w:rPr>
      </w:pPr>
      <w:r>
        <w:rPr>
          <w:rFonts w:ascii="Arial" w:hAnsi="Arial" w:cs="Arial"/>
          <w:color w:val="222222"/>
          <w:shd w:val="clear" w:color="auto" w:fill="FFFFFF"/>
        </w:rPr>
        <w:lastRenderedPageBreak/>
        <w:t xml:space="preserve">Avila-Poveda, O. H., Colin-Flores, R. F., &amp; Rosas, C. (2009). </w:t>
      </w:r>
      <w:r>
        <w:t xml:space="preserve">Gonad development during the early life of </w:t>
      </w:r>
      <w:r>
        <w:rPr>
          <w:rStyle w:val="Emphasis"/>
        </w:rPr>
        <w:t>Octopus maya</w:t>
      </w:r>
      <w:r>
        <w:t xml:space="preserve"> (Mollusca: Cephalopoda)</w:t>
      </w:r>
      <w:r>
        <w:rPr>
          <w:rFonts w:ascii="Arial" w:hAnsi="Arial" w:cs="Arial"/>
          <w:color w:val="222222"/>
          <w:shd w:val="clear" w:color="auto" w:fill="FFFFFF"/>
        </w:rPr>
        <w:t>. </w:t>
      </w:r>
      <w:r w:rsidRPr="0067624C">
        <w:rPr>
          <w:rFonts w:ascii="Arial" w:hAnsi="Arial" w:cs="Arial"/>
          <w:color w:val="222222"/>
          <w:shd w:val="clear" w:color="auto" w:fill="FFFFFF"/>
        </w:rPr>
        <w:t>The Biological Bulletin, 216</w:t>
      </w:r>
      <w:r>
        <w:rPr>
          <w:rFonts w:ascii="Arial" w:hAnsi="Arial" w:cs="Arial"/>
          <w:color w:val="222222"/>
          <w:shd w:val="clear" w:color="auto" w:fill="FFFFFF"/>
        </w:rPr>
        <w:t xml:space="preserve">(1), 94-102. </w:t>
      </w:r>
      <w:hyperlink r:id="rId27" w:history="1">
        <w:r>
          <w:rPr>
            <w:rStyle w:val="Hyperlink"/>
            <w:rFonts w:ascii="Arial" w:hAnsi="Arial" w:cs="Arial"/>
            <w:shd w:val="clear" w:color="auto" w:fill="FFFFFF"/>
          </w:rPr>
          <w:t>https://doi.org/10.1086/BBLv216n1p94</w:t>
        </w:r>
      </w:hyperlink>
      <w:r w:rsidR="00923932">
        <w:t>.</w:t>
      </w:r>
      <w:r>
        <w:rPr>
          <w:rFonts w:ascii="Arial" w:hAnsi="Arial" w:cs="Arial"/>
          <w:color w:val="222222"/>
          <w:shd w:val="clear" w:color="auto" w:fill="FFFFFF"/>
        </w:rPr>
        <w:t xml:space="preserve"> </w:t>
      </w:r>
      <w:r w:rsidR="002F40CD">
        <w:rPr>
          <w:rFonts w:ascii="Arial" w:hAnsi="Arial" w:cs="Arial"/>
          <w:color w:val="222222"/>
          <w:shd w:val="clear" w:color="auto" w:fill="FFFFFF"/>
        </w:rPr>
        <w:t xml:space="preserve"> </w:t>
      </w:r>
    </w:p>
    <w:p w14:paraId="55606633" w14:textId="7AA40486" w:rsidR="00D02E8A" w:rsidRPr="00923932" w:rsidRDefault="00C05713" w:rsidP="002F40CD">
      <w:pPr>
        <w:pBdr>
          <w:top w:val="nil"/>
          <w:left w:val="nil"/>
          <w:bottom w:val="nil"/>
          <w:right w:val="nil"/>
          <w:between w:val="nil"/>
        </w:pBdr>
        <w:ind w:left="567" w:hanging="567"/>
        <w:jc w:val="both"/>
        <w:rPr>
          <w:rFonts w:ascii="Arial" w:hAnsi="Arial" w:cs="Arial"/>
          <w:bCs/>
          <w:color w:val="000000"/>
        </w:rPr>
      </w:pPr>
      <w:r>
        <w:t xml:space="preserve">Balansada, A. R., Ompi, M., &amp; Lumoindong, F. (2019). Identification and habitat of octopus (Cephalopoda) from Salibabu waters, Talaud Islands Regency. </w:t>
      </w:r>
      <w:r w:rsidRPr="00251AE1">
        <w:rPr>
          <w:rStyle w:val="Emphasis"/>
          <w:i w:val="0"/>
          <w:iCs w:val="0"/>
        </w:rPr>
        <w:t>Jurnal Pesisir dan Laut Tropis, 7</w:t>
      </w:r>
      <w:r>
        <w:t>(3), 247–255.</w:t>
      </w:r>
      <w:r w:rsidR="000B4AEA">
        <w:t xml:space="preserve"> </w:t>
      </w:r>
      <w:r w:rsidRPr="00C05713">
        <w:rPr>
          <w:rStyle w:val="Strong"/>
          <w:b w:val="0"/>
          <w:bCs w:val="0"/>
        </w:rPr>
        <w:t>[In Bahasa Indonesia]</w:t>
      </w:r>
      <w:r w:rsidR="00923932">
        <w:rPr>
          <w:rStyle w:val="Strong"/>
          <w:b w:val="0"/>
          <w:bCs w:val="0"/>
        </w:rPr>
        <w:t>.</w:t>
      </w:r>
      <w:r>
        <w:rPr>
          <w:rStyle w:val="Strong"/>
        </w:rPr>
        <w:t xml:space="preserve"> </w:t>
      </w:r>
      <w:hyperlink r:id="rId28" w:history="1">
        <w:r w:rsidR="00B626D7" w:rsidRPr="00923932">
          <w:rPr>
            <w:rStyle w:val="Hyperlink"/>
            <w:rFonts w:ascii="Arial" w:hAnsi="Arial" w:cs="Arial"/>
            <w:bCs/>
          </w:rPr>
          <w:t>https://doi.org/10.35800/Jplt.7.3.2019.24742</w:t>
        </w:r>
      </w:hyperlink>
      <w:r w:rsidR="00923932">
        <w:t>.</w:t>
      </w:r>
      <w:r w:rsidR="00B626D7" w:rsidRPr="00923932">
        <w:rPr>
          <w:rFonts w:ascii="Arial" w:hAnsi="Arial" w:cs="Arial"/>
          <w:bCs/>
          <w:color w:val="000000"/>
        </w:rPr>
        <w:t xml:space="preserve"> </w:t>
      </w:r>
    </w:p>
    <w:p w14:paraId="5E5CB0D0" w14:textId="5B81DBA7" w:rsidR="00D02E8A" w:rsidRPr="001F6062" w:rsidRDefault="00D02E8A" w:rsidP="00F5564F">
      <w:pPr>
        <w:pBdr>
          <w:top w:val="nil"/>
          <w:left w:val="nil"/>
          <w:bottom w:val="nil"/>
          <w:right w:val="nil"/>
          <w:between w:val="nil"/>
        </w:pBdr>
        <w:ind w:left="567" w:hanging="567"/>
        <w:jc w:val="both"/>
        <w:rPr>
          <w:rFonts w:ascii="Arial" w:hAnsi="Arial" w:cs="Arial"/>
          <w:bCs/>
          <w:color w:val="000000"/>
        </w:rPr>
      </w:pPr>
      <w:r w:rsidRPr="001F6062">
        <w:rPr>
          <w:rFonts w:ascii="Arial" w:hAnsi="Arial" w:cs="Arial"/>
          <w:bCs/>
          <w:color w:val="000000"/>
          <w:lang w:val="sv-SE"/>
        </w:rPr>
        <w:t xml:space="preserve">Diniariwisan, D., Marzuki, M., &amp; Lestariningsih, W. A. (2023). </w:t>
      </w:r>
      <w:r w:rsidR="00C741C7">
        <w:t>Identification of biological dimensions of octopus in Ketapang Beach, East Lombok, for sustainable fisheries management</w:t>
      </w:r>
      <w:r w:rsidRPr="001F6062">
        <w:rPr>
          <w:rFonts w:ascii="Arial" w:hAnsi="Arial" w:cs="Arial"/>
          <w:bCs/>
          <w:color w:val="000000"/>
        </w:rPr>
        <w:t xml:space="preserve">. </w:t>
      </w:r>
      <w:r w:rsidRPr="00251AE1">
        <w:rPr>
          <w:rFonts w:ascii="Arial" w:hAnsi="Arial" w:cs="Arial"/>
          <w:bCs/>
          <w:color w:val="000000"/>
        </w:rPr>
        <w:t>Jurnal Ganec Swara</w:t>
      </w:r>
      <w:r w:rsidR="00B626D7">
        <w:rPr>
          <w:rFonts w:ascii="Arial" w:hAnsi="Arial" w:cs="Arial"/>
          <w:bCs/>
          <w:color w:val="000000"/>
        </w:rPr>
        <w:t xml:space="preserve">, </w:t>
      </w:r>
      <w:r w:rsidRPr="00B626D7">
        <w:rPr>
          <w:rFonts w:ascii="Arial" w:hAnsi="Arial" w:cs="Arial"/>
          <w:bCs/>
          <w:color w:val="000000"/>
        </w:rPr>
        <w:t>17</w:t>
      </w:r>
      <w:r w:rsidRPr="001F6062">
        <w:rPr>
          <w:rFonts w:ascii="Arial" w:hAnsi="Arial" w:cs="Arial"/>
          <w:bCs/>
          <w:color w:val="000000"/>
        </w:rPr>
        <w:t>(4)</w:t>
      </w:r>
      <w:r w:rsidR="00251AE1">
        <w:rPr>
          <w:rFonts w:ascii="Arial" w:hAnsi="Arial" w:cs="Arial"/>
          <w:bCs/>
          <w:color w:val="000000"/>
        </w:rPr>
        <w:t xml:space="preserve">, </w:t>
      </w:r>
      <w:r w:rsidR="00251AE1" w:rsidRPr="00251AE1">
        <w:rPr>
          <w:rFonts w:ascii="Arial" w:hAnsi="Arial" w:cs="Arial"/>
          <w:bCs/>
          <w:color w:val="000000"/>
        </w:rPr>
        <w:t>1308-1312</w:t>
      </w:r>
      <w:r w:rsidRPr="001F6062">
        <w:rPr>
          <w:rFonts w:ascii="Arial" w:hAnsi="Arial" w:cs="Arial"/>
          <w:bCs/>
          <w:color w:val="000000"/>
        </w:rPr>
        <w:t>.</w:t>
      </w:r>
      <w:r w:rsidR="000B4AEA" w:rsidRPr="000B4AEA">
        <w:t xml:space="preserve"> </w:t>
      </w:r>
      <w:r w:rsidR="000B4AEA" w:rsidRPr="000B4AEA">
        <w:rPr>
          <w:rFonts w:ascii="Arial" w:hAnsi="Arial" w:cs="Arial"/>
          <w:bCs/>
          <w:color w:val="000000"/>
        </w:rPr>
        <w:t>[In Bahasa Indonesia]</w:t>
      </w:r>
      <w:r w:rsidR="00923932">
        <w:rPr>
          <w:rFonts w:ascii="Arial" w:hAnsi="Arial" w:cs="Arial"/>
          <w:bCs/>
          <w:color w:val="000000"/>
        </w:rPr>
        <w:t xml:space="preserve">. </w:t>
      </w:r>
      <w:hyperlink r:id="rId29" w:history="1">
        <w:r w:rsidR="00F5564F" w:rsidRPr="001F6062">
          <w:rPr>
            <w:rStyle w:val="Hyperlink"/>
            <w:rFonts w:ascii="Arial" w:hAnsi="Arial" w:cs="Arial"/>
            <w:bCs/>
          </w:rPr>
          <w:t>https://pdfs.semanticscholar.org/03af/93821928d801023a794c1fb224ac44a4c142.pdf</w:t>
        </w:r>
      </w:hyperlink>
      <w:r w:rsidR="00923932">
        <w:t>.</w:t>
      </w:r>
      <w:r w:rsidR="00F5564F" w:rsidRPr="001F6062">
        <w:rPr>
          <w:rFonts w:ascii="Arial" w:hAnsi="Arial" w:cs="Arial"/>
          <w:bCs/>
          <w:color w:val="000000"/>
        </w:rPr>
        <w:t xml:space="preserve"> </w:t>
      </w:r>
    </w:p>
    <w:p w14:paraId="0EC16167" w14:textId="77777777" w:rsidR="00CB20FA" w:rsidRDefault="00946B33" w:rsidP="00CB20FA">
      <w:pPr>
        <w:pBdr>
          <w:top w:val="nil"/>
          <w:left w:val="nil"/>
          <w:bottom w:val="nil"/>
          <w:right w:val="nil"/>
          <w:between w:val="nil"/>
        </w:pBdr>
        <w:spacing w:line="360" w:lineRule="auto"/>
        <w:ind w:left="567" w:hanging="567"/>
        <w:jc w:val="both"/>
        <w:rPr>
          <w:rFonts w:ascii="Arial" w:hAnsi="Arial" w:cs="Arial"/>
          <w:bCs/>
          <w:color w:val="000000"/>
          <w:lang w:val="sv-SE"/>
        </w:rPr>
      </w:pPr>
      <w:r w:rsidRPr="001F6062">
        <w:rPr>
          <w:rFonts w:ascii="Arial" w:hAnsi="Arial" w:cs="Arial"/>
          <w:bCs/>
          <w:color w:val="000000"/>
        </w:rPr>
        <w:t xml:space="preserve">Effendie, M. I. (1997). </w:t>
      </w:r>
      <w:r w:rsidR="005F6CC2">
        <w:t>Fisheries biology</w:t>
      </w:r>
      <w:r w:rsidRPr="001F6062">
        <w:rPr>
          <w:rFonts w:ascii="Arial" w:hAnsi="Arial" w:cs="Arial"/>
          <w:bCs/>
          <w:color w:val="000000"/>
        </w:rPr>
        <w:t xml:space="preserve">. </w:t>
      </w:r>
      <w:r w:rsidRPr="004C4C1B">
        <w:rPr>
          <w:rFonts w:ascii="Arial" w:hAnsi="Arial" w:cs="Arial"/>
          <w:bCs/>
          <w:color w:val="000000"/>
          <w:lang w:val="sv-SE"/>
        </w:rPr>
        <w:t>Yogyakarta: Yayasan Pustaka Nusantara.</w:t>
      </w:r>
    </w:p>
    <w:p w14:paraId="559994BF" w14:textId="667AC416" w:rsidR="00CB20FA" w:rsidRPr="00923932" w:rsidRDefault="00D02E8A" w:rsidP="00CB20FA">
      <w:pPr>
        <w:pBdr>
          <w:top w:val="nil"/>
          <w:left w:val="nil"/>
          <w:bottom w:val="nil"/>
          <w:right w:val="nil"/>
          <w:between w:val="nil"/>
        </w:pBdr>
        <w:spacing w:line="360" w:lineRule="auto"/>
        <w:ind w:left="567" w:hanging="567"/>
        <w:jc w:val="both"/>
        <w:rPr>
          <w:rFonts w:ascii="Arial" w:hAnsi="Arial" w:cs="Arial"/>
          <w:bCs/>
          <w:color w:val="000000"/>
        </w:rPr>
      </w:pPr>
      <w:r w:rsidRPr="004C4C1B">
        <w:rPr>
          <w:rFonts w:ascii="Arial" w:hAnsi="Arial" w:cs="Arial"/>
          <w:bCs/>
          <w:color w:val="000000"/>
          <w:lang w:val="sv-SE"/>
        </w:rPr>
        <w:t xml:space="preserve">Forum Ilmiah Pengelolaan Perikanan Berkelanjutan Provinsi Nusa Tenggara Barat (FIP2B-NTB). </w:t>
      </w:r>
      <w:r w:rsidRPr="001F6062">
        <w:rPr>
          <w:rFonts w:ascii="Arial" w:hAnsi="Arial" w:cs="Arial"/>
          <w:bCs/>
          <w:color w:val="000000"/>
        </w:rPr>
        <w:t xml:space="preserve">(2022). </w:t>
      </w:r>
      <w:r w:rsidR="005F6CC2" w:rsidRPr="000B4AEA">
        <w:rPr>
          <w:rStyle w:val="Emphasis"/>
          <w:i w:val="0"/>
          <w:iCs w:val="0"/>
        </w:rPr>
        <w:t>Ecological database of West Nusa Tenggara Province</w:t>
      </w:r>
      <w:r w:rsidR="005F6CC2">
        <w:t>. FIP2B-NTB.</w:t>
      </w:r>
    </w:p>
    <w:p w14:paraId="48F8BBC2" w14:textId="3B934558" w:rsidR="001344F5" w:rsidRPr="00CB20FA" w:rsidRDefault="001344F5" w:rsidP="00CB20FA">
      <w:pPr>
        <w:pBdr>
          <w:top w:val="nil"/>
          <w:left w:val="nil"/>
          <w:bottom w:val="nil"/>
          <w:right w:val="nil"/>
          <w:between w:val="nil"/>
        </w:pBdr>
        <w:ind w:left="567" w:hanging="567"/>
        <w:jc w:val="both"/>
      </w:pPr>
      <w:r>
        <w:rPr>
          <w:rFonts w:ascii="Arial" w:hAnsi="Arial" w:cs="Arial"/>
          <w:color w:val="222222"/>
          <w:shd w:val="clear" w:color="auto" w:fill="FFFFFF"/>
        </w:rPr>
        <w:t xml:space="preserve">Guard, M., &amp; Mgaya, Y. D. (2002). The artisanal fishery for </w:t>
      </w:r>
      <w:r w:rsidRPr="00923932">
        <w:rPr>
          <w:rFonts w:ascii="Arial" w:hAnsi="Arial" w:cs="Arial"/>
          <w:i/>
          <w:iCs/>
          <w:color w:val="222222"/>
          <w:shd w:val="clear" w:color="auto" w:fill="FFFFFF"/>
        </w:rPr>
        <w:t>Octopus cyanea</w:t>
      </w:r>
      <w:r>
        <w:rPr>
          <w:rFonts w:ascii="Arial" w:hAnsi="Arial" w:cs="Arial"/>
          <w:color w:val="222222"/>
          <w:shd w:val="clear" w:color="auto" w:fill="FFFFFF"/>
        </w:rPr>
        <w:t xml:space="preserve"> Gray in Tanzania. </w:t>
      </w:r>
      <w:r w:rsidRPr="000B4AEA">
        <w:rPr>
          <w:rFonts w:ascii="Arial" w:hAnsi="Arial" w:cs="Arial"/>
          <w:color w:val="222222"/>
          <w:shd w:val="clear" w:color="auto" w:fill="FFFFFF"/>
        </w:rPr>
        <w:t>AMBIO:</w:t>
      </w:r>
      <w:r>
        <w:rPr>
          <w:rFonts w:ascii="Arial" w:hAnsi="Arial" w:cs="Arial"/>
          <w:i/>
          <w:iCs/>
          <w:color w:val="222222"/>
          <w:shd w:val="clear" w:color="auto" w:fill="FFFFFF"/>
        </w:rPr>
        <w:t xml:space="preserve"> </w:t>
      </w:r>
      <w:r w:rsidRPr="000B4AEA">
        <w:rPr>
          <w:rFonts w:ascii="Arial" w:hAnsi="Arial" w:cs="Arial"/>
          <w:color w:val="222222"/>
          <w:shd w:val="clear" w:color="auto" w:fill="FFFFFF"/>
        </w:rPr>
        <w:t>Journal of the Human Environment, 31</w:t>
      </w:r>
      <w:r>
        <w:rPr>
          <w:rFonts w:ascii="Arial" w:hAnsi="Arial" w:cs="Arial"/>
          <w:color w:val="222222"/>
          <w:shd w:val="clear" w:color="auto" w:fill="FFFFFF"/>
        </w:rPr>
        <w:t xml:space="preserve">(7), 528-536. </w:t>
      </w:r>
      <w:hyperlink r:id="rId30" w:history="1">
        <w:r w:rsidRPr="0047657F">
          <w:rPr>
            <w:rStyle w:val="Hyperlink"/>
            <w:rFonts w:ascii="Arial" w:hAnsi="Arial" w:cs="Arial"/>
            <w:shd w:val="clear" w:color="auto" w:fill="FFFFFF"/>
          </w:rPr>
          <w:t>https://doi.org/10.1579/0044-7447-31.7.528</w:t>
        </w:r>
      </w:hyperlink>
      <w:r w:rsidR="00923932">
        <w:t>.</w:t>
      </w:r>
      <w:r>
        <w:rPr>
          <w:rFonts w:ascii="Arial" w:hAnsi="Arial" w:cs="Arial"/>
          <w:color w:val="222222"/>
          <w:shd w:val="clear" w:color="auto" w:fill="FFFFFF"/>
        </w:rPr>
        <w:t xml:space="preserve"> </w:t>
      </w:r>
    </w:p>
    <w:p w14:paraId="0B38F0C5" w14:textId="76EF8677" w:rsidR="00D02E8A" w:rsidRPr="004768AE" w:rsidRDefault="006B0152" w:rsidP="006B0152">
      <w:pPr>
        <w:ind w:left="567" w:hanging="567"/>
        <w:jc w:val="both"/>
        <w:rPr>
          <w:rFonts w:ascii="Arial" w:hAnsi="Arial" w:cs="Arial"/>
          <w:bCs/>
          <w:color w:val="000000"/>
        </w:rPr>
      </w:pPr>
      <w:r>
        <w:rPr>
          <w:rFonts w:ascii="Arial" w:hAnsi="Arial" w:cs="Arial"/>
          <w:bCs/>
          <w:color w:val="000000"/>
        </w:rPr>
        <w:t>Indrayani, E., Hamuna, B., &amp; Agamawan, L. P. I. (2023). Length-</w:t>
      </w:r>
      <w:r w:rsidR="00923932">
        <w:rPr>
          <w:rFonts w:ascii="Arial" w:hAnsi="Arial" w:cs="Arial"/>
          <w:bCs/>
          <w:color w:val="000000"/>
        </w:rPr>
        <w:t xml:space="preserve">weight relationship and condition factors of some commercial fish from </w:t>
      </w:r>
      <w:r>
        <w:rPr>
          <w:rFonts w:ascii="Arial" w:hAnsi="Arial" w:cs="Arial"/>
          <w:bCs/>
          <w:color w:val="000000"/>
        </w:rPr>
        <w:t xml:space="preserve">Youtefa Bay, Jayapura City, Indonesia. </w:t>
      </w:r>
      <w:r w:rsidRPr="006B0152">
        <w:rPr>
          <w:rFonts w:ascii="Arial" w:hAnsi="Arial" w:cs="Arial"/>
          <w:bCs/>
          <w:color w:val="000000"/>
        </w:rPr>
        <w:t xml:space="preserve">Journal </w:t>
      </w:r>
      <w:r w:rsidR="005940F3">
        <w:rPr>
          <w:rFonts w:ascii="Arial" w:hAnsi="Arial" w:cs="Arial"/>
          <w:bCs/>
          <w:color w:val="000000"/>
        </w:rPr>
        <w:t>o</w:t>
      </w:r>
      <w:r w:rsidRPr="006B0152">
        <w:rPr>
          <w:rFonts w:ascii="Arial" w:hAnsi="Arial" w:cs="Arial"/>
          <w:bCs/>
          <w:color w:val="000000"/>
        </w:rPr>
        <w:t>f Fisheries, 67</w:t>
      </w:r>
      <w:r>
        <w:rPr>
          <w:rFonts w:ascii="Arial" w:hAnsi="Arial" w:cs="Arial"/>
          <w:bCs/>
          <w:color w:val="000000"/>
        </w:rPr>
        <w:t xml:space="preserve">(1), 30-35. </w:t>
      </w:r>
      <w:hyperlink r:id="rId31" w:history="1">
        <w:r>
          <w:rPr>
            <w:rStyle w:val="Hyperlink"/>
            <w:rFonts w:ascii="Arial" w:hAnsi="Arial" w:cs="Arial"/>
            <w:bCs/>
          </w:rPr>
          <w:t>Https://Doi.Org/10.22146/Jfs.79653</w:t>
        </w:r>
      </w:hyperlink>
      <w:r>
        <w:rPr>
          <w:rFonts w:ascii="Arial" w:hAnsi="Arial" w:cs="Arial"/>
          <w:bCs/>
          <w:color w:val="000000"/>
        </w:rPr>
        <w:t xml:space="preserve"> </w:t>
      </w:r>
      <w:r w:rsidR="00D02E8A" w:rsidRPr="004768AE">
        <w:rPr>
          <w:rFonts w:ascii="Arial" w:hAnsi="Arial" w:cs="Arial"/>
          <w:bCs/>
          <w:color w:val="000000"/>
        </w:rPr>
        <w:t xml:space="preserve"> </w:t>
      </w:r>
    </w:p>
    <w:p w14:paraId="322A1FD7" w14:textId="6966B8FD" w:rsidR="006B0152" w:rsidRPr="00923932" w:rsidRDefault="006B0152" w:rsidP="00ED2620">
      <w:pPr>
        <w:pBdr>
          <w:top w:val="nil"/>
          <w:left w:val="nil"/>
          <w:bottom w:val="nil"/>
          <w:right w:val="nil"/>
          <w:between w:val="nil"/>
        </w:pBdr>
        <w:ind w:left="567" w:hanging="567"/>
        <w:jc w:val="both"/>
        <w:rPr>
          <w:rFonts w:ascii="Arial" w:hAnsi="Arial" w:cs="Arial"/>
          <w:bCs/>
          <w:color w:val="000000"/>
          <w:lang w:val="sv-SE"/>
        </w:rPr>
      </w:pPr>
      <w:r w:rsidRPr="00923932">
        <w:rPr>
          <w:rFonts w:ascii="Arial" w:hAnsi="Arial" w:cs="Arial"/>
          <w:bCs/>
          <w:color w:val="000000"/>
          <w:lang w:val="sv-SE"/>
        </w:rPr>
        <w:t xml:space="preserve">Kalih, L. A. T. T. W. S. (2024). </w:t>
      </w:r>
      <w:r w:rsidRPr="006B0152">
        <w:rPr>
          <w:rFonts w:ascii="Arial" w:hAnsi="Arial" w:cs="Arial"/>
          <w:bCs/>
          <w:color w:val="000000"/>
        </w:rPr>
        <w:t>Population condition analysis and sustainability of lemuru (</w:t>
      </w:r>
      <w:r w:rsidRPr="00923932">
        <w:rPr>
          <w:rFonts w:ascii="Arial" w:hAnsi="Arial" w:cs="Arial"/>
          <w:bCs/>
          <w:i/>
          <w:iCs/>
          <w:color w:val="000000"/>
        </w:rPr>
        <w:t>Sardinella lemuru</w:t>
      </w:r>
      <w:r w:rsidRPr="006B0152">
        <w:rPr>
          <w:rFonts w:ascii="Arial" w:hAnsi="Arial" w:cs="Arial"/>
          <w:bCs/>
          <w:color w:val="000000"/>
        </w:rPr>
        <w:t xml:space="preserve">) fishery in Awang Bay, Central Lombok Regency. </w:t>
      </w:r>
      <w:r w:rsidRPr="00923932">
        <w:rPr>
          <w:rFonts w:ascii="Arial" w:hAnsi="Arial" w:cs="Arial"/>
          <w:bCs/>
          <w:color w:val="000000"/>
          <w:lang w:val="sv-SE"/>
        </w:rPr>
        <w:t xml:space="preserve">Jurnal Teknologi Perikanan </w:t>
      </w:r>
      <w:r w:rsidR="00923932">
        <w:rPr>
          <w:rFonts w:ascii="Arial" w:hAnsi="Arial" w:cs="Arial"/>
          <w:bCs/>
          <w:color w:val="000000"/>
          <w:lang w:val="sv-SE"/>
        </w:rPr>
        <w:t>d</w:t>
      </w:r>
      <w:r w:rsidRPr="00923932">
        <w:rPr>
          <w:rFonts w:ascii="Arial" w:hAnsi="Arial" w:cs="Arial"/>
          <w:bCs/>
          <w:color w:val="000000"/>
          <w:lang w:val="sv-SE"/>
        </w:rPr>
        <w:t>an Kelautan, 15(1), 1-10.</w:t>
      </w:r>
      <w:r w:rsidR="00465FFC" w:rsidRPr="00923932">
        <w:rPr>
          <w:rStyle w:val="Strong"/>
          <w:b w:val="0"/>
          <w:bCs w:val="0"/>
          <w:lang w:val="sv-SE"/>
        </w:rPr>
        <w:t xml:space="preserve"> [In Bahasa Indonesia]</w:t>
      </w:r>
      <w:r w:rsidR="00923932">
        <w:rPr>
          <w:rStyle w:val="Strong"/>
          <w:b w:val="0"/>
          <w:bCs w:val="0"/>
          <w:lang w:val="sv-SE"/>
        </w:rPr>
        <w:t>.</w:t>
      </w:r>
      <w:r w:rsidR="00465FFC" w:rsidRPr="00923932">
        <w:rPr>
          <w:rStyle w:val="Strong"/>
          <w:lang w:val="sv-SE"/>
        </w:rPr>
        <w:t xml:space="preserve">  </w:t>
      </w:r>
      <w:r w:rsidRPr="00923932">
        <w:rPr>
          <w:rFonts w:ascii="Arial" w:hAnsi="Arial" w:cs="Arial"/>
          <w:bCs/>
          <w:color w:val="000000"/>
          <w:lang w:val="sv-SE"/>
        </w:rPr>
        <w:t xml:space="preserve"> </w:t>
      </w:r>
      <w:hyperlink r:id="rId32" w:history="1">
        <w:r w:rsidRPr="00923932">
          <w:rPr>
            <w:rStyle w:val="Hyperlink"/>
            <w:rFonts w:ascii="Arial" w:hAnsi="Arial" w:cs="Arial"/>
            <w:bCs/>
            <w:lang w:val="sv-SE"/>
          </w:rPr>
          <w:t>https://doi.org/10.24319/jtpk.15.1-10</w:t>
        </w:r>
      </w:hyperlink>
      <w:r w:rsidR="00923932" w:rsidRPr="00923932">
        <w:rPr>
          <w:rFonts w:ascii="Arial" w:hAnsi="Arial" w:cs="Arial"/>
          <w:bCs/>
          <w:color w:val="000000"/>
          <w:lang w:val="sv-SE"/>
        </w:rPr>
        <w:t>.</w:t>
      </w:r>
      <w:r w:rsidRPr="00923932">
        <w:rPr>
          <w:rFonts w:ascii="Arial" w:hAnsi="Arial" w:cs="Arial"/>
          <w:bCs/>
          <w:color w:val="000000"/>
          <w:lang w:val="sv-SE"/>
        </w:rPr>
        <w:t xml:space="preserve"> </w:t>
      </w:r>
    </w:p>
    <w:p w14:paraId="56158642" w14:textId="2DE12A8D" w:rsidR="004E2056" w:rsidRDefault="004E2056" w:rsidP="00ED2620">
      <w:pPr>
        <w:pBdr>
          <w:top w:val="nil"/>
          <w:left w:val="nil"/>
          <w:bottom w:val="nil"/>
          <w:right w:val="nil"/>
          <w:between w:val="nil"/>
        </w:pBdr>
        <w:ind w:left="567" w:hanging="567"/>
        <w:jc w:val="both"/>
        <w:rPr>
          <w:rFonts w:ascii="Arial" w:hAnsi="Arial" w:cs="Arial"/>
          <w:color w:val="222222"/>
          <w:shd w:val="clear" w:color="auto" w:fill="FFFFFF"/>
        </w:rPr>
      </w:pPr>
      <w:r w:rsidRPr="00923932">
        <w:rPr>
          <w:rFonts w:ascii="Arial" w:hAnsi="Arial" w:cs="Arial"/>
          <w:color w:val="222222"/>
          <w:shd w:val="clear" w:color="auto" w:fill="FFFFFF"/>
        </w:rPr>
        <w:t>Kartini, S. (2023). </w:t>
      </w:r>
      <w:r w:rsidR="00C048B8" w:rsidRPr="0067624C">
        <w:rPr>
          <w:rStyle w:val="Emphasis"/>
          <w:i w:val="0"/>
          <w:iCs w:val="0"/>
        </w:rPr>
        <w:t>Population dynamics of octopus (</w:t>
      </w:r>
      <w:r w:rsidR="00C048B8">
        <w:rPr>
          <w:rStyle w:val="Emphasis"/>
        </w:rPr>
        <w:t>Octopus cyanea</w:t>
      </w:r>
      <w:r w:rsidR="00C048B8" w:rsidRPr="0067624C">
        <w:rPr>
          <w:rStyle w:val="Emphasis"/>
          <w:i w:val="0"/>
          <w:iCs w:val="0"/>
        </w:rPr>
        <w:t>) on Darawa Island, Wakatobi Regency, Southeast Sulawesi</w:t>
      </w:r>
      <w:r w:rsidR="00C048B8" w:rsidRPr="0067624C">
        <w:rPr>
          <w:i/>
          <w:iCs/>
        </w:rPr>
        <w:t xml:space="preserve"> </w:t>
      </w:r>
      <w:r w:rsidR="00C048B8" w:rsidRPr="0067624C">
        <w:t>(Doctoral dissertation</w:t>
      </w:r>
      <w:r w:rsidR="00C048B8">
        <w:t>, Universitas Hasanuddin)</w:t>
      </w:r>
      <w:r>
        <w:rPr>
          <w:rFonts w:ascii="Arial" w:hAnsi="Arial" w:cs="Arial"/>
          <w:color w:val="222222"/>
          <w:shd w:val="clear" w:color="auto" w:fill="FFFFFF"/>
        </w:rPr>
        <w:t>.</w:t>
      </w:r>
      <w:r w:rsidR="0084450D">
        <w:rPr>
          <w:rFonts w:ascii="Arial" w:hAnsi="Arial" w:cs="Arial"/>
          <w:color w:val="222222"/>
          <w:shd w:val="clear" w:color="auto" w:fill="FFFFFF"/>
        </w:rPr>
        <w:t xml:space="preserve"> </w:t>
      </w:r>
    </w:p>
    <w:p w14:paraId="44E5A252" w14:textId="163A0F99" w:rsidR="00D02E8A" w:rsidRPr="004768AE" w:rsidRDefault="004E2056" w:rsidP="00ED2620">
      <w:pPr>
        <w:pBdr>
          <w:top w:val="nil"/>
          <w:left w:val="nil"/>
          <w:bottom w:val="nil"/>
          <w:right w:val="nil"/>
          <w:between w:val="nil"/>
        </w:pBdr>
        <w:ind w:left="567" w:hanging="567"/>
        <w:jc w:val="both"/>
        <w:rPr>
          <w:rFonts w:ascii="Arial" w:hAnsi="Arial" w:cs="Arial"/>
          <w:bCs/>
          <w:color w:val="000000"/>
        </w:rPr>
      </w:pPr>
      <w:r w:rsidRPr="001F6062">
        <w:rPr>
          <w:rFonts w:ascii="Arial" w:hAnsi="Arial" w:cs="Arial"/>
          <w:color w:val="333333"/>
          <w:shd w:val="clear" w:color="auto" w:fill="FFFFFF"/>
          <w:lang w:val="sv-SE"/>
        </w:rPr>
        <w:t xml:space="preserve">Lamalelang, M. S., Soewarlan, L. C., &amp; Toruan, L. N. L. (2024). </w:t>
      </w:r>
      <w:r w:rsidR="00C048B8">
        <w:t>Morphometric characteristics of reef octopus (</w:t>
      </w:r>
      <w:r w:rsidR="00C048B8">
        <w:rPr>
          <w:rStyle w:val="Emphasis"/>
        </w:rPr>
        <w:t>Octopus cyanea</w:t>
      </w:r>
      <w:r w:rsidR="00C048B8">
        <w:t>) from northern and southern waters of Sikka Regency, East Nusa Tenggara</w:t>
      </w:r>
      <w:r w:rsidRPr="004E2056">
        <w:rPr>
          <w:rFonts w:ascii="Arial" w:hAnsi="Arial" w:cs="Arial"/>
          <w:color w:val="333333"/>
          <w:shd w:val="clear" w:color="auto" w:fill="FFFFFF"/>
        </w:rPr>
        <w:t>. </w:t>
      </w:r>
      <w:r w:rsidRPr="006B0152">
        <w:rPr>
          <w:rFonts w:ascii="Arial" w:hAnsi="Arial" w:cs="Arial"/>
          <w:color w:val="333333"/>
          <w:shd w:val="clear" w:color="auto" w:fill="FFFFFF"/>
        </w:rPr>
        <w:t>Techno-Fish</w:t>
      </w:r>
      <w:r w:rsidRPr="004E2056">
        <w:rPr>
          <w:rFonts w:ascii="Arial" w:hAnsi="Arial" w:cs="Arial"/>
          <w:color w:val="333333"/>
          <w:shd w:val="clear" w:color="auto" w:fill="FFFFFF"/>
        </w:rPr>
        <w:t xml:space="preserve">, </w:t>
      </w:r>
      <w:r w:rsidR="00842D9C">
        <w:rPr>
          <w:rFonts w:ascii="Arial" w:hAnsi="Arial" w:cs="Arial"/>
          <w:color w:val="333333"/>
          <w:shd w:val="clear" w:color="auto" w:fill="FFFFFF"/>
        </w:rPr>
        <w:t xml:space="preserve">8(1), </w:t>
      </w:r>
      <w:r w:rsidRPr="004E2056">
        <w:rPr>
          <w:rFonts w:ascii="Arial" w:hAnsi="Arial" w:cs="Arial"/>
          <w:color w:val="333333"/>
          <w:shd w:val="clear" w:color="auto" w:fill="FFFFFF"/>
        </w:rPr>
        <w:t>53-69</w:t>
      </w:r>
      <w:r w:rsidRPr="004E2056">
        <w:rPr>
          <w:rFonts w:ascii="Arial" w:hAnsi="Arial" w:cs="Arial"/>
          <w:bCs/>
          <w:color w:val="000000"/>
        </w:rPr>
        <w:t>.</w:t>
      </w:r>
      <w:r>
        <w:rPr>
          <w:rFonts w:ascii="Arial" w:hAnsi="Arial" w:cs="Arial"/>
          <w:bCs/>
          <w:color w:val="000000"/>
        </w:rPr>
        <w:t xml:space="preserve"> </w:t>
      </w:r>
      <w:r w:rsidR="00842D9C" w:rsidRPr="00C05713">
        <w:rPr>
          <w:rStyle w:val="Strong"/>
          <w:b w:val="0"/>
          <w:bCs w:val="0"/>
        </w:rPr>
        <w:t>[In Bahasa Indonesia]</w:t>
      </w:r>
      <w:r w:rsidR="00923932">
        <w:rPr>
          <w:rStyle w:val="Strong"/>
          <w:b w:val="0"/>
          <w:bCs w:val="0"/>
        </w:rPr>
        <w:t>.</w:t>
      </w:r>
      <w:r w:rsidR="00842D9C">
        <w:rPr>
          <w:rStyle w:val="Strong"/>
        </w:rPr>
        <w:t xml:space="preserve"> </w:t>
      </w:r>
      <w:hyperlink r:id="rId33" w:history="1">
        <w:r w:rsidR="00842D9C" w:rsidRPr="00F27BDB">
          <w:rPr>
            <w:rStyle w:val="Hyperlink"/>
            <w:rFonts w:ascii="Tahoma" w:hAnsi="Tahoma" w:cs="Tahoma"/>
            <w:shd w:val="clear" w:color="auto" w:fill="FFFFFF"/>
          </w:rPr>
          <w:t>https://doi.org/10.25139/tf.vi.7781</w:t>
        </w:r>
      </w:hyperlink>
      <w:r w:rsidR="00923932">
        <w:t>.</w:t>
      </w:r>
      <w:r w:rsidR="003A667B">
        <w:rPr>
          <w:rFonts w:ascii="Tahoma" w:hAnsi="Tahoma" w:cs="Tahoma"/>
          <w:color w:val="333333"/>
          <w:shd w:val="clear" w:color="auto" w:fill="FFFFFF"/>
        </w:rPr>
        <w:t xml:space="preserve"> </w:t>
      </w:r>
    </w:p>
    <w:p w14:paraId="3890FC81" w14:textId="67B969C8" w:rsidR="00D02E8A" w:rsidRPr="004768AE" w:rsidRDefault="00D02E8A" w:rsidP="00ED2620">
      <w:pPr>
        <w:pBdr>
          <w:top w:val="nil"/>
          <w:left w:val="nil"/>
          <w:bottom w:val="nil"/>
          <w:right w:val="nil"/>
          <w:between w:val="nil"/>
        </w:pBdr>
        <w:ind w:left="567" w:hanging="567"/>
        <w:jc w:val="both"/>
        <w:rPr>
          <w:rFonts w:ascii="Arial" w:hAnsi="Arial" w:cs="Arial"/>
          <w:bCs/>
          <w:color w:val="000000"/>
        </w:rPr>
      </w:pPr>
      <w:r w:rsidRPr="004768AE">
        <w:rPr>
          <w:rFonts w:ascii="Arial" w:hAnsi="Arial" w:cs="Arial"/>
          <w:bCs/>
          <w:color w:val="000000"/>
        </w:rPr>
        <w:t xml:space="preserve">Le Cren, E. D. (1951). </w:t>
      </w:r>
      <w:r w:rsidR="00BC1336">
        <w:t>The length–weight relationship and seasonal cycle in gonad weight and condition in the perch (</w:t>
      </w:r>
      <w:r w:rsidR="00BC1336">
        <w:rPr>
          <w:rStyle w:val="Emphasis"/>
        </w:rPr>
        <w:t>Perca fluviatilis</w:t>
      </w:r>
      <w:r w:rsidR="00BC1336">
        <w:t xml:space="preserve">). </w:t>
      </w:r>
      <w:r w:rsidRPr="00842D9C">
        <w:rPr>
          <w:rFonts w:ascii="Arial" w:hAnsi="Arial" w:cs="Arial"/>
          <w:bCs/>
          <w:color w:val="000000"/>
        </w:rPr>
        <w:t xml:space="preserve">Journal </w:t>
      </w:r>
      <w:r w:rsidR="00923932">
        <w:rPr>
          <w:rFonts w:ascii="Arial" w:hAnsi="Arial" w:cs="Arial"/>
          <w:bCs/>
          <w:color w:val="000000"/>
        </w:rPr>
        <w:t>o</w:t>
      </w:r>
      <w:r w:rsidRPr="00842D9C">
        <w:rPr>
          <w:rFonts w:ascii="Arial" w:hAnsi="Arial" w:cs="Arial"/>
          <w:bCs/>
          <w:color w:val="000000"/>
        </w:rPr>
        <w:t>f Animal Ecology, 20</w:t>
      </w:r>
      <w:r w:rsidRPr="004768AE">
        <w:rPr>
          <w:rFonts w:ascii="Arial" w:hAnsi="Arial" w:cs="Arial"/>
          <w:bCs/>
          <w:color w:val="000000"/>
        </w:rPr>
        <w:t xml:space="preserve">(2), 201–219. </w:t>
      </w:r>
      <w:hyperlink r:id="rId34" w:history="1">
        <w:r w:rsidR="00B626D7" w:rsidRPr="00A30F1C">
          <w:rPr>
            <w:rStyle w:val="Hyperlink"/>
            <w:rFonts w:ascii="Arial" w:hAnsi="Arial" w:cs="Arial"/>
            <w:bCs/>
          </w:rPr>
          <w:t>Https://doi.org/10.2307/1540</w:t>
        </w:r>
      </w:hyperlink>
      <w:r w:rsidR="00923932">
        <w:t>.</w:t>
      </w:r>
      <w:r w:rsidRPr="004768AE">
        <w:rPr>
          <w:rFonts w:ascii="Arial" w:hAnsi="Arial" w:cs="Arial"/>
          <w:bCs/>
          <w:color w:val="000000"/>
        </w:rPr>
        <w:t xml:space="preserve"> </w:t>
      </w:r>
    </w:p>
    <w:p w14:paraId="2D33BD1A" w14:textId="5AF18207" w:rsidR="00D02E8A" w:rsidRPr="004768AE" w:rsidRDefault="00D02E8A" w:rsidP="00ED2620">
      <w:pPr>
        <w:pBdr>
          <w:top w:val="nil"/>
          <w:left w:val="nil"/>
          <w:bottom w:val="nil"/>
          <w:right w:val="nil"/>
          <w:between w:val="nil"/>
        </w:pBdr>
        <w:ind w:left="567" w:hanging="567"/>
        <w:jc w:val="both"/>
        <w:rPr>
          <w:rFonts w:ascii="Arial" w:hAnsi="Arial" w:cs="Arial"/>
          <w:bCs/>
          <w:color w:val="000000"/>
        </w:rPr>
      </w:pPr>
      <w:r w:rsidRPr="004768AE">
        <w:rPr>
          <w:rFonts w:ascii="Arial" w:hAnsi="Arial" w:cs="Arial"/>
          <w:bCs/>
          <w:color w:val="000000"/>
        </w:rPr>
        <w:t xml:space="preserve">Lempoy, R., Rondonuwu, A. B., &amp; Bataragoa, N. E. (2020). </w:t>
      </w:r>
      <w:r w:rsidR="00C048B8">
        <w:t>Size, length–weight relationship, and condition factor of Banggai cardinalfish (</w:t>
      </w:r>
      <w:r w:rsidR="00C048B8">
        <w:rPr>
          <w:rStyle w:val="Emphasis"/>
        </w:rPr>
        <w:t>Pterapogon kauderni</w:t>
      </w:r>
      <w:r w:rsidR="00C048B8">
        <w:t xml:space="preserve"> Koumans, 1933) in Lembeh Strait, North Sulawesi. </w:t>
      </w:r>
      <w:r w:rsidRPr="00842D9C">
        <w:rPr>
          <w:rFonts w:ascii="Arial" w:hAnsi="Arial" w:cs="Arial"/>
          <w:bCs/>
          <w:color w:val="000000"/>
        </w:rPr>
        <w:t>Jurnal Ilmiah Platax, 8</w:t>
      </w:r>
      <w:r w:rsidRPr="004768AE">
        <w:rPr>
          <w:rFonts w:ascii="Arial" w:hAnsi="Arial" w:cs="Arial"/>
          <w:bCs/>
          <w:color w:val="000000"/>
        </w:rPr>
        <w:t>(1), 30–36.</w:t>
      </w:r>
      <w:r w:rsidR="00842D9C">
        <w:rPr>
          <w:rFonts w:ascii="Arial" w:hAnsi="Arial" w:cs="Arial"/>
          <w:bCs/>
          <w:color w:val="000000"/>
        </w:rPr>
        <w:t xml:space="preserve"> </w:t>
      </w:r>
      <w:r w:rsidR="00842D9C" w:rsidRPr="00842D9C">
        <w:rPr>
          <w:rFonts w:ascii="Arial" w:hAnsi="Arial" w:cs="Arial"/>
          <w:bCs/>
          <w:color w:val="000000"/>
        </w:rPr>
        <w:t>[In Bahasa Indonesia]</w:t>
      </w:r>
      <w:r w:rsidR="00923932">
        <w:rPr>
          <w:rFonts w:ascii="Arial" w:hAnsi="Arial" w:cs="Arial"/>
          <w:bCs/>
          <w:color w:val="000000"/>
        </w:rPr>
        <w:t>.</w:t>
      </w:r>
      <w:r w:rsidR="009E0E94">
        <w:rPr>
          <w:rFonts w:ascii="Arial" w:hAnsi="Arial" w:cs="Arial"/>
          <w:bCs/>
          <w:color w:val="000000"/>
        </w:rPr>
        <w:t xml:space="preserve"> </w:t>
      </w:r>
      <w:hyperlink r:id="rId35" w:history="1">
        <w:r w:rsidR="009E0E94" w:rsidRPr="00464427">
          <w:rPr>
            <w:rStyle w:val="Hyperlink"/>
            <w:rFonts w:ascii="Arial" w:hAnsi="Arial" w:cs="Arial"/>
            <w:bCs/>
          </w:rPr>
          <w:t>https://doi.org/10.35800/jip.8.1.2020.27599</w:t>
        </w:r>
      </w:hyperlink>
      <w:r w:rsidR="009E0E94">
        <w:rPr>
          <w:rFonts w:ascii="Arial" w:hAnsi="Arial" w:cs="Arial"/>
          <w:bCs/>
          <w:color w:val="000000"/>
        </w:rPr>
        <w:t xml:space="preserve">. </w:t>
      </w:r>
    </w:p>
    <w:p w14:paraId="04E31946" w14:textId="2DCE2421" w:rsidR="00F84955" w:rsidRPr="00923932" w:rsidRDefault="00F84955" w:rsidP="00ED2620">
      <w:pPr>
        <w:pBdr>
          <w:top w:val="nil"/>
          <w:left w:val="nil"/>
          <w:bottom w:val="nil"/>
          <w:right w:val="nil"/>
          <w:between w:val="nil"/>
        </w:pBdr>
        <w:ind w:left="567" w:hanging="567"/>
        <w:jc w:val="both"/>
        <w:rPr>
          <w:rFonts w:ascii="Arial" w:hAnsi="Arial" w:cs="Arial"/>
          <w:color w:val="222222"/>
          <w:shd w:val="clear" w:color="auto" w:fill="FFFFFF"/>
        </w:rPr>
      </w:pPr>
      <w:r w:rsidRPr="00923932">
        <w:rPr>
          <w:rFonts w:ascii="Arial" w:hAnsi="Arial" w:cs="Arial"/>
          <w:color w:val="222222"/>
          <w:shd w:val="clear" w:color="auto" w:fill="FFFFFF"/>
        </w:rPr>
        <w:t xml:space="preserve">Linung, M. K., Soewarlan, L. C., &amp; Boikh, L. I. (2024). </w:t>
      </w:r>
      <w:r w:rsidR="00C048B8">
        <w:t>Size, length–weight relationship, and condition factor of Banggai cardinalfish (</w:t>
      </w:r>
      <w:r w:rsidR="00C048B8">
        <w:rPr>
          <w:rStyle w:val="Emphasis"/>
        </w:rPr>
        <w:t>Pterapogon kauderni</w:t>
      </w:r>
      <w:r w:rsidR="00C048B8">
        <w:t xml:space="preserve"> Koumans, 1933) in Lembeh Strait, North Sulawesi</w:t>
      </w:r>
      <w:r>
        <w:rPr>
          <w:rFonts w:ascii="Arial" w:hAnsi="Arial" w:cs="Arial"/>
          <w:color w:val="222222"/>
          <w:shd w:val="clear" w:color="auto" w:fill="FFFFFF"/>
        </w:rPr>
        <w:t>. </w:t>
      </w:r>
      <w:r w:rsidRPr="00923932">
        <w:rPr>
          <w:rFonts w:ascii="Arial" w:hAnsi="Arial" w:cs="Arial"/>
          <w:color w:val="222222"/>
          <w:shd w:val="clear" w:color="auto" w:fill="FFFFFF"/>
        </w:rPr>
        <w:t>Jurnal Bahari Papadak, 5(1), 122-131.</w:t>
      </w:r>
      <w:r w:rsidR="00842D9C" w:rsidRPr="00923932">
        <w:rPr>
          <w:rFonts w:ascii="Arial" w:hAnsi="Arial" w:cs="Arial"/>
          <w:color w:val="222222"/>
          <w:shd w:val="clear" w:color="auto" w:fill="FFFFFF"/>
        </w:rPr>
        <w:t xml:space="preserve"> </w:t>
      </w:r>
      <w:r w:rsidR="00842D9C">
        <w:t>[In Bahasa Indonesia]</w:t>
      </w:r>
      <w:r w:rsidR="009E0E94">
        <w:t>.</w:t>
      </w:r>
      <w:r w:rsidR="00EF5FAB" w:rsidRPr="00923932">
        <w:rPr>
          <w:rFonts w:ascii="Arial" w:hAnsi="Arial" w:cs="Arial"/>
          <w:color w:val="222222"/>
          <w:shd w:val="clear" w:color="auto" w:fill="FFFFFF"/>
        </w:rPr>
        <w:t xml:space="preserve"> </w:t>
      </w:r>
      <w:hyperlink r:id="rId36" w:history="1">
        <w:r w:rsidR="00EF5FAB" w:rsidRPr="00923932">
          <w:rPr>
            <w:rStyle w:val="Hyperlink"/>
            <w:rFonts w:ascii="Arial" w:hAnsi="Arial" w:cs="Arial"/>
            <w:shd w:val="clear" w:color="auto" w:fill="FFFFFF"/>
          </w:rPr>
          <w:t>https://ejurnal.undana.ac.id/index.php/JBP/article/view/16059</w:t>
        </w:r>
      </w:hyperlink>
      <w:r w:rsidR="009E0E94">
        <w:t>.</w:t>
      </w:r>
    </w:p>
    <w:p w14:paraId="18804776" w14:textId="38DA1386" w:rsidR="008165FC" w:rsidRPr="001F6062" w:rsidRDefault="00D02E8A" w:rsidP="008165FC">
      <w:pPr>
        <w:pBdr>
          <w:top w:val="nil"/>
          <w:left w:val="nil"/>
          <w:bottom w:val="nil"/>
          <w:right w:val="nil"/>
          <w:between w:val="nil"/>
        </w:pBdr>
        <w:ind w:left="567" w:hanging="567"/>
        <w:jc w:val="both"/>
        <w:rPr>
          <w:rStyle w:val="Hyperlink"/>
        </w:rPr>
      </w:pPr>
      <w:r w:rsidRPr="001F6062">
        <w:rPr>
          <w:rFonts w:ascii="Arial" w:hAnsi="Arial" w:cs="Arial"/>
          <w:color w:val="222222"/>
          <w:shd w:val="clear" w:color="auto" w:fill="FFFFFF"/>
        </w:rPr>
        <w:t xml:space="preserve">Marzuki, M., Diniariwisan, D., &amp; Lestariningsih, W. A. (2023). </w:t>
      </w:r>
      <w:r w:rsidR="00C048B8">
        <w:t>Identification of octopus biology and index values for fisheries management in the Alas Strait, West Nusa Tenggara.</w:t>
      </w:r>
      <w:r w:rsidRPr="001F6062">
        <w:rPr>
          <w:rFonts w:ascii="Arial" w:hAnsi="Arial" w:cs="Arial"/>
          <w:color w:val="222222"/>
          <w:shd w:val="clear" w:color="auto" w:fill="FFFFFF"/>
        </w:rPr>
        <w:t> </w:t>
      </w:r>
      <w:r w:rsidRPr="00842D9C">
        <w:rPr>
          <w:rFonts w:ascii="Arial" w:hAnsi="Arial" w:cs="Arial"/>
          <w:color w:val="222222"/>
          <w:shd w:val="clear" w:color="auto" w:fill="FFFFFF"/>
        </w:rPr>
        <w:t>Jurnal Penelitian Pendidikan IPA, 9</w:t>
      </w:r>
      <w:r w:rsidRPr="001F6062">
        <w:rPr>
          <w:rFonts w:ascii="Arial" w:hAnsi="Arial" w:cs="Arial"/>
          <w:color w:val="222222"/>
          <w:shd w:val="clear" w:color="auto" w:fill="FFFFFF"/>
        </w:rPr>
        <w:t>(12), 12149-12154</w:t>
      </w:r>
      <w:r w:rsidRPr="001F6062">
        <w:t xml:space="preserve">. </w:t>
      </w:r>
      <w:hyperlink r:id="rId37" w:history="1">
        <w:r w:rsidRPr="001F6062">
          <w:rPr>
            <w:rStyle w:val="Hyperlink"/>
          </w:rPr>
          <w:t>https://doi.org/10.29303/jppipa.v9i12.5956</w:t>
        </w:r>
      </w:hyperlink>
      <w:r w:rsidR="009E0E94">
        <w:t>.</w:t>
      </w:r>
    </w:p>
    <w:p w14:paraId="6E680048" w14:textId="1CD0F780" w:rsidR="008165FC" w:rsidRDefault="008165FC" w:rsidP="008165FC">
      <w:pPr>
        <w:pBdr>
          <w:top w:val="nil"/>
          <w:left w:val="nil"/>
          <w:bottom w:val="nil"/>
          <w:right w:val="nil"/>
          <w:between w:val="nil"/>
        </w:pBdr>
        <w:ind w:left="567" w:hanging="567"/>
        <w:jc w:val="both"/>
        <w:rPr>
          <w:rFonts w:ascii="Arial" w:hAnsi="Arial" w:cs="Arial"/>
          <w:color w:val="222222"/>
          <w:shd w:val="clear" w:color="auto" w:fill="FFFFFF"/>
        </w:rPr>
      </w:pPr>
      <w:r>
        <w:rPr>
          <w:rFonts w:ascii="Arial" w:hAnsi="Arial" w:cs="Arial"/>
          <w:color w:val="222222"/>
          <w:shd w:val="clear" w:color="auto" w:fill="FFFFFF"/>
        </w:rPr>
        <w:t xml:space="preserve">Mulyani, L. F., Arfiati, D., Widodo, M. S., &amp; Yamindago, A. (2024). Molecular </w:t>
      </w:r>
      <w:r w:rsidR="009E0E94">
        <w:rPr>
          <w:rFonts w:ascii="Arial" w:hAnsi="Arial" w:cs="Arial"/>
          <w:color w:val="222222"/>
          <w:shd w:val="clear" w:color="auto" w:fill="FFFFFF"/>
        </w:rPr>
        <w:t>identification of the octopus</w:t>
      </w:r>
      <w:r>
        <w:rPr>
          <w:rFonts w:ascii="Arial" w:hAnsi="Arial" w:cs="Arial"/>
          <w:color w:val="222222"/>
          <w:shd w:val="clear" w:color="auto" w:fill="FFFFFF"/>
        </w:rPr>
        <w:t xml:space="preserve"> (</w:t>
      </w:r>
      <w:r w:rsidRPr="009E0E94">
        <w:rPr>
          <w:rFonts w:ascii="Arial" w:hAnsi="Arial" w:cs="Arial"/>
          <w:i/>
          <w:iCs/>
          <w:color w:val="222222"/>
          <w:shd w:val="clear" w:color="auto" w:fill="FFFFFF"/>
        </w:rPr>
        <w:t>Octopus cyanea</w:t>
      </w:r>
      <w:r>
        <w:rPr>
          <w:rFonts w:ascii="Arial" w:hAnsi="Arial" w:cs="Arial"/>
          <w:color w:val="222222"/>
          <w:shd w:val="clear" w:color="auto" w:fill="FFFFFF"/>
        </w:rPr>
        <w:t xml:space="preserve">, Gray 1849) </w:t>
      </w:r>
      <w:r w:rsidR="009E0E94">
        <w:rPr>
          <w:rFonts w:ascii="Arial" w:hAnsi="Arial" w:cs="Arial"/>
          <w:color w:val="222222"/>
          <w:shd w:val="clear" w:color="auto" w:fill="FFFFFF"/>
        </w:rPr>
        <w:t>usi</w:t>
      </w:r>
      <w:r>
        <w:rPr>
          <w:rFonts w:ascii="Arial" w:hAnsi="Arial" w:cs="Arial"/>
          <w:color w:val="222222"/>
          <w:shd w:val="clear" w:color="auto" w:fill="FFFFFF"/>
        </w:rPr>
        <w:t>ng Mt-DNA COI from Alas Strait Waters, Indonesia. </w:t>
      </w:r>
      <w:r w:rsidRPr="00AF176F">
        <w:rPr>
          <w:rFonts w:ascii="Arial" w:hAnsi="Arial" w:cs="Arial"/>
          <w:color w:val="222222"/>
          <w:shd w:val="clear" w:color="auto" w:fill="FFFFFF"/>
        </w:rPr>
        <w:t>Egyptian Journal of Aquatic Biology &amp; Fisheries, 28(6)</w:t>
      </w:r>
      <w:r w:rsidR="00AF176F">
        <w:rPr>
          <w:rFonts w:ascii="Arial" w:hAnsi="Arial" w:cs="Arial"/>
          <w:color w:val="222222"/>
          <w:shd w:val="clear" w:color="auto" w:fill="FFFFFF"/>
        </w:rPr>
        <w:t xml:space="preserve">, </w:t>
      </w:r>
      <w:r w:rsidR="00AF176F" w:rsidRPr="00AF176F">
        <w:rPr>
          <w:rFonts w:ascii="Arial" w:hAnsi="Arial" w:cs="Arial"/>
          <w:color w:val="222222"/>
          <w:shd w:val="clear" w:color="auto" w:fill="FFFFFF"/>
        </w:rPr>
        <w:t>603–615</w:t>
      </w:r>
      <w:r w:rsidRPr="00AF176F">
        <w:rPr>
          <w:rFonts w:ascii="Arial" w:hAnsi="Arial" w:cs="Arial"/>
          <w:color w:val="222222"/>
          <w:shd w:val="clear" w:color="auto" w:fill="FFFFFF"/>
        </w:rPr>
        <w:t>.</w:t>
      </w:r>
      <w:r>
        <w:rPr>
          <w:rFonts w:ascii="Arial" w:hAnsi="Arial" w:cs="Arial"/>
          <w:color w:val="222222"/>
          <w:shd w:val="clear" w:color="auto" w:fill="FFFFFF"/>
        </w:rPr>
        <w:t xml:space="preserve"> </w:t>
      </w:r>
      <w:hyperlink r:id="rId38" w:history="1">
        <w:r w:rsidRPr="0047657F">
          <w:rPr>
            <w:rStyle w:val="Hyperlink"/>
            <w:rFonts w:ascii="Arial" w:hAnsi="Arial" w:cs="Arial"/>
            <w:shd w:val="clear" w:color="auto" w:fill="FFFFFF"/>
          </w:rPr>
          <w:t>https://doi.org/10.21608/ejabf.2024.392406</w:t>
        </w:r>
      </w:hyperlink>
      <w:r w:rsidR="009E0E94">
        <w:t>.</w:t>
      </w:r>
      <w:r>
        <w:rPr>
          <w:rFonts w:ascii="Arial" w:hAnsi="Arial" w:cs="Arial"/>
          <w:color w:val="222222"/>
          <w:shd w:val="clear" w:color="auto" w:fill="FFFFFF"/>
        </w:rPr>
        <w:t xml:space="preserve"> </w:t>
      </w:r>
    </w:p>
    <w:p w14:paraId="5E49BA50" w14:textId="77777777" w:rsidR="00BC1336" w:rsidRDefault="00EA47A2" w:rsidP="00EF5FAB">
      <w:pPr>
        <w:pBdr>
          <w:top w:val="nil"/>
          <w:left w:val="nil"/>
          <w:bottom w:val="nil"/>
          <w:right w:val="nil"/>
          <w:between w:val="nil"/>
        </w:pBdr>
        <w:ind w:left="567" w:hanging="567"/>
        <w:jc w:val="both"/>
      </w:pPr>
      <w:r>
        <w:t xml:space="preserve">Mangold K., 1987, </w:t>
      </w:r>
      <w:r w:rsidR="00BC1336">
        <w:t xml:space="preserve">eproduction. In P. R. Boyle (Ed.), </w:t>
      </w:r>
      <w:r w:rsidR="00BC1336" w:rsidRPr="00AF176F">
        <w:rPr>
          <w:rStyle w:val="Emphasis"/>
          <w:i w:val="0"/>
          <w:iCs w:val="0"/>
        </w:rPr>
        <w:t>Cephalopod life cycles: Comparative reviews</w:t>
      </w:r>
      <w:r w:rsidR="00BC1336">
        <w:t xml:space="preserve"> (Vol. II, pp. 157–200). London: Academic Press. </w:t>
      </w:r>
    </w:p>
    <w:p w14:paraId="35D00281" w14:textId="438F53AC" w:rsidR="008165FC" w:rsidRDefault="008165FC" w:rsidP="00EF5FAB">
      <w:pPr>
        <w:pBdr>
          <w:top w:val="nil"/>
          <w:left w:val="nil"/>
          <w:bottom w:val="nil"/>
          <w:right w:val="nil"/>
          <w:between w:val="nil"/>
        </w:pBdr>
        <w:ind w:left="567" w:hanging="567"/>
        <w:jc w:val="both"/>
        <w:rPr>
          <w:rFonts w:ascii="Arial" w:hAnsi="Arial" w:cs="Arial"/>
          <w:color w:val="222222"/>
          <w:shd w:val="clear" w:color="auto" w:fill="FFFFFF"/>
        </w:rPr>
      </w:pPr>
      <w:r>
        <w:rPr>
          <w:rFonts w:ascii="Arial" w:hAnsi="Arial" w:cs="Arial"/>
          <w:color w:val="222222"/>
          <w:shd w:val="clear" w:color="auto" w:fill="FFFFFF"/>
        </w:rPr>
        <w:lastRenderedPageBreak/>
        <w:t xml:space="preserve">Raberinary, D., &amp; Benbow, S. (2012). The reproductive cycle of </w:t>
      </w:r>
      <w:r w:rsidRPr="009E0E94">
        <w:rPr>
          <w:rFonts w:ascii="Arial" w:hAnsi="Arial" w:cs="Arial"/>
          <w:i/>
          <w:iCs/>
          <w:color w:val="222222"/>
          <w:shd w:val="clear" w:color="auto" w:fill="FFFFFF"/>
        </w:rPr>
        <w:t>Octopus cyanea</w:t>
      </w:r>
      <w:r>
        <w:rPr>
          <w:rFonts w:ascii="Arial" w:hAnsi="Arial" w:cs="Arial"/>
          <w:color w:val="222222"/>
          <w:shd w:val="clear" w:color="auto" w:fill="FFFFFF"/>
        </w:rPr>
        <w:t xml:space="preserve"> in southwest Madagascar and implications for fisheries management. </w:t>
      </w:r>
      <w:r w:rsidRPr="00AF176F">
        <w:rPr>
          <w:rFonts w:ascii="Arial" w:hAnsi="Arial" w:cs="Arial"/>
          <w:color w:val="222222"/>
          <w:shd w:val="clear" w:color="auto" w:fill="FFFFFF"/>
        </w:rPr>
        <w:t>Fisheries Research, 125</w:t>
      </w:r>
      <w:r>
        <w:rPr>
          <w:rFonts w:ascii="Arial" w:hAnsi="Arial" w:cs="Arial"/>
          <w:color w:val="222222"/>
          <w:shd w:val="clear" w:color="auto" w:fill="FFFFFF"/>
        </w:rPr>
        <w:t xml:space="preserve">, 190-197. </w:t>
      </w:r>
      <w:hyperlink r:id="rId39" w:history="1">
        <w:r w:rsidR="00982DC6" w:rsidRPr="0047657F">
          <w:rPr>
            <w:rStyle w:val="Hyperlink"/>
            <w:rFonts w:ascii="Arial" w:hAnsi="Arial" w:cs="Arial"/>
            <w:shd w:val="clear" w:color="auto" w:fill="FFFFFF"/>
          </w:rPr>
          <w:t>https://doi.org/10.1016/j.fishres.2012.02.025</w:t>
        </w:r>
      </w:hyperlink>
      <w:r w:rsidR="009E0E94">
        <w:t>.</w:t>
      </w:r>
      <w:r w:rsidR="00982DC6">
        <w:rPr>
          <w:rFonts w:ascii="Arial" w:hAnsi="Arial" w:cs="Arial"/>
          <w:color w:val="222222"/>
          <w:shd w:val="clear" w:color="auto" w:fill="FFFFFF"/>
        </w:rPr>
        <w:t xml:space="preserve"> </w:t>
      </w:r>
    </w:p>
    <w:p w14:paraId="5A7C5AA6" w14:textId="5471A8EC" w:rsidR="00D02E8A" w:rsidRPr="004768AE" w:rsidRDefault="00982DC6" w:rsidP="00DC71E1">
      <w:pPr>
        <w:pBdr>
          <w:top w:val="nil"/>
          <w:left w:val="nil"/>
          <w:bottom w:val="nil"/>
          <w:right w:val="nil"/>
          <w:between w:val="nil"/>
        </w:pBdr>
        <w:ind w:left="567" w:hanging="567"/>
        <w:jc w:val="both"/>
        <w:rPr>
          <w:rFonts w:ascii="Arial" w:hAnsi="Arial" w:cs="Arial"/>
          <w:bCs/>
          <w:color w:val="000000"/>
        </w:rPr>
      </w:pPr>
      <w:r>
        <w:rPr>
          <w:rFonts w:ascii="Arial" w:hAnsi="Arial" w:cs="Arial"/>
          <w:color w:val="222222"/>
          <w:shd w:val="clear" w:color="auto" w:fill="FFFFFF"/>
        </w:rPr>
        <w:t xml:space="preserve">Rufiati, I., Mahardika, I., &amp; Wijana, M. (2024). </w:t>
      </w:r>
      <w:r w:rsidR="00DC71E1">
        <w:rPr>
          <w:rFonts w:ascii="Arial" w:hAnsi="Arial" w:cs="Arial"/>
          <w:color w:val="222222"/>
          <w:shd w:val="clear" w:color="auto" w:fill="FFFFFF"/>
        </w:rPr>
        <w:t>A</w:t>
      </w:r>
      <w:r w:rsidR="00C048B8">
        <w:t>ge estimation of octopus (</w:t>
      </w:r>
      <w:r w:rsidR="00C048B8">
        <w:rPr>
          <w:rStyle w:val="Emphasis"/>
        </w:rPr>
        <w:t>Octopus cyanea</w:t>
      </w:r>
      <w:r w:rsidR="00C048B8">
        <w:t>) in Pringgabaya and Poto Tano districts using the stylet increment analysis (SIA) method</w:t>
      </w:r>
      <w:r>
        <w:rPr>
          <w:rFonts w:ascii="Arial" w:hAnsi="Arial" w:cs="Arial"/>
          <w:color w:val="222222"/>
          <w:shd w:val="clear" w:color="auto" w:fill="FFFFFF"/>
        </w:rPr>
        <w:t>. </w:t>
      </w:r>
      <w:r w:rsidRPr="00DC71E1">
        <w:rPr>
          <w:rFonts w:ascii="Arial" w:hAnsi="Arial" w:cs="Arial"/>
          <w:color w:val="222222"/>
          <w:shd w:val="clear" w:color="auto" w:fill="FFFFFF"/>
        </w:rPr>
        <w:t>Ecotrophic 18</w:t>
      </w:r>
      <w:r>
        <w:rPr>
          <w:rFonts w:ascii="Arial" w:hAnsi="Arial" w:cs="Arial"/>
          <w:color w:val="222222"/>
          <w:shd w:val="clear" w:color="auto" w:fill="FFFFFF"/>
        </w:rPr>
        <w:t>(2), 144</w:t>
      </w:r>
      <w:r w:rsidR="00DC71E1">
        <w:rPr>
          <w:rFonts w:ascii="Arial" w:hAnsi="Arial" w:cs="Arial"/>
          <w:color w:val="222222"/>
          <w:shd w:val="clear" w:color="auto" w:fill="FFFFFF"/>
        </w:rPr>
        <w:t>-</w:t>
      </w:r>
      <w:r w:rsidR="00DC71E1" w:rsidRPr="00DC71E1">
        <w:rPr>
          <w:rFonts w:ascii="Arial" w:hAnsi="Arial" w:cs="Arial"/>
          <w:color w:val="222222"/>
          <w:shd w:val="clear" w:color="auto" w:fill="FFFFFF"/>
        </w:rPr>
        <w:t>160</w:t>
      </w:r>
      <w:r>
        <w:rPr>
          <w:rFonts w:ascii="Arial" w:hAnsi="Arial" w:cs="Arial"/>
          <w:color w:val="222222"/>
          <w:shd w:val="clear" w:color="auto" w:fill="FFFFFF"/>
        </w:rPr>
        <w:t>.</w:t>
      </w:r>
      <w:r w:rsidR="007C514D" w:rsidRPr="007C514D">
        <w:t xml:space="preserve"> </w:t>
      </w:r>
      <w:r w:rsidR="00DC71E1" w:rsidRPr="000B4AEA">
        <w:rPr>
          <w:rFonts w:ascii="Arial" w:hAnsi="Arial" w:cs="Arial"/>
          <w:bCs/>
          <w:color w:val="000000"/>
        </w:rPr>
        <w:t>[In Bahasa Indonesia]</w:t>
      </w:r>
      <w:r w:rsidR="009E0E94">
        <w:rPr>
          <w:rFonts w:ascii="Arial" w:hAnsi="Arial" w:cs="Arial"/>
          <w:bCs/>
          <w:color w:val="000000"/>
        </w:rPr>
        <w:t>.</w:t>
      </w:r>
      <w:r w:rsidR="00DC71E1">
        <w:t xml:space="preserve"> </w:t>
      </w:r>
      <w:hyperlink r:id="rId40" w:history="1">
        <w:r w:rsidR="00DC71E1" w:rsidRPr="00F27BDB">
          <w:rPr>
            <w:rStyle w:val="Hyperlink"/>
            <w:rFonts w:ascii="Arial" w:hAnsi="Arial" w:cs="Arial"/>
            <w:shd w:val="clear" w:color="auto" w:fill="FFFFFF"/>
          </w:rPr>
          <w:t>https://doi.org/10.24843/EJES.2024.v18.i02.p01</w:t>
        </w:r>
      </w:hyperlink>
      <w:r w:rsidR="009E0E94">
        <w:t>.</w:t>
      </w:r>
      <w:r w:rsidR="007C514D">
        <w:rPr>
          <w:rFonts w:ascii="Arial" w:hAnsi="Arial" w:cs="Arial"/>
          <w:color w:val="222222"/>
          <w:shd w:val="clear" w:color="auto" w:fill="FFFFFF"/>
        </w:rPr>
        <w:t xml:space="preserve"> </w:t>
      </w:r>
      <w:r>
        <w:rPr>
          <w:rFonts w:ascii="Arial" w:hAnsi="Arial" w:cs="Arial"/>
          <w:bCs/>
          <w:color w:val="000000"/>
        </w:rPr>
        <w:t xml:space="preserve"> </w:t>
      </w:r>
    </w:p>
    <w:p w14:paraId="6FAE88C4" w14:textId="4F32AF7B" w:rsidR="00D02E8A" w:rsidRPr="004768AE" w:rsidRDefault="004F2ED9" w:rsidP="00ED2620">
      <w:pPr>
        <w:pBdr>
          <w:top w:val="nil"/>
          <w:left w:val="nil"/>
          <w:bottom w:val="nil"/>
          <w:right w:val="nil"/>
          <w:between w:val="nil"/>
        </w:pBdr>
        <w:ind w:left="567" w:hanging="567"/>
        <w:jc w:val="both"/>
        <w:rPr>
          <w:rFonts w:ascii="Arial" w:hAnsi="Arial" w:cs="Arial"/>
          <w:bCs/>
          <w:color w:val="000000"/>
        </w:rPr>
      </w:pPr>
      <w:r w:rsidRPr="001F6062">
        <w:rPr>
          <w:rFonts w:ascii="Arial" w:hAnsi="Arial" w:cs="Arial"/>
          <w:color w:val="222222"/>
          <w:shd w:val="clear" w:color="auto" w:fill="FFFFFF"/>
          <w:lang w:val="sv-SE"/>
        </w:rPr>
        <w:t xml:space="preserve">Semmens, J. M., Pecl, G. T., Villanueva, R., Jouffre, D., Sobrino, I., Wood, J. B., &amp; Rigby, P. R. (2004). </w:t>
      </w:r>
      <w:r>
        <w:rPr>
          <w:rFonts w:ascii="Arial" w:hAnsi="Arial" w:cs="Arial"/>
          <w:color w:val="222222"/>
          <w:shd w:val="clear" w:color="auto" w:fill="FFFFFF"/>
        </w:rPr>
        <w:t>Understanding</w:t>
      </w:r>
      <w:r w:rsidR="009E0E94">
        <w:rPr>
          <w:rFonts w:ascii="Arial" w:hAnsi="Arial" w:cs="Arial"/>
          <w:color w:val="222222"/>
          <w:shd w:val="clear" w:color="auto" w:fill="FFFFFF"/>
        </w:rPr>
        <w:t xml:space="preserve"> </w:t>
      </w:r>
      <w:r>
        <w:rPr>
          <w:rFonts w:ascii="Arial" w:hAnsi="Arial" w:cs="Arial"/>
          <w:color w:val="222222"/>
          <w:shd w:val="clear" w:color="auto" w:fill="FFFFFF"/>
        </w:rPr>
        <w:t>octopus growth: patterns, variability and physiology. </w:t>
      </w:r>
      <w:r w:rsidRPr="00F5564F">
        <w:rPr>
          <w:rFonts w:ascii="Arial" w:hAnsi="Arial" w:cs="Arial"/>
          <w:color w:val="222222"/>
          <w:shd w:val="clear" w:color="auto" w:fill="FFFFFF"/>
        </w:rPr>
        <w:t>Marine and Freshwater Research, 55</w:t>
      </w:r>
      <w:r>
        <w:rPr>
          <w:rFonts w:ascii="Arial" w:hAnsi="Arial" w:cs="Arial"/>
          <w:color w:val="222222"/>
          <w:shd w:val="clear" w:color="auto" w:fill="FFFFFF"/>
        </w:rPr>
        <w:t>(4), 367-377.</w:t>
      </w:r>
      <w:r>
        <w:rPr>
          <w:rFonts w:ascii="Arial" w:hAnsi="Arial" w:cs="Arial"/>
          <w:bCs/>
          <w:color w:val="000000"/>
        </w:rPr>
        <w:t xml:space="preserve"> </w:t>
      </w:r>
      <w:hyperlink r:id="rId41" w:history="1">
        <w:r w:rsidRPr="0047657F">
          <w:rPr>
            <w:rStyle w:val="Hyperlink"/>
            <w:rFonts w:ascii="Arial" w:hAnsi="Arial" w:cs="Arial"/>
            <w:bCs/>
          </w:rPr>
          <w:t>https://doi.org/10.1071/MF03155</w:t>
        </w:r>
      </w:hyperlink>
      <w:r w:rsidR="009E0E94">
        <w:t>.</w:t>
      </w:r>
      <w:r>
        <w:rPr>
          <w:rFonts w:ascii="Arial" w:hAnsi="Arial" w:cs="Arial"/>
          <w:bCs/>
          <w:color w:val="000000"/>
        </w:rPr>
        <w:t xml:space="preserve"> </w:t>
      </w:r>
    </w:p>
    <w:p w14:paraId="1F6FD09B" w14:textId="567CB958" w:rsidR="004F2ED9" w:rsidRPr="004F2ED9" w:rsidRDefault="004F2ED9" w:rsidP="00ED2620">
      <w:pPr>
        <w:pBdr>
          <w:top w:val="nil"/>
          <w:left w:val="nil"/>
          <w:bottom w:val="nil"/>
          <w:right w:val="nil"/>
          <w:between w:val="nil"/>
        </w:pBdr>
        <w:ind w:left="567" w:hanging="567"/>
        <w:jc w:val="both"/>
        <w:rPr>
          <w:rFonts w:ascii="Arial" w:hAnsi="Arial" w:cs="Arial"/>
          <w:color w:val="222222"/>
          <w:shd w:val="clear" w:color="auto" w:fill="FFFFFF"/>
        </w:rPr>
      </w:pPr>
      <w:r>
        <w:rPr>
          <w:rFonts w:ascii="Arial" w:hAnsi="Arial" w:cs="Arial"/>
          <w:color w:val="222222"/>
          <w:shd w:val="clear" w:color="auto" w:fill="FFFFFF"/>
        </w:rPr>
        <w:t xml:space="preserve">Smith, J. M., Pierce, G. J., Zuur, A. F., &amp; Boyle, P. R. (2005). Seasonal patterns of investment in reproductive and somatic tissues in the squid </w:t>
      </w:r>
      <w:r w:rsidRPr="005940F3">
        <w:rPr>
          <w:rFonts w:ascii="Arial" w:hAnsi="Arial" w:cs="Arial"/>
          <w:i/>
          <w:iCs/>
          <w:color w:val="222222"/>
          <w:shd w:val="clear" w:color="auto" w:fill="FFFFFF"/>
        </w:rPr>
        <w:t>Loligo forbesi</w:t>
      </w:r>
      <w:r>
        <w:rPr>
          <w:rFonts w:ascii="Arial" w:hAnsi="Arial" w:cs="Arial"/>
          <w:color w:val="222222"/>
          <w:shd w:val="clear" w:color="auto" w:fill="FFFFFF"/>
        </w:rPr>
        <w:t>. </w:t>
      </w:r>
      <w:r w:rsidRPr="00777882">
        <w:rPr>
          <w:rFonts w:ascii="Arial" w:hAnsi="Arial" w:cs="Arial"/>
          <w:color w:val="222222"/>
          <w:shd w:val="clear" w:color="auto" w:fill="FFFFFF"/>
        </w:rPr>
        <w:t>Aquatic Living Resources, 18</w:t>
      </w:r>
      <w:r>
        <w:rPr>
          <w:rFonts w:ascii="Arial" w:hAnsi="Arial" w:cs="Arial"/>
          <w:color w:val="222222"/>
          <w:shd w:val="clear" w:color="auto" w:fill="FFFFFF"/>
        </w:rPr>
        <w:t xml:space="preserve">(4), 341-351. </w:t>
      </w:r>
      <w:hyperlink r:id="rId42" w:history="1">
        <w:r w:rsidR="00A92B58" w:rsidRPr="0047657F">
          <w:rPr>
            <w:rStyle w:val="Hyperlink"/>
            <w:rFonts w:ascii="Arial" w:hAnsi="Arial" w:cs="Arial"/>
            <w:shd w:val="clear" w:color="auto" w:fill="FFFFFF"/>
          </w:rPr>
          <w:t>https://doi.org/10.1051/alr:2005038</w:t>
        </w:r>
      </w:hyperlink>
      <w:r w:rsidR="009E0E94">
        <w:t>.</w:t>
      </w:r>
      <w:r w:rsidR="00A92B58">
        <w:rPr>
          <w:rFonts w:ascii="Arial" w:hAnsi="Arial" w:cs="Arial"/>
          <w:color w:val="222222"/>
          <w:shd w:val="clear" w:color="auto" w:fill="FFFFFF"/>
        </w:rPr>
        <w:t xml:space="preserve"> </w:t>
      </w:r>
    </w:p>
    <w:p w14:paraId="414BC928" w14:textId="7CC3CC53" w:rsidR="00D02E8A" w:rsidRPr="00B626D7" w:rsidRDefault="00D02E8A" w:rsidP="00ED2620">
      <w:pPr>
        <w:pBdr>
          <w:top w:val="nil"/>
          <w:left w:val="nil"/>
          <w:bottom w:val="nil"/>
          <w:right w:val="nil"/>
          <w:between w:val="nil"/>
        </w:pBdr>
        <w:ind w:left="567" w:hanging="567"/>
        <w:jc w:val="both"/>
        <w:rPr>
          <w:rFonts w:ascii="Arial" w:hAnsi="Arial" w:cs="Arial"/>
          <w:bCs/>
          <w:color w:val="000000"/>
        </w:rPr>
      </w:pPr>
      <w:r w:rsidRPr="004768AE">
        <w:rPr>
          <w:rFonts w:ascii="Arial" w:hAnsi="Arial" w:cs="Arial"/>
          <w:bCs/>
          <w:color w:val="000000"/>
        </w:rPr>
        <w:t xml:space="preserve">Sugiyono. (2017). </w:t>
      </w:r>
      <w:r w:rsidR="00C048B8">
        <w:t>Quantitative, qualitative, and R&amp;D research methods</w:t>
      </w:r>
      <w:r w:rsidRPr="004768AE">
        <w:rPr>
          <w:rFonts w:ascii="Arial" w:hAnsi="Arial" w:cs="Arial"/>
          <w:bCs/>
          <w:color w:val="000000"/>
        </w:rPr>
        <w:t xml:space="preserve">. </w:t>
      </w:r>
      <w:r w:rsidRPr="00B626D7">
        <w:rPr>
          <w:rFonts w:ascii="Arial" w:hAnsi="Arial" w:cs="Arial"/>
          <w:bCs/>
          <w:color w:val="000000"/>
        </w:rPr>
        <w:t>Bandung: Alfabeta, CV.</w:t>
      </w:r>
    </w:p>
    <w:p w14:paraId="1370EDC8" w14:textId="107CCE1B" w:rsidR="00D02E8A" w:rsidRPr="00B626D7" w:rsidRDefault="00D02E8A" w:rsidP="00ED2620">
      <w:pPr>
        <w:pBdr>
          <w:top w:val="nil"/>
          <w:left w:val="nil"/>
          <w:bottom w:val="nil"/>
          <w:right w:val="nil"/>
          <w:between w:val="nil"/>
        </w:pBdr>
        <w:ind w:left="567" w:hanging="567"/>
        <w:jc w:val="both"/>
        <w:rPr>
          <w:rFonts w:ascii="Arial" w:hAnsi="Arial" w:cs="Arial"/>
          <w:bCs/>
          <w:i/>
          <w:iCs/>
          <w:color w:val="000000"/>
        </w:rPr>
      </w:pPr>
      <w:r w:rsidRPr="001F6062">
        <w:rPr>
          <w:rFonts w:ascii="Arial" w:hAnsi="Arial" w:cs="Arial"/>
          <w:bCs/>
          <w:color w:val="000000"/>
        </w:rPr>
        <w:t xml:space="preserve">Sugiyono. (2022). </w:t>
      </w:r>
      <w:r w:rsidR="00BC1336" w:rsidRPr="00F5564F">
        <w:rPr>
          <w:rStyle w:val="Emphasis"/>
          <w:i w:val="0"/>
          <w:iCs w:val="0"/>
        </w:rPr>
        <w:t>Statistics for research</w:t>
      </w:r>
      <w:r w:rsidRPr="00B626D7">
        <w:rPr>
          <w:rFonts w:ascii="Arial" w:hAnsi="Arial" w:cs="Arial"/>
          <w:bCs/>
          <w:i/>
          <w:iCs/>
          <w:color w:val="000000"/>
        </w:rPr>
        <w:t>.</w:t>
      </w:r>
      <w:r w:rsidR="00F5564F">
        <w:rPr>
          <w:rFonts w:ascii="Arial" w:hAnsi="Arial" w:cs="Arial"/>
          <w:bCs/>
          <w:i/>
          <w:iCs/>
          <w:color w:val="000000"/>
        </w:rPr>
        <w:t xml:space="preserve"> </w:t>
      </w:r>
      <w:r w:rsidR="00F5564F">
        <w:t>Bandung:</w:t>
      </w:r>
      <w:r w:rsidRPr="00B626D7">
        <w:rPr>
          <w:rFonts w:ascii="Arial" w:hAnsi="Arial" w:cs="Arial"/>
          <w:bCs/>
          <w:i/>
          <w:iCs/>
          <w:color w:val="000000"/>
        </w:rPr>
        <w:t xml:space="preserve"> </w:t>
      </w:r>
      <w:r w:rsidRPr="00777882">
        <w:rPr>
          <w:rFonts w:ascii="Arial" w:hAnsi="Arial" w:cs="Arial"/>
          <w:bCs/>
          <w:color w:val="000000"/>
        </w:rPr>
        <w:t>Alfabeta</w:t>
      </w:r>
      <w:r w:rsidRPr="00B626D7">
        <w:rPr>
          <w:rFonts w:ascii="Arial" w:hAnsi="Arial" w:cs="Arial"/>
          <w:bCs/>
          <w:i/>
          <w:iCs/>
          <w:color w:val="000000"/>
        </w:rPr>
        <w:t>.</w:t>
      </w:r>
    </w:p>
    <w:p w14:paraId="6E5EDADC" w14:textId="6E2E722D" w:rsidR="00D02E8A" w:rsidRPr="001F6062" w:rsidRDefault="00D02E8A" w:rsidP="007F72D4">
      <w:pPr>
        <w:pBdr>
          <w:top w:val="nil"/>
          <w:left w:val="nil"/>
          <w:bottom w:val="nil"/>
          <w:right w:val="nil"/>
          <w:between w:val="nil"/>
        </w:pBdr>
        <w:ind w:left="567" w:hanging="567"/>
        <w:jc w:val="both"/>
      </w:pPr>
      <w:r w:rsidRPr="001F6062">
        <w:rPr>
          <w:rFonts w:ascii="Arial" w:hAnsi="Arial" w:cs="Arial"/>
          <w:bCs/>
          <w:color w:val="000000"/>
        </w:rPr>
        <w:t xml:space="preserve">Tahir, S., Utina, R., Baderan, D. W. K., &amp; Zakaria, Z. (2024). </w:t>
      </w:r>
      <w:r w:rsidR="00BC1336">
        <w:t>Spatial distribution patterns of octopus (</w:t>
      </w:r>
      <w:r w:rsidR="00BC1336">
        <w:rPr>
          <w:rStyle w:val="Emphasis"/>
        </w:rPr>
        <w:t>Octopus</w:t>
      </w:r>
      <w:r w:rsidR="00BC1336">
        <w:t xml:space="preserve"> sp.) in fishing grounds of Torosiaje waters</w:t>
      </w:r>
      <w:r w:rsidRPr="001F6062">
        <w:rPr>
          <w:rFonts w:ascii="Arial" w:hAnsi="Arial" w:cs="Arial"/>
          <w:bCs/>
          <w:color w:val="000000"/>
        </w:rPr>
        <w:t xml:space="preserve">. </w:t>
      </w:r>
      <w:r w:rsidRPr="009E0E94">
        <w:rPr>
          <w:rFonts w:ascii="Arial" w:hAnsi="Arial" w:cs="Arial"/>
          <w:bCs/>
          <w:color w:val="000000"/>
        </w:rPr>
        <w:t>J-CEKI: Jurnal Cendekia Ilmiah, 3</w:t>
      </w:r>
      <w:r w:rsidRPr="001F6062">
        <w:rPr>
          <w:rFonts w:ascii="Arial" w:hAnsi="Arial" w:cs="Arial"/>
          <w:bCs/>
          <w:color w:val="000000"/>
        </w:rPr>
        <w:t>(6), 6521-6540.</w:t>
      </w:r>
      <w:r w:rsidR="009E0E94">
        <w:rPr>
          <w:rFonts w:ascii="Arial" w:hAnsi="Arial" w:cs="Arial"/>
          <w:bCs/>
          <w:color w:val="000000"/>
        </w:rPr>
        <w:t xml:space="preserve"> </w:t>
      </w:r>
      <w:r w:rsidR="009E0E94">
        <w:rPr>
          <w:rFonts w:ascii="Arial" w:hAnsi="Arial" w:cs="Arial"/>
          <w:color w:val="222222"/>
          <w:shd w:val="clear" w:color="auto" w:fill="FFFFFF"/>
        </w:rPr>
        <w:t xml:space="preserve">[In Bahasa Indonesia]. </w:t>
      </w:r>
      <w:hyperlink r:id="rId43" w:history="1">
        <w:r w:rsidR="00A92B58" w:rsidRPr="00A92B58">
          <w:rPr>
            <w:rStyle w:val="Hyperlink"/>
            <w:rFonts w:ascii="Arial" w:hAnsi="Arial" w:cs="Arial"/>
            <w:shd w:val="clear" w:color="auto" w:fill="FFFFFF"/>
          </w:rPr>
          <w:t>https://doi.org/10.56799/jceki.v3i6.5257</w:t>
        </w:r>
      </w:hyperlink>
      <w:r w:rsidR="009E0E94">
        <w:t>.</w:t>
      </w:r>
      <w:r w:rsidR="00A92B58">
        <w:rPr>
          <w:rFonts w:ascii="Tahoma" w:hAnsi="Tahoma" w:cs="Tahoma"/>
          <w:color w:val="777777"/>
          <w:sz w:val="23"/>
          <w:szCs w:val="23"/>
          <w:shd w:val="clear" w:color="auto" w:fill="FFFFFF"/>
        </w:rPr>
        <w:t xml:space="preserve"> </w:t>
      </w:r>
    </w:p>
    <w:p w14:paraId="7F28A31E" w14:textId="57DB7236" w:rsidR="007C514D" w:rsidRDefault="00D02E8A" w:rsidP="00ED2620">
      <w:pPr>
        <w:pBdr>
          <w:top w:val="nil"/>
          <w:left w:val="nil"/>
          <w:bottom w:val="nil"/>
          <w:right w:val="nil"/>
          <w:between w:val="nil"/>
        </w:pBdr>
        <w:ind w:left="567" w:hanging="567"/>
        <w:jc w:val="both"/>
      </w:pPr>
      <w:r w:rsidRPr="004C4C1B">
        <w:rPr>
          <w:rFonts w:ascii="Arial" w:hAnsi="Arial" w:cs="Arial"/>
          <w:bCs/>
          <w:color w:val="000000"/>
          <w:lang w:val="sv-SE"/>
        </w:rPr>
        <w:t xml:space="preserve">Tarigan, D.J, </w:t>
      </w:r>
      <w:r w:rsidR="001344F5">
        <w:rPr>
          <w:rFonts w:ascii="Arial" w:hAnsi="Arial" w:cs="Arial"/>
          <w:bCs/>
          <w:color w:val="000000"/>
          <w:lang w:val="sv-SE"/>
        </w:rPr>
        <w:t>&amp;</w:t>
      </w:r>
      <w:r w:rsidRPr="004C4C1B">
        <w:rPr>
          <w:rFonts w:ascii="Arial" w:hAnsi="Arial" w:cs="Arial"/>
          <w:bCs/>
          <w:color w:val="000000"/>
          <w:lang w:val="sv-SE"/>
        </w:rPr>
        <w:t xml:space="preserve"> Simbolon D. (2020). </w:t>
      </w:r>
      <w:r w:rsidR="00BC1336">
        <w:t xml:space="preserve">Social and economic characteristics of octopus fishers based on EAFM indicators in Banggai Laut Regency. </w:t>
      </w:r>
      <w:r w:rsidRPr="00777882">
        <w:rPr>
          <w:rFonts w:ascii="Arial" w:hAnsi="Arial" w:cs="Arial"/>
          <w:bCs/>
          <w:color w:val="000000"/>
        </w:rPr>
        <w:t xml:space="preserve">Indonesian Journal </w:t>
      </w:r>
      <w:r w:rsidR="009E0E94">
        <w:rPr>
          <w:rFonts w:ascii="Arial" w:hAnsi="Arial" w:cs="Arial"/>
          <w:bCs/>
          <w:color w:val="000000"/>
        </w:rPr>
        <w:t>o</w:t>
      </w:r>
      <w:r w:rsidRPr="00777882">
        <w:rPr>
          <w:rFonts w:ascii="Arial" w:hAnsi="Arial" w:cs="Arial"/>
          <w:bCs/>
          <w:color w:val="000000"/>
        </w:rPr>
        <w:t>f Maritime</w:t>
      </w:r>
      <w:r w:rsidR="009E0E94">
        <w:rPr>
          <w:rFonts w:ascii="Arial" w:hAnsi="Arial" w:cs="Arial"/>
          <w:bCs/>
          <w:color w:val="000000"/>
        </w:rPr>
        <w:t xml:space="preserve">, </w:t>
      </w:r>
      <w:r w:rsidRPr="00777882">
        <w:rPr>
          <w:rFonts w:ascii="Arial" w:hAnsi="Arial" w:cs="Arial"/>
          <w:bCs/>
          <w:color w:val="000000"/>
        </w:rPr>
        <w:t>1(1)</w:t>
      </w:r>
      <w:r w:rsidR="00777882" w:rsidRPr="00777882">
        <w:rPr>
          <w:rFonts w:ascii="Arial" w:hAnsi="Arial" w:cs="Arial"/>
          <w:bCs/>
          <w:color w:val="000000"/>
        </w:rPr>
        <w:t xml:space="preserve">, </w:t>
      </w:r>
      <w:r w:rsidRPr="001F6062">
        <w:rPr>
          <w:rFonts w:ascii="Arial" w:hAnsi="Arial" w:cs="Arial"/>
          <w:bCs/>
          <w:color w:val="000000"/>
        </w:rPr>
        <w:t>1–10.</w:t>
      </w:r>
      <w:r w:rsidR="006A7468" w:rsidRPr="001F6062">
        <w:rPr>
          <w:rFonts w:ascii="Arial" w:hAnsi="Arial" w:cs="Arial"/>
          <w:bCs/>
          <w:color w:val="000000"/>
        </w:rPr>
        <w:t xml:space="preserve"> </w:t>
      </w:r>
      <w:r w:rsidR="00777882" w:rsidRPr="000B4AEA">
        <w:rPr>
          <w:rFonts w:ascii="Arial" w:hAnsi="Arial" w:cs="Arial"/>
          <w:bCs/>
          <w:color w:val="000000"/>
        </w:rPr>
        <w:t>[In Bahasa Indonesia]</w:t>
      </w:r>
      <w:r w:rsidR="009E0E94">
        <w:rPr>
          <w:rFonts w:ascii="Arial" w:hAnsi="Arial" w:cs="Arial"/>
          <w:bCs/>
          <w:color w:val="000000"/>
        </w:rPr>
        <w:t>.</w:t>
      </w:r>
      <w:r w:rsidR="00777882">
        <w:t xml:space="preserve"> </w:t>
      </w:r>
      <w:hyperlink r:id="rId44" w:history="1">
        <w:r w:rsidR="00777882" w:rsidRPr="00F27BDB">
          <w:rPr>
            <w:rStyle w:val="Hyperlink"/>
          </w:rPr>
          <w:t>https://doi.org/10.17509/ijom.v1i1.24620</w:t>
        </w:r>
      </w:hyperlink>
      <w:r w:rsidR="007C514D">
        <w:t xml:space="preserve"> </w:t>
      </w:r>
    </w:p>
    <w:p w14:paraId="21D8460F" w14:textId="0F0F8DD7" w:rsidR="001344F5" w:rsidRPr="00F5564F" w:rsidRDefault="001344F5" w:rsidP="00ED2620">
      <w:pPr>
        <w:pBdr>
          <w:top w:val="nil"/>
          <w:left w:val="nil"/>
          <w:bottom w:val="nil"/>
          <w:right w:val="nil"/>
          <w:between w:val="nil"/>
        </w:pBdr>
        <w:ind w:left="567" w:hanging="567"/>
        <w:jc w:val="both"/>
        <w:rPr>
          <w:rFonts w:ascii="Arial" w:hAnsi="Arial" w:cs="Arial"/>
          <w:bCs/>
          <w:color w:val="000000"/>
        </w:rPr>
      </w:pPr>
      <w:r>
        <w:rPr>
          <w:rFonts w:ascii="Arial" w:hAnsi="Arial" w:cs="Arial"/>
          <w:color w:val="222222"/>
          <w:shd w:val="clear" w:color="auto" w:fill="FFFFFF"/>
        </w:rPr>
        <w:t>Taqwa, M. (2024). </w:t>
      </w:r>
      <w:r w:rsidR="00BC1336" w:rsidRPr="00F5564F">
        <w:rPr>
          <w:rStyle w:val="Emphasis"/>
          <w:i w:val="0"/>
          <w:iCs w:val="0"/>
        </w:rPr>
        <w:t>Mapping of octopus (</w:t>
      </w:r>
      <w:r w:rsidR="00BC1336" w:rsidRPr="00F5564F">
        <w:rPr>
          <w:rStyle w:val="Emphasis"/>
        </w:rPr>
        <w:t>Octopus cyanea</w:t>
      </w:r>
      <w:r w:rsidR="00BC1336" w:rsidRPr="00F5564F">
        <w:rPr>
          <w:rStyle w:val="Emphasis"/>
          <w:i w:val="0"/>
          <w:iCs w:val="0"/>
        </w:rPr>
        <w:t>) fishing grounds in the Maros–Pangkep Geopark area, South Sulawesi</w:t>
      </w:r>
      <w:r w:rsidR="00BC1336" w:rsidRPr="00F5564F">
        <w:rPr>
          <w:i/>
          <w:iCs/>
        </w:rPr>
        <w:t xml:space="preserve"> </w:t>
      </w:r>
      <w:r w:rsidR="00BC1336" w:rsidRPr="00F5564F">
        <w:t>(Doctoral dissertation, Universitas Hasanuddin)</w:t>
      </w:r>
      <w:r w:rsidRPr="00F5564F">
        <w:rPr>
          <w:rFonts w:ascii="Arial" w:hAnsi="Arial" w:cs="Arial"/>
          <w:color w:val="222222"/>
          <w:shd w:val="clear" w:color="auto" w:fill="FFFFFF"/>
        </w:rPr>
        <w:t>.</w:t>
      </w:r>
    </w:p>
    <w:p w14:paraId="1FE962DD" w14:textId="754EEC87" w:rsidR="00D02E8A" w:rsidRPr="001F6062" w:rsidRDefault="00D02E8A" w:rsidP="00ED2620">
      <w:pPr>
        <w:pBdr>
          <w:top w:val="nil"/>
          <w:left w:val="nil"/>
          <w:bottom w:val="nil"/>
          <w:right w:val="nil"/>
          <w:between w:val="nil"/>
        </w:pBdr>
        <w:ind w:left="567" w:hanging="567"/>
        <w:jc w:val="both"/>
        <w:rPr>
          <w:rFonts w:ascii="Arial" w:hAnsi="Arial" w:cs="Arial"/>
          <w:bCs/>
          <w:color w:val="000000"/>
        </w:rPr>
      </w:pPr>
      <w:r w:rsidRPr="001F6062">
        <w:rPr>
          <w:rFonts w:ascii="Arial" w:hAnsi="Arial" w:cs="Arial"/>
          <w:bCs/>
          <w:color w:val="000000"/>
        </w:rPr>
        <w:t xml:space="preserve">Toha, A. H. A., Widodo, N., Hakim, L., &amp; Sumirto, S. B. (2015). </w:t>
      </w:r>
      <w:r w:rsidR="00BC1336" w:rsidRPr="00777882">
        <w:rPr>
          <w:rStyle w:val="Emphasis"/>
          <w:i w:val="0"/>
          <w:iCs w:val="0"/>
        </w:rPr>
        <w:t>Octopus (</w:t>
      </w:r>
      <w:r w:rsidR="00BC1336" w:rsidRPr="00777882">
        <w:rPr>
          <w:rStyle w:val="Emphasis"/>
        </w:rPr>
        <w:t>Octopus cyanea</w:t>
      </w:r>
      <w:r w:rsidR="00BC1336" w:rsidRPr="00777882">
        <w:rPr>
          <w:rStyle w:val="Emphasis"/>
          <w:i w:val="0"/>
          <w:iCs w:val="0"/>
        </w:rPr>
        <w:t>) of Raja Ampat</w:t>
      </w:r>
      <w:r w:rsidR="00BC1336" w:rsidRPr="00777882">
        <w:rPr>
          <w:i/>
          <w:iCs/>
        </w:rPr>
        <w:t>.</w:t>
      </w:r>
      <w:r w:rsidR="00BC1336">
        <w:t xml:space="preserve"> Raja Ampat Biodiversity Conservation</w:t>
      </w:r>
      <w:r w:rsidR="00465FFC" w:rsidRPr="009E0E94">
        <w:t xml:space="preserve">, </w:t>
      </w:r>
      <w:r w:rsidR="00465FFC">
        <w:t>4(8), 4–8</w:t>
      </w:r>
      <w:r w:rsidR="00BC1336">
        <w:t>.</w:t>
      </w:r>
      <w:r w:rsidR="00465FFC">
        <w:t xml:space="preserve"> </w:t>
      </w:r>
      <w:r w:rsidR="00465FFC" w:rsidRPr="00B626D7">
        <w:rPr>
          <w:rFonts w:ascii="Arial" w:hAnsi="Arial" w:cs="Arial"/>
          <w:color w:val="222222"/>
          <w:shd w:val="clear" w:color="auto" w:fill="FFFFFF"/>
        </w:rPr>
        <w:t xml:space="preserve">[In </w:t>
      </w:r>
      <w:r w:rsidR="00465FFC">
        <w:rPr>
          <w:rFonts w:ascii="Arial" w:hAnsi="Arial" w:cs="Arial"/>
          <w:color w:val="222222"/>
          <w:shd w:val="clear" w:color="auto" w:fill="FFFFFF"/>
        </w:rPr>
        <w:t>Bahasa Indonesia]</w:t>
      </w:r>
      <w:r w:rsidR="009E0E94">
        <w:rPr>
          <w:rFonts w:ascii="Arial" w:hAnsi="Arial" w:cs="Arial"/>
          <w:color w:val="222222"/>
          <w:shd w:val="clear" w:color="auto" w:fill="FFFFFF"/>
        </w:rPr>
        <w:t>.</w:t>
      </w:r>
      <w:r w:rsidR="00465FFC">
        <w:t xml:space="preserve"> </w:t>
      </w:r>
      <w:hyperlink r:id="rId45" w:history="1">
        <w:r w:rsidR="00465FFC" w:rsidRPr="00F27BDB">
          <w:rPr>
            <w:rStyle w:val="Hyperlink"/>
          </w:rPr>
          <w:t>https://ibcraja4.org/assets/file/2015/Bulletin8August2015.pdf</w:t>
        </w:r>
      </w:hyperlink>
      <w:r w:rsidR="009E0E94">
        <w:t>.</w:t>
      </w:r>
      <w:r w:rsidR="00C64E94">
        <w:t xml:space="preserve"> </w:t>
      </w:r>
    </w:p>
    <w:p w14:paraId="7D2B6BA3" w14:textId="77777777" w:rsidR="007C514D" w:rsidRPr="000E74A1" w:rsidRDefault="00D02E8A" w:rsidP="007C514D">
      <w:pPr>
        <w:pBdr>
          <w:top w:val="nil"/>
          <w:left w:val="nil"/>
          <w:bottom w:val="nil"/>
          <w:right w:val="nil"/>
          <w:between w:val="nil"/>
        </w:pBdr>
        <w:ind w:left="567" w:hanging="567"/>
        <w:jc w:val="both"/>
        <w:rPr>
          <w:rFonts w:ascii="Arial" w:hAnsi="Arial" w:cs="Arial"/>
          <w:bCs/>
          <w:color w:val="000000"/>
          <w:lang w:val="sv-SE"/>
        </w:rPr>
      </w:pPr>
      <w:r w:rsidRPr="001F6062">
        <w:rPr>
          <w:rFonts w:ascii="Arial" w:hAnsi="Arial" w:cs="Arial"/>
          <w:bCs/>
          <w:color w:val="000000"/>
        </w:rPr>
        <w:t xml:space="preserve">Walpole, R. E. (1992). </w:t>
      </w:r>
      <w:r w:rsidR="00BC1336" w:rsidRPr="00465FFC">
        <w:rPr>
          <w:rStyle w:val="Emphasis"/>
          <w:i w:val="0"/>
          <w:iCs w:val="0"/>
        </w:rPr>
        <w:t>Introduction to statistics</w:t>
      </w:r>
      <w:r w:rsidR="00BC1336">
        <w:t xml:space="preserve"> (3rd ed.</w:t>
      </w:r>
      <w:r w:rsidRPr="001F6062">
        <w:rPr>
          <w:rFonts w:ascii="Arial" w:hAnsi="Arial" w:cs="Arial"/>
          <w:bCs/>
          <w:color w:val="000000"/>
        </w:rPr>
        <w:t xml:space="preserve">). </w:t>
      </w:r>
      <w:r w:rsidR="00BC1336">
        <w:rPr>
          <w:rFonts w:ascii="Arial" w:hAnsi="Arial" w:cs="Arial"/>
          <w:bCs/>
          <w:color w:val="000000"/>
          <w:lang w:val="sv-SE"/>
        </w:rPr>
        <w:t xml:space="preserve">Jakarta: </w:t>
      </w:r>
      <w:r w:rsidRPr="000E74A1">
        <w:rPr>
          <w:rFonts w:ascii="Arial" w:hAnsi="Arial" w:cs="Arial"/>
          <w:bCs/>
          <w:color w:val="000000"/>
          <w:lang w:val="sv-SE"/>
        </w:rPr>
        <w:t>PT Gramedia Pustaka Utama</w:t>
      </w:r>
      <w:r w:rsidR="00BC1336" w:rsidRPr="000E74A1">
        <w:rPr>
          <w:rFonts w:ascii="Arial" w:hAnsi="Arial" w:cs="Arial"/>
          <w:bCs/>
          <w:color w:val="000000"/>
          <w:lang w:val="sv-SE"/>
        </w:rPr>
        <w:t>.</w:t>
      </w:r>
    </w:p>
    <w:p w14:paraId="77C23E4E" w14:textId="136409AB" w:rsidR="007C514D" w:rsidRPr="007C514D" w:rsidRDefault="007C514D" w:rsidP="007C514D">
      <w:pPr>
        <w:pBdr>
          <w:top w:val="nil"/>
          <w:left w:val="nil"/>
          <w:bottom w:val="nil"/>
          <w:right w:val="nil"/>
          <w:between w:val="nil"/>
        </w:pBdr>
        <w:ind w:left="567" w:hanging="567"/>
        <w:jc w:val="both"/>
        <w:rPr>
          <w:rFonts w:ascii="Arial" w:hAnsi="Arial" w:cs="Arial"/>
          <w:bCs/>
          <w:color w:val="000000"/>
          <w:lang w:val="sv-SE"/>
        </w:rPr>
      </w:pPr>
      <w:r w:rsidRPr="007C514D">
        <w:rPr>
          <w:rFonts w:ascii="Arial" w:hAnsi="Arial" w:cs="Arial"/>
          <w:color w:val="222222"/>
          <w:shd w:val="clear" w:color="auto" w:fill="FFFFFF"/>
          <w:lang w:val="sv-SE"/>
        </w:rPr>
        <w:t xml:space="preserve">Yunita, L. H., Ramdhani, F., Wulanda, Y., Magwa, R. J., Gelis, E. R. E., &amp; Heltria, S. (2023). </w:t>
      </w:r>
      <w:r w:rsidRPr="009F5FB8">
        <w:rPr>
          <w:rFonts w:ascii="Arial" w:hAnsi="Arial" w:cs="Arial"/>
          <w:color w:val="222222"/>
          <w:shd w:val="clear" w:color="auto" w:fill="FFFFFF"/>
        </w:rPr>
        <w:t>Gonad maturity stages of snappers (</w:t>
      </w:r>
      <w:r w:rsidRPr="009E0E94">
        <w:rPr>
          <w:rFonts w:ascii="Arial" w:hAnsi="Arial" w:cs="Arial"/>
          <w:i/>
          <w:iCs/>
          <w:color w:val="222222"/>
          <w:shd w:val="clear" w:color="auto" w:fill="FFFFFF"/>
        </w:rPr>
        <w:t>Lutjanus vitta</w:t>
      </w:r>
      <w:r w:rsidRPr="009F5FB8">
        <w:rPr>
          <w:rFonts w:ascii="Arial" w:hAnsi="Arial" w:cs="Arial"/>
          <w:color w:val="222222"/>
          <w:shd w:val="clear" w:color="auto" w:fill="FFFFFF"/>
        </w:rPr>
        <w:t>) landed at TPI Tanjung Pasir, Tangerang</w:t>
      </w:r>
      <w:r w:rsidRPr="009F5FB8">
        <w:rPr>
          <w:rFonts w:ascii="Arial" w:hAnsi="Arial" w:cs="Arial"/>
          <w:b/>
          <w:caps/>
          <w:color w:val="222222"/>
          <w:shd w:val="clear" w:color="auto" w:fill="FFFFFF"/>
        </w:rPr>
        <w:t xml:space="preserve"> </w:t>
      </w:r>
      <w:r w:rsidRPr="009F5FB8">
        <w:rPr>
          <w:rFonts w:ascii="Arial" w:hAnsi="Arial" w:cs="Arial"/>
          <w:color w:val="222222"/>
          <w:shd w:val="clear" w:color="auto" w:fill="FFFFFF"/>
        </w:rPr>
        <w:t xml:space="preserve">Regency. </w:t>
      </w:r>
      <w:r w:rsidRPr="007C514D">
        <w:rPr>
          <w:rFonts w:ascii="Arial" w:hAnsi="Arial" w:cs="Arial"/>
          <w:i/>
          <w:iCs/>
          <w:color w:val="222222"/>
          <w:shd w:val="clear" w:color="auto" w:fill="FFFFFF"/>
          <w:lang w:val="sv-SE"/>
        </w:rPr>
        <w:t>Jurnal Teknologi Perikanan Dan Kelautan, 14</w:t>
      </w:r>
      <w:r w:rsidRPr="007C514D">
        <w:rPr>
          <w:rFonts w:ascii="Arial" w:hAnsi="Arial" w:cs="Arial"/>
          <w:color w:val="222222"/>
          <w:shd w:val="clear" w:color="auto" w:fill="FFFFFF"/>
          <w:lang w:val="sv-SE"/>
        </w:rPr>
        <w:t xml:space="preserve">(2), 213–219. </w:t>
      </w:r>
      <w:r w:rsidR="009E0E94">
        <w:rPr>
          <w:rFonts w:ascii="Arial" w:hAnsi="Arial" w:cs="Arial"/>
          <w:color w:val="222222"/>
          <w:shd w:val="clear" w:color="auto" w:fill="FFFFFF"/>
          <w:lang w:val="sv-SE"/>
        </w:rPr>
        <w:t xml:space="preserve">[In Bahasa Indonesia]. </w:t>
      </w:r>
      <w:hyperlink r:id="rId46" w:history="1">
        <w:r w:rsidR="009E0E94" w:rsidRPr="00464427">
          <w:rPr>
            <w:rStyle w:val="Hyperlink"/>
            <w:rFonts w:ascii="Arial" w:hAnsi="Arial" w:cs="Arial"/>
            <w:shd w:val="clear" w:color="auto" w:fill="FFFFFF"/>
            <w:lang w:val="sv-SE"/>
          </w:rPr>
          <w:t>https://doi.org/10.24319/jtpk.14.213-219</w:t>
        </w:r>
      </w:hyperlink>
      <w:r w:rsidR="009E0E94">
        <w:t xml:space="preserve">. </w:t>
      </w:r>
    </w:p>
    <w:p w14:paraId="56B62788" w14:textId="77777777" w:rsidR="000E74A1" w:rsidRDefault="000E74A1" w:rsidP="00441B6F">
      <w:pPr>
        <w:pStyle w:val="Appendix"/>
        <w:spacing w:after="0"/>
        <w:jc w:val="both"/>
        <w:rPr>
          <w:rFonts w:ascii="Arial" w:hAnsi="Arial" w:cs="Arial"/>
          <w:b w:val="0"/>
          <w:caps w:val="0"/>
          <w:color w:val="222222"/>
          <w:sz w:val="20"/>
          <w:shd w:val="clear" w:color="auto" w:fill="FFFFFF"/>
          <w:lang w:val="sv-SE"/>
        </w:rPr>
      </w:pPr>
    </w:p>
    <w:p w14:paraId="43311F0B" w14:textId="0F76D88B" w:rsidR="004D4277" w:rsidRPr="009F5FB8" w:rsidRDefault="004D4277" w:rsidP="00441B6F">
      <w:pPr>
        <w:pStyle w:val="Appendix"/>
        <w:spacing w:after="0"/>
        <w:jc w:val="both"/>
        <w:rPr>
          <w:rFonts w:ascii="Arial" w:hAnsi="Arial" w:cs="Arial"/>
          <w:b w:val="0"/>
          <w:lang w:val="sv-SE"/>
        </w:rPr>
        <w:sectPr w:rsidR="004D4277" w:rsidRPr="009F5FB8" w:rsidSect="00AB3153">
          <w:headerReference w:type="even" r:id="rId47"/>
          <w:headerReference w:type="default" r:id="rId48"/>
          <w:footerReference w:type="default" r:id="rId49"/>
          <w:headerReference w:type="first" r:id="rId50"/>
          <w:type w:val="continuous"/>
          <w:pgSz w:w="12240" w:h="15840"/>
          <w:pgMar w:top="1440" w:right="2016" w:bottom="2016" w:left="2016" w:header="720" w:footer="1123" w:gutter="0"/>
          <w:cols w:space="720"/>
          <w:docGrid w:linePitch="272"/>
        </w:sectPr>
      </w:pPr>
    </w:p>
    <w:p w14:paraId="4E80BE57" w14:textId="77777777" w:rsidR="00B01FCD" w:rsidRPr="009F5FB8" w:rsidRDefault="00B01FCD" w:rsidP="000E74A1">
      <w:pPr>
        <w:pStyle w:val="Appendix"/>
        <w:spacing w:after="0"/>
        <w:jc w:val="both"/>
        <w:rPr>
          <w:rFonts w:ascii="Arial" w:hAnsi="Arial" w:cs="Arial"/>
          <w:b w:val="0"/>
          <w:lang w:val="sv-SE"/>
        </w:rPr>
      </w:pPr>
    </w:p>
    <w:sectPr w:rsidR="00B01FCD" w:rsidRPr="009F5FB8" w:rsidSect="00AB315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MYLS" w:date="2026-02-16T23:16:00Z" w:initials="P">
    <w:p w14:paraId="38B9E49E" w14:textId="77777777" w:rsidR="008B1B14" w:rsidRDefault="008B1B14">
      <w:pPr>
        <w:pStyle w:val="CommentText"/>
        <w:rPr>
          <w:lang w:val="en-US"/>
        </w:rPr>
      </w:pPr>
      <w:r>
        <w:rPr>
          <w:rStyle w:val="CommentReference"/>
        </w:rPr>
        <w:annotationRef/>
      </w:r>
      <w:r>
        <w:rPr>
          <w:lang w:val="en-US"/>
        </w:rPr>
        <w:t>W</w:t>
      </w:r>
      <w:r w:rsidRPr="008B1B14">
        <w:rPr>
          <w:lang w:val="en-US"/>
        </w:rPr>
        <w:t>hether sampling was random, total catch sampling, or selected specimens. Also unclear if sampling occurred daily throughout 5 months or only during certain days.</w:t>
      </w:r>
    </w:p>
    <w:p w14:paraId="460C0C13" w14:textId="77777777" w:rsidR="00E81CB1" w:rsidRDefault="00E81CB1">
      <w:pPr>
        <w:pStyle w:val="CommentText"/>
        <w:rPr>
          <w:lang w:val="en-US"/>
        </w:rPr>
      </w:pPr>
    </w:p>
    <w:p w14:paraId="76C70A1B" w14:textId="0B497082" w:rsidR="00E81CB1" w:rsidRDefault="00E81CB1" w:rsidP="00E81CB1">
      <w:pPr>
        <w:pStyle w:val="CommentText"/>
      </w:pPr>
      <w:r>
        <w:t>Add one short phrase:</w:t>
      </w:r>
      <w:r>
        <w:t xml:space="preserve"> </w:t>
      </w:r>
      <w:r>
        <w:t>“Samples were collected opportunistically from landings” OR</w:t>
      </w:r>
      <w:r>
        <w:t xml:space="preserve"> </w:t>
      </w:r>
      <w:r>
        <w:t>“All landed octopus were measured daily” (if true).</w:t>
      </w:r>
    </w:p>
  </w:comment>
  <w:comment w:id="1" w:author="PMYLS" w:date="2026-02-16T23:14:00Z" w:initials="P">
    <w:p w14:paraId="48E1D1D4" w14:textId="77777777" w:rsidR="004C191C" w:rsidRDefault="004C191C">
      <w:pPr>
        <w:pStyle w:val="CommentText"/>
        <w:rPr>
          <w:lang w:val="en-US"/>
        </w:rPr>
      </w:pPr>
      <w:r>
        <w:rPr>
          <w:rStyle w:val="CommentReference"/>
        </w:rPr>
        <w:annotationRef/>
      </w:r>
      <w:r w:rsidRPr="004C191C">
        <w:rPr>
          <w:lang w:val="en-US"/>
        </w:rPr>
        <w:t>The abstract provides excessive descriptive statistics (dominant class, mean ± SD for both sexes, and multiple class ranges). This makes it difficult to read and reduces impact.</w:t>
      </w:r>
    </w:p>
    <w:p w14:paraId="7A8AD58E" w14:textId="77777777" w:rsidR="004C191C" w:rsidRDefault="004C191C">
      <w:pPr>
        <w:pStyle w:val="CommentText"/>
        <w:rPr>
          <w:lang w:val="en-US"/>
        </w:rPr>
      </w:pPr>
    </w:p>
    <w:p w14:paraId="7F947BD1" w14:textId="6BBDAFCE" w:rsidR="004C191C" w:rsidRDefault="004C191C">
      <w:pPr>
        <w:pStyle w:val="CommentText"/>
      </w:pPr>
      <w:r w:rsidRPr="004C191C">
        <w:rPr>
          <w:lang w:val="en-US"/>
        </w:rPr>
        <w:t>Summarize the main results only: total sample size, range, mean DML and weight, and growth pattern. Remove dominance class details.</w:t>
      </w:r>
    </w:p>
  </w:comment>
  <w:comment w:id="2" w:author="PMYLS" w:date="2026-02-16T23:19:00Z" w:initials="P">
    <w:p w14:paraId="1319C6B7" w14:textId="77777777" w:rsidR="00187880" w:rsidRDefault="00187880">
      <w:pPr>
        <w:pStyle w:val="CommentText"/>
        <w:rPr>
          <w:lang w:val="en-US"/>
        </w:rPr>
      </w:pPr>
      <w:r>
        <w:rPr>
          <w:rStyle w:val="CommentReference"/>
        </w:rPr>
        <w:annotationRef/>
      </w:r>
      <w:r w:rsidRPr="00187880">
        <w:rPr>
          <w:lang w:val="en-US"/>
        </w:rPr>
        <w:t>The statement is unclear and not directly supported. If you mean the majority were juveniles/sub-adults, it should be explicitly stated.</w:t>
      </w:r>
    </w:p>
    <w:p w14:paraId="6F8D0447" w14:textId="07ABADAF" w:rsidR="00187880" w:rsidRPr="00187880" w:rsidRDefault="00187880" w:rsidP="00187880">
      <w:pPr>
        <w:pStyle w:val="CommentText"/>
        <w:rPr>
          <w:lang w:val="en-US"/>
        </w:rPr>
      </w:pPr>
      <w:r w:rsidRPr="00187880">
        <w:rPr>
          <w:lang w:val="en-US"/>
        </w:rPr>
        <w:t>Replace with:</w:t>
      </w:r>
      <w:r>
        <w:rPr>
          <w:lang w:val="en-US"/>
        </w:rPr>
        <w:t xml:space="preserve"> </w:t>
      </w:r>
      <w:r w:rsidRPr="00187880">
        <w:rPr>
          <w:lang w:val="en-US"/>
        </w:rPr>
        <w:t>“The population was dominated by small to medium-sized individuals, indicating active growth and potential recruitment.”</w:t>
      </w:r>
    </w:p>
    <w:p w14:paraId="2BA3AD7E" w14:textId="71B13A84" w:rsidR="00187880" w:rsidRDefault="00187880">
      <w:pPr>
        <w:pStyle w:val="CommentText"/>
      </w:pPr>
    </w:p>
  </w:comment>
  <w:comment w:id="3" w:author="PMYLS" w:date="2026-02-16T23:25:00Z" w:initials="P">
    <w:p w14:paraId="3C1569AB" w14:textId="3EBB38FD" w:rsidR="009738C2" w:rsidRDefault="009738C2">
      <w:pPr>
        <w:pStyle w:val="CommentText"/>
      </w:pPr>
      <w:r>
        <w:rPr>
          <w:rStyle w:val="CommentReference"/>
        </w:rPr>
        <w:annotationRef/>
      </w:r>
      <w:r w:rsidRPr="009738C2">
        <w:t>The introduction begins with broad coral reef statistics and general biodiversity. It should quickly connect to octopus fishery importance, economic value, and local exploitation.</w:t>
      </w:r>
    </w:p>
  </w:comment>
  <w:comment w:id="4" w:author="PMYLS" w:date="2026-02-16T23:30:00Z" w:initials="P">
    <w:p w14:paraId="6CA6ED0C" w14:textId="702DB5C8" w:rsidR="008E5988" w:rsidRDefault="008E5988">
      <w:pPr>
        <w:pStyle w:val="CommentText"/>
      </w:pPr>
      <w:r>
        <w:rPr>
          <w:rStyle w:val="CommentReference"/>
        </w:rPr>
        <w:annotationRef/>
      </w:r>
      <w:r>
        <w:t>I</w:t>
      </w:r>
      <w:r w:rsidRPr="008E5988">
        <w:t>mportant mesopredators in reef ecosystems” (octopus are not always top predators).</w:t>
      </w:r>
    </w:p>
  </w:comment>
  <w:comment w:id="5" w:author="PMYLS" w:date="2026-02-16T23:27:00Z" w:initials="P">
    <w:p w14:paraId="5BE285C3" w14:textId="3C96B81D" w:rsidR="008570C5" w:rsidRDefault="008570C5">
      <w:pPr>
        <w:pStyle w:val="CommentText"/>
        <w:rPr>
          <w:lang w:val="en-US"/>
        </w:rPr>
      </w:pPr>
      <w:r>
        <w:rPr>
          <w:rStyle w:val="CommentReference"/>
        </w:rPr>
        <w:annotationRef/>
      </w:r>
      <w:r w:rsidRPr="008570C5">
        <w:rPr>
          <w:lang w:val="en-US"/>
        </w:rPr>
        <w:t>This is partially true but should be written carefully. Length</w:t>
      </w:r>
      <w:r w:rsidR="00FE7AE2">
        <w:rPr>
          <w:lang w:val="en-US"/>
        </w:rPr>
        <w:t>-</w:t>
      </w:r>
      <w:r w:rsidRPr="008570C5">
        <w:rPr>
          <w:lang w:val="en-US"/>
        </w:rPr>
        <w:t>weight provides condition factor estimation but does not directly measure “health”.</w:t>
      </w:r>
    </w:p>
    <w:p w14:paraId="5AE5827F" w14:textId="77777777" w:rsidR="00543DFB" w:rsidRDefault="00543DFB">
      <w:pPr>
        <w:pStyle w:val="CommentText"/>
        <w:rPr>
          <w:lang w:val="en-US"/>
        </w:rPr>
      </w:pPr>
    </w:p>
    <w:p w14:paraId="7556A433" w14:textId="05F9CACB" w:rsidR="008570C5" w:rsidRDefault="008570C5">
      <w:pPr>
        <w:pStyle w:val="CommentText"/>
      </w:pPr>
      <w:r w:rsidRPr="008570C5">
        <w:rPr>
          <w:lang w:val="en-US"/>
        </w:rPr>
        <w:t>Modify statement to:</w:t>
      </w:r>
      <w:r w:rsidRPr="008570C5">
        <w:rPr>
          <w:lang w:val="en-US"/>
        </w:rPr>
        <w:br/>
        <w:t>“Length</w:t>
      </w:r>
      <w:r w:rsidR="007C2FF9">
        <w:rPr>
          <w:lang w:val="en-US"/>
        </w:rPr>
        <w:t>-</w:t>
      </w:r>
      <w:r w:rsidRPr="008570C5">
        <w:rPr>
          <w:lang w:val="en-US"/>
        </w:rPr>
        <w:t>weight relationship is widely used to estimate condition factor and growth trends…”</w:t>
      </w:r>
    </w:p>
  </w:comment>
  <w:comment w:id="6" w:author="PMYLS" w:date="2026-02-16T23:26:00Z" w:initials="P">
    <w:p w14:paraId="6341C339" w14:textId="20A04DC8" w:rsidR="004151AB" w:rsidRDefault="004151AB">
      <w:pPr>
        <w:pStyle w:val="CommentText"/>
      </w:pPr>
      <w:r>
        <w:rPr>
          <w:rStyle w:val="CommentReference"/>
        </w:rPr>
        <w:annotationRef/>
      </w:r>
      <w:r w:rsidRPr="004151AB">
        <w:rPr>
          <w:lang w:val="en-US"/>
        </w:rPr>
        <w:t>Missing separator and formatting is incorrect.</w:t>
      </w:r>
    </w:p>
  </w:comment>
  <w:comment w:id="7" w:author="PMYLS" w:date="2026-02-16T23:23:00Z" w:initials="P">
    <w:p w14:paraId="4097A3FB" w14:textId="791192B4" w:rsidR="007A3120" w:rsidRDefault="007A3120">
      <w:pPr>
        <w:pStyle w:val="CommentText"/>
      </w:pPr>
      <w:r>
        <w:rPr>
          <w:rStyle w:val="CommentReference"/>
        </w:rPr>
        <w:annotationRef/>
      </w:r>
      <w:r w:rsidRPr="007A3120">
        <w:rPr>
          <w:lang w:val="en-US"/>
        </w:rPr>
        <w:t>The research gap is mentioned but still weakly developed. The authors state that data are limited, but they do not specify what exact information is missing (growth parameters? maturity size? exploitation pressure? stock condition?).</w:t>
      </w:r>
    </w:p>
  </w:comment>
  <w:comment w:id="8" w:author="PMYLS" w:date="2026-02-17T00:05:00Z" w:initials="P">
    <w:p w14:paraId="0E440628" w14:textId="77777777" w:rsidR="009F6EF6" w:rsidRDefault="009F6EF6" w:rsidP="009F6EF6">
      <w:pPr>
        <w:pStyle w:val="CommentText"/>
      </w:pPr>
      <w:r>
        <w:rPr>
          <w:rStyle w:val="CommentReference"/>
        </w:rPr>
        <w:annotationRef/>
      </w:r>
      <w:r>
        <w:t>Should specify:</w:t>
      </w:r>
    </w:p>
    <w:p w14:paraId="62ACE387" w14:textId="77777777" w:rsidR="009F6EF6" w:rsidRDefault="009F6EF6" w:rsidP="009F6EF6">
      <w:pPr>
        <w:pStyle w:val="CommentText"/>
      </w:pPr>
      <w:r>
        <w:t>whether octopus were caught by hand collection, spear fishing, traps, hook, gill net, or diving, fishing depth range, habitat zone (intertidal reef flat, subtidal reef slope)</w:t>
      </w:r>
    </w:p>
    <w:p w14:paraId="1DA19853" w14:textId="77777777" w:rsidR="009F6EF6" w:rsidRDefault="009F6EF6" w:rsidP="009F6EF6">
      <w:pPr>
        <w:pStyle w:val="CommentText"/>
      </w:pPr>
    </w:p>
    <w:p w14:paraId="57CC9506" w14:textId="41019F85" w:rsidR="009F6EF6" w:rsidRDefault="009F6EF6">
      <w:pPr>
        <w:pStyle w:val="CommentText"/>
      </w:pPr>
      <w:r>
        <w:t>Fishing gear can bias size structure (small/large individuals selective).</w:t>
      </w:r>
    </w:p>
  </w:comment>
  <w:comment w:id="9" w:author="PMYLS" w:date="2026-02-16T23:34:00Z" w:initials="P">
    <w:p w14:paraId="58754DF2" w14:textId="60DE2DF8" w:rsidR="00AE460E" w:rsidRDefault="00AE460E">
      <w:pPr>
        <w:pStyle w:val="CommentText"/>
      </w:pPr>
      <w:r>
        <w:rPr>
          <w:rStyle w:val="CommentReference"/>
        </w:rPr>
        <w:annotationRef/>
      </w:r>
      <w:r w:rsidRPr="00AE460E">
        <w:rPr>
          <w:lang w:val="en-US"/>
        </w:rPr>
        <w:t>Add coordinates</w:t>
      </w:r>
    </w:p>
  </w:comment>
  <w:comment w:id="10" w:author="PMYLS" w:date="2026-02-17T00:04:00Z" w:initials="P">
    <w:p w14:paraId="758DF661" w14:textId="70A9B708" w:rsidR="00F00C17" w:rsidRDefault="00F00C17">
      <w:pPr>
        <w:pStyle w:val="CommentText"/>
      </w:pPr>
      <w:r>
        <w:rPr>
          <w:rStyle w:val="CommentReference"/>
        </w:rPr>
        <w:annotationRef/>
      </w:r>
      <w:r w:rsidR="004B7DC7">
        <w:rPr>
          <w:lang w:val="en-US"/>
        </w:rPr>
        <w:t>T</w:t>
      </w:r>
      <w:r w:rsidRPr="00F00C17">
        <w:rPr>
          <w:lang w:val="en-US"/>
        </w:rPr>
        <w:t>otal number of samples</w:t>
      </w:r>
    </w:p>
  </w:comment>
  <w:comment w:id="11" w:author="PMYLS" w:date="2026-02-16T23:39:00Z" w:initials="P">
    <w:p w14:paraId="33AAC30A" w14:textId="4B3BFB10" w:rsidR="00ED470C" w:rsidRDefault="00ED470C" w:rsidP="00ED470C">
      <w:pPr>
        <w:pStyle w:val="CommentText"/>
      </w:pPr>
      <w:r>
        <w:rPr>
          <w:rStyle w:val="CommentReference"/>
        </w:rPr>
        <w:annotationRef/>
      </w:r>
      <w:r>
        <w:t>The authors state “all individuals were measured daily”, but it is unclear:</w:t>
      </w:r>
      <w:r>
        <w:t xml:space="preserve"> </w:t>
      </w:r>
      <w:r>
        <w:t>were all octopus caught from all fishers measured?</w:t>
      </w:r>
      <w:r>
        <w:t xml:space="preserve"> </w:t>
      </w:r>
      <w:r>
        <w:t>were landings complete or selective?</w:t>
      </w:r>
      <w:r>
        <w:t xml:space="preserve"> </w:t>
      </w:r>
      <w:r>
        <w:t>were some individuals excluded (damaged, incomplete)?</w:t>
      </w:r>
      <w:r>
        <w:t xml:space="preserve"> </w:t>
      </w:r>
      <w:r>
        <w:t>were samples pooled across two landing sites?</w:t>
      </w:r>
      <w:r>
        <w:t xml:space="preserve"> </w:t>
      </w:r>
      <w:r>
        <w:t>This affects reproducibility.</w:t>
      </w:r>
    </w:p>
    <w:p w14:paraId="3047C71F" w14:textId="571B8488" w:rsidR="00ED470C" w:rsidRDefault="00ED470C" w:rsidP="00ED470C">
      <w:pPr>
        <w:pStyle w:val="CommentText"/>
      </w:pPr>
    </w:p>
    <w:p w14:paraId="4CAEC5D4" w14:textId="77777777" w:rsidR="00ED470C" w:rsidRDefault="00ED470C" w:rsidP="00ED470C">
      <w:pPr>
        <w:pStyle w:val="CommentText"/>
      </w:pPr>
      <w:r>
        <w:t>Add explicit statement:</w:t>
      </w:r>
    </w:p>
    <w:p w14:paraId="113B04D8" w14:textId="14F98112" w:rsidR="00ED470C" w:rsidRDefault="00ED470C" w:rsidP="00ED470C">
      <w:pPr>
        <w:pStyle w:val="CommentText"/>
      </w:pPr>
      <w:r>
        <w:t>“Sampling followed total landing census method (all individuals landed at the two sites were measured).”</w:t>
      </w:r>
      <w:r>
        <w:t xml:space="preserve"> </w:t>
      </w:r>
      <w:r>
        <w:t>Also mention if sampling was done every day or only sampling days.</w:t>
      </w:r>
    </w:p>
  </w:comment>
  <w:comment w:id="12" w:author="PMYLS" w:date="2026-02-17T01:13:00Z" w:initials="P">
    <w:p w14:paraId="072DA631" w14:textId="11D45C35" w:rsidR="004A6DC2" w:rsidRDefault="004A6DC2">
      <w:pPr>
        <w:pStyle w:val="CommentText"/>
      </w:pPr>
      <w:r>
        <w:rPr>
          <w:rStyle w:val="CommentReference"/>
        </w:rPr>
        <w:annotationRef/>
      </w:r>
      <w:r>
        <w:rPr>
          <w:lang w:val="en-US"/>
        </w:rPr>
        <w:t>Add a plate/</w:t>
      </w:r>
      <w:r w:rsidRPr="004A6DC2">
        <w:rPr>
          <w:lang w:val="en-US"/>
        </w:rPr>
        <w:t>photos of sampling/measurement setup</w:t>
      </w:r>
    </w:p>
  </w:comment>
  <w:comment w:id="13" w:author="PMYLS" w:date="2026-02-16T23:59:00Z" w:initials="P">
    <w:p w14:paraId="6263641D" w14:textId="616EC39B" w:rsidR="001A52B7" w:rsidRDefault="001A52B7" w:rsidP="001A52B7">
      <w:pPr>
        <w:pStyle w:val="CommentText"/>
      </w:pPr>
      <w:r>
        <w:rPr>
          <w:rStyle w:val="CommentReference"/>
        </w:rPr>
        <w:annotationRef/>
      </w:r>
      <w:r>
        <w:t>were octopus measured immediately or after storage?</w:t>
      </w:r>
      <w:r>
        <w:t xml:space="preserve"> </w:t>
      </w:r>
      <w:r>
        <w:t>were samples fresh, iced, frozen?</w:t>
      </w:r>
      <w:r>
        <w:t xml:space="preserve"> </w:t>
      </w:r>
      <w:r>
        <w:t>how long after capture measurements were taken?</w:t>
      </w:r>
    </w:p>
    <w:p w14:paraId="1A04A58C" w14:textId="77777777" w:rsidR="001A52B7" w:rsidRDefault="001A52B7" w:rsidP="001A52B7">
      <w:pPr>
        <w:pStyle w:val="CommentText"/>
      </w:pPr>
    </w:p>
    <w:p w14:paraId="00D3DDF7" w14:textId="3F4FACBF" w:rsidR="001A52B7" w:rsidRDefault="001A52B7" w:rsidP="001A52B7">
      <w:pPr>
        <w:pStyle w:val="CommentText"/>
      </w:pPr>
      <w:r>
        <w:t>This is critical because octopus body weight changes rapidly due to water loss.</w:t>
      </w:r>
    </w:p>
  </w:comment>
  <w:comment w:id="14" w:author="PMYLS" w:date="2026-02-17T00:02:00Z" w:initials="P">
    <w:p w14:paraId="7B2B4F6D" w14:textId="4CE54198" w:rsidR="004C6DE5" w:rsidRDefault="004C6DE5" w:rsidP="004C6DE5">
      <w:pPr>
        <w:pStyle w:val="CommentText"/>
        <w:rPr>
          <w:lang w:val="en-US"/>
        </w:rPr>
      </w:pPr>
      <w:r>
        <w:rPr>
          <w:rStyle w:val="CommentReference"/>
        </w:rPr>
        <w:annotationRef/>
      </w:r>
      <w:r w:rsidRPr="004C6DE5">
        <w:rPr>
          <w:lang w:val="en-US"/>
        </w:rPr>
        <w:t>Even if the study focuses on DML-weight, the authors should justify why only DML was selected. Optionally, include:</w:t>
      </w:r>
      <w:r>
        <w:rPr>
          <w:lang w:val="en-US"/>
        </w:rPr>
        <w:t xml:space="preserve"> </w:t>
      </w:r>
      <w:r w:rsidRPr="004C6DE5">
        <w:rPr>
          <w:lang w:val="en-US"/>
        </w:rPr>
        <w:t>total length (TL)</w:t>
      </w:r>
      <w:r>
        <w:rPr>
          <w:lang w:val="en-US"/>
        </w:rPr>
        <w:t xml:space="preserve">, </w:t>
      </w:r>
      <w:r w:rsidRPr="004C6DE5">
        <w:rPr>
          <w:lang w:val="en-US"/>
        </w:rPr>
        <w:t>arm length (AL)</w:t>
      </w:r>
      <w:r>
        <w:rPr>
          <w:lang w:val="en-US"/>
        </w:rPr>
        <w:t xml:space="preserve">, </w:t>
      </w:r>
      <w:r w:rsidRPr="004C6DE5">
        <w:rPr>
          <w:lang w:val="en-US"/>
        </w:rPr>
        <w:t>head width</w:t>
      </w:r>
      <w:r>
        <w:rPr>
          <w:lang w:val="en-US"/>
        </w:rPr>
        <w:t xml:space="preserve">, </w:t>
      </w:r>
      <w:r w:rsidRPr="004C6DE5">
        <w:rPr>
          <w:lang w:val="en-US"/>
        </w:rPr>
        <w:t>sucker diameter</w:t>
      </w:r>
      <w:r>
        <w:rPr>
          <w:lang w:val="en-US"/>
        </w:rPr>
        <w:t>.</w:t>
      </w:r>
    </w:p>
    <w:p w14:paraId="5F906661" w14:textId="77777777" w:rsidR="004C6DE5" w:rsidRPr="004C6DE5" w:rsidRDefault="004C6DE5" w:rsidP="004C6DE5">
      <w:pPr>
        <w:pStyle w:val="CommentText"/>
        <w:rPr>
          <w:lang w:val="en-US"/>
        </w:rPr>
      </w:pPr>
    </w:p>
    <w:p w14:paraId="47930641" w14:textId="77777777" w:rsidR="004C6DE5" w:rsidRPr="004C6DE5" w:rsidRDefault="004C6DE5" w:rsidP="004C6DE5">
      <w:pPr>
        <w:pStyle w:val="CommentText"/>
        <w:rPr>
          <w:lang w:val="en-US"/>
        </w:rPr>
      </w:pPr>
      <w:r w:rsidRPr="004C6DE5">
        <w:rPr>
          <w:lang w:val="en-US"/>
        </w:rPr>
        <w:t>This would strengthen biological relevance and future comparisons.</w:t>
      </w:r>
    </w:p>
    <w:p w14:paraId="292452B0" w14:textId="6E63B69D" w:rsidR="004C6DE5" w:rsidRDefault="004C6DE5">
      <w:pPr>
        <w:pStyle w:val="CommentText"/>
      </w:pPr>
    </w:p>
  </w:comment>
  <w:comment w:id="15" w:author="PMYLS" w:date="2026-02-16T23:53:00Z" w:initials="P">
    <w:p w14:paraId="6CC2BE30" w14:textId="52BC14D9" w:rsidR="00771296" w:rsidRDefault="00771296" w:rsidP="00771296">
      <w:pPr>
        <w:pStyle w:val="CommentText"/>
      </w:pPr>
      <w:r>
        <w:rPr>
          <w:rStyle w:val="CommentReference"/>
        </w:rPr>
        <w:annotationRef/>
      </w:r>
      <w:r>
        <w:t>A</w:t>
      </w:r>
      <w:r>
        <w:t>dd a short paragraph describing key morphological characters used to confirm Octopus cyanea, for example:</w:t>
      </w:r>
      <w:r w:rsidR="00F613D7">
        <w:t xml:space="preserve"> </w:t>
      </w:r>
      <w:r>
        <w:t>mantle shape and coloration</w:t>
      </w:r>
      <w:r w:rsidR="00F613D7">
        <w:t xml:space="preserve">, </w:t>
      </w:r>
      <w:r>
        <w:t>blue ring/ocelli patterns</w:t>
      </w:r>
      <w:r w:rsidR="00F613D7">
        <w:t xml:space="preserve">, </w:t>
      </w:r>
      <w:r>
        <w:t>arm length proportions</w:t>
      </w:r>
      <w:r w:rsidR="00F613D7">
        <w:t xml:space="preserve">, </w:t>
      </w:r>
      <w:r>
        <w:t>sucker arrangement</w:t>
      </w:r>
      <w:r w:rsidR="00F613D7">
        <w:t xml:space="preserve">, </w:t>
      </w:r>
      <w:r>
        <w:t>web depth</w:t>
      </w:r>
      <w:r w:rsidR="00F613D7">
        <w:t xml:space="preserve">, </w:t>
      </w:r>
      <w:r>
        <w:t>hectocotylus arm details for male</w:t>
      </w:r>
      <w:r w:rsidR="00F613D7">
        <w:t>.</w:t>
      </w:r>
    </w:p>
    <w:p w14:paraId="06071A46" w14:textId="77777777" w:rsidR="00771296" w:rsidRDefault="00771296" w:rsidP="00771296">
      <w:pPr>
        <w:pStyle w:val="CommentText"/>
      </w:pPr>
    </w:p>
    <w:p w14:paraId="37633910" w14:textId="59879305" w:rsidR="00771296" w:rsidRDefault="00771296" w:rsidP="00771296">
      <w:pPr>
        <w:pStyle w:val="CommentText"/>
      </w:pPr>
      <w:r>
        <w:t>Also, mention the exact FAO guide reference (author/year).</w:t>
      </w:r>
    </w:p>
  </w:comment>
  <w:comment w:id="16" w:author="PMYLS" w:date="2026-02-16T23:44:00Z" w:initials="P">
    <w:p w14:paraId="60571BD8" w14:textId="1FDFA100" w:rsidR="00CD5F79" w:rsidRDefault="00CD5F79">
      <w:pPr>
        <w:pStyle w:val="CommentText"/>
      </w:pPr>
      <w:r>
        <w:rPr>
          <w:rStyle w:val="CommentReference"/>
        </w:rPr>
        <w:annotationRef/>
      </w:r>
      <w:r w:rsidRPr="00CD5F79">
        <w:rPr>
          <w:lang w:val="en-US"/>
        </w:rPr>
        <w:t>This is not the standard definition of dorsal mantle length. DML is usually measured from the posterior tip of mantle to the anterior edge of mantle (between eyes), not to the eye center.</w:t>
      </w:r>
      <w:r w:rsidR="007F1256">
        <w:rPr>
          <w:lang w:val="en-US"/>
        </w:rPr>
        <w:t xml:space="preserve"> Please recheck.</w:t>
      </w:r>
    </w:p>
  </w:comment>
  <w:comment w:id="17" w:author="PMYLS" w:date="2026-02-16T23:45:00Z" w:initials="P">
    <w:p w14:paraId="6330BB4C" w14:textId="336DBD07" w:rsidR="00457A2A" w:rsidRDefault="00457A2A">
      <w:pPr>
        <w:pStyle w:val="CommentText"/>
      </w:pPr>
      <w:r>
        <w:rPr>
          <w:rStyle w:val="CommentReference"/>
        </w:rPr>
        <w:annotationRef/>
      </w:r>
      <w:r w:rsidR="00AD6FB7">
        <w:rPr>
          <w:lang w:val="en-US"/>
        </w:rPr>
        <w:t xml:space="preserve">Provide </w:t>
      </w:r>
      <w:r w:rsidR="00AD6FB7" w:rsidRPr="00457A2A">
        <w:rPr>
          <w:lang w:val="en-US"/>
        </w:rPr>
        <w:t>precision</w:t>
      </w:r>
      <w:r w:rsidR="00AD6FB7">
        <w:rPr>
          <w:lang w:val="en-US"/>
        </w:rPr>
        <w:t xml:space="preserve"> </w:t>
      </w:r>
      <w:r w:rsidR="00DA5802">
        <w:rPr>
          <w:lang w:val="en-US"/>
        </w:rPr>
        <w:t xml:space="preserve">for </w:t>
      </w:r>
      <w:r w:rsidR="00DA5802" w:rsidRPr="00457A2A">
        <w:rPr>
          <w:lang w:val="en-US"/>
        </w:rPr>
        <w:t>“</w:t>
      </w:r>
      <w:r w:rsidRPr="00457A2A">
        <w:rPr>
          <w:lang w:val="en-US"/>
        </w:rPr>
        <w:t xml:space="preserve">digital scale” and “measuring board” </w:t>
      </w:r>
    </w:p>
  </w:comment>
  <w:comment w:id="18" w:author="PMYLS" w:date="2026-02-17T00:00:00Z" w:initials="P">
    <w:p w14:paraId="5FC28DB2" w14:textId="77777777" w:rsidR="00947924" w:rsidRDefault="00947924" w:rsidP="00947924">
      <w:pPr>
        <w:pStyle w:val="CommentText"/>
      </w:pPr>
      <w:r>
        <w:rPr>
          <w:rStyle w:val="CommentReference"/>
        </w:rPr>
        <w:annotationRef/>
      </w:r>
      <w:r>
        <w:t>Specify:</w:t>
      </w:r>
    </w:p>
    <w:p w14:paraId="313C7E91" w14:textId="65FF632F" w:rsidR="00947924" w:rsidRDefault="00947924" w:rsidP="00947924">
      <w:pPr>
        <w:pStyle w:val="CommentText"/>
      </w:pPr>
      <w:r>
        <w:t>was sex determined externally by hectocotylus only?</w:t>
      </w:r>
      <w:r>
        <w:t xml:space="preserve"> </w:t>
      </w:r>
      <w:r>
        <w:t>was dissection performed to confirm gonads?</w:t>
      </w:r>
      <w:r>
        <w:t xml:space="preserve"> </w:t>
      </w:r>
      <w:r>
        <w:t>how were immature individuals treated?</w:t>
      </w:r>
    </w:p>
  </w:comment>
  <w:comment w:id="19" w:author="PMYLS" w:date="2026-02-16T23:49:00Z" w:initials="P">
    <w:p w14:paraId="64835C5D" w14:textId="73BA2B7E" w:rsidR="00DA5802" w:rsidRDefault="00DA5802" w:rsidP="00DA5802">
      <w:pPr>
        <w:pStyle w:val="CommentText"/>
      </w:pPr>
      <w:r>
        <w:rPr>
          <w:rStyle w:val="CommentReference"/>
        </w:rPr>
        <w:annotationRef/>
      </w:r>
      <w:r>
        <w:t>which study is used?</w:t>
      </w:r>
      <w:r>
        <w:t xml:space="preserve"> </w:t>
      </w:r>
      <w:r>
        <w:t>what maturity size threshold?</w:t>
      </w:r>
      <w:r>
        <w:t xml:space="preserve"> </w:t>
      </w:r>
      <w:r>
        <w:t>what parameter (DML or weight)?</w:t>
      </w:r>
    </w:p>
  </w:comment>
  <w:comment w:id="20" w:author="PMYLS" w:date="2026-02-17T01:11:00Z" w:initials="P">
    <w:p w14:paraId="44467E28" w14:textId="77777777" w:rsidR="001617B0" w:rsidRDefault="001617B0" w:rsidP="001617B0">
      <w:pPr>
        <w:pStyle w:val="CommentText"/>
      </w:pPr>
      <w:r>
        <w:rPr>
          <w:rStyle w:val="CommentReference"/>
        </w:rPr>
        <w:annotationRef/>
      </w:r>
      <w:r>
        <w:t>Add a table showing:</w:t>
      </w:r>
    </w:p>
    <w:p w14:paraId="24D2595E" w14:textId="3158C50D" w:rsidR="001617B0" w:rsidRDefault="001617B0" w:rsidP="001617B0">
      <w:pPr>
        <w:pStyle w:val="CommentText"/>
      </w:pPr>
      <w:r>
        <w:t>Month (April, May, June, July, August)</w:t>
      </w:r>
      <w:r w:rsidR="00BB38F8">
        <w:t xml:space="preserve">, </w:t>
      </w:r>
      <w:r>
        <w:t>Number of males</w:t>
      </w:r>
      <w:r w:rsidR="00BB38F8">
        <w:t>,</w:t>
      </w:r>
    </w:p>
    <w:p w14:paraId="026A277E" w14:textId="4FAD61CA" w:rsidR="001617B0" w:rsidRDefault="001617B0" w:rsidP="001617B0">
      <w:pPr>
        <w:pStyle w:val="CommentText"/>
      </w:pPr>
      <w:r>
        <w:t>Number of females</w:t>
      </w:r>
      <w:r w:rsidR="00BB38F8">
        <w:t xml:space="preserve">, </w:t>
      </w:r>
      <w:r>
        <w:t>Total sample size per month</w:t>
      </w:r>
      <w:r w:rsidR="00BB38F8">
        <w:t xml:space="preserve">, </w:t>
      </w:r>
      <w:r>
        <w:t>Landing site (Cooperative vs Collector</w:t>
      </w:r>
    </w:p>
  </w:comment>
  <w:comment w:id="21" w:author="PMYLS" w:date="2026-02-17T00:45:00Z" w:initials="P">
    <w:p w14:paraId="53D346A3" w14:textId="7A1D9D3C" w:rsidR="0062241C" w:rsidRDefault="0062241C">
      <w:pPr>
        <w:pStyle w:val="CommentText"/>
      </w:pPr>
      <w:r>
        <w:rPr>
          <w:rStyle w:val="CommentReference"/>
        </w:rPr>
        <w:annotationRef/>
      </w:r>
      <w:r w:rsidRPr="0062241C">
        <w:rPr>
          <w:lang w:val="en-US"/>
        </w:rPr>
        <w:t>Capitalize properly and rephrase.</w:t>
      </w:r>
    </w:p>
  </w:comment>
  <w:comment w:id="22" w:author="PMYLS" w:date="2026-02-17T00:46:00Z" w:initials="P">
    <w:p w14:paraId="0E5B060D" w14:textId="4403D2D8" w:rsidR="000225B3" w:rsidRDefault="000225B3">
      <w:pPr>
        <w:pStyle w:val="CommentText"/>
      </w:pPr>
      <w:r>
        <w:rPr>
          <w:rStyle w:val="CommentReference"/>
        </w:rPr>
        <w:annotationRef/>
      </w:r>
      <w:r w:rsidRPr="000225B3">
        <w:t>Replace “unimodal distribution” with “showed a single dominant peak” unless tested statistically.</w:t>
      </w:r>
    </w:p>
  </w:comment>
  <w:comment w:id="23" w:author="PMYLS" w:date="2026-02-17T00:48:00Z" w:initials="P">
    <w:p w14:paraId="0D958866" w14:textId="77777777" w:rsidR="000132D7" w:rsidRPr="000132D7" w:rsidRDefault="000132D7" w:rsidP="000132D7">
      <w:pPr>
        <w:pStyle w:val="CommentText"/>
        <w:rPr>
          <w:lang w:val="en-US"/>
        </w:rPr>
      </w:pPr>
      <w:r>
        <w:rPr>
          <w:rStyle w:val="CommentReference"/>
        </w:rPr>
        <w:annotationRef/>
      </w:r>
      <w:r w:rsidRPr="000132D7">
        <w:rPr>
          <w:lang w:val="en-US"/>
        </w:rPr>
        <w:t>Using maturity size from another geographic location may not be valid without justification. Octopus maturity is highly variable spatially.</w:t>
      </w:r>
    </w:p>
    <w:p w14:paraId="3C9E5BD7" w14:textId="109DF773" w:rsidR="000132D7" w:rsidRPr="000132D7" w:rsidRDefault="000132D7" w:rsidP="000132D7">
      <w:pPr>
        <w:pStyle w:val="CommentText"/>
        <w:rPr>
          <w:lang w:val="en-US"/>
        </w:rPr>
      </w:pPr>
      <w:r w:rsidRPr="000132D7">
        <w:rPr>
          <w:lang w:val="en-US"/>
        </w:rPr>
        <w:t>Also, explain whether Omar et al. (2020) used the same measurement definition of DML.</w:t>
      </w:r>
    </w:p>
    <w:p w14:paraId="16778F6B" w14:textId="22361615" w:rsidR="000132D7" w:rsidRDefault="000132D7">
      <w:pPr>
        <w:pStyle w:val="CommentText"/>
      </w:pPr>
    </w:p>
  </w:comment>
  <w:comment w:id="24" w:author="PMYLS" w:date="2026-02-17T00:51:00Z" w:initials="P">
    <w:p w14:paraId="5D319A84" w14:textId="02A7EFF5" w:rsidR="00F04DCA" w:rsidRDefault="001354D1" w:rsidP="00F04DCA">
      <w:pPr>
        <w:pStyle w:val="CommentText"/>
      </w:pPr>
      <w:r>
        <w:rPr>
          <w:rStyle w:val="CommentReference"/>
        </w:rPr>
        <w:annotationRef/>
      </w:r>
      <w:r>
        <w:t xml:space="preserve">This seems inconsistent with the earlier statement that females dominate the sample. </w:t>
      </w:r>
      <w:r w:rsidR="00F04DCA">
        <w:t>In Section 3.1, the authors say:</w:t>
      </w:r>
      <w:r w:rsidR="00F04DCA">
        <w:t xml:space="preserve"> </w:t>
      </w:r>
      <w:r w:rsidR="00F04DCA">
        <w:t>Total octopus = 467</w:t>
      </w:r>
    </w:p>
    <w:p w14:paraId="5301AD44" w14:textId="3621D214" w:rsidR="00F04DCA" w:rsidRDefault="00F04DCA" w:rsidP="00F04DCA">
      <w:pPr>
        <w:pStyle w:val="CommentText"/>
      </w:pPr>
      <w:r>
        <w:t>Females = 277 (majority)</w:t>
      </w:r>
    </w:p>
    <w:p w14:paraId="0260F874" w14:textId="721643AA" w:rsidR="00F04DCA" w:rsidRDefault="00F04DCA" w:rsidP="00F04DCA">
      <w:pPr>
        <w:pStyle w:val="CommentText"/>
      </w:pPr>
      <w:r>
        <w:t>Males = 190</w:t>
      </w:r>
    </w:p>
    <w:p w14:paraId="5D281916" w14:textId="2E35BD90" w:rsidR="00F04DCA" w:rsidRDefault="00F04DCA" w:rsidP="00F04DCA">
      <w:pPr>
        <w:pStyle w:val="CommentText"/>
      </w:pPr>
      <w:r>
        <w:t>Maturity size (Lm) used:</w:t>
      </w:r>
    </w:p>
    <w:p w14:paraId="66573B82" w14:textId="09F3ACBB" w:rsidR="00F04DCA" w:rsidRDefault="00F04DCA" w:rsidP="00F04DCA">
      <w:pPr>
        <w:pStyle w:val="CommentText"/>
      </w:pPr>
      <w:r>
        <w:t>Males mature at ≥ 12.9 cm</w:t>
      </w:r>
    </w:p>
    <w:p w14:paraId="3B92C4E4" w14:textId="11C80AFF" w:rsidR="00F04DCA" w:rsidRDefault="00F04DCA" w:rsidP="00F04DCA">
      <w:pPr>
        <w:pStyle w:val="CommentText"/>
      </w:pPr>
      <w:r>
        <w:t>Females mature at ≥ 15.5 cm</w:t>
      </w:r>
    </w:p>
    <w:p w14:paraId="3FC8E84C" w14:textId="77777777" w:rsidR="00F04DCA" w:rsidRDefault="00F04DCA" w:rsidP="00F04DCA">
      <w:pPr>
        <w:pStyle w:val="CommentText"/>
      </w:pPr>
    </w:p>
    <w:p w14:paraId="4C35C192" w14:textId="77777777" w:rsidR="00F04DCA" w:rsidRDefault="00F04DCA" w:rsidP="00F04DCA">
      <w:pPr>
        <w:pStyle w:val="CommentText"/>
      </w:pPr>
      <w:r>
        <w:t xml:space="preserve">It is </w:t>
      </w:r>
      <w:r>
        <w:t>conclude</w:t>
      </w:r>
      <w:r>
        <w:t>d</w:t>
      </w:r>
      <w:r>
        <w:t xml:space="preserve"> only 74 individuals are mature:</w:t>
      </w:r>
    </w:p>
    <w:p w14:paraId="0B181984" w14:textId="7429CB53" w:rsidR="00F04DCA" w:rsidRDefault="00F04DCA" w:rsidP="00F04DCA">
      <w:pPr>
        <w:pStyle w:val="CommentText"/>
      </w:pPr>
      <w:r>
        <w:t>62 males</w:t>
      </w:r>
      <w:r>
        <w:t xml:space="preserve"> and </w:t>
      </w:r>
      <w:r>
        <w:t>12 females</w:t>
      </w:r>
      <w:r w:rsidR="001617B0">
        <w:t>.</w:t>
      </w:r>
    </w:p>
    <w:p w14:paraId="703ED59D" w14:textId="77777777" w:rsidR="00F04DCA" w:rsidRDefault="00F04DCA" w:rsidP="001354D1">
      <w:pPr>
        <w:pStyle w:val="CommentText"/>
      </w:pPr>
    </w:p>
    <w:p w14:paraId="166E00DC" w14:textId="36979513" w:rsidR="001354D1" w:rsidRDefault="001354D1" w:rsidP="001354D1">
      <w:pPr>
        <w:pStyle w:val="CommentText"/>
      </w:pPr>
      <w:r>
        <w:t>Why are only 12 females mature? This suggests either:</w:t>
      </w:r>
      <w:r>
        <w:t xml:space="preserve"> </w:t>
      </w:r>
      <w:r>
        <w:t>females were mostly juveniles, or</w:t>
      </w:r>
      <w:r>
        <w:t xml:space="preserve"> </w:t>
      </w:r>
      <w:r>
        <w:t>maturity threshold is not suitable.</w:t>
      </w:r>
    </w:p>
    <w:p w14:paraId="17199B35" w14:textId="66FA4C40" w:rsidR="001354D1" w:rsidRDefault="001354D1" w:rsidP="001354D1">
      <w:pPr>
        <w:pStyle w:val="CommentText"/>
      </w:pPr>
    </w:p>
    <w:p w14:paraId="5F81D00A" w14:textId="77777777" w:rsidR="001354D1" w:rsidRDefault="001354D1" w:rsidP="001354D1">
      <w:pPr>
        <w:pStyle w:val="CommentText"/>
      </w:pPr>
      <w:r>
        <w:t>Authors should explain why mature females are very low. Possibly due to fishing targeting females, or maturity threshold mismatch.</w:t>
      </w:r>
    </w:p>
    <w:p w14:paraId="160181DF" w14:textId="77777777" w:rsidR="00F04DCA" w:rsidRDefault="00F04DCA" w:rsidP="001354D1">
      <w:pPr>
        <w:pStyle w:val="CommentText"/>
      </w:pPr>
    </w:p>
    <w:p w14:paraId="763876A6" w14:textId="77777777" w:rsidR="00F04DCA" w:rsidRDefault="00F04DCA" w:rsidP="001354D1">
      <w:pPr>
        <w:pStyle w:val="CommentText"/>
      </w:pPr>
    </w:p>
    <w:p w14:paraId="26070B7F" w14:textId="4C640C28" w:rsidR="00F04DCA" w:rsidRDefault="00F04DCA" w:rsidP="001354D1">
      <w:pPr>
        <w:pStyle w:val="CommentText"/>
      </w:pPr>
    </w:p>
  </w:comment>
  <w:comment w:id="25" w:author="PMYLS" w:date="2026-02-17T00:52:00Z" w:initials="P">
    <w:p w14:paraId="2C383BC8" w14:textId="57E4342F" w:rsidR="00310BB1" w:rsidRDefault="00310BB1">
      <w:pPr>
        <w:pStyle w:val="CommentText"/>
      </w:pPr>
      <w:r>
        <w:rPr>
          <w:rStyle w:val="CommentReference"/>
        </w:rPr>
        <w:annotationRef/>
      </w:r>
      <w:r>
        <w:t>Full stop.</w:t>
      </w:r>
    </w:p>
  </w:comment>
  <w:comment w:id="26" w:author="PMYLS" w:date="2026-02-17T00:54:00Z" w:initials="P">
    <w:p w14:paraId="12A5EA5A" w14:textId="77777777" w:rsidR="00234A2B" w:rsidRDefault="00234A2B">
      <w:pPr>
        <w:pStyle w:val="CommentText"/>
        <w:rPr>
          <w:lang w:val="en-US"/>
        </w:rPr>
      </w:pPr>
      <w:r>
        <w:rPr>
          <w:rStyle w:val="CommentReference"/>
        </w:rPr>
        <w:annotationRef/>
      </w:r>
      <w:r w:rsidRPr="00234A2B">
        <w:rPr>
          <w:lang w:val="en-US"/>
        </w:rPr>
        <w:t>“Uniform patterns” is vague. Either show overlap statistically or describe distribution as “similar”.</w:t>
      </w:r>
    </w:p>
    <w:p w14:paraId="0D92B960" w14:textId="4CD66C78" w:rsidR="00234A2B" w:rsidRDefault="00234A2B">
      <w:pPr>
        <w:pStyle w:val="CommentText"/>
      </w:pPr>
      <w:r w:rsidRPr="00234A2B">
        <w:rPr>
          <w:lang w:val="en-US"/>
        </w:rPr>
        <w:t>Replace with “similar range and overlapping distribution”.</w:t>
      </w:r>
    </w:p>
  </w:comment>
  <w:comment w:id="27" w:author="PMYLS" w:date="2026-02-17T00:55:00Z" w:initials="P">
    <w:p w14:paraId="09B95332" w14:textId="77777777" w:rsidR="00DC65CA" w:rsidRPr="00DC65CA" w:rsidRDefault="00DC65CA" w:rsidP="00DC65CA">
      <w:pPr>
        <w:pStyle w:val="CommentText"/>
        <w:rPr>
          <w:lang w:val="en-US"/>
        </w:rPr>
      </w:pPr>
      <w:r>
        <w:rPr>
          <w:rStyle w:val="CommentReference"/>
        </w:rPr>
        <w:annotationRef/>
      </w:r>
      <w:r w:rsidRPr="00DC65CA">
        <w:rPr>
          <w:lang w:val="en-US"/>
        </w:rPr>
        <w:t>Condition factor is not calculated anywhere (K or relative condition factor Kn). Maximum weight alone does not represent condition.</w:t>
      </w:r>
    </w:p>
    <w:p w14:paraId="5A41E133" w14:textId="031703C4" w:rsidR="00DC65CA" w:rsidRPr="00DC65CA" w:rsidRDefault="00DC65CA" w:rsidP="00AD5DF3">
      <w:pPr>
        <w:pStyle w:val="CommentText"/>
        <w:rPr>
          <w:lang w:val="en-US"/>
        </w:rPr>
      </w:pPr>
      <w:r w:rsidRPr="00DC65CA">
        <w:rPr>
          <w:lang w:val="en-US"/>
        </w:rPr>
        <w:br/>
        <w:t>Either:calculate and report condition factor, OR</w:t>
      </w:r>
      <w:r w:rsidR="00AD5DF3">
        <w:rPr>
          <w:lang w:val="en-US"/>
        </w:rPr>
        <w:t xml:space="preserve"> </w:t>
      </w:r>
      <w:r w:rsidRPr="00DC65CA">
        <w:rPr>
          <w:lang w:val="en-US"/>
        </w:rPr>
        <w:t>remove the statement and rephrase cautiously.</w:t>
      </w:r>
    </w:p>
    <w:p w14:paraId="4E38F837" w14:textId="2C69579E" w:rsidR="00DC65CA" w:rsidRDefault="00DC65CA">
      <w:pPr>
        <w:pStyle w:val="CommentText"/>
      </w:pPr>
    </w:p>
  </w:comment>
  <w:comment w:id="28" w:author="PMYLS" w:date="2026-02-17T00:57:00Z" w:initials="P">
    <w:p w14:paraId="5041EEF6" w14:textId="77777777" w:rsidR="001A2AF6" w:rsidRDefault="001A2AF6" w:rsidP="001A2AF6">
      <w:pPr>
        <w:pStyle w:val="CommentText"/>
      </w:pPr>
      <w:r>
        <w:rPr>
          <w:rStyle w:val="CommentReference"/>
        </w:rPr>
        <w:annotationRef/>
      </w:r>
      <w:r>
        <w:t>These are not “gonadal weight thresholds”; these appear to be body weight at maturity, not gonad weight.</w:t>
      </w:r>
    </w:p>
    <w:p w14:paraId="0C794410" w14:textId="77777777" w:rsidR="001A2AF6" w:rsidRDefault="001A2AF6" w:rsidP="001A2AF6">
      <w:pPr>
        <w:pStyle w:val="CommentText"/>
      </w:pPr>
    </w:p>
    <w:p w14:paraId="2334D47C" w14:textId="01EE4FEB" w:rsidR="001A2AF6" w:rsidRDefault="001A2AF6" w:rsidP="001A2AF6">
      <w:pPr>
        <w:pStyle w:val="CommentText"/>
      </w:pPr>
      <w:r>
        <w:t>This is a major terminology error.</w:t>
      </w:r>
      <w:r w:rsidR="005A1583">
        <w:t xml:space="preserve"> Please recheck.</w:t>
      </w:r>
    </w:p>
    <w:p w14:paraId="6C77137A" w14:textId="782E0F81" w:rsidR="001A2AF6" w:rsidRDefault="001A2AF6" w:rsidP="001A2AF6">
      <w:pPr>
        <w:pStyle w:val="CommentText"/>
      </w:pPr>
    </w:p>
    <w:p w14:paraId="2F332183" w14:textId="77777777" w:rsidR="001A2AF6" w:rsidRDefault="001A2AF6" w:rsidP="001A2AF6">
      <w:pPr>
        <w:pStyle w:val="CommentText"/>
      </w:pPr>
      <w:r>
        <w:t>Replace with:</w:t>
      </w:r>
    </w:p>
    <w:p w14:paraId="62190233" w14:textId="57997189" w:rsidR="001A2AF6" w:rsidRDefault="001A2AF6" w:rsidP="001A2AF6">
      <w:pPr>
        <w:pStyle w:val="CommentText"/>
      </w:pPr>
      <w:r>
        <w:t>“body weight at first maturity (Wm)” or “maturity weight threshold”.</w:t>
      </w:r>
    </w:p>
  </w:comment>
  <w:comment w:id="29" w:author="PMYLS" w:date="2026-02-17T01:02:00Z" w:initials="P">
    <w:p w14:paraId="39AB95F4" w14:textId="11FD5E43" w:rsidR="00420E74" w:rsidRDefault="00420E74">
      <w:pPr>
        <w:pStyle w:val="CommentText"/>
      </w:pPr>
      <w:r>
        <w:rPr>
          <w:rStyle w:val="CommentReference"/>
        </w:rPr>
        <w:annotationRef/>
      </w:r>
      <w:r w:rsidRPr="00420E74">
        <w:rPr>
          <w:lang w:val="en-US"/>
        </w:rPr>
        <w:t>Figure 4 earlier refers to male body weight distribution. Regression is shown in Figure 6 and 7. So this is incorrect.</w:t>
      </w:r>
    </w:p>
  </w:comment>
  <w:comment w:id="30" w:author="PMYLS" w:date="2026-02-17T01:00:00Z" w:initials="P">
    <w:p w14:paraId="778C22AF" w14:textId="76249E7D" w:rsidR="005E2451" w:rsidRDefault="005E2451">
      <w:pPr>
        <w:pStyle w:val="CommentText"/>
      </w:pPr>
      <w:r>
        <w:rPr>
          <w:rStyle w:val="CommentReference"/>
        </w:rPr>
        <w:annotationRef/>
      </w:r>
      <w:r>
        <w:rPr>
          <w:lang w:val="en-US"/>
        </w:rPr>
        <w:t xml:space="preserve">Check </w:t>
      </w:r>
      <w:r w:rsidRPr="005E2451">
        <w:rPr>
          <w:lang w:val="en-US"/>
        </w:rPr>
        <w:t>Regression equation formatting</w:t>
      </w:r>
      <w:r>
        <w:rPr>
          <w:lang w:val="en-US"/>
        </w:rPr>
        <w:t>.</w:t>
      </w:r>
    </w:p>
  </w:comment>
  <w:comment w:id="31" w:author="PMYLS" w:date="2026-02-17T01:04:00Z" w:initials="P">
    <w:p w14:paraId="4E8FB33D" w14:textId="5FF48720" w:rsidR="00FC4BB3" w:rsidRDefault="00FC4BB3">
      <w:pPr>
        <w:pStyle w:val="CommentText"/>
      </w:pPr>
      <w:r>
        <w:rPr>
          <w:rStyle w:val="CommentReference"/>
        </w:rPr>
        <w:annotationRef/>
      </w:r>
      <w:r w:rsidRPr="00FC4BB3">
        <w:rPr>
          <w:lang w:val="en-US"/>
        </w:rPr>
        <w:t>Figure 7 should be female, not male.</w:t>
      </w:r>
    </w:p>
  </w:comment>
  <w:comment w:id="32" w:author="PMYLS" w:date="2026-02-17T01:06:00Z" w:initials="P">
    <w:p w14:paraId="70CD6026" w14:textId="16F9B708" w:rsidR="00C27B5D" w:rsidRDefault="00C27B5D">
      <w:pPr>
        <w:pStyle w:val="CommentText"/>
      </w:pPr>
      <w:r>
        <w:rPr>
          <w:rStyle w:val="CommentReference"/>
        </w:rPr>
        <w:annotationRef/>
      </w:r>
      <w:r w:rsidRPr="00C27B5D">
        <w:rPr>
          <w:lang w:val="en-US"/>
        </w:rPr>
        <w:t>Conclusion is too long and reads like discussion. It should be shortened to key findings.</w:t>
      </w:r>
    </w:p>
  </w:comment>
  <w:comment w:id="33" w:author="PMYLS" w:date="2026-02-17T01:05:00Z" w:initials="P">
    <w:p w14:paraId="793AA8A1" w14:textId="77777777" w:rsidR="00513D5D" w:rsidRDefault="00513D5D">
      <w:pPr>
        <w:pStyle w:val="CommentText"/>
        <w:rPr>
          <w:lang w:val="en-US"/>
        </w:rPr>
      </w:pPr>
      <w:r>
        <w:rPr>
          <w:rStyle w:val="CommentReference"/>
        </w:rPr>
        <w:annotationRef/>
      </w:r>
      <w:r w:rsidRPr="00513D5D">
        <w:rPr>
          <w:lang w:val="en-US"/>
        </w:rPr>
        <w:t>This is a strong claim without direct fishing effort data. The study only sampled landings and did not analyze CPUE, catch trends, or exploitation rates.</w:t>
      </w:r>
    </w:p>
    <w:p w14:paraId="4C71C2F7" w14:textId="77777777" w:rsidR="00513D5D" w:rsidRDefault="00513D5D">
      <w:pPr>
        <w:pStyle w:val="CommentText"/>
        <w:rPr>
          <w:lang w:val="en-US"/>
        </w:rPr>
      </w:pPr>
    </w:p>
    <w:p w14:paraId="6B8307CA" w14:textId="4120B3E6" w:rsidR="00513D5D" w:rsidRDefault="00513D5D">
      <w:pPr>
        <w:pStyle w:val="CommentText"/>
      </w:pPr>
      <w:r w:rsidRPr="00513D5D">
        <w:rPr>
          <w:lang w:val="en-US"/>
        </w:rPr>
        <w:t>Modify to:</w:t>
      </w:r>
      <w:r w:rsidRPr="00513D5D">
        <w:rPr>
          <w:lang w:val="en-US"/>
        </w:rPr>
        <w:br/>
        <w:t>“suggests potential risk of juvenile overharvesting” rather than “indicates intense exploitation pressure”.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70A1B" w15:done="0"/>
  <w15:commentEx w15:paraId="7F947BD1" w15:done="0"/>
  <w15:commentEx w15:paraId="2BA3AD7E" w15:done="0"/>
  <w15:commentEx w15:paraId="3C1569AB" w15:done="0"/>
  <w15:commentEx w15:paraId="6CA6ED0C" w15:done="0"/>
  <w15:commentEx w15:paraId="7556A433" w15:done="0"/>
  <w15:commentEx w15:paraId="6341C339" w15:done="0"/>
  <w15:commentEx w15:paraId="4097A3FB" w15:done="0"/>
  <w15:commentEx w15:paraId="57CC9506" w15:done="0"/>
  <w15:commentEx w15:paraId="58754DF2" w15:done="0"/>
  <w15:commentEx w15:paraId="758DF661" w15:done="0"/>
  <w15:commentEx w15:paraId="113B04D8" w15:done="0"/>
  <w15:commentEx w15:paraId="072DA631" w15:done="0"/>
  <w15:commentEx w15:paraId="00D3DDF7" w15:done="0"/>
  <w15:commentEx w15:paraId="292452B0" w15:done="0"/>
  <w15:commentEx w15:paraId="37633910" w15:done="0"/>
  <w15:commentEx w15:paraId="60571BD8" w15:done="0"/>
  <w15:commentEx w15:paraId="6330BB4C" w15:done="0"/>
  <w15:commentEx w15:paraId="313C7E91" w15:done="0"/>
  <w15:commentEx w15:paraId="64835C5D" w15:done="0"/>
  <w15:commentEx w15:paraId="026A277E" w15:done="0"/>
  <w15:commentEx w15:paraId="53D346A3" w15:done="0"/>
  <w15:commentEx w15:paraId="0E5B060D" w15:done="0"/>
  <w15:commentEx w15:paraId="16778F6B" w15:done="0"/>
  <w15:commentEx w15:paraId="26070B7F" w15:done="0"/>
  <w15:commentEx w15:paraId="2C383BC8" w15:done="0"/>
  <w15:commentEx w15:paraId="0D92B960" w15:done="0"/>
  <w15:commentEx w15:paraId="4E38F837" w15:done="0"/>
  <w15:commentEx w15:paraId="62190233" w15:done="0"/>
  <w15:commentEx w15:paraId="39AB95F4" w15:done="0"/>
  <w15:commentEx w15:paraId="778C22AF" w15:done="0"/>
  <w15:commentEx w15:paraId="4E8FB33D" w15:done="0"/>
  <w15:commentEx w15:paraId="70CD6026" w15:done="0"/>
  <w15:commentEx w15:paraId="6B8307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7D7F03" w16cex:dateUtc="2026-02-16T15:16:00Z"/>
  <w16cex:commentExtensible w16cex:durableId="61FD175B" w16cex:dateUtc="2026-02-16T15:14:00Z"/>
  <w16cex:commentExtensible w16cex:durableId="24CCDD3F" w16cex:dateUtc="2026-02-16T15:19:00Z"/>
  <w16cex:commentExtensible w16cex:durableId="762278D2" w16cex:dateUtc="2026-02-16T15:25:00Z"/>
  <w16cex:commentExtensible w16cex:durableId="276E6A93" w16cex:dateUtc="2026-02-16T15:30:00Z"/>
  <w16cex:commentExtensible w16cex:durableId="754D9FF8" w16cex:dateUtc="2026-02-16T15:27:00Z"/>
  <w16cex:commentExtensible w16cex:durableId="17C26040" w16cex:dateUtc="2026-02-16T15:26:00Z"/>
  <w16cex:commentExtensible w16cex:durableId="74D9ECD2" w16cex:dateUtc="2026-02-16T15:23:00Z"/>
  <w16cex:commentExtensible w16cex:durableId="0C790B6B" w16cex:dateUtc="2026-02-16T16:05:00Z"/>
  <w16cex:commentExtensible w16cex:durableId="105EDEBE" w16cex:dateUtc="2026-02-16T15:34:00Z"/>
  <w16cex:commentExtensible w16cex:durableId="0EEB1A7E" w16cex:dateUtc="2026-02-16T16:04:00Z"/>
  <w16cex:commentExtensible w16cex:durableId="3DA7DBCA" w16cex:dateUtc="2026-02-16T15:39:00Z"/>
  <w16cex:commentExtensible w16cex:durableId="54EF9741" w16cex:dateUtc="2026-02-16T17:13:00Z"/>
  <w16cex:commentExtensible w16cex:durableId="2046B905" w16cex:dateUtc="2026-02-16T15:59:00Z"/>
  <w16cex:commentExtensible w16cex:durableId="16AB4446" w16cex:dateUtc="2026-02-16T16:02:00Z"/>
  <w16cex:commentExtensible w16cex:durableId="23E5A69B" w16cex:dateUtc="2026-02-16T15:53:00Z"/>
  <w16cex:commentExtensible w16cex:durableId="3D27485B" w16cex:dateUtc="2026-02-16T15:44:00Z"/>
  <w16cex:commentExtensible w16cex:durableId="2C6C719E" w16cex:dateUtc="2026-02-16T15:45:00Z"/>
  <w16cex:commentExtensible w16cex:durableId="45F5E840" w16cex:dateUtc="2026-02-16T16:00:00Z"/>
  <w16cex:commentExtensible w16cex:durableId="0EFDC0E4" w16cex:dateUtc="2026-02-16T15:49:00Z"/>
  <w16cex:commentExtensible w16cex:durableId="42E3D479" w16cex:dateUtc="2026-02-16T17:11:00Z"/>
  <w16cex:commentExtensible w16cex:durableId="3CDCD289" w16cex:dateUtc="2026-02-16T16:45:00Z"/>
  <w16cex:commentExtensible w16cex:durableId="60CA2F9C" w16cex:dateUtc="2026-02-16T16:46:00Z"/>
  <w16cex:commentExtensible w16cex:durableId="381F28A2" w16cex:dateUtc="2026-02-16T16:48:00Z"/>
  <w16cex:commentExtensible w16cex:durableId="35D6ED5A" w16cex:dateUtc="2026-02-16T16:51:00Z"/>
  <w16cex:commentExtensible w16cex:durableId="48F0158A" w16cex:dateUtc="2026-02-16T16:52:00Z"/>
  <w16cex:commentExtensible w16cex:durableId="34748310" w16cex:dateUtc="2026-02-16T16:54:00Z"/>
  <w16cex:commentExtensible w16cex:durableId="362DA51F" w16cex:dateUtc="2026-02-16T16:55:00Z"/>
  <w16cex:commentExtensible w16cex:durableId="72E2638A" w16cex:dateUtc="2026-02-16T16:57:00Z"/>
  <w16cex:commentExtensible w16cex:durableId="68BC85E0" w16cex:dateUtc="2026-02-16T17:02:00Z"/>
  <w16cex:commentExtensible w16cex:durableId="4F556287" w16cex:dateUtc="2026-02-16T17:00:00Z"/>
  <w16cex:commentExtensible w16cex:durableId="4972F67F" w16cex:dateUtc="2026-02-16T17:04:00Z"/>
  <w16cex:commentExtensible w16cex:durableId="324F50C5" w16cex:dateUtc="2026-02-16T17:06:00Z"/>
  <w16cex:commentExtensible w16cex:durableId="0560EB9B" w16cex:dateUtc="2026-02-16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70A1B" w16cid:durableId="467D7F03"/>
  <w16cid:commentId w16cid:paraId="7F947BD1" w16cid:durableId="61FD175B"/>
  <w16cid:commentId w16cid:paraId="2BA3AD7E" w16cid:durableId="24CCDD3F"/>
  <w16cid:commentId w16cid:paraId="3C1569AB" w16cid:durableId="762278D2"/>
  <w16cid:commentId w16cid:paraId="6CA6ED0C" w16cid:durableId="276E6A93"/>
  <w16cid:commentId w16cid:paraId="7556A433" w16cid:durableId="754D9FF8"/>
  <w16cid:commentId w16cid:paraId="6341C339" w16cid:durableId="17C26040"/>
  <w16cid:commentId w16cid:paraId="4097A3FB" w16cid:durableId="74D9ECD2"/>
  <w16cid:commentId w16cid:paraId="57CC9506" w16cid:durableId="0C790B6B"/>
  <w16cid:commentId w16cid:paraId="58754DF2" w16cid:durableId="105EDEBE"/>
  <w16cid:commentId w16cid:paraId="758DF661" w16cid:durableId="0EEB1A7E"/>
  <w16cid:commentId w16cid:paraId="113B04D8" w16cid:durableId="3DA7DBCA"/>
  <w16cid:commentId w16cid:paraId="072DA631" w16cid:durableId="54EF9741"/>
  <w16cid:commentId w16cid:paraId="00D3DDF7" w16cid:durableId="2046B905"/>
  <w16cid:commentId w16cid:paraId="292452B0" w16cid:durableId="16AB4446"/>
  <w16cid:commentId w16cid:paraId="37633910" w16cid:durableId="23E5A69B"/>
  <w16cid:commentId w16cid:paraId="60571BD8" w16cid:durableId="3D27485B"/>
  <w16cid:commentId w16cid:paraId="6330BB4C" w16cid:durableId="2C6C719E"/>
  <w16cid:commentId w16cid:paraId="313C7E91" w16cid:durableId="45F5E840"/>
  <w16cid:commentId w16cid:paraId="64835C5D" w16cid:durableId="0EFDC0E4"/>
  <w16cid:commentId w16cid:paraId="026A277E" w16cid:durableId="42E3D479"/>
  <w16cid:commentId w16cid:paraId="53D346A3" w16cid:durableId="3CDCD289"/>
  <w16cid:commentId w16cid:paraId="0E5B060D" w16cid:durableId="60CA2F9C"/>
  <w16cid:commentId w16cid:paraId="16778F6B" w16cid:durableId="381F28A2"/>
  <w16cid:commentId w16cid:paraId="26070B7F" w16cid:durableId="35D6ED5A"/>
  <w16cid:commentId w16cid:paraId="2C383BC8" w16cid:durableId="48F0158A"/>
  <w16cid:commentId w16cid:paraId="0D92B960" w16cid:durableId="34748310"/>
  <w16cid:commentId w16cid:paraId="4E38F837" w16cid:durableId="362DA51F"/>
  <w16cid:commentId w16cid:paraId="62190233" w16cid:durableId="72E2638A"/>
  <w16cid:commentId w16cid:paraId="39AB95F4" w16cid:durableId="68BC85E0"/>
  <w16cid:commentId w16cid:paraId="778C22AF" w16cid:durableId="4F556287"/>
  <w16cid:commentId w16cid:paraId="4E8FB33D" w16cid:durableId="4972F67F"/>
  <w16cid:commentId w16cid:paraId="70CD6026" w16cid:durableId="324F50C5"/>
  <w16cid:commentId w16cid:paraId="6B8307CA" w16cid:durableId="0560EB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08D8" w14:textId="77777777" w:rsidR="00B749A9" w:rsidRDefault="00B749A9" w:rsidP="00C37E61">
      <w:r>
        <w:separator/>
      </w:r>
    </w:p>
  </w:endnote>
  <w:endnote w:type="continuationSeparator" w:id="0">
    <w:p w14:paraId="13267814" w14:textId="77777777" w:rsidR="00B749A9" w:rsidRDefault="00B749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910"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F762" w14:textId="03C679EC" w:rsidR="00C37E61" w:rsidRPr="008218EA" w:rsidRDefault="00C37E61" w:rsidP="00821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B80F" w14:textId="77777777" w:rsidR="009E048A" w:rsidRDefault="009E048A">
    <w:pPr>
      <w:pStyle w:val="Footer"/>
      <w:rPr>
        <w:rFonts w:ascii="Arial" w:hAnsi="Arial" w:cs="Arial"/>
        <w:sz w:val="16"/>
      </w:rPr>
    </w:pPr>
  </w:p>
  <w:p w14:paraId="68CDCF9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A0EFC1" w14:textId="77777777" w:rsidR="009E048A" w:rsidRDefault="009E048A">
    <w:pPr>
      <w:pStyle w:val="Footer"/>
      <w:rPr>
        <w:rFonts w:ascii="Arial" w:hAnsi="Arial" w:cs="Arial"/>
        <w:sz w:val="16"/>
      </w:rPr>
    </w:pPr>
  </w:p>
  <w:p w14:paraId="4B1A8D9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E91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EFA" w14:textId="77777777" w:rsidR="00B749A9" w:rsidRDefault="00B749A9" w:rsidP="00C37E61">
      <w:r>
        <w:separator/>
      </w:r>
    </w:p>
  </w:footnote>
  <w:footnote w:type="continuationSeparator" w:id="0">
    <w:p w14:paraId="12C47F01" w14:textId="77777777" w:rsidR="00B749A9" w:rsidRDefault="00B749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D948" w14:textId="1B47297A" w:rsidR="00BF121F" w:rsidRDefault="00000000">
    <w:pPr>
      <w:pStyle w:val="Header"/>
    </w:pPr>
    <w:r>
      <w:rPr>
        <w:noProof/>
      </w:rPr>
      <w:pict w14:anchorId="7C6A7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2F50" w14:textId="0D82F84E" w:rsidR="00BF121F" w:rsidRDefault="00000000">
    <w:pPr>
      <w:pStyle w:val="Header"/>
    </w:pPr>
    <w:r>
      <w:rPr>
        <w:noProof/>
      </w:rPr>
      <w:pict w14:anchorId="1D096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B808" w14:textId="5033F8F9" w:rsidR="00296529" w:rsidRPr="00296529" w:rsidRDefault="00000000" w:rsidP="00296529">
    <w:pPr>
      <w:ind w:left="2160"/>
      <w:jc w:val="center"/>
      <w:rPr>
        <w:rFonts w:ascii="Times New Roman" w:eastAsia="Calibri" w:hAnsi="Times New Roman"/>
        <w:i/>
        <w:sz w:val="18"/>
        <w:szCs w:val="22"/>
      </w:rPr>
    </w:pPr>
    <w:r>
      <w:rPr>
        <w:noProof/>
      </w:rPr>
      <w:pict w14:anchorId="530A6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DBCA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F252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51FA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F8F4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BBB41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F9B9F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5C8A" w14:textId="3F0BA07F" w:rsidR="00AB3153" w:rsidRDefault="00000000">
    <w:pPr>
      <w:pStyle w:val="Header"/>
    </w:pPr>
    <w:r>
      <w:rPr>
        <w:noProof/>
      </w:rPr>
      <w:pict w14:anchorId="78B12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6645" w14:textId="31DE5AC9" w:rsidR="00AB3153" w:rsidRDefault="00000000">
    <w:pPr>
      <w:pStyle w:val="Header"/>
    </w:pPr>
    <w:r>
      <w:rPr>
        <w:noProof/>
      </w:rPr>
      <w:pict w14:anchorId="372F6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D3A9" w14:textId="24489162" w:rsidR="00AB3153" w:rsidRDefault="00000000">
    <w:pPr>
      <w:pStyle w:val="Header"/>
    </w:pPr>
    <w:r>
      <w:rPr>
        <w:noProof/>
      </w:rPr>
      <w:pict w14:anchorId="16505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765CA"/>
    <w:multiLevelType w:val="multilevel"/>
    <w:tmpl w:val="8BA0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B47B89"/>
    <w:multiLevelType w:val="hybridMultilevel"/>
    <w:tmpl w:val="3782FC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945F75"/>
    <w:multiLevelType w:val="multilevel"/>
    <w:tmpl w:val="8C42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096813"/>
    <w:multiLevelType w:val="multilevel"/>
    <w:tmpl w:val="E200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450184"/>
    <w:multiLevelType w:val="multilevel"/>
    <w:tmpl w:val="C882D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558377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52398">
    <w:abstractNumId w:val="19"/>
  </w:num>
  <w:num w:numId="3" w16cid:durableId="1069688712">
    <w:abstractNumId w:val="28"/>
  </w:num>
  <w:num w:numId="4" w16cid:durableId="8873790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86656373">
    <w:abstractNumId w:val="9"/>
  </w:num>
  <w:num w:numId="6" w16cid:durableId="1703285316">
    <w:abstractNumId w:val="8"/>
  </w:num>
  <w:num w:numId="7" w16cid:durableId="1829863230">
    <w:abstractNumId w:val="2"/>
  </w:num>
  <w:num w:numId="8" w16cid:durableId="558445677">
    <w:abstractNumId w:val="15"/>
  </w:num>
  <w:num w:numId="9" w16cid:durableId="1024790775">
    <w:abstractNumId w:val="30"/>
  </w:num>
  <w:num w:numId="10" w16cid:durableId="1617982057">
    <w:abstractNumId w:val="3"/>
  </w:num>
  <w:num w:numId="11" w16cid:durableId="1255044786">
    <w:abstractNumId w:val="23"/>
  </w:num>
  <w:num w:numId="12" w16cid:durableId="412168206">
    <w:abstractNumId w:val="4"/>
  </w:num>
  <w:num w:numId="13" w16cid:durableId="955213656">
    <w:abstractNumId w:val="22"/>
  </w:num>
  <w:num w:numId="14" w16cid:durableId="1610425696">
    <w:abstractNumId w:val="10"/>
  </w:num>
  <w:num w:numId="15" w16cid:durableId="986016011">
    <w:abstractNumId w:val="26"/>
  </w:num>
  <w:num w:numId="16" w16cid:durableId="2002850085">
    <w:abstractNumId w:val="6"/>
  </w:num>
  <w:num w:numId="17" w16cid:durableId="1424187898">
    <w:abstractNumId w:val="27"/>
  </w:num>
  <w:num w:numId="18" w16cid:durableId="1866290187">
    <w:abstractNumId w:val="17"/>
  </w:num>
  <w:num w:numId="19" w16cid:durableId="1126237412">
    <w:abstractNumId w:val="33"/>
  </w:num>
  <w:num w:numId="20" w16cid:durableId="1561596054">
    <w:abstractNumId w:val="13"/>
  </w:num>
  <w:num w:numId="21" w16cid:durableId="2096634613">
    <w:abstractNumId w:val="11"/>
  </w:num>
  <w:num w:numId="22" w16cid:durableId="1950622910">
    <w:abstractNumId w:val="16"/>
  </w:num>
  <w:num w:numId="23" w16cid:durableId="2030523768">
    <w:abstractNumId w:val="24"/>
  </w:num>
  <w:num w:numId="24" w16cid:durableId="153450778">
    <w:abstractNumId w:val="31"/>
  </w:num>
  <w:num w:numId="25" w16cid:durableId="847327835">
    <w:abstractNumId w:val="5"/>
  </w:num>
  <w:num w:numId="26" w16cid:durableId="1588735019">
    <w:abstractNumId w:val="21"/>
  </w:num>
  <w:num w:numId="27" w16cid:durableId="66923185">
    <w:abstractNumId w:val="25"/>
  </w:num>
  <w:num w:numId="28" w16cid:durableId="56822297">
    <w:abstractNumId w:val="32"/>
  </w:num>
  <w:num w:numId="29" w16cid:durableId="1105081429">
    <w:abstractNumId w:val="29"/>
  </w:num>
  <w:num w:numId="30" w16cid:durableId="588008967">
    <w:abstractNumId w:val="12"/>
  </w:num>
  <w:num w:numId="31" w16cid:durableId="6685145">
    <w:abstractNumId w:val="7"/>
  </w:num>
  <w:num w:numId="32" w16cid:durableId="653339892">
    <w:abstractNumId w:val="18"/>
  </w:num>
  <w:num w:numId="33" w16cid:durableId="758983007">
    <w:abstractNumId w:val="14"/>
  </w:num>
  <w:num w:numId="34" w16cid:durableId="1427189911">
    <w:abstractNumId w:val="1"/>
  </w:num>
  <w:num w:numId="35" w16cid:durableId="93359103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MYLS">
    <w15:presenceInfo w15:providerId="None" w15:userId="PMY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EDD"/>
    <w:rsid w:val="000132D7"/>
    <w:rsid w:val="000151C5"/>
    <w:rsid w:val="000225B3"/>
    <w:rsid w:val="00022BB1"/>
    <w:rsid w:val="00023265"/>
    <w:rsid w:val="00023ADB"/>
    <w:rsid w:val="00024FBC"/>
    <w:rsid w:val="00030174"/>
    <w:rsid w:val="00033C9C"/>
    <w:rsid w:val="0004579C"/>
    <w:rsid w:val="00045E04"/>
    <w:rsid w:val="000552C3"/>
    <w:rsid w:val="0006683C"/>
    <w:rsid w:val="0007085A"/>
    <w:rsid w:val="00072423"/>
    <w:rsid w:val="0007254D"/>
    <w:rsid w:val="00082A59"/>
    <w:rsid w:val="000A47FA"/>
    <w:rsid w:val="000A65D3"/>
    <w:rsid w:val="000B1E33"/>
    <w:rsid w:val="000B4AEA"/>
    <w:rsid w:val="000B7BF1"/>
    <w:rsid w:val="000C3D25"/>
    <w:rsid w:val="000D689F"/>
    <w:rsid w:val="000E39B1"/>
    <w:rsid w:val="000E74A1"/>
    <w:rsid w:val="000E7B7B"/>
    <w:rsid w:val="000E7D62"/>
    <w:rsid w:val="000F3182"/>
    <w:rsid w:val="00102933"/>
    <w:rsid w:val="00103357"/>
    <w:rsid w:val="00103A8B"/>
    <w:rsid w:val="0011220D"/>
    <w:rsid w:val="001140E0"/>
    <w:rsid w:val="00121554"/>
    <w:rsid w:val="001215EB"/>
    <w:rsid w:val="00123C9F"/>
    <w:rsid w:val="00126190"/>
    <w:rsid w:val="00130AF5"/>
    <w:rsid w:val="00130F17"/>
    <w:rsid w:val="001320BF"/>
    <w:rsid w:val="00133771"/>
    <w:rsid w:val="001344F5"/>
    <w:rsid w:val="001354D1"/>
    <w:rsid w:val="001617B0"/>
    <w:rsid w:val="00163BC4"/>
    <w:rsid w:val="00180666"/>
    <w:rsid w:val="00183B0D"/>
    <w:rsid w:val="00187880"/>
    <w:rsid w:val="00191062"/>
    <w:rsid w:val="00192B72"/>
    <w:rsid w:val="001A20EB"/>
    <w:rsid w:val="001A29D8"/>
    <w:rsid w:val="001A2AF6"/>
    <w:rsid w:val="001A52B7"/>
    <w:rsid w:val="001A5CAA"/>
    <w:rsid w:val="001A7A65"/>
    <w:rsid w:val="001B0427"/>
    <w:rsid w:val="001D3A51"/>
    <w:rsid w:val="001E10D2"/>
    <w:rsid w:val="001E25B4"/>
    <w:rsid w:val="001E44FE"/>
    <w:rsid w:val="001F3270"/>
    <w:rsid w:val="001F6062"/>
    <w:rsid w:val="00200595"/>
    <w:rsid w:val="00200689"/>
    <w:rsid w:val="00204835"/>
    <w:rsid w:val="00212B7F"/>
    <w:rsid w:val="0021644E"/>
    <w:rsid w:val="00222B62"/>
    <w:rsid w:val="00227423"/>
    <w:rsid w:val="00231920"/>
    <w:rsid w:val="0023195C"/>
    <w:rsid w:val="00231E2A"/>
    <w:rsid w:val="00234A2B"/>
    <w:rsid w:val="0024282C"/>
    <w:rsid w:val="002460DC"/>
    <w:rsid w:val="00250985"/>
    <w:rsid w:val="00250BAB"/>
    <w:rsid w:val="00251AE1"/>
    <w:rsid w:val="002556F6"/>
    <w:rsid w:val="00256507"/>
    <w:rsid w:val="00283105"/>
    <w:rsid w:val="00284C4C"/>
    <w:rsid w:val="00287E68"/>
    <w:rsid w:val="00291A1A"/>
    <w:rsid w:val="00296529"/>
    <w:rsid w:val="00296C27"/>
    <w:rsid w:val="002B27FB"/>
    <w:rsid w:val="002B685A"/>
    <w:rsid w:val="002C57D2"/>
    <w:rsid w:val="002D0C77"/>
    <w:rsid w:val="002D2FFB"/>
    <w:rsid w:val="002D5034"/>
    <w:rsid w:val="002E0D56"/>
    <w:rsid w:val="002E447E"/>
    <w:rsid w:val="002F40CD"/>
    <w:rsid w:val="003102FE"/>
    <w:rsid w:val="00310BB1"/>
    <w:rsid w:val="003119B2"/>
    <w:rsid w:val="003123E7"/>
    <w:rsid w:val="00315186"/>
    <w:rsid w:val="0033343E"/>
    <w:rsid w:val="00340341"/>
    <w:rsid w:val="003512C2"/>
    <w:rsid w:val="00371FB6"/>
    <w:rsid w:val="00372A2C"/>
    <w:rsid w:val="003763C1"/>
    <w:rsid w:val="00376BBE"/>
    <w:rsid w:val="0038222C"/>
    <w:rsid w:val="00387725"/>
    <w:rsid w:val="0039224F"/>
    <w:rsid w:val="003A43A4"/>
    <w:rsid w:val="003A667B"/>
    <w:rsid w:val="003A7E18"/>
    <w:rsid w:val="003B1130"/>
    <w:rsid w:val="003C1DE0"/>
    <w:rsid w:val="003C4C86"/>
    <w:rsid w:val="003C6258"/>
    <w:rsid w:val="003D79EC"/>
    <w:rsid w:val="003E2904"/>
    <w:rsid w:val="003E2D5B"/>
    <w:rsid w:val="003F43B9"/>
    <w:rsid w:val="003F61C2"/>
    <w:rsid w:val="00401927"/>
    <w:rsid w:val="0041027F"/>
    <w:rsid w:val="00410623"/>
    <w:rsid w:val="00412475"/>
    <w:rsid w:val="004151AB"/>
    <w:rsid w:val="00420E74"/>
    <w:rsid w:val="00423789"/>
    <w:rsid w:val="00431C12"/>
    <w:rsid w:val="00440F43"/>
    <w:rsid w:val="00441B6F"/>
    <w:rsid w:val="00446221"/>
    <w:rsid w:val="004509F1"/>
    <w:rsid w:val="00450E62"/>
    <w:rsid w:val="004539DB"/>
    <w:rsid w:val="00457A2A"/>
    <w:rsid w:val="0046528E"/>
    <w:rsid w:val="004652D0"/>
    <w:rsid w:val="00465FFC"/>
    <w:rsid w:val="00471A80"/>
    <w:rsid w:val="00473CD9"/>
    <w:rsid w:val="004768AE"/>
    <w:rsid w:val="00480624"/>
    <w:rsid w:val="00483791"/>
    <w:rsid w:val="004867B4"/>
    <w:rsid w:val="00487BBF"/>
    <w:rsid w:val="004A6DC2"/>
    <w:rsid w:val="004B669B"/>
    <w:rsid w:val="004B7DC7"/>
    <w:rsid w:val="004C191C"/>
    <w:rsid w:val="004C4C1B"/>
    <w:rsid w:val="004C6DE5"/>
    <w:rsid w:val="004D19B3"/>
    <w:rsid w:val="004D305E"/>
    <w:rsid w:val="004D3BA5"/>
    <w:rsid w:val="004D4277"/>
    <w:rsid w:val="004E13DD"/>
    <w:rsid w:val="004E2056"/>
    <w:rsid w:val="004F112C"/>
    <w:rsid w:val="004F2ED9"/>
    <w:rsid w:val="004F7471"/>
    <w:rsid w:val="005003F9"/>
    <w:rsid w:val="00502516"/>
    <w:rsid w:val="005033E1"/>
    <w:rsid w:val="00503E51"/>
    <w:rsid w:val="00505F06"/>
    <w:rsid w:val="00506828"/>
    <w:rsid w:val="00513D5D"/>
    <w:rsid w:val="00513FF5"/>
    <w:rsid w:val="00521FC3"/>
    <w:rsid w:val="00524C32"/>
    <w:rsid w:val="0053056E"/>
    <w:rsid w:val="00532524"/>
    <w:rsid w:val="00540D2C"/>
    <w:rsid w:val="00543DFB"/>
    <w:rsid w:val="00544286"/>
    <w:rsid w:val="0055271B"/>
    <w:rsid w:val="00552E22"/>
    <w:rsid w:val="00554FDA"/>
    <w:rsid w:val="00560ABD"/>
    <w:rsid w:val="00560F80"/>
    <w:rsid w:val="00567265"/>
    <w:rsid w:val="00583075"/>
    <w:rsid w:val="005923A6"/>
    <w:rsid w:val="005940F3"/>
    <w:rsid w:val="005A1583"/>
    <w:rsid w:val="005C784C"/>
    <w:rsid w:val="005D17F6"/>
    <w:rsid w:val="005D7B89"/>
    <w:rsid w:val="005E2451"/>
    <w:rsid w:val="005E5539"/>
    <w:rsid w:val="005F6CC2"/>
    <w:rsid w:val="00602BF5"/>
    <w:rsid w:val="006054C0"/>
    <w:rsid w:val="0061114F"/>
    <w:rsid w:val="00614201"/>
    <w:rsid w:val="00617FDD"/>
    <w:rsid w:val="0062241C"/>
    <w:rsid w:val="006278FF"/>
    <w:rsid w:val="00633614"/>
    <w:rsid w:val="00633F68"/>
    <w:rsid w:val="00636EB2"/>
    <w:rsid w:val="006375B8"/>
    <w:rsid w:val="006530F6"/>
    <w:rsid w:val="0066510A"/>
    <w:rsid w:val="00673F9F"/>
    <w:rsid w:val="0067624C"/>
    <w:rsid w:val="00681BEA"/>
    <w:rsid w:val="00686953"/>
    <w:rsid w:val="00687DEA"/>
    <w:rsid w:val="00687E67"/>
    <w:rsid w:val="0069111D"/>
    <w:rsid w:val="006967F7"/>
    <w:rsid w:val="006A250C"/>
    <w:rsid w:val="006A38C5"/>
    <w:rsid w:val="006A7468"/>
    <w:rsid w:val="006B0152"/>
    <w:rsid w:val="006B21D3"/>
    <w:rsid w:val="006B57D0"/>
    <w:rsid w:val="006B5ABD"/>
    <w:rsid w:val="006C436A"/>
    <w:rsid w:val="006C48D1"/>
    <w:rsid w:val="006C5F1A"/>
    <w:rsid w:val="006D30FF"/>
    <w:rsid w:val="006D6940"/>
    <w:rsid w:val="006E1A86"/>
    <w:rsid w:val="006F11EC"/>
    <w:rsid w:val="006F27BF"/>
    <w:rsid w:val="006F7BE6"/>
    <w:rsid w:val="0070082C"/>
    <w:rsid w:val="00710D60"/>
    <w:rsid w:val="00717AF4"/>
    <w:rsid w:val="00723E5A"/>
    <w:rsid w:val="007248F6"/>
    <w:rsid w:val="007369E6"/>
    <w:rsid w:val="00746E59"/>
    <w:rsid w:val="00747E28"/>
    <w:rsid w:val="0075135D"/>
    <w:rsid w:val="00754C9A"/>
    <w:rsid w:val="0075599A"/>
    <w:rsid w:val="0075638F"/>
    <w:rsid w:val="007577CF"/>
    <w:rsid w:val="00761D52"/>
    <w:rsid w:val="00762F79"/>
    <w:rsid w:val="00771296"/>
    <w:rsid w:val="00771ECC"/>
    <w:rsid w:val="00776A83"/>
    <w:rsid w:val="0077749E"/>
    <w:rsid w:val="00777882"/>
    <w:rsid w:val="007801F1"/>
    <w:rsid w:val="00790ADA"/>
    <w:rsid w:val="007938B0"/>
    <w:rsid w:val="00796045"/>
    <w:rsid w:val="007A3120"/>
    <w:rsid w:val="007B4C33"/>
    <w:rsid w:val="007B79F2"/>
    <w:rsid w:val="007C2FF9"/>
    <w:rsid w:val="007C514D"/>
    <w:rsid w:val="007D2288"/>
    <w:rsid w:val="007E088F"/>
    <w:rsid w:val="007F1256"/>
    <w:rsid w:val="007F369D"/>
    <w:rsid w:val="007F45B3"/>
    <w:rsid w:val="007F72D4"/>
    <w:rsid w:val="007F7B32"/>
    <w:rsid w:val="007F7EFE"/>
    <w:rsid w:val="00803E65"/>
    <w:rsid w:val="00804BC2"/>
    <w:rsid w:val="008059D2"/>
    <w:rsid w:val="00812D77"/>
    <w:rsid w:val="008130EF"/>
    <w:rsid w:val="0081431A"/>
    <w:rsid w:val="008165FC"/>
    <w:rsid w:val="008218EA"/>
    <w:rsid w:val="0083216F"/>
    <w:rsid w:val="0083566A"/>
    <w:rsid w:val="00842D9C"/>
    <w:rsid w:val="0084450D"/>
    <w:rsid w:val="008570C5"/>
    <w:rsid w:val="00860000"/>
    <w:rsid w:val="00863BD3"/>
    <w:rsid w:val="008641ED"/>
    <w:rsid w:val="00866D66"/>
    <w:rsid w:val="008671C6"/>
    <w:rsid w:val="00870C64"/>
    <w:rsid w:val="00875803"/>
    <w:rsid w:val="008825A6"/>
    <w:rsid w:val="008857FC"/>
    <w:rsid w:val="00897AA3"/>
    <w:rsid w:val="008B1B14"/>
    <w:rsid w:val="008B1BAF"/>
    <w:rsid w:val="008B1F7B"/>
    <w:rsid w:val="008B459E"/>
    <w:rsid w:val="008C5027"/>
    <w:rsid w:val="008E13AE"/>
    <w:rsid w:val="008E1506"/>
    <w:rsid w:val="008E5988"/>
    <w:rsid w:val="008E710C"/>
    <w:rsid w:val="008F4E18"/>
    <w:rsid w:val="008F69D6"/>
    <w:rsid w:val="00902823"/>
    <w:rsid w:val="00915CA6"/>
    <w:rsid w:val="0091630F"/>
    <w:rsid w:val="00923932"/>
    <w:rsid w:val="00927834"/>
    <w:rsid w:val="00946B33"/>
    <w:rsid w:val="00947924"/>
    <w:rsid w:val="009500A6"/>
    <w:rsid w:val="00957C18"/>
    <w:rsid w:val="009659BA"/>
    <w:rsid w:val="00965EED"/>
    <w:rsid w:val="009738C2"/>
    <w:rsid w:val="00982DC6"/>
    <w:rsid w:val="00983040"/>
    <w:rsid w:val="00986C1A"/>
    <w:rsid w:val="009A020D"/>
    <w:rsid w:val="009A56B9"/>
    <w:rsid w:val="009B3D79"/>
    <w:rsid w:val="009B3FB9"/>
    <w:rsid w:val="009C2465"/>
    <w:rsid w:val="009D14EE"/>
    <w:rsid w:val="009D35A0"/>
    <w:rsid w:val="009D7EB7"/>
    <w:rsid w:val="009E048A"/>
    <w:rsid w:val="009E08E9"/>
    <w:rsid w:val="009E0E94"/>
    <w:rsid w:val="009E37BC"/>
    <w:rsid w:val="009E3DB9"/>
    <w:rsid w:val="009E6E35"/>
    <w:rsid w:val="009F0EDA"/>
    <w:rsid w:val="009F56B8"/>
    <w:rsid w:val="009F5FB8"/>
    <w:rsid w:val="009F6EF6"/>
    <w:rsid w:val="00A019BB"/>
    <w:rsid w:val="00A01DCC"/>
    <w:rsid w:val="00A03B96"/>
    <w:rsid w:val="00A05202"/>
    <w:rsid w:val="00A05B19"/>
    <w:rsid w:val="00A06F81"/>
    <w:rsid w:val="00A1134E"/>
    <w:rsid w:val="00A24E7E"/>
    <w:rsid w:val="00A2566F"/>
    <w:rsid w:val="00A258C3"/>
    <w:rsid w:val="00A26CF0"/>
    <w:rsid w:val="00A315B0"/>
    <w:rsid w:val="00A32EA4"/>
    <w:rsid w:val="00A347C0"/>
    <w:rsid w:val="00A44AAC"/>
    <w:rsid w:val="00A4558D"/>
    <w:rsid w:val="00A51431"/>
    <w:rsid w:val="00A539AD"/>
    <w:rsid w:val="00A628FD"/>
    <w:rsid w:val="00A92B58"/>
    <w:rsid w:val="00A94063"/>
    <w:rsid w:val="00A97366"/>
    <w:rsid w:val="00A97752"/>
    <w:rsid w:val="00AA6219"/>
    <w:rsid w:val="00AA74E0"/>
    <w:rsid w:val="00AB0F66"/>
    <w:rsid w:val="00AB3153"/>
    <w:rsid w:val="00AB703F"/>
    <w:rsid w:val="00AC2533"/>
    <w:rsid w:val="00AC6BB8"/>
    <w:rsid w:val="00AD5DF3"/>
    <w:rsid w:val="00AD5E81"/>
    <w:rsid w:val="00AD6FB7"/>
    <w:rsid w:val="00AE008F"/>
    <w:rsid w:val="00AE460E"/>
    <w:rsid w:val="00AE7607"/>
    <w:rsid w:val="00AE78A6"/>
    <w:rsid w:val="00AF04E9"/>
    <w:rsid w:val="00AF176F"/>
    <w:rsid w:val="00B0000A"/>
    <w:rsid w:val="00B01FCD"/>
    <w:rsid w:val="00B03938"/>
    <w:rsid w:val="00B1776C"/>
    <w:rsid w:val="00B20A56"/>
    <w:rsid w:val="00B236B1"/>
    <w:rsid w:val="00B271C8"/>
    <w:rsid w:val="00B32CA9"/>
    <w:rsid w:val="00B35ECE"/>
    <w:rsid w:val="00B37D04"/>
    <w:rsid w:val="00B52248"/>
    <w:rsid w:val="00B52583"/>
    <w:rsid w:val="00B52896"/>
    <w:rsid w:val="00B626D7"/>
    <w:rsid w:val="00B749A9"/>
    <w:rsid w:val="00B873A7"/>
    <w:rsid w:val="00B95236"/>
    <w:rsid w:val="00B96BD9"/>
    <w:rsid w:val="00BA1B01"/>
    <w:rsid w:val="00BA2641"/>
    <w:rsid w:val="00BA58B3"/>
    <w:rsid w:val="00BB37AA"/>
    <w:rsid w:val="00BB38F8"/>
    <w:rsid w:val="00BC1336"/>
    <w:rsid w:val="00BC53A0"/>
    <w:rsid w:val="00BD0B69"/>
    <w:rsid w:val="00BD47D9"/>
    <w:rsid w:val="00BD63DC"/>
    <w:rsid w:val="00BE62AD"/>
    <w:rsid w:val="00BF121F"/>
    <w:rsid w:val="00BF1F80"/>
    <w:rsid w:val="00C048B8"/>
    <w:rsid w:val="00C05713"/>
    <w:rsid w:val="00C166EF"/>
    <w:rsid w:val="00C17EB0"/>
    <w:rsid w:val="00C202B7"/>
    <w:rsid w:val="00C2085F"/>
    <w:rsid w:val="00C213E1"/>
    <w:rsid w:val="00C27B5D"/>
    <w:rsid w:val="00C27F5F"/>
    <w:rsid w:val="00C30A0F"/>
    <w:rsid w:val="00C31484"/>
    <w:rsid w:val="00C32CEE"/>
    <w:rsid w:val="00C37E61"/>
    <w:rsid w:val="00C43B49"/>
    <w:rsid w:val="00C57FF9"/>
    <w:rsid w:val="00C6271E"/>
    <w:rsid w:val="00C64E94"/>
    <w:rsid w:val="00C66242"/>
    <w:rsid w:val="00C70F1B"/>
    <w:rsid w:val="00C71A47"/>
    <w:rsid w:val="00C741C7"/>
    <w:rsid w:val="00C7464C"/>
    <w:rsid w:val="00C85588"/>
    <w:rsid w:val="00C87916"/>
    <w:rsid w:val="00C94837"/>
    <w:rsid w:val="00CB01A1"/>
    <w:rsid w:val="00CB20FA"/>
    <w:rsid w:val="00CB35A1"/>
    <w:rsid w:val="00CC6DD5"/>
    <w:rsid w:val="00CD3AB5"/>
    <w:rsid w:val="00CD5F79"/>
    <w:rsid w:val="00CD6755"/>
    <w:rsid w:val="00CD6856"/>
    <w:rsid w:val="00CE0089"/>
    <w:rsid w:val="00CE0A80"/>
    <w:rsid w:val="00CE5571"/>
    <w:rsid w:val="00CE793C"/>
    <w:rsid w:val="00CF193C"/>
    <w:rsid w:val="00D02E8A"/>
    <w:rsid w:val="00D03CFD"/>
    <w:rsid w:val="00D100DD"/>
    <w:rsid w:val="00D1452C"/>
    <w:rsid w:val="00D173F1"/>
    <w:rsid w:val="00D36572"/>
    <w:rsid w:val="00D4046E"/>
    <w:rsid w:val="00D56E1E"/>
    <w:rsid w:val="00D61BFC"/>
    <w:rsid w:val="00D727CC"/>
    <w:rsid w:val="00D74CB0"/>
    <w:rsid w:val="00D8295D"/>
    <w:rsid w:val="00DA5802"/>
    <w:rsid w:val="00DA7AA3"/>
    <w:rsid w:val="00DB182E"/>
    <w:rsid w:val="00DC2A65"/>
    <w:rsid w:val="00DC65CA"/>
    <w:rsid w:val="00DC71E1"/>
    <w:rsid w:val="00DD2ADA"/>
    <w:rsid w:val="00DD76A6"/>
    <w:rsid w:val="00DE1285"/>
    <w:rsid w:val="00DE15F0"/>
    <w:rsid w:val="00DE5663"/>
    <w:rsid w:val="00DE78AA"/>
    <w:rsid w:val="00DF0313"/>
    <w:rsid w:val="00E015F2"/>
    <w:rsid w:val="00E053D0"/>
    <w:rsid w:val="00E118ED"/>
    <w:rsid w:val="00E11CE9"/>
    <w:rsid w:val="00E15994"/>
    <w:rsid w:val="00E17150"/>
    <w:rsid w:val="00E3114E"/>
    <w:rsid w:val="00E31A70"/>
    <w:rsid w:val="00E31B76"/>
    <w:rsid w:val="00E35B02"/>
    <w:rsid w:val="00E449A0"/>
    <w:rsid w:val="00E46903"/>
    <w:rsid w:val="00E55906"/>
    <w:rsid w:val="00E648AB"/>
    <w:rsid w:val="00E66496"/>
    <w:rsid w:val="00E66B35"/>
    <w:rsid w:val="00E66E10"/>
    <w:rsid w:val="00E709D6"/>
    <w:rsid w:val="00E769F6"/>
    <w:rsid w:val="00E81CB1"/>
    <w:rsid w:val="00E8407C"/>
    <w:rsid w:val="00E84F3C"/>
    <w:rsid w:val="00EA012C"/>
    <w:rsid w:val="00EA018E"/>
    <w:rsid w:val="00EA47A2"/>
    <w:rsid w:val="00EA4990"/>
    <w:rsid w:val="00EC6A55"/>
    <w:rsid w:val="00ED0288"/>
    <w:rsid w:val="00ED2620"/>
    <w:rsid w:val="00ED470C"/>
    <w:rsid w:val="00ED4D99"/>
    <w:rsid w:val="00ED5AA8"/>
    <w:rsid w:val="00ED5F53"/>
    <w:rsid w:val="00EE52CB"/>
    <w:rsid w:val="00EF464C"/>
    <w:rsid w:val="00EF534A"/>
    <w:rsid w:val="00EF581D"/>
    <w:rsid w:val="00EF5B86"/>
    <w:rsid w:val="00EF5FAB"/>
    <w:rsid w:val="00EF64A2"/>
    <w:rsid w:val="00EF7FD8"/>
    <w:rsid w:val="00F00C17"/>
    <w:rsid w:val="00F04DCA"/>
    <w:rsid w:val="00F05BE4"/>
    <w:rsid w:val="00F06F59"/>
    <w:rsid w:val="00F1064C"/>
    <w:rsid w:val="00F11563"/>
    <w:rsid w:val="00F17988"/>
    <w:rsid w:val="00F2303B"/>
    <w:rsid w:val="00F23650"/>
    <w:rsid w:val="00F2379F"/>
    <w:rsid w:val="00F35D6D"/>
    <w:rsid w:val="00F45047"/>
    <w:rsid w:val="00F469F0"/>
    <w:rsid w:val="00F51D33"/>
    <w:rsid w:val="00F53273"/>
    <w:rsid w:val="00F5564F"/>
    <w:rsid w:val="00F56A80"/>
    <w:rsid w:val="00F613D7"/>
    <w:rsid w:val="00F63E3F"/>
    <w:rsid w:val="00F70708"/>
    <w:rsid w:val="00F755E4"/>
    <w:rsid w:val="00F767A6"/>
    <w:rsid w:val="00F77D02"/>
    <w:rsid w:val="00F80415"/>
    <w:rsid w:val="00F82020"/>
    <w:rsid w:val="00F84955"/>
    <w:rsid w:val="00F9208B"/>
    <w:rsid w:val="00FA5968"/>
    <w:rsid w:val="00FB3A86"/>
    <w:rsid w:val="00FC3F49"/>
    <w:rsid w:val="00FC4BB3"/>
    <w:rsid w:val="00FC4CE2"/>
    <w:rsid w:val="00FD36C8"/>
    <w:rsid w:val="00FE3C98"/>
    <w:rsid w:val="00FE7AE2"/>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420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E12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123E7"/>
    <w:pPr>
      <w:autoSpaceDE w:val="0"/>
      <w:autoSpaceDN w:val="0"/>
      <w:ind w:left="720"/>
      <w:contextualSpacing/>
    </w:pPr>
    <w:rPr>
      <w:rFonts w:ascii="Arial" w:eastAsia="Arial" w:hAnsi="Arial" w:cs="Arial"/>
      <w:sz w:val="23"/>
      <w:szCs w:val="24"/>
      <w:lang w:val="id-ID"/>
    </w:rPr>
  </w:style>
  <w:style w:type="character" w:customStyle="1" w:styleId="Heading2Char">
    <w:name w:val="Heading 2 Char"/>
    <w:basedOn w:val="DefaultParagraphFont"/>
    <w:link w:val="Heading2"/>
    <w:uiPriority w:val="9"/>
    <w:rsid w:val="00DE128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E13DD"/>
    <w:pPr>
      <w:spacing w:before="100" w:beforeAutospacing="1" w:after="100" w:afterAutospacing="1"/>
    </w:pPr>
    <w:rPr>
      <w:rFonts w:ascii="Times New Roman" w:hAnsi="Times New Roman"/>
      <w:sz w:val="24"/>
      <w:szCs w:val="24"/>
    </w:rPr>
  </w:style>
  <w:style w:type="character" w:customStyle="1" w:styleId="anchor-text">
    <w:name w:val="anchor-text"/>
    <w:basedOn w:val="DefaultParagraphFont"/>
    <w:rsid w:val="008165FC"/>
  </w:style>
  <w:style w:type="character" w:customStyle="1" w:styleId="text">
    <w:name w:val="text"/>
    <w:basedOn w:val="DefaultParagraphFont"/>
    <w:rsid w:val="004F2ED9"/>
  </w:style>
  <w:style w:type="character" w:styleId="Strong">
    <w:name w:val="Strong"/>
    <w:basedOn w:val="DefaultParagraphFont"/>
    <w:uiPriority w:val="22"/>
    <w:qFormat/>
    <w:rsid w:val="00C66242"/>
    <w:rPr>
      <w:b/>
      <w:bCs/>
    </w:rPr>
  </w:style>
  <w:style w:type="character" w:customStyle="1" w:styleId="katex-mathml">
    <w:name w:val="katex-mathml"/>
    <w:basedOn w:val="DefaultParagraphFont"/>
    <w:rsid w:val="0046528E"/>
  </w:style>
  <w:style w:type="character" w:customStyle="1" w:styleId="mord">
    <w:name w:val="mord"/>
    <w:basedOn w:val="DefaultParagraphFont"/>
    <w:rsid w:val="0046528E"/>
  </w:style>
  <w:style w:type="character" w:customStyle="1" w:styleId="mrel">
    <w:name w:val="mrel"/>
    <w:basedOn w:val="DefaultParagraphFont"/>
    <w:rsid w:val="0046528E"/>
  </w:style>
  <w:style w:type="paragraph" w:styleId="CommentSubject">
    <w:name w:val="annotation subject"/>
    <w:basedOn w:val="CommentText"/>
    <w:next w:val="CommentText"/>
    <w:link w:val="CommentSubjectChar"/>
    <w:semiHidden/>
    <w:unhideWhenUsed/>
    <w:rsid w:val="001F3270"/>
    <w:rPr>
      <w:rFonts w:ascii="Helvetica" w:hAnsi="Helvetica"/>
      <w:b/>
      <w:bCs/>
      <w:lang w:val="en-US" w:eastAsia="en-US"/>
    </w:rPr>
  </w:style>
  <w:style w:type="character" w:customStyle="1" w:styleId="CommentSubjectChar">
    <w:name w:val="Comment Subject Char"/>
    <w:basedOn w:val="CommentTextChar"/>
    <w:link w:val="CommentSubject"/>
    <w:semiHidden/>
    <w:rsid w:val="001F327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682381">
      <w:bodyDiv w:val="1"/>
      <w:marLeft w:val="0"/>
      <w:marRight w:val="0"/>
      <w:marTop w:val="0"/>
      <w:marBottom w:val="0"/>
      <w:divBdr>
        <w:top w:val="none" w:sz="0" w:space="0" w:color="auto"/>
        <w:left w:val="none" w:sz="0" w:space="0" w:color="auto"/>
        <w:bottom w:val="none" w:sz="0" w:space="0" w:color="auto"/>
        <w:right w:val="none" w:sz="0" w:space="0" w:color="auto"/>
      </w:divBdr>
    </w:div>
    <w:div w:id="9066321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280714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4193460">
      <w:bodyDiv w:val="1"/>
      <w:marLeft w:val="0"/>
      <w:marRight w:val="0"/>
      <w:marTop w:val="0"/>
      <w:marBottom w:val="0"/>
      <w:divBdr>
        <w:top w:val="none" w:sz="0" w:space="0" w:color="auto"/>
        <w:left w:val="none" w:sz="0" w:space="0" w:color="auto"/>
        <w:bottom w:val="none" w:sz="0" w:space="0" w:color="auto"/>
        <w:right w:val="none" w:sz="0" w:space="0" w:color="auto"/>
      </w:divBdr>
    </w:div>
    <w:div w:id="455105674">
      <w:bodyDiv w:val="1"/>
      <w:marLeft w:val="0"/>
      <w:marRight w:val="0"/>
      <w:marTop w:val="0"/>
      <w:marBottom w:val="0"/>
      <w:divBdr>
        <w:top w:val="none" w:sz="0" w:space="0" w:color="auto"/>
        <w:left w:val="none" w:sz="0" w:space="0" w:color="auto"/>
        <w:bottom w:val="none" w:sz="0" w:space="0" w:color="auto"/>
        <w:right w:val="none" w:sz="0" w:space="0" w:color="auto"/>
      </w:divBdr>
    </w:div>
    <w:div w:id="513687310">
      <w:bodyDiv w:val="1"/>
      <w:marLeft w:val="0"/>
      <w:marRight w:val="0"/>
      <w:marTop w:val="0"/>
      <w:marBottom w:val="0"/>
      <w:divBdr>
        <w:top w:val="none" w:sz="0" w:space="0" w:color="auto"/>
        <w:left w:val="none" w:sz="0" w:space="0" w:color="auto"/>
        <w:bottom w:val="none" w:sz="0" w:space="0" w:color="auto"/>
        <w:right w:val="none" w:sz="0" w:space="0" w:color="auto"/>
      </w:divBdr>
    </w:div>
    <w:div w:id="55928856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765172">
      <w:bodyDiv w:val="1"/>
      <w:marLeft w:val="0"/>
      <w:marRight w:val="0"/>
      <w:marTop w:val="0"/>
      <w:marBottom w:val="0"/>
      <w:divBdr>
        <w:top w:val="none" w:sz="0" w:space="0" w:color="auto"/>
        <w:left w:val="none" w:sz="0" w:space="0" w:color="auto"/>
        <w:bottom w:val="none" w:sz="0" w:space="0" w:color="auto"/>
        <w:right w:val="none" w:sz="0" w:space="0" w:color="auto"/>
      </w:divBdr>
    </w:div>
    <w:div w:id="642002522">
      <w:bodyDiv w:val="1"/>
      <w:marLeft w:val="0"/>
      <w:marRight w:val="0"/>
      <w:marTop w:val="0"/>
      <w:marBottom w:val="0"/>
      <w:divBdr>
        <w:top w:val="none" w:sz="0" w:space="0" w:color="auto"/>
        <w:left w:val="none" w:sz="0" w:space="0" w:color="auto"/>
        <w:bottom w:val="none" w:sz="0" w:space="0" w:color="auto"/>
        <w:right w:val="none" w:sz="0" w:space="0" w:color="auto"/>
      </w:divBdr>
    </w:div>
    <w:div w:id="652484620">
      <w:bodyDiv w:val="1"/>
      <w:marLeft w:val="0"/>
      <w:marRight w:val="0"/>
      <w:marTop w:val="0"/>
      <w:marBottom w:val="0"/>
      <w:divBdr>
        <w:top w:val="none" w:sz="0" w:space="0" w:color="auto"/>
        <w:left w:val="none" w:sz="0" w:space="0" w:color="auto"/>
        <w:bottom w:val="none" w:sz="0" w:space="0" w:color="auto"/>
        <w:right w:val="none" w:sz="0" w:space="0" w:color="auto"/>
      </w:divBdr>
    </w:div>
    <w:div w:id="761798566">
      <w:bodyDiv w:val="1"/>
      <w:marLeft w:val="0"/>
      <w:marRight w:val="0"/>
      <w:marTop w:val="0"/>
      <w:marBottom w:val="0"/>
      <w:divBdr>
        <w:top w:val="none" w:sz="0" w:space="0" w:color="auto"/>
        <w:left w:val="none" w:sz="0" w:space="0" w:color="auto"/>
        <w:bottom w:val="none" w:sz="0" w:space="0" w:color="auto"/>
        <w:right w:val="none" w:sz="0" w:space="0" w:color="auto"/>
      </w:divBdr>
    </w:div>
    <w:div w:id="765536659">
      <w:bodyDiv w:val="1"/>
      <w:marLeft w:val="0"/>
      <w:marRight w:val="0"/>
      <w:marTop w:val="0"/>
      <w:marBottom w:val="0"/>
      <w:divBdr>
        <w:top w:val="none" w:sz="0" w:space="0" w:color="auto"/>
        <w:left w:val="none" w:sz="0" w:space="0" w:color="auto"/>
        <w:bottom w:val="none" w:sz="0" w:space="0" w:color="auto"/>
        <w:right w:val="none" w:sz="0" w:space="0" w:color="auto"/>
      </w:divBdr>
    </w:div>
    <w:div w:id="814419629">
      <w:bodyDiv w:val="1"/>
      <w:marLeft w:val="0"/>
      <w:marRight w:val="0"/>
      <w:marTop w:val="0"/>
      <w:marBottom w:val="0"/>
      <w:divBdr>
        <w:top w:val="none" w:sz="0" w:space="0" w:color="auto"/>
        <w:left w:val="none" w:sz="0" w:space="0" w:color="auto"/>
        <w:bottom w:val="none" w:sz="0" w:space="0" w:color="auto"/>
        <w:right w:val="none" w:sz="0" w:space="0" w:color="auto"/>
      </w:divBdr>
    </w:div>
    <w:div w:id="838883212">
      <w:bodyDiv w:val="1"/>
      <w:marLeft w:val="0"/>
      <w:marRight w:val="0"/>
      <w:marTop w:val="0"/>
      <w:marBottom w:val="0"/>
      <w:divBdr>
        <w:top w:val="none" w:sz="0" w:space="0" w:color="auto"/>
        <w:left w:val="none" w:sz="0" w:space="0" w:color="auto"/>
        <w:bottom w:val="none" w:sz="0" w:space="0" w:color="auto"/>
        <w:right w:val="none" w:sz="0" w:space="0" w:color="auto"/>
      </w:divBdr>
    </w:div>
    <w:div w:id="887255484">
      <w:bodyDiv w:val="1"/>
      <w:marLeft w:val="0"/>
      <w:marRight w:val="0"/>
      <w:marTop w:val="0"/>
      <w:marBottom w:val="0"/>
      <w:divBdr>
        <w:top w:val="none" w:sz="0" w:space="0" w:color="auto"/>
        <w:left w:val="none" w:sz="0" w:space="0" w:color="auto"/>
        <w:bottom w:val="none" w:sz="0" w:space="0" w:color="auto"/>
        <w:right w:val="none" w:sz="0" w:space="0" w:color="auto"/>
      </w:divBdr>
    </w:div>
    <w:div w:id="894968433">
      <w:bodyDiv w:val="1"/>
      <w:marLeft w:val="0"/>
      <w:marRight w:val="0"/>
      <w:marTop w:val="0"/>
      <w:marBottom w:val="0"/>
      <w:divBdr>
        <w:top w:val="none" w:sz="0" w:space="0" w:color="auto"/>
        <w:left w:val="none" w:sz="0" w:space="0" w:color="auto"/>
        <w:bottom w:val="none" w:sz="0" w:space="0" w:color="auto"/>
        <w:right w:val="none" w:sz="0" w:space="0" w:color="auto"/>
      </w:divBdr>
    </w:div>
    <w:div w:id="907613017">
      <w:bodyDiv w:val="1"/>
      <w:marLeft w:val="0"/>
      <w:marRight w:val="0"/>
      <w:marTop w:val="0"/>
      <w:marBottom w:val="0"/>
      <w:divBdr>
        <w:top w:val="none" w:sz="0" w:space="0" w:color="auto"/>
        <w:left w:val="none" w:sz="0" w:space="0" w:color="auto"/>
        <w:bottom w:val="none" w:sz="0" w:space="0" w:color="auto"/>
        <w:right w:val="none" w:sz="0" w:space="0" w:color="auto"/>
      </w:divBdr>
    </w:div>
    <w:div w:id="92657449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326175">
      <w:bodyDiv w:val="1"/>
      <w:marLeft w:val="0"/>
      <w:marRight w:val="0"/>
      <w:marTop w:val="0"/>
      <w:marBottom w:val="0"/>
      <w:divBdr>
        <w:top w:val="none" w:sz="0" w:space="0" w:color="auto"/>
        <w:left w:val="none" w:sz="0" w:space="0" w:color="auto"/>
        <w:bottom w:val="none" w:sz="0" w:space="0" w:color="auto"/>
        <w:right w:val="none" w:sz="0" w:space="0" w:color="auto"/>
      </w:divBdr>
    </w:div>
    <w:div w:id="105272703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8527435">
      <w:bodyDiv w:val="1"/>
      <w:marLeft w:val="0"/>
      <w:marRight w:val="0"/>
      <w:marTop w:val="0"/>
      <w:marBottom w:val="0"/>
      <w:divBdr>
        <w:top w:val="none" w:sz="0" w:space="0" w:color="auto"/>
        <w:left w:val="none" w:sz="0" w:space="0" w:color="auto"/>
        <w:bottom w:val="none" w:sz="0" w:space="0" w:color="auto"/>
        <w:right w:val="none" w:sz="0" w:space="0" w:color="auto"/>
      </w:divBdr>
    </w:div>
    <w:div w:id="1234505507">
      <w:bodyDiv w:val="1"/>
      <w:marLeft w:val="0"/>
      <w:marRight w:val="0"/>
      <w:marTop w:val="0"/>
      <w:marBottom w:val="0"/>
      <w:divBdr>
        <w:top w:val="none" w:sz="0" w:space="0" w:color="auto"/>
        <w:left w:val="none" w:sz="0" w:space="0" w:color="auto"/>
        <w:bottom w:val="none" w:sz="0" w:space="0" w:color="auto"/>
        <w:right w:val="none" w:sz="0" w:space="0" w:color="auto"/>
      </w:divBdr>
    </w:div>
    <w:div w:id="1239829550">
      <w:bodyDiv w:val="1"/>
      <w:marLeft w:val="0"/>
      <w:marRight w:val="0"/>
      <w:marTop w:val="0"/>
      <w:marBottom w:val="0"/>
      <w:divBdr>
        <w:top w:val="none" w:sz="0" w:space="0" w:color="auto"/>
        <w:left w:val="none" w:sz="0" w:space="0" w:color="auto"/>
        <w:bottom w:val="none" w:sz="0" w:space="0" w:color="auto"/>
        <w:right w:val="none" w:sz="0" w:space="0" w:color="auto"/>
      </w:divBdr>
    </w:div>
    <w:div w:id="1491556943">
      <w:bodyDiv w:val="1"/>
      <w:marLeft w:val="0"/>
      <w:marRight w:val="0"/>
      <w:marTop w:val="0"/>
      <w:marBottom w:val="0"/>
      <w:divBdr>
        <w:top w:val="none" w:sz="0" w:space="0" w:color="auto"/>
        <w:left w:val="none" w:sz="0" w:space="0" w:color="auto"/>
        <w:bottom w:val="none" w:sz="0" w:space="0" w:color="auto"/>
        <w:right w:val="none" w:sz="0" w:space="0" w:color="auto"/>
      </w:divBdr>
    </w:div>
    <w:div w:id="1528448101">
      <w:bodyDiv w:val="1"/>
      <w:marLeft w:val="0"/>
      <w:marRight w:val="0"/>
      <w:marTop w:val="0"/>
      <w:marBottom w:val="0"/>
      <w:divBdr>
        <w:top w:val="none" w:sz="0" w:space="0" w:color="auto"/>
        <w:left w:val="none" w:sz="0" w:space="0" w:color="auto"/>
        <w:bottom w:val="none" w:sz="0" w:space="0" w:color="auto"/>
        <w:right w:val="none" w:sz="0" w:space="0" w:color="auto"/>
      </w:divBdr>
    </w:div>
    <w:div w:id="1533033080">
      <w:bodyDiv w:val="1"/>
      <w:marLeft w:val="0"/>
      <w:marRight w:val="0"/>
      <w:marTop w:val="0"/>
      <w:marBottom w:val="0"/>
      <w:divBdr>
        <w:top w:val="none" w:sz="0" w:space="0" w:color="auto"/>
        <w:left w:val="none" w:sz="0" w:space="0" w:color="auto"/>
        <w:bottom w:val="none" w:sz="0" w:space="0" w:color="auto"/>
        <w:right w:val="none" w:sz="0" w:space="0" w:color="auto"/>
      </w:divBdr>
    </w:div>
    <w:div w:id="1553077028">
      <w:bodyDiv w:val="1"/>
      <w:marLeft w:val="0"/>
      <w:marRight w:val="0"/>
      <w:marTop w:val="0"/>
      <w:marBottom w:val="0"/>
      <w:divBdr>
        <w:top w:val="none" w:sz="0" w:space="0" w:color="auto"/>
        <w:left w:val="none" w:sz="0" w:space="0" w:color="auto"/>
        <w:bottom w:val="none" w:sz="0" w:space="0" w:color="auto"/>
        <w:right w:val="none" w:sz="0" w:space="0" w:color="auto"/>
      </w:divBdr>
    </w:div>
    <w:div w:id="1569727908">
      <w:bodyDiv w:val="1"/>
      <w:marLeft w:val="0"/>
      <w:marRight w:val="0"/>
      <w:marTop w:val="0"/>
      <w:marBottom w:val="0"/>
      <w:divBdr>
        <w:top w:val="none" w:sz="0" w:space="0" w:color="auto"/>
        <w:left w:val="none" w:sz="0" w:space="0" w:color="auto"/>
        <w:bottom w:val="none" w:sz="0" w:space="0" w:color="auto"/>
        <w:right w:val="none" w:sz="0" w:space="0" w:color="auto"/>
      </w:divBdr>
    </w:div>
    <w:div w:id="1576164103">
      <w:bodyDiv w:val="1"/>
      <w:marLeft w:val="0"/>
      <w:marRight w:val="0"/>
      <w:marTop w:val="0"/>
      <w:marBottom w:val="0"/>
      <w:divBdr>
        <w:top w:val="none" w:sz="0" w:space="0" w:color="auto"/>
        <w:left w:val="none" w:sz="0" w:space="0" w:color="auto"/>
        <w:bottom w:val="none" w:sz="0" w:space="0" w:color="auto"/>
        <w:right w:val="none" w:sz="0" w:space="0" w:color="auto"/>
      </w:divBdr>
    </w:div>
    <w:div w:id="1640573554">
      <w:bodyDiv w:val="1"/>
      <w:marLeft w:val="0"/>
      <w:marRight w:val="0"/>
      <w:marTop w:val="0"/>
      <w:marBottom w:val="0"/>
      <w:divBdr>
        <w:top w:val="none" w:sz="0" w:space="0" w:color="auto"/>
        <w:left w:val="none" w:sz="0" w:space="0" w:color="auto"/>
        <w:bottom w:val="none" w:sz="0" w:space="0" w:color="auto"/>
        <w:right w:val="none" w:sz="0" w:space="0" w:color="auto"/>
      </w:divBdr>
    </w:div>
    <w:div w:id="1668942149">
      <w:bodyDiv w:val="1"/>
      <w:marLeft w:val="0"/>
      <w:marRight w:val="0"/>
      <w:marTop w:val="0"/>
      <w:marBottom w:val="0"/>
      <w:divBdr>
        <w:top w:val="none" w:sz="0" w:space="0" w:color="auto"/>
        <w:left w:val="none" w:sz="0" w:space="0" w:color="auto"/>
        <w:bottom w:val="none" w:sz="0" w:space="0" w:color="auto"/>
        <w:right w:val="none" w:sz="0" w:space="0" w:color="auto"/>
      </w:divBdr>
    </w:div>
    <w:div w:id="171935348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5471508">
      <w:bodyDiv w:val="1"/>
      <w:marLeft w:val="0"/>
      <w:marRight w:val="0"/>
      <w:marTop w:val="0"/>
      <w:marBottom w:val="0"/>
      <w:divBdr>
        <w:top w:val="none" w:sz="0" w:space="0" w:color="auto"/>
        <w:left w:val="none" w:sz="0" w:space="0" w:color="auto"/>
        <w:bottom w:val="none" w:sz="0" w:space="0" w:color="auto"/>
        <w:right w:val="none" w:sz="0" w:space="0" w:color="auto"/>
      </w:divBdr>
    </w:div>
    <w:div w:id="1870801666">
      <w:bodyDiv w:val="1"/>
      <w:marLeft w:val="0"/>
      <w:marRight w:val="0"/>
      <w:marTop w:val="0"/>
      <w:marBottom w:val="0"/>
      <w:divBdr>
        <w:top w:val="none" w:sz="0" w:space="0" w:color="auto"/>
        <w:left w:val="none" w:sz="0" w:space="0" w:color="auto"/>
        <w:bottom w:val="none" w:sz="0" w:space="0" w:color="auto"/>
        <w:right w:val="none" w:sz="0" w:space="0" w:color="auto"/>
      </w:divBdr>
    </w:div>
    <w:div w:id="1887059306">
      <w:bodyDiv w:val="1"/>
      <w:marLeft w:val="0"/>
      <w:marRight w:val="0"/>
      <w:marTop w:val="0"/>
      <w:marBottom w:val="0"/>
      <w:divBdr>
        <w:top w:val="none" w:sz="0" w:space="0" w:color="auto"/>
        <w:left w:val="none" w:sz="0" w:space="0" w:color="auto"/>
        <w:bottom w:val="none" w:sz="0" w:space="0" w:color="auto"/>
        <w:right w:val="none" w:sz="0" w:space="0" w:color="auto"/>
      </w:divBdr>
    </w:div>
    <w:div w:id="19045641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52046/agrikan.v14i2.873" TargetMode="External"/><Relationship Id="rId39" Type="http://schemas.openxmlformats.org/officeDocument/2006/relationships/hyperlink" Target="https://doi.org/10.1016/j.fishres.2012.02.025" TargetMode="External"/><Relationship Id="rId21" Type="http://schemas.openxmlformats.org/officeDocument/2006/relationships/image" Target="media/image4.png"/><Relationship Id="rId34" Type="http://schemas.openxmlformats.org/officeDocument/2006/relationships/hyperlink" Target="Https://doi.org/10.2307/1540" TargetMode="External"/><Relationship Id="rId42" Type="http://schemas.openxmlformats.org/officeDocument/2006/relationships/hyperlink" Target="https://doi.org/10.1051/alr:2005038"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pdfs.semanticscholar.org/03af/93821928d801023a794c1fb224ac44a4c142.pdf" TargetMode="Externa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s://doi.org/10.24319/jtpk.15.1-10" TargetMode="External"/><Relationship Id="rId37" Type="http://schemas.openxmlformats.org/officeDocument/2006/relationships/hyperlink" Target="https://doi.org/10.29303/jppipa.v9i12.5956" TargetMode="External"/><Relationship Id="rId40" Type="http://schemas.openxmlformats.org/officeDocument/2006/relationships/hyperlink" Target="https://doi.org/10.24843/EJES.2024.v18.i02.p01" TargetMode="External"/><Relationship Id="rId45" Type="http://schemas.openxmlformats.org/officeDocument/2006/relationships/hyperlink" Target="https://ibcraja4.org/assets/file/2015/Bulletin8August2015.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doi.org/10.22146/jfs.79653" TargetMode="External"/><Relationship Id="rId44" Type="http://schemas.openxmlformats.org/officeDocument/2006/relationships/hyperlink" Target="https://doi.org/10.17509/ijom.v1i1.24620"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hyperlink" Target="https://doi.org/10.1086/BBLv216n1p94" TargetMode="External"/><Relationship Id="rId30" Type="http://schemas.openxmlformats.org/officeDocument/2006/relationships/hyperlink" Target="https://doi.org/10.1579/0044-7447-31.7.528" TargetMode="External"/><Relationship Id="rId35" Type="http://schemas.openxmlformats.org/officeDocument/2006/relationships/hyperlink" Target="https://doi.org/10.35800/jip.8.1.2020.27599" TargetMode="External"/><Relationship Id="rId43" Type="http://schemas.openxmlformats.org/officeDocument/2006/relationships/hyperlink" Target="https://doi.org/10.56799/jceki.v3i6.5257"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21608/Ejabf.2021.158705" TargetMode="External"/><Relationship Id="rId33" Type="http://schemas.openxmlformats.org/officeDocument/2006/relationships/hyperlink" Target="https://doi.org/10.25139/tf.vi.7781" TargetMode="External"/><Relationship Id="rId38" Type="http://schemas.openxmlformats.org/officeDocument/2006/relationships/hyperlink" Target="https://doi.org/10.21608/ejabf.2024.392406" TargetMode="External"/><Relationship Id="rId46" Type="http://schemas.openxmlformats.org/officeDocument/2006/relationships/hyperlink" Target="https://doi.org/10.24319/jtpk.14.213-219" TargetMode="External"/><Relationship Id="rId20" Type="http://schemas.openxmlformats.org/officeDocument/2006/relationships/image" Target="media/image3.png"/><Relationship Id="rId41" Type="http://schemas.openxmlformats.org/officeDocument/2006/relationships/hyperlink" Target="https://doi.org/10.1071/MF0315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hyperlink" Target="https://doi.org/10.35800/Jplt.7.3.2019.24742" TargetMode="External"/><Relationship Id="rId36" Type="http://schemas.openxmlformats.org/officeDocument/2006/relationships/hyperlink" Target="https://ejurnal.undana.ac.id/index.php/JBP/article/view/16059" TargetMode="External"/><Relationship Id="rId4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6A783-ACB8-4DFA-B298-3B8E69EE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TotalTime>
  <Pages>9</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PMYLS</cp:lastModifiedBy>
  <cp:revision>61</cp:revision>
  <cp:lastPrinted>1999-07-06T11:00:00Z</cp:lastPrinted>
  <dcterms:created xsi:type="dcterms:W3CDTF">2026-02-10T08:53:00Z</dcterms:created>
  <dcterms:modified xsi:type="dcterms:W3CDTF">2026-02-16T17:13:00Z</dcterms:modified>
</cp:coreProperties>
</file>