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6C2F" w14:textId="7F0801DC" w:rsidR="00B230C0" w:rsidRDefault="00B230C0" w:rsidP="00B230C0">
      <w:pPr>
        <w:pStyle w:val="Author"/>
        <w:spacing w:line="240" w:lineRule="auto"/>
        <w:jc w:val="left"/>
        <w:rPr>
          <w:rFonts w:ascii="Arial" w:hAnsi="Arial" w:cs="Arial"/>
          <w:kern w:val="28"/>
          <w:sz w:val="36"/>
          <w:szCs w:val="36"/>
          <w:u w:val="single"/>
        </w:rPr>
      </w:pPr>
      <w:r w:rsidRPr="00B230C0">
        <w:rPr>
          <w:rFonts w:ascii="Arial" w:hAnsi="Arial" w:cs="Arial"/>
          <w:kern w:val="28"/>
          <w:sz w:val="36"/>
          <w:szCs w:val="36"/>
          <w:u w:val="single"/>
        </w:rPr>
        <w:t>Original Research Article</w:t>
      </w:r>
    </w:p>
    <w:p w14:paraId="104F315F" w14:textId="77777777" w:rsidR="00B230C0" w:rsidRPr="00B230C0" w:rsidRDefault="00B230C0" w:rsidP="00B230C0">
      <w:pPr>
        <w:pStyle w:val="Author"/>
        <w:spacing w:line="240" w:lineRule="auto"/>
        <w:jc w:val="left"/>
        <w:rPr>
          <w:rFonts w:ascii="Arial" w:hAnsi="Arial" w:cs="Arial"/>
          <w:kern w:val="28"/>
          <w:sz w:val="36"/>
          <w:szCs w:val="36"/>
          <w:u w:val="single"/>
        </w:rPr>
      </w:pPr>
    </w:p>
    <w:p w14:paraId="703F6029" w14:textId="50473281" w:rsidR="00163BC4" w:rsidRPr="00163BC4" w:rsidRDefault="1FA27784" w:rsidP="3089B873">
      <w:pPr>
        <w:pStyle w:val="Author"/>
        <w:spacing w:line="240" w:lineRule="auto"/>
        <w:rPr>
          <w:rFonts w:ascii="Arial" w:hAnsi="Arial" w:cs="Arial"/>
          <w:kern w:val="28"/>
          <w:sz w:val="36"/>
          <w:szCs w:val="36"/>
        </w:rPr>
      </w:pPr>
      <w:r w:rsidRPr="3089B873">
        <w:rPr>
          <w:rFonts w:ascii="Arial" w:hAnsi="Arial" w:cs="Arial"/>
          <w:kern w:val="28"/>
          <w:sz w:val="36"/>
          <w:szCs w:val="36"/>
        </w:rPr>
        <w:t>Exploring Political and Civic Awareness in Relation to Political and Civic Engagement Among Senior High School Students</w:t>
      </w:r>
      <w:r w:rsidR="00231920" w:rsidRPr="3089B873">
        <w:rPr>
          <w:rFonts w:ascii="Arial" w:hAnsi="Arial" w:cs="Arial"/>
          <w:kern w:val="28"/>
          <w:sz w:val="36"/>
          <w:szCs w:val="36"/>
        </w:rPr>
        <w:t xml:space="preserve"> </w:t>
      </w:r>
    </w:p>
    <w:p w14:paraId="2D9EE3BA" w14:textId="77777777" w:rsidR="00022030" w:rsidRDefault="00022030" w:rsidP="00441B6F">
      <w:pPr>
        <w:pStyle w:val="Copyright"/>
        <w:spacing w:after="0" w:line="240" w:lineRule="auto"/>
        <w:jc w:val="both"/>
        <w:rPr>
          <w:rFonts w:ascii="Arial" w:hAnsi="Arial" w:cs="Arial"/>
        </w:rPr>
      </w:pPr>
    </w:p>
    <w:p w14:paraId="00F71AD9" w14:textId="77777777" w:rsidR="00022030" w:rsidRDefault="00022030" w:rsidP="00441B6F">
      <w:pPr>
        <w:pStyle w:val="Copyright"/>
        <w:spacing w:after="0" w:line="240" w:lineRule="auto"/>
        <w:jc w:val="both"/>
        <w:rPr>
          <w:rFonts w:ascii="Arial" w:hAnsi="Arial" w:cs="Arial"/>
        </w:rPr>
      </w:pPr>
    </w:p>
    <w:p w14:paraId="02614873" w14:textId="43933222" w:rsidR="00B01FCD" w:rsidRPr="00FB3A86" w:rsidRDefault="00000000" w:rsidP="00441B6F">
      <w:pPr>
        <w:pStyle w:val="Copyright"/>
        <w:spacing w:after="0" w:line="240" w:lineRule="auto"/>
        <w:jc w:val="both"/>
        <w:rPr>
          <w:rFonts w:ascii="Arial" w:hAnsi="Arial" w:cs="Arial"/>
        </w:rPr>
        <w:sectPr w:rsidR="00B01FCD" w:rsidRPr="00FB3A86" w:rsidSect="000220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FD789B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69A9613A" w:rsidR="00B01FCD" w:rsidRDefault="00B01FCD" w:rsidP="00441B6F">
      <w:pPr>
        <w:pStyle w:val="AbstHead"/>
        <w:spacing w:after="0"/>
        <w:jc w:val="both"/>
        <w:rPr>
          <w:rFonts w:ascii="Arial" w:hAnsi="Arial" w:cs="Arial"/>
        </w:rPr>
      </w:pPr>
      <w:r w:rsidRPr="3089B873">
        <w:rPr>
          <w:rFonts w:ascii="Arial" w:hAnsi="Arial" w:cs="Arial"/>
        </w:rPr>
        <w:t>ABSTRACT</w:t>
      </w:r>
      <w:r w:rsidR="0066510A" w:rsidRPr="3089B873">
        <w:rPr>
          <w:rFonts w:ascii="Arial" w:hAnsi="Arial" w:cs="Arial"/>
        </w:rPr>
        <w:t xml:space="preserve"> </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3089B873">
        <w:tc>
          <w:tcPr>
            <w:tcW w:w="9576" w:type="dxa"/>
            <w:shd w:val="clear" w:color="auto" w:fill="F2F2F2" w:themeFill="background1" w:themeFillShade="F2"/>
          </w:tcPr>
          <w:p w14:paraId="386E1F7B" w14:textId="7654643D" w:rsidR="3791BCCF" w:rsidRDefault="3791BCCF" w:rsidP="3089B873">
            <w:pPr>
              <w:pStyle w:val="Body"/>
              <w:spacing w:after="0"/>
              <w:rPr>
                <w:rFonts w:ascii="Arial" w:eastAsia="Calibri" w:hAnsi="Arial" w:cs="Arial"/>
              </w:rPr>
            </w:pPr>
            <w:r w:rsidRPr="3089B873">
              <w:rPr>
                <w:rFonts w:ascii="Arial" w:eastAsia="Calibri" w:hAnsi="Arial" w:cs="Arial"/>
                <w:b/>
                <w:bCs/>
              </w:rPr>
              <w:t xml:space="preserve">Aims: </w:t>
            </w:r>
            <w:r w:rsidR="491688C2" w:rsidRPr="3089B873">
              <w:t>To examine how political and civic awareness relate to political and civic engagement among Senior High School (SHS) students in the Philippines, and to identify the mechanisms through which awareness is converted into action. The study also aims to refine the Input–Process–Output (IPO) framework and extend Freire’s critical consciousness and Bandura’s social learning perspectives to hybrid classroom/digital contexts.</w:t>
            </w:r>
          </w:p>
          <w:p w14:paraId="50C427B0" w14:textId="6B1F936B" w:rsidR="00BA1B01" w:rsidRPr="00BA1B01" w:rsidRDefault="3791BCCF" w:rsidP="3089B873">
            <w:pPr>
              <w:pStyle w:val="Body"/>
              <w:spacing w:after="0"/>
              <w:rPr>
                <w:rFonts w:ascii="Arial" w:eastAsia="Calibri" w:hAnsi="Arial" w:cs="Arial"/>
              </w:rPr>
            </w:pPr>
            <w:r w:rsidRPr="3089B873">
              <w:rPr>
                <w:rFonts w:ascii="Arial" w:eastAsia="Calibri" w:hAnsi="Arial" w:cs="Arial"/>
                <w:b/>
                <w:bCs/>
              </w:rPr>
              <w:t>Study design:</w:t>
            </w:r>
            <w:r w:rsidRPr="3089B873">
              <w:rPr>
                <w:rFonts w:ascii="Arial" w:eastAsia="Calibri" w:hAnsi="Arial" w:cs="Arial"/>
              </w:rPr>
              <w:t xml:space="preserve"> </w:t>
            </w:r>
            <w:r w:rsidR="73EF4FA6" w:rsidRPr="3089B873">
              <w:t>An explanatory sequential mixed‑methods design was employed, combining quantitative analysis of awareness–engagement relationships with qualitative exploration of underlying mechanisms.</w:t>
            </w:r>
          </w:p>
          <w:p w14:paraId="22D0607D" w14:textId="078F67AD" w:rsidR="3791BCCF" w:rsidRDefault="3791BCCF" w:rsidP="3089B873">
            <w:pPr>
              <w:pStyle w:val="Body"/>
              <w:spacing w:after="0"/>
            </w:pPr>
            <w:r w:rsidRPr="3089B873">
              <w:rPr>
                <w:rFonts w:ascii="Arial" w:eastAsia="Calibri" w:hAnsi="Arial" w:cs="Arial"/>
                <w:b/>
                <w:bCs/>
              </w:rPr>
              <w:t>Place and Duration of Study:</w:t>
            </w:r>
            <w:r w:rsidRPr="3089B873">
              <w:rPr>
                <w:rFonts w:ascii="Arial" w:eastAsia="Calibri" w:hAnsi="Arial" w:cs="Arial"/>
              </w:rPr>
              <w:t xml:space="preserve"> </w:t>
            </w:r>
            <w:r w:rsidR="0E7590A3" w:rsidRPr="3089B873">
              <w:t xml:space="preserve">The study was conducted in Domingo Lacson National High School, Banago, Bacolod City, </w:t>
            </w:r>
            <w:r w:rsidR="35339DC5" w:rsidRPr="3089B873">
              <w:t xml:space="preserve">Negros Occidental, </w:t>
            </w:r>
            <w:r w:rsidR="0E7590A3" w:rsidRPr="3089B873">
              <w:t>Philippines during the</w:t>
            </w:r>
            <w:r w:rsidR="441DC0C1" w:rsidRPr="3089B873">
              <w:t xml:space="preserve"> School Year</w:t>
            </w:r>
            <w:r w:rsidR="0E7590A3" w:rsidRPr="3089B873">
              <w:t xml:space="preserve"> 2025–2026</w:t>
            </w:r>
            <w:r w:rsidR="4E9E24F4" w:rsidRPr="3089B873">
              <w:t>.</w:t>
            </w:r>
          </w:p>
          <w:p w14:paraId="640C09B2" w14:textId="496E8D97" w:rsidR="3791BCCF" w:rsidRDefault="3791BCCF" w:rsidP="3089B873">
            <w:pPr>
              <w:pStyle w:val="Body"/>
              <w:spacing w:after="0"/>
              <w:rPr>
                <w:rFonts w:ascii="Arial" w:eastAsia="Calibri" w:hAnsi="Arial" w:cs="Arial"/>
              </w:rPr>
            </w:pPr>
            <w:r w:rsidRPr="3089B873">
              <w:rPr>
                <w:rFonts w:ascii="Arial" w:eastAsia="Calibri" w:hAnsi="Arial" w:cs="Arial"/>
                <w:b/>
                <w:bCs/>
              </w:rPr>
              <w:t>Methodology:</w:t>
            </w:r>
            <w:r w:rsidRPr="3089B873">
              <w:rPr>
                <w:rFonts w:ascii="Arial" w:eastAsia="Calibri" w:hAnsi="Arial" w:cs="Arial"/>
              </w:rPr>
              <w:t xml:space="preserve"> </w:t>
            </w:r>
            <w:r w:rsidR="52EF1DD4" w:rsidRPr="3089B873">
              <w:t>Stratified random sampling yielded 400 students balanced by sex, grade level, and academic track. A five‑part questionnaire measured demographics, political awareness, civic awareness, political engagement, and civic engagement. Extreme‑case purposive sampling selected 8 students for focus group discussions. Quantitative data were analyzed using descriptive statistics, subgroup comparisons, correlations, and regressions, while qualitative data were examined through reflexive thematic analysis. Integration occurred through connecting, building, and merging strands.</w:t>
            </w:r>
          </w:p>
          <w:p w14:paraId="13C6FA38" w14:textId="3F3A4A6E" w:rsidR="3791BCCF" w:rsidRDefault="3791BCCF" w:rsidP="3089B873">
            <w:pPr>
              <w:pStyle w:val="Body"/>
              <w:spacing w:after="0"/>
              <w:rPr>
                <w:rFonts w:ascii="Arial" w:eastAsia="Calibri" w:hAnsi="Arial" w:cs="Arial"/>
              </w:rPr>
            </w:pPr>
            <w:r w:rsidRPr="3089B873">
              <w:rPr>
                <w:rFonts w:ascii="Arial" w:eastAsia="Calibri" w:hAnsi="Arial" w:cs="Arial"/>
                <w:b/>
                <w:bCs/>
              </w:rPr>
              <w:t>Results:</w:t>
            </w:r>
            <w:r w:rsidRPr="3089B873">
              <w:rPr>
                <w:rFonts w:ascii="Arial" w:eastAsia="Calibri" w:hAnsi="Arial" w:cs="Arial"/>
              </w:rPr>
              <w:t xml:space="preserve"> </w:t>
            </w:r>
            <w:r w:rsidR="383BF839" w:rsidRPr="3089B873">
              <w:rPr>
                <w:rFonts w:ascii="Arial" w:eastAsia="Calibri" w:hAnsi="Arial" w:cs="Arial"/>
              </w:rPr>
              <w:t xml:space="preserve"> Students were generally “Aware” in both domains, with civic engagement stronger than political engagement. Political awareness moderately predicted political engagement (r ≈ .40; R² ≈ .16), while civic awareness strongly predicted civic engagement (r ≈ .67; R² ≈ .45). Qualitative themes revealed mechanisms including digital political learning, curricular disparities, incentive‑dependent participation, and peer‑network socialization. Track differences were most pronounced for awareness, grade differences modest for engagement, and sex differences minimal.</w:t>
            </w:r>
          </w:p>
          <w:p w14:paraId="1C633A38" w14:textId="36C06E8C" w:rsidR="00636EB2" w:rsidRDefault="3791BCCF" w:rsidP="3089B873">
            <w:pPr>
              <w:pStyle w:val="Body"/>
              <w:spacing w:after="0"/>
              <w:rPr>
                <w:rFonts w:ascii="Arial" w:eastAsia="Calibri" w:hAnsi="Arial" w:cs="Arial"/>
              </w:rPr>
            </w:pPr>
            <w:r w:rsidRPr="3089B873">
              <w:rPr>
                <w:rFonts w:ascii="Arial" w:eastAsia="Calibri" w:hAnsi="Arial" w:cs="Arial"/>
                <w:b/>
                <w:bCs/>
              </w:rPr>
              <w:t>Conclusion:</w:t>
            </w:r>
            <w:r w:rsidRPr="3089B873">
              <w:rPr>
                <w:rFonts w:ascii="Arial" w:eastAsia="Calibri" w:hAnsi="Arial" w:cs="Arial"/>
              </w:rPr>
              <w:t xml:space="preserve"> </w:t>
            </w:r>
          </w:p>
          <w:p w14:paraId="3BC5D997" w14:textId="4FB752FE" w:rsidR="00505F06" w:rsidRPr="00BA1B01" w:rsidRDefault="06E6691E" w:rsidP="3089B873">
            <w:pPr>
              <w:pStyle w:val="Body"/>
              <w:spacing w:after="0"/>
              <w:rPr>
                <w:rFonts w:ascii="Arial" w:eastAsia="Calibri" w:hAnsi="Arial" w:cs="Arial"/>
              </w:rPr>
            </w:pPr>
            <w:r w:rsidRPr="3089B873">
              <w:rPr>
                <w:rFonts w:ascii="Arial" w:eastAsia="Calibri" w:hAnsi="Arial" w:cs="Arial"/>
              </w:rPr>
              <w:t>Awareness is necessary but insufficient for participation, with civic pathways serving as gateways to political learning. The study refines IPO theory by emphasizing process‑level mediators, extends Freire’s and Bandura’s frameworks to hybrid classroom/digital contexts, and underscores the Philippine SHS case as globally relevant for understanding youth civic development in digitally saturated democracies. Policy implications include track‑inclusive experiential civics, media and information literacy, and autonomy‑supportive school routines to reliably convert awareness into action.</w:t>
            </w:r>
          </w:p>
        </w:tc>
      </w:tr>
    </w:tbl>
    <w:p w14:paraId="0E27B00A" w14:textId="77777777" w:rsidR="00636EB2" w:rsidRDefault="00636EB2" w:rsidP="00441B6F">
      <w:pPr>
        <w:pStyle w:val="Body"/>
        <w:spacing w:after="0"/>
        <w:rPr>
          <w:rFonts w:ascii="Arial" w:hAnsi="Arial" w:cs="Arial"/>
          <w:i/>
        </w:rPr>
      </w:pPr>
    </w:p>
    <w:p w14:paraId="19A26357" w14:textId="1022D65F" w:rsidR="00A24E7E" w:rsidRDefault="00A24E7E" w:rsidP="3089B873">
      <w:pPr>
        <w:pStyle w:val="Body"/>
        <w:spacing w:after="0"/>
        <w:rPr>
          <w:rFonts w:ascii="Arial" w:hAnsi="Arial" w:cs="Arial"/>
          <w:i/>
          <w:iCs/>
        </w:rPr>
      </w:pPr>
      <w:r w:rsidRPr="3089B873">
        <w:rPr>
          <w:rFonts w:ascii="Arial" w:hAnsi="Arial" w:cs="Arial"/>
          <w:i/>
          <w:iCs/>
        </w:rPr>
        <w:t xml:space="preserve">Keywords: </w:t>
      </w:r>
      <w:r w:rsidR="49C52F66" w:rsidRPr="3089B873">
        <w:rPr>
          <w:rFonts w:ascii="Arial" w:hAnsi="Arial" w:cs="Arial"/>
          <w:i/>
          <w:iCs/>
        </w:rPr>
        <w:t>civic education; digital citizenship; mixed‑methods research; Philippines; political socialization; school climate; youth engagement</w:t>
      </w:r>
    </w:p>
    <w:p w14:paraId="60061E4C" w14:textId="77777777" w:rsidR="00790ADA" w:rsidRDefault="00790ADA" w:rsidP="00441B6F">
      <w:pPr>
        <w:pStyle w:val="Body"/>
        <w:spacing w:after="0"/>
        <w:rPr>
          <w:rFonts w:ascii="Arial" w:hAnsi="Arial" w:cs="Arial"/>
          <w:i/>
        </w:rPr>
      </w:pPr>
    </w:p>
    <w:p w14:paraId="4B94D5A5" w14:textId="77777777" w:rsidR="00505F06" w:rsidRPr="00A24E7E" w:rsidRDefault="00505F06" w:rsidP="00441B6F">
      <w:pPr>
        <w:pStyle w:val="Body"/>
        <w:spacing w:after="0"/>
        <w:rPr>
          <w:rFonts w:ascii="Arial" w:hAnsi="Arial" w:cs="Arial"/>
          <w:i/>
        </w:rPr>
      </w:pPr>
    </w:p>
    <w:p w14:paraId="6EABAC78" w14:textId="2F2050E2" w:rsidR="007F7B32" w:rsidRDefault="00902823" w:rsidP="00441B6F">
      <w:pPr>
        <w:pStyle w:val="AbstHead"/>
        <w:spacing w:after="0"/>
        <w:jc w:val="both"/>
        <w:rPr>
          <w:rFonts w:ascii="Arial" w:hAnsi="Arial" w:cs="Arial"/>
        </w:rPr>
      </w:pPr>
      <w:r w:rsidRPr="3089B873">
        <w:rPr>
          <w:rFonts w:ascii="Arial" w:hAnsi="Arial" w:cs="Arial"/>
        </w:rPr>
        <w:lastRenderedPageBreak/>
        <w:t xml:space="preserve">1. </w:t>
      </w:r>
      <w:commentRangeStart w:id="0"/>
      <w:r w:rsidR="00B01FCD" w:rsidRPr="3089B873">
        <w:rPr>
          <w:rFonts w:ascii="Arial" w:hAnsi="Arial" w:cs="Arial"/>
        </w:rPr>
        <w:t>INTRODUCTION</w:t>
      </w:r>
      <w:commentRangeEnd w:id="0"/>
      <w:r w:rsidR="00F97C3B">
        <w:rPr>
          <w:rStyle w:val="CommentReference"/>
          <w:rFonts w:ascii="Times New Roman" w:hAnsi="Times New Roman"/>
          <w:b w:val="0"/>
          <w:caps w:val="0"/>
          <w:lang w:val="nb-NO" w:eastAsia="nb-NO"/>
        </w:rPr>
        <w:commentReference w:id="0"/>
      </w:r>
    </w:p>
    <w:p w14:paraId="3DEEC669" w14:textId="77777777" w:rsidR="00790ADA" w:rsidRPr="00FB3A86" w:rsidRDefault="00790ADA" w:rsidP="00441B6F">
      <w:pPr>
        <w:pStyle w:val="AbstHead"/>
        <w:spacing w:after="0"/>
        <w:jc w:val="both"/>
        <w:rPr>
          <w:rFonts w:ascii="Arial" w:hAnsi="Arial" w:cs="Arial"/>
        </w:rPr>
      </w:pPr>
    </w:p>
    <w:p w14:paraId="0AB4AA0B" w14:textId="464A8B03" w:rsidR="0A54268E" w:rsidRDefault="0A54268E" w:rsidP="3089B873">
      <w:pPr>
        <w:pStyle w:val="Body"/>
        <w:spacing w:after="0"/>
        <w:rPr>
          <w:rFonts w:ascii="Arial" w:hAnsi="Arial" w:cs="Arial"/>
        </w:rPr>
      </w:pPr>
      <w:r w:rsidRPr="3089B873">
        <w:rPr>
          <w:rFonts w:ascii="Arial" w:hAnsi="Arial" w:cs="Arial"/>
        </w:rPr>
        <w:t xml:space="preserve">Across democracies, concerns persist about whether schools adequately prepare young people for sustained civic and political participation. </w:t>
      </w:r>
      <w:commentRangeStart w:id="1"/>
      <w:r w:rsidRPr="3089B873">
        <w:rPr>
          <w:rFonts w:ascii="Arial" w:hAnsi="Arial" w:cs="Arial"/>
        </w:rPr>
        <w:t>Declining civics scores in the United States and persistent funding disparities between civics and STEM education highlight the urgency of strengthening civic learning</w:t>
      </w:r>
      <w:commentRangeEnd w:id="1"/>
      <w:r w:rsidR="00E8677B">
        <w:rPr>
          <w:rStyle w:val="CommentReference"/>
          <w:rFonts w:ascii="Times New Roman" w:hAnsi="Times New Roman"/>
          <w:lang w:val="nb-NO" w:eastAsia="nb-NO"/>
        </w:rPr>
        <w:commentReference w:id="1"/>
      </w:r>
      <w:r w:rsidRPr="3089B873">
        <w:rPr>
          <w:rFonts w:ascii="Arial" w:hAnsi="Arial" w:cs="Arial"/>
        </w:rPr>
        <w:t xml:space="preserve">. </w:t>
      </w:r>
      <w:commentRangeStart w:id="2"/>
      <w:r w:rsidRPr="3089B873">
        <w:rPr>
          <w:rFonts w:ascii="Arial" w:hAnsi="Arial" w:cs="Arial"/>
        </w:rPr>
        <w:t>Research consistently shows that open, discussion‑rich classrooms and democratic school climates foster civic knowledge, political interest, and efficacy, though these effects are often mediated by trust and efficacy rather than direct exposure alone.</w:t>
      </w:r>
      <w:commentRangeEnd w:id="2"/>
      <w:r w:rsidR="00E8677B">
        <w:rPr>
          <w:rStyle w:val="CommentReference"/>
          <w:rFonts w:ascii="Times New Roman" w:hAnsi="Times New Roman"/>
          <w:lang w:val="nb-NO" w:eastAsia="nb-NO"/>
        </w:rPr>
        <w:commentReference w:id="2"/>
      </w:r>
    </w:p>
    <w:p w14:paraId="260B2FC4" w14:textId="4CEE34E5" w:rsidR="0A54268E" w:rsidRDefault="0A54268E" w:rsidP="3089B873">
      <w:pPr>
        <w:pStyle w:val="Body"/>
        <w:spacing w:after="0"/>
        <w:rPr>
          <w:rFonts w:ascii="Arial" w:hAnsi="Arial" w:cs="Arial"/>
        </w:rPr>
      </w:pPr>
      <w:r w:rsidRPr="3089B873">
        <w:rPr>
          <w:rFonts w:ascii="Arial" w:hAnsi="Arial" w:cs="Arial"/>
        </w:rPr>
        <w:t xml:space="preserve"> </w:t>
      </w:r>
    </w:p>
    <w:p w14:paraId="66AB9141" w14:textId="4E61D1CC" w:rsidR="0A54268E" w:rsidRDefault="0A54268E" w:rsidP="3089B873">
      <w:pPr>
        <w:pStyle w:val="Body"/>
        <w:spacing w:after="0"/>
        <w:rPr>
          <w:rFonts w:ascii="Arial" w:hAnsi="Arial" w:cs="Arial"/>
        </w:rPr>
      </w:pPr>
      <w:r w:rsidRPr="3089B873">
        <w:rPr>
          <w:rFonts w:ascii="Arial" w:hAnsi="Arial" w:cs="Arial"/>
        </w:rPr>
        <w:t xml:space="preserve">In the Philippine context, </w:t>
      </w:r>
      <w:commentRangeStart w:id="3"/>
      <w:r w:rsidRPr="3089B873">
        <w:rPr>
          <w:rFonts w:ascii="Arial" w:hAnsi="Arial" w:cs="Arial"/>
        </w:rPr>
        <w:t>civic development increasingly unfolds in hybrid online/offline spaces</w:t>
      </w:r>
      <w:commentRangeEnd w:id="3"/>
      <w:r w:rsidR="00E8677B">
        <w:rPr>
          <w:rStyle w:val="CommentReference"/>
          <w:rFonts w:ascii="Times New Roman" w:hAnsi="Times New Roman"/>
          <w:lang w:val="nb-NO" w:eastAsia="nb-NO"/>
        </w:rPr>
        <w:commentReference w:id="3"/>
      </w:r>
      <w:r w:rsidRPr="3089B873">
        <w:rPr>
          <w:rFonts w:ascii="Arial" w:hAnsi="Arial" w:cs="Arial"/>
        </w:rPr>
        <w:t xml:space="preserve">. </w:t>
      </w:r>
      <w:commentRangeStart w:id="4"/>
      <w:r w:rsidRPr="3089B873">
        <w:rPr>
          <w:rFonts w:ascii="Arial" w:hAnsi="Arial" w:cs="Arial"/>
        </w:rPr>
        <w:t>Adolescents rely heavily on social media for information and expression, while classroom openness has been shown to enhance digital literacy and predict online civic engagement</w:t>
      </w:r>
      <w:commentRangeEnd w:id="4"/>
      <w:r w:rsidR="00E8677B">
        <w:rPr>
          <w:rStyle w:val="CommentReference"/>
          <w:rFonts w:ascii="Times New Roman" w:hAnsi="Times New Roman"/>
          <w:lang w:val="nb-NO" w:eastAsia="nb-NO"/>
        </w:rPr>
        <w:commentReference w:id="4"/>
      </w:r>
      <w:r w:rsidRPr="3089B873">
        <w:rPr>
          <w:rFonts w:ascii="Arial" w:hAnsi="Arial" w:cs="Arial"/>
        </w:rPr>
        <w:t>. Nationally, youth participation has become highly salient, exemplified by the record 82.2% voter turnout in the 2025 midterm elections. Within the K–12 system, Republic Act No. 10533 mandates schools to form empowered citizens, and the Understanding Culture, Society, and Politics (UCSP) course explicitly foregrounds civic competencies and democratic participation.</w:t>
      </w:r>
    </w:p>
    <w:p w14:paraId="752DBD63" w14:textId="37370575" w:rsidR="0A54268E" w:rsidRDefault="0A54268E" w:rsidP="3089B873">
      <w:pPr>
        <w:pStyle w:val="Body"/>
        <w:spacing w:after="0"/>
        <w:rPr>
          <w:rFonts w:ascii="Arial" w:hAnsi="Arial" w:cs="Arial"/>
        </w:rPr>
      </w:pPr>
      <w:r w:rsidRPr="3089B873">
        <w:rPr>
          <w:rFonts w:ascii="Arial" w:hAnsi="Arial" w:cs="Arial"/>
        </w:rPr>
        <w:t xml:space="preserve"> </w:t>
      </w:r>
    </w:p>
    <w:p w14:paraId="124723EC" w14:textId="2900562D" w:rsidR="0A54268E" w:rsidRDefault="0A54268E" w:rsidP="3089B873">
      <w:pPr>
        <w:pStyle w:val="Body"/>
        <w:spacing w:after="0"/>
        <w:rPr>
          <w:rFonts w:ascii="Arial" w:hAnsi="Arial" w:cs="Arial"/>
        </w:rPr>
      </w:pPr>
      <w:r w:rsidRPr="3089B873">
        <w:rPr>
          <w:rFonts w:ascii="Arial" w:hAnsi="Arial" w:cs="Arial"/>
        </w:rPr>
        <w:t xml:space="preserve">Despite these institutional commitments, gaps remain in understanding how awareness translates into engagement, particularly in digitally saturated democracies of the Global South. </w:t>
      </w:r>
      <w:commentRangeStart w:id="5"/>
      <w:r w:rsidRPr="3089B873">
        <w:rPr>
          <w:rFonts w:ascii="Arial" w:hAnsi="Arial" w:cs="Arial"/>
        </w:rPr>
        <w:t>Existing studies often treat awareness as a uniform cognitive precursor to participation, overlooking relational and contextual mediators such as peer networks, digital literacies, and curricular disparities</w:t>
      </w:r>
      <w:commentRangeEnd w:id="5"/>
      <w:r w:rsidR="00E8677B">
        <w:rPr>
          <w:rStyle w:val="CommentReference"/>
          <w:rFonts w:ascii="Times New Roman" w:hAnsi="Times New Roman"/>
          <w:lang w:val="nb-NO" w:eastAsia="nb-NO"/>
        </w:rPr>
        <w:commentReference w:id="5"/>
      </w:r>
      <w:r w:rsidRPr="3089B873">
        <w:rPr>
          <w:rFonts w:ascii="Arial" w:hAnsi="Arial" w:cs="Arial"/>
        </w:rPr>
        <w:t>. This study addresses that gap by investigating how political and civic awareness relate to engagement among Senior High School students in the Philippines. Guided by Freire’s critical consciousness and Bandura’s social learning perspectives within an IPO framework, the study combines quantitative estimates of relationships with qualitative insights into mechanisms. In doing so, it contributes to theory by refining models of youth political socialization, extends existing frameworks to hybrid classroom/digital contexts, and situates the Philippine SHS case as globally relevant for understanding youth civic development.</w:t>
      </w:r>
    </w:p>
    <w:p w14:paraId="3656B9AB" w14:textId="77777777" w:rsidR="00505F06" w:rsidRDefault="00505F06" w:rsidP="00441B6F">
      <w:pPr>
        <w:pStyle w:val="Body"/>
        <w:spacing w:after="0"/>
        <w:rPr>
          <w:rFonts w:ascii="Arial" w:hAnsi="Arial" w:cs="Arial"/>
        </w:rPr>
      </w:pPr>
    </w:p>
    <w:p w14:paraId="45FB0818" w14:textId="77777777" w:rsidR="00790ADA" w:rsidRPr="00FB3A86" w:rsidRDefault="00790ADA" w:rsidP="00441B6F">
      <w:pPr>
        <w:pStyle w:val="Body"/>
        <w:spacing w:after="0"/>
        <w:rPr>
          <w:rFonts w:ascii="Arial" w:hAnsi="Arial" w:cs="Arial"/>
        </w:rPr>
      </w:pPr>
    </w:p>
    <w:p w14:paraId="2FF81B59" w14:textId="78C4E745" w:rsidR="007F7B32" w:rsidRDefault="00902823" w:rsidP="00441B6F">
      <w:pPr>
        <w:pStyle w:val="AbstHead"/>
        <w:spacing w:after="0"/>
        <w:jc w:val="both"/>
        <w:rPr>
          <w:rFonts w:ascii="Arial" w:hAnsi="Arial" w:cs="Arial"/>
        </w:rPr>
      </w:pPr>
      <w:r w:rsidRPr="3089B873">
        <w:rPr>
          <w:rFonts w:ascii="Arial" w:hAnsi="Arial" w:cs="Arial"/>
        </w:rPr>
        <w:t>2. material and method</w:t>
      </w:r>
      <w:r w:rsidR="00000F8F" w:rsidRPr="3089B873">
        <w:rPr>
          <w:rFonts w:ascii="Arial" w:hAnsi="Arial" w:cs="Arial"/>
        </w:rPr>
        <w:t xml:space="preserve">s </w:t>
      </w:r>
    </w:p>
    <w:p w14:paraId="049F31CB" w14:textId="77777777" w:rsidR="00790ADA" w:rsidRPr="00FB3A86" w:rsidRDefault="00790ADA" w:rsidP="00441B6F">
      <w:pPr>
        <w:pStyle w:val="AbstHead"/>
        <w:spacing w:after="0"/>
        <w:jc w:val="both"/>
        <w:rPr>
          <w:rFonts w:ascii="Arial" w:hAnsi="Arial" w:cs="Arial"/>
        </w:rPr>
      </w:pPr>
    </w:p>
    <w:p w14:paraId="78ADA25F" w14:textId="272A0969" w:rsidR="4AF09757" w:rsidRDefault="4AF09757"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.1 Research Design</w:t>
      </w:r>
    </w:p>
    <w:p w14:paraId="7FA0B29D" w14:textId="633E1259" w:rsidR="3521D059" w:rsidRDefault="3521D059" w:rsidP="3089B873">
      <w:pPr>
        <w:pStyle w:val="Body"/>
        <w:spacing w:after="0"/>
        <w:rPr>
          <w:rFonts w:ascii="Arial" w:hAnsi="Arial" w:cs="Arial"/>
        </w:rPr>
      </w:pPr>
      <w:r w:rsidRPr="3089B873">
        <w:rPr>
          <w:rFonts w:ascii="Arial" w:hAnsi="Arial" w:cs="Arial"/>
        </w:rPr>
        <w:t xml:space="preserve">An explanatory sequential </w:t>
      </w:r>
      <w:commentRangeStart w:id="6"/>
      <w:r w:rsidRPr="3089B873">
        <w:rPr>
          <w:rFonts w:ascii="Arial" w:hAnsi="Arial" w:cs="Arial"/>
        </w:rPr>
        <w:t xml:space="preserve">mixed‑methods design </w:t>
      </w:r>
      <w:commentRangeEnd w:id="6"/>
      <w:r w:rsidR="00D9518B">
        <w:rPr>
          <w:rStyle w:val="CommentReference"/>
          <w:rFonts w:ascii="Times New Roman" w:hAnsi="Times New Roman"/>
          <w:lang w:val="nb-NO" w:eastAsia="nb-NO"/>
        </w:rPr>
        <w:commentReference w:id="6"/>
      </w:r>
      <w:r w:rsidRPr="3089B873">
        <w:rPr>
          <w:rFonts w:ascii="Arial" w:hAnsi="Arial" w:cs="Arial"/>
        </w:rPr>
        <w:t>was employed. The quantitative strand estimated relationships between awareness and engagement, while the qualitative strand explained mechanisms underlying those patterns.</w:t>
      </w:r>
    </w:p>
    <w:p w14:paraId="6FF7EF47" w14:textId="628F244C" w:rsidR="3089B873" w:rsidRDefault="3089B873" w:rsidP="3089B873">
      <w:pPr>
        <w:pStyle w:val="Body"/>
        <w:spacing w:after="0"/>
        <w:rPr>
          <w:rFonts w:ascii="Arial" w:hAnsi="Arial" w:cs="Arial"/>
        </w:rPr>
      </w:pPr>
    </w:p>
    <w:p w14:paraId="70C2F8A5" w14:textId="0AAA8114" w:rsidR="3089B873" w:rsidRDefault="3089B873" w:rsidP="3089B873">
      <w:pPr>
        <w:pStyle w:val="Body"/>
        <w:spacing w:after="0"/>
        <w:rPr>
          <w:rFonts w:ascii="Arial" w:hAnsi="Arial" w:cs="Arial"/>
        </w:rPr>
      </w:pPr>
    </w:p>
    <w:p w14:paraId="0ABF5FFD" w14:textId="1D08141E" w:rsidR="3089B873" w:rsidRDefault="3089B873" w:rsidP="3089B873">
      <w:pPr>
        <w:pStyle w:val="Body"/>
        <w:spacing w:after="0"/>
        <w:rPr>
          <w:rFonts w:ascii="Arial" w:hAnsi="Arial" w:cs="Arial"/>
        </w:rPr>
      </w:pPr>
    </w:p>
    <w:p w14:paraId="7F451727" w14:textId="5A262B12" w:rsidR="211CC5AF" w:rsidRDefault="211CC5AF"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.2 Setting and Participants</w:t>
      </w:r>
    </w:p>
    <w:p w14:paraId="7AFF1BC3" w14:textId="1F725D22" w:rsidR="3521D059" w:rsidRDefault="3521D059" w:rsidP="3089B873">
      <w:pPr>
        <w:pStyle w:val="Body"/>
        <w:spacing w:after="0"/>
        <w:rPr>
          <w:rFonts w:ascii="Arial" w:hAnsi="Arial" w:cs="Arial"/>
        </w:rPr>
      </w:pPr>
      <w:r w:rsidRPr="3089B873">
        <w:rPr>
          <w:rFonts w:ascii="Arial" w:hAnsi="Arial" w:cs="Arial"/>
        </w:rPr>
        <w:t>Conducted in a large public Senior High School (SY 2025–2026), stratified random sampling yielded N = 400 students balanced by grade, sex, and track. Extreme‑case purposive sampling (n = 8) selected students at the highest and lowest ends of awareness and engagement scores.</w:t>
      </w:r>
    </w:p>
    <w:p w14:paraId="56F4FAFB" w14:textId="19025556" w:rsidR="3089B873" w:rsidRDefault="3089B873" w:rsidP="3089B873">
      <w:pPr>
        <w:pStyle w:val="Body"/>
        <w:spacing w:after="0"/>
        <w:rPr>
          <w:rFonts w:ascii="Arial" w:hAnsi="Arial" w:cs="Arial"/>
        </w:rPr>
      </w:pPr>
    </w:p>
    <w:p w14:paraId="2DB1BFBB" w14:textId="4BCC1B05" w:rsidR="3DFA5AA3" w:rsidRDefault="3DFA5AA3"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 xml:space="preserve">.3 </w:t>
      </w:r>
      <w:commentRangeStart w:id="7"/>
      <w:r w:rsidR="3521D059" w:rsidRPr="3089B873">
        <w:rPr>
          <w:rFonts w:ascii="Arial" w:hAnsi="Arial" w:cs="Arial"/>
          <w:b/>
          <w:bCs/>
        </w:rPr>
        <w:t>Instruments</w:t>
      </w:r>
      <w:commentRangeEnd w:id="7"/>
      <w:r w:rsidR="00B06FA8">
        <w:rPr>
          <w:rStyle w:val="CommentReference"/>
          <w:rFonts w:ascii="Times New Roman" w:hAnsi="Times New Roman"/>
          <w:lang w:val="nb-NO" w:eastAsia="nb-NO"/>
        </w:rPr>
        <w:commentReference w:id="7"/>
      </w:r>
    </w:p>
    <w:p w14:paraId="0CAF8666" w14:textId="77C5BAB4" w:rsidR="3521D059" w:rsidRDefault="3521D059" w:rsidP="3089B873">
      <w:pPr>
        <w:pStyle w:val="Body"/>
        <w:spacing w:after="0"/>
        <w:rPr>
          <w:rFonts w:ascii="Arial" w:hAnsi="Arial" w:cs="Arial"/>
        </w:rPr>
      </w:pPr>
      <w:r w:rsidRPr="3089B873">
        <w:rPr>
          <w:rFonts w:ascii="Arial" w:hAnsi="Arial" w:cs="Arial"/>
        </w:rPr>
        <w:t>A five‑part questionnaire measured demographics, political awareness, civic awareness, political engagement, and civic engagement. Scales were contextualized to the Philippine SHS setting, expert‑reviewed, and pilot‑tested (McDonald’s ω = .91–.96).</w:t>
      </w:r>
    </w:p>
    <w:p w14:paraId="2F2575F0" w14:textId="54E5668E" w:rsidR="3089B873" w:rsidRDefault="3089B873" w:rsidP="3089B873">
      <w:pPr>
        <w:pStyle w:val="Body"/>
        <w:spacing w:after="0"/>
        <w:rPr>
          <w:rFonts w:ascii="Arial" w:hAnsi="Arial" w:cs="Arial"/>
        </w:rPr>
      </w:pPr>
    </w:p>
    <w:p w14:paraId="7866F83B" w14:textId="0748B2D4" w:rsidR="5D6891E7" w:rsidRDefault="5D6891E7" w:rsidP="3089B873">
      <w:pPr>
        <w:pStyle w:val="Body"/>
        <w:spacing w:after="0"/>
        <w:rPr>
          <w:rFonts w:ascii="Arial" w:hAnsi="Arial" w:cs="Arial"/>
          <w:b/>
          <w:bCs/>
        </w:rPr>
      </w:pPr>
      <w:r w:rsidRPr="3089B873">
        <w:rPr>
          <w:rFonts w:ascii="Arial" w:hAnsi="Arial" w:cs="Arial"/>
          <w:b/>
          <w:bCs/>
        </w:rPr>
        <w:lastRenderedPageBreak/>
        <w:t>2</w:t>
      </w:r>
      <w:r w:rsidR="3521D059" w:rsidRPr="3089B873">
        <w:rPr>
          <w:rFonts w:ascii="Arial" w:hAnsi="Arial" w:cs="Arial"/>
          <w:b/>
          <w:bCs/>
        </w:rPr>
        <w:t>.4 Procedures</w:t>
      </w:r>
    </w:p>
    <w:p w14:paraId="4F3B0BE1" w14:textId="09D6183E" w:rsidR="3521D059" w:rsidRDefault="3521D059" w:rsidP="3089B873">
      <w:pPr>
        <w:pStyle w:val="Body"/>
        <w:spacing w:after="0"/>
        <w:rPr>
          <w:rFonts w:ascii="Arial" w:hAnsi="Arial" w:cs="Arial"/>
        </w:rPr>
      </w:pPr>
      <w:r w:rsidRPr="3089B873">
        <w:rPr>
          <w:rFonts w:ascii="Arial" w:hAnsi="Arial" w:cs="Arial"/>
        </w:rPr>
        <w:t>Surveys were administered in classrooms; FGDs were conducted with extreme‑case participants. Ethical safeguards included informed consent, voluntariness, anonymization, and compliance with RA 10173.</w:t>
      </w:r>
    </w:p>
    <w:p w14:paraId="3DF4FF1F" w14:textId="43CFA79F" w:rsidR="3089B873" w:rsidRDefault="3089B873" w:rsidP="3089B873">
      <w:pPr>
        <w:pStyle w:val="Body"/>
        <w:spacing w:after="0"/>
        <w:rPr>
          <w:rFonts w:ascii="Arial" w:hAnsi="Arial" w:cs="Arial"/>
        </w:rPr>
      </w:pPr>
    </w:p>
    <w:p w14:paraId="61865770" w14:textId="0BE5E049" w:rsidR="0A66B81B" w:rsidRDefault="0A66B81B" w:rsidP="3089B873">
      <w:pPr>
        <w:pStyle w:val="Body"/>
        <w:spacing w:after="0"/>
        <w:rPr>
          <w:rFonts w:ascii="Arial" w:hAnsi="Arial" w:cs="Arial"/>
          <w:b/>
          <w:bCs/>
        </w:rPr>
      </w:pPr>
      <w:r w:rsidRPr="3089B873">
        <w:rPr>
          <w:rFonts w:ascii="Arial" w:hAnsi="Arial" w:cs="Arial"/>
          <w:b/>
          <w:bCs/>
        </w:rPr>
        <w:t>2</w:t>
      </w:r>
      <w:r w:rsidR="3521D059" w:rsidRPr="3089B873">
        <w:rPr>
          <w:rFonts w:ascii="Arial" w:hAnsi="Arial" w:cs="Arial"/>
          <w:b/>
          <w:bCs/>
        </w:rPr>
        <w:t xml:space="preserve">.5 </w:t>
      </w:r>
      <w:commentRangeStart w:id="8"/>
      <w:r w:rsidR="3521D059" w:rsidRPr="3089B873">
        <w:rPr>
          <w:rFonts w:ascii="Arial" w:hAnsi="Arial" w:cs="Arial"/>
          <w:b/>
          <w:bCs/>
        </w:rPr>
        <w:t>Data Analysis</w:t>
      </w:r>
      <w:commentRangeEnd w:id="8"/>
      <w:r w:rsidR="00B06FA8">
        <w:rPr>
          <w:rStyle w:val="CommentReference"/>
          <w:rFonts w:ascii="Times New Roman" w:hAnsi="Times New Roman"/>
          <w:lang w:val="nb-NO" w:eastAsia="nb-NO"/>
        </w:rPr>
        <w:commentReference w:id="8"/>
      </w:r>
    </w:p>
    <w:p w14:paraId="37475436" w14:textId="0B1C9C63" w:rsidR="3521D059" w:rsidRDefault="3521D059" w:rsidP="3089B873">
      <w:pPr>
        <w:pStyle w:val="Body"/>
        <w:spacing w:after="0"/>
        <w:rPr>
          <w:rFonts w:ascii="Arial" w:hAnsi="Arial" w:cs="Arial"/>
        </w:rPr>
      </w:pPr>
      <w:r w:rsidRPr="3089B873">
        <w:rPr>
          <w:rFonts w:ascii="Arial" w:hAnsi="Arial" w:cs="Arial"/>
        </w:rPr>
        <w:t>Quantitative data were analyzed using descriptive statistics, subgroup comparisons, correlations, and regressions. Qualitative data were analyzed through reflexive thematic analysis. Integration occurred through connecting, building, and merging strands.</w:t>
      </w:r>
    </w:p>
    <w:p w14:paraId="69101732" w14:textId="68654F1E" w:rsidR="3089B873" w:rsidRDefault="3089B873" w:rsidP="3089B873">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commentRangeStart w:id="9"/>
      <w:r>
        <w:rPr>
          <w:rFonts w:ascii="Arial" w:hAnsi="Arial" w:cs="Arial"/>
        </w:rPr>
        <w:t>discussion</w:t>
      </w:r>
      <w:commentRangeEnd w:id="9"/>
      <w:r w:rsidR="00E416F0">
        <w:rPr>
          <w:rStyle w:val="CommentReference"/>
          <w:rFonts w:ascii="Times New Roman" w:hAnsi="Times New Roman"/>
          <w:b w:val="0"/>
          <w:caps w:val="0"/>
          <w:lang w:val="nb-NO" w:eastAsia="nb-NO"/>
        </w:rPr>
        <w:commentReference w:id="9"/>
      </w:r>
    </w:p>
    <w:p w14:paraId="0562CB0E" w14:textId="77777777" w:rsidR="00790ADA" w:rsidRPr="00FB3A86" w:rsidRDefault="00790ADA" w:rsidP="00441B6F">
      <w:pPr>
        <w:pStyle w:val="Head1"/>
        <w:spacing w:after="0"/>
        <w:jc w:val="both"/>
        <w:rPr>
          <w:rFonts w:ascii="Arial" w:hAnsi="Arial" w:cs="Arial"/>
        </w:rPr>
      </w:pPr>
    </w:p>
    <w:p w14:paraId="151F3DB9" w14:textId="44559CBB" w:rsidR="00E053D0" w:rsidRDefault="54148484"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.1 Overall Trends</w:t>
      </w:r>
    </w:p>
    <w:p w14:paraId="700677A8" w14:textId="1B1A41E0" w:rsidR="00E053D0" w:rsidRDefault="4905475A" w:rsidP="3089B873">
      <w:pPr>
        <w:rPr>
          <w:rFonts w:ascii="Arial" w:hAnsi="Arial" w:cs="Arial"/>
          <w:lang w:val="en-GB"/>
        </w:rPr>
      </w:pPr>
      <w:r w:rsidRPr="3089B873">
        <w:rPr>
          <w:rFonts w:ascii="Arial" w:hAnsi="Arial" w:cs="Arial"/>
          <w:lang w:val="en-GB"/>
        </w:rPr>
        <w:t>Students were generally “Aware” in both domains, with civic engagement stronger than political engagement.</w:t>
      </w:r>
    </w:p>
    <w:p w14:paraId="26986480" w14:textId="24AC4525" w:rsidR="00E053D0" w:rsidRDefault="00E053D0" w:rsidP="3089B873">
      <w:pPr>
        <w:rPr>
          <w:rFonts w:ascii="Arial" w:hAnsi="Arial" w:cs="Arial"/>
          <w:lang w:val="en-GB"/>
        </w:rPr>
      </w:pPr>
    </w:p>
    <w:p w14:paraId="5952AD95" w14:textId="3B0CA9A9" w:rsidR="00E053D0" w:rsidRDefault="54FCC8E9"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.2 Subgroup Differences</w:t>
      </w:r>
    </w:p>
    <w:p w14:paraId="3AAE6861" w14:textId="63B4E15F" w:rsidR="00E053D0" w:rsidRDefault="4905475A" w:rsidP="3089B873">
      <w:pPr>
        <w:rPr>
          <w:rFonts w:ascii="Arial" w:hAnsi="Arial" w:cs="Arial"/>
          <w:lang w:val="en-GB"/>
        </w:rPr>
      </w:pPr>
      <w:r w:rsidRPr="3089B873">
        <w:rPr>
          <w:rFonts w:ascii="Arial" w:hAnsi="Arial" w:cs="Arial"/>
          <w:lang w:val="en-GB"/>
        </w:rPr>
        <w:t>Track differences were most pronounced for awareness. Grade differences were modest for engagement. Sex differences were minimal.</w:t>
      </w:r>
    </w:p>
    <w:p w14:paraId="31C6E9F8" w14:textId="668F56B3" w:rsidR="00E053D0" w:rsidRDefault="00E053D0" w:rsidP="3089B873">
      <w:pPr>
        <w:rPr>
          <w:rFonts w:ascii="Arial" w:hAnsi="Arial" w:cs="Arial"/>
          <w:lang w:val="en-GB"/>
        </w:rPr>
      </w:pPr>
    </w:p>
    <w:p w14:paraId="04F15528" w14:textId="6E659B2A" w:rsidR="00E053D0" w:rsidRDefault="1C72F8C8"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.3 Awareness–Engagement Links</w:t>
      </w:r>
    </w:p>
    <w:p w14:paraId="7AF61542" w14:textId="350721C5" w:rsidR="00E053D0" w:rsidRDefault="4905475A" w:rsidP="3089B873">
      <w:pPr>
        <w:rPr>
          <w:rFonts w:ascii="Arial" w:hAnsi="Arial" w:cs="Arial"/>
          <w:lang w:val="en-GB"/>
        </w:rPr>
      </w:pPr>
      <w:r w:rsidRPr="3089B873">
        <w:rPr>
          <w:rFonts w:ascii="Arial" w:hAnsi="Arial" w:cs="Arial"/>
          <w:lang w:val="en-GB"/>
        </w:rPr>
        <w:t>Political awareness moderately predicted political engagement (r = .40; R² = .16), while civic awareness strongly predicted civic engagement (r = .67; R² = .45).</w:t>
      </w:r>
    </w:p>
    <w:p w14:paraId="18374437" w14:textId="4F186C11" w:rsidR="00E053D0" w:rsidRDefault="00E053D0" w:rsidP="3089B873">
      <w:pPr>
        <w:rPr>
          <w:rFonts w:ascii="Arial" w:hAnsi="Arial" w:cs="Arial"/>
          <w:lang w:val="en-GB"/>
        </w:rPr>
      </w:pPr>
    </w:p>
    <w:p w14:paraId="194007B9" w14:textId="7D2EEADC" w:rsidR="00E053D0" w:rsidRDefault="2D9646C2"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 xml:space="preserve">.4 </w:t>
      </w:r>
      <w:commentRangeStart w:id="10"/>
      <w:r w:rsidR="4905475A" w:rsidRPr="3089B873">
        <w:rPr>
          <w:rFonts w:ascii="Arial" w:hAnsi="Arial" w:cs="Arial"/>
          <w:b/>
          <w:bCs/>
          <w:lang w:val="en-GB"/>
        </w:rPr>
        <w:t>Qualitative Insights</w:t>
      </w:r>
      <w:commentRangeEnd w:id="10"/>
      <w:r w:rsidR="005D6DF8">
        <w:rPr>
          <w:rStyle w:val="CommentReference"/>
          <w:rFonts w:ascii="Times New Roman" w:hAnsi="Times New Roman"/>
          <w:lang w:val="nb-NO" w:eastAsia="nb-NO"/>
        </w:rPr>
        <w:commentReference w:id="10"/>
      </w:r>
    </w:p>
    <w:p w14:paraId="1700BAD8" w14:textId="35F8DC97" w:rsidR="00E053D0" w:rsidRDefault="4905475A" w:rsidP="3089B873">
      <w:pPr>
        <w:rPr>
          <w:rFonts w:ascii="Arial" w:hAnsi="Arial" w:cs="Arial"/>
          <w:lang w:val="en-GB"/>
        </w:rPr>
      </w:pPr>
      <w:r w:rsidRPr="3089B873">
        <w:rPr>
          <w:rFonts w:ascii="Arial" w:hAnsi="Arial" w:cs="Arial"/>
          <w:lang w:val="en-GB"/>
        </w:rPr>
        <w:t>Six themes explained these patterns: digital political learning, curricular disparities, incentive‑dependent participation, intergenerational tensions, structural school factors, and peer‑network socialization.</w:t>
      </w:r>
    </w:p>
    <w:p w14:paraId="4B3AF0EC" w14:textId="7EC097BD" w:rsidR="00E053D0" w:rsidRDefault="00E053D0" w:rsidP="3089B873">
      <w:pPr>
        <w:rPr>
          <w:rFonts w:ascii="Arial" w:hAnsi="Arial" w:cs="Arial"/>
          <w:lang w:val="en-GB"/>
        </w:rPr>
      </w:pPr>
    </w:p>
    <w:p w14:paraId="5590B056" w14:textId="512FDBFD" w:rsidR="00E053D0" w:rsidRDefault="00E053D0" w:rsidP="3089B873">
      <w:pPr>
        <w:rPr>
          <w:rFonts w:ascii="Arial" w:hAnsi="Arial" w:cs="Arial"/>
          <w:lang w:val="en-GB"/>
        </w:rPr>
      </w:pPr>
    </w:p>
    <w:p w14:paraId="14BDCEE6" w14:textId="72E1B8AE" w:rsidR="00E053D0" w:rsidRDefault="00E053D0" w:rsidP="3089B873">
      <w:pPr>
        <w:rPr>
          <w:rFonts w:ascii="Arial" w:hAnsi="Arial" w:cs="Arial"/>
          <w:lang w:val="en-GB"/>
        </w:rPr>
      </w:pPr>
    </w:p>
    <w:p w14:paraId="0D6DCE3B" w14:textId="566BD08C" w:rsidR="00E053D0" w:rsidRDefault="00E053D0" w:rsidP="3089B873">
      <w:pPr>
        <w:rPr>
          <w:rFonts w:ascii="Arial" w:hAnsi="Arial" w:cs="Arial"/>
          <w:lang w:val="en-GB"/>
        </w:rPr>
      </w:pPr>
    </w:p>
    <w:p w14:paraId="7B731890" w14:textId="26B1F571" w:rsidR="00E053D0" w:rsidRDefault="00E053D0" w:rsidP="3089B873">
      <w:pPr>
        <w:rPr>
          <w:rFonts w:ascii="Arial" w:hAnsi="Arial" w:cs="Arial"/>
          <w:lang w:val="en-GB"/>
        </w:rPr>
      </w:pPr>
    </w:p>
    <w:p w14:paraId="64C315FE" w14:textId="367A5586" w:rsidR="00E053D0" w:rsidRDefault="00E053D0" w:rsidP="3089B873">
      <w:pPr>
        <w:rPr>
          <w:rFonts w:ascii="Arial" w:hAnsi="Arial" w:cs="Arial"/>
          <w:lang w:val="en-GB"/>
        </w:rPr>
      </w:pPr>
    </w:p>
    <w:p w14:paraId="77BF0150" w14:textId="74285E6E" w:rsidR="00E053D0" w:rsidRDefault="00E053D0" w:rsidP="3089B873">
      <w:pPr>
        <w:rPr>
          <w:rFonts w:ascii="Arial" w:hAnsi="Arial" w:cs="Arial"/>
          <w:lang w:val="en-GB"/>
        </w:rPr>
      </w:pPr>
    </w:p>
    <w:p w14:paraId="374B06EA" w14:textId="537C898D" w:rsidR="00E053D0" w:rsidRDefault="7515688B" w:rsidP="3089B873">
      <w:pPr>
        <w:rPr>
          <w:rFonts w:ascii="Arial" w:hAnsi="Arial" w:cs="Arial"/>
          <w:b/>
          <w:bCs/>
          <w:lang w:val="en-GB"/>
        </w:rPr>
      </w:pPr>
      <w:r w:rsidRPr="3089B873">
        <w:rPr>
          <w:rFonts w:ascii="Arial" w:hAnsi="Arial" w:cs="Arial"/>
          <w:b/>
          <w:bCs/>
          <w:lang w:val="en-GB"/>
        </w:rPr>
        <w:t>3</w:t>
      </w:r>
      <w:r w:rsidR="4905475A" w:rsidRPr="3089B873">
        <w:rPr>
          <w:rFonts w:ascii="Arial" w:hAnsi="Arial" w:cs="Arial"/>
          <w:b/>
          <w:bCs/>
          <w:lang w:val="en-GB"/>
        </w:rPr>
        <w:t>.5 Tables</w:t>
      </w:r>
    </w:p>
    <w:p w14:paraId="57C16D4E" w14:textId="5536B4CF" w:rsidR="00E053D0" w:rsidRDefault="4905475A" w:rsidP="3089B873">
      <w:pPr>
        <w:rPr>
          <w:rFonts w:ascii="Arial" w:hAnsi="Arial" w:cs="Arial"/>
          <w:lang w:val="en-GB"/>
        </w:rPr>
      </w:pPr>
      <w:r w:rsidRPr="3089B873">
        <w:rPr>
          <w:rFonts w:ascii="Arial" w:hAnsi="Arial" w:cs="Arial"/>
          <w:b/>
          <w:bCs/>
          <w:lang w:val="en-GB"/>
        </w:rPr>
        <w:t>Table 1</w:t>
      </w:r>
      <w:r w:rsidRPr="3089B873">
        <w:rPr>
          <w:rFonts w:ascii="Arial" w:hAnsi="Arial" w:cs="Arial"/>
          <w:lang w:val="en-GB"/>
        </w:rPr>
        <w:t>. Subgroup Differences in Awareness and Engagement (Means, Effect Sizes, and Interpretive Notes)</w:t>
      </w:r>
    </w:p>
    <w:p w14:paraId="66CEB90E" w14:textId="1887B4E1" w:rsidR="00E053D0" w:rsidRDefault="00E053D0" w:rsidP="3089B873">
      <w:pPr>
        <w:rPr>
          <w:rFonts w:ascii="Arial" w:hAnsi="Arial" w:cs="Arial"/>
          <w:lang w:val="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465"/>
        <w:gridCol w:w="1349"/>
        <w:gridCol w:w="1318"/>
        <w:gridCol w:w="1501"/>
        <w:gridCol w:w="1351"/>
        <w:gridCol w:w="1440"/>
      </w:tblGrid>
      <w:tr w:rsidR="3089B873" w14:paraId="6849E6F6" w14:textId="77777777" w:rsidTr="3089B873">
        <w:trPr>
          <w:trHeight w:val="300"/>
        </w:trPr>
        <w:tc>
          <w:tcPr>
            <w:tcW w:w="1368" w:type="dxa"/>
            <w:tcBorders>
              <w:top w:val="single" w:sz="12" w:space="0" w:color="000000" w:themeColor="text1"/>
              <w:bottom w:val="single" w:sz="12" w:space="0" w:color="000000" w:themeColor="text1"/>
            </w:tcBorders>
          </w:tcPr>
          <w:p w14:paraId="5DDD60E4" w14:textId="65FD081F" w:rsidR="3089B873" w:rsidRDefault="3089B873" w:rsidP="3089B873">
            <w:pPr>
              <w:jc w:val="center"/>
              <w:rPr>
                <w:b/>
                <w:bCs/>
                <w:sz w:val="16"/>
                <w:szCs w:val="16"/>
              </w:rPr>
            </w:pPr>
            <w:r w:rsidRPr="3089B873">
              <w:rPr>
                <w:b/>
                <w:bCs/>
                <w:sz w:val="18"/>
                <w:szCs w:val="18"/>
              </w:rPr>
              <w:t>Construct</w:t>
            </w:r>
          </w:p>
        </w:tc>
        <w:tc>
          <w:tcPr>
            <w:tcW w:w="1368" w:type="dxa"/>
            <w:tcBorders>
              <w:top w:val="single" w:sz="12" w:space="0" w:color="000000" w:themeColor="text1"/>
              <w:bottom w:val="single" w:sz="12" w:space="0" w:color="000000" w:themeColor="text1"/>
            </w:tcBorders>
          </w:tcPr>
          <w:p w14:paraId="408FB730" w14:textId="6E13C46B" w:rsidR="3089B873" w:rsidRDefault="3089B873" w:rsidP="3089B873">
            <w:pPr>
              <w:jc w:val="center"/>
              <w:rPr>
                <w:b/>
                <w:bCs/>
                <w:sz w:val="16"/>
                <w:szCs w:val="16"/>
              </w:rPr>
            </w:pPr>
            <w:r w:rsidRPr="3089B873">
              <w:rPr>
                <w:b/>
                <w:bCs/>
                <w:sz w:val="18"/>
                <w:szCs w:val="18"/>
              </w:rPr>
              <w:t>Subgroup Comparison</w:t>
            </w:r>
          </w:p>
        </w:tc>
        <w:tc>
          <w:tcPr>
            <w:tcW w:w="1368" w:type="dxa"/>
            <w:tcBorders>
              <w:top w:val="single" w:sz="12" w:space="0" w:color="000000" w:themeColor="text1"/>
              <w:bottom w:val="single" w:sz="12" w:space="0" w:color="000000" w:themeColor="text1"/>
            </w:tcBorders>
          </w:tcPr>
          <w:p w14:paraId="7E527FC1" w14:textId="4B0EFD77" w:rsidR="3089B873" w:rsidRDefault="3089B873" w:rsidP="3089B873">
            <w:pPr>
              <w:jc w:val="center"/>
              <w:rPr>
                <w:b/>
                <w:bCs/>
                <w:sz w:val="16"/>
                <w:szCs w:val="16"/>
              </w:rPr>
            </w:pPr>
            <w:r w:rsidRPr="3089B873">
              <w:rPr>
                <w:b/>
                <w:bCs/>
                <w:sz w:val="18"/>
                <w:szCs w:val="18"/>
              </w:rPr>
              <w:t>Mean Difference</w:t>
            </w:r>
          </w:p>
        </w:tc>
        <w:tc>
          <w:tcPr>
            <w:tcW w:w="1368" w:type="dxa"/>
            <w:tcBorders>
              <w:top w:val="single" w:sz="12" w:space="0" w:color="000000" w:themeColor="text1"/>
              <w:bottom w:val="single" w:sz="12" w:space="0" w:color="000000" w:themeColor="text1"/>
            </w:tcBorders>
          </w:tcPr>
          <w:p w14:paraId="3AE12EAF" w14:textId="50EA0E7F" w:rsidR="3089B873" w:rsidRDefault="3089B873" w:rsidP="3089B873">
            <w:pPr>
              <w:jc w:val="center"/>
              <w:rPr>
                <w:b/>
                <w:bCs/>
                <w:sz w:val="16"/>
                <w:szCs w:val="16"/>
              </w:rPr>
            </w:pPr>
            <w:r w:rsidRPr="3089B873">
              <w:rPr>
                <w:b/>
                <w:bCs/>
                <w:sz w:val="18"/>
                <w:szCs w:val="18"/>
              </w:rPr>
              <w:t>Effect Size (d)</w:t>
            </w:r>
          </w:p>
        </w:tc>
        <w:tc>
          <w:tcPr>
            <w:tcW w:w="1368" w:type="dxa"/>
            <w:tcBorders>
              <w:top w:val="single" w:sz="12" w:space="0" w:color="000000" w:themeColor="text1"/>
              <w:bottom w:val="single" w:sz="12" w:space="0" w:color="000000" w:themeColor="text1"/>
            </w:tcBorders>
          </w:tcPr>
          <w:p w14:paraId="6687EC97" w14:textId="6FB7EB4F" w:rsidR="3089B873" w:rsidRDefault="3089B873" w:rsidP="3089B873">
            <w:pPr>
              <w:jc w:val="center"/>
              <w:rPr>
                <w:b/>
                <w:bCs/>
                <w:sz w:val="16"/>
                <w:szCs w:val="16"/>
              </w:rPr>
            </w:pPr>
            <w:r w:rsidRPr="3089B873">
              <w:rPr>
                <w:b/>
                <w:bCs/>
                <w:sz w:val="18"/>
                <w:szCs w:val="18"/>
              </w:rPr>
              <w:t>Significance</w:t>
            </w:r>
          </w:p>
        </w:tc>
        <w:tc>
          <w:tcPr>
            <w:tcW w:w="1368" w:type="dxa"/>
            <w:tcBorders>
              <w:top w:val="single" w:sz="12" w:space="0" w:color="000000" w:themeColor="text1"/>
              <w:bottom w:val="single" w:sz="12" w:space="0" w:color="000000" w:themeColor="text1"/>
            </w:tcBorders>
          </w:tcPr>
          <w:p w14:paraId="2C258E14" w14:textId="72AABB3C" w:rsidR="3089B873" w:rsidRDefault="3089B873" w:rsidP="3089B873">
            <w:pPr>
              <w:jc w:val="center"/>
              <w:rPr>
                <w:b/>
                <w:bCs/>
                <w:sz w:val="16"/>
                <w:szCs w:val="16"/>
              </w:rPr>
            </w:pPr>
            <w:r w:rsidRPr="3089B873">
              <w:rPr>
                <w:b/>
                <w:bCs/>
                <w:sz w:val="18"/>
                <w:szCs w:val="18"/>
              </w:rPr>
              <w:t>Interpretive Note</w:t>
            </w:r>
          </w:p>
        </w:tc>
      </w:tr>
      <w:tr w:rsidR="3089B873" w14:paraId="74D4AA80" w14:textId="77777777" w:rsidTr="3089B873">
        <w:trPr>
          <w:trHeight w:val="300"/>
        </w:trPr>
        <w:tc>
          <w:tcPr>
            <w:tcW w:w="1368" w:type="dxa"/>
            <w:tcBorders>
              <w:top w:val="single" w:sz="12" w:space="0" w:color="000000" w:themeColor="text1"/>
            </w:tcBorders>
          </w:tcPr>
          <w:p w14:paraId="658D9B62" w14:textId="0C5E5E9F" w:rsidR="482E2110" w:rsidRDefault="482E2110" w:rsidP="3089B873">
            <w:r>
              <w:t>Poli</w:t>
            </w:r>
            <w:r w:rsidR="3089B873">
              <w:t>tical Awareness</w:t>
            </w:r>
          </w:p>
        </w:tc>
        <w:tc>
          <w:tcPr>
            <w:tcW w:w="1368" w:type="dxa"/>
            <w:tcBorders>
              <w:top w:val="single" w:sz="12" w:space="0" w:color="000000" w:themeColor="text1"/>
            </w:tcBorders>
          </w:tcPr>
          <w:p w14:paraId="1A1DCD06" w14:textId="7BE3F197" w:rsidR="3089B873" w:rsidRDefault="3089B873" w:rsidP="3089B873">
            <w:r>
              <w:t>Female vs. Male</w:t>
            </w:r>
          </w:p>
        </w:tc>
        <w:tc>
          <w:tcPr>
            <w:tcW w:w="1368" w:type="dxa"/>
            <w:tcBorders>
              <w:top w:val="single" w:sz="12" w:space="0" w:color="000000" w:themeColor="text1"/>
            </w:tcBorders>
          </w:tcPr>
          <w:p w14:paraId="4C33CBBE" w14:textId="598CBCC5" w:rsidR="3089B873" w:rsidRDefault="3089B873" w:rsidP="3089B873">
            <w:r>
              <w:t>+0.16</w:t>
            </w:r>
          </w:p>
        </w:tc>
        <w:tc>
          <w:tcPr>
            <w:tcW w:w="1368" w:type="dxa"/>
            <w:tcBorders>
              <w:top w:val="single" w:sz="12" w:space="0" w:color="000000" w:themeColor="text1"/>
            </w:tcBorders>
          </w:tcPr>
          <w:p w14:paraId="1257E825" w14:textId="42473C41" w:rsidR="3089B873" w:rsidRDefault="3089B873" w:rsidP="3089B873">
            <w:r>
              <w:t>0.28 (small)</w:t>
            </w:r>
          </w:p>
        </w:tc>
        <w:tc>
          <w:tcPr>
            <w:tcW w:w="1368" w:type="dxa"/>
            <w:tcBorders>
              <w:top w:val="single" w:sz="12" w:space="0" w:color="000000" w:themeColor="text1"/>
            </w:tcBorders>
          </w:tcPr>
          <w:p w14:paraId="4AE56C6E" w14:textId="2E1EBAF0" w:rsidR="3089B873" w:rsidRDefault="3089B873" w:rsidP="3089B873">
            <w:r w:rsidRPr="3089B873">
              <w:rPr>
                <w:i/>
                <w:iCs/>
              </w:rPr>
              <w:t>P</w:t>
            </w:r>
            <w:r>
              <w:t xml:space="preserve"> = .01</w:t>
            </w:r>
          </w:p>
        </w:tc>
        <w:tc>
          <w:tcPr>
            <w:tcW w:w="1368" w:type="dxa"/>
            <w:tcBorders>
              <w:top w:val="single" w:sz="12" w:space="0" w:color="000000" w:themeColor="text1"/>
            </w:tcBorders>
          </w:tcPr>
          <w:p w14:paraId="78FB8851" w14:textId="6C31AD1B" w:rsidR="3089B873" w:rsidRDefault="3089B873" w:rsidP="3089B873">
            <w:r>
              <w:t>Females slightly more aware; difference modest.</w:t>
            </w:r>
          </w:p>
        </w:tc>
      </w:tr>
      <w:tr w:rsidR="3089B873" w14:paraId="39A63563" w14:textId="77777777" w:rsidTr="3089B873">
        <w:trPr>
          <w:trHeight w:val="300"/>
        </w:trPr>
        <w:tc>
          <w:tcPr>
            <w:tcW w:w="1368" w:type="dxa"/>
          </w:tcPr>
          <w:p w14:paraId="1FC04F16" w14:textId="45C50001" w:rsidR="3089B873" w:rsidRDefault="3089B873"/>
        </w:tc>
        <w:tc>
          <w:tcPr>
            <w:tcW w:w="1368" w:type="dxa"/>
          </w:tcPr>
          <w:p w14:paraId="78AD8E08" w14:textId="401C48E9" w:rsidR="3089B873" w:rsidRDefault="3089B873" w:rsidP="3089B873">
            <w:r>
              <w:t>Academic vs. TVL</w:t>
            </w:r>
          </w:p>
        </w:tc>
        <w:tc>
          <w:tcPr>
            <w:tcW w:w="1368" w:type="dxa"/>
          </w:tcPr>
          <w:p w14:paraId="5869B24C" w14:textId="1508428D" w:rsidR="3089B873" w:rsidRDefault="3089B873" w:rsidP="3089B873">
            <w:r>
              <w:t>+0.27</w:t>
            </w:r>
          </w:p>
        </w:tc>
        <w:tc>
          <w:tcPr>
            <w:tcW w:w="1368" w:type="dxa"/>
          </w:tcPr>
          <w:p w14:paraId="41A69542" w14:textId="2CCF65E0" w:rsidR="3089B873" w:rsidRDefault="3089B873" w:rsidP="3089B873">
            <w:r>
              <w:t>0.49 (approaching medium)</w:t>
            </w:r>
          </w:p>
        </w:tc>
        <w:tc>
          <w:tcPr>
            <w:tcW w:w="1368" w:type="dxa"/>
          </w:tcPr>
          <w:p w14:paraId="36B1CA01" w14:textId="1EBB41CC" w:rsidR="3089B873" w:rsidRDefault="3089B873" w:rsidP="3089B873">
            <w:r w:rsidRPr="3089B873">
              <w:rPr>
                <w:i/>
                <w:iCs/>
              </w:rPr>
              <w:t>P</w:t>
            </w:r>
            <w:r>
              <w:t xml:space="preserve"> &lt; .001</w:t>
            </w:r>
          </w:p>
        </w:tc>
        <w:tc>
          <w:tcPr>
            <w:tcW w:w="1368" w:type="dxa"/>
          </w:tcPr>
          <w:p w14:paraId="035894BE" w14:textId="7F9923B3" w:rsidR="3089B873" w:rsidRDefault="3089B873" w:rsidP="3089B873">
            <w:r>
              <w:t>Track exposure drives awareness gap.</w:t>
            </w:r>
          </w:p>
        </w:tc>
      </w:tr>
      <w:tr w:rsidR="3089B873" w14:paraId="4A66040B" w14:textId="77777777" w:rsidTr="3089B873">
        <w:trPr>
          <w:trHeight w:val="300"/>
        </w:trPr>
        <w:tc>
          <w:tcPr>
            <w:tcW w:w="1368" w:type="dxa"/>
          </w:tcPr>
          <w:p w14:paraId="3B6123FF" w14:textId="132A747D" w:rsidR="3089B873" w:rsidRDefault="3089B873"/>
        </w:tc>
        <w:tc>
          <w:tcPr>
            <w:tcW w:w="1368" w:type="dxa"/>
          </w:tcPr>
          <w:p w14:paraId="6D7E70AC" w14:textId="4C076EF5" w:rsidR="3089B873" w:rsidRDefault="3089B873" w:rsidP="3089B873">
            <w:r>
              <w:t>Grade 12 vs. 11</w:t>
            </w:r>
          </w:p>
        </w:tc>
        <w:tc>
          <w:tcPr>
            <w:tcW w:w="1368" w:type="dxa"/>
          </w:tcPr>
          <w:p w14:paraId="75FC1333" w14:textId="6F4BC7AA" w:rsidR="3089B873" w:rsidRDefault="3089B873" w:rsidP="3089B873">
            <w:r>
              <w:t>+0.02</w:t>
            </w:r>
          </w:p>
        </w:tc>
        <w:tc>
          <w:tcPr>
            <w:tcW w:w="1368" w:type="dxa"/>
          </w:tcPr>
          <w:p w14:paraId="660A217E" w14:textId="098ABF64" w:rsidR="3089B873" w:rsidRDefault="3089B873" w:rsidP="3089B873">
            <w:r>
              <w:t>0.04 (trivial)</w:t>
            </w:r>
          </w:p>
        </w:tc>
        <w:tc>
          <w:tcPr>
            <w:tcW w:w="1368" w:type="dxa"/>
          </w:tcPr>
          <w:p w14:paraId="4D6E3FF4" w14:textId="75CF39FC" w:rsidR="3089B873" w:rsidRDefault="3089B873" w:rsidP="3089B873">
            <w:r>
              <w:t>ns</w:t>
            </w:r>
          </w:p>
        </w:tc>
        <w:tc>
          <w:tcPr>
            <w:tcW w:w="1368" w:type="dxa"/>
          </w:tcPr>
          <w:p w14:paraId="22A059AD" w14:textId="6119AAF9" w:rsidR="3089B873" w:rsidRDefault="3089B873" w:rsidP="3089B873">
            <w:r>
              <w:t>Grade progression does not affect awareness.</w:t>
            </w:r>
          </w:p>
        </w:tc>
      </w:tr>
      <w:tr w:rsidR="3089B873" w14:paraId="1E0CEB1A" w14:textId="77777777" w:rsidTr="3089B873">
        <w:trPr>
          <w:trHeight w:val="300"/>
        </w:trPr>
        <w:tc>
          <w:tcPr>
            <w:tcW w:w="1368" w:type="dxa"/>
          </w:tcPr>
          <w:p w14:paraId="73364601" w14:textId="3BC49D6D" w:rsidR="3089B873" w:rsidRDefault="3089B873" w:rsidP="3089B873">
            <w:r>
              <w:t>Civic Awareness</w:t>
            </w:r>
          </w:p>
        </w:tc>
        <w:tc>
          <w:tcPr>
            <w:tcW w:w="1368" w:type="dxa"/>
          </w:tcPr>
          <w:p w14:paraId="30F40108" w14:textId="19A0361E" w:rsidR="3089B873" w:rsidRDefault="3089B873" w:rsidP="3089B873">
            <w:r>
              <w:t>Female vs. Male</w:t>
            </w:r>
          </w:p>
        </w:tc>
        <w:tc>
          <w:tcPr>
            <w:tcW w:w="1368" w:type="dxa"/>
          </w:tcPr>
          <w:p w14:paraId="2743ADCC" w14:textId="04F2903E" w:rsidR="3089B873" w:rsidRDefault="3089B873" w:rsidP="3089B873">
            <w:r>
              <w:t>+0.20</w:t>
            </w:r>
          </w:p>
        </w:tc>
        <w:tc>
          <w:tcPr>
            <w:tcW w:w="1368" w:type="dxa"/>
          </w:tcPr>
          <w:p w14:paraId="4B5A3AA2" w14:textId="43ABCABB" w:rsidR="3089B873" w:rsidRDefault="3089B873" w:rsidP="3089B873">
            <w:r>
              <w:t>0.33 (small–medium)</w:t>
            </w:r>
          </w:p>
        </w:tc>
        <w:tc>
          <w:tcPr>
            <w:tcW w:w="1368" w:type="dxa"/>
          </w:tcPr>
          <w:p w14:paraId="248F97C4" w14:textId="61F818FE" w:rsidR="3089B873" w:rsidRDefault="3089B873" w:rsidP="3089B873">
            <w:r w:rsidRPr="3089B873">
              <w:rPr>
                <w:i/>
                <w:iCs/>
              </w:rPr>
              <w:t>P</w:t>
            </w:r>
            <w:r>
              <w:t xml:space="preserve"> = .001</w:t>
            </w:r>
          </w:p>
        </w:tc>
        <w:tc>
          <w:tcPr>
            <w:tcW w:w="1368" w:type="dxa"/>
          </w:tcPr>
          <w:p w14:paraId="7CA20394" w14:textId="67418E53" w:rsidR="3089B873" w:rsidRDefault="3089B873" w:rsidP="3089B873">
            <w:r>
              <w:t>Females slightly higher awareness.</w:t>
            </w:r>
          </w:p>
        </w:tc>
      </w:tr>
      <w:tr w:rsidR="3089B873" w14:paraId="39CF964C" w14:textId="77777777" w:rsidTr="3089B873">
        <w:trPr>
          <w:trHeight w:val="300"/>
        </w:trPr>
        <w:tc>
          <w:tcPr>
            <w:tcW w:w="1368" w:type="dxa"/>
          </w:tcPr>
          <w:p w14:paraId="6A8AF802" w14:textId="1B2A464C" w:rsidR="3089B873" w:rsidRDefault="3089B873"/>
        </w:tc>
        <w:tc>
          <w:tcPr>
            <w:tcW w:w="1368" w:type="dxa"/>
          </w:tcPr>
          <w:p w14:paraId="13335608" w14:textId="63583CA9" w:rsidR="3089B873" w:rsidRDefault="3089B873" w:rsidP="3089B873">
            <w:r>
              <w:t>Academic vs. TVL</w:t>
            </w:r>
          </w:p>
        </w:tc>
        <w:tc>
          <w:tcPr>
            <w:tcW w:w="1368" w:type="dxa"/>
          </w:tcPr>
          <w:p w14:paraId="772425C0" w14:textId="6CF163C4" w:rsidR="3089B873" w:rsidRDefault="3089B873" w:rsidP="3089B873">
            <w:r>
              <w:t>+0.31</w:t>
            </w:r>
          </w:p>
        </w:tc>
        <w:tc>
          <w:tcPr>
            <w:tcW w:w="1368" w:type="dxa"/>
          </w:tcPr>
          <w:p w14:paraId="0AAE8081" w14:textId="27DFD5A7" w:rsidR="3089B873" w:rsidRDefault="3089B873" w:rsidP="3089B873">
            <w:r>
              <w:t>0.52 (approaching medium)</w:t>
            </w:r>
          </w:p>
        </w:tc>
        <w:tc>
          <w:tcPr>
            <w:tcW w:w="1368" w:type="dxa"/>
          </w:tcPr>
          <w:p w14:paraId="6421B858" w14:textId="7768F0EF" w:rsidR="3089B873" w:rsidRDefault="3089B873" w:rsidP="3089B873">
            <w:r w:rsidRPr="3089B873">
              <w:rPr>
                <w:i/>
                <w:iCs/>
              </w:rPr>
              <w:t>P</w:t>
            </w:r>
            <w:r>
              <w:t xml:space="preserve"> &lt; .001</w:t>
            </w:r>
          </w:p>
        </w:tc>
        <w:tc>
          <w:tcPr>
            <w:tcW w:w="1368" w:type="dxa"/>
          </w:tcPr>
          <w:p w14:paraId="12B0942D" w14:textId="0D6C66CE" w:rsidR="3089B873" w:rsidRDefault="3089B873" w:rsidP="3089B873">
            <w:r>
              <w:t>Curriculum exposure explains track gap.</w:t>
            </w:r>
          </w:p>
        </w:tc>
      </w:tr>
      <w:tr w:rsidR="3089B873" w14:paraId="111404D3" w14:textId="77777777" w:rsidTr="3089B873">
        <w:trPr>
          <w:trHeight w:val="300"/>
        </w:trPr>
        <w:tc>
          <w:tcPr>
            <w:tcW w:w="1368" w:type="dxa"/>
          </w:tcPr>
          <w:p w14:paraId="4FC0BCEB" w14:textId="45FB5029" w:rsidR="3089B873" w:rsidRDefault="3089B873"/>
        </w:tc>
        <w:tc>
          <w:tcPr>
            <w:tcW w:w="1368" w:type="dxa"/>
          </w:tcPr>
          <w:p w14:paraId="1253C132" w14:textId="08B65E94" w:rsidR="3089B873" w:rsidRDefault="3089B873" w:rsidP="3089B873">
            <w:r>
              <w:t>Grade 12 vs. 11</w:t>
            </w:r>
          </w:p>
        </w:tc>
        <w:tc>
          <w:tcPr>
            <w:tcW w:w="1368" w:type="dxa"/>
          </w:tcPr>
          <w:p w14:paraId="642100DC" w14:textId="6B846C33" w:rsidR="3089B873" w:rsidRDefault="3089B873" w:rsidP="3089B873">
            <w:r>
              <w:t>+0.02</w:t>
            </w:r>
          </w:p>
        </w:tc>
        <w:tc>
          <w:tcPr>
            <w:tcW w:w="1368" w:type="dxa"/>
          </w:tcPr>
          <w:p w14:paraId="48CD92F3" w14:textId="76D99E10" w:rsidR="3089B873" w:rsidRDefault="3089B873" w:rsidP="3089B873">
            <w:r>
              <w:t>0.03 (trivial)</w:t>
            </w:r>
          </w:p>
        </w:tc>
        <w:tc>
          <w:tcPr>
            <w:tcW w:w="1368" w:type="dxa"/>
          </w:tcPr>
          <w:p w14:paraId="058A1816" w14:textId="2D1C7F4F" w:rsidR="3089B873" w:rsidRDefault="3089B873" w:rsidP="3089B873">
            <w:r>
              <w:t>ns</w:t>
            </w:r>
          </w:p>
        </w:tc>
        <w:tc>
          <w:tcPr>
            <w:tcW w:w="1368" w:type="dxa"/>
          </w:tcPr>
          <w:p w14:paraId="20486461" w14:textId="442BCA2D" w:rsidR="3089B873" w:rsidRDefault="3089B873" w:rsidP="3089B873">
            <w:r>
              <w:t>Grade progression negligible.</w:t>
            </w:r>
          </w:p>
        </w:tc>
      </w:tr>
      <w:tr w:rsidR="3089B873" w14:paraId="0338FAA9" w14:textId="77777777" w:rsidTr="3089B873">
        <w:trPr>
          <w:trHeight w:val="300"/>
        </w:trPr>
        <w:tc>
          <w:tcPr>
            <w:tcW w:w="1368" w:type="dxa"/>
          </w:tcPr>
          <w:p w14:paraId="66906E8C" w14:textId="55F460A6" w:rsidR="3089B873" w:rsidRDefault="3089B873" w:rsidP="3089B873">
            <w:r>
              <w:t>Political Engagement</w:t>
            </w:r>
          </w:p>
        </w:tc>
        <w:tc>
          <w:tcPr>
            <w:tcW w:w="1368" w:type="dxa"/>
          </w:tcPr>
          <w:p w14:paraId="45D19329" w14:textId="0C0F171A" w:rsidR="3089B873" w:rsidRDefault="3089B873" w:rsidP="3089B873">
            <w:r>
              <w:t>Grade 12 vs. 11</w:t>
            </w:r>
          </w:p>
        </w:tc>
        <w:tc>
          <w:tcPr>
            <w:tcW w:w="1368" w:type="dxa"/>
          </w:tcPr>
          <w:p w14:paraId="7B4F17CF" w14:textId="10D96050" w:rsidR="3089B873" w:rsidRDefault="3089B873" w:rsidP="3089B873">
            <w:r>
              <w:t>+0.14</w:t>
            </w:r>
          </w:p>
        </w:tc>
        <w:tc>
          <w:tcPr>
            <w:tcW w:w="1368" w:type="dxa"/>
          </w:tcPr>
          <w:p w14:paraId="3912D56B" w14:textId="41ED1F09" w:rsidR="3089B873" w:rsidRDefault="3089B873" w:rsidP="3089B873">
            <w:r>
              <w:t>0.22 (small)</w:t>
            </w:r>
          </w:p>
        </w:tc>
        <w:tc>
          <w:tcPr>
            <w:tcW w:w="1368" w:type="dxa"/>
          </w:tcPr>
          <w:p w14:paraId="33ABB25C" w14:textId="6F927771" w:rsidR="3089B873" w:rsidRDefault="3089B873" w:rsidP="3089B873">
            <w:r w:rsidRPr="3089B873">
              <w:rPr>
                <w:i/>
                <w:iCs/>
              </w:rPr>
              <w:t>P</w:t>
            </w:r>
            <w:r>
              <w:t xml:space="preserve"> = .03</w:t>
            </w:r>
          </w:p>
        </w:tc>
        <w:tc>
          <w:tcPr>
            <w:tcW w:w="1368" w:type="dxa"/>
          </w:tcPr>
          <w:p w14:paraId="6DEBE304" w14:textId="5BCDD7B8" w:rsidR="3089B873" w:rsidRDefault="3089B873" w:rsidP="3089B873">
            <w:r>
              <w:t>Grade 12 slightly more engaged, likely due to voting readiness.</w:t>
            </w:r>
          </w:p>
        </w:tc>
      </w:tr>
      <w:tr w:rsidR="3089B873" w14:paraId="744DD777" w14:textId="77777777" w:rsidTr="3089B873">
        <w:trPr>
          <w:trHeight w:val="300"/>
        </w:trPr>
        <w:tc>
          <w:tcPr>
            <w:tcW w:w="1368" w:type="dxa"/>
            <w:tcBorders>
              <w:bottom w:val="single" w:sz="12" w:space="0" w:color="000000" w:themeColor="text1"/>
            </w:tcBorders>
          </w:tcPr>
          <w:p w14:paraId="05C77D97" w14:textId="6F0554B6" w:rsidR="3089B873" w:rsidRDefault="3089B873" w:rsidP="3089B873">
            <w:r>
              <w:t>Civic Engagement</w:t>
            </w:r>
          </w:p>
        </w:tc>
        <w:tc>
          <w:tcPr>
            <w:tcW w:w="1368" w:type="dxa"/>
            <w:tcBorders>
              <w:bottom w:val="single" w:sz="12" w:space="0" w:color="000000" w:themeColor="text1"/>
            </w:tcBorders>
          </w:tcPr>
          <w:p w14:paraId="52BD8539" w14:textId="2BFC527A" w:rsidR="3089B873" w:rsidRDefault="3089B873" w:rsidP="3089B873">
            <w:r>
              <w:t>Academic vs. TVL</w:t>
            </w:r>
          </w:p>
        </w:tc>
        <w:tc>
          <w:tcPr>
            <w:tcW w:w="1368" w:type="dxa"/>
            <w:tcBorders>
              <w:bottom w:val="single" w:sz="12" w:space="0" w:color="000000" w:themeColor="text1"/>
            </w:tcBorders>
          </w:tcPr>
          <w:p w14:paraId="6E0DBFFB" w14:textId="267F4E70" w:rsidR="3089B873" w:rsidRDefault="3089B873" w:rsidP="3089B873">
            <w:r>
              <w:t>+0.14</w:t>
            </w:r>
          </w:p>
        </w:tc>
        <w:tc>
          <w:tcPr>
            <w:tcW w:w="1368" w:type="dxa"/>
            <w:tcBorders>
              <w:bottom w:val="single" w:sz="12" w:space="0" w:color="000000" w:themeColor="text1"/>
            </w:tcBorders>
          </w:tcPr>
          <w:p w14:paraId="3063A854" w14:textId="744DDE7E" w:rsidR="3089B873" w:rsidRDefault="3089B873" w:rsidP="3089B873">
            <w:r>
              <w:t>0.23 (small)</w:t>
            </w:r>
          </w:p>
        </w:tc>
        <w:tc>
          <w:tcPr>
            <w:tcW w:w="1368" w:type="dxa"/>
            <w:tcBorders>
              <w:bottom w:val="single" w:sz="12" w:space="0" w:color="000000" w:themeColor="text1"/>
            </w:tcBorders>
          </w:tcPr>
          <w:p w14:paraId="6AF83E00" w14:textId="2D2DA77C" w:rsidR="3089B873" w:rsidRDefault="3089B873" w:rsidP="3089B873">
            <w:r w:rsidRPr="3089B873">
              <w:rPr>
                <w:i/>
                <w:iCs/>
              </w:rPr>
              <w:t>P</w:t>
            </w:r>
            <w:r>
              <w:t xml:space="preserve"> = .02</w:t>
            </w:r>
          </w:p>
        </w:tc>
        <w:tc>
          <w:tcPr>
            <w:tcW w:w="1368" w:type="dxa"/>
            <w:tcBorders>
              <w:bottom w:val="single" w:sz="12" w:space="0" w:color="000000" w:themeColor="text1"/>
            </w:tcBorders>
          </w:tcPr>
          <w:p w14:paraId="49ED124F" w14:textId="493FC23E" w:rsidR="3089B873" w:rsidRDefault="3089B873" w:rsidP="3089B873">
            <w:r>
              <w:t>Academic track slightly higher, but overall engagement strong across tracks.</w:t>
            </w:r>
          </w:p>
        </w:tc>
      </w:tr>
    </w:tbl>
    <w:p w14:paraId="33255F0E" w14:textId="011564F0" w:rsidR="00E053D0" w:rsidRDefault="4905475A" w:rsidP="3089B873">
      <w:pPr>
        <w:spacing w:line="259" w:lineRule="auto"/>
        <w:rPr>
          <w:rFonts w:ascii="Arial" w:hAnsi="Arial" w:cs="Arial"/>
          <w:lang w:val="en-GB"/>
        </w:rPr>
      </w:pPr>
      <w:r w:rsidRPr="3089B873">
        <w:rPr>
          <w:rFonts w:ascii="Arial" w:hAnsi="Arial" w:cs="Arial"/>
          <w:lang w:val="en-GB"/>
        </w:rPr>
        <w:t>Interpretive emphasis: Track differences matter most for awareness; grade differences matter modestly for engagement; sex differences are minimal.</w:t>
      </w:r>
    </w:p>
    <w:p w14:paraId="039A6189" w14:textId="40DF274C" w:rsidR="00E053D0" w:rsidRDefault="00E053D0" w:rsidP="3089B873">
      <w:pPr>
        <w:spacing w:line="259" w:lineRule="auto"/>
        <w:rPr>
          <w:rFonts w:ascii="Arial" w:hAnsi="Arial" w:cs="Arial"/>
          <w:lang w:val="en-GB"/>
        </w:rPr>
      </w:pPr>
    </w:p>
    <w:p w14:paraId="6409505C" w14:textId="28CCCCA9" w:rsidR="00E053D0" w:rsidRDefault="00E053D0" w:rsidP="3089B873">
      <w:pPr>
        <w:spacing w:line="259" w:lineRule="auto"/>
        <w:rPr>
          <w:rFonts w:ascii="Arial" w:hAnsi="Arial" w:cs="Arial"/>
          <w:lang w:val="en-GB"/>
        </w:rPr>
      </w:pPr>
    </w:p>
    <w:p w14:paraId="38C24E21" w14:textId="4660FB4B" w:rsidR="00E053D0" w:rsidRDefault="4905475A" w:rsidP="3089B873">
      <w:pPr>
        <w:rPr>
          <w:rFonts w:ascii="Arial" w:hAnsi="Arial" w:cs="Arial"/>
          <w:lang w:val="en-GB"/>
        </w:rPr>
      </w:pPr>
      <w:r w:rsidRPr="3089B873">
        <w:rPr>
          <w:rFonts w:ascii="Arial" w:hAnsi="Arial" w:cs="Arial"/>
          <w:b/>
          <w:bCs/>
          <w:lang w:val="en-GB"/>
        </w:rPr>
        <w:t xml:space="preserve">Table 2. </w:t>
      </w:r>
      <w:r w:rsidRPr="3089B873">
        <w:rPr>
          <w:rFonts w:ascii="Arial" w:hAnsi="Arial" w:cs="Arial"/>
          <w:lang w:val="en-GB"/>
        </w:rPr>
        <w:t>Awareness Predicting Engagement (Regression Summary with Interpretive Emphasis)</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630"/>
        <w:gridCol w:w="1570"/>
        <w:gridCol w:w="1570"/>
        <w:gridCol w:w="2013"/>
        <w:gridCol w:w="1641"/>
      </w:tblGrid>
      <w:tr w:rsidR="3089B873" w14:paraId="03417820" w14:textId="77777777" w:rsidTr="3089B873">
        <w:trPr>
          <w:trHeight w:val="300"/>
        </w:trPr>
        <w:tc>
          <w:tcPr>
            <w:tcW w:w="1641" w:type="dxa"/>
            <w:tcBorders>
              <w:bottom w:val="single" w:sz="12" w:space="0" w:color="000000" w:themeColor="text1"/>
            </w:tcBorders>
          </w:tcPr>
          <w:p w14:paraId="41FCBA87" w14:textId="53643785" w:rsidR="3089B873" w:rsidRDefault="3089B873" w:rsidP="3089B873">
            <w:pPr>
              <w:jc w:val="center"/>
            </w:pPr>
            <w:r w:rsidRPr="3089B873">
              <w:rPr>
                <w:b/>
                <w:bCs/>
              </w:rPr>
              <w:t>Predictor</w:t>
            </w:r>
          </w:p>
        </w:tc>
        <w:tc>
          <w:tcPr>
            <w:tcW w:w="1641" w:type="dxa"/>
            <w:tcBorders>
              <w:bottom w:val="single" w:sz="12" w:space="0" w:color="000000" w:themeColor="text1"/>
            </w:tcBorders>
          </w:tcPr>
          <w:p w14:paraId="11E88AAD" w14:textId="65D6B4D4" w:rsidR="3089B873" w:rsidRDefault="3089B873" w:rsidP="3089B873">
            <w:pPr>
              <w:jc w:val="center"/>
            </w:pPr>
            <w:r w:rsidRPr="3089B873">
              <w:rPr>
                <w:b/>
                <w:bCs/>
              </w:rPr>
              <w:t>r</w:t>
            </w:r>
          </w:p>
        </w:tc>
        <w:tc>
          <w:tcPr>
            <w:tcW w:w="1641" w:type="dxa"/>
            <w:tcBorders>
              <w:bottom w:val="single" w:sz="12" w:space="0" w:color="000000" w:themeColor="text1"/>
            </w:tcBorders>
          </w:tcPr>
          <w:p w14:paraId="564A934B" w14:textId="76A5DDB0" w:rsidR="3089B873" w:rsidRDefault="3089B873" w:rsidP="3089B873">
            <w:pPr>
              <w:jc w:val="center"/>
            </w:pPr>
            <w:r w:rsidRPr="3089B873">
              <w:rPr>
                <w:b/>
                <w:bCs/>
              </w:rPr>
              <w:t>R²</w:t>
            </w:r>
          </w:p>
        </w:tc>
        <w:tc>
          <w:tcPr>
            <w:tcW w:w="1641" w:type="dxa"/>
            <w:tcBorders>
              <w:bottom w:val="single" w:sz="12" w:space="0" w:color="000000" w:themeColor="text1"/>
            </w:tcBorders>
          </w:tcPr>
          <w:p w14:paraId="7E6F344C" w14:textId="3786C3BA" w:rsidR="3089B873" w:rsidRDefault="3089B873" w:rsidP="3089B873">
            <w:pPr>
              <w:jc w:val="center"/>
            </w:pPr>
            <w:r w:rsidRPr="3089B873">
              <w:rPr>
                <w:b/>
                <w:bCs/>
              </w:rPr>
              <w:t>B (Unstandardized)</w:t>
            </w:r>
          </w:p>
        </w:tc>
        <w:tc>
          <w:tcPr>
            <w:tcW w:w="1641" w:type="dxa"/>
            <w:tcBorders>
              <w:bottom w:val="single" w:sz="12" w:space="0" w:color="000000" w:themeColor="text1"/>
            </w:tcBorders>
          </w:tcPr>
          <w:p w14:paraId="2690AEF4" w14:textId="7C5925B2" w:rsidR="3089B873" w:rsidRDefault="3089B873" w:rsidP="3089B873">
            <w:pPr>
              <w:jc w:val="center"/>
            </w:pPr>
            <w:r w:rsidRPr="3089B873">
              <w:rPr>
                <w:b/>
                <w:bCs/>
              </w:rPr>
              <w:t>Interpretation</w:t>
            </w:r>
          </w:p>
        </w:tc>
      </w:tr>
      <w:tr w:rsidR="3089B873" w14:paraId="4A3F2CD2" w14:textId="77777777" w:rsidTr="3089B873">
        <w:trPr>
          <w:trHeight w:val="300"/>
        </w:trPr>
        <w:tc>
          <w:tcPr>
            <w:tcW w:w="1641" w:type="dxa"/>
            <w:tcBorders>
              <w:top w:val="single" w:sz="12" w:space="0" w:color="000000" w:themeColor="text1"/>
            </w:tcBorders>
          </w:tcPr>
          <w:p w14:paraId="5ACDA8D3" w14:textId="297505B9" w:rsidR="3089B873" w:rsidRDefault="3089B873" w:rsidP="3089B873">
            <w:r>
              <w:t>Political Awareness → Engagement</w:t>
            </w:r>
          </w:p>
        </w:tc>
        <w:tc>
          <w:tcPr>
            <w:tcW w:w="1641" w:type="dxa"/>
            <w:tcBorders>
              <w:top w:val="single" w:sz="12" w:space="0" w:color="000000" w:themeColor="text1"/>
            </w:tcBorders>
          </w:tcPr>
          <w:p w14:paraId="21D81F9B" w14:textId="66D17358" w:rsidR="3089B873" w:rsidRDefault="3089B873" w:rsidP="3089B873">
            <w:r>
              <w:t>.40</w:t>
            </w:r>
          </w:p>
        </w:tc>
        <w:tc>
          <w:tcPr>
            <w:tcW w:w="1641" w:type="dxa"/>
            <w:tcBorders>
              <w:top w:val="single" w:sz="12" w:space="0" w:color="000000" w:themeColor="text1"/>
            </w:tcBorders>
          </w:tcPr>
          <w:p w14:paraId="555EFFF1" w14:textId="43656444" w:rsidR="3089B873" w:rsidRDefault="3089B873" w:rsidP="3089B873">
            <w:r>
              <w:t>.16</w:t>
            </w:r>
          </w:p>
        </w:tc>
        <w:tc>
          <w:tcPr>
            <w:tcW w:w="1641" w:type="dxa"/>
            <w:tcBorders>
              <w:top w:val="single" w:sz="12" w:space="0" w:color="000000" w:themeColor="text1"/>
            </w:tcBorders>
          </w:tcPr>
          <w:p w14:paraId="083AC400" w14:textId="46EA0D54" w:rsidR="3089B873" w:rsidRDefault="3089B873" w:rsidP="3089B873">
            <w:r>
              <w:t>0.46</w:t>
            </w:r>
          </w:p>
        </w:tc>
        <w:tc>
          <w:tcPr>
            <w:tcW w:w="1641" w:type="dxa"/>
            <w:tcBorders>
              <w:top w:val="single" w:sz="12" w:space="0" w:color="000000" w:themeColor="text1"/>
            </w:tcBorders>
          </w:tcPr>
          <w:p w14:paraId="5C1EEE62" w14:textId="4B6B8188" w:rsidR="3089B873" w:rsidRDefault="3089B873" w:rsidP="3089B873">
            <w:r>
              <w:t>Awareness moderately predicts engagement; barriers limit translation into action.</w:t>
            </w:r>
          </w:p>
        </w:tc>
      </w:tr>
      <w:tr w:rsidR="3089B873" w14:paraId="0E631D90" w14:textId="77777777" w:rsidTr="3089B873">
        <w:trPr>
          <w:trHeight w:val="300"/>
        </w:trPr>
        <w:tc>
          <w:tcPr>
            <w:tcW w:w="1641" w:type="dxa"/>
          </w:tcPr>
          <w:p w14:paraId="0A5DC2FC" w14:textId="26EE1469" w:rsidR="3089B873" w:rsidRDefault="3089B873" w:rsidP="3089B873">
            <w:r>
              <w:t xml:space="preserve">Civic Awareness → </w:t>
            </w:r>
            <w:r>
              <w:lastRenderedPageBreak/>
              <w:t>Engagement</w:t>
            </w:r>
          </w:p>
        </w:tc>
        <w:tc>
          <w:tcPr>
            <w:tcW w:w="1641" w:type="dxa"/>
          </w:tcPr>
          <w:p w14:paraId="07897156" w14:textId="334B57EF" w:rsidR="3089B873" w:rsidRDefault="3089B873" w:rsidP="3089B873">
            <w:r>
              <w:lastRenderedPageBreak/>
              <w:t>.67</w:t>
            </w:r>
          </w:p>
        </w:tc>
        <w:tc>
          <w:tcPr>
            <w:tcW w:w="1641" w:type="dxa"/>
          </w:tcPr>
          <w:p w14:paraId="715DB668" w14:textId="33C972D1" w:rsidR="3089B873" w:rsidRDefault="3089B873" w:rsidP="3089B873">
            <w:r>
              <w:t>.45</w:t>
            </w:r>
          </w:p>
        </w:tc>
        <w:tc>
          <w:tcPr>
            <w:tcW w:w="1641" w:type="dxa"/>
          </w:tcPr>
          <w:p w14:paraId="4035303E" w14:textId="390797B7" w:rsidR="3089B873" w:rsidRDefault="3089B873" w:rsidP="3089B873">
            <w:r>
              <w:t>0.67</w:t>
            </w:r>
          </w:p>
        </w:tc>
        <w:tc>
          <w:tcPr>
            <w:tcW w:w="1641" w:type="dxa"/>
          </w:tcPr>
          <w:p w14:paraId="01BD849C" w14:textId="41DDE5D9" w:rsidR="3089B873" w:rsidRDefault="3089B873" w:rsidP="3089B873">
            <w:r>
              <w:t xml:space="preserve">Awareness strongly </w:t>
            </w:r>
            <w:r>
              <w:lastRenderedPageBreak/>
              <w:t>predicts engagement; civic activities more accessible and immediate.</w:t>
            </w:r>
          </w:p>
        </w:tc>
      </w:tr>
    </w:tbl>
    <w:p w14:paraId="3B176CFE" w14:textId="7B93106D" w:rsidR="00E053D0" w:rsidRDefault="4905475A" w:rsidP="3089B873">
      <w:pPr>
        <w:spacing w:line="259" w:lineRule="auto"/>
        <w:rPr>
          <w:rFonts w:ascii="Arial" w:hAnsi="Arial" w:cs="Arial"/>
          <w:lang w:val="en-GB"/>
        </w:rPr>
      </w:pPr>
      <w:r w:rsidRPr="3089B873">
        <w:rPr>
          <w:rFonts w:ascii="Arial" w:hAnsi="Arial" w:cs="Arial"/>
          <w:lang w:val="en-GB"/>
        </w:rPr>
        <w:lastRenderedPageBreak/>
        <w:t>Interpretive emphasis: Civic pathways are stronger and more reliable than political pathways, suggesting civic engagement can serve as a gateway to political learning.</w:t>
      </w:r>
    </w:p>
    <w:p w14:paraId="50FFC0FD" w14:textId="11A5845A" w:rsidR="00E053D0" w:rsidRDefault="00E053D0" w:rsidP="3089B873">
      <w:pPr>
        <w:rPr>
          <w:rFonts w:ascii="Arial" w:hAnsi="Arial" w:cs="Arial"/>
          <w:b/>
          <w:bCs/>
          <w:lang w:val="en-GB"/>
        </w:rPr>
      </w:pPr>
    </w:p>
    <w:p w14:paraId="51E11716" w14:textId="06631FEF"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The study demonstrates that awareness is a significant predictor of engagement, with stronger effects in the civic domain than in the political domain. This distinction underscores the accessibility of civic practices as entry points into democratic life. Civic activities often demand attentiveness to local needs and participation in familiar routines, making them more proximal and less institutionally complex than political engagement. This finding refines existing models of youth political socialization by showing that awareness is not merely a cognitive precursor to efficacy and trust but is itself shaped by relational and contextual factors. In particular, the IPO framework gains nuance by highlighting how civic awareness operates differently across domains, suggesting refinements to theories that treat awareness as a uniform predictor of engagement.</w:t>
      </w:r>
    </w:p>
    <w:p w14:paraId="513F93FD" w14:textId="4BA2E63D"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Qualitative insights further illuminate the mechanisms through which awareness translates into action. Open, discussion‑rich classrooms and predictable civic routines provide relational spaces where awareness is cultivated and enacted. Students’ experiences of peer‑led fact‑checking and guided expression resonate with democratic school climate literature, which emphasizes respect and student voice as drivers of civic outcomes. Importantly, the Philippine case adds to this body of work by showing how classroom openness enhances digital literacy, which in turn mediates online civic engagement. This contribution extends comparative civic education scholarship by situating digital practices within institutional contexts, demonstrating that platform literacies are not peripheral but central to contemporary civic development.</w:t>
      </w:r>
    </w:p>
    <w:p w14:paraId="25BD2A93" w14:textId="071012D0"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The findings also highlight the dual role of digital environments. Students’ self‑directed digital learning fosters immediacy and community but simultaneously exposes them to misinformation and risks. This tension underscores the need for schools to scaffold healthy online participation. Embedding media and information literacy (MIL) tasks such as source triangulation, claim evaluation, and platform‑aware audience design offers a pathway to harness students’ digital motivation while mitigating vulnerabilities. This insight contributes to broader debates on democratic resilience in the digital age, positioning schools as critical sites for cultivating both agency and protection against misinformation.</w:t>
      </w:r>
    </w:p>
    <w:p w14:paraId="1484FC99" w14:textId="7E0592D7"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 xml:space="preserve">Institutional and contextual factors further shape engagement. The elevated midterm turnout likely amplified civic salience in students’ households and feeds, creating motivational spillovers that reinforced classroom learning. While causality cannot be claimed, this observation suggests that situating civic education during periods of heightened national attention may magnify its effects. Moreover, strand‑based disparities in politically relevant exposure reveal inequities in awareness opportunities. Addressing these gaps requires track‑inclusive civics that </w:t>
      </w:r>
      <w:r w:rsidRPr="3089B873">
        <w:rPr>
          <w:rFonts w:ascii="Arial" w:eastAsia="Arial" w:hAnsi="Arial" w:cs="Arial"/>
          <w:sz w:val="22"/>
          <w:szCs w:val="22"/>
          <w:lang w:val="en-GB"/>
        </w:rPr>
        <w:lastRenderedPageBreak/>
        <w:t>embed issue‑based deliberation, simulations, audits, and service‑learning into diverse curricular contexts. Such strategies advance knowledge on equity in civic learning, challenging assumptions that civic education can be uniformly delivered across student populations.</w:t>
      </w:r>
    </w:p>
    <w:p w14:paraId="2BCE7093" w14:textId="523CB55C" w:rsidR="00E053D0" w:rsidRDefault="4905475A" w:rsidP="3089B873">
      <w:pPr>
        <w:rPr>
          <w:rFonts w:ascii="Arial" w:eastAsia="Arial" w:hAnsi="Arial" w:cs="Arial"/>
          <w:sz w:val="22"/>
          <w:szCs w:val="22"/>
          <w:lang w:val="en-GB"/>
        </w:rPr>
      </w:pPr>
      <w:r w:rsidRPr="3089B873">
        <w:rPr>
          <w:rFonts w:ascii="Arial" w:eastAsia="Arial" w:hAnsi="Arial" w:cs="Arial"/>
          <w:sz w:val="22"/>
          <w:szCs w:val="22"/>
          <w:lang w:val="en-GB"/>
        </w:rPr>
        <w:t>Taken together, the study contributes to knowledge‑building in three ways. First, it refines theoretical models by showing that awareness is relational and domain‑specific, not a uniform predictor of engagement. Second, it demonstrates the significance of the Philippine SHS case, where institutional reforms and digital realities intersect to shape civic outcomes. Third, it highlights the broader societal stakes of civic education, particularly the need to scaffold digital participation and address inequities across student tracks. By situating awareness within systemic, relational, and digital contexts, this study advances understanding of how schools can cultivate durable civic action and democratic resilience.</w:t>
      </w:r>
    </w:p>
    <w:p w14:paraId="738610EB" w14:textId="6472D07E" w:rsidR="00E053D0" w:rsidRDefault="00E053D0" w:rsidP="3089B873">
      <w:pPr>
        <w:rPr>
          <w:rFonts w:ascii="Arial" w:eastAsia="Arial" w:hAnsi="Arial" w:cs="Arial"/>
          <w:sz w:val="22"/>
          <w:szCs w:val="22"/>
          <w:lang w:val="en-GB" w:eastAsia="en-GB"/>
        </w:rPr>
      </w:pPr>
      <w:r w:rsidRPr="3089B873">
        <w:rPr>
          <w:rFonts w:ascii="Arial" w:eastAsia="Arial" w:hAnsi="Arial" w:cs="Arial"/>
          <w:sz w:val="22"/>
          <w:szCs w:val="22"/>
          <w:lang w:val="en-GB" w:eastAsia="en-GB"/>
        </w:rPr>
        <w:t xml:space="preserve"> </w:t>
      </w:r>
    </w:p>
    <w:p w14:paraId="637805D2" w14:textId="77777777" w:rsidR="00790ADA" w:rsidRPr="00FB3A86" w:rsidRDefault="00790ADA" w:rsidP="00441B6F">
      <w:pPr>
        <w:pStyle w:val="Body"/>
        <w:spacing w:after="0"/>
        <w:rPr>
          <w:rFonts w:ascii="Arial" w:hAnsi="Arial" w:cs="Arial"/>
        </w:rPr>
      </w:pPr>
    </w:p>
    <w:p w14:paraId="584F9CB5"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11"/>
      <w:r w:rsidR="00B01FCD" w:rsidRPr="00FB3A86">
        <w:rPr>
          <w:rFonts w:ascii="Arial" w:hAnsi="Arial" w:cs="Arial"/>
        </w:rPr>
        <w:t>Conclusion</w:t>
      </w:r>
      <w:commentRangeEnd w:id="11"/>
      <w:r w:rsidR="00EA6F93">
        <w:rPr>
          <w:rStyle w:val="CommentReference"/>
          <w:rFonts w:ascii="Times New Roman" w:hAnsi="Times New Roman"/>
          <w:b w:val="0"/>
          <w:caps w:val="0"/>
          <w:lang w:val="nb-NO" w:eastAsia="nb-NO"/>
        </w:rPr>
        <w:commentReference w:id="11"/>
      </w:r>
    </w:p>
    <w:p w14:paraId="463F29E8" w14:textId="77777777" w:rsidR="00790ADA" w:rsidRPr="00FB3A86" w:rsidRDefault="00790ADA" w:rsidP="00441B6F">
      <w:pPr>
        <w:pStyle w:val="ConcHead"/>
        <w:spacing w:after="0"/>
        <w:jc w:val="both"/>
        <w:rPr>
          <w:rFonts w:ascii="Arial" w:hAnsi="Arial" w:cs="Arial"/>
        </w:rPr>
      </w:pPr>
    </w:p>
    <w:p w14:paraId="1BC0F080" w14:textId="2A569E0A" w:rsidR="7206B205" w:rsidRDefault="7206B205" w:rsidP="3089B873">
      <w:pPr>
        <w:pStyle w:val="Body"/>
        <w:spacing w:after="0"/>
        <w:rPr>
          <w:rFonts w:ascii="Arial" w:eastAsia="Arial" w:hAnsi="Arial" w:cs="Arial"/>
          <w:sz w:val="22"/>
          <w:szCs w:val="22"/>
        </w:rPr>
      </w:pPr>
      <w:r w:rsidRPr="3089B873">
        <w:rPr>
          <w:rFonts w:ascii="Arial" w:eastAsia="Arial" w:hAnsi="Arial" w:cs="Arial"/>
          <w:sz w:val="22"/>
          <w:szCs w:val="22"/>
        </w:rPr>
        <w:t>This study offers a nuanced portrait of Senior High School students’ civic and political development through the lens of the Input–Process–Output (IPO) framework. The inputs: sex, grade level, and SHS track, shaped students’ opportunities for awareness and engagement, with track-based disparities emerging as the most consistent influence. The process phase revealed that awareness is a powerful predictor of engagement, particularly in the civic domain, and that this pathway is reinforced by classroom facilitation, peer networks, and digital spaces. The outputs: enhanced civic and political dispositions, reflect the culmination of these interactions, achievable when instructional practices and institutional programs align with students’ lived realities.</w:t>
      </w:r>
    </w:p>
    <w:p w14:paraId="0A98CA1E" w14:textId="750FA9D3" w:rsidR="7206B205" w:rsidRDefault="7206B205" w:rsidP="3089B873">
      <w:pPr>
        <w:pStyle w:val="Body"/>
        <w:spacing w:after="0"/>
        <w:rPr>
          <w:rFonts w:ascii="Arial" w:eastAsia="Arial" w:hAnsi="Arial" w:cs="Arial"/>
          <w:sz w:val="22"/>
          <w:szCs w:val="22"/>
        </w:rPr>
      </w:pPr>
      <w:r w:rsidRPr="3089B873">
        <w:rPr>
          <w:rFonts w:ascii="Arial" w:eastAsia="Arial" w:hAnsi="Arial" w:cs="Arial"/>
          <w:sz w:val="22"/>
          <w:szCs w:val="22"/>
        </w:rPr>
        <w:t>Beyond confirming these pathways, the study contributes to knowledge-building in three ways. First, it refines theoretical models by showing that awareness is relational and domain-specific, not a uniform precursor to engagement. Second, it highlights the Philippine SHS context as a significant empirical case, demonstrating how curricular reforms and digital literacies intersect to shape democratic outcomes. Third, it underscores the broader societal stakes of civic education: schools must not only cultivate agency but also scaffold healthy digital participation and address inequities across student tracks. Taken together, the IPO framework clarifies that translating awareness into durable civic action requires systemic alignment of demographic realities, instructional practices, and experiential opportunities, an insight with implications for both theory and practice in youth civic development.</w:t>
      </w:r>
    </w:p>
    <w:p w14:paraId="3B7B4B86" w14:textId="77777777" w:rsidR="00790ADA" w:rsidRPr="00FB3A86" w:rsidRDefault="00790ADA" w:rsidP="00441B6F">
      <w:pPr>
        <w:pStyle w:val="Body"/>
        <w:spacing w:after="0"/>
        <w:rPr>
          <w:rFonts w:ascii="Arial" w:hAnsi="Arial" w:cs="Arial"/>
        </w:rPr>
      </w:pPr>
    </w:p>
    <w:p w14:paraId="61829076" w14:textId="77777777" w:rsidR="00315186" w:rsidRPr="00315186" w:rsidRDefault="00315186" w:rsidP="00441B6F"/>
    <w:p w14:paraId="2BA226A1" w14:textId="77777777" w:rsidR="00315186" w:rsidRPr="00315186" w:rsidRDefault="00315186" w:rsidP="00441B6F"/>
    <w:p w14:paraId="6EA30B0B" w14:textId="7042B030" w:rsidR="2619E591" w:rsidRDefault="2619E591" w:rsidP="3089B873">
      <w:pPr>
        <w:rPr>
          <w:rFonts w:ascii="Arial" w:eastAsia="Arial" w:hAnsi="Arial" w:cs="Arial"/>
          <w:b/>
          <w:bCs/>
        </w:rPr>
      </w:pPr>
      <w:r w:rsidRPr="3089B873">
        <w:rPr>
          <w:rFonts w:ascii="Arial" w:eastAsia="Arial" w:hAnsi="Arial" w:cs="Arial"/>
          <w:b/>
          <w:bCs/>
          <w:sz w:val="22"/>
          <w:szCs w:val="22"/>
        </w:rPr>
        <w:t>ETHICAL APPROVAL</w:t>
      </w:r>
      <w:r>
        <w:tab/>
      </w:r>
    </w:p>
    <w:p w14:paraId="6F59AA92" w14:textId="4588F19D" w:rsidR="3089B873" w:rsidRDefault="3089B873"/>
    <w:p w14:paraId="17E3FA71" w14:textId="6B9A7EEA" w:rsidR="2619E591" w:rsidRDefault="2619E591" w:rsidP="3089B873">
      <w:pPr>
        <w:rPr>
          <w:rFonts w:ascii="Arial" w:eastAsia="Arial" w:hAnsi="Arial" w:cs="Arial"/>
          <w:sz w:val="22"/>
          <w:szCs w:val="22"/>
        </w:rPr>
      </w:pPr>
      <w:r w:rsidRPr="3089B873">
        <w:rPr>
          <w:rFonts w:ascii="Arial" w:eastAsia="Arial" w:hAnsi="Arial" w:cs="Arial"/>
          <w:sz w:val="22"/>
          <w:szCs w:val="22"/>
        </w:rPr>
        <w:t>All authors hereby declare that the study was conducted in accordance with ethical standards. Ethical safeguards included informed consent, voluntariness, anonymization, and compliance with Republic Act No. 10173 (Data Privacy Act of 2012). The study was reviewed and approved by the appropriate institutional committee.</w:t>
      </w:r>
    </w:p>
    <w:p w14:paraId="2314EC09" w14:textId="77777777" w:rsidR="009C4D63" w:rsidRDefault="009C4D63" w:rsidP="3089B873">
      <w:pPr>
        <w:rPr>
          <w:rFonts w:ascii="Arial" w:eastAsia="Arial" w:hAnsi="Arial" w:cs="Arial"/>
          <w:sz w:val="22"/>
          <w:szCs w:val="22"/>
        </w:rPr>
      </w:pPr>
    </w:p>
    <w:p w14:paraId="6CA502EE" w14:textId="77777777" w:rsidR="009C4D63" w:rsidRDefault="009C4D63" w:rsidP="3089B873">
      <w:pPr>
        <w:rPr>
          <w:rFonts w:ascii="Arial" w:eastAsia="Arial" w:hAnsi="Arial" w:cs="Arial"/>
          <w:sz w:val="22"/>
          <w:szCs w:val="22"/>
        </w:rPr>
      </w:pPr>
    </w:p>
    <w:p w14:paraId="60C91ECD" w14:textId="77777777" w:rsidR="009C4D63" w:rsidRPr="009C4D63" w:rsidRDefault="009C4D63" w:rsidP="009C4D63">
      <w:pPr>
        <w:rPr>
          <w:rFonts w:ascii="Arial" w:eastAsia="Arial" w:hAnsi="Arial" w:cs="Arial"/>
          <w:sz w:val="22"/>
          <w:szCs w:val="22"/>
        </w:rPr>
      </w:pPr>
      <w:r w:rsidRPr="009C4D63">
        <w:rPr>
          <w:rFonts w:ascii="Arial" w:eastAsia="Arial" w:hAnsi="Arial" w:cs="Arial"/>
          <w:sz w:val="22"/>
          <w:szCs w:val="22"/>
        </w:rPr>
        <w:t>COMPETING INTERESTS DISCLAIMER:</w:t>
      </w:r>
    </w:p>
    <w:p w14:paraId="5B72FC81" w14:textId="1EAF8880" w:rsidR="009C4D63" w:rsidRDefault="009C4D63" w:rsidP="009C4D63">
      <w:pPr>
        <w:rPr>
          <w:rFonts w:ascii="Arial" w:eastAsia="Arial" w:hAnsi="Arial" w:cs="Arial"/>
          <w:sz w:val="22"/>
          <w:szCs w:val="22"/>
        </w:rPr>
      </w:pPr>
      <w:r w:rsidRPr="009C4D63">
        <w:rPr>
          <w:rFonts w:ascii="Arial" w:eastAsia="Arial" w:hAnsi="Arial" w:cs="Arial"/>
          <w:sz w:val="22"/>
          <w:szCs w:val="22"/>
        </w:rPr>
        <w:t>Authors have declared that they have no known competing financial interests OR non-financial interests OR personal relationships that could have appeared to influence the work reported in this paper.</w:t>
      </w:r>
    </w:p>
    <w:p w14:paraId="17AD93B2" w14:textId="77777777" w:rsidR="00315186" w:rsidRPr="00315186" w:rsidRDefault="00315186" w:rsidP="00441B6F"/>
    <w:p w14:paraId="11D88535" w14:textId="3A3A3799" w:rsidR="2619E591" w:rsidRDefault="2619E591" w:rsidP="3089B873">
      <w:pPr>
        <w:pStyle w:val="ReferHead"/>
        <w:spacing w:after="0"/>
        <w:jc w:val="both"/>
        <w:rPr>
          <w:rFonts w:ascii="Arial" w:hAnsi="Arial" w:cs="Arial"/>
        </w:rPr>
      </w:pPr>
      <w:r w:rsidRPr="3089B873">
        <w:t xml:space="preserve"> </w:t>
      </w:r>
    </w:p>
    <w:p w14:paraId="071E4E01" w14:textId="77777777" w:rsidR="00B01FCD" w:rsidRDefault="00B01FCD" w:rsidP="00441B6F">
      <w:pPr>
        <w:pStyle w:val="ReferHead"/>
        <w:spacing w:after="0"/>
        <w:jc w:val="both"/>
        <w:rPr>
          <w:rFonts w:ascii="Arial" w:hAnsi="Arial" w:cs="Arial"/>
        </w:rPr>
      </w:pPr>
      <w:commentRangeStart w:id="12"/>
      <w:r w:rsidRPr="00FB3A86">
        <w:rPr>
          <w:rFonts w:ascii="Arial" w:hAnsi="Arial" w:cs="Arial"/>
        </w:rPr>
        <w:t>References</w:t>
      </w:r>
      <w:commentRangeEnd w:id="12"/>
      <w:r w:rsidR="002C3D28">
        <w:rPr>
          <w:rStyle w:val="CommentReference"/>
          <w:rFonts w:ascii="Times New Roman" w:hAnsi="Times New Roman"/>
          <w:b w:val="0"/>
          <w:caps w:val="0"/>
          <w:lang w:val="nb-NO" w:eastAsia="nb-NO"/>
        </w:rPr>
        <w:commentReference w:id="12"/>
      </w:r>
    </w:p>
    <w:p w14:paraId="6D072C0D" w14:textId="77777777" w:rsidR="00790ADA" w:rsidRPr="00FB3A86" w:rsidRDefault="00790ADA" w:rsidP="00441B6F">
      <w:pPr>
        <w:pStyle w:val="ReferHead"/>
        <w:spacing w:after="0"/>
        <w:jc w:val="both"/>
        <w:rPr>
          <w:rFonts w:ascii="Arial" w:hAnsi="Arial" w:cs="Arial"/>
        </w:rPr>
      </w:pPr>
    </w:p>
    <w:p w14:paraId="353AD685" w14:textId="0D4D87A2" w:rsidR="28400010" w:rsidRDefault="28400010" w:rsidP="3089B873">
      <w:pPr>
        <w:pStyle w:val="Body"/>
        <w:spacing w:after="0"/>
        <w:rPr>
          <w:rFonts w:ascii="Arial" w:eastAsia="Arial" w:hAnsi="Arial" w:cs="Arial"/>
          <w:sz w:val="22"/>
          <w:szCs w:val="22"/>
          <w:lang w:val="en-GB"/>
        </w:rPr>
      </w:pPr>
      <w:commentRangeStart w:id="13"/>
      <w:r w:rsidRPr="3089B873">
        <w:rPr>
          <w:rFonts w:ascii="Arial" w:eastAsia="Arial" w:hAnsi="Arial" w:cs="Arial"/>
          <w:sz w:val="22"/>
          <w:szCs w:val="22"/>
          <w:lang w:val="en-GB"/>
        </w:rPr>
        <w:t>Arias, R. B., &amp; Montalbo, M. A. (2024). Influence of social media in shaping adolescents’ political awareness, participation, and activism. Asia Pac. J. Manag. Sustain. Dev., 12(2), 182–191.</w:t>
      </w:r>
    </w:p>
    <w:p w14:paraId="3CFAFCA7" w14:textId="6281E415" w:rsidR="28400010" w:rsidRDefault="28400010" w:rsidP="3089B873">
      <w:pPr>
        <w:pStyle w:val="Body"/>
        <w:spacing w:after="0"/>
        <w:rPr>
          <w:rFonts w:ascii="Arial" w:eastAsia="Arial" w:hAnsi="Arial" w:cs="Arial"/>
          <w:sz w:val="22"/>
          <w:szCs w:val="22"/>
          <w:lang w:val="en-GB"/>
        </w:rPr>
      </w:pPr>
      <w:hyperlink r:id="rId18">
        <w:r w:rsidRPr="3089B873">
          <w:rPr>
            <w:rFonts w:ascii="Arial" w:eastAsia="Arial" w:hAnsi="Arial" w:cs="Arial"/>
            <w:sz w:val="22"/>
            <w:szCs w:val="22"/>
            <w:lang w:val="en-GB"/>
          </w:rPr>
          <w:t>https://asiapjournals.org/influence-of-social-media-in-shaping-the-adolescents-political-awareness-participation-and-activism/</w:t>
        </w:r>
      </w:hyperlink>
      <w:r w:rsidRPr="3089B873">
        <w:rPr>
          <w:rFonts w:ascii="Arial" w:eastAsia="Arial" w:hAnsi="Arial" w:cs="Arial"/>
          <w:sz w:val="22"/>
          <w:szCs w:val="22"/>
          <w:lang w:val="en-GB"/>
        </w:rPr>
        <w:t xml:space="preserve"> </w:t>
      </w:r>
      <w:commentRangeEnd w:id="13"/>
      <w:r w:rsidR="0027080C">
        <w:rPr>
          <w:rStyle w:val="CommentReference"/>
          <w:rFonts w:ascii="Times New Roman" w:hAnsi="Times New Roman"/>
          <w:lang w:val="nb-NO" w:eastAsia="nb-NO"/>
        </w:rPr>
        <w:commentReference w:id="13"/>
      </w:r>
    </w:p>
    <w:p w14:paraId="29FEB33F" w14:textId="08EF5B95"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61FE1C8C" w14:textId="1A4C28C6" w:rsidR="28400010" w:rsidRDefault="28400010" w:rsidP="3089B873">
      <w:pPr>
        <w:pStyle w:val="Body"/>
        <w:spacing w:after="0"/>
        <w:rPr>
          <w:rFonts w:ascii="Arial" w:eastAsia="Arial" w:hAnsi="Arial" w:cs="Arial"/>
          <w:sz w:val="22"/>
          <w:szCs w:val="22"/>
          <w:lang w:val="en-GB"/>
        </w:rPr>
      </w:pPr>
      <w:commentRangeStart w:id="14"/>
      <w:r w:rsidRPr="3089B873">
        <w:rPr>
          <w:rFonts w:ascii="Arial" w:eastAsia="Arial" w:hAnsi="Arial" w:cs="Arial"/>
          <w:sz w:val="22"/>
          <w:szCs w:val="22"/>
          <w:lang w:val="en-GB"/>
        </w:rPr>
        <w:t>Barrett, M., &amp; Pachi, D. (2019). Youth civic and political engagement. London: Routledge.</w:t>
      </w:r>
    </w:p>
    <w:p w14:paraId="316D7069" w14:textId="40E1926F" w:rsidR="28400010" w:rsidRDefault="28400010" w:rsidP="3089B873">
      <w:pPr>
        <w:pStyle w:val="Body"/>
        <w:spacing w:after="0"/>
        <w:rPr>
          <w:rFonts w:ascii="Arial" w:eastAsia="Arial" w:hAnsi="Arial" w:cs="Arial"/>
          <w:sz w:val="22"/>
          <w:szCs w:val="22"/>
          <w:lang w:val="en-GB"/>
        </w:rPr>
      </w:pPr>
      <w:hyperlink r:id="rId19">
        <w:r w:rsidRPr="3089B873">
          <w:rPr>
            <w:rFonts w:ascii="Arial" w:eastAsia="Arial" w:hAnsi="Arial" w:cs="Arial"/>
            <w:sz w:val="22"/>
            <w:szCs w:val="22"/>
            <w:lang w:val="en-GB"/>
          </w:rPr>
          <w:t>https://doi.org/10.4324/9780429025570</w:t>
        </w:r>
      </w:hyperlink>
      <w:r w:rsidRPr="3089B873">
        <w:rPr>
          <w:rFonts w:ascii="Arial" w:eastAsia="Arial" w:hAnsi="Arial" w:cs="Arial"/>
          <w:sz w:val="22"/>
          <w:szCs w:val="22"/>
          <w:lang w:val="en-GB"/>
        </w:rPr>
        <w:t xml:space="preserve"> </w:t>
      </w:r>
      <w:commentRangeEnd w:id="14"/>
      <w:r w:rsidR="0027080C">
        <w:rPr>
          <w:rStyle w:val="CommentReference"/>
          <w:rFonts w:ascii="Times New Roman" w:hAnsi="Times New Roman"/>
          <w:lang w:val="nb-NO" w:eastAsia="nb-NO"/>
        </w:rPr>
        <w:commentReference w:id="14"/>
      </w:r>
    </w:p>
    <w:p w14:paraId="329799BC" w14:textId="201B1490"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71C2A0D2" w14:textId="38FA2C07" w:rsidR="28400010" w:rsidRDefault="28400010" w:rsidP="3089B873">
      <w:pPr>
        <w:pStyle w:val="Body"/>
        <w:spacing w:after="0"/>
        <w:rPr>
          <w:rFonts w:ascii="Arial" w:eastAsia="Arial" w:hAnsi="Arial" w:cs="Arial"/>
          <w:sz w:val="22"/>
          <w:szCs w:val="22"/>
          <w:lang w:val="en-GB"/>
        </w:rPr>
      </w:pPr>
      <w:commentRangeStart w:id="15"/>
      <w:r w:rsidRPr="3089B873">
        <w:rPr>
          <w:rFonts w:ascii="Arial" w:eastAsia="Arial" w:hAnsi="Arial" w:cs="Arial"/>
          <w:sz w:val="22"/>
          <w:szCs w:val="22"/>
          <w:lang w:val="en-GB"/>
        </w:rPr>
        <w:t>Barton, K. C., &amp; Ho, L.-C. (2020). Preparation for civil society: A necessary element of curriculum for social justice. Theory Res. Soc. Educ., 48(4), 471–491.</w:t>
      </w:r>
    </w:p>
    <w:p w14:paraId="003C3F59" w14:textId="19F453B5" w:rsidR="28400010" w:rsidRDefault="28400010" w:rsidP="3089B873">
      <w:pPr>
        <w:pStyle w:val="Body"/>
        <w:spacing w:after="0"/>
        <w:rPr>
          <w:rFonts w:ascii="Arial" w:eastAsia="Arial" w:hAnsi="Arial" w:cs="Arial"/>
          <w:sz w:val="22"/>
          <w:szCs w:val="22"/>
          <w:lang w:val="en-GB"/>
        </w:rPr>
      </w:pPr>
      <w:hyperlink r:id="rId20">
        <w:r w:rsidRPr="3089B873">
          <w:rPr>
            <w:rFonts w:ascii="Arial" w:eastAsia="Arial" w:hAnsi="Arial" w:cs="Arial"/>
            <w:sz w:val="22"/>
            <w:szCs w:val="22"/>
            <w:lang w:val="en-GB"/>
          </w:rPr>
          <w:t>https://doi.org/10.1080/00933104.2020.1763880</w:t>
        </w:r>
      </w:hyperlink>
      <w:r w:rsidRPr="3089B873">
        <w:rPr>
          <w:rFonts w:ascii="Arial" w:eastAsia="Arial" w:hAnsi="Arial" w:cs="Arial"/>
          <w:sz w:val="22"/>
          <w:szCs w:val="22"/>
          <w:lang w:val="en-GB"/>
        </w:rPr>
        <w:t xml:space="preserve"> </w:t>
      </w:r>
      <w:commentRangeEnd w:id="15"/>
      <w:r w:rsidR="0027080C">
        <w:rPr>
          <w:rStyle w:val="CommentReference"/>
          <w:rFonts w:ascii="Times New Roman" w:hAnsi="Times New Roman"/>
          <w:lang w:val="nb-NO" w:eastAsia="nb-NO"/>
        </w:rPr>
        <w:commentReference w:id="15"/>
      </w:r>
    </w:p>
    <w:p w14:paraId="281F30F4" w14:textId="61648E6E"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28318815" w14:textId="16E67D9A" w:rsidR="28400010" w:rsidRDefault="28400010" w:rsidP="3089B873">
      <w:pPr>
        <w:pStyle w:val="Body"/>
        <w:spacing w:after="0"/>
        <w:rPr>
          <w:rFonts w:ascii="Arial" w:eastAsia="Arial" w:hAnsi="Arial" w:cs="Arial"/>
          <w:sz w:val="22"/>
          <w:szCs w:val="22"/>
          <w:lang w:val="en-GB"/>
        </w:rPr>
      </w:pPr>
      <w:commentRangeStart w:id="16"/>
      <w:r w:rsidRPr="3089B873">
        <w:rPr>
          <w:rFonts w:ascii="Arial" w:eastAsia="Arial" w:hAnsi="Arial" w:cs="Arial"/>
          <w:sz w:val="22"/>
          <w:szCs w:val="22"/>
          <w:lang w:val="en-GB"/>
        </w:rPr>
        <w:t>Carnegie Corporation of New York. (2024). Connecting civic education and a healthy democracy.</w:t>
      </w:r>
    </w:p>
    <w:p w14:paraId="7A54841E" w14:textId="730789A6" w:rsidR="28400010" w:rsidRDefault="28400010" w:rsidP="3089B873">
      <w:pPr>
        <w:pStyle w:val="Body"/>
        <w:spacing w:after="0"/>
        <w:rPr>
          <w:rFonts w:ascii="Arial" w:eastAsia="Arial" w:hAnsi="Arial" w:cs="Arial"/>
          <w:sz w:val="22"/>
          <w:szCs w:val="22"/>
          <w:lang w:val="en-GB"/>
        </w:rPr>
      </w:pPr>
      <w:hyperlink r:id="rId21">
        <w:r w:rsidRPr="3089B873">
          <w:rPr>
            <w:rFonts w:ascii="Arial" w:eastAsia="Arial" w:hAnsi="Arial" w:cs="Arial"/>
            <w:sz w:val="22"/>
            <w:szCs w:val="22"/>
            <w:lang w:val="en-GB"/>
          </w:rPr>
          <w:t>https://media.carnegie.org/filer_public/22/95/2295320e-52f4-4653-868d-38c362c64f5d/carnegie_civics_policy_2024.pdf</w:t>
        </w:r>
      </w:hyperlink>
      <w:r w:rsidRPr="3089B873">
        <w:rPr>
          <w:rFonts w:ascii="Arial" w:eastAsia="Arial" w:hAnsi="Arial" w:cs="Arial"/>
          <w:sz w:val="22"/>
          <w:szCs w:val="22"/>
          <w:lang w:val="en-GB"/>
        </w:rPr>
        <w:t xml:space="preserve"> </w:t>
      </w:r>
      <w:commentRangeEnd w:id="16"/>
      <w:r w:rsidR="0027080C">
        <w:rPr>
          <w:rStyle w:val="CommentReference"/>
          <w:rFonts w:ascii="Times New Roman" w:hAnsi="Times New Roman"/>
          <w:lang w:val="nb-NO" w:eastAsia="nb-NO"/>
        </w:rPr>
        <w:commentReference w:id="16"/>
      </w:r>
    </w:p>
    <w:p w14:paraId="207A7D08" w14:textId="5B50D954"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4F9F8225" w14:textId="0BDB500B" w:rsidR="28400010" w:rsidRDefault="28400010" w:rsidP="3089B873">
      <w:pPr>
        <w:pStyle w:val="Body"/>
        <w:spacing w:after="0"/>
        <w:rPr>
          <w:rFonts w:ascii="Arial" w:eastAsia="Arial" w:hAnsi="Arial" w:cs="Arial"/>
          <w:sz w:val="22"/>
          <w:szCs w:val="22"/>
          <w:lang w:val="en-GB"/>
        </w:rPr>
      </w:pPr>
      <w:commentRangeStart w:id="17"/>
      <w:r w:rsidRPr="3089B873">
        <w:rPr>
          <w:rFonts w:ascii="Arial" w:eastAsia="Arial" w:hAnsi="Arial" w:cs="Arial"/>
          <w:sz w:val="22"/>
          <w:szCs w:val="22"/>
          <w:lang w:val="en-GB"/>
        </w:rPr>
        <w:t xml:space="preserve">Department of Education. (2013). K to 12 Basic Education Curriculum—Senior High School core subject: Understanding culture, society, and politics (Curriculum guide).  </w:t>
      </w:r>
    </w:p>
    <w:p w14:paraId="2A57F0BC" w14:textId="2EAF68E2" w:rsidR="28400010" w:rsidRDefault="28400010" w:rsidP="3089B873">
      <w:pPr>
        <w:pStyle w:val="Body"/>
        <w:spacing w:after="0"/>
        <w:rPr>
          <w:rFonts w:ascii="Arial" w:eastAsia="Arial" w:hAnsi="Arial" w:cs="Arial"/>
          <w:sz w:val="22"/>
          <w:szCs w:val="22"/>
          <w:lang w:val="en-GB"/>
        </w:rPr>
      </w:pPr>
      <w:hyperlink r:id="rId22">
        <w:r w:rsidRPr="3089B873">
          <w:rPr>
            <w:rFonts w:ascii="Arial" w:eastAsia="Arial" w:hAnsi="Arial" w:cs="Arial"/>
            <w:sz w:val="22"/>
            <w:szCs w:val="22"/>
            <w:lang w:val="en-GB"/>
          </w:rPr>
          <w:t>https://depedwebsitestorage.blob.core.windows.net/upload/2019/01/SHS-Core_Understanding-Culture-Society-and-Politics-CG.pdf</w:t>
        </w:r>
      </w:hyperlink>
      <w:r w:rsidRPr="3089B873">
        <w:rPr>
          <w:rFonts w:ascii="Arial" w:eastAsia="Arial" w:hAnsi="Arial" w:cs="Arial"/>
          <w:sz w:val="22"/>
          <w:szCs w:val="22"/>
          <w:lang w:val="en-GB"/>
        </w:rPr>
        <w:t xml:space="preserve"> </w:t>
      </w:r>
      <w:commentRangeEnd w:id="17"/>
      <w:r w:rsidR="0027080C">
        <w:rPr>
          <w:rStyle w:val="CommentReference"/>
          <w:rFonts w:ascii="Times New Roman" w:hAnsi="Times New Roman"/>
          <w:lang w:val="nb-NO" w:eastAsia="nb-NO"/>
        </w:rPr>
        <w:commentReference w:id="17"/>
      </w:r>
    </w:p>
    <w:p w14:paraId="53482D2D" w14:textId="021F3790"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26A89C28" w14:textId="21BC2BE3" w:rsidR="28400010" w:rsidRDefault="28400010" w:rsidP="3089B873">
      <w:pPr>
        <w:pStyle w:val="Body"/>
        <w:spacing w:after="0"/>
        <w:rPr>
          <w:rFonts w:ascii="Arial" w:eastAsia="Arial" w:hAnsi="Arial" w:cs="Arial"/>
          <w:sz w:val="22"/>
          <w:szCs w:val="22"/>
          <w:lang w:val="en-GB"/>
        </w:rPr>
      </w:pPr>
      <w:commentRangeStart w:id="18"/>
      <w:r w:rsidRPr="3089B873">
        <w:rPr>
          <w:rFonts w:ascii="Arial" w:eastAsia="Arial" w:hAnsi="Arial" w:cs="Arial"/>
          <w:sz w:val="22"/>
          <w:szCs w:val="22"/>
          <w:lang w:val="en-GB"/>
        </w:rPr>
        <w:t>Kristensen, N. N., Denk, T., Olson, M., &amp; Solhaug, T. (Eds.). (2022). Perspectives on political awareness: Conceptual, theoretical and methodological issues. Cham: Springer.</w:t>
      </w:r>
    </w:p>
    <w:p w14:paraId="67827325" w14:textId="215AA948" w:rsidR="28400010" w:rsidRDefault="28400010" w:rsidP="3089B873">
      <w:pPr>
        <w:pStyle w:val="Body"/>
        <w:spacing w:after="0"/>
        <w:rPr>
          <w:rFonts w:ascii="Arial" w:eastAsia="Arial" w:hAnsi="Arial" w:cs="Arial"/>
          <w:sz w:val="22"/>
          <w:szCs w:val="22"/>
          <w:lang w:val="en-GB"/>
        </w:rPr>
      </w:pPr>
      <w:hyperlink r:id="rId23">
        <w:r w:rsidRPr="3089B873">
          <w:rPr>
            <w:rFonts w:ascii="Arial" w:eastAsia="Arial" w:hAnsi="Arial" w:cs="Arial"/>
            <w:sz w:val="22"/>
            <w:szCs w:val="22"/>
            <w:lang w:val="en-GB"/>
          </w:rPr>
          <w:t>https://doi.org/10.1007/978-3-030-90394-7</w:t>
        </w:r>
      </w:hyperlink>
      <w:commentRangeEnd w:id="18"/>
      <w:r w:rsidR="0027080C">
        <w:rPr>
          <w:rStyle w:val="CommentReference"/>
          <w:rFonts w:ascii="Times New Roman" w:hAnsi="Times New Roman"/>
          <w:lang w:val="nb-NO" w:eastAsia="nb-NO"/>
        </w:rPr>
        <w:commentReference w:id="18"/>
      </w:r>
      <w:r w:rsidRPr="3089B873">
        <w:rPr>
          <w:rFonts w:ascii="Arial" w:eastAsia="Arial" w:hAnsi="Arial" w:cs="Arial"/>
          <w:sz w:val="22"/>
          <w:szCs w:val="22"/>
          <w:lang w:val="en-GB"/>
        </w:rPr>
        <w:t xml:space="preserve"> </w:t>
      </w:r>
    </w:p>
    <w:p w14:paraId="59B517B8" w14:textId="7266B111"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3A2D4B4A" w14:textId="282E5139" w:rsidR="28400010" w:rsidRDefault="28400010" w:rsidP="3089B873">
      <w:pPr>
        <w:pStyle w:val="Body"/>
        <w:spacing w:after="0"/>
        <w:rPr>
          <w:rFonts w:ascii="Arial" w:eastAsia="Arial" w:hAnsi="Arial" w:cs="Arial"/>
          <w:sz w:val="22"/>
          <w:szCs w:val="22"/>
          <w:lang w:val="en-GB"/>
        </w:rPr>
      </w:pPr>
      <w:commentRangeStart w:id="19"/>
      <w:r w:rsidRPr="3089B873">
        <w:rPr>
          <w:rFonts w:ascii="Arial" w:eastAsia="Arial" w:hAnsi="Arial" w:cs="Arial"/>
          <w:sz w:val="22"/>
          <w:szCs w:val="22"/>
          <w:lang w:val="en-GB"/>
        </w:rPr>
        <w:t xml:space="preserve">Lawphil. (2013). Republic Act No. 10533: Enhanced Basic Education Act of 2013.  </w:t>
      </w:r>
    </w:p>
    <w:p w14:paraId="647D2FFE" w14:textId="3DF25398" w:rsidR="28400010" w:rsidRDefault="28400010" w:rsidP="3089B873">
      <w:pPr>
        <w:pStyle w:val="Body"/>
        <w:spacing w:after="0"/>
        <w:rPr>
          <w:rFonts w:ascii="Arial" w:eastAsia="Arial" w:hAnsi="Arial" w:cs="Arial"/>
          <w:sz w:val="22"/>
          <w:szCs w:val="22"/>
          <w:lang w:val="en-GB"/>
        </w:rPr>
      </w:pPr>
      <w:hyperlink r:id="rId24">
        <w:r w:rsidRPr="3089B873">
          <w:rPr>
            <w:rFonts w:ascii="Arial" w:eastAsia="Arial" w:hAnsi="Arial" w:cs="Arial"/>
            <w:sz w:val="22"/>
            <w:szCs w:val="22"/>
            <w:lang w:val="en-GB"/>
          </w:rPr>
          <w:t>https://lawphil.net/statutes/repacts/ra2013/ra_10533_2013.html</w:t>
        </w:r>
      </w:hyperlink>
      <w:commentRangeEnd w:id="19"/>
      <w:r w:rsidR="0027080C">
        <w:rPr>
          <w:rStyle w:val="CommentReference"/>
          <w:rFonts w:ascii="Times New Roman" w:hAnsi="Times New Roman"/>
          <w:lang w:val="nb-NO" w:eastAsia="nb-NO"/>
        </w:rPr>
        <w:commentReference w:id="19"/>
      </w:r>
      <w:r w:rsidRPr="3089B873">
        <w:rPr>
          <w:rFonts w:ascii="Arial" w:eastAsia="Arial" w:hAnsi="Arial" w:cs="Arial"/>
          <w:sz w:val="22"/>
          <w:szCs w:val="22"/>
          <w:lang w:val="en-GB"/>
        </w:rPr>
        <w:t xml:space="preserve"> </w:t>
      </w:r>
    </w:p>
    <w:p w14:paraId="52C66F26" w14:textId="08E831C8"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7596B302" w14:textId="5C951AD2" w:rsidR="28400010" w:rsidRDefault="28400010" w:rsidP="3089B873">
      <w:pPr>
        <w:pStyle w:val="Body"/>
        <w:spacing w:after="0"/>
        <w:rPr>
          <w:rFonts w:ascii="Arial" w:eastAsia="Arial" w:hAnsi="Arial" w:cs="Arial"/>
          <w:sz w:val="22"/>
          <w:szCs w:val="22"/>
          <w:lang w:val="en-GB"/>
        </w:rPr>
      </w:pPr>
      <w:commentRangeStart w:id="20"/>
      <w:r w:rsidRPr="3089B873">
        <w:rPr>
          <w:rFonts w:ascii="Arial" w:eastAsia="Arial" w:hAnsi="Arial" w:cs="Arial"/>
          <w:sz w:val="22"/>
          <w:szCs w:val="22"/>
          <w:lang w:val="en-GB"/>
        </w:rPr>
        <w:t>Maurissen, L., Claes, E., &amp; Barber, C. (2018). Deliberation in citizenship education: How the school context contributes to the development of an open classroom climate. Soc. Psychol. Educ., 21(4), 951–972.</w:t>
      </w:r>
    </w:p>
    <w:p w14:paraId="566B2AC5" w14:textId="11D3BEDB" w:rsidR="28400010" w:rsidRDefault="28400010" w:rsidP="3089B873">
      <w:pPr>
        <w:pStyle w:val="Body"/>
        <w:spacing w:after="0"/>
        <w:rPr>
          <w:rFonts w:ascii="Arial" w:eastAsia="Arial" w:hAnsi="Arial" w:cs="Arial"/>
          <w:sz w:val="22"/>
          <w:szCs w:val="22"/>
          <w:lang w:val="en-GB"/>
        </w:rPr>
      </w:pPr>
      <w:hyperlink r:id="rId25">
        <w:r w:rsidRPr="3089B873">
          <w:rPr>
            <w:rFonts w:ascii="Arial" w:eastAsia="Arial" w:hAnsi="Arial" w:cs="Arial"/>
            <w:sz w:val="22"/>
            <w:szCs w:val="22"/>
            <w:lang w:val="en-GB"/>
          </w:rPr>
          <w:t>https://doi.org/10.1007/s11218-018-9449-7</w:t>
        </w:r>
      </w:hyperlink>
      <w:r w:rsidRPr="3089B873">
        <w:rPr>
          <w:rFonts w:ascii="Arial" w:eastAsia="Arial" w:hAnsi="Arial" w:cs="Arial"/>
          <w:sz w:val="22"/>
          <w:szCs w:val="22"/>
          <w:lang w:val="en-GB"/>
        </w:rPr>
        <w:t xml:space="preserve"> </w:t>
      </w:r>
      <w:commentRangeEnd w:id="20"/>
      <w:r w:rsidR="0027080C">
        <w:rPr>
          <w:rStyle w:val="CommentReference"/>
          <w:rFonts w:ascii="Times New Roman" w:hAnsi="Times New Roman"/>
          <w:lang w:val="nb-NO" w:eastAsia="nb-NO"/>
        </w:rPr>
        <w:commentReference w:id="20"/>
      </w:r>
    </w:p>
    <w:p w14:paraId="2866DC41" w14:textId="7020C813"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3934EDB4" w14:textId="6777C8EB" w:rsidR="28400010" w:rsidRDefault="28400010" w:rsidP="3089B873">
      <w:pPr>
        <w:pStyle w:val="Body"/>
        <w:spacing w:after="0"/>
        <w:rPr>
          <w:rFonts w:ascii="Arial" w:eastAsia="Arial" w:hAnsi="Arial" w:cs="Arial"/>
          <w:sz w:val="22"/>
          <w:szCs w:val="22"/>
          <w:lang w:val="en-GB"/>
        </w:rPr>
      </w:pPr>
      <w:commentRangeStart w:id="21"/>
      <w:r w:rsidRPr="3089B873">
        <w:rPr>
          <w:rFonts w:ascii="Arial" w:eastAsia="Arial" w:hAnsi="Arial" w:cs="Arial"/>
          <w:sz w:val="22"/>
          <w:szCs w:val="22"/>
          <w:lang w:val="en-GB"/>
        </w:rPr>
        <w:t>National Center for Education Statistics. (2023). 2022 NAEP civics assessment: Highlighted results at grade 8 for the nation. Washington, DC: U.S. Department of Education.</w:t>
      </w:r>
    </w:p>
    <w:p w14:paraId="07DBA7D8" w14:textId="5A8FEF44" w:rsidR="28400010" w:rsidRDefault="28400010" w:rsidP="3089B873">
      <w:pPr>
        <w:pStyle w:val="Body"/>
        <w:spacing w:after="0"/>
        <w:rPr>
          <w:rFonts w:ascii="Arial" w:eastAsia="Arial" w:hAnsi="Arial" w:cs="Arial"/>
          <w:sz w:val="22"/>
          <w:szCs w:val="22"/>
          <w:lang w:val="en-GB"/>
        </w:rPr>
      </w:pPr>
      <w:hyperlink r:id="rId26">
        <w:r w:rsidRPr="3089B873">
          <w:rPr>
            <w:rFonts w:ascii="Arial" w:eastAsia="Arial" w:hAnsi="Arial" w:cs="Arial"/>
            <w:sz w:val="22"/>
            <w:szCs w:val="22"/>
            <w:lang w:val="en-GB"/>
          </w:rPr>
          <w:t>https://nces.ed.gov/pubsearch/pubsinfo.asp?pubid=2023052</w:t>
        </w:r>
      </w:hyperlink>
      <w:r w:rsidRPr="3089B873">
        <w:rPr>
          <w:rFonts w:ascii="Arial" w:eastAsia="Arial" w:hAnsi="Arial" w:cs="Arial"/>
          <w:sz w:val="22"/>
          <w:szCs w:val="22"/>
          <w:lang w:val="en-GB"/>
        </w:rPr>
        <w:t xml:space="preserve"> </w:t>
      </w:r>
      <w:commentRangeEnd w:id="21"/>
      <w:r w:rsidR="0027080C">
        <w:rPr>
          <w:rStyle w:val="CommentReference"/>
          <w:rFonts w:ascii="Times New Roman" w:hAnsi="Times New Roman"/>
          <w:lang w:val="nb-NO" w:eastAsia="nb-NO"/>
        </w:rPr>
        <w:commentReference w:id="21"/>
      </w:r>
    </w:p>
    <w:p w14:paraId="7D5770C2" w14:textId="015C6DDB"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6F953729" w14:textId="3AA733E9" w:rsidR="28400010" w:rsidRDefault="28400010" w:rsidP="3089B873">
      <w:pPr>
        <w:pStyle w:val="Body"/>
        <w:spacing w:after="0"/>
        <w:rPr>
          <w:rFonts w:ascii="Arial" w:eastAsia="Arial" w:hAnsi="Arial" w:cs="Arial"/>
          <w:sz w:val="22"/>
          <w:szCs w:val="22"/>
          <w:lang w:val="en-GB"/>
        </w:rPr>
      </w:pPr>
      <w:commentRangeStart w:id="22"/>
      <w:r w:rsidRPr="3089B873">
        <w:rPr>
          <w:rFonts w:ascii="Arial" w:eastAsia="Arial" w:hAnsi="Arial" w:cs="Arial"/>
          <w:sz w:val="22"/>
          <w:szCs w:val="22"/>
          <w:lang w:val="en-GB"/>
        </w:rPr>
        <w:t xml:space="preserve">Rappler. (2025, May 15). Voter turnout hits 82.2% in 2025, a record high for midterm polls. Rappler.  </w:t>
      </w:r>
    </w:p>
    <w:p w14:paraId="392D6A5A" w14:textId="32F9C289" w:rsidR="28400010" w:rsidRDefault="28400010" w:rsidP="3089B873">
      <w:pPr>
        <w:pStyle w:val="Body"/>
        <w:spacing w:after="0"/>
        <w:rPr>
          <w:rFonts w:ascii="Arial" w:eastAsia="Arial" w:hAnsi="Arial" w:cs="Arial"/>
          <w:sz w:val="22"/>
          <w:szCs w:val="22"/>
          <w:lang w:val="en-GB"/>
        </w:rPr>
      </w:pPr>
      <w:hyperlink r:id="rId27">
        <w:r w:rsidRPr="3089B873">
          <w:rPr>
            <w:rFonts w:ascii="Arial" w:eastAsia="Arial" w:hAnsi="Arial" w:cs="Arial"/>
            <w:sz w:val="22"/>
            <w:szCs w:val="22"/>
            <w:lang w:val="en-GB"/>
          </w:rPr>
          <w:t>https://www.rappler.com/philippines/elections/voter-turnout-comelec-report-may-2025/</w:t>
        </w:r>
      </w:hyperlink>
      <w:r w:rsidRPr="3089B873">
        <w:rPr>
          <w:rFonts w:ascii="Arial" w:eastAsia="Arial" w:hAnsi="Arial" w:cs="Arial"/>
          <w:sz w:val="22"/>
          <w:szCs w:val="22"/>
          <w:lang w:val="en-GB"/>
        </w:rPr>
        <w:t xml:space="preserve"> </w:t>
      </w:r>
      <w:commentRangeEnd w:id="22"/>
      <w:r w:rsidR="0027080C">
        <w:rPr>
          <w:rStyle w:val="CommentReference"/>
          <w:rFonts w:ascii="Times New Roman" w:hAnsi="Times New Roman"/>
          <w:lang w:val="nb-NO" w:eastAsia="nb-NO"/>
        </w:rPr>
        <w:commentReference w:id="22"/>
      </w:r>
    </w:p>
    <w:p w14:paraId="50E437F5" w14:textId="2A85EE51"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3A26815B" w14:textId="1B3B7997" w:rsidR="28400010" w:rsidRDefault="28400010" w:rsidP="3089B873">
      <w:pPr>
        <w:pStyle w:val="Body"/>
        <w:spacing w:after="0"/>
        <w:rPr>
          <w:rFonts w:ascii="Arial" w:eastAsia="Arial" w:hAnsi="Arial" w:cs="Arial"/>
          <w:sz w:val="22"/>
          <w:szCs w:val="22"/>
          <w:lang w:val="en-GB"/>
        </w:rPr>
      </w:pPr>
      <w:commentRangeStart w:id="23"/>
      <w:r w:rsidRPr="3089B873">
        <w:rPr>
          <w:rFonts w:ascii="Arial" w:eastAsia="Arial" w:hAnsi="Arial" w:cs="Arial"/>
          <w:sz w:val="22"/>
          <w:szCs w:val="22"/>
          <w:lang w:val="en-GB"/>
        </w:rPr>
        <w:t>Reichert, F., Chen, J., &amp; Torney‑Purta, J. (2018). Profiles of adolescents’ perceptions of democratic classroom climate and students’ influence: The effect of school and community contexts. J. Youth Adolesc., 47(6), 1279–1298.</w:t>
      </w:r>
    </w:p>
    <w:p w14:paraId="57C9F1F1" w14:textId="39D3C5F3" w:rsidR="28400010" w:rsidRDefault="28400010" w:rsidP="3089B873">
      <w:pPr>
        <w:pStyle w:val="Body"/>
        <w:spacing w:after="0"/>
        <w:rPr>
          <w:rFonts w:ascii="Arial" w:eastAsia="Arial" w:hAnsi="Arial" w:cs="Arial"/>
          <w:sz w:val="22"/>
          <w:szCs w:val="22"/>
          <w:lang w:val="en-GB"/>
        </w:rPr>
      </w:pPr>
      <w:hyperlink r:id="rId28">
        <w:r w:rsidRPr="3089B873">
          <w:rPr>
            <w:rFonts w:ascii="Arial" w:eastAsia="Arial" w:hAnsi="Arial" w:cs="Arial"/>
            <w:sz w:val="22"/>
            <w:szCs w:val="22"/>
            <w:lang w:val="en-GB"/>
          </w:rPr>
          <w:t>https://doi.org/10.1007/s10964-018-0831-8</w:t>
        </w:r>
      </w:hyperlink>
      <w:commentRangeEnd w:id="23"/>
      <w:r w:rsidR="0027080C">
        <w:rPr>
          <w:rStyle w:val="CommentReference"/>
          <w:rFonts w:ascii="Times New Roman" w:hAnsi="Times New Roman"/>
          <w:lang w:val="nb-NO" w:eastAsia="nb-NO"/>
        </w:rPr>
        <w:commentReference w:id="23"/>
      </w:r>
      <w:r w:rsidRPr="3089B873">
        <w:rPr>
          <w:rFonts w:ascii="Arial" w:eastAsia="Arial" w:hAnsi="Arial" w:cs="Arial"/>
          <w:sz w:val="22"/>
          <w:szCs w:val="22"/>
          <w:lang w:val="en-GB"/>
        </w:rPr>
        <w:t xml:space="preserve"> </w:t>
      </w:r>
    </w:p>
    <w:p w14:paraId="3C78B79A" w14:textId="15F9F07A"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0DC2D79C" w14:textId="2D1307C2" w:rsidR="28400010" w:rsidRDefault="28400010" w:rsidP="3089B873">
      <w:pPr>
        <w:pStyle w:val="Body"/>
        <w:spacing w:after="0"/>
        <w:rPr>
          <w:rFonts w:ascii="Arial" w:eastAsia="Arial" w:hAnsi="Arial" w:cs="Arial"/>
          <w:sz w:val="22"/>
          <w:szCs w:val="22"/>
          <w:lang w:val="en-GB"/>
        </w:rPr>
      </w:pPr>
      <w:commentRangeStart w:id="24"/>
      <w:r w:rsidRPr="3089B873">
        <w:rPr>
          <w:rFonts w:ascii="Arial" w:eastAsia="Arial" w:hAnsi="Arial" w:cs="Arial"/>
          <w:sz w:val="22"/>
          <w:szCs w:val="22"/>
          <w:lang w:val="en-GB"/>
        </w:rPr>
        <w:t>Tzankova, I., Albanesi, C., Prati, G., &amp; Cicognani, E. (2023). Development of civic and political engagement in schools: A structural equation model of democratic school characteristics’ influence on different types of participation. Eur. J. Dev. Psychol., 20(6), 1060–1081.</w:t>
      </w:r>
    </w:p>
    <w:p w14:paraId="1CC27E39" w14:textId="4F48C8B4" w:rsidR="28400010" w:rsidRDefault="28400010" w:rsidP="3089B873">
      <w:pPr>
        <w:pStyle w:val="Body"/>
        <w:spacing w:after="0"/>
        <w:rPr>
          <w:rFonts w:ascii="Arial" w:eastAsia="Arial" w:hAnsi="Arial" w:cs="Arial"/>
          <w:sz w:val="22"/>
          <w:szCs w:val="22"/>
          <w:lang w:val="en-GB"/>
        </w:rPr>
      </w:pPr>
      <w:hyperlink r:id="rId29">
        <w:r w:rsidRPr="3089B873">
          <w:rPr>
            <w:rFonts w:ascii="Arial" w:eastAsia="Arial" w:hAnsi="Arial" w:cs="Arial"/>
            <w:sz w:val="22"/>
            <w:szCs w:val="22"/>
            <w:lang w:val="en-GB"/>
          </w:rPr>
          <w:t>https://doi.org/10.1080/17405629.2022.2094362</w:t>
        </w:r>
      </w:hyperlink>
      <w:r w:rsidRPr="3089B873">
        <w:rPr>
          <w:rFonts w:ascii="Arial" w:eastAsia="Arial" w:hAnsi="Arial" w:cs="Arial"/>
          <w:sz w:val="22"/>
          <w:szCs w:val="22"/>
          <w:lang w:val="en-GB"/>
        </w:rPr>
        <w:t xml:space="preserve"> </w:t>
      </w:r>
      <w:commentRangeEnd w:id="24"/>
      <w:r w:rsidR="0027080C">
        <w:rPr>
          <w:rStyle w:val="CommentReference"/>
          <w:rFonts w:ascii="Times New Roman" w:hAnsi="Times New Roman"/>
          <w:lang w:val="nb-NO" w:eastAsia="nb-NO"/>
        </w:rPr>
        <w:commentReference w:id="24"/>
      </w:r>
    </w:p>
    <w:p w14:paraId="65D52772" w14:textId="6D9A7E51"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1FBC9669" w14:textId="0B80E9B8" w:rsidR="28400010" w:rsidRDefault="28400010" w:rsidP="3089B873">
      <w:pPr>
        <w:pStyle w:val="Body"/>
        <w:spacing w:after="0"/>
        <w:rPr>
          <w:rFonts w:ascii="Arial" w:eastAsia="Arial" w:hAnsi="Arial" w:cs="Arial"/>
          <w:sz w:val="22"/>
          <w:szCs w:val="22"/>
          <w:lang w:val="en-GB"/>
        </w:rPr>
      </w:pPr>
      <w:commentRangeStart w:id="25"/>
      <w:r w:rsidRPr="3089B873">
        <w:rPr>
          <w:rFonts w:ascii="Arial" w:eastAsia="Arial" w:hAnsi="Arial" w:cs="Arial"/>
          <w:sz w:val="22"/>
          <w:szCs w:val="22"/>
          <w:lang w:val="en-GB"/>
        </w:rPr>
        <w:t xml:space="preserve">UNICEF Philippines. (2021). Philippines kids online: The online experiences of children in the Philippines—Opportunities, risks and barriers.  </w:t>
      </w:r>
    </w:p>
    <w:p w14:paraId="14D14FBE" w14:textId="5C56ACCD" w:rsidR="28400010" w:rsidRDefault="28400010" w:rsidP="3089B873">
      <w:pPr>
        <w:pStyle w:val="Body"/>
        <w:spacing w:after="0"/>
        <w:rPr>
          <w:lang w:val="en-GB"/>
        </w:rPr>
      </w:pPr>
      <w:hyperlink r:id="rId30">
        <w:r w:rsidRPr="3089B873">
          <w:rPr>
            <w:lang w:val="en-GB"/>
          </w:rPr>
          <w:t>https://www.unicef.org/philippines/reports/philippines-kids-online</w:t>
        </w:r>
      </w:hyperlink>
      <w:r w:rsidRPr="3089B873">
        <w:rPr>
          <w:lang w:val="en-GB"/>
        </w:rPr>
        <w:t xml:space="preserve"> </w:t>
      </w:r>
    </w:p>
    <w:p w14:paraId="622E015F" w14:textId="2012D6AA"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Wui, M. G. L., Claudio, J. S. R., Zhang, J., Reyes, C. R. R., Reyes, R. T. M., &amp; Leviste, E. N. P. (2025). Role of classroom openness in digital literacy and online civic engagement among Filipino high school students. J. Appl. Youth Stud., 8(2), 287–306.</w:t>
      </w:r>
    </w:p>
    <w:p w14:paraId="1431176E" w14:textId="73F85E3D" w:rsidR="28400010" w:rsidRDefault="28400010" w:rsidP="3089B873">
      <w:pPr>
        <w:pStyle w:val="Body"/>
        <w:spacing w:after="0"/>
        <w:rPr>
          <w:rFonts w:ascii="Arial" w:eastAsia="Arial" w:hAnsi="Arial" w:cs="Arial"/>
          <w:sz w:val="22"/>
          <w:szCs w:val="22"/>
          <w:lang w:val="en-GB"/>
        </w:rPr>
      </w:pPr>
      <w:hyperlink r:id="rId31">
        <w:r w:rsidRPr="3089B873">
          <w:rPr>
            <w:rFonts w:ascii="Arial" w:eastAsia="Arial" w:hAnsi="Arial" w:cs="Arial"/>
            <w:sz w:val="22"/>
            <w:szCs w:val="22"/>
            <w:lang w:val="en-GB"/>
          </w:rPr>
          <w:t>https://doi.org/10.1007/s43151-025-00169-y</w:t>
        </w:r>
      </w:hyperlink>
      <w:r w:rsidRPr="3089B873">
        <w:rPr>
          <w:rFonts w:ascii="Arial" w:eastAsia="Arial" w:hAnsi="Arial" w:cs="Arial"/>
          <w:sz w:val="22"/>
          <w:szCs w:val="22"/>
          <w:lang w:val="en-GB"/>
        </w:rPr>
        <w:t xml:space="preserve"> </w:t>
      </w:r>
      <w:commentRangeEnd w:id="25"/>
      <w:r w:rsidR="0027080C">
        <w:rPr>
          <w:rStyle w:val="CommentReference"/>
          <w:rFonts w:ascii="Times New Roman" w:hAnsi="Times New Roman"/>
          <w:lang w:val="nb-NO" w:eastAsia="nb-NO"/>
        </w:rPr>
        <w:commentReference w:id="25"/>
      </w:r>
    </w:p>
    <w:p w14:paraId="0CD21E36" w14:textId="4D929BF6"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 </w:t>
      </w:r>
    </w:p>
    <w:p w14:paraId="2FF3CA8A" w14:textId="744C769F" w:rsidR="28400010" w:rsidRDefault="28400010" w:rsidP="3089B873">
      <w:pPr>
        <w:pStyle w:val="Body"/>
        <w:spacing w:after="0"/>
        <w:rPr>
          <w:rFonts w:ascii="Arial" w:eastAsia="Arial" w:hAnsi="Arial" w:cs="Arial"/>
          <w:sz w:val="22"/>
          <w:szCs w:val="22"/>
          <w:lang w:val="en-GB"/>
        </w:rPr>
      </w:pPr>
      <w:commentRangeStart w:id="26"/>
      <w:r w:rsidRPr="3089B873">
        <w:rPr>
          <w:rFonts w:ascii="Arial" w:eastAsia="Arial" w:hAnsi="Arial" w:cs="Arial"/>
          <w:sz w:val="22"/>
          <w:szCs w:val="22"/>
          <w:lang w:val="en-GB"/>
        </w:rPr>
        <w:t>Zarrett, N., Liu, Y., Vandell, D. L., &amp; Simpkins, S. D. (2021). The role of organized activities in supporting youth moral and civic character development: A review of the literature. Adolesc. Res. Rev., 6(2), 199–227.</w:t>
      </w:r>
    </w:p>
    <w:p w14:paraId="32F852D7" w14:textId="5A17EA6D" w:rsidR="28400010" w:rsidRDefault="28400010" w:rsidP="3089B873">
      <w:pPr>
        <w:pStyle w:val="Body"/>
        <w:spacing w:after="0"/>
        <w:rPr>
          <w:rFonts w:ascii="Arial" w:eastAsia="Arial" w:hAnsi="Arial" w:cs="Arial"/>
          <w:sz w:val="22"/>
          <w:szCs w:val="22"/>
          <w:lang w:val="en-GB"/>
        </w:rPr>
      </w:pPr>
      <w:r w:rsidRPr="3089B873">
        <w:rPr>
          <w:rFonts w:ascii="Arial" w:eastAsia="Arial" w:hAnsi="Arial" w:cs="Arial"/>
          <w:sz w:val="22"/>
          <w:szCs w:val="22"/>
          <w:lang w:val="en-GB"/>
        </w:rPr>
        <w:t xml:space="preserve">https://doi.org/10.1007/s40894-020-00142-1 </w:t>
      </w:r>
      <w:commentRangeEnd w:id="26"/>
      <w:r w:rsidR="0027080C">
        <w:rPr>
          <w:rStyle w:val="CommentReference"/>
          <w:rFonts w:ascii="Times New Roman" w:hAnsi="Times New Roman"/>
          <w:lang w:val="nb-NO" w:eastAsia="nb-NO"/>
        </w:rPr>
        <w:commentReference w:id="26"/>
      </w:r>
    </w:p>
    <w:p w14:paraId="6E1831B3" w14:textId="77777777" w:rsidR="00441B6F" w:rsidRDefault="00441B6F" w:rsidP="00441B6F">
      <w:pPr>
        <w:pStyle w:val="Body"/>
        <w:spacing w:after="0"/>
        <w:jc w:val="left"/>
      </w:pPr>
    </w:p>
    <w:p w14:paraId="0F0C2803" w14:textId="3C346D10" w:rsidR="3089B873" w:rsidRDefault="3089B873" w:rsidP="3089B873">
      <w:pPr>
        <w:pStyle w:val="Body"/>
        <w:spacing w:after="0"/>
        <w:jc w:val="left"/>
      </w:pPr>
    </w:p>
    <w:p w14:paraId="00AEA924" w14:textId="196D7F0F" w:rsidR="3089B873" w:rsidRDefault="3089B873" w:rsidP="3089B873">
      <w:pPr>
        <w:pStyle w:val="Body"/>
        <w:spacing w:after="0"/>
        <w:jc w:val="left"/>
      </w:pPr>
    </w:p>
    <w:p w14:paraId="2746824A" w14:textId="70AA8C7E" w:rsidR="1E9D84C7" w:rsidRDefault="1E9D84C7" w:rsidP="3089B873">
      <w:pPr>
        <w:pStyle w:val="Body"/>
        <w:spacing w:after="0"/>
        <w:jc w:val="left"/>
        <w:rPr>
          <w:rFonts w:ascii="Arial" w:eastAsia="Arial" w:hAnsi="Arial" w:cs="Arial"/>
          <w:b/>
          <w:bCs/>
          <w:sz w:val="22"/>
          <w:szCs w:val="22"/>
        </w:rPr>
      </w:pPr>
      <w:r w:rsidRPr="3089B873">
        <w:rPr>
          <w:rFonts w:ascii="Arial" w:eastAsia="Arial" w:hAnsi="Arial" w:cs="Arial"/>
          <w:b/>
          <w:bCs/>
          <w:sz w:val="22"/>
          <w:szCs w:val="22"/>
        </w:rPr>
        <w:t>DEFINITION OF TERMS</w:t>
      </w:r>
    </w:p>
    <w:p w14:paraId="20F4A28E" w14:textId="37992A75" w:rsidR="3089B873" w:rsidRDefault="3089B873" w:rsidP="3089B873">
      <w:pPr>
        <w:pStyle w:val="Body"/>
        <w:spacing w:after="0"/>
        <w:jc w:val="left"/>
        <w:rPr>
          <w:rFonts w:ascii="Arial" w:eastAsia="Arial" w:hAnsi="Arial" w:cs="Arial"/>
          <w:b/>
          <w:bCs/>
          <w:sz w:val="22"/>
          <w:szCs w:val="22"/>
        </w:rPr>
      </w:pPr>
    </w:p>
    <w:p w14:paraId="4A6058CB" w14:textId="45327212" w:rsidR="00B01FCD" w:rsidRPr="00FB3A86" w:rsidRDefault="1E9D84C7" w:rsidP="3089B873">
      <w:pPr>
        <w:pStyle w:val="Body"/>
        <w:spacing w:after="0"/>
        <w:jc w:val="left"/>
        <w:rPr>
          <w:rFonts w:ascii="Arial" w:hAnsi="Arial" w:cs="Arial"/>
        </w:rPr>
      </w:pPr>
      <w:r w:rsidRPr="3089B873">
        <w:rPr>
          <w:rFonts w:ascii="Arial" w:hAnsi="Arial" w:cs="Arial"/>
        </w:rPr>
        <w:t>The following terms are conceptually and operationally defined to ensure clarity and consistency in this study.</w:t>
      </w:r>
    </w:p>
    <w:p w14:paraId="6AA11FEA" w14:textId="09E8E3B8" w:rsidR="00B01FCD" w:rsidRPr="00FB3A86" w:rsidRDefault="1E9D84C7" w:rsidP="3089B873">
      <w:pPr>
        <w:pStyle w:val="Body"/>
        <w:spacing w:after="0"/>
        <w:jc w:val="left"/>
      </w:pPr>
      <w:r w:rsidRPr="3089B873">
        <w:rPr>
          <w:rFonts w:ascii="Arial" w:hAnsi="Arial" w:cs="Arial"/>
        </w:rPr>
        <w:t xml:space="preserve"> </w:t>
      </w:r>
    </w:p>
    <w:p w14:paraId="5923168C" w14:textId="6DEB3EEB" w:rsidR="00B01FCD" w:rsidRPr="00FB3A86" w:rsidRDefault="1E9D84C7" w:rsidP="3089B873">
      <w:pPr>
        <w:pStyle w:val="Body"/>
        <w:spacing w:after="0"/>
        <w:jc w:val="left"/>
      </w:pPr>
      <w:r w:rsidRPr="3089B873">
        <w:rPr>
          <w:rFonts w:ascii="Arial" w:hAnsi="Arial" w:cs="Arial"/>
        </w:rPr>
        <w:t>Civic Awareness. Conceptually, civic awareness refers to the understanding of roles, rights, and responsibilities within society, including recognition of social, political, and cultural issues that shape community life (Achour &amp; Alghamdi, 2022). Operationally, it was measured as SHS students’ ability to recognize societal structures, understand responsibilities, and identify their role in contributing to community and national development, assessed through survey items on civic duties, participation, and perceived impact.</w:t>
      </w:r>
    </w:p>
    <w:p w14:paraId="154A8B86" w14:textId="6671365C" w:rsidR="00B01FCD" w:rsidRPr="00FB3A86" w:rsidRDefault="1E9D84C7" w:rsidP="3089B873">
      <w:pPr>
        <w:pStyle w:val="Body"/>
        <w:spacing w:after="0"/>
        <w:jc w:val="left"/>
      </w:pPr>
      <w:r w:rsidRPr="3089B873">
        <w:rPr>
          <w:rFonts w:ascii="Arial" w:hAnsi="Arial" w:cs="Arial"/>
        </w:rPr>
        <w:t xml:space="preserve"> </w:t>
      </w:r>
    </w:p>
    <w:p w14:paraId="5A345F98" w14:textId="1706A1BA" w:rsidR="00B01FCD" w:rsidRPr="00FB3A86" w:rsidRDefault="1E9D84C7" w:rsidP="3089B873">
      <w:pPr>
        <w:pStyle w:val="Body"/>
        <w:spacing w:after="0"/>
        <w:jc w:val="left"/>
      </w:pPr>
      <w:r w:rsidRPr="3089B873">
        <w:rPr>
          <w:rFonts w:ascii="Arial" w:hAnsi="Arial" w:cs="Arial"/>
        </w:rPr>
        <w:t xml:space="preserve">Civic Engagement. Conceptually, civic engagement encompasses activities and attitudes that promote participation in social and political life, strengthening democratic society (Banyan, 2023). Operationally, it was measured as SHS students’ active involvement in </w:t>
      </w:r>
      <w:r w:rsidRPr="3089B873">
        <w:rPr>
          <w:rFonts w:ascii="Arial" w:hAnsi="Arial" w:cs="Arial"/>
        </w:rPr>
        <w:lastRenderedPageBreak/>
        <w:t>community service, awareness of social issues, and participation in civic or volunteer activities.</w:t>
      </w:r>
    </w:p>
    <w:p w14:paraId="0F762413" w14:textId="5F2D8737" w:rsidR="00B01FCD" w:rsidRPr="00FB3A86" w:rsidRDefault="1E9D84C7" w:rsidP="3089B873">
      <w:pPr>
        <w:pStyle w:val="Body"/>
        <w:spacing w:after="0"/>
        <w:jc w:val="left"/>
      </w:pPr>
      <w:r w:rsidRPr="3089B873">
        <w:rPr>
          <w:rFonts w:ascii="Arial" w:hAnsi="Arial" w:cs="Arial"/>
        </w:rPr>
        <w:t xml:space="preserve"> </w:t>
      </w:r>
    </w:p>
    <w:p w14:paraId="17B52827" w14:textId="5C41FCFA" w:rsidR="00B01FCD" w:rsidRPr="00FB3A86" w:rsidRDefault="1E9D84C7" w:rsidP="3089B873">
      <w:pPr>
        <w:pStyle w:val="Body"/>
        <w:spacing w:after="0"/>
        <w:jc w:val="left"/>
      </w:pPr>
      <w:r w:rsidRPr="3089B873">
        <w:rPr>
          <w:rFonts w:ascii="Arial" w:hAnsi="Arial" w:cs="Arial"/>
        </w:rPr>
        <w:t>Political Awareness. Conceptually, political awareness refers to recognition and understanding of political knowledge, including issues, institutions, and leaders at local, national, and global levels (Achour &amp; Alghamdi, 2022). Operationally, it was measured as SHS students’ comprehension of political systems, participation in political discussions, and familiarity with current events.</w:t>
      </w:r>
    </w:p>
    <w:p w14:paraId="352F1DEA" w14:textId="421B23D9" w:rsidR="00B01FCD" w:rsidRPr="00FB3A86" w:rsidRDefault="1E9D84C7" w:rsidP="3089B873">
      <w:pPr>
        <w:pStyle w:val="Body"/>
        <w:spacing w:after="0"/>
        <w:jc w:val="left"/>
      </w:pPr>
      <w:r w:rsidRPr="3089B873">
        <w:rPr>
          <w:rFonts w:ascii="Arial" w:hAnsi="Arial" w:cs="Arial"/>
        </w:rPr>
        <w:t xml:space="preserve"> </w:t>
      </w:r>
    </w:p>
    <w:p w14:paraId="5C936947" w14:textId="04E88DFE" w:rsidR="00B01FCD" w:rsidRPr="00FB3A86" w:rsidRDefault="1E9D84C7" w:rsidP="3089B873">
      <w:pPr>
        <w:pStyle w:val="Body"/>
        <w:spacing w:after="0"/>
        <w:jc w:val="left"/>
      </w:pPr>
      <w:r w:rsidRPr="3089B873">
        <w:rPr>
          <w:rFonts w:ascii="Arial" w:hAnsi="Arial" w:cs="Arial"/>
        </w:rPr>
        <w:t>Political Engagement. Conceptually, political engagement refers to active involvement in political processes, including voting, campaigning, advocacy, and public discussions (Thelma et al., 2024). Operationally, it was measured as SHS students’ self‑reported participation in five dimensions: contacting officials or media, voting, campaign involvement, digital political expression, and activism (e.g., petitions, demonstrations, youth‑led events).</w:t>
      </w:r>
    </w:p>
    <w:p w14:paraId="0FEF84CF" w14:textId="661A90BF" w:rsidR="00B01FCD" w:rsidRPr="00FB3A86" w:rsidRDefault="1E9D84C7" w:rsidP="3089B873">
      <w:pPr>
        <w:pStyle w:val="Body"/>
        <w:spacing w:after="0"/>
        <w:jc w:val="left"/>
      </w:pPr>
      <w:r w:rsidRPr="3089B873">
        <w:rPr>
          <w:rFonts w:ascii="Arial" w:hAnsi="Arial" w:cs="Arial"/>
        </w:rPr>
        <w:t xml:space="preserve"> </w:t>
      </w:r>
    </w:p>
    <w:p w14:paraId="6765F3A1" w14:textId="001A0F14" w:rsidR="00B01FCD" w:rsidRPr="00FB3A86" w:rsidRDefault="1E9D84C7" w:rsidP="3089B873">
      <w:pPr>
        <w:pStyle w:val="Body"/>
        <w:spacing w:after="0"/>
        <w:jc w:val="left"/>
      </w:pPr>
      <w:r w:rsidRPr="3089B873">
        <w:rPr>
          <w:rFonts w:ascii="Arial" w:hAnsi="Arial" w:cs="Arial"/>
        </w:rPr>
        <w:t>Senior High School (SHS). Conceptually, SHS refers to the final two years of secondary education (Grades 11–12), serving as a transition to higher education or the workforce (Department of Education, 2021). Operationally, it was defined as the educational level of participants enrolled in Grades 11 and 12 during SY 2025–2026 in a public school in Bacolod City.</w:t>
      </w:r>
    </w:p>
    <w:p w14:paraId="3A067DE8" w14:textId="592D91E0" w:rsidR="00B01FCD" w:rsidRPr="00FB3A86" w:rsidRDefault="1E9D84C7" w:rsidP="3089B873">
      <w:pPr>
        <w:pStyle w:val="Body"/>
        <w:spacing w:after="0"/>
        <w:jc w:val="left"/>
      </w:pPr>
      <w:r w:rsidRPr="3089B873">
        <w:rPr>
          <w:rFonts w:ascii="Arial" w:hAnsi="Arial" w:cs="Arial"/>
        </w:rPr>
        <w:t xml:space="preserve"> </w:t>
      </w:r>
    </w:p>
    <w:p w14:paraId="31126E5D" w14:textId="476646C5" w:rsidR="00B01FCD" w:rsidRPr="00FB3A86" w:rsidRDefault="1E9D84C7" w:rsidP="3089B873">
      <w:pPr>
        <w:pStyle w:val="Body"/>
        <w:spacing w:after="0"/>
        <w:jc w:val="left"/>
      </w:pPr>
      <w:r w:rsidRPr="3089B873">
        <w:rPr>
          <w:rFonts w:ascii="Arial" w:hAnsi="Arial" w:cs="Arial"/>
        </w:rPr>
        <w:t>SHS Track. Conceptually, SHS track refers to specialized pathways addressing students’ interests and career goals (Department of Education, 2020). Operationally, it was defined as the academic pathway chosen by students, categorized into Academic Track (HUMSS, STEM, ABM) and Technical‑Vocational‑Livelihood (TVL) Track, measured by enrollment records during SY 2025–2026.</w:t>
      </w:r>
    </w:p>
    <w:p w14:paraId="00452901" w14:textId="63016A74" w:rsidR="004D4277" w:rsidRPr="00FB3A86" w:rsidRDefault="004D4277" w:rsidP="3089B873">
      <w:pPr>
        <w:pStyle w:val="Appendix"/>
        <w:spacing w:after="0"/>
        <w:rPr>
          <w:rFonts w:ascii="Arial" w:hAnsi="Arial" w:cs="Arial"/>
        </w:rPr>
        <w:sectPr w:rsidR="004D4277" w:rsidRPr="00FB3A86" w:rsidSect="00022030">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62431CDC" w14:textId="7D341F3E" w:rsidR="00B01FCD" w:rsidRPr="00FB3A86" w:rsidRDefault="00B01FCD" w:rsidP="00441B6F">
      <w:pPr>
        <w:pStyle w:val="Appendix"/>
        <w:spacing w:after="0"/>
        <w:jc w:val="both"/>
        <w:rPr>
          <w:rFonts w:ascii="Arial" w:hAnsi="Arial" w:cs="Arial"/>
          <w:b w:val="0"/>
        </w:rPr>
      </w:pPr>
    </w:p>
    <w:sectPr w:rsidR="00B01FCD" w:rsidRPr="00FB3A86" w:rsidSect="0002203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3-03T15:19:00Z" w:initials="User">
    <w:p w14:paraId="0A5CA39F" w14:textId="70D4AAA4" w:rsidR="00F97C3B" w:rsidRDefault="00F97C3B" w:rsidP="008808EB">
      <w:pPr>
        <w:pStyle w:val="CommentText"/>
        <w:numPr>
          <w:ilvl w:val="0"/>
          <w:numId w:val="31"/>
        </w:numPr>
      </w:pPr>
      <w:r>
        <w:rPr>
          <w:rStyle w:val="CommentReference"/>
        </w:rPr>
        <w:annotationRef/>
      </w:r>
      <w:r w:rsidR="008808EB">
        <w:t xml:space="preserve"> </w:t>
      </w:r>
      <w:r>
        <w:t>A</w:t>
      </w:r>
      <w:r w:rsidRPr="00F97C3B">
        <w:t>lso discussed about what political and civic awareness</w:t>
      </w:r>
      <w:r w:rsidR="00812340">
        <w:t xml:space="preserve">, </w:t>
      </w:r>
      <w:r w:rsidRPr="00F97C3B">
        <w:t>political and civic engagement</w:t>
      </w:r>
      <w:r w:rsidR="00812340">
        <w:t>, and IPO</w:t>
      </w:r>
      <w:r w:rsidRPr="00F97C3B">
        <w:t xml:space="preserve"> </w:t>
      </w:r>
      <w:r w:rsidR="00812340" w:rsidRPr="00812340">
        <w:t>framewor</w:t>
      </w:r>
      <w:r w:rsidR="00812340" w:rsidRPr="00812340">
        <w:t>k</w:t>
      </w:r>
      <w:r w:rsidRPr="00F97C3B">
        <w:t>.</w:t>
      </w:r>
    </w:p>
    <w:p w14:paraId="1AA0A0F9" w14:textId="77777777" w:rsidR="008808EB" w:rsidRDefault="008808EB" w:rsidP="008808EB">
      <w:pPr>
        <w:pStyle w:val="CommentText"/>
        <w:numPr>
          <w:ilvl w:val="0"/>
          <w:numId w:val="31"/>
        </w:numPr>
      </w:pPr>
      <w:r>
        <w:t xml:space="preserve"> </w:t>
      </w:r>
      <w:r w:rsidRPr="008808EB">
        <w:t>Sharpen the urgency of research.</w:t>
      </w:r>
    </w:p>
    <w:p w14:paraId="0BB9155A" w14:textId="57CB5D15" w:rsidR="00812340" w:rsidRDefault="00812340" w:rsidP="008808EB">
      <w:pPr>
        <w:pStyle w:val="CommentText"/>
        <w:numPr>
          <w:ilvl w:val="0"/>
          <w:numId w:val="31"/>
        </w:numPr>
      </w:pPr>
      <w:r>
        <w:t xml:space="preserve"> </w:t>
      </w:r>
      <w:r w:rsidRPr="00812340">
        <w:t>The IPO framework is introduced conceptually but could be diagrammatically previewed.</w:t>
      </w:r>
    </w:p>
    <w:p w14:paraId="261B24DA" w14:textId="389BF23E" w:rsidR="00812340" w:rsidRDefault="00812340" w:rsidP="008808EB">
      <w:pPr>
        <w:pStyle w:val="CommentText"/>
        <w:numPr>
          <w:ilvl w:val="0"/>
          <w:numId w:val="31"/>
        </w:numPr>
      </w:pPr>
      <w:r w:rsidRPr="00812340">
        <w:t>End the introduction with an explicit research aim.</w:t>
      </w:r>
    </w:p>
  </w:comment>
  <w:comment w:id="1" w:author="User" w:date="2026-03-03T15:14:00Z" w:initials="User">
    <w:p w14:paraId="5FA88108" w14:textId="3E85E335" w:rsidR="00E8677B" w:rsidRDefault="00E8677B">
      <w:pPr>
        <w:pStyle w:val="CommentText"/>
      </w:pPr>
      <w:r>
        <w:rPr>
          <w:rStyle w:val="CommentReference"/>
        </w:rPr>
        <w:annotationRef/>
      </w:r>
      <w:r w:rsidRPr="00E8677B">
        <w:t>Where does the information come from?</w:t>
      </w:r>
    </w:p>
  </w:comment>
  <w:comment w:id="2" w:author="User" w:date="2026-03-03T15:15:00Z" w:initials="User">
    <w:p w14:paraId="316A3CA0" w14:textId="5C6178FF" w:rsidR="00E8677B" w:rsidRDefault="00E8677B">
      <w:pPr>
        <w:pStyle w:val="CommentText"/>
      </w:pPr>
      <w:r>
        <w:rPr>
          <w:rStyle w:val="CommentReference"/>
        </w:rPr>
        <w:annotationRef/>
      </w:r>
      <w:r>
        <w:t>W</w:t>
      </w:r>
      <w:r w:rsidRPr="00E8677B">
        <w:t>hich research results?</w:t>
      </w:r>
    </w:p>
  </w:comment>
  <w:comment w:id="3" w:author="User" w:date="2026-03-03T15:16:00Z" w:initials="User">
    <w:p w14:paraId="06B013C3" w14:textId="77777777" w:rsidR="00E8677B" w:rsidRDefault="00E8677B" w:rsidP="00E8677B">
      <w:pPr>
        <w:pStyle w:val="CommentText"/>
      </w:pPr>
      <w:r>
        <w:rPr>
          <w:rStyle w:val="CommentReference"/>
        </w:rPr>
        <w:annotationRef/>
      </w:r>
      <w:r w:rsidRPr="00E8677B">
        <w:t>Where does the information come from?</w:t>
      </w:r>
    </w:p>
    <w:p w14:paraId="5344BF59" w14:textId="2BF2E24E" w:rsidR="00E8677B" w:rsidRDefault="00E8677B">
      <w:pPr>
        <w:pStyle w:val="CommentText"/>
      </w:pPr>
    </w:p>
  </w:comment>
  <w:comment w:id="4" w:author="User" w:date="2026-03-03T15:17:00Z" w:initials="User">
    <w:p w14:paraId="4E7B25DD" w14:textId="77777777" w:rsidR="00E8677B" w:rsidRDefault="00E8677B" w:rsidP="00E8677B">
      <w:pPr>
        <w:pStyle w:val="CommentText"/>
      </w:pPr>
      <w:r>
        <w:rPr>
          <w:rStyle w:val="CommentReference"/>
        </w:rPr>
        <w:annotationRef/>
      </w:r>
      <w:r w:rsidRPr="00E8677B">
        <w:t>Where does the information come from?</w:t>
      </w:r>
    </w:p>
    <w:p w14:paraId="374EB82E" w14:textId="65686706" w:rsidR="00E8677B" w:rsidRDefault="00E8677B">
      <w:pPr>
        <w:pStyle w:val="CommentText"/>
      </w:pPr>
    </w:p>
  </w:comment>
  <w:comment w:id="5" w:author="User" w:date="2026-03-03T15:17:00Z" w:initials="User">
    <w:p w14:paraId="0B221870" w14:textId="171F8523" w:rsidR="00E8677B" w:rsidRDefault="00E8677B" w:rsidP="00E8677B">
      <w:pPr>
        <w:pStyle w:val="CommentText"/>
      </w:pPr>
      <w:r>
        <w:rPr>
          <w:rStyle w:val="CommentReference"/>
        </w:rPr>
        <w:annotationRef/>
      </w:r>
      <w:r>
        <w:t>W</w:t>
      </w:r>
      <w:r w:rsidRPr="00E8677B">
        <w:t xml:space="preserve">hich </w:t>
      </w:r>
      <w:r>
        <w:t>study</w:t>
      </w:r>
      <w:r w:rsidRPr="00E8677B">
        <w:t xml:space="preserve"> results?</w:t>
      </w:r>
    </w:p>
    <w:p w14:paraId="09982210" w14:textId="3610367D" w:rsidR="00E8677B" w:rsidRDefault="00E8677B">
      <w:pPr>
        <w:pStyle w:val="CommentText"/>
      </w:pPr>
    </w:p>
  </w:comment>
  <w:comment w:id="6" w:author="User" w:date="2026-03-04T08:44:00Z" w:initials="User">
    <w:p w14:paraId="1B9AB626" w14:textId="6817E083" w:rsidR="00D9518B" w:rsidRDefault="00D9518B">
      <w:pPr>
        <w:pStyle w:val="CommentText"/>
      </w:pPr>
      <w:r>
        <w:rPr>
          <w:rStyle w:val="CommentReference"/>
        </w:rPr>
        <w:annotationRef/>
      </w:r>
      <w:r w:rsidRPr="00D9518B">
        <w:t>Explicitly justify why mixed methods are necessary.</w:t>
      </w:r>
    </w:p>
  </w:comment>
  <w:comment w:id="7" w:author="User" w:date="2026-03-04T08:49:00Z" w:initials="User">
    <w:p w14:paraId="3D79D2A5" w14:textId="77777777" w:rsidR="00B06FA8" w:rsidRDefault="00B06FA8" w:rsidP="00B06FA8">
      <w:pPr>
        <w:pStyle w:val="CommentText"/>
        <w:numPr>
          <w:ilvl w:val="0"/>
          <w:numId w:val="31"/>
        </w:numPr>
      </w:pPr>
      <w:r>
        <w:rPr>
          <w:rStyle w:val="CommentReference"/>
        </w:rPr>
        <w:annotationRef/>
      </w:r>
      <w:r>
        <w:t xml:space="preserve"> </w:t>
      </w:r>
      <w:r w:rsidRPr="00B06FA8">
        <w:t>State the measurement scale used</w:t>
      </w:r>
      <w:r>
        <w:t>.</w:t>
      </w:r>
    </w:p>
    <w:p w14:paraId="08B1492D" w14:textId="77777777" w:rsidR="00B06FA8" w:rsidRDefault="00B06FA8" w:rsidP="00B06FA8">
      <w:pPr>
        <w:pStyle w:val="CommentText"/>
        <w:numPr>
          <w:ilvl w:val="0"/>
          <w:numId w:val="31"/>
        </w:numPr>
      </w:pPr>
      <w:r>
        <w:t xml:space="preserve"> </w:t>
      </w:r>
      <w:r w:rsidRPr="00B06FA8">
        <w:t>Provide examples of questionnaire items.</w:t>
      </w:r>
    </w:p>
    <w:p w14:paraId="50763665" w14:textId="757BC810" w:rsidR="00B06FA8" w:rsidRDefault="00B06FA8" w:rsidP="00B06FA8">
      <w:pPr>
        <w:pStyle w:val="CommentText"/>
        <w:numPr>
          <w:ilvl w:val="0"/>
          <w:numId w:val="31"/>
        </w:numPr>
      </w:pPr>
      <w:r>
        <w:t xml:space="preserve"> </w:t>
      </w:r>
      <w:r w:rsidRPr="00B06FA8">
        <w:t>Briefly discuss the construct validity.</w:t>
      </w:r>
    </w:p>
  </w:comment>
  <w:comment w:id="8" w:author="User" w:date="2026-03-04T08:53:00Z" w:initials="User">
    <w:p w14:paraId="0AB395C3" w14:textId="77777777" w:rsidR="00B06FA8" w:rsidRDefault="00B06FA8" w:rsidP="00893643">
      <w:pPr>
        <w:pStyle w:val="CommentText"/>
        <w:numPr>
          <w:ilvl w:val="0"/>
          <w:numId w:val="31"/>
        </w:numPr>
      </w:pPr>
      <w:r>
        <w:rPr>
          <w:rStyle w:val="CommentReference"/>
        </w:rPr>
        <w:annotationRef/>
      </w:r>
      <w:r w:rsidR="00893643">
        <w:t xml:space="preserve"> </w:t>
      </w:r>
      <w:r w:rsidRPr="00B06FA8">
        <w:t>How about the validity, reliability, and prerequisite test?</w:t>
      </w:r>
    </w:p>
    <w:p w14:paraId="28B70852" w14:textId="6720841A" w:rsidR="00893643" w:rsidRDefault="00893643" w:rsidP="00893643">
      <w:pPr>
        <w:pStyle w:val="CommentText"/>
        <w:numPr>
          <w:ilvl w:val="0"/>
          <w:numId w:val="31"/>
        </w:numPr>
      </w:pPr>
      <w:r>
        <w:t xml:space="preserve"> </w:t>
      </w:r>
      <w:r w:rsidRPr="00893643">
        <w:t>Specify the software used.</w:t>
      </w:r>
    </w:p>
  </w:comment>
  <w:comment w:id="9" w:author="User" w:date="2026-03-04T09:00:00Z" w:initials="User">
    <w:p w14:paraId="1381FD49" w14:textId="77777777" w:rsidR="00E416F0" w:rsidRDefault="00E416F0" w:rsidP="00476A49">
      <w:pPr>
        <w:pStyle w:val="CommentText"/>
        <w:numPr>
          <w:ilvl w:val="0"/>
          <w:numId w:val="31"/>
        </w:numPr>
      </w:pPr>
      <w:r>
        <w:rPr>
          <w:rStyle w:val="CommentReference"/>
        </w:rPr>
        <w:annotationRef/>
      </w:r>
      <w:r w:rsidR="00476A49">
        <w:t xml:space="preserve"> </w:t>
      </w:r>
      <w:r w:rsidRPr="00E416F0">
        <w:t>The discussion must be comprehensive and supported by relevant previous research results.</w:t>
      </w:r>
    </w:p>
    <w:p w14:paraId="63E399A9" w14:textId="77777777" w:rsidR="00476A49" w:rsidRDefault="00476A49" w:rsidP="00476A49">
      <w:pPr>
        <w:pStyle w:val="CommentText"/>
        <w:numPr>
          <w:ilvl w:val="0"/>
          <w:numId w:val="31"/>
        </w:numPr>
      </w:pPr>
      <w:r>
        <w:t xml:space="preserve"> </w:t>
      </w:r>
      <w:r w:rsidRPr="00476A49">
        <w:t xml:space="preserve">The </w:t>
      </w:r>
      <w:r w:rsidRPr="00E416F0">
        <w:t xml:space="preserve">discussion </w:t>
      </w:r>
      <w:r w:rsidRPr="00476A49">
        <w:t>could be more deeply illustrated with short exemplar quotes to strengthen qualitative credibility.</w:t>
      </w:r>
    </w:p>
    <w:p w14:paraId="22C804C9" w14:textId="6F8A3A30" w:rsidR="00476A49" w:rsidRDefault="00476A49" w:rsidP="00476A49">
      <w:pPr>
        <w:pStyle w:val="CommentText"/>
        <w:numPr>
          <w:ilvl w:val="0"/>
          <w:numId w:val="31"/>
        </w:numPr>
      </w:pPr>
      <w:r>
        <w:t xml:space="preserve"> B</w:t>
      </w:r>
      <w:r w:rsidRPr="00476A49">
        <w:t>riefly contrasting the findings with other studies to further support claims of international relevance.</w:t>
      </w:r>
    </w:p>
  </w:comment>
  <w:comment w:id="10" w:author="User" w:date="2026-03-04T09:01:00Z" w:initials="User">
    <w:p w14:paraId="4D0899E8" w14:textId="23DA47E8" w:rsidR="005D6DF8" w:rsidRDefault="005D6DF8">
      <w:pPr>
        <w:pStyle w:val="CommentText"/>
      </w:pPr>
      <w:r>
        <w:rPr>
          <w:rStyle w:val="CommentReference"/>
        </w:rPr>
        <w:annotationRef/>
      </w:r>
      <w:r w:rsidRPr="005D6DF8">
        <w:t xml:space="preserve">Include </w:t>
      </w:r>
      <w:r w:rsidR="006F6744">
        <w:t xml:space="preserve">the </w:t>
      </w:r>
      <w:r w:rsidRPr="005D6DF8">
        <w:t>direct student quotations (1</w:t>
      </w:r>
      <w:r>
        <w:t xml:space="preserve"> or </w:t>
      </w:r>
      <w:r w:rsidRPr="005D6DF8">
        <w:t>2 per theme) to strengthen qualitative credibility.</w:t>
      </w:r>
    </w:p>
  </w:comment>
  <w:comment w:id="11" w:author="User" w:date="2026-03-04T09:15:00Z" w:initials="User">
    <w:p w14:paraId="33822A3B" w14:textId="563544E8" w:rsidR="00EA6F93" w:rsidRDefault="00EA6F93">
      <w:pPr>
        <w:pStyle w:val="CommentText"/>
      </w:pPr>
      <w:r>
        <w:rPr>
          <w:rStyle w:val="CommentReference"/>
        </w:rPr>
        <w:annotationRef/>
      </w:r>
      <w:r w:rsidRPr="00EA6F93">
        <w:t>State the research limitations and future research directions.</w:t>
      </w:r>
    </w:p>
  </w:comment>
  <w:comment w:id="12" w:author="User" w:date="2026-03-04T09:19:00Z" w:initials="User">
    <w:p w14:paraId="5B3CAC3E" w14:textId="0A5F0AAB" w:rsidR="002C3D28" w:rsidRDefault="002C3D28">
      <w:pPr>
        <w:pStyle w:val="CommentText"/>
      </w:pPr>
      <w:r>
        <w:rPr>
          <w:rStyle w:val="CommentReference"/>
        </w:rPr>
        <w:annotationRef/>
      </w:r>
      <w:r w:rsidRPr="002C3D28">
        <w:t>None of them are</w:t>
      </w:r>
      <w:r w:rsidRPr="002C3D28">
        <w:t xml:space="preserve"> </w:t>
      </w:r>
      <w:r w:rsidRPr="002C3D28">
        <w:t>in the contents of the manuscript.</w:t>
      </w:r>
    </w:p>
  </w:comment>
  <w:comment w:id="13" w:author="User" w:date="2026-03-04T09:16:00Z" w:initials="User">
    <w:p w14:paraId="5A28A762" w14:textId="2B4E8198" w:rsidR="0027080C" w:rsidRDefault="0027080C">
      <w:pPr>
        <w:pStyle w:val="CommentText"/>
      </w:pPr>
      <w:r>
        <w:rPr>
          <w:rStyle w:val="CommentReference"/>
        </w:rPr>
        <w:annotationRef/>
      </w:r>
      <w:r w:rsidRPr="0027080C">
        <w:t>Not found in the contents of the manuscript.</w:t>
      </w:r>
    </w:p>
  </w:comment>
  <w:comment w:id="14" w:author="User" w:date="2026-03-04T09:16:00Z" w:initials="User">
    <w:p w14:paraId="7DCE7EF4" w14:textId="06338A3B" w:rsidR="0027080C" w:rsidRDefault="0027080C">
      <w:pPr>
        <w:pStyle w:val="CommentText"/>
      </w:pPr>
      <w:r>
        <w:rPr>
          <w:rStyle w:val="CommentReference"/>
        </w:rPr>
        <w:annotationRef/>
      </w:r>
      <w:r w:rsidRPr="0027080C">
        <w:t>Not found in the contents of the manuscript.</w:t>
      </w:r>
    </w:p>
  </w:comment>
  <w:comment w:id="15" w:author="User" w:date="2026-03-04T09:17:00Z" w:initials="User">
    <w:p w14:paraId="024A9FA7" w14:textId="17E76359" w:rsidR="0027080C" w:rsidRDefault="0027080C">
      <w:pPr>
        <w:pStyle w:val="CommentText"/>
      </w:pPr>
      <w:r>
        <w:rPr>
          <w:rStyle w:val="CommentReference"/>
        </w:rPr>
        <w:annotationRef/>
      </w:r>
      <w:r w:rsidRPr="0027080C">
        <w:t>Not found in the contents of the manuscript.</w:t>
      </w:r>
    </w:p>
  </w:comment>
  <w:comment w:id="16" w:author="User" w:date="2026-03-04T09:17:00Z" w:initials="User">
    <w:p w14:paraId="22DB02E8" w14:textId="1A638F97" w:rsidR="0027080C" w:rsidRDefault="0027080C">
      <w:pPr>
        <w:pStyle w:val="CommentText"/>
      </w:pPr>
      <w:r>
        <w:rPr>
          <w:rStyle w:val="CommentReference"/>
        </w:rPr>
        <w:annotationRef/>
      </w:r>
      <w:r w:rsidRPr="0027080C">
        <w:t>Not found in the contents of the manuscript.</w:t>
      </w:r>
    </w:p>
  </w:comment>
  <w:comment w:id="17" w:author="User" w:date="2026-03-04T09:17:00Z" w:initials="User">
    <w:p w14:paraId="78886453" w14:textId="17003E52" w:rsidR="0027080C" w:rsidRDefault="0027080C">
      <w:pPr>
        <w:pStyle w:val="CommentText"/>
      </w:pPr>
      <w:r>
        <w:rPr>
          <w:rStyle w:val="CommentReference"/>
        </w:rPr>
        <w:annotationRef/>
      </w:r>
      <w:r w:rsidRPr="0027080C">
        <w:t>Not found in the contents of the manuscript.</w:t>
      </w:r>
    </w:p>
  </w:comment>
  <w:comment w:id="18" w:author="User" w:date="2026-03-04T09:17:00Z" w:initials="User">
    <w:p w14:paraId="7F6394DF" w14:textId="2D96136E" w:rsidR="0027080C" w:rsidRDefault="0027080C">
      <w:pPr>
        <w:pStyle w:val="CommentText"/>
      </w:pPr>
      <w:r>
        <w:rPr>
          <w:rStyle w:val="CommentReference"/>
        </w:rPr>
        <w:annotationRef/>
      </w:r>
      <w:r w:rsidRPr="0027080C">
        <w:t>Not found in the contents of the manuscript.</w:t>
      </w:r>
    </w:p>
  </w:comment>
  <w:comment w:id="19" w:author="User" w:date="2026-03-04T09:17:00Z" w:initials="User">
    <w:p w14:paraId="7174366E" w14:textId="29453F19" w:rsidR="0027080C" w:rsidRDefault="0027080C">
      <w:pPr>
        <w:pStyle w:val="CommentText"/>
      </w:pPr>
      <w:r>
        <w:rPr>
          <w:rStyle w:val="CommentReference"/>
        </w:rPr>
        <w:annotationRef/>
      </w:r>
      <w:r w:rsidRPr="0027080C">
        <w:t>Not found in the contents of the manuscript.</w:t>
      </w:r>
    </w:p>
  </w:comment>
  <w:comment w:id="20" w:author="User" w:date="2026-03-04T09:18:00Z" w:initials="User">
    <w:p w14:paraId="609275ED" w14:textId="3A05F622" w:rsidR="0027080C" w:rsidRDefault="0027080C">
      <w:pPr>
        <w:pStyle w:val="CommentText"/>
      </w:pPr>
      <w:r>
        <w:rPr>
          <w:rStyle w:val="CommentReference"/>
        </w:rPr>
        <w:annotationRef/>
      </w:r>
      <w:r w:rsidRPr="0027080C">
        <w:t>Not found in the contents of the manuscript.</w:t>
      </w:r>
    </w:p>
  </w:comment>
  <w:comment w:id="21" w:author="User" w:date="2026-03-04T09:18:00Z" w:initials="User">
    <w:p w14:paraId="11C0403C" w14:textId="34C0D107" w:rsidR="0027080C" w:rsidRDefault="0027080C">
      <w:pPr>
        <w:pStyle w:val="CommentText"/>
      </w:pPr>
      <w:r>
        <w:rPr>
          <w:rStyle w:val="CommentReference"/>
        </w:rPr>
        <w:annotationRef/>
      </w:r>
      <w:r w:rsidRPr="0027080C">
        <w:t>Not found in the contents of the manuscript.</w:t>
      </w:r>
    </w:p>
  </w:comment>
  <w:comment w:id="22" w:author="User" w:date="2026-03-04T09:18:00Z" w:initials="User">
    <w:p w14:paraId="641FD5A1" w14:textId="346DA6E3" w:rsidR="0027080C" w:rsidRDefault="0027080C">
      <w:pPr>
        <w:pStyle w:val="CommentText"/>
      </w:pPr>
      <w:r>
        <w:rPr>
          <w:rStyle w:val="CommentReference"/>
        </w:rPr>
        <w:annotationRef/>
      </w:r>
      <w:r w:rsidRPr="0027080C">
        <w:t>Not found in the contents of the manuscript.</w:t>
      </w:r>
    </w:p>
  </w:comment>
  <w:comment w:id="23" w:author="User" w:date="2026-03-04T09:18:00Z" w:initials="User">
    <w:p w14:paraId="6DA816F2" w14:textId="2A135F9C" w:rsidR="0027080C" w:rsidRDefault="0027080C">
      <w:pPr>
        <w:pStyle w:val="CommentText"/>
      </w:pPr>
      <w:r>
        <w:rPr>
          <w:rStyle w:val="CommentReference"/>
        </w:rPr>
        <w:annotationRef/>
      </w:r>
      <w:r w:rsidRPr="0027080C">
        <w:t>Not found in the contents of the manuscript.</w:t>
      </w:r>
    </w:p>
  </w:comment>
  <w:comment w:id="24" w:author="User" w:date="2026-03-04T09:18:00Z" w:initials="User">
    <w:p w14:paraId="44479DAB" w14:textId="047F091D" w:rsidR="0027080C" w:rsidRDefault="0027080C">
      <w:pPr>
        <w:pStyle w:val="CommentText"/>
      </w:pPr>
      <w:r>
        <w:rPr>
          <w:rStyle w:val="CommentReference"/>
        </w:rPr>
        <w:annotationRef/>
      </w:r>
      <w:r w:rsidRPr="0027080C">
        <w:t>Not found in the contents of the manuscript.</w:t>
      </w:r>
    </w:p>
  </w:comment>
  <w:comment w:id="25" w:author="User" w:date="2026-03-04T09:18:00Z" w:initials="User">
    <w:p w14:paraId="188D40C1" w14:textId="3FF9077D" w:rsidR="0027080C" w:rsidRDefault="0027080C">
      <w:pPr>
        <w:pStyle w:val="CommentText"/>
      </w:pPr>
      <w:r>
        <w:rPr>
          <w:rStyle w:val="CommentReference"/>
        </w:rPr>
        <w:annotationRef/>
      </w:r>
      <w:r w:rsidRPr="0027080C">
        <w:t>Not found in the contents of the manuscript.</w:t>
      </w:r>
    </w:p>
  </w:comment>
  <w:comment w:id="26" w:author="User" w:date="2026-03-04T09:19:00Z" w:initials="User">
    <w:p w14:paraId="4FA10B91" w14:textId="1763CF9F" w:rsidR="0027080C" w:rsidRDefault="0027080C">
      <w:pPr>
        <w:pStyle w:val="CommentText"/>
      </w:pPr>
      <w:r>
        <w:rPr>
          <w:rStyle w:val="CommentReference"/>
        </w:rPr>
        <w:annotationRef/>
      </w:r>
      <w:r w:rsidRPr="0027080C">
        <w:t>Not found in the contents of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1B24DA" w15:done="0"/>
  <w15:commentEx w15:paraId="5FA88108" w15:done="0"/>
  <w15:commentEx w15:paraId="316A3CA0" w15:done="0"/>
  <w15:commentEx w15:paraId="5344BF59" w15:done="0"/>
  <w15:commentEx w15:paraId="374EB82E" w15:done="0"/>
  <w15:commentEx w15:paraId="09982210" w15:done="0"/>
  <w15:commentEx w15:paraId="1B9AB626" w15:done="0"/>
  <w15:commentEx w15:paraId="50763665" w15:done="0"/>
  <w15:commentEx w15:paraId="28B70852" w15:done="0"/>
  <w15:commentEx w15:paraId="22C804C9" w15:done="0"/>
  <w15:commentEx w15:paraId="4D0899E8" w15:done="0"/>
  <w15:commentEx w15:paraId="33822A3B" w15:done="0"/>
  <w15:commentEx w15:paraId="5B3CAC3E" w15:done="0"/>
  <w15:commentEx w15:paraId="5A28A762" w15:done="0"/>
  <w15:commentEx w15:paraId="7DCE7EF4" w15:done="0"/>
  <w15:commentEx w15:paraId="024A9FA7" w15:done="0"/>
  <w15:commentEx w15:paraId="22DB02E8" w15:done="0"/>
  <w15:commentEx w15:paraId="78886453" w15:done="0"/>
  <w15:commentEx w15:paraId="7F6394DF" w15:done="0"/>
  <w15:commentEx w15:paraId="7174366E" w15:done="0"/>
  <w15:commentEx w15:paraId="609275ED" w15:done="0"/>
  <w15:commentEx w15:paraId="11C0403C" w15:done="0"/>
  <w15:commentEx w15:paraId="641FD5A1" w15:done="0"/>
  <w15:commentEx w15:paraId="6DA816F2" w15:done="0"/>
  <w15:commentEx w15:paraId="44479DAB" w15:done="0"/>
  <w15:commentEx w15:paraId="188D40C1" w15:done="0"/>
  <w15:commentEx w15:paraId="4FA10B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2B2E3" w16cex:dateUtc="2026-03-03T08:19:00Z"/>
  <w16cex:commentExtensible w16cex:durableId="2B1F8A3A" w16cex:dateUtc="2026-03-03T08:14:00Z"/>
  <w16cex:commentExtensible w16cex:durableId="2DF70431" w16cex:dateUtc="2026-03-03T08:15:00Z"/>
  <w16cex:commentExtensible w16cex:durableId="2C8E2B55" w16cex:dateUtc="2026-03-03T08:16:00Z"/>
  <w16cex:commentExtensible w16cex:durableId="7B9A5520" w16cex:dateUtc="2026-03-03T08:17:00Z"/>
  <w16cex:commentExtensible w16cex:durableId="45144C4B" w16cex:dateUtc="2026-03-03T08:17:00Z"/>
  <w16cex:commentExtensible w16cex:durableId="7D1FA303" w16cex:dateUtc="2026-03-04T01:44:00Z"/>
  <w16cex:commentExtensible w16cex:durableId="44242513" w16cex:dateUtc="2026-03-04T01:49:00Z"/>
  <w16cex:commentExtensible w16cex:durableId="6A2BB4F8" w16cex:dateUtc="2026-03-04T01:53:00Z"/>
  <w16cex:commentExtensible w16cex:durableId="4474C439" w16cex:dateUtc="2026-03-04T02:00:00Z"/>
  <w16cex:commentExtensible w16cex:durableId="40CD900F" w16cex:dateUtc="2026-03-04T02:01:00Z"/>
  <w16cex:commentExtensible w16cex:durableId="73D3A878" w16cex:dateUtc="2026-03-04T02:15:00Z"/>
  <w16cex:commentExtensible w16cex:durableId="2C63DDBD" w16cex:dateUtc="2026-03-04T02:19:00Z"/>
  <w16cex:commentExtensible w16cex:durableId="670CEA97" w16cex:dateUtc="2026-03-04T02:16:00Z"/>
  <w16cex:commentExtensible w16cex:durableId="35F553CE" w16cex:dateUtc="2026-03-04T02:16:00Z"/>
  <w16cex:commentExtensible w16cex:durableId="64F53FA3" w16cex:dateUtc="2026-03-04T02:17:00Z"/>
  <w16cex:commentExtensible w16cex:durableId="24031195" w16cex:dateUtc="2026-03-04T02:17:00Z"/>
  <w16cex:commentExtensible w16cex:durableId="366180D5" w16cex:dateUtc="2026-03-04T02:17:00Z"/>
  <w16cex:commentExtensible w16cex:durableId="494799A9" w16cex:dateUtc="2026-03-04T02:17:00Z"/>
  <w16cex:commentExtensible w16cex:durableId="76DAA140" w16cex:dateUtc="2026-03-04T02:17:00Z"/>
  <w16cex:commentExtensible w16cex:durableId="194255C6" w16cex:dateUtc="2026-03-04T02:18:00Z"/>
  <w16cex:commentExtensible w16cex:durableId="6794A36A" w16cex:dateUtc="2026-03-04T02:18:00Z"/>
  <w16cex:commentExtensible w16cex:durableId="50678B6F" w16cex:dateUtc="2026-03-04T02:18:00Z"/>
  <w16cex:commentExtensible w16cex:durableId="1DE6D6F4" w16cex:dateUtc="2026-03-04T02:18:00Z"/>
  <w16cex:commentExtensible w16cex:durableId="71CDE82E" w16cex:dateUtc="2026-03-04T02:18:00Z"/>
  <w16cex:commentExtensible w16cex:durableId="6E7D9056" w16cex:dateUtc="2026-03-04T02:18:00Z"/>
  <w16cex:commentExtensible w16cex:durableId="3486CC9A" w16cex:dateUtc="2026-03-04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1B24DA" w16cid:durableId="06D2B2E3"/>
  <w16cid:commentId w16cid:paraId="5FA88108" w16cid:durableId="2B1F8A3A"/>
  <w16cid:commentId w16cid:paraId="316A3CA0" w16cid:durableId="2DF70431"/>
  <w16cid:commentId w16cid:paraId="5344BF59" w16cid:durableId="2C8E2B55"/>
  <w16cid:commentId w16cid:paraId="374EB82E" w16cid:durableId="7B9A5520"/>
  <w16cid:commentId w16cid:paraId="09982210" w16cid:durableId="45144C4B"/>
  <w16cid:commentId w16cid:paraId="1B9AB626" w16cid:durableId="7D1FA303"/>
  <w16cid:commentId w16cid:paraId="50763665" w16cid:durableId="44242513"/>
  <w16cid:commentId w16cid:paraId="28B70852" w16cid:durableId="6A2BB4F8"/>
  <w16cid:commentId w16cid:paraId="22C804C9" w16cid:durableId="4474C439"/>
  <w16cid:commentId w16cid:paraId="4D0899E8" w16cid:durableId="40CD900F"/>
  <w16cid:commentId w16cid:paraId="33822A3B" w16cid:durableId="73D3A878"/>
  <w16cid:commentId w16cid:paraId="5B3CAC3E" w16cid:durableId="2C63DDBD"/>
  <w16cid:commentId w16cid:paraId="5A28A762" w16cid:durableId="670CEA97"/>
  <w16cid:commentId w16cid:paraId="7DCE7EF4" w16cid:durableId="35F553CE"/>
  <w16cid:commentId w16cid:paraId="024A9FA7" w16cid:durableId="64F53FA3"/>
  <w16cid:commentId w16cid:paraId="22DB02E8" w16cid:durableId="24031195"/>
  <w16cid:commentId w16cid:paraId="78886453" w16cid:durableId="366180D5"/>
  <w16cid:commentId w16cid:paraId="7F6394DF" w16cid:durableId="494799A9"/>
  <w16cid:commentId w16cid:paraId="7174366E" w16cid:durableId="76DAA140"/>
  <w16cid:commentId w16cid:paraId="609275ED" w16cid:durableId="194255C6"/>
  <w16cid:commentId w16cid:paraId="11C0403C" w16cid:durableId="6794A36A"/>
  <w16cid:commentId w16cid:paraId="641FD5A1" w16cid:durableId="50678B6F"/>
  <w16cid:commentId w16cid:paraId="6DA816F2" w16cid:durableId="1DE6D6F4"/>
  <w16cid:commentId w16cid:paraId="44479DAB" w16cid:durableId="71CDE82E"/>
  <w16cid:commentId w16cid:paraId="188D40C1" w16cid:durableId="6E7D9056"/>
  <w16cid:commentId w16cid:paraId="4FA10B91" w16cid:durableId="3486CC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0ADE" w14:textId="77777777" w:rsidR="00C55F0C" w:rsidRDefault="00C55F0C" w:rsidP="00C37E61">
      <w:r>
        <w:separator/>
      </w:r>
    </w:p>
  </w:endnote>
  <w:endnote w:type="continuationSeparator" w:id="0">
    <w:p w14:paraId="121EF5F4" w14:textId="77777777" w:rsidR="00C55F0C" w:rsidRDefault="00C55F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F86F" w14:textId="77777777" w:rsidR="00022030" w:rsidRDefault="00022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155" w14:textId="77777777" w:rsidR="00022030" w:rsidRDefault="00022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225B" w14:textId="66F94A14" w:rsidR="00754C9A" w:rsidRPr="00022030" w:rsidRDefault="00754C9A" w:rsidP="000220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45F5" w14:textId="77777777" w:rsidR="00C55F0C" w:rsidRDefault="00C55F0C" w:rsidP="00C37E61">
      <w:r>
        <w:separator/>
      </w:r>
    </w:p>
  </w:footnote>
  <w:footnote w:type="continuationSeparator" w:id="0">
    <w:p w14:paraId="1C41BDB2" w14:textId="77777777" w:rsidR="00C55F0C" w:rsidRDefault="00C55F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6A51" w14:textId="1E3C43A7" w:rsidR="00022030" w:rsidRDefault="00000000">
    <w:pPr>
      <w:pStyle w:val="Header"/>
    </w:pPr>
    <w:r>
      <w:rPr>
        <w:noProof/>
      </w:rPr>
      <w:pict w14:anchorId="2D11C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212C" w14:textId="3A6B2142" w:rsidR="00022030" w:rsidRDefault="00000000">
    <w:pPr>
      <w:pStyle w:val="Header"/>
    </w:pPr>
    <w:r>
      <w:rPr>
        <w:noProof/>
      </w:rPr>
      <w:pict w14:anchorId="142A6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5C7" w14:textId="45639895" w:rsidR="00296529" w:rsidRPr="00296529" w:rsidRDefault="00000000" w:rsidP="00296529">
    <w:pPr>
      <w:ind w:left="2160"/>
      <w:jc w:val="center"/>
      <w:rPr>
        <w:rFonts w:ascii="Times New Roman" w:eastAsia="Calibri" w:hAnsi="Times New Roman"/>
        <w:i/>
        <w:sz w:val="18"/>
        <w:szCs w:val="22"/>
      </w:rPr>
    </w:pPr>
    <w:r>
      <w:rPr>
        <w:noProof/>
      </w:rPr>
      <w:pict w14:anchorId="616D9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0A49" w14:textId="598F4279" w:rsidR="00022030" w:rsidRDefault="00000000">
    <w:pPr>
      <w:pStyle w:val="Header"/>
    </w:pPr>
    <w:r>
      <w:rPr>
        <w:noProof/>
      </w:rPr>
      <w:pict w14:anchorId="3BEBA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8"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B7B8" w14:textId="44AE1F73" w:rsidR="00022030" w:rsidRDefault="00000000">
    <w:pPr>
      <w:pStyle w:val="Header"/>
    </w:pPr>
    <w:r>
      <w:rPr>
        <w:noProof/>
      </w:rPr>
      <w:pict w14:anchorId="259E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9"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8AA" w14:textId="36C78445" w:rsidR="00022030" w:rsidRDefault="00000000">
    <w:pPr>
      <w:pStyle w:val="Header"/>
    </w:pPr>
    <w:r>
      <w:rPr>
        <w:noProof/>
      </w:rPr>
      <w:pict w14:anchorId="455A5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7"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A514AE"/>
    <w:multiLevelType w:val="hybridMultilevel"/>
    <w:tmpl w:val="79785470"/>
    <w:lvl w:ilvl="0" w:tplc="3A229F8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01376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375396">
    <w:abstractNumId w:val="15"/>
  </w:num>
  <w:num w:numId="3" w16cid:durableId="1844010190">
    <w:abstractNumId w:val="24"/>
  </w:num>
  <w:num w:numId="4" w16cid:durableId="1961635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6980221">
    <w:abstractNumId w:val="7"/>
  </w:num>
  <w:num w:numId="6" w16cid:durableId="60492537">
    <w:abstractNumId w:val="6"/>
  </w:num>
  <w:num w:numId="7" w16cid:durableId="291717220">
    <w:abstractNumId w:val="1"/>
  </w:num>
  <w:num w:numId="8" w16cid:durableId="522934726">
    <w:abstractNumId w:val="12"/>
  </w:num>
  <w:num w:numId="9" w16cid:durableId="430786679">
    <w:abstractNumId w:val="26"/>
  </w:num>
  <w:num w:numId="10" w16cid:durableId="501627185">
    <w:abstractNumId w:val="2"/>
  </w:num>
  <w:num w:numId="11" w16cid:durableId="1052575545">
    <w:abstractNumId w:val="19"/>
  </w:num>
  <w:num w:numId="12" w16cid:durableId="1692610442">
    <w:abstractNumId w:val="3"/>
  </w:num>
  <w:num w:numId="13" w16cid:durableId="695621423">
    <w:abstractNumId w:val="18"/>
  </w:num>
  <w:num w:numId="14" w16cid:durableId="1127088369">
    <w:abstractNumId w:val="8"/>
  </w:num>
  <w:num w:numId="15" w16cid:durableId="927270696">
    <w:abstractNumId w:val="22"/>
  </w:num>
  <w:num w:numId="16" w16cid:durableId="2102216160">
    <w:abstractNumId w:val="5"/>
  </w:num>
  <w:num w:numId="17" w16cid:durableId="981618497">
    <w:abstractNumId w:val="23"/>
  </w:num>
  <w:num w:numId="18" w16cid:durableId="711928593">
    <w:abstractNumId w:val="14"/>
  </w:num>
  <w:num w:numId="19" w16cid:durableId="1066607076">
    <w:abstractNumId w:val="29"/>
  </w:num>
  <w:num w:numId="20" w16cid:durableId="1080717082">
    <w:abstractNumId w:val="11"/>
  </w:num>
  <w:num w:numId="21" w16cid:durableId="271208367">
    <w:abstractNumId w:val="9"/>
  </w:num>
  <w:num w:numId="22" w16cid:durableId="1018893670">
    <w:abstractNumId w:val="13"/>
  </w:num>
  <w:num w:numId="23" w16cid:durableId="1032148347">
    <w:abstractNumId w:val="20"/>
  </w:num>
  <w:num w:numId="24" w16cid:durableId="416287842">
    <w:abstractNumId w:val="27"/>
  </w:num>
  <w:num w:numId="25" w16cid:durableId="306590445">
    <w:abstractNumId w:val="4"/>
  </w:num>
  <w:num w:numId="26" w16cid:durableId="2102988417">
    <w:abstractNumId w:val="17"/>
  </w:num>
  <w:num w:numId="27" w16cid:durableId="99841965">
    <w:abstractNumId w:val="21"/>
  </w:num>
  <w:num w:numId="28" w16cid:durableId="1592007468">
    <w:abstractNumId w:val="28"/>
  </w:num>
  <w:num w:numId="29" w16cid:durableId="863249759">
    <w:abstractNumId w:val="25"/>
  </w:num>
  <w:num w:numId="30" w16cid:durableId="1714309000">
    <w:abstractNumId w:val="10"/>
  </w:num>
  <w:num w:numId="31" w16cid:durableId="18924197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475"/>
    <w:rsid w:val="00022030"/>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080C"/>
    <w:rsid w:val="00283105"/>
    <w:rsid w:val="00284C4C"/>
    <w:rsid w:val="00287E68"/>
    <w:rsid w:val="00296529"/>
    <w:rsid w:val="002B27FB"/>
    <w:rsid w:val="002B685A"/>
    <w:rsid w:val="002B7E88"/>
    <w:rsid w:val="002C3D28"/>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6A49"/>
    <w:rsid w:val="004D305E"/>
    <w:rsid w:val="004D4277"/>
    <w:rsid w:val="00502516"/>
    <w:rsid w:val="00505F06"/>
    <w:rsid w:val="00506828"/>
    <w:rsid w:val="0053056E"/>
    <w:rsid w:val="00531828"/>
    <w:rsid w:val="00554FDA"/>
    <w:rsid w:val="005C784C"/>
    <w:rsid w:val="005D17F6"/>
    <w:rsid w:val="005D6DF8"/>
    <w:rsid w:val="005E5539"/>
    <w:rsid w:val="005F582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744"/>
    <w:rsid w:val="0070082C"/>
    <w:rsid w:val="00727352"/>
    <w:rsid w:val="007369E6"/>
    <w:rsid w:val="00746E59"/>
    <w:rsid w:val="00754C9A"/>
    <w:rsid w:val="0075599A"/>
    <w:rsid w:val="00761D52"/>
    <w:rsid w:val="0077749E"/>
    <w:rsid w:val="00790ADA"/>
    <w:rsid w:val="007D2288"/>
    <w:rsid w:val="007E088F"/>
    <w:rsid w:val="007F7B32"/>
    <w:rsid w:val="00804BC2"/>
    <w:rsid w:val="00812340"/>
    <w:rsid w:val="0081431A"/>
    <w:rsid w:val="0083216F"/>
    <w:rsid w:val="00860000"/>
    <w:rsid w:val="00863BD3"/>
    <w:rsid w:val="008641ED"/>
    <w:rsid w:val="00866D66"/>
    <w:rsid w:val="008671C6"/>
    <w:rsid w:val="00875803"/>
    <w:rsid w:val="008808EB"/>
    <w:rsid w:val="0089364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D6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6C74"/>
    <w:rsid w:val="00B01FCD"/>
    <w:rsid w:val="00B06FA8"/>
    <w:rsid w:val="00B1776C"/>
    <w:rsid w:val="00B230C0"/>
    <w:rsid w:val="00B43CF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F0C"/>
    <w:rsid w:val="00C70F1B"/>
    <w:rsid w:val="00C71A47"/>
    <w:rsid w:val="00C7464C"/>
    <w:rsid w:val="00C85588"/>
    <w:rsid w:val="00CD6755"/>
    <w:rsid w:val="00CD6856"/>
    <w:rsid w:val="00CE0089"/>
    <w:rsid w:val="00CE793C"/>
    <w:rsid w:val="00CF193C"/>
    <w:rsid w:val="00D05532"/>
    <w:rsid w:val="00D173F1"/>
    <w:rsid w:val="00D74CB0"/>
    <w:rsid w:val="00D8295D"/>
    <w:rsid w:val="00D9518B"/>
    <w:rsid w:val="00DC2A65"/>
    <w:rsid w:val="00DE15F0"/>
    <w:rsid w:val="00DE5663"/>
    <w:rsid w:val="00DE78AA"/>
    <w:rsid w:val="00E053D0"/>
    <w:rsid w:val="00E15994"/>
    <w:rsid w:val="00E3114E"/>
    <w:rsid w:val="00E31A70"/>
    <w:rsid w:val="00E35B02"/>
    <w:rsid w:val="00E416F0"/>
    <w:rsid w:val="00E66496"/>
    <w:rsid w:val="00E66B35"/>
    <w:rsid w:val="00E66E10"/>
    <w:rsid w:val="00E769F6"/>
    <w:rsid w:val="00E8407C"/>
    <w:rsid w:val="00E84F3C"/>
    <w:rsid w:val="00E8677B"/>
    <w:rsid w:val="00EA012C"/>
    <w:rsid w:val="00EA6F93"/>
    <w:rsid w:val="00EC6A55"/>
    <w:rsid w:val="00ED0288"/>
    <w:rsid w:val="00EE52CB"/>
    <w:rsid w:val="00EF581D"/>
    <w:rsid w:val="00EF7FD8"/>
    <w:rsid w:val="00F06F59"/>
    <w:rsid w:val="00F17988"/>
    <w:rsid w:val="00F469F0"/>
    <w:rsid w:val="00F53273"/>
    <w:rsid w:val="00F755E4"/>
    <w:rsid w:val="00F77D02"/>
    <w:rsid w:val="00F97C3B"/>
    <w:rsid w:val="00FB3A86"/>
    <w:rsid w:val="00FD36C8"/>
    <w:rsid w:val="03105E00"/>
    <w:rsid w:val="041F43E0"/>
    <w:rsid w:val="06E6691E"/>
    <w:rsid w:val="091D8D8C"/>
    <w:rsid w:val="0A54268E"/>
    <w:rsid w:val="0A66B81B"/>
    <w:rsid w:val="0C47CABB"/>
    <w:rsid w:val="0C5A4504"/>
    <w:rsid w:val="0C9EF550"/>
    <w:rsid w:val="0E7590A3"/>
    <w:rsid w:val="11BC2DEA"/>
    <w:rsid w:val="132B623A"/>
    <w:rsid w:val="141AF3B3"/>
    <w:rsid w:val="173714C3"/>
    <w:rsid w:val="1ABE93F4"/>
    <w:rsid w:val="1B2FA641"/>
    <w:rsid w:val="1B5E4B0E"/>
    <w:rsid w:val="1BA3C64F"/>
    <w:rsid w:val="1C6FBE15"/>
    <w:rsid w:val="1C72F8C8"/>
    <w:rsid w:val="1D735DE6"/>
    <w:rsid w:val="1E9D84C7"/>
    <w:rsid w:val="1ED48296"/>
    <w:rsid w:val="1F36E5D3"/>
    <w:rsid w:val="1FA27784"/>
    <w:rsid w:val="1FF2F7F6"/>
    <w:rsid w:val="2038F1F9"/>
    <w:rsid w:val="20BE0F22"/>
    <w:rsid w:val="211CC5AF"/>
    <w:rsid w:val="21A5F723"/>
    <w:rsid w:val="22DD443E"/>
    <w:rsid w:val="24EEED11"/>
    <w:rsid w:val="257B28A1"/>
    <w:rsid w:val="2619E591"/>
    <w:rsid w:val="264C5473"/>
    <w:rsid w:val="269AE3D2"/>
    <w:rsid w:val="28400010"/>
    <w:rsid w:val="2C70E8E0"/>
    <w:rsid w:val="2CEDC6B3"/>
    <w:rsid w:val="2D9646C2"/>
    <w:rsid w:val="2FD922B4"/>
    <w:rsid w:val="3089B873"/>
    <w:rsid w:val="3435757C"/>
    <w:rsid w:val="345CE957"/>
    <w:rsid w:val="3521D059"/>
    <w:rsid w:val="35339DC5"/>
    <w:rsid w:val="3562ABAA"/>
    <w:rsid w:val="3791BCCF"/>
    <w:rsid w:val="37936C3F"/>
    <w:rsid w:val="383BF839"/>
    <w:rsid w:val="3BE5FC8B"/>
    <w:rsid w:val="3C95664F"/>
    <w:rsid w:val="3D828598"/>
    <w:rsid w:val="3DFA5AA3"/>
    <w:rsid w:val="4036DC4C"/>
    <w:rsid w:val="41878F11"/>
    <w:rsid w:val="441DC0C1"/>
    <w:rsid w:val="460A2461"/>
    <w:rsid w:val="482E2110"/>
    <w:rsid w:val="4905475A"/>
    <w:rsid w:val="490832C1"/>
    <w:rsid w:val="491688C2"/>
    <w:rsid w:val="49C52F66"/>
    <w:rsid w:val="4A8D707E"/>
    <w:rsid w:val="4AF09757"/>
    <w:rsid w:val="4B1CA42E"/>
    <w:rsid w:val="4E9E24F4"/>
    <w:rsid w:val="4F146A99"/>
    <w:rsid w:val="4FC273A0"/>
    <w:rsid w:val="4FF85CF6"/>
    <w:rsid w:val="52EF1DD4"/>
    <w:rsid w:val="53586884"/>
    <w:rsid w:val="54148484"/>
    <w:rsid w:val="54FCC8E9"/>
    <w:rsid w:val="5789C771"/>
    <w:rsid w:val="58A07C06"/>
    <w:rsid w:val="5A8427DB"/>
    <w:rsid w:val="5AE49A44"/>
    <w:rsid w:val="5BF24C9C"/>
    <w:rsid w:val="5D32286C"/>
    <w:rsid w:val="5D6891E7"/>
    <w:rsid w:val="5E237312"/>
    <w:rsid w:val="5F9FD613"/>
    <w:rsid w:val="612A4363"/>
    <w:rsid w:val="676BACD3"/>
    <w:rsid w:val="67AAAACF"/>
    <w:rsid w:val="67EC7979"/>
    <w:rsid w:val="6AD9B011"/>
    <w:rsid w:val="6B2BC5A5"/>
    <w:rsid w:val="6CC2CE7E"/>
    <w:rsid w:val="7206B205"/>
    <w:rsid w:val="73EF4FA6"/>
    <w:rsid w:val="7515688B"/>
    <w:rsid w:val="7CDA107B"/>
    <w:rsid w:val="7F9A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E8677B"/>
    <w:rPr>
      <w:rFonts w:ascii="Helvetica" w:hAnsi="Helvetica"/>
      <w:b/>
      <w:bCs/>
      <w:lang w:val="en-US" w:eastAsia="en-US"/>
    </w:rPr>
  </w:style>
  <w:style w:type="character" w:customStyle="1" w:styleId="CommentSubjectChar">
    <w:name w:val="Comment Subject Char"/>
    <w:basedOn w:val="CommentTextChar"/>
    <w:link w:val="CommentSubject"/>
    <w:semiHidden/>
    <w:rsid w:val="00E867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siapjournals.org/influence-of-social-media-in-shaping-the-adolescents-political-awareness-participation-and-activism/" TargetMode="External"/><Relationship Id="rId26" Type="http://schemas.openxmlformats.org/officeDocument/2006/relationships/hyperlink" Target="https://nces.ed.gov/pubsearch/pubsinfo.asp?pubid=2023052" TargetMode="External"/><Relationship Id="rId21" Type="http://schemas.openxmlformats.org/officeDocument/2006/relationships/hyperlink" Target="https://media.carnegie.org/filer_public/22/95/2295320e-52f4-4653-868d-38c362c64f5d/carnegie_civics_policy_2024.pdf"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07/s11218-018-9449-7"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80/00933104.2020.1763880" TargetMode="External"/><Relationship Id="rId29" Type="http://schemas.openxmlformats.org/officeDocument/2006/relationships/hyperlink" Target="https://doi.org/10.1080/17405629.2022.20943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awphil.net/statutes/repacts/ra2013/ra_10533_2013.html" TargetMode="External"/><Relationship Id="rId32" Type="http://schemas.openxmlformats.org/officeDocument/2006/relationships/header" Target="header4.xml"/><Relationship Id="rId37"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07/978-3-030-90394-7" TargetMode="External"/><Relationship Id="rId28" Type="http://schemas.openxmlformats.org/officeDocument/2006/relationships/hyperlink" Target="https://doi.org/10.1007/s10964-018-0831-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4324/9780429025570" TargetMode="External"/><Relationship Id="rId31" Type="http://schemas.openxmlformats.org/officeDocument/2006/relationships/hyperlink" Target="https://doi.org/10.1007/s43151-025-00169-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epedwebsitestorage.blob.core.windows.net/upload/2019/01/SHS-Core_Understanding-Culture-Society-and-Politics-CG.pdf" TargetMode="External"/><Relationship Id="rId27" Type="http://schemas.openxmlformats.org/officeDocument/2006/relationships/hyperlink" Target="https://www.rappler.com/philippines/elections/voter-turnout-comelec-report-may-2025/" TargetMode="External"/><Relationship Id="rId30" Type="http://schemas.openxmlformats.org/officeDocument/2006/relationships/hyperlink" Target="https://www.unicef.org/philippines/reports/philippines-kids-online"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AA37-8E4E-44D7-B7D5-E3FD7D75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9</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20</cp:revision>
  <cp:lastPrinted>1999-07-06T11:00:00Z</cp:lastPrinted>
  <dcterms:created xsi:type="dcterms:W3CDTF">2014-10-25T14:34:00Z</dcterms:created>
  <dcterms:modified xsi:type="dcterms:W3CDTF">2026-03-04T02:20:00Z</dcterms:modified>
</cp:coreProperties>
</file>