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F982" w14:textId="33117E8E" w:rsidR="005D687D" w:rsidRPr="005D687D" w:rsidRDefault="005D687D" w:rsidP="005D687D">
      <w:pPr>
        <w:rPr>
          <w:rFonts w:ascii="Arial" w:hAnsi="Arial" w:cs="Arial"/>
          <w:b/>
          <w:bCs/>
          <w:sz w:val="20"/>
          <w:szCs w:val="20"/>
          <w:u w:val="single"/>
        </w:rPr>
      </w:pPr>
      <w:bookmarkStart w:id="0" w:name="_Hlk217248839"/>
      <w:r w:rsidRPr="005D687D">
        <w:rPr>
          <w:rFonts w:ascii="Arial" w:hAnsi="Arial" w:cs="Arial"/>
          <w:b/>
          <w:bCs/>
          <w:sz w:val="20"/>
          <w:szCs w:val="20"/>
          <w:u w:val="single"/>
        </w:rPr>
        <w:t>Review Article</w:t>
      </w:r>
    </w:p>
    <w:p w14:paraId="5D53FCD1" w14:textId="5B50FD5F" w:rsidR="00877640" w:rsidRDefault="00877640" w:rsidP="00877640">
      <w:pPr>
        <w:jc w:val="center"/>
        <w:rPr>
          <w:rFonts w:ascii="Arial" w:hAnsi="Arial" w:cs="Arial"/>
          <w:b/>
          <w:bCs/>
          <w:sz w:val="20"/>
          <w:szCs w:val="20"/>
        </w:rPr>
      </w:pPr>
      <w:r w:rsidRPr="00AD7332">
        <w:rPr>
          <w:rFonts w:ascii="Arial" w:hAnsi="Arial" w:cs="Arial"/>
          <w:b/>
          <w:bCs/>
          <w:sz w:val="20"/>
          <w:szCs w:val="20"/>
        </w:rPr>
        <w:t xml:space="preserve">Green Building as a Mechanism for Climate Change Adaptation </w:t>
      </w:r>
    </w:p>
    <w:p w14:paraId="6F7E26AF" w14:textId="77777777" w:rsidR="006019FA" w:rsidRPr="00AD7332" w:rsidRDefault="006019FA" w:rsidP="00877640">
      <w:pPr>
        <w:jc w:val="center"/>
        <w:rPr>
          <w:rFonts w:ascii="Arial" w:hAnsi="Arial" w:cs="Arial"/>
          <w:b/>
          <w:bCs/>
          <w:sz w:val="20"/>
          <w:szCs w:val="20"/>
        </w:rPr>
      </w:pPr>
    </w:p>
    <w:p w14:paraId="0B334ED5" w14:textId="77777777" w:rsidR="00D25BF4" w:rsidRDefault="00D25BF4" w:rsidP="006019FA">
      <w:pPr>
        <w:rPr>
          <w:rFonts w:ascii="Arial" w:hAnsi="Arial" w:cs="Arial"/>
          <w:b/>
          <w:bCs/>
          <w:sz w:val="20"/>
          <w:szCs w:val="20"/>
        </w:rPr>
      </w:pPr>
    </w:p>
    <w:p w14:paraId="1FA07311" w14:textId="6EE61151" w:rsidR="0032160F" w:rsidRPr="00AD7332" w:rsidRDefault="0032160F" w:rsidP="006019FA">
      <w:pPr>
        <w:rPr>
          <w:rFonts w:ascii="Arial" w:hAnsi="Arial" w:cs="Arial"/>
          <w:b/>
          <w:bCs/>
          <w:sz w:val="20"/>
          <w:szCs w:val="20"/>
        </w:rPr>
      </w:pPr>
      <w:commentRangeStart w:id="1"/>
      <w:r w:rsidRPr="00AD7332">
        <w:rPr>
          <w:rFonts w:ascii="Arial" w:hAnsi="Arial" w:cs="Arial"/>
          <w:b/>
          <w:bCs/>
          <w:sz w:val="20"/>
          <w:szCs w:val="20"/>
        </w:rPr>
        <w:t>ABSTRACT</w:t>
      </w:r>
      <w:commentRangeEnd w:id="1"/>
      <w:r w:rsidR="00B60E5B" w:rsidRPr="00AD7332">
        <w:rPr>
          <w:rStyle w:val="CommentReference"/>
          <w:rFonts w:ascii="Arial" w:hAnsi="Arial" w:cs="Arial"/>
          <w:b/>
          <w:bCs/>
          <w:sz w:val="20"/>
          <w:szCs w:val="20"/>
        </w:rPr>
        <w:commentReference w:id="1"/>
      </w:r>
    </w:p>
    <w:bookmarkEnd w:id="0"/>
    <w:p w14:paraId="6581DC22"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poses significant threats to the built environment, particularly in Sub-Saharan Africa where rapid urbanisation intersects with rising temperatures, erratic rainfall, flooding, and energy insecurity. While the building sector is widely recognised for its role in climate change mitigation, its potential contribution to climate change adaptation remains underexplored, especially within developing country contexts like Ghana. This paper examined green building as a mechanism for climate change adaptation by synthesising evidence from existing literature with a contextual focus on Ghana using a systematic review guided by the PRISMA framework. The findings revealed strong consensus that green building principles such as climate-responsive design, use of locally appropriate materials, decentralised renewable energy systems, rainwater harvesting, and circular waste practices, significantly enhance adaptive capacity at building and urban scales. However, the review also highlighted persistent barriers to adoption in Ghana, including high upfront costs, limited technical capacity, weak enforcement of building regulations, and low stakeholder awareness. Embedding adaptation-oriented green building strategies into national policies, building codes, and financing mechanisms is essential to move from isolated pilot projects to large-scale impact. </w:t>
      </w:r>
    </w:p>
    <w:p w14:paraId="41E6DEB7" w14:textId="77777777" w:rsidR="00AD7332" w:rsidRPr="00AD7332" w:rsidRDefault="00AD7332" w:rsidP="00AD7332">
      <w:pPr>
        <w:jc w:val="both"/>
        <w:rPr>
          <w:rFonts w:ascii="Arial" w:hAnsi="Arial" w:cs="Arial"/>
          <w:i/>
          <w:iCs/>
          <w:sz w:val="20"/>
          <w:szCs w:val="20"/>
        </w:rPr>
      </w:pPr>
      <w:r w:rsidRPr="00AD7332">
        <w:rPr>
          <w:rFonts w:ascii="Arial" w:hAnsi="Arial" w:cs="Arial"/>
          <w:i/>
          <w:iCs/>
          <w:sz w:val="20"/>
          <w:szCs w:val="20"/>
        </w:rPr>
        <w:t>Keywords: Green building, climate change adaptation, built environment, sustainable construction</w:t>
      </w:r>
    </w:p>
    <w:p w14:paraId="22A80110" w14:textId="5380BCE0" w:rsidR="00B72DE8" w:rsidRPr="00AD7332" w:rsidRDefault="00B72DE8" w:rsidP="00B72DE8">
      <w:pPr>
        <w:jc w:val="both"/>
        <w:rPr>
          <w:rFonts w:ascii="Arial" w:hAnsi="Arial" w:cs="Arial"/>
          <w:b/>
          <w:bCs/>
          <w:sz w:val="20"/>
          <w:szCs w:val="20"/>
        </w:rPr>
      </w:pPr>
      <w:r w:rsidRPr="00AD7332">
        <w:rPr>
          <w:rFonts w:ascii="Arial" w:hAnsi="Arial" w:cs="Arial"/>
          <w:b/>
          <w:bCs/>
          <w:sz w:val="20"/>
          <w:szCs w:val="20"/>
        </w:rPr>
        <w:t>INTRODUCTION</w:t>
      </w:r>
    </w:p>
    <w:p w14:paraId="3BC27952"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The global climate crisis represents one of the most pressing challenges of the 21st century. Its impacts which include rising global temperatures, increased frequency of extreme weather events, and sea-level rise, transcending national borders and threatening ecosystems, economies, and human settlements worldwide (IPCC, 2022). In response, the international community has increasingly focused on two parallel strategies: climate change mitigation and climate change adaptation. Climate change mitigation addresses the causes of climate change by reducing greenhouse gas emissions and strengthening natural carbon sinks, while climate change adaptation focuses on adjusting human and environmental systems to withstand, manage, and recover from actual or anticipated impacts of climate change (UNEP, 2021). The building and construction sector is critically enmeshed in both strategies, being responsible for nearly 40% of global energy-related carbon dioxide emissions while also housing the populations most vulnerable to climatic shifts (Global Alliance for Buildings and Construction, 2021). This global challenge is acutely felt in the Sub-Saharan Africa region, which is disproportionately vulnerable to the adverse effects of climate change despite contributing the least to its causes. The region faces intensifying threats of prolonged droughts, erratic rainfall patterns, and intense heat waves, which severely strain infrastructure, water resources, agricultural productivity, and ultimately, human health and livelihoods (World Bank, 2020). Rapid urbanization across Sub-Saharan Africa further compounds these vulnerabilities, as burgeoning cities often expand with inadequate planning, leading to the proliferation of informal settlements that are highly susceptible to climate hazards like flooding and heat stress (Ajayi &amp; Adegun, 2019). This context creates an urgent imperative for built environment solutions that are not only low-carbon but also inherently resilient to a changing climate.</w:t>
      </w:r>
    </w:p>
    <w:p w14:paraId="2EB50B24"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Within this regional panorama, Ghana stands as a pertinent case study. As a rapidly developing nation, Ghana is experiencing significant economic growth and urban expansion, particularly in its major cities like Accra, Tema, Sekondi, Takoradi, Tamale, and Kumasi. However, this development is increasingly being threatened by the palpable impacts of climate change. Coastal erosion endangers vital communities and infrastructure along its shoreline, while recurrent and severe flooding in urban centers disrupts lives, damages property, and cripples’ economic activity (Ghana Statistical Service, 2021). Rising temperatures </w:t>
      </w:r>
      <w:r w:rsidRPr="00AD7332">
        <w:rPr>
          <w:rFonts w:ascii="Arial" w:hAnsi="Arial" w:cs="Arial"/>
          <w:sz w:val="20"/>
          <w:szCs w:val="20"/>
        </w:rPr>
        <w:lastRenderedPageBreak/>
        <w:t>contribute to increased energy demand for cooling, placing additional stress on the national grid and escalating energy costs (Amankwah et al., 2020; Yeboah et al., 2025). Conventional building practices in Ghana, which often prioritize low initial cost without considering long-term operational efficiency or environmental impact, are ill-suited to address these mounting challenges. They frequently rely on energy-intensive materials and designs that exacerbate the urban heat island effect and depend heavily on artificial cooling systems (Ofori-Boadu et al., 2018). This underscores a critical gap in the current approach to construction and urban development. It is against this backdrop that the concept of green buildings emerges as a potential catalyst for systemic change. Green building is defined as a holistic practice that seeks to increase the efficiency with which buildings and their sites use energy, water, and materials while reducing building impacts on human health and the environment across the entire lifecycle (U.S. Environmental Protection Agency, 2023). While often celebrated for their mitigation benefits through energy and water conservation, the inherent design principles of green buildings such as passive solar design, enhanced ventilation, use of thermal mass, rainwater harvesting, and sustainable site selection are fundamentally aligned with adaptation objectives. These features can significantly enhance a building’s resilience to heat, flooding, and water scarcity (Zuo &amp; Zhao, 2014). However, the specific role of green building design as a strategic tool for climate change adaptation remains underexplored within the Ghanaian context. While studies have examined drivers and barriers to green building adoption broadly (Darko et al., 2017), there is a paucity of research that systematically investigates its potential to fortify Ghana’s built environment against climatic risks. Therefore, this paper seeks to address this knowledge gap by investigating how green building practices can serve as a mechanism for climate change adaptation in Ghana. It examines the adaptive capacities of green building features, assess the current policy and market landscape, and propose a framework for integrating adaptation core into Ghana’s sustainable construction agenda.</w:t>
      </w:r>
    </w:p>
    <w:p w14:paraId="3724CBE8"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2.0 LITERATURE REVIEW</w:t>
      </w:r>
    </w:p>
    <w:p w14:paraId="19AF5A93"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2.1 Overview of Green Building in Ghana </w:t>
      </w:r>
    </w:p>
    <w:p w14:paraId="6066B3C7"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The conversation around green buildings in Ghana has grown steadily as the country confronts the realities of climate change. Communities are dealing with hotter temperatures, unpredictable rainfall, and frequent flooding, all of which put pressure on homes and infrastructure (IPCC, 2022; Adenle et al., 2017). Conventional building methods, which often depend on heavy use of cement, steel, and other energy-demanding materials, are not well suited to these challenges. Green buildings are emerging as an alternative, promoting designs that save energy, use natural ventilation, reduce water waste, and integrate renewable technologies such as solar power (Ahmadizadeh et al., 2024; Ingrao et al., 2018). These approaches are not only environmentally responsible but also improve the comfort and well-being of occupants (Berry &amp; Davidson, 2015). Despite their potential, green building practices are still in the early stages of adoption in Ghana. The Ghana Green Building Council has been active in creating awareness and encouraging professional training, while government has introduced policies aimed at improving energy efficiency in the construction sector (Ali et al., 2021). The pace of progress has been slow. High initial costs, limited technical skills, and low public awareness continue to discourage developers and homeowners (Ikram et al., 2021; Cui et al., 2020). For many, the long-term benefits such as reduced energy bills and healthier living conditions, are overshadowed by the upfront expenses of adopting sustainable designs (Akomea-Frimpong et al., 2022; Agwu et al., 2024; Hoffman &amp; Henn, 2008). Even with these barriers, there are promising examples of green building in practice. A few pilot projects in the cities of Accra and Kumasi demonstrate that sustainable construction is possible and can be adapted to the local context (Ali et al., 2021, Dankwah, 2024, Owusu-Ansah, 2024). These projects show how eco-friendly approaches can be integrated into urban housing and infrastructure, especially at a time when Ghana’s cities are rapidly expanding. If scaled up, the initiatives could play an important role in reducing emissions, strengthening energy security, and helping communities adapt to climate risks (Cohen et al., 2021; Misra, 2014; Debrah et al., 2022). In this way, green building is not just an innovation but a necessary step toward creating more climate change resilience and sustainable cities in Ghana.</w:t>
      </w:r>
    </w:p>
    <w:p w14:paraId="5F0BD333"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2.2 Adaptation Strategies </w:t>
      </w:r>
    </w:p>
    <w:p w14:paraId="63B239AC"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lastRenderedPageBreak/>
        <w:t>Climate change continues to threaten the stability of human settlements, and the challenge is even more pressing in fast-growing countries like Ghana. Rising temperatures, erratic rainfall, and flooding are already shaping the way communities live and interact with their environment (IPCC, 2022; Adenle et al., 2017). To cope with these realities, different forms of adaptation have been developed, ranging from national policy measures to community-based practices (Kom et al., 2020; Misra, 2014). Globally, approaches such as technological innovation, sustainable planning, and ecosystem restoration have been emphasized (Owusu &amp; Asumadu-Sarkodie, 2016, Aronson et al., 2020). These ideas are gradually finding space in Ghanaian urban development debates, with green building practices emerging as one of the most promising avenues (Ali et al., 2021; Addy et al., 2021). Unlike stand-alone interventions, green buildings offer a more integrated approach, bringing together energy efficiency, water management, sustainable materials, and nature-based solutions under a single framework that can support both climate resilience and sustainable urban growth (Ahmadizadeh et al., 2024; Ingrao et al., 2018; Owusu-Manu et al., 2023). Green building adaptation strategies have to do with building design and construction materials, energy efficiency, water efficiency, and waste management.</w:t>
      </w:r>
    </w:p>
    <w:p w14:paraId="475B55C6"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Design and Materials</w:t>
      </w:r>
      <w:r w:rsidRPr="00AD7332">
        <w:rPr>
          <w:rFonts w:ascii="Arial" w:hAnsi="Arial" w:cs="Arial"/>
          <w:sz w:val="20"/>
          <w:szCs w:val="20"/>
        </w:rPr>
        <w:t>: In Ghana, building design and material choices are key strategies for climate change adaptation. Proper orientation to maximize daylight and natural ventilation reduces reliance on cooling systems, while the use of local materials such as laterite blocks and bamboo provides affordable, low-carbon, and climate-resilient alternatives (Ahmadizadeh et al., 2024; Adenle et al., 2017). These approaches not only enhance energy efficiency and comfort but also reflect local cultural and economic realities, making design and material considerations practical pathways for advancing green buildings as tools for adaptation (Owusu &amp; Asumadu-Sarkodie, 2016; IPCC, 2022; Ingrao et al., 2018).</w:t>
      </w:r>
    </w:p>
    <w:p w14:paraId="15F6620D" w14:textId="4DBB1D04" w:rsidR="00AD7332" w:rsidRPr="00AD7332" w:rsidRDefault="00AD7332" w:rsidP="00AD7332">
      <w:pPr>
        <w:jc w:val="both"/>
        <w:rPr>
          <w:rFonts w:ascii="Arial" w:hAnsi="Arial" w:cs="Arial"/>
          <w:sz w:val="20"/>
          <w:szCs w:val="20"/>
        </w:rPr>
      </w:pPr>
      <w:r w:rsidRPr="00AD7332">
        <w:rPr>
          <w:rFonts w:ascii="Arial" w:hAnsi="Arial" w:cs="Arial"/>
          <w:b/>
          <w:bCs/>
          <w:sz w:val="20"/>
          <w:szCs w:val="20"/>
        </w:rPr>
        <w:t>Efficient and Renewable Energy</w:t>
      </w:r>
      <w:r w:rsidRPr="00AD7332">
        <w:rPr>
          <w:rFonts w:ascii="Arial" w:hAnsi="Arial" w:cs="Arial"/>
          <w:sz w:val="20"/>
          <w:szCs w:val="20"/>
        </w:rPr>
        <w:t>: Energy efficiency and renewable energy are central to adapting buildings to climate change. By reducing unnecessary energy use through measures like natural ventilation, proper insulation, and efficient appliances, buildings become less dependent on unstable power supplies while lowering costs and emissions (Ingrao et al., 2018; Cohen et al., 2021). In Ghana, where electricity demand is rising and supply is often unreliable, renewable options such as solar power provide a practical and resilient alternative to fossil fuels (Owusu &amp; Asumadu-Sarkodie, 2016; Ali et al., 2021). Together, these strategies not only cut environmental impacts but also strengthen the ability of communities to cope with energy challenges, making green buildings an important pathway for sustainable and climate-resilient development (Adenle et al., 2017; IPCC, 2022; Owusu-Manu et al., 2023).</w:t>
      </w:r>
    </w:p>
    <w:p w14:paraId="281C4D63"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Water Efficiency</w:t>
      </w:r>
      <w:r w:rsidRPr="00AD7332">
        <w:rPr>
          <w:rFonts w:ascii="Arial" w:hAnsi="Arial" w:cs="Arial"/>
          <w:sz w:val="20"/>
          <w:szCs w:val="20"/>
        </w:rPr>
        <w:t>: Water efficiency is a vital adaptation strategy in green building design, especially in countries like Ghana where climate change is altering rainfall patterns and straining water resources (IPCC, 2022; Misra, 2014). By adopting measures such as rainwater harvesting, greywater reuse, low-flow fixtures, and climate-friendly landscaping, green buildings reduce unnecessary water use while ensuring long-term resilience (Ingrao et al., 2018; Owusu-Manu et al., 2023). These practices not only lower utility costs but also help communities cope with increasing water stress, making buildings more sustainable and better prepared for future climatic challenges (Adenle et al., 2017; Ali et al., 2021). In this way, water efficiency supports both environmental conservation and climate adaptation in Ghana’s urban development (Tozer, 2020; Chan et al., 2018; Addy et al., 2021).</w:t>
      </w:r>
    </w:p>
    <w:p w14:paraId="60D19F70"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Waste Management</w:t>
      </w:r>
      <w:r w:rsidRPr="00AD7332">
        <w:rPr>
          <w:rFonts w:ascii="Arial" w:hAnsi="Arial" w:cs="Arial"/>
          <w:sz w:val="20"/>
          <w:szCs w:val="20"/>
        </w:rPr>
        <w:t>: Waste management forms a crucial part of green building practices and offers Ghana a practical way to respond to the pressures of climate change. Through strategies such as reducing construction waste, recycling, and reusing materials, green buildings ease the strain on natural resources while supporting more responsible urban growth (Ahmadizadeh et al., 2024; Ingrao et al., 2018). In Ghana’s fast-growing cities, where waste disposal remains a pressing challenge, these measures can lower pollution, safeguard public health, and strengthen community resilience (Ali et al., 2021; Addy et al., 2021). The IPCC (2022) stresses that sustainable waste management does not only limit environmental damage, it also helps protect ecosystems and enhances the capacity of societies to adapt to climate risks. By embedding waste management into the design and operation of buildings, Ghana can move toward cleaner, healthier, and more climate-ready urban spaces.</w:t>
      </w:r>
    </w:p>
    <w:p w14:paraId="64DE68AC"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lastRenderedPageBreak/>
        <w:t>2.3 Green Building  </w:t>
      </w:r>
    </w:p>
    <w:p w14:paraId="43627849"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Climate change is forcing societies to rethink how the built environment is designed and managed. Rising temperatures, erratic rainfall, and frequent flooding are placing immense pressure on buildings and infrastructure, exposing the limits of traditional construction approaches that are often ill-prepared for such stresses (IPCC, 2022; Adenle et al., 2017). As a result, attention has been drawn to green building as a practical strategy to strengthen both sustainability and resilience (Owusu &amp; Asumadu-Sarkodie, 2016; Misra, 2014). Green buildings go beyond conventional construction by incorporating features that lower environmental impacts while enhancing the ability of structures to withstand climate-related risks (Saleh et al., 2024; Ezeani et al., 2025). Practices maximizing natural ventilation, installing energy-efficient systems, harvesting rainwater, and using sustainable materials ensure that these buildings are better suited to cope with extreme weather events (Ahmadizadeh et al., 2024; Ingrao et al., 2018). At the same time, they help cut reliance on fossil fuels, improve energy efficiency, and provide healthier and more comfortable indoor spaces, aligning with both mitigation and adaptation goals (Berry &amp; Davidson, 2015; Cohen et al., 2021). In Ghana, the relevance of green building is particularly strong given the country’s rapid urban growth and mounting climate pressures. Introducing renewable energy systems, water-saving technologies, and locally sourced materials into building designs can ease environmental strain while helping communities adapt to challenges such as heatwaves and flooding (Ali et al., 2021; Owusu-Manu et al., 2023). Yet, widespread adoption has been held back by barriers including high initial costs, weak enforcement of building codes, and limited awareness among developers and homeowners (Listokin &amp; Hattis, 2005; Choi, 2009). Even so, increasing interest from government institutions, financial actors, and professionals’ signals that the momentum is building (Chan et al., 2018; Addy et al., 2021).</w:t>
      </w:r>
    </w:p>
    <w:p w14:paraId="37C84B67" w14:textId="33189B45" w:rsidR="005E4F62" w:rsidRPr="00AD7332" w:rsidRDefault="005E4F62" w:rsidP="005E4F62">
      <w:pPr>
        <w:jc w:val="both"/>
        <w:rPr>
          <w:rFonts w:ascii="Arial" w:hAnsi="Arial" w:cs="Arial"/>
          <w:sz w:val="20"/>
          <w:szCs w:val="20"/>
        </w:rPr>
      </w:pPr>
      <w:r w:rsidRPr="00AD7332">
        <w:rPr>
          <w:rFonts w:ascii="Arial" w:hAnsi="Arial" w:cs="Arial"/>
          <w:b/>
          <w:bCs/>
          <w:sz w:val="20"/>
          <w:szCs w:val="20"/>
        </w:rPr>
        <w:t xml:space="preserve">3.0 </w:t>
      </w:r>
      <w:commentRangeStart w:id="2"/>
      <w:r w:rsidRPr="00AD7332">
        <w:rPr>
          <w:rFonts w:ascii="Arial" w:hAnsi="Arial" w:cs="Arial"/>
          <w:b/>
          <w:bCs/>
          <w:sz w:val="20"/>
          <w:szCs w:val="20"/>
        </w:rPr>
        <w:t>METHODOLOGY</w:t>
      </w:r>
      <w:commentRangeEnd w:id="2"/>
      <w:r w:rsidR="003E2727">
        <w:rPr>
          <w:rStyle w:val="CommentReference"/>
          <w:rFonts w:ascii="Arial" w:hAnsi="Arial" w:cs="Arial"/>
          <w:b/>
          <w:bCs/>
          <w:sz w:val="20"/>
          <w:szCs w:val="20"/>
        </w:rPr>
        <w:commentReference w:id="2"/>
      </w:r>
      <w:r w:rsidR="00B96D5C">
        <w:rPr>
          <w:rFonts w:ascii="Arial" w:hAnsi="Arial" w:cs="Arial"/>
          <w:b/>
          <w:bCs/>
          <w:sz w:val="20"/>
          <w:szCs w:val="20"/>
        </w:rPr>
        <w:t xml:space="preserve"> </w:t>
      </w:r>
    </w:p>
    <w:p w14:paraId="7039FCFA"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This article utilises a systematic review approach to examine the role of green buildings as a conduit for climate change adaptation through the synthesis of existing peer-reviewed literature. Literature reviews are carried out for several purposes. According to Paré et al. (2015) and Paré and Kitsiou (2017), these include: (i) providing a clear overview of the existing knowledge base within a specific research domain; (ii) examining the extent to which prior studies reveal consistent patterns or trends within the literature; (iii) consolidating empirical evidence relevant to a defined research question in order to support analytical validity; (iv) contributing to the development or refinement of conceptual frameworks and theoretical perspectives; and (v) identifying gaps in current knowledge that suggest directions for future research.</w:t>
      </w:r>
    </w:p>
    <w:p w14:paraId="7BAB0185"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In this paper, the review undertaken explored how green buildings can be used as a tool for climate change adaptation. The process was guided by the Preferred Reporting Items for Systematic Reviews and Meta-Analyses (2020) reporting framework, which offers internationally accepted standards for conducting and reporting systematic reviews and helps to minimise selection bias (Page et al., 2021). A strategic literature search was conducted across some academic databases including ScienceDirect, Scopus, Taylor &amp; Francis Online, and Google Scholar. The search strategy employed carefully selected keywords and Boolean operators to capture studies related to green buildings, climate change, the built environment and was limited to peer-reviewed journal articles published in English to ensure quality and relevance. Clear inclusion and exclusion criteria were defined prior to screening in order to maintain objectivity; eligible studies addressed the research topic directly and presented empirical, theoretical, or review-based contributions, while editorials, conference papers, and studies lacking sufficient methodological detail were excluded. Following the removal of duplicate records, titles and abstracts were screened, after which full-text articles were assessed for final inclusion. The selection process was documented using a PRISMA flow diagram, enhancing transparency and reproducibility (Moher et al., 2009; Page et al., 2021). Data were extracted systematically using a standardised framework capturing key study characteristics, methodological approaches, and main findings. To ensure the robustness of the synthesis, the methodological quality of included studies was assessed using established appraisal principles for systematic reviews (Petticrew &amp; Roberts, 2006). Given the diversity of study designs and outcomes, findings were integrated through a narrative and thematic synthesis, an approach considered appropriate </w:t>
      </w:r>
      <w:r w:rsidRPr="00AD7332">
        <w:rPr>
          <w:rFonts w:ascii="Arial" w:hAnsi="Arial" w:cs="Arial"/>
          <w:sz w:val="20"/>
          <w:szCs w:val="20"/>
        </w:rPr>
        <w:lastRenderedPageBreak/>
        <w:t>when statistical meta-analysis is not feasible and when the aim is to identify patterns, themes, and research gaps across studies (Popay et al., 2006). As the review relied solely on previously published material, ethical approval was not required, and all sources were appropriately acknowledged to maintain academic integrity.</w:t>
      </w:r>
    </w:p>
    <w:p w14:paraId="050E3DB0" w14:textId="77777777" w:rsidR="005333E2" w:rsidRPr="009D6B1A" w:rsidRDefault="005333E2" w:rsidP="005333E2">
      <w:pPr>
        <w:rPr>
          <w:rFonts w:ascii="Times New Roman" w:hAnsi="Times New Roman" w:cs="Times New Roman"/>
        </w:rPr>
      </w:pPr>
    </w:p>
    <w:p w14:paraId="42C7C6A5" w14:textId="00A5CA9A" w:rsidR="005333E2" w:rsidRPr="005333E2" w:rsidRDefault="009D1C9C" w:rsidP="005333E2">
      <w:pPr>
        <w:jc w:val="center"/>
        <w:rPr>
          <w:rFonts w:ascii="Times New Roman" w:hAnsi="Times New Roman" w:cs="Times New Roman"/>
          <w:color w:val="000000"/>
          <w14:textFill>
            <w14:solidFill>
              <w14:srgbClr w14:val="000000">
                <w14:alpha w14:val="80000"/>
              </w14:srgbClr>
            </w14:solidFill>
          </w14:textFill>
        </w:rPr>
      </w:pPr>
      <w:r>
        <w:rPr>
          <w:noProof/>
        </w:rPr>
        <w:lastRenderedPageBreak/>
        <mc:AlternateContent>
          <mc:Choice Requires="wps">
            <w:drawing>
              <wp:anchor distT="0" distB="0" distL="114300" distR="114300" simplePos="0" relativeHeight="251669504" behindDoc="0" locked="0" layoutInCell="1" allowOverlap="1" wp14:anchorId="7381D2E8" wp14:editId="61BB28BB">
                <wp:simplePos x="0" y="0"/>
                <wp:positionH relativeFrom="margin">
                  <wp:posOffset>2987992</wp:posOffset>
                </wp:positionH>
                <wp:positionV relativeFrom="paragraph">
                  <wp:posOffset>3363913</wp:posOffset>
                </wp:positionV>
                <wp:extent cx="45085" cy="300990"/>
                <wp:effectExtent l="0" t="13652" r="36512" b="36513"/>
                <wp:wrapNone/>
                <wp:docPr id="5" name="Arrow: Down 5"/>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4DD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35.25pt;margin-top:264.9pt;width:3.55pt;height:23.7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" adj="19982" fillcolor="black [3200]" strokecolor="black [1600]" strokeweight="1p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31488F6" wp14:editId="2C26893D">
                <wp:simplePos x="0" y="0"/>
                <wp:positionH relativeFrom="margin">
                  <wp:posOffset>2987993</wp:posOffset>
                </wp:positionH>
                <wp:positionV relativeFrom="paragraph">
                  <wp:posOffset>4416108</wp:posOffset>
                </wp:positionV>
                <wp:extent cx="45085" cy="300990"/>
                <wp:effectExtent l="0" t="13652" r="36512" b="36513"/>
                <wp:wrapNone/>
                <wp:docPr id="6" name="Arrow: Down 6"/>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A40F" id="Arrow: Down 6" o:spid="_x0000_s1026" type="#_x0000_t67" style="position:absolute;margin-left:235.3pt;margin-top:347.75pt;width:3.55pt;height:23.7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" adj="19982" fillcolor="black [3200]" strokecolor="black [1600]" strokeweight="1pt">
                <w10:wrap anchorx="margin"/>
              </v:shape>
            </w:pict>
          </mc:Fallback>
        </mc:AlternateContent>
      </w:r>
      <w:r w:rsidR="002D055C">
        <w:rPr>
          <w:noProof/>
        </w:rPr>
        <mc:AlternateContent>
          <mc:Choice Requires="wps">
            <w:drawing>
              <wp:anchor distT="0" distB="0" distL="114300" distR="114300" simplePos="0" relativeHeight="251661312" behindDoc="0" locked="0" layoutInCell="1" allowOverlap="1" wp14:anchorId="51E88DDE" wp14:editId="0767515A">
                <wp:simplePos x="0" y="0"/>
                <wp:positionH relativeFrom="column">
                  <wp:posOffset>1381125</wp:posOffset>
                </wp:positionH>
                <wp:positionV relativeFrom="paragraph">
                  <wp:posOffset>2146610</wp:posOffset>
                </wp:positionV>
                <wp:extent cx="45719" cy="265430"/>
                <wp:effectExtent l="19050" t="0" r="31115" b="39370"/>
                <wp:wrapNone/>
                <wp:docPr id="13" name="Arrow: Down 13"/>
                <wp:cNvGraphicFramePr/>
                <a:graphic xmlns:a="http://schemas.openxmlformats.org/drawingml/2006/main">
                  <a:graphicData uri="http://schemas.microsoft.com/office/word/2010/wordprocessingShape">
                    <wps:wsp>
                      <wps:cNvSpPr/>
                      <wps:spPr>
                        <a:xfrm flipH="1">
                          <a:off x="0" y="0"/>
                          <a:ext cx="45719" cy="2654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5D065" id="Arrow: Down 13" o:spid="_x0000_s1026" type="#_x0000_t67" style="position:absolute;margin-left:108.75pt;margin-top:169pt;width:3.6pt;height:20.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" adj="19740" fillcolor="black [3200]" strokecolor="black [1600]" strokeweight="1pt"/>
            </w:pict>
          </mc:Fallback>
        </mc:AlternateContent>
      </w:r>
      <w:r w:rsidR="002D055C">
        <w:rPr>
          <w:noProof/>
        </w:rPr>
        <mc:AlternateContent>
          <mc:Choice Requires="wps">
            <w:drawing>
              <wp:anchor distT="0" distB="0" distL="114300" distR="114300" simplePos="0" relativeHeight="251662336" behindDoc="0" locked="0" layoutInCell="1" allowOverlap="1" wp14:anchorId="030E6B1C" wp14:editId="4032C443">
                <wp:simplePos x="0" y="0"/>
                <wp:positionH relativeFrom="column">
                  <wp:posOffset>1408430</wp:posOffset>
                </wp:positionH>
                <wp:positionV relativeFrom="paragraph">
                  <wp:posOffset>2975920</wp:posOffset>
                </wp:positionV>
                <wp:extent cx="45719" cy="273132"/>
                <wp:effectExtent l="19050" t="0" r="31115" b="31750"/>
                <wp:wrapNone/>
                <wp:docPr id="8" name="Arrow: Down 8"/>
                <wp:cNvGraphicFramePr/>
                <a:graphic xmlns:a="http://schemas.openxmlformats.org/drawingml/2006/main">
                  <a:graphicData uri="http://schemas.microsoft.com/office/word/2010/wordprocessingShape">
                    <wps:wsp>
                      <wps:cNvSpPr/>
                      <wps:spPr>
                        <a:xfrm>
                          <a:off x="0" y="0"/>
                          <a:ext cx="45719" cy="27313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A007" id="Arrow: Down 8" o:spid="_x0000_s1026" type="#_x0000_t67" style="position:absolute;margin-left:110.9pt;margin-top:234.3pt;width:3.6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" adj="19792" fillcolor="black [3200]" strokecolor="black [1600]" strokeweight="1pt"/>
            </w:pict>
          </mc:Fallback>
        </mc:AlternateContent>
      </w:r>
      <w:r w:rsidR="002D055C">
        <w:rPr>
          <w:noProof/>
        </w:rPr>
        <mc:AlternateContent>
          <mc:Choice Requires="wps">
            <w:drawing>
              <wp:anchor distT="0" distB="0" distL="114300" distR="114300" simplePos="0" relativeHeight="251663360" behindDoc="0" locked="0" layoutInCell="1" allowOverlap="1" wp14:anchorId="1CC45F4E" wp14:editId="4E140BC6">
                <wp:simplePos x="0" y="0"/>
                <wp:positionH relativeFrom="column">
                  <wp:posOffset>1439220</wp:posOffset>
                </wp:positionH>
                <wp:positionV relativeFrom="paragraph">
                  <wp:posOffset>3838723</wp:posOffset>
                </wp:positionV>
                <wp:extent cx="45085" cy="300990"/>
                <wp:effectExtent l="19050" t="0" r="31115" b="41910"/>
                <wp:wrapNone/>
                <wp:docPr id="9" name="Arrow: Down 9"/>
                <wp:cNvGraphicFramePr/>
                <a:graphic xmlns:a="http://schemas.openxmlformats.org/drawingml/2006/main">
                  <a:graphicData uri="http://schemas.microsoft.com/office/word/2010/wordprocessingShape">
                    <wps:wsp>
                      <wps:cNvSpPr/>
                      <wps:spPr>
                        <a:xfrm>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85ED8" id="Arrow: Down 9" o:spid="_x0000_s1026" type="#_x0000_t67" style="position:absolute;margin-left:113.3pt;margin-top:302.25pt;width:3.5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" adj="19982" fillcolor="black [3200]" strokecolor="black [1600]" strokeweight="1pt"/>
            </w:pict>
          </mc:Fallback>
        </mc:AlternateContent>
      </w:r>
      <w:r w:rsidR="002D055C">
        <w:rPr>
          <w:noProof/>
        </w:rPr>
        <mc:AlternateContent>
          <mc:Choice Requires="wps">
            <w:drawing>
              <wp:anchor distT="0" distB="0" distL="114300" distR="114300" simplePos="0" relativeHeight="251664384" behindDoc="0" locked="0" layoutInCell="1" allowOverlap="1" wp14:anchorId="0F129E36" wp14:editId="07895D49">
                <wp:simplePos x="0" y="0"/>
                <wp:positionH relativeFrom="column">
                  <wp:posOffset>1419860</wp:posOffset>
                </wp:positionH>
                <wp:positionV relativeFrom="paragraph">
                  <wp:posOffset>4935530</wp:posOffset>
                </wp:positionV>
                <wp:extent cx="45085" cy="521970"/>
                <wp:effectExtent l="19050" t="0" r="31115" b="30480"/>
                <wp:wrapNone/>
                <wp:docPr id="10" name="Arrow: Down 10"/>
                <wp:cNvGraphicFramePr/>
                <a:graphic xmlns:a="http://schemas.openxmlformats.org/drawingml/2006/main">
                  <a:graphicData uri="http://schemas.microsoft.com/office/word/2010/wordprocessingShape">
                    <wps:wsp>
                      <wps:cNvSpPr/>
                      <wps:spPr>
                        <a:xfrm>
                          <a:off x="0" y="0"/>
                          <a:ext cx="45085" cy="5219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6DCA8" id="Arrow: Down 10" o:spid="_x0000_s1026" type="#_x0000_t67" style="position:absolute;margin-left:111.8pt;margin-top:388.6pt;width:3.5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" adj="20667" fillcolor="black [3200]" strokecolor="black [1600]" strokeweight="1pt"/>
            </w:pict>
          </mc:Fallback>
        </mc:AlternateContent>
      </w:r>
      <w:r w:rsidR="002D055C">
        <w:rPr>
          <w:noProof/>
        </w:rPr>
        <mc:AlternateContent>
          <mc:Choice Requires="wps">
            <w:drawing>
              <wp:anchor distT="0" distB="0" distL="114300" distR="114300" simplePos="0" relativeHeight="251665408" behindDoc="0" locked="0" layoutInCell="1" allowOverlap="1" wp14:anchorId="009399E9" wp14:editId="1D516B51">
                <wp:simplePos x="0" y="0"/>
                <wp:positionH relativeFrom="column">
                  <wp:posOffset>1423684</wp:posOffset>
                </wp:positionH>
                <wp:positionV relativeFrom="paragraph">
                  <wp:posOffset>6166618</wp:posOffset>
                </wp:positionV>
                <wp:extent cx="45719" cy="451262"/>
                <wp:effectExtent l="19050" t="0" r="31115" b="44450"/>
                <wp:wrapNone/>
                <wp:docPr id="11" name="Arrow: Down 11"/>
                <wp:cNvGraphicFramePr/>
                <a:graphic xmlns:a="http://schemas.openxmlformats.org/drawingml/2006/main">
                  <a:graphicData uri="http://schemas.microsoft.com/office/word/2010/wordprocessingShape">
                    <wps:wsp>
                      <wps:cNvSpPr/>
                      <wps:spPr>
                        <a:xfrm>
                          <a:off x="0" y="0"/>
                          <a:ext cx="45719" cy="45126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CC08" id="Arrow: Down 11" o:spid="_x0000_s1026" type="#_x0000_t67" style="position:absolute;margin-left:112.1pt;margin-top:485.55pt;width:3.6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" adj="20506" fillcolor="black [3200]" strokecolor="black [1600]" strokeweight="1pt"/>
            </w:pict>
          </mc:Fallback>
        </mc:AlternateContent>
      </w:r>
      <w:r w:rsidR="005333E2">
        <w:rPr>
          <w:noProof/>
        </w:rPr>
        <mc:AlternateContent>
          <mc:Choice Requires="wps">
            <w:drawing>
              <wp:anchor distT="0" distB="0" distL="114300" distR="114300" simplePos="0" relativeHeight="251667456" behindDoc="0" locked="0" layoutInCell="1" allowOverlap="1" wp14:anchorId="18E33112" wp14:editId="19D355BC">
                <wp:simplePos x="0" y="0"/>
                <wp:positionH relativeFrom="column">
                  <wp:posOffset>3943350</wp:posOffset>
                </wp:positionH>
                <wp:positionV relativeFrom="paragraph">
                  <wp:posOffset>1047750</wp:posOffset>
                </wp:positionV>
                <wp:extent cx="45719" cy="261257"/>
                <wp:effectExtent l="19050" t="0" r="31115" b="43815"/>
                <wp:wrapNone/>
                <wp:docPr id="4" name="Arrow: Down 4"/>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3F63B" id="Arrow: Down 4" o:spid="_x0000_s1026" type="#_x0000_t67" style="position:absolute;margin-left:310.5pt;margin-top:82.5pt;width:3.6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" adj="19710" fillcolor="black [3200]" strokecolor="black [1600]" strokeweight="1pt"/>
            </w:pict>
          </mc:Fallback>
        </mc:AlternateContent>
      </w:r>
      <w:r w:rsidR="005333E2">
        <w:rPr>
          <w:noProof/>
        </w:rPr>
        <mc:AlternateContent>
          <mc:Choice Requires="wps">
            <w:drawing>
              <wp:anchor distT="0" distB="0" distL="114300" distR="114300" simplePos="0" relativeHeight="251659264" behindDoc="0" locked="0" layoutInCell="1" allowOverlap="1" wp14:anchorId="06D31EC6" wp14:editId="6C504F25">
                <wp:simplePos x="0" y="0"/>
                <wp:positionH relativeFrom="column">
                  <wp:posOffset>1384102</wp:posOffset>
                </wp:positionH>
                <wp:positionV relativeFrom="paragraph">
                  <wp:posOffset>1044575</wp:posOffset>
                </wp:positionV>
                <wp:extent cx="45719" cy="261257"/>
                <wp:effectExtent l="19050" t="0" r="31115" b="43815"/>
                <wp:wrapNone/>
                <wp:docPr id="3" name="Arrow: Down 3"/>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0624" id="Arrow: Down 3" o:spid="_x0000_s1026" type="#_x0000_t67" style="position:absolute;margin-left:109pt;margin-top:82.25pt;width:3.6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" adj="19710" fillcolor="black [3200]" strokecolor="black [1600]" strokeweight="1pt"/>
            </w:pict>
          </mc:Fallback>
        </mc:AlternateContent>
      </w:r>
      <w:r w:rsidR="005333E2">
        <w:rPr>
          <w:noProof/>
        </w:rPr>
        <w:drawing>
          <wp:inline distT="0" distB="0" distL="0" distR="0" wp14:anchorId="5FF927A4" wp14:editId="0A2EFFE0">
            <wp:extent cx="5924550" cy="74009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4F91A64" w14:textId="77777777" w:rsidR="00E42610" w:rsidRPr="00AD7332" w:rsidRDefault="00E42610" w:rsidP="00E42610">
      <w:pPr>
        <w:jc w:val="center"/>
        <w:rPr>
          <w:rFonts w:ascii="Arial" w:hAnsi="Arial" w:cs="Arial"/>
          <w:b/>
          <w:bCs/>
          <w:sz w:val="20"/>
          <w:szCs w:val="20"/>
        </w:rPr>
      </w:pPr>
      <w:r w:rsidRPr="00AD7332">
        <w:rPr>
          <w:rFonts w:ascii="Arial" w:hAnsi="Arial" w:cs="Arial"/>
          <w:b/>
          <w:bCs/>
          <w:sz w:val="20"/>
          <w:szCs w:val="20"/>
        </w:rPr>
        <w:t>Fig. 1. PRISMA Flow Diagram</w:t>
      </w:r>
    </w:p>
    <w:p w14:paraId="457978DC" w14:textId="29BCFC80" w:rsidR="005333E2" w:rsidRPr="00E42610" w:rsidRDefault="00E42610" w:rsidP="00E42610">
      <w:pPr>
        <w:jc w:val="center"/>
        <w:rPr>
          <w:rFonts w:ascii="Arial" w:hAnsi="Arial" w:cs="Arial"/>
          <w:i/>
          <w:iCs/>
          <w:sz w:val="20"/>
          <w:szCs w:val="20"/>
        </w:rPr>
      </w:pPr>
      <w:r w:rsidRPr="00AD7332">
        <w:rPr>
          <w:rFonts w:ascii="Arial" w:hAnsi="Arial" w:cs="Arial"/>
          <w:i/>
          <w:iCs/>
          <w:sz w:val="20"/>
          <w:szCs w:val="20"/>
        </w:rPr>
        <w:t>Source: Authors’ Construct</w:t>
      </w:r>
    </w:p>
    <w:p w14:paraId="35B45593" w14:textId="77777777" w:rsidR="00770E94" w:rsidRDefault="00770E94" w:rsidP="005E4F62">
      <w:pPr>
        <w:jc w:val="both"/>
        <w:rPr>
          <w:rFonts w:ascii="Arial" w:hAnsi="Arial" w:cs="Arial"/>
          <w:b/>
          <w:bCs/>
          <w:sz w:val="20"/>
          <w:szCs w:val="20"/>
        </w:rPr>
      </w:pPr>
    </w:p>
    <w:p w14:paraId="1A0186C3" w14:textId="74ECA64A"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lastRenderedPageBreak/>
        <w:t>3.1 Contextual Focus on Ghana</w:t>
      </w:r>
    </w:p>
    <w:p w14:paraId="5DAC0820" w14:textId="08BBE78C" w:rsidR="00AD7332" w:rsidRDefault="00AD7332" w:rsidP="00AD7332">
      <w:pPr>
        <w:jc w:val="both"/>
        <w:rPr>
          <w:rFonts w:ascii="Arial" w:hAnsi="Arial" w:cs="Arial"/>
          <w:sz w:val="20"/>
          <w:szCs w:val="20"/>
        </w:rPr>
      </w:pPr>
      <w:r w:rsidRPr="00AD7332">
        <w:rPr>
          <w:rFonts w:ascii="Arial" w:hAnsi="Arial" w:cs="Arial"/>
          <w:sz w:val="20"/>
          <w:szCs w:val="20"/>
        </w:rPr>
        <w:t xml:space="preserve">Ghana, located in West Africa, is divided into sixteen administrative regions as shown in Fig. 2. Ghana offers a compelling setting for exploring green buildings as a response to climate change, as the effects of unpredictable rainfall and frequent flooding are already being felt across many communities (IPCC, 2022; Adenle et al., 2017). Rapid urban growth, particularly in cities such as Accra and Kumasi, has increased pressure on housing and infrastructure, often stretching existing systems beyond their limits. Much of this growth has relied on conventional construction methods that depend heavily on energy-intensive materials and mechanical cooling, making buildings less suited to a warming and increasingly unstable climate (Ingrao et al., 2018; Owusu &amp; Asumadu-Sarkodie, </w:t>
      </w:r>
      <w:commentRangeStart w:id="3"/>
      <w:r w:rsidRPr="00AD7332">
        <w:rPr>
          <w:rFonts w:ascii="Arial" w:hAnsi="Arial" w:cs="Arial"/>
          <w:sz w:val="20"/>
          <w:szCs w:val="20"/>
        </w:rPr>
        <w:t>2016</w:t>
      </w:r>
      <w:commentRangeEnd w:id="3"/>
      <w:r w:rsidR="003E2727" w:rsidRPr="00AD7332">
        <w:rPr>
          <w:rStyle w:val="CommentReference"/>
          <w:rFonts w:ascii="Arial" w:hAnsi="Arial" w:cs="Arial"/>
          <w:sz w:val="20"/>
          <w:szCs w:val="20"/>
        </w:rPr>
        <w:commentReference w:id="3"/>
      </w:r>
      <w:r w:rsidRPr="00AD7332">
        <w:rPr>
          <w:rFonts w:ascii="Arial" w:hAnsi="Arial" w:cs="Arial"/>
          <w:sz w:val="20"/>
          <w:szCs w:val="20"/>
        </w:rPr>
        <w:t>). Against this backdrop, interest in green building practices is gradually emerging in Ghana as a more climate-responsive way of designing and managing the built environment. Approaches such as designing buildings to encourage natural ventilation, using locally sourced and low-carbon materials, integrating solar energy, and improving water efficiency speak directly to Ghana’s environmental and infrastructural realities (Ahmadizadeh et al., 2024; Ingrao et al., 2018; Owusu-Manu et al., 2023). These strategies are particularly relevant in a context where electricity supply can be unreliable and water resources are increasingly under strain, making efficiency and self-sufficiency important elements of climate adaptation (Owusu &amp; Asumadu-Sarkodie, 2016; Misra, 2014; IPCC, 2022). Despite their growing relevance, green buildings remain relatively uncommon in Ghana. High upfront costs, limited technical expertise, weak enforcement of building regulations, and low awareness among developers and homeowners continue to slow adoption (Ikram et al., 2021; Cui et al., 2020; Akomea-Frimpong et al., 2022). Even so, a small number of projects in Accra and Kumasi show that green building principles can be successfully adapted to local conditions, offering practical examples of how buildings can support both environmental sustainability and climate resilience (Ali et al., 2021). Increasing engagement from professional bodies and policy institutions further suggests that interest in climate-responsive construction is slowly gaining momentum (Chan et al., 2018; Addy et al., 2021).</w:t>
      </w:r>
    </w:p>
    <w:p w14:paraId="2BAE9B0F" w14:textId="4E1E9EF1" w:rsidR="0017412E" w:rsidRDefault="0017412E" w:rsidP="00AD7332">
      <w:pPr>
        <w:jc w:val="both"/>
        <w:rPr>
          <w:rFonts w:ascii="Arial" w:hAnsi="Arial" w:cs="Arial"/>
          <w:sz w:val="20"/>
          <w:szCs w:val="20"/>
        </w:rPr>
      </w:pPr>
    </w:p>
    <w:p w14:paraId="07C47166" w14:textId="163F1479" w:rsidR="0017412E" w:rsidRDefault="0017412E" w:rsidP="00AD7332">
      <w:pPr>
        <w:jc w:val="both"/>
        <w:rPr>
          <w:rFonts w:ascii="Arial" w:hAnsi="Arial" w:cs="Arial"/>
          <w:sz w:val="20"/>
          <w:szCs w:val="20"/>
        </w:rPr>
      </w:pPr>
    </w:p>
    <w:p w14:paraId="0D012533" w14:textId="7FFCD4B0" w:rsidR="0017412E" w:rsidRDefault="0017412E" w:rsidP="00AD7332">
      <w:pPr>
        <w:jc w:val="both"/>
        <w:rPr>
          <w:rFonts w:ascii="Arial" w:hAnsi="Arial" w:cs="Arial"/>
          <w:sz w:val="20"/>
          <w:szCs w:val="20"/>
        </w:rPr>
      </w:pPr>
    </w:p>
    <w:p w14:paraId="217868DD" w14:textId="235BA2C1" w:rsidR="0017412E" w:rsidRDefault="0017412E" w:rsidP="00AD7332">
      <w:pPr>
        <w:jc w:val="both"/>
        <w:rPr>
          <w:rFonts w:ascii="Arial" w:hAnsi="Arial" w:cs="Arial"/>
          <w:sz w:val="20"/>
          <w:szCs w:val="20"/>
        </w:rPr>
      </w:pPr>
    </w:p>
    <w:p w14:paraId="0D7F8FFF" w14:textId="71C3E0DB" w:rsidR="0017412E" w:rsidRDefault="0017412E" w:rsidP="00AD7332">
      <w:pPr>
        <w:jc w:val="both"/>
        <w:rPr>
          <w:rFonts w:ascii="Arial" w:hAnsi="Arial" w:cs="Arial"/>
          <w:sz w:val="20"/>
          <w:szCs w:val="20"/>
        </w:rPr>
      </w:pPr>
    </w:p>
    <w:p w14:paraId="02962CBF" w14:textId="563F402D" w:rsidR="0017412E" w:rsidRDefault="0017412E" w:rsidP="00AD7332">
      <w:pPr>
        <w:jc w:val="both"/>
        <w:rPr>
          <w:rFonts w:ascii="Arial" w:hAnsi="Arial" w:cs="Arial"/>
          <w:sz w:val="20"/>
          <w:szCs w:val="20"/>
        </w:rPr>
      </w:pPr>
    </w:p>
    <w:p w14:paraId="538DDF4E" w14:textId="04BCA5D5" w:rsidR="0017412E" w:rsidRDefault="0017412E" w:rsidP="00AD7332">
      <w:pPr>
        <w:jc w:val="both"/>
        <w:rPr>
          <w:rFonts w:ascii="Arial" w:hAnsi="Arial" w:cs="Arial"/>
          <w:sz w:val="20"/>
          <w:szCs w:val="20"/>
        </w:rPr>
      </w:pPr>
    </w:p>
    <w:p w14:paraId="54327E78" w14:textId="302AB43C" w:rsidR="0017412E" w:rsidRDefault="0017412E" w:rsidP="00AD7332">
      <w:pPr>
        <w:jc w:val="both"/>
        <w:rPr>
          <w:rFonts w:ascii="Arial" w:hAnsi="Arial" w:cs="Arial"/>
          <w:sz w:val="20"/>
          <w:szCs w:val="20"/>
        </w:rPr>
      </w:pPr>
    </w:p>
    <w:p w14:paraId="71513830" w14:textId="53E573D6" w:rsidR="0017412E" w:rsidRDefault="0017412E" w:rsidP="00AD7332">
      <w:pPr>
        <w:jc w:val="both"/>
        <w:rPr>
          <w:rFonts w:ascii="Arial" w:hAnsi="Arial" w:cs="Arial"/>
          <w:sz w:val="20"/>
          <w:szCs w:val="20"/>
        </w:rPr>
      </w:pPr>
    </w:p>
    <w:p w14:paraId="2499AFE3" w14:textId="36FD5475" w:rsidR="0017412E" w:rsidRDefault="0017412E" w:rsidP="00AD7332">
      <w:pPr>
        <w:jc w:val="both"/>
        <w:rPr>
          <w:rFonts w:ascii="Arial" w:hAnsi="Arial" w:cs="Arial"/>
          <w:sz w:val="20"/>
          <w:szCs w:val="20"/>
        </w:rPr>
      </w:pPr>
    </w:p>
    <w:p w14:paraId="2F9DE0CD" w14:textId="56C5D936" w:rsidR="0017412E" w:rsidRDefault="0017412E" w:rsidP="00AD7332">
      <w:pPr>
        <w:jc w:val="both"/>
        <w:rPr>
          <w:rFonts w:ascii="Arial" w:hAnsi="Arial" w:cs="Arial"/>
          <w:sz w:val="20"/>
          <w:szCs w:val="20"/>
        </w:rPr>
      </w:pPr>
    </w:p>
    <w:p w14:paraId="7F2AC40E" w14:textId="26B04C51" w:rsidR="0017412E" w:rsidRDefault="0017412E" w:rsidP="00AD7332">
      <w:pPr>
        <w:jc w:val="both"/>
        <w:rPr>
          <w:rFonts w:ascii="Arial" w:hAnsi="Arial" w:cs="Arial"/>
          <w:sz w:val="20"/>
          <w:szCs w:val="20"/>
        </w:rPr>
      </w:pPr>
    </w:p>
    <w:p w14:paraId="546C8363" w14:textId="61F93D23" w:rsidR="0017412E" w:rsidRDefault="0017412E" w:rsidP="00AD7332">
      <w:pPr>
        <w:jc w:val="both"/>
        <w:rPr>
          <w:rFonts w:ascii="Arial" w:hAnsi="Arial" w:cs="Arial"/>
          <w:sz w:val="20"/>
          <w:szCs w:val="20"/>
        </w:rPr>
      </w:pPr>
    </w:p>
    <w:p w14:paraId="31AB4F31" w14:textId="1409DEB9" w:rsidR="0017412E" w:rsidRDefault="0017412E" w:rsidP="00AD7332">
      <w:pPr>
        <w:jc w:val="both"/>
        <w:rPr>
          <w:rFonts w:ascii="Arial" w:hAnsi="Arial" w:cs="Arial"/>
          <w:sz w:val="20"/>
          <w:szCs w:val="20"/>
        </w:rPr>
      </w:pPr>
    </w:p>
    <w:p w14:paraId="59B22377" w14:textId="22077847" w:rsidR="0017412E" w:rsidRDefault="0017412E" w:rsidP="00AD7332">
      <w:pPr>
        <w:jc w:val="both"/>
        <w:rPr>
          <w:rFonts w:ascii="Arial" w:hAnsi="Arial" w:cs="Arial"/>
          <w:sz w:val="20"/>
          <w:szCs w:val="20"/>
        </w:rPr>
      </w:pPr>
    </w:p>
    <w:p w14:paraId="62566B39" w14:textId="285C5010" w:rsidR="0017412E" w:rsidRDefault="0017412E" w:rsidP="00AD7332">
      <w:pPr>
        <w:jc w:val="both"/>
        <w:rPr>
          <w:rFonts w:ascii="Arial" w:hAnsi="Arial" w:cs="Arial"/>
          <w:sz w:val="20"/>
          <w:szCs w:val="20"/>
        </w:rPr>
      </w:pPr>
    </w:p>
    <w:p w14:paraId="17EC3F33" w14:textId="676AFD1A" w:rsidR="0017412E" w:rsidRPr="00AD7332" w:rsidRDefault="0017412E" w:rsidP="0017412E">
      <w:pPr>
        <w:jc w:val="center"/>
        <w:rPr>
          <w:rFonts w:ascii="Arial" w:hAnsi="Arial" w:cs="Arial"/>
          <w:sz w:val="20"/>
          <w:szCs w:val="20"/>
        </w:rPr>
      </w:pPr>
      <w:r>
        <w:rPr>
          <w:rFonts w:ascii="Arial" w:hAnsi="Arial" w:cs="Arial"/>
          <w:noProof/>
          <w:sz w:val="20"/>
          <w:szCs w:val="20"/>
        </w:rPr>
        <w:lastRenderedPageBreak/>
        <w:drawing>
          <wp:inline distT="0" distB="0" distL="0" distR="0" wp14:anchorId="33DC9A35" wp14:editId="4DC59B80">
            <wp:extent cx="5002861" cy="4714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7103" cy="4718873"/>
                    </a:xfrm>
                    <a:prstGeom prst="rect">
                      <a:avLst/>
                    </a:prstGeom>
                    <a:noFill/>
                  </pic:spPr>
                </pic:pic>
              </a:graphicData>
            </a:graphic>
          </wp:inline>
        </w:drawing>
      </w:r>
    </w:p>
    <w:p w14:paraId="4AE51CCC" w14:textId="17308F5E" w:rsidR="007758C4" w:rsidRPr="00AD7332" w:rsidRDefault="007758C4" w:rsidP="00E42610">
      <w:pPr>
        <w:jc w:val="center"/>
        <w:rPr>
          <w:rFonts w:ascii="Arial" w:hAnsi="Arial" w:cs="Arial"/>
          <w:b/>
          <w:bCs/>
          <w:sz w:val="20"/>
          <w:szCs w:val="20"/>
        </w:rPr>
      </w:pPr>
      <w:r w:rsidRPr="00AD7332">
        <w:rPr>
          <w:rFonts w:ascii="Arial" w:hAnsi="Arial" w:cs="Arial"/>
          <w:b/>
          <w:bCs/>
          <w:sz w:val="20"/>
          <w:szCs w:val="20"/>
        </w:rPr>
        <w:t xml:space="preserve">Fig. 2. Map of Ghana with its </w:t>
      </w:r>
      <w:r w:rsidR="002B34B4" w:rsidRPr="00AD7332">
        <w:rPr>
          <w:rFonts w:ascii="Arial" w:hAnsi="Arial" w:cs="Arial"/>
          <w:b/>
          <w:bCs/>
          <w:sz w:val="20"/>
          <w:szCs w:val="20"/>
        </w:rPr>
        <w:t xml:space="preserve">administrative </w:t>
      </w:r>
      <w:r w:rsidRPr="00AD7332">
        <w:rPr>
          <w:rFonts w:ascii="Arial" w:hAnsi="Arial" w:cs="Arial"/>
          <w:b/>
          <w:bCs/>
          <w:sz w:val="20"/>
          <w:szCs w:val="20"/>
        </w:rPr>
        <w:t>regions</w:t>
      </w:r>
    </w:p>
    <w:p w14:paraId="6BFC2B93" w14:textId="5C547AE2" w:rsidR="007758C4" w:rsidRPr="00AD7332" w:rsidRDefault="007758C4" w:rsidP="00CC6DAD">
      <w:pPr>
        <w:jc w:val="center"/>
        <w:rPr>
          <w:rFonts w:ascii="Arial" w:hAnsi="Arial" w:cs="Arial"/>
          <w:i/>
          <w:iCs/>
          <w:sz w:val="20"/>
          <w:szCs w:val="20"/>
        </w:rPr>
      </w:pPr>
      <w:r w:rsidRPr="00AD7332">
        <w:rPr>
          <w:rFonts w:ascii="Arial" w:hAnsi="Arial" w:cs="Arial"/>
          <w:i/>
          <w:iCs/>
          <w:sz w:val="20"/>
          <w:szCs w:val="20"/>
        </w:rPr>
        <w:t>Source: Ministry of Foreign Affairs, 2026</w:t>
      </w:r>
    </w:p>
    <w:p w14:paraId="385EFCE2" w14:textId="67448667"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t>4.0 ANALYSIS AND DISCUSSION </w:t>
      </w:r>
    </w:p>
    <w:p w14:paraId="00A24217" w14:textId="3BCEC4A4" w:rsidR="00C95BBD" w:rsidRPr="00AD7332" w:rsidRDefault="00C95BBD" w:rsidP="00C95BBD">
      <w:pPr>
        <w:jc w:val="both"/>
        <w:rPr>
          <w:rFonts w:ascii="Arial" w:hAnsi="Arial" w:cs="Arial"/>
          <w:sz w:val="20"/>
          <w:szCs w:val="20"/>
        </w:rPr>
      </w:pPr>
      <w:r w:rsidRPr="00AD7332">
        <w:rPr>
          <w:rFonts w:ascii="Arial" w:hAnsi="Arial" w:cs="Arial"/>
          <w:sz w:val="20"/>
          <w:szCs w:val="20"/>
        </w:rPr>
        <w:t>This chapter focuses on the analysis and discussion of key findings from a systematic review of literature. Table 1</w:t>
      </w:r>
      <w:r w:rsidR="00DA145E" w:rsidRPr="00AD7332">
        <w:rPr>
          <w:rFonts w:ascii="Arial" w:hAnsi="Arial" w:cs="Arial"/>
          <w:sz w:val="20"/>
          <w:szCs w:val="20"/>
        </w:rPr>
        <w:t xml:space="preserve"> and</w:t>
      </w:r>
      <w:r w:rsidRPr="00AD7332">
        <w:rPr>
          <w:rFonts w:ascii="Arial" w:hAnsi="Arial" w:cs="Arial"/>
          <w:sz w:val="20"/>
          <w:szCs w:val="20"/>
        </w:rPr>
        <w:t xml:space="preserve"> 2 below summarize the themes of design and materials</w:t>
      </w:r>
      <w:r w:rsidR="00DA145E" w:rsidRPr="00AD7332">
        <w:rPr>
          <w:rFonts w:ascii="Arial" w:hAnsi="Arial" w:cs="Arial"/>
          <w:sz w:val="20"/>
          <w:szCs w:val="20"/>
        </w:rPr>
        <w:t xml:space="preserve"> and</w:t>
      </w:r>
      <w:r w:rsidRPr="00AD7332">
        <w:rPr>
          <w:rFonts w:ascii="Arial" w:hAnsi="Arial" w:cs="Arial"/>
          <w:sz w:val="20"/>
          <w:szCs w:val="20"/>
        </w:rPr>
        <w:t xml:space="preserve"> water efficiency, with relevant articles organized under each theme. Each entry is summarized to provide key insights pertinent to green buildings for climate change adaptation.</w:t>
      </w:r>
      <w:r w:rsidR="00DA145E" w:rsidRPr="00AD7332">
        <w:rPr>
          <w:rFonts w:ascii="Arial" w:hAnsi="Arial" w:cs="Arial"/>
          <w:sz w:val="20"/>
          <w:szCs w:val="20"/>
        </w:rPr>
        <w:t xml:space="preserve"> </w:t>
      </w:r>
    </w:p>
    <w:p w14:paraId="6BCE171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1:</w:t>
      </w:r>
      <w:r w:rsidRPr="00AD7332">
        <w:rPr>
          <w:rFonts w:ascii="Arial" w:hAnsi="Arial" w:cs="Arial"/>
          <w:sz w:val="20"/>
          <w:szCs w:val="20"/>
        </w:rPr>
        <w:t xml:space="preserve"> </w:t>
      </w:r>
      <w:r w:rsidRPr="00AD7332">
        <w:rPr>
          <w:rFonts w:ascii="Arial" w:hAnsi="Arial" w:cs="Arial"/>
          <w:b/>
          <w:bCs/>
          <w:sz w:val="20"/>
          <w:szCs w:val="20"/>
        </w:rPr>
        <w:t>Design and Materials</w:t>
      </w:r>
    </w:p>
    <w:p w14:paraId="5C57AF2F" w14:textId="77777777" w:rsidR="00C95BBD" w:rsidRDefault="00C95BBD" w:rsidP="00C95BBD">
      <w:pPr>
        <w:jc w:val="both"/>
        <w:rPr>
          <w:rFonts w:ascii="Arial" w:hAnsi="Arial" w:cs="Arial"/>
          <w:sz w:val="20"/>
          <w:szCs w:val="20"/>
        </w:rPr>
      </w:pPr>
      <w:r w:rsidRPr="00AD7332">
        <w:rPr>
          <w:rFonts w:ascii="Arial" w:hAnsi="Arial" w:cs="Arial"/>
          <w:sz w:val="20"/>
          <w:szCs w:val="20"/>
        </w:rPr>
        <w:t>Building design and construction materials have lasting impact on how well they cope with Ghana’s changing climate. Picking the right materials, thinking about their long-term effects, and having supportive policies can save energy, cut emissions, and make spaces more comfortable. Together, these approaches ensure buildings are both eco-friendly and well-suited to local conditions.</w:t>
      </w:r>
    </w:p>
    <w:p w14:paraId="456227A2" w14:textId="77777777" w:rsidR="005D687D" w:rsidRDefault="005D687D" w:rsidP="00C95BBD">
      <w:pPr>
        <w:jc w:val="both"/>
        <w:rPr>
          <w:rFonts w:ascii="Arial" w:hAnsi="Arial" w:cs="Arial"/>
          <w:sz w:val="20"/>
          <w:szCs w:val="20"/>
        </w:rPr>
      </w:pPr>
    </w:p>
    <w:p w14:paraId="024E4D5A" w14:textId="77777777" w:rsidR="005D687D" w:rsidRDefault="005D687D" w:rsidP="00C95BBD">
      <w:pPr>
        <w:jc w:val="both"/>
        <w:rPr>
          <w:rFonts w:ascii="Arial" w:hAnsi="Arial" w:cs="Arial"/>
          <w:sz w:val="20"/>
          <w:szCs w:val="20"/>
        </w:rPr>
      </w:pPr>
    </w:p>
    <w:p w14:paraId="6594CAFB" w14:textId="77777777" w:rsidR="005D687D" w:rsidRDefault="005D687D" w:rsidP="00C95BBD">
      <w:pPr>
        <w:jc w:val="both"/>
        <w:rPr>
          <w:rFonts w:ascii="Arial" w:hAnsi="Arial" w:cs="Arial"/>
          <w:sz w:val="20"/>
          <w:szCs w:val="20"/>
        </w:rPr>
      </w:pPr>
    </w:p>
    <w:p w14:paraId="4BA8455A" w14:textId="763A545E" w:rsidR="005D687D" w:rsidRPr="00AD7332" w:rsidRDefault="005D687D" w:rsidP="00C95BBD">
      <w:pPr>
        <w:jc w:val="both"/>
        <w:rPr>
          <w:rFonts w:ascii="Arial" w:hAnsi="Arial" w:cs="Arial"/>
          <w:sz w:val="20"/>
          <w:szCs w:val="20"/>
        </w:rPr>
      </w:pPr>
      <w:r>
        <w:rPr>
          <w:rFonts w:ascii="Arial" w:hAnsi="Arial" w:cs="Arial"/>
          <w:sz w:val="20"/>
          <w:szCs w:val="20"/>
        </w:rPr>
        <w:lastRenderedPageBreak/>
        <w:t xml:space="preserve">Table </w:t>
      </w:r>
      <w:r w:rsidR="00067507">
        <w:rPr>
          <w:rFonts w:ascii="Arial" w:hAnsi="Arial" w:cs="Arial"/>
          <w:sz w:val="20"/>
          <w:szCs w:val="20"/>
        </w:rPr>
        <w:t>1.</w:t>
      </w:r>
      <w:r w:rsidR="00CB3313">
        <w:rPr>
          <w:rFonts w:ascii="Arial" w:hAnsi="Arial" w:cs="Arial"/>
          <w:sz w:val="20"/>
          <w:szCs w:val="20"/>
        </w:rPr>
        <w:t xml:space="preserve"> Key </w:t>
      </w:r>
      <w:r w:rsidR="005F2FD5">
        <w:rPr>
          <w:rFonts w:ascii="Arial" w:hAnsi="Arial" w:cs="Arial"/>
          <w:sz w:val="20"/>
          <w:szCs w:val="20"/>
        </w:rPr>
        <w:t>syntheses</w:t>
      </w:r>
      <w:r w:rsidR="00CB3313">
        <w:rPr>
          <w:rFonts w:ascii="Arial" w:hAnsi="Arial" w:cs="Arial"/>
          <w:sz w:val="20"/>
          <w:szCs w:val="20"/>
        </w:rPr>
        <w:t xml:space="preserve"> from literature </w:t>
      </w:r>
      <w:r w:rsidR="005F2FD5">
        <w:rPr>
          <w:rFonts w:ascii="Arial" w:hAnsi="Arial" w:cs="Arial"/>
          <w:sz w:val="20"/>
          <w:szCs w:val="20"/>
        </w:rPr>
        <w:t xml:space="preserve">on </w:t>
      </w:r>
      <w:r w:rsidR="00F9328A">
        <w:rPr>
          <w:rFonts w:ascii="Arial" w:hAnsi="Arial" w:cs="Arial"/>
          <w:sz w:val="20"/>
          <w:szCs w:val="20"/>
        </w:rPr>
        <w:t>i</w:t>
      </w:r>
      <w:r w:rsidR="00F9328A" w:rsidRPr="005F2FD5">
        <w:rPr>
          <w:rFonts w:ascii="Arial" w:hAnsi="Arial" w:cs="Arial"/>
          <w:sz w:val="20"/>
          <w:szCs w:val="20"/>
        </w:rPr>
        <w:t xml:space="preserve">mpact </w:t>
      </w:r>
      <w:r w:rsidR="005F2FD5" w:rsidRPr="005F2FD5">
        <w:rPr>
          <w:rFonts w:ascii="Arial" w:hAnsi="Arial" w:cs="Arial"/>
          <w:sz w:val="20"/>
          <w:szCs w:val="20"/>
        </w:rPr>
        <w:t>of building design and construction materials on resilience to Ghana’s changing climate.</w:t>
      </w:r>
    </w:p>
    <w:tbl>
      <w:tblPr>
        <w:tblW w:w="0" w:type="auto"/>
        <w:tblCellSpacing w:w="15" w:type="dxa"/>
        <w:tblLook w:val="04A0" w:firstRow="1" w:lastRow="0" w:firstColumn="1" w:lastColumn="0" w:noHBand="0" w:noVBand="1"/>
      </w:tblPr>
      <w:tblGrid>
        <w:gridCol w:w="1367"/>
        <w:gridCol w:w="505"/>
        <w:gridCol w:w="1900"/>
        <w:gridCol w:w="1623"/>
        <w:gridCol w:w="2000"/>
        <w:gridCol w:w="1965"/>
      </w:tblGrid>
      <w:tr w:rsidR="00C95BBD" w:rsidRPr="00AD7332" w14:paraId="64B0D2F9" w14:textId="77777777" w:rsidTr="00C95BBD">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E87285"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27E26FE"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CAAAD79"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CDD493"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560C82C"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CEBFF5F"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C95BBD" w:rsidRPr="00AD7332" w14:paraId="0A3402DD"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E9A9723" w14:textId="77777777" w:rsidR="00C95BBD" w:rsidRPr="00AD7332" w:rsidRDefault="00C95BBD" w:rsidP="00C95BBD">
            <w:pPr>
              <w:rPr>
                <w:rFonts w:ascii="Arial" w:hAnsi="Arial" w:cs="Arial"/>
                <w:sz w:val="20"/>
                <w:szCs w:val="20"/>
              </w:rPr>
            </w:pPr>
            <w:r w:rsidRPr="00AD7332">
              <w:rPr>
                <w:rFonts w:ascii="Arial" w:hAnsi="Arial" w:cs="Arial"/>
                <w:sz w:val="20"/>
                <w:szCs w:val="20"/>
              </w:rPr>
              <w:t>Ali et 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BA4FD25"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2021</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3904FC7" w14:textId="77777777" w:rsidR="00C95BBD" w:rsidRPr="00AD7332" w:rsidRDefault="00C95BBD" w:rsidP="00C95BBD">
            <w:pPr>
              <w:rPr>
                <w:rFonts w:ascii="Arial" w:hAnsi="Arial" w:cs="Arial"/>
                <w:sz w:val="20"/>
                <w:szCs w:val="20"/>
              </w:rPr>
            </w:pPr>
            <w:r w:rsidRPr="00AD7332">
              <w:rPr>
                <w:rFonts w:ascii="Arial" w:hAnsi="Arial" w:cs="Arial"/>
                <w:sz w:val="20"/>
                <w:szCs w:val="20"/>
              </w:rPr>
              <w:t>Assess green economy implementation in Ghana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2516F3F" w14:textId="77777777" w:rsidR="00C95BBD" w:rsidRPr="00AD7332" w:rsidRDefault="00C95BBD" w:rsidP="00C95BBD">
            <w:pPr>
              <w:rPr>
                <w:rFonts w:ascii="Arial" w:hAnsi="Arial" w:cs="Arial"/>
                <w:sz w:val="20"/>
                <w:szCs w:val="20"/>
              </w:rPr>
            </w:pPr>
            <w:r w:rsidRPr="00AD7332">
              <w:rPr>
                <w:rFonts w:ascii="Arial" w:hAnsi="Arial" w:cs="Arial"/>
                <w:sz w:val="20"/>
                <w:szCs w:val="20"/>
              </w:rPr>
              <w:t>Policy and literature review</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9257138" w14:textId="77777777" w:rsidR="00C95BBD" w:rsidRPr="00AD7332" w:rsidRDefault="00C95BBD" w:rsidP="00C95BBD">
            <w:pPr>
              <w:rPr>
                <w:rFonts w:ascii="Arial" w:hAnsi="Arial" w:cs="Arial"/>
                <w:sz w:val="20"/>
                <w:szCs w:val="20"/>
              </w:rPr>
            </w:pPr>
            <w:r w:rsidRPr="00AD7332">
              <w:rPr>
                <w:rFonts w:ascii="Arial" w:hAnsi="Arial" w:cs="Arial"/>
                <w:sz w:val="20"/>
                <w:szCs w:val="20"/>
              </w:rPr>
              <w:t>Institutional support exists but adoption remains weak due to cost and capacity gaps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C754711" w14:textId="77777777" w:rsidR="00C95BBD" w:rsidRPr="00AD7332" w:rsidRDefault="00C95BBD" w:rsidP="00C95BBD">
            <w:pPr>
              <w:rPr>
                <w:rFonts w:ascii="Arial" w:hAnsi="Arial" w:cs="Arial"/>
                <w:sz w:val="20"/>
                <w:szCs w:val="20"/>
              </w:rPr>
            </w:pPr>
            <w:r w:rsidRPr="00AD7332">
              <w:rPr>
                <w:rFonts w:ascii="Arial" w:hAnsi="Arial" w:cs="Arial"/>
                <w:sz w:val="20"/>
                <w:szCs w:val="20"/>
              </w:rPr>
              <w:t>Highlights need for policy incentives to mainstream green building for adaptation</w:t>
            </w:r>
          </w:p>
        </w:tc>
      </w:tr>
      <w:tr w:rsidR="00C95BBD" w:rsidRPr="00AD7332" w14:paraId="41E6BFFE"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85E87CB" w14:textId="77777777" w:rsidR="00C95BBD" w:rsidRPr="00AD7332" w:rsidRDefault="00C95BBD" w:rsidP="00C95BBD">
            <w:pPr>
              <w:rPr>
                <w:rFonts w:ascii="Arial" w:hAnsi="Arial" w:cs="Arial"/>
                <w:sz w:val="20"/>
                <w:szCs w:val="20"/>
              </w:rPr>
            </w:pPr>
            <w:r w:rsidRPr="00AD7332">
              <w:rPr>
                <w:rFonts w:ascii="Arial" w:hAnsi="Arial" w:cs="Arial"/>
                <w:sz w:val="20"/>
                <w:szCs w:val="20"/>
              </w:rPr>
              <w:t>Ingrao et 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D8C305E"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2018</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62853C5" w14:textId="77777777" w:rsidR="00C95BBD" w:rsidRPr="00AD7332" w:rsidRDefault="00C95BBD" w:rsidP="00C95BBD">
            <w:pPr>
              <w:rPr>
                <w:rFonts w:ascii="Arial" w:hAnsi="Arial" w:cs="Arial"/>
                <w:sz w:val="20"/>
                <w:szCs w:val="20"/>
              </w:rPr>
            </w:pPr>
            <w:r w:rsidRPr="00AD7332">
              <w:rPr>
                <w:rFonts w:ascii="Arial" w:hAnsi="Arial" w:cs="Arial"/>
                <w:sz w:val="20"/>
                <w:szCs w:val="20"/>
              </w:rPr>
              <w:t>Explore life-cycle approaches for sustainable buildings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422B3AB" w14:textId="77777777" w:rsidR="00C95BBD" w:rsidRPr="00AD7332" w:rsidRDefault="00C95BBD" w:rsidP="00C95BBD">
            <w:pPr>
              <w:rPr>
                <w:rFonts w:ascii="Arial" w:hAnsi="Arial" w:cs="Arial"/>
                <w:sz w:val="20"/>
                <w:szCs w:val="20"/>
              </w:rPr>
            </w:pPr>
            <w:r w:rsidRPr="00AD7332">
              <w:rPr>
                <w:rFonts w:ascii="Arial" w:hAnsi="Arial" w:cs="Arial"/>
                <w:sz w:val="20"/>
                <w:szCs w:val="20"/>
              </w:rPr>
              <w:t>Review of life-cycle assessment studies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253476A" w14:textId="77777777" w:rsidR="00C95BBD" w:rsidRPr="00AD7332" w:rsidRDefault="00C95BBD" w:rsidP="00C95BBD">
            <w:pPr>
              <w:rPr>
                <w:rFonts w:ascii="Arial" w:hAnsi="Arial" w:cs="Arial"/>
                <w:sz w:val="20"/>
                <w:szCs w:val="20"/>
              </w:rPr>
            </w:pPr>
            <w:r w:rsidRPr="00AD7332">
              <w:rPr>
                <w:rFonts w:ascii="Arial" w:hAnsi="Arial" w:cs="Arial"/>
                <w:sz w:val="20"/>
                <w:szCs w:val="20"/>
              </w:rPr>
              <w:t>Life-cycle thinking improves energy, water, and material efficiency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FE7925D" w14:textId="77777777" w:rsidR="00C95BBD" w:rsidRPr="00AD7332" w:rsidRDefault="00C95BBD" w:rsidP="00C95BBD">
            <w:pPr>
              <w:rPr>
                <w:rFonts w:ascii="Arial" w:hAnsi="Arial" w:cs="Arial"/>
                <w:sz w:val="20"/>
                <w:szCs w:val="20"/>
              </w:rPr>
            </w:pPr>
            <w:r w:rsidRPr="00AD7332">
              <w:rPr>
                <w:rFonts w:ascii="Arial" w:hAnsi="Arial" w:cs="Arial"/>
                <w:sz w:val="20"/>
                <w:szCs w:val="20"/>
              </w:rPr>
              <w:t>Provides framework for designing climate-resilient buildings in Ghana</w:t>
            </w:r>
          </w:p>
        </w:tc>
      </w:tr>
      <w:tr w:rsidR="00C95BBD" w:rsidRPr="00AD7332" w14:paraId="1E9567FA" w14:textId="77777777" w:rsidTr="00C95BBD">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C6054AE" w14:textId="77777777" w:rsidR="00C95BBD" w:rsidRPr="00AD7332" w:rsidRDefault="00C95BBD" w:rsidP="00C95BBD">
            <w:pPr>
              <w:rPr>
                <w:rFonts w:ascii="Arial" w:hAnsi="Arial" w:cs="Arial"/>
                <w:sz w:val="20"/>
                <w:szCs w:val="20"/>
              </w:rPr>
            </w:pPr>
            <w:r w:rsidRPr="00AD7332">
              <w:rPr>
                <w:rFonts w:ascii="Arial" w:hAnsi="Arial" w:cs="Arial"/>
                <w:sz w:val="20"/>
                <w:szCs w:val="20"/>
              </w:rPr>
              <w:t>Ahmadizadeh 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69D7626"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2024</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CA489B" w14:textId="77777777" w:rsidR="00C95BBD" w:rsidRPr="00AD7332" w:rsidRDefault="00C95BBD" w:rsidP="00C95BBD">
            <w:pPr>
              <w:rPr>
                <w:rFonts w:ascii="Arial" w:hAnsi="Arial" w:cs="Arial"/>
                <w:sz w:val="20"/>
                <w:szCs w:val="20"/>
              </w:rPr>
            </w:pPr>
            <w:r w:rsidRPr="00AD7332">
              <w:rPr>
                <w:rFonts w:ascii="Arial" w:hAnsi="Arial" w:cs="Arial"/>
                <w:sz w:val="20"/>
                <w:szCs w:val="20"/>
              </w:rPr>
              <w:t>Investigate sustainable building materials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5009A5" w14:textId="77777777" w:rsidR="00C95BBD" w:rsidRPr="00AD7332" w:rsidRDefault="00C95BBD" w:rsidP="00C95BBD">
            <w:pPr>
              <w:rPr>
                <w:rFonts w:ascii="Arial" w:hAnsi="Arial" w:cs="Arial"/>
                <w:sz w:val="20"/>
                <w:szCs w:val="20"/>
              </w:rPr>
            </w:pPr>
            <w:r w:rsidRPr="00AD7332">
              <w:rPr>
                <w:rFonts w:ascii="Arial" w:hAnsi="Arial" w:cs="Arial"/>
                <w:sz w:val="20"/>
                <w:szCs w:val="20"/>
              </w:rPr>
              <w:t>Technical and case-based review</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18EE6A5" w14:textId="77777777" w:rsidR="00C95BBD" w:rsidRPr="00AD7332" w:rsidRDefault="00C95BBD" w:rsidP="00C95BBD">
            <w:pPr>
              <w:rPr>
                <w:rFonts w:ascii="Arial" w:hAnsi="Arial" w:cs="Arial"/>
                <w:sz w:val="20"/>
                <w:szCs w:val="20"/>
              </w:rPr>
            </w:pPr>
            <w:r w:rsidRPr="00AD7332">
              <w:rPr>
                <w:rFonts w:ascii="Arial" w:hAnsi="Arial" w:cs="Arial"/>
                <w:sz w:val="20"/>
                <w:szCs w:val="20"/>
              </w:rPr>
              <w:t>Sustainable materials reduce emissions and improve thermal comfort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2332168" w14:textId="77777777" w:rsidR="00C95BBD" w:rsidRPr="00AD7332" w:rsidRDefault="00C95BBD" w:rsidP="00C95BBD">
            <w:pPr>
              <w:rPr>
                <w:rFonts w:ascii="Arial" w:hAnsi="Arial" w:cs="Arial"/>
                <w:sz w:val="20"/>
                <w:szCs w:val="20"/>
              </w:rPr>
            </w:pPr>
            <w:r w:rsidRPr="00AD7332">
              <w:rPr>
                <w:rFonts w:ascii="Arial" w:hAnsi="Arial" w:cs="Arial"/>
                <w:sz w:val="20"/>
                <w:szCs w:val="20"/>
              </w:rPr>
              <w:t>Reinforces use of climate-appropriate materials for Ghanaian conditions</w:t>
            </w:r>
          </w:p>
        </w:tc>
      </w:tr>
    </w:tbl>
    <w:p w14:paraId="64C2A973" w14:textId="43417E4E"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1AEB937F"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2: Energy Efficiency and Renewable Energy</w:t>
      </w:r>
    </w:p>
    <w:p w14:paraId="5A86262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Research on energy efficiency and renewable energy consistently shows how vital they are for building climate-responsive systems in Ghana. Earlier work by Owusu and Asumadu-Sarkodie (2016) explains that expanding the use of renewable energy, particularly solar power, can strengthen energy security and reduce exposure to climate risks by easing reliance on an unreliable national grid. In a related vein, Cohen et al. (2021) demonstrate that buildings designed to meet net-zero and high energy-efficiency standards not only cut emissions but also reduce long-term operating costs, making sustainability both environmentally and economically sensible. More recent contributions by Owusu-Manu et al. (2023) further show that energy-efficient construction enhances a building’s ability to adapt to climate stress, offering practical approaches for assessing and improving the climate resilience of green buildings in Ghana.</w:t>
      </w:r>
    </w:p>
    <w:p w14:paraId="6771CCA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3: Water Efficiency</w:t>
      </w:r>
    </w:p>
    <w:p w14:paraId="13C41402" w14:textId="38078447" w:rsidR="00C95BBD" w:rsidRDefault="00C95BBD" w:rsidP="00C95BBD">
      <w:pPr>
        <w:jc w:val="both"/>
        <w:rPr>
          <w:rFonts w:ascii="Arial" w:hAnsi="Arial" w:cs="Arial"/>
          <w:sz w:val="20"/>
          <w:szCs w:val="20"/>
        </w:rPr>
      </w:pPr>
      <w:r w:rsidRPr="00AD7332">
        <w:rPr>
          <w:rFonts w:ascii="Arial" w:hAnsi="Arial" w:cs="Arial"/>
          <w:sz w:val="20"/>
          <w:szCs w:val="20"/>
        </w:rPr>
        <w:t>Water efficiency is essential for sustainable and climate-resilient buildings, especially in Ghana where rainfall is unpredictable. Efficient water uses not only conserves resources but also enhances building performance and resilience. Strategies like rainwater harvesting and greywater reuse help support both sustainability and climate adaptation.</w:t>
      </w:r>
    </w:p>
    <w:p w14:paraId="031FEFC7" w14:textId="1FA10734" w:rsidR="005D687D" w:rsidRPr="00AD7332" w:rsidRDefault="005D687D" w:rsidP="00C95BBD">
      <w:pPr>
        <w:jc w:val="both"/>
        <w:rPr>
          <w:rFonts w:ascii="Arial" w:hAnsi="Arial" w:cs="Arial"/>
          <w:sz w:val="20"/>
          <w:szCs w:val="20"/>
        </w:rPr>
      </w:pPr>
      <w:r w:rsidRPr="005D687D">
        <w:rPr>
          <w:rFonts w:ascii="Arial" w:hAnsi="Arial" w:cs="Arial"/>
          <w:sz w:val="20"/>
          <w:szCs w:val="20"/>
        </w:rPr>
        <w:t>Table</w:t>
      </w:r>
      <w:r w:rsidR="00067507">
        <w:rPr>
          <w:rFonts w:ascii="Arial" w:hAnsi="Arial" w:cs="Arial"/>
          <w:sz w:val="20"/>
          <w:szCs w:val="20"/>
        </w:rPr>
        <w:t xml:space="preserve"> 2.</w:t>
      </w:r>
      <w:r w:rsidR="009A16F4">
        <w:rPr>
          <w:rFonts w:ascii="Arial" w:hAnsi="Arial" w:cs="Arial"/>
          <w:sz w:val="20"/>
          <w:szCs w:val="20"/>
        </w:rPr>
        <w:t xml:space="preserve"> </w:t>
      </w:r>
      <w:r w:rsidR="009A16F4" w:rsidRPr="009A16F4">
        <w:rPr>
          <w:rFonts w:ascii="Arial" w:hAnsi="Arial" w:cs="Arial"/>
          <w:sz w:val="20"/>
          <w:szCs w:val="20"/>
        </w:rPr>
        <w:t>K</w:t>
      </w:r>
      <w:r w:rsidR="009C40FB">
        <w:rPr>
          <w:rFonts w:ascii="Arial" w:hAnsi="Arial" w:cs="Arial"/>
          <w:sz w:val="20"/>
          <w:szCs w:val="20"/>
        </w:rPr>
        <w:t xml:space="preserve">ey syntheses from literature on </w:t>
      </w:r>
      <w:r w:rsidR="00E74560">
        <w:rPr>
          <w:rFonts w:ascii="Arial" w:hAnsi="Arial" w:cs="Arial"/>
          <w:sz w:val="20"/>
          <w:szCs w:val="20"/>
        </w:rPr>
        <w:t xml:space="preserve">building designs and </w:t>
      </w:r>
      <w:r w:rsidR="005C62EC" w:rsidRPr="005C62EC">
        <w:rPr>
          <w:rFonts w:ascii="Arial" w:hAnsi="Arial" w:cs="Arial"/>
          <w:sz w:val="20"/>
          <w:szCs w:val="20"/>
        </w:rPr>
        <w:t>water-related climate resilience relevant to Ghana</w:t>
      </w:r>
      <w:r w:rsidR="009C40FB" w:rsidRPr="009C40FB">
        <w:rPr>
          <w:rFonts w:ascii="Arial" w:hAnsi="Arial" w:cs="Arial"/>
          <w:sz w:val="20"/>
          <w:szCs w:val="20"/>
        </w:rPr>
        <w:t xml:space="preserve"> </w:t>
      </w:r>
    </w:p>
    <w:tbl>
      <w:tblPr>
        <w:tblW w:w="0" w:type="auto"/>
        <w:tblCellSpacing w:w="15" w:type="dxa"/>
        <w:tblLook w:val="04A0" w:firstRow="1" w:lastRow="0" w:firstColumn="1" w:lastColumn="0" w:noHBand="0" w:noVBand="1"/>
      </w:tblPr>
      <w:tblGrid>
        <w:gridCol w:w="1093"/>
        <w:gridCol w:w="505"/>
        <w:gridCol w:w="2011"/>
        <w:gridCol w:w="1738"/>
        <w:gridCol w:w="2118"/>
        <w:gridCol w:w="1895"/>
      </w:tblGrid>
      <w:tr w:rsidR="00C95BBD" w:rsidRPr="00AD7332" w14:paraId="0303FDAF" w14:textId="77777777" w:rsidTr="00C95BBD">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4404A32"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16B4638"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B7194F4"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F6C40D7"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70036AB"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E3E31AA"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C95BBD" w:rsidRPr="00AD7332" w14:paraId="7D2F9112"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B27DB85" w14:textId="77777777" w:rsidR="00C95BBD" w:rsidRPr="00AD7332" w:rsidRDefault="00C95BBD" w:rsidP="00C95BBD">
            <w:pPr>
              <w:rPr>
                <w:rFonts w:ascii="Arial" w:hAnsi="Arial" w:cs="Arial"/>
                <w:sz w:val="20"/>
                <w:szCs w:val="20"/>
              </w:rPr>
            </w:pPr>
            <w:r w:rsidRPr="00AD7332">
              <w:rPr>
                <w:rFonts w:ascii="Arial" w:hAnsi="Arial" w:cs="Arial"/>
                <w:sz w:val="20"/>
                <w:szCs w:val="20"/>
              </w:rPr>
              <w:t>Misra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31D58F5"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2014</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7EA7F1B" w14:textId="77777777" w:rsidR="00C95BBD" w:rsidRPr="00AD7332" w:rsidRDefault="00C95BBD" w:rsidP="00C95BBD">
            <w:pPr>
              <w:rPr>
                <w:rFonts w:ascii="Arial" w:hAnsi="Arial" w:cs="Arial"/>
                <w:sz w:val="20"/>
                <w:szCs w:val="20"/>
              </w:rPr>
            </w:pPr>
            <w:r w:rsidRPr="00AD7332">
              <w:rPr>
                <w:rFonts w:ascii="Arial" w:hAnsi="Arial" w:cs="Arial"/>
                <w:sz w:val="20"/>
                <w:szCs w:val="20"/>
              </w:rPr>
              <w:t>Examine climate change impacts on water and food security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A1AE8F3" w14:textId="77777777" w:rsidR="00C95BBD" w:rsidRPr="00AD7332" w:rsidRDefault="00C95BBD" w:rsidP="00C95BBD">
            <w:pPr>
              <w:rPr>
                <w:rFonts w:ascii="Arial" w:hAnsi="Arial" w:cs="Arial"/>
                <w:sz w:val="20"/>
                <w:szCs w:val="20"/>
              </w:rPr>
            </w:pPr>
            <w:r w:rsidRPr="00AD7332">
              <w:rPr>
                <w:rFonts w:ascii="Arial" w:hAnsi="Arial" w:cs="Arial"/>
                <w:sz w:val="20"/>
                <w:szCs w:val="20"/>
              </w:rPr>
              <w:t>Analytical review of climate–water linkages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567B0AF" w14:textId="77777777" w:rsidR="00C95BBD" w:rsidRPr="00AD7332" w:rsidRDefault="00C95BBD" w:rsidP="00C95BBD">
            <w:pPr>
              <w:rPr>
                <w:rFonts w:ascii="Arial" w:hAnsi="Arial" w:cs="Arial"/>
                <w:sz w:val="20"/>
                <w:szCs w:val="20"/>
              </w:rPr>
            </w:pPr>
            <w:r w:rsidRPr="00AD7332">
              <w:rPr>
                <w:rFonts w:ascii="Arial" w:hAnsi="Arial" w:cs="Arial"/>
                <w:sz w:val="20"/>
                <w:szCs w:val="20"/>
              </w:rPr>
              <w:t>Climate change intensifies water scarcity; efficient use is critical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5F1ED76" w14:textId="77777777" w:rsidR="00C95BBD" w:rsidRPr="00AD7332" w:rsidRDefault="00C95BBD" w:rsidP="00C95BBD">
            <w:pPr>
              <w:rPr>
                <w:rFonts w:ascii="Arial" w:hAnsi="Arial" w:cs="Arial"/>
                <w:sz w:val="20"/>
                <w:szCs w:val="20"/>
              </w:rPr>
            </w:pPr>
            <w:r w:rsidRPr="00AD7332">
              <w:rPr>
                <w:rFonts w:ascii="Arial" w:hAnsi="Arial" w:cs="Arial"/>
                <w:sz w:val="20"/>
                <w:szCs w:val="20"/>
              </w:rPr>
              <w:t xml:space="preserve">Supports water-efficient building design amid </w:t>
            </w:r>
            <w:r w:rsidRPr="00AD7332">
              <w:rPr>
                <w:rFonts w:ascii="Arial" w:hAnsi="Arial" w:cs="Arial"/>
                <w:sz w:val="20"/>
                <w:szCs w:val="20"/>
              </w:rPr>
              <w:lastRenderedPageBreak/>
              <w:t>Ghana’s erratic rainfall</w:t>
            </w:r>
          </w:p>
        </w:tc>
      </w:tr>
      <w:tr w:rsidR="00C95BBD" w:rsidRPr="00AD7332" w14:paraId="11A75754" w14:textId="77777777" w:rsidTr="00C95BBD">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4DD4B23" w14:textId="77777777" w:rsidR="00C95BBD" w:rsidRPr="00AD7332" w:rsidRDefault="00C95BBD" w:rsidP="00C95BBD">
            <w:pPr>
              <w:rPr>
                <w:rFonts w:ascii="Arial" w:hAnsi="Arial" w:cs="Arial"/>
                <w:sz w:val="20"/>
                <w:szCs w:val="20"/>
              </w:rPr>
            </w:pPr>
            <w:r w:rsidRPr="00AD7332">
              <w:rPr>
                <w:rFonts w:ascii="Arial" w:hAnsi="Arial" w:cs="Arial"/>
                <w:sz w:val="20"/>
                <w:szCs w:val="20"/>
              </w:rPr>
              <w:lastRenderedPageBreak/>
              <w:t>Ingrao 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8985142"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2018</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6723F1E" w14:textId="77777777" w:rsidR="00C95BBD" w:rsidRPr="00AD7332" w:rsidRDefault="00C95BBD" w:rsidP="00C95BBD">
            <w:pPr>
              <w:rPr>
                <w:rFonts w:ascii="Arial" w:hAnsi="Arial" w:cs="Arial"/>
                <w:sz w:val="20"/>
                <w:szCs w:val="20"/>
              </w:rPr>
            </w:pPr>
            <w:r w:rsidRPr="00AD7332">
              <w:rPr>
                <w:rFonts w:ascii="Arial" w:hAnsi="Arial" w:cs="Arial"/>
                <w:sz w:val="20"/>
                <w:szCs w:val="20"/>
              </w:rPr>
              <w:t>Assess how life-cycle tools improve building sustainability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EC628D" w14:textId="77777777" w:rsidR="00C95BBD" w:rsidRPr="00AD7332" w:rsidRDefault="00C95BBD" w:rsidP="00C95BBD">
            <w:pPr>
              <w:rPr>
                <w:rFonts w:ascii="Arial" w:hAnsi="Arial" w:cs="Arial"/>
                <w:sz w:val="20"/>
                <w:szCs w:val="20"/>
              </w:rPr>
            </w:pPr>
            <w:r w:rsidRPr="00AD7332">
              <w:rPr>
                <w:rFonts w:ascii="Arial" w:hAnsi="Arial" w:cs="Arial"/>
                <w:sz w:val="20"/>
                <w:szCs w:val="20"/>
              </w:rPr>
              <w:t>Life Cycle Assessment (LCA) analysis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8D9057" w14:textId="77777777" w:rsidR="00C95BBD" w:rsidRPr="00AD7332" w:rsidRDefault="00C95BBD" w:rsidP="00C95BBD">
            <w:pPr>
              <w:rPr>
                <w:rFonts w:ascii="Arial" w:hAnsi="Arial" w:cs="Arial"/>
                <w:sz w:val="20"/>
                <w:szCs w:val="20"/>
              </w:rPr>
            </w:pPr>
            <w:r w:rsidRPr="00AD7332">
              <w:rPr>
                <w:rFonts w:ascii="Arial" w:hAnsi="Arial" w:cs="Arial"/>
                <w:sz w:val="20"/>
                <w:szCs w:val="20"/>
              </w:rPr>
              <w:t>Water-saving strategies reduce environmental burdens across building life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BE740A2" w14:textId="77777777" w:rsidR="00C95BBD" w:rsidRPr="00AD7332" w:rsidRDefault="00C95BBD" w:rsidP="00C95BBD">
            <w:pPr>
              <w:rPr>
                <w:rFonts w:ascii="Arial" w:hAnsi="Arial" w:cs="Arial"/>
                <w:sz w:val="20"/>
                <w:szCs w:val="20"/>
              </w:rPr>
            </w:pPr>
            <w:r w:rsidRPr="00AD7332">
              <w:rPr>
                <w:rFonts w:ascii="Arial" w:hAnsi="Arial" w:cs="Arial"/>
                <w:sz w:val="20"/>
                <w:szCs w:val="20"/>
              </w:rPr>
              <w:t>Justifies rainwater harvesting and greywater reuse in Ghanaian buildings</w:t>
            </w:r>
          </w:p>
        </w:tc>
      </w:tr>
      <w:tr w:rsidR="00C95BBD" w:rsidRPr="00AD7332" w14:paraId="7E5A4B89" w14:textId="77777777" w:rsidTr="00C95BBD">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BCDE823" w14:textId="77777777" w:rsidR="00C95BBD" w:rsidRPr="00AD7332" w:rsidRDefault="00C95BBD" w:rsidP="00C95BBD">
            <w:pPr>
              <w:rPr>
                <w:rFonts w:ascii="Arial" w:hAnsi="Arial" w:cs="Arial"/>
                <w:sz w:val="20"/>
                <w:szCs w:val="20"/>
              </w:rPr>
            </w:pPr>
            <w:r w:rsidRPr="00AD7332">
              <w:rPr>
                <w:rFonts w:ascii="Arial" w:hAnsi="Arial" w:cs="Arial"/>
                <w:sz w:val="20"/>
                <w:szCs w:val="20"/>
              </w:rPr>
              <w:t>Owusu-Manu et al.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54F7084"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39C3DB6" w14:textId="77777777" w:rsidR="00C95BBD" w:rsidRPr="00AD7332" w:rsidRDefault="00C95BBD" w:rsidP="00C95BBD">
            <w:pPr>
              <w:rPr>
                <w:rFonts w:ascii="Arial" w:hAnsi="Arial" w:cs="Arial"/>
                <w:sz w:val="20"/>
                <w:szCs w:val="20"/>
              </w:rPr>
            </w:pPr>
            <w:r w:rsidRPr="00AD7332">
              <w:rPr>
                <w:rFonts w:ascii="Arial" w:hAnsi="Arial" w:cs="Arial"/>
                <w:sz w:val="20"/>
                <w:szCs w:val="20"/>
              </w:rPr>
              <w:t>Develop framework for environmental performance in construction</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BF84D14" w14:textId="77777777" w:rsidR="00C95BBD" w:rsidRPr="00AD7332" w:rsidRDefault="00C95BBD" w:rsidP="00C95BBD">
            <w:pPr>
              <w:rPr>
                <w:rFonts w:ascii="Arial" w:hAnsi="Arial" w:cs="Arial"/>
                <w:sz w:val="20"/>
                <w:szCs w:val="20"/>
              </w:rPr>
            </w:pPr>
            <w:r w:rsidRPr="00AD7332">
              <w:rPr>
                <w:rFonts w:ascii="Arial" w:hAnsi="Arial" w:cs="Arial"/>
                <w:sz w:val="20"/>
                <w:szCs w:val="20"/>
              </w:rPr>
              <w:t>Framework development with empirical testing</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FB1C98F" w14:textId="77777777" w:rsidR="00C95BBD" w:rsidRPr="00AD7332" w:rsidRDefault="00C95BBD" w:rsidP="00C95BBD">
            <w:pPr>
              <w:rPr>
                <w:rFonts w:ascii="Arial" w:hAnsi="Arial" w:cs="Arial"/>
                <w:sz w:val="20"/>
                <w:szCs w:val="20"/>
              </w:rPr>
            </w:pPr>
            <w:r w:rsidRPr="00AD7332">
              <w:rPr>
                <w:rFonts w:ascii="Arial" w:hAnsi="Arial" w:cs="Arial"/>
                <w:sz w:val="20"/>
                <w:szCs w:val="20"/>
              </w:rPr>
              <w:t>Water efficiency improves resilience and environmental performance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28E763A" w14:textId="77777777" w:rsidR="00C95BBD" w:rsidRPr="00AD7332" w:rsidRDefault="00C95BBD" w:rsidP="00C95BBD">
            <w:pPr>
              <w:rPr>
                <w:rFonts w:ascii="Arial" w:hAnsi="Arial" w:cs="Arial"/>
                <w:sz w:val="20"/>
                <w:szCs w:val="20"/>
              </w:rPr>
            </w:pPr>
            <w:r w:rsidRPr="00AD7332">
              <w:rPr>
                <w:rFonts w:ascii="Arial" w:hAnsi="Arial" w:cs="Arial"/>
                <w:sz w:val="20"/>
                <w:szCs w:val="20"/>
              </w:rPr>
              <w:t>Provides metrics to assess adaptive capacity of green buildings in Ghana</w:t>
            </w:r>
          </w:p>
        </w:tc>
      </w:tr>
    </w:tbl>
    <w:p w14:paraId="6910B703" w14:textId="6A36EBAA"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4149CBD3"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4: Waste Management</w:t>
      </w:r>
    </w:p>
    <w:p w14:paraId="471D4068" w14:textId="570E7FD8" w:rsidR="00C95BBD" w:rsidRPr="00AD7332" w:rsidRDefault="00C95BBD" w:rsidP="00C95BBD">
      <w:pPr>
        <w:jc w:val="both"/>
        <w:rPr>
          <w:rFonts w:ascii="Arial" w:hAnsi="Arial" w:cs="Arial"/>
          <w:b/>
          <w:bCs/>
          <w:sz w:val="20"/>
          <w:szCs w:val="20"/>
        </w:rPr>
      </w:pPr>
      <w:r w:rsidRPr="00AD7332">
        <w:rPr>
          <w:rFonts w:ascii="Arial" w:hAnsi="Arial" w:cs="Arial"/>
          <w:sz w:val="20"/>
          <w:szCs w:val="20"/>
        </w:rPr>
        <w:t xml:space="preserve">Research on waste management shows just how important it is for creating sustainable and climate-resilient buildings, especially in fast-growing cities like those in Ghana. Ahmadizadeh et al. (2024) point out that using materials more efficiently and recycling during construction can greatly cut down on waste, providing practical ways to tackle the growing trash problem in urban areas. Similarly, Ingrao et al. (2018) highlight </w:t>
      </w:r>
      <w:r w:rsidR="00490692" w:rsidRPr="00AD7332">
        <w:rPr>
          <w:rFonts w:ascii="Arial" w:hAnsi="Arial" w:cs="Arial"/>
          <w:sz w:val="20"/>
          <w:szCs w:val="20"/>
        </w:rPr>
        <w:t>those careful choices</w:t>
      </w:r>
      <w:r w:rsidRPr="00AD7332">
        <w:rPr>
          <w:rFonts w:ascii="Arial" w:hAnsi="Arial" w:cs="Arial"/>
          <w:sz w:val="20"/>
          <w:szCs w:val="20"/>
        </w:rPr>
        <w:t xml:space="preserve"> in design and materials, considered over a building’s entire life, can significantly reduce waste, supporting the idea of circular construction where resources are reused and nothing is wasted. In Ghana, Ali et al. (2021) stress that reducing waste is not just about construction—it is key to building a green economy, connecting sustainable building practices with the country’s long-term goals for growth and resilience.</w:t>
      </w:r>
      <w:r w:rsidRPr="00AD7332">
        <w:rPr>
          <w:rFonts w:ascii="Arial" w:hAnsi="Arial" w:cs="Arial"/>
          <w:sz w:val="20"/>
          <w:szCs w:val="20"/>
        </w:rPr>
        <w:br/>
      </w:r>
      <w:r w:rsidRPr="00AD7332">
        <w:rPr>
          <w:rFonts w:ascii="Arial" w:hAnsi="Arial" w:cs="Arial"/>
          <w:b/>
          <w:bCs/>
          <w:sz w:val="20"/>
          <w:szCs w:val="20"/>
        </w:rPr>
        <w:t>4.1 Design and Materials</w:t>
      </w:r>
    </w:p>
    <w:p w14:paraId="483CBF0E"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Across the literature, there is strong agreement that building design and material selection are foundational to climate adaptation, yet authors differ in the emphasis they place on </w:t>
      </w:r>
      <w:r w:rsidRPr="00AD7332">
        <w:rPr>
          <w:rFonts w:ascii="Arial" w:hAnsi="Arial" w:cs="Arial"/>
          <w:i/>
          <w:iCs/>
          <w:sz w:val="20"/>
          <w:szCs w:val="20"/>
        </w:rPr>
        <w:t>contextual integration</w:t>
      </w:r>
      <w:r w:rsidRPr="00AD7332">
        <w:rPr>
          <w:rFonts w:ascii="Arial" w:hAnsi="Arial" w:cs="Arial"/>
          <w:sz w:val="20"/>
          <w:szCs w:val="20"/>
        </w:rPr>
        <w:t xml:space="preserve"> versus </w:t>
      </w:r>
      <w:r w:rsidRPr="00AD7332">
        <w:rPr>
          <w:rFonts w:ascii="Arial" w:hAnsi="Arial" w:cs="Arial"/>
          <w:i/>
          <w:iCs/>
          <w:sz w:val="20"/>
          <w:szCs w:val="20"/>
        </w:rPr>
        <w:t>technical efficiency</w:t>
      </w:r>
      <w:r w:rsidRPr="00AD7332">
        <w:rPr>
          <w:rFonts w:ascii="Arial" w:hAnsi="Arial" w:cs="Arial"/>
          <w:sz w:val="20"/>
          <w:szCs w:val="20"/>
        </w:rPr>
        <w:t xml:space="preserve">. Adenle et al. </w:t>
      </w:r>
      <w:commentRangeStart w:id="4"/>
      <w:r w:rsidRPr="00AD7332">
        <w:rPr>
          <w:rFonts w:ascii="Arial" w:hAnsi="Arial" w:cs="Arial"/>
          <w:sz w:val="20"/>
          <w:szCs w:val="20"/>
        </w:rPr>
        <w:t>(2017</w:t>
      </w:r>
      <w:commentRangeEnd w:id="4"/>
      <w:r w:rsidR="003E2727" w:rsidRPr="00AD7332">
        <w:rPr>
          <w:rStyle w:val="CommentReference"/>
          <w:rFonts w:ascii="Arial" w:hAnsi="Arial" w:cs="Arial"/>
          <w:sz w:val="20"/>
          <w:szCs w:val="20"/>
        </w:rPr>
        <w:commentReference w:id="4"/>
      </w:r>
      <w:r w:rsidRPr="00AD7332">
        <w:rPr>
          <w:rFonts w:ascii="Arial" w:hAnsi="Arial" w:cs="Arial"/>
          <w:sz w:val="20"/>
          <w:szCs w:val="20"/>
        </w:rPr>
        <w:t xml:space="preserve">) frame adaptation primarily as a development-planning issue, arguing that Africa’s vulnerability stems from weak integration of climate considerations into infrastructure and urban design. Their macro-level perspective contrasts with Ahmadizadeh et al. (2024), who adopt a more technical stance by demonstrating how sustainable and climate-appropriate materials directly enhance thermal comfort and reduce exposure to heat stress. </w:t>
      </w:r>
    </w:p>
    <w:p w14:paraId="5D7A5DCA"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Ingrao et al. (2018) bridge these positions by introducing life-cycle thinking, emphasizing that adaptation benefits emerge not only from material choice but from considering environmental impacts across a building’s entire lifespan. This approach aligns closely with Owusu-Manu et al. (2023), who empirically show that green construction practices improve both environmental and adaptive performance when evaluated using structured performance metrics. While these studies converge on the adaptive value of green materials, they differ in scale: some focus on policy and frameworks, while others emphasize building-level performance. </w:t>
      </w:r>
    </w:p>
    <w:p w14:paraId="3A6D0931"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In the Ghanaian context, this comparison reveals an important insight. Traditional construction methods, often driven by low initial costs, prioritize concrete and steel without regard to long-term thermal performance or climate resilience. By contrast, locally available materials such as laterite blocks, compressed earth, and bamboo, highlighted by Ahmadizadeh et al. (2024), offer both affordability and climatic suitability. However, Ali et al. (2021) caution that despite institutional support for green practices in Ghana, adoption remains limited due to weak incentives and capacity constraints. This suggests that while design and material-based adaptation is technically viable, its effectiveness depends on stronger policy </w:t>
      </w:r>
      <w:r w:rsidRPr="00AD7332">
        <w:rPr>
          <w:rFonts w:ascii="Arial" w:hAnsi="Arial" w:cs="Arial"/>
          <w:sz w:val="20"/>
          <w:szCs w:val="20"/>
        </w:rPr>
        <w:lastRenderedPageBreak/>
        <w:t>alignment and professional capacity building. Overall, the literature collectively demonstrates that climate-responsive design and material selection are among the most cost-effective adaptation strategies. Yet, the contrast between theoretical potential and practical uptake in Ghana highlights the need for policies that mainstream climate-responsive design as a standard rather than an alternative option.</w:t>
      </w:r>
    </w:p>
    <w:p w14:paraId="04066B7B"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4.2 Efficient and Renewable Energy</w:t>
      </w:r>
    </w:p>
    <w:p w14:paraId="0555F686"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The reviewed studies consistently identify energy efficiency and renewable energy as central to both mitigation and adaptation, though they differ in how they frame resilience outcomes. Owusu and Asumadu-Sarkodie (2016) emphasize renewable energy from a national energy security perspective, arguing that decentralized systems such as solar power reduce vulnerability to climate-induced power disruptions. Their argument is reinforced by Cohen et al. (2021), whose empirical analysis shows that energy-efficient and net-zero buildings significantly lower operational costs and emissions while enhancing resilience during extreme climate events. In contrast, Ali et al. (2021) approaches the issue from a governance perspective, noting that although Ghana has demonstrated policy intent toward green energy integration, implementation remains weak due to financial and technical barriers. This contrasts with Owusu-Manu et al. (2023), who demonstrate through performance frameworks that energy-efficient buildings measurably improve adaptive capacity by reducing dependence on external energy systems. The comparative strength of these studies lies in how they collectively show that energy efficiency operates at multiple levels: household, building, and national systems. In Ghana, where rising temperatures are increasing cooling demand and electricity supply remains unstable, reliance on conventional, energy-intensive buildings exacerbates climate vulnerability. Solar-integrated green buildings, therefore, serve not only as mitigation tools but as adaptive infrastructure capable of maintaining functionality during heatwaves and power outages. The contrast between technical feasibility and institutional readiness is again evident. While the literature confirms that energy-efficient green buildings significantly enhance resilience, Ghana’s challenge lies in translating policy ambition into enforceable standards and affordable financing mechanisms. This reinforces the argument that adaptation benefits are maximized only when green building principles are embedded within national climate and energy strategies.</w:t>
      </w:r>
    </w:p>
    <w:p w14:paraId="4DDF25EE"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4.3 Water Efficiency</w:t>
      </w:r>
    </w:p>
    <w:p w14:paraId="04BEFE98"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Water efficiency emerges as a critical adaptation theme, particularly in regions experiencing increasing rainfall variability. Misra (2014) presents a broad analytical view, highlighting how climate change intensifies water scarcity and threatens food and urban water security. This perspective is complemented by Ingrao et al. (2018), who provide empirical evidence that water-saving technologies such as rainwater harvesting and greywater reuse significantly reduce environmental burdens throughout a building’s life cycle. Owusu-Manu et al. (2023) extend this discussion by quantitatively linking water efficiency measures to improved environmental and adaptive performance in construction projects. Unlike Misra (2014), whose focus is primarily systemic, Owusu-Manu et al. demonstrate how building-level interventions directly enhance resilience. </w:t>
      </w:r>
    </w:p>
    <w:p w14:paraId="2E39CC9C"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In Ghana, these findings are particularly relevant. Erratic rainfall patterns, seasonal water shortages, and flooding in urban areas expose the inadequacy of conventional water-dependent building designs. Green buildings that integrate rainwater harvesting, low-flow fixtures, and climate-responsive landscaping reduce pressure on municipal water systems while improving household-level resilience. The contrast between traditional water-intensive buildings and green, water-efficient designs underscores how adaptation can be achieved through relatively simple, decentralized measures. However, despite the demonstrated benefits, adoption remains limited due to weak enforcement of building codes and low public awareness. The literature therefore suggests that while water-efficient green buildings offer high adaptive value, institutional support and regulatory frameworks are necessary to scale these practices across Ghana’s rapidly urbanizing cities.</w:t>
      </w:r>
    </w:p>
    <w:p w14:paraId="7A6B49C5"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4.4 Waste Management</w:t>
      </w:r>
    </w:p>
    <w:p w14:paraId="00FA0740"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lastRenderedPageBreak/>
        <w:t xml:space="preserve">Waste management is often underemphasized in climate adaptation discourse, yet the reviewed studies reveal its growing importance. Ahmadizadeh et al. (2024) highlight how sustainable materials and efficient construction techniques significantly reduce waste generation, thereby lowering environmental and climate-related risks. Their findings contrast with Ingrao et al. (2018), who focus more on life-cycle assessment and demonstrate that waste impacts can be mitigated through early design decisions rather than end-of-life interventions alone. Ali et al. (2021) broadens the discussion by situating waste management within Ghana’s green economy agenda, arguing that waste reduction is essential for sustainable growth and long-term resilience. While Ahmadizadeh et al. emphasize technical solutions, Ali et al. stress policy coherence and institutional alignment. </w:t>
      </w:r>
    </w:p>
    <w:p w14:paraId="12F4DF5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In Ghana’s urban context, poor waste management exacerbates flooding, pollution, and public health risks, particularly during extreme rainfall events. Green buildings that prioritize material efficiency, recycling, and reuse contribute to adaptation by reducing landfill pressure and improving urban environmental quality. The contrast between conventional construction, which generates significant waste, and green, circular approaches highlights how waste management functions as both an environmental and adaptive strategy. Collectively, the literature suggests that waste-efficient green buildings enhance resilience indirectly by improving ecosystem health and urban functionality. However, as with other themes, the effectiveness of these strategies in Ghana depends on regulatory enforcement, market incentives, and professional capacity development.</w:t>
      </w:r>
    </w:p>
    <w:p w14:paraId="38858290"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5.0 SUMMARY OF FINDINGS</w:t>
      </w:r>
    </w:p>
    <w:p w14:paraId="74EEA766"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Building design and material selection play a pivotal role in climate adaptation in Ghana, where traditional methods often neglect long-term thermal performance. Sustainable, locally appropriate materials such as laterite blocks, compressed earth, and bamboo not only reduce heat exposure but also increase energy efficiency (Ahmadizadeh et al., 2024; Adenle et al., 2017). Life-cycle approaches further emphasize the importance of considering environmental impacts across a building’s lifespan (Ingrao et al., 2018), while structured performance frameworks confirm that green construction improves adaptive capacity (Owusu-Manu et al., 2023). Despite institutional support, adoption remains limited by weak incentives, climate change focused policies, and professional capacity gaps (Ali et al., 2021).</w:t>
      </w:r>
    </w:p>
    <w:p w14:paraId="0298F323"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Energy efficiency and renewable energy are central to mitigating climate risks and ensuring resilience. Decentralized solutions like solar power reduce dependence on Ghana’s unstable grid and enhance functionality during extreme weather (Owusu &amp; Asumadu-Sarkodie, 2016). Empirical evidence shows energy-efficient and net-zero buildings lower operational costs while improving adaptation outcomes (Cohen et al., 2021; Owusu-Manu et al., 2023). Yet, policy ambition often outpaces implementation due to financial and technical barriers, highlighting the need for integrated national strategies (Ali et al., 2021).</w:t>
      </w:r>
    </w:p>
    <w:p w14:paraId="40B43B97"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Water efficiency is critical given Ghana’s variable rainfall and seasonal shortages. Rainwater harvesting, greywater reuse, and low-flow fixtures can substantially reduce environmental stress and strengthen household-level resilience (Misra, 2014; Ingrao et al., 2018; Owusu-Manu et al., 2023). Traditional water-intensive buildings exacerbate vulnerability, whereas climate-responsive water management alleviates pressure on municipal systems and improves urban functionality. Scaling these interventions requires stronger enforcement of building codes and increased public awareness.</w:t>
      </w:r>
    </w:p>
    <w:p w14:paraId="5D5EDA56"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Effective waste management enhances resilience indirectly by improving environmental quality and reducing flood and pollution risks. Sustainable material uses and circular construction techniques minimize waste generation, while life-cycle strategies emphasize early design decisions to prevent environmental impacts (Ahmadizadeh et al., 2024; Ingrao et al., 2018). Integrating waste reduction into Ghana’s green economy agenda aligns with sustainable urban growth (Ali et al., 2021), but successful implementation depends on regulatory enforcement and market incentives.</w:t>
      </w:r>
    </w:p>
    <w:p w14:paraId="1AEAF4DA"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6.0 CONCLUSION</w:t>
      </w:r>
    </w:p>
    <w:p w14:paraId="42C02058"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lastRenderedPageBreak/>
        <w:t>Green buildings in Ghana can strengthen climate resilience by using locally suitable materials such as laterite blocks, compressed earth, and bamboo, which are both affordable and climate-appropriate. Their adoption can be supported through builder training programs, developer incentives, and policies that promote climate-responsive design, making sustainable construction more accessible while ensuring long-term durability and thermal comfort in urban environments.</w:t>
      </w:r>
    </w:p>
    <w:p w14:paraId="5FA59EF1"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Energy efficiency and solar integration can significantly reduce reliance on the unstable national grid while lowering operational costs. Implementing net-zero building designs, enforceable energy standards, and financial support such as low-interest loans or grants can help households and developers adopt these technologies, ensuring buildings remain functional during heatwaves or power outages and contributing to national energy resilience.</w:t>
      </w:r>
    </w:p>
    <w:p w14:paraId="6FCF6E9F"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Water-saving strategies such as rainwater harvesting, greywater reuse, and low-flow fixtures can enhance urban resilience against erratic rainfall and seasonal shortages. These measures can be expanded through regulations for new developments, incentives for retrofitting existing buildings, and public awareness campaigns, ensuring both households and communities adopt efficient water use practices that support sustainable urban growth.</w:t>
      </w:r>
    </w:p>
    <w:p w14:paraId="03D3B942"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Efficient waste management can reduce environmental hazards and strengthen urban ecosystem health while supporting circular construction practices. Promoting recycling, sustainable material use, and enforcement of urban waste management standards ensures construction and municipal waste are minimized, helping cities remain cleaner, safer, and more resilient to climate-related events such as flooding and pollution.</w:t>
      </w:r>
    </w:p>
    <w:p w14:paraId="05B23BE2" w14:textId="2C2E1CB1" w:rsidR="00CC4746" w:rsidRDefault="001B5BC1" w:rsidP="005E4F62">
      <w:pPr>
        <w:jc w:val="both"/>
        <w:rPr>
          <w:rFonts w:ascii="Arial" w:hAnsi="Arial" w:cs="Arial"/>
          <w:sz w:val="20"/>
          <w:szCs w:val="20"/>
        </w:rPr>
      </w:pPr>
      <w:r w:rsidRPr="001B5BC1">
        <w:rPr>
          <w:rFonts w:ascii="Arial" w:hAnsi="Arial" w:cs="Arial"/>
          <w:sz w:val="20"/>
          <w:szCs w:val="20"/>
        </w:rPr>
        <w:t>Ultimately, these solutions provide a practical, feasible, and integrated framework to building climate-resilient, sustainable, and livable cities in Ghana. By embedding green building principles into material selection, energy systems, water management, and waste practices, the country can develop urban environments that are both environmentally responsible and adaptable to future climate challenges.</w:t>
      </w:r>
    </w:p>
    <w:p w14:paraId="0FA02139" w14:textId="77777777" w:rsidR="006019FA" w:rsidRDefault="006019FA" w:rsidP="005E4F62">
      <w:pPr>
        <w:jc w:val="both"/>
        <w:rPr>
          <w:rFonts w:ascii="Arial" w:hAnsi="Arial" w:cs="Arial"/>
          <w:sz w:val="20"/>
          <w:szCs w:val="20"/>
        </w:rPr>
      </w:pPr>
    </w:p>
    <w:p w14:paraId="34C2EF7F" w14:textId="77777777" w:rsidR="006019FA" w:rsidRDefault="006019FA" w:rsidP="005E4F62">
      <w:pPr>
        <w:jc w:val="both"/>
        <w:rPr>
          <w:rFonts w:ascii="Arial" w:hAnsi="Arial" w:cs="Arial"/>
          <w:sz w:val="20"/>
          <w:szCs w:val="20"/>
        </w:rPr>
      </w:pPr>
    </w:p>
    <w:p w14:paraId="137F22F4" w14:textId="77777777" w:rsidR="006019FA" w:rsidRDefault="006019FA" w:rsidP="006019FA">
      <w:pPr>
        <w:rPr>
          <w:rFonts w:ascii="Arial" w:hAnsi="Arial" w:cs="Arial"/>
          <w:b/>
          <w:bCs/>
          <w:sz w:val="20"/>
          <w:szCs w:val="20"/>
        </w:rPr>
      </w:pPr>
      <w:r>
        <w:rPr>
          <w:rFonts w:ascii="Arial" w:hAnsi="Arial" w:cs="Arial"/>
          <w:b/>
          <w:bCs/>
          <w:sz w:val="20"/>
          <w:szCs w:val="20"/>
        </w:rPr>
        <w:t xml:space="preserve">Conflict of Interest Statement </w:t>
      </w:r>
    </w:p>
    <w:p w14:paraId="0F6CA53D" w14:textId="77777777" w:rsidR="006019FA" w:rsidRDefault="006019FA" w:rsidP="006019FA">
      <w:pPr>
        <w:rPr>
          <w:rFonts w:ascii="Arial" w:hAnsi="Arial" w:cs="Arial"/>
          <w:sz w:val="20"/>
          <w:szCs w:val="20"/>
        </w:rPr>
      </w:pPr>
      <w:r>
        <w:rPr>
          <w:rFonts w:ascii="Arial" w:hAnsi="Arial" w:cs="Arial"/>
          <w:sz w:val="20"/>
          <w:szCs w:val="20"/>
        </w:rPr>
        <w:t>The authors declare no conflicts of interest associated with this publication.</w:t>
      </w:r>
    </w:p>
    <w:p w14:paraId="69F131C8" w14:textId="77777777" w:rsidR="005D687D" w:rsidRDefault="005D687D" w:rsidP="006019FA">
      <w:pPr>
        <w:rPr>
          <w:rFonts w:ascii="Arial" w:hAnsi="Arial" w:cs="Arial"/>
          <w:sz w:val="20"/>
          <w:szCs w:val="20"/>
        </w:rPr>
      </w:pPr>
    </w:p>
    <w:p w14:paraId="5902D8A1" w14:textId="77777777" w:rsidR="005D687D" w:rsidRPr="005D687D" w:rsidRDefault="005D687D" w:rsidP="005D687D">
      <w:pPr>
        <w:rPr>
          <w:rFonts w:ascii="Arial" w:hAnsi="Arial" w:cs="Arial"/>
          <w:sz w:val="20"/>
          <w:szCs w:val="20"/>
        </w:rPr>
      </w:pPr>
      <w:r w:rsidRPr="005D687D">
        <w:rPr>
          <w:rFonts w:ascii="Arial" w:hAnsi="Arial" w:cs="Arial"/>
          <w:sz w:val="20"/>
          <w:szCs w:val="20"/>
        </w:rPr>
        <w:t>COMPETING INTERESTS DISCLAIMER:</w:t>
      </w:r>
    </w:p>
    <w:p w14:paraId="24F06B18" w14:textId="5D3D7519" w:rsidR="005D687D" w:rsidRPr="00841C37" w:rsidRDefault="005D687D" w:rsidP="005D687D">
      <w:pPr>
        <w:rPr>
          <w:rFonts w:ascii="Arial" w:hAnsi="Arial" w:cs="Arial"/>
          <w:sz w:val="20"/>
          <w:szCs w:val="20"/>
        </w:rPr>
      </w:pPr>
      <w:r w:rsidRPr="005D687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A4605A3" w14:textId="77777777" w:rsidR="006019FA" w:rsidRPr="00AD7332" w:rsidRDefault="006019FA" w:rsidP="005E4F62">
      <w:pPr>
        <w:jc w:val="both"/>
        <w:rPr>
          <w:rFonts w:ascii="Arial" w:hAnsi="Arial" w:cs="Arial"/>
          <w:sz w:val="20"/>
          <w:szCs w:val="20"/>
        </w:rPr>
      </w:pPr>
    </w:p>
    <w:p w14:paraId="77388943" w14:textId="77777777" w:rsidR="00CC4746" w:rsidRPr="00AD7332" w:rsidRDefault="00CC4746" w:rsidP="005E4F62">
      <w:pPr>
        <w:jc w:val="both"/>
        <w:rPr>
          <w:rFonts w:ascii="Arial" w:hAnsi="Arial" w:cs="Arial"/>
          <w:sz w:val="20"/>
          <w:szCs w:val="20"/>
        </w:rPr>
      </w:pPr>
    </w:p>
    <w:p w14:paraId="0CDAB3D8" w14:textId="7C484486" w:rsidR="00B72DE8" w:rsidRPr="00AD7332" w:rsidRDefault="005E4F62" w:rsidP="00B72DE8">
      <w:pPr>
        <w:jc w:val="both"/>
        <w:rPr>
          <w:rFonts w:ascii="Arial" w:hAnsi="Arial" w:cs="Arial"/>
          <w:b/>
          <w:bCs/>
          <w:sz w:val="20"/>
          <w:szCs w:val="20"/>
        </w:rPr>
      </w:pPr>
      <w:r w:rsidRPr="00AD7332">
        <w:rPr>
          <w:rFonts w:ascii="Arial" w:hAnsi="Arial" w:cs="Arial"/>
          <w:b/>
          <w:bCs/>
          <w:sz w:val="20"/>
          <w:szCs w:val="20"/>
        </w:rPr>
        <w:t>References</w:t>
      </w:r>
    </w:p>
    <w:p w14:paraId="1793D15C"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Adenle, A. A., Ford, J. D., Morton, J., Twomlow, S., Alverson, K., Cattaneo, A., ... &amp; Ebinger, J. O. (2017). Managing climate change risks in Africa: A global perspective. Ecological Economics, 141, 190-201.</w:t>
      </w:r>
      <w:hyperlink r:id="rId17" w:history="1">
        <w:r w:rsidRPr="001B5BC1">
          <w:rPr>
            <w:rStyle w:val="Hyperlink"/>
            <w:rFonts w:ascii="Arial" w:hAnsi="Arial" w:cs="Arial"/>
            <w:sz w:val="20"/>
            <w:szCs w:val="20"/>
          </w:rPr>
          <w:t xml:space="preserve"> https://doi.org/10.1016/j.ecolecon.2017.06.004</w:t>
        </w:r>
      </w:hyperlink>
      <w:r w:rsidRPr="001B5BC1">
        <w:rPr>
          <w:rFonts w:ascii="Arial" w:hAnsi="Arial" w:cs="Arial"/>
          <w:sz w:val="20"/>
          <w:szCs w:val="20"/>
        </w:rPr>
        <w:t> </w:t>
      </w:r>
    </w:p>
    <w:p w14:paraId="1CD3633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Agwu, K.D., Oraefo Onyeka, B., Jude, O., Onuorah, I.M., Chinweze, C.O. and Chukwu, S.C. (2024) ‘Exploring the impacts of sustainable design practices on construction cost’, </w:t>
      </w:r>
      <w:r w:rsidRPr="001B5BC1">
        <w:rPr>
          <w:rFonts w:ascii="Arial" w:hAnsi="Arial" w:cs="Arial"/>
          <w:i/>
          <w:iCs/>
          <w:sz w:val="20"/>
          <w:szCs w:val="20"/>
        </w:rPr>
        <w:t>International Journal of Progressive Research in Engineering Management and Science</w:t>
      </w:r>
      <w:r w:rsidRPr="001B5BC1">
        <w:rPr>
          <w:rFonts w:ascii="Arial" w:hAnsi="Arial" w:cs="Arial"/>
          <w:sz w:val="20"/>
          <w:szCs w:val="20"/>
        </w:rPr>
        <w:t xml:space="preserve">, </w:t>
      </w:r>
      <w:hyperlink r:id="rId18" w:history="1">
        <w:r w:rsidRPr="001B5BC1">
          <w:rPr>
            <w:rStyle w:val="Hyperlink"/>
            <w:rFonts w:ascii="Arial" w:hAnsi="Arial" w:cs="Arial"/>
            <w:sz w:val="20"/>
            <w:szCs w:val="20"/>
          </w:rPr>
          <w:t>https://www.researchgate.net/profile/Kelechi-Agwu/publication/381458797_EXPLORING_THE_IMPACTS_OF_SUSTAINABLE_DESIGN_PRACTICES_ON_CONSTRUCTION_COST/links/666df5c485a4ee7261c5af7c/EXPLORING-THE-IMPACTS-OF-SUSTAINABLE-DESIGN-PRACTICES-ON-CONSTRUCTION-COST.pdf</w:t>
        </w:r>
      </w:hyperlink>
      <w:r w:rsidRPr="001B5BC1">
        <w:rPr>
          <w:rFonts w:ascii="Arial" w:hAnsi="Arial" w:cs="Arial"/>
          <w:sz w:val="20"/>
          <w:szCs w:val="20"/>
        </w:rPr>
        <w:t> </w:t>
      </w:r>
    </w:p>
    <w:p w14:paraId="749299BC"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Ahmadizadeh, M., Heidari, M., Thangavel, S., Khashehchi, M., Rahmanivahid, P., Singh, V.P., &amp; Kumar, A. (2024). Development of new materials for sustainable buildings. In Sustainable Technologies for Energy Efficient Buildings (pp. 30-48). CRC Press.</w:t>
      </w:r>
      <w:hyperlink r:id="rId19" w:history="1">
        <w:r w:rsidRPr="001B5BC1">
          <w:rPr>
            <w:rStyle w:val="Hyperlink"/>
            <w:rFonts w:ascii="Arial" w:hAnsi="Arial" w:cs="Arial"/>
            <w:sz w:val="20"/>
            <w:szCs w:val="20"/>
          </w:rPr>
          <w:t xml:space="preserve"> https://doi.org/10.1201/9781003496656</w:t>
        </w:r>
      </w:hyperlink>
    </w:p>
    <w:p w14:paraId="3720B031"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Ajayi, O. O., &amp; Adegun, O. B. (2019). Urban informality and climate change adaptation in sub-Saharan African cities: A review. Journal of Environmental Planning and Management, 62(5), 883-900. </w:t>
      </w:r>
    </w:p>
    <w:p w14:paraId="7C141B0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Akomea-Frimpong, I., Kukah, A. S., Jin, X., Osei-Kyei, R., &amp; Pariafsai, F. (2022). GreenFinance for green buildings: A systematic review and conceptual foundation. Journal of Cleaner Production, 356, 131869.</w:t>
      </w:r>
      <w:hyperlink r:id="rId20" w:history="1">
        <w:r w:rsidRPr="001B5BC1">
          <w:rPr>
            <w:rStyle w:val="Hyperlink"/>
            <w:rFonts w:ascii="Arial" w:hAnsi="Arial" w:cs="Arial"/>
            <w:sz w:val="20"/>
            <w:szCs w:val="20"/>
          </w:rPr>
          <w:t xml:space="preserve"> https://doi.org/10.1016/j.jclepro.2022.131869</w:t>
        </w:r>
      </w:hyperlink>
    </w:p>
    <w:p w14:paraId="2A5E6DA2"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Alegbe, M., Mtaver, G., Kalu, J. &amp; Chukwuemeka, L. (2025) ‘Future-ready buildings: Nigeria’s transition to low-carbon, climate-responsive housing’, </w:t>
      </w:r>
      <w:r w:rsidRPr="001B5BC1">
        <w:rPr>
          <w:rFonts w:ascii="Arial" w:hAnsi="Arial" w:cs="Arial"/>
          <w:i/>
          <w:iCs/>
          <w:sz w:val="20"/>
          <w:szCs w:val="20"/>
        </w:rPr>
        <w:t>Acta Structilia</w:t>
      </w:r>
      <w:r w:rsidRPr="001B5BC1">
        <w:rPr>
          <w:rFonts w:ascii="Arial" w:hAnsi="Arial" w:cs="Arial"/>
          <w:sz w:val="20"/>
          <w:szCs w:val="20"/>
        </w:rPr>
        <w:t xml:space="preserve">, 32(1), pp. 77–93. Available at: </w:t>
      </w:r>
      <w:hyperlink r:id="rId21" w:history="1">
        <w:r w:rsidRPr="001B5BC1">
          <w:rPr>
            <w:rStyle w:val="Hyperlink"/>
            <w:rFonts w:ascii="Arial" w:hAnsi="Arial" w:cs="Arial"/>
            <w:sz w:val="20"/>
            <w:szCs w:val="20"/>
          </w:rPr>
          <w:t>https://doi.org/10.38140/as.v32i1.9122</w:t>
        </w:r>
      </w:hyperlink>
    </w:p>
    <w:p w14:paraId="03A0A46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Ali, B. M., &amp; Akkaş, M. (2023). The green cooling factor: Eco-innovative heating, ventilation, and air conditioning solutions in building design. </w:t>
      </w:r>
      <w:r w:rsidRPr="001B5BC1">
        <w:rPr>
          <w:rFonts w:ascii="Arial" w:hAnsi="Arial" w:cs="Arial"/>
          <w:i/>
          <w:iCs/>
          <w:sz w:val="20"/>
          <w:szCs w:val="20"/>
        </w:rPr>
        <w:t>Applied Sciences</w:t>
      </w:r>
      <w:r w:rsidRPr="001B5BC1">
        <w:rPr>
          <w:rFonts w:ascii="Arial" w:hAnsi="Arial" w:cs="Arial"/>
          <w:sz w:val="20"/>
          <w:szCs w:val="20"/>
        </w:rPr>
        <w:t xml:space="preserve">, </w:t>
      </w:r>
      <w:r w:rsidRPr="001B5BC1">
        <w:rPr>
          <w:rFonts w:ascii="Arial" w:hAnsi="Arial" w:cs="Arial"/>
          <w:i/>
          <w:iCs/>
          <w:sz w:val="20"/>
          <w:szCs w:val="20"/>
        </w:rPr>
        <w:t>14</w:t>
      </w:r>
      <w:r w:rsidRPr="001B5BC1">
        <w:rPr>
          <w:rFonts w:ascii="Arial" w:hAnsi="Arial" w:cs="Arial"/>
          <w:sz w:val="20"/>
          <w:szCs w:val="20"/>
        </w:rPr>
        <w:t>(1), 195.</w:t>
      </w:r>
      <w:hyperlink r:id="rId22" w:history="1">
        <w:r w:rsidRPr="001B5BC1">
          <w:rPr>
            <w:rStyle w:val="Hyperlink"/>
            <w:rFonts w:ascii="Arial" w:hAnsi="Arial" w:cs="Arial"/>
            <w:sz w:val="20"/>
            <w:szCs w:val="20"/>
          </w:rPr>
          <w:t xml:space="preserve"> https://doi.org/10.3390/app14010195</w:t>
        </w:r>
      </w:hyperlink>
    </w:p>
    <w:p w14:paraId="44D031B4"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Ali, E. B., Anufriev, V. P., &amp; Amfo, B. (2021). Green economy implementation in Ghana as A road map for a sustainable development drive: A review. Scientific African, 12, e00756.</w:t>
      </w:r>
      <w:hyperlink r:id="rId23" w:history="1">
        <w:r w:rsidRPr="001B5BC1">
          <w:rPr>
            <w:rStyle w:val="Hyperlink"/>
            <w:rFonts w:ascii="Arial" w:hAnsi="Arial" w:cs="Arial"/>
            <w:sz w:val="20"/>
            <w:szCs w:val="20"/>
          </w:rPr>
          <w:t xml:space="preserve"> https://doi.org/10.1016/j.sciaf.2021.e00756</w:t>
        </w:r>
      </w:hyperlink>
    </w:p>
    <w:p w14:paraId="020F8CE7"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Amankwah, E. O., Nkrumah, P. N., &amp; Osei-Poku, P. (2020). Energy consumption and economic growth in Ghana: An ARDL bounds testing approach. Energy Reports, 6, 2859-2867. </w:t>
      </w:r>
    </w:p>
    <w:p w14:paraId="299D2A7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Aronson, J., Goodwin, N., Orlando, L., Eisenberg, C. and Cross, A.T. (2020) ‘A world of possibilities: six restoration strategies to support the United Nation’s Decade on Ecosystem Restoration’, </w:t>
      </w:r>
      <w:r w:rsidRPr="001B5BC1">
        <w:rPr>
          <w:rFonts w:ascii="Arial" w:hAnsi="Arial" w:cs="Arial"/>
          <w:i/>
          <w:iCs/>
          <w:sz w:val="20"/>
          <w:szCs w:val="20"/>
        </w:rPr>
        <w:t>Restoration Ecology</w:t>
      </w:r>
      <w:r w:rsidRPr="001B5BC1">
        <w:rPr>
          <w:rFonts w:ascii="Arial" w:hAnsi="Arial" w:cs="Arial"/>
          <w:sz w:val="20"/>
          <w:szCs w:val="20"/>
        </w:rPr>
        <w:t xml:space="preserve">, </w:t>
      </w:r>
      <w:hyperlink r:id="rId24" w:history="1">
        <w:r w:rsidRPr="001B5BC1">
          <w:rPr>
            <w:rStyle w:val="Hyperlink"/>
            <w:rFonts w:ascii="Arial" w:hAnsi="Arial" w:cs="Arial"/>
            <w:sz w:val="20"/>
            <w:szCs w:val="20"/>
          </w:rPr>
          <w:t>https://onlinelibrary.wiley.com/doi/pdf/10.1111/rec.13170</w:t>
        </w:r>
      </w:hyperlink>
    </w:p>
    <w:p w14:paraId="0D73326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Berry, S., &amp; Davidson, K. (2015). Zero energy homes–are they economically viable? Energy Policy, 85, 12–21.</w:t>
      </w:r>
      <w:hyperlink r:id="rId25" w:history="1">
        <w:r w:rsidRPr="001B5BC1">
          <w:rPr>
            <w:rStyle w:val="Hyperlink"/>
            <w:rFonts w:ascii="Arial" w:hAnsi="Arial" w:cs="Arial"/>
            <w:sz w:val="20"/>
            <w:szCs w:val="20"/>
          </w:rPr>
          <w:t xml:space="preserve"> https://doi.org/10.1016/j.enpol.2015.05.009</w:t>
        </w:r>
      </w:hyperlink>
    </w:p>
    <w:p w14:paraId="1761B772"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Chan, A. P. C., Darko, A., Olanipekun, A. O., &amp; Ameyaw, E. E. (2018). Critical barriers to green building technologies adoption in developing countries: The case of Ghana. Journal of Cleaner Production, 172, 1067–1079 </w:t>
      </w:r>
      <w:hyperlink r:id="rId26" w:history="1">
        <w:r w:rsidRPr="001B5BC1">
          <w:rPr>
            <w:rStyle w:val="Hyperlink"/>
            <w:rFonts w:ascii="Arial" w:hAnsi="Arial" w:cs="Arial"/>
            <w:sz w:val="20"/>
            <w:szCs w:val="20"/>
          </w:rPr>
          <w:t> https://doi.org/10.1016/j.jclepro.2017.10.235</w:t>
        </w:r>
      </w:hyperlink>
    </w:p>
    <w:p w14:paraId="1AC746F7"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Choi, C. (2009) ‘Removing market barriers to green development: principles and action projects to promote widespread adoption of green development practices’, </w:t>
      </w:r>
      <w:r w:rsidRPr="001B5BC1">
        <w:rPr>
          <w:rFonts w:ascii="Arial" w:hAnsi="Arial" w:cs="Arial"/>
          <w:i/>
          <w:iCs/>
          <w:sz w:val="20"/>
          <w:szCs w:val="20"/>
        </w:rPr>
        <w:t>Journal of Sustainable Real Estate</w:t>
      </w:r>
      <w:r w:rsidRPr="001B5BC1">
        <w:rPr>
          <w:rFonts w:ascii="Arial" w:hAnsi="Arial" w:cs="Arial"/>
          <w:sz w:val="20"/>
          <w:szCs w:val="20"/>
        </w:rPr>
        <w:t xml:space="preserve">, 1(1), pp. 107–138. </w:t>
      </w:r>
      <w:hyperlink r:id="rId27" w:history="1">
        <w:r w:rsidRPr="001B5BC1">
          <w:rPr>
            <w:rStyle w:val="Hyperlink"/>
            <w:rFonts w:ascii="Arial" w:hAnsi="Arial" w:cs="Arial"/>
            <w:sz w:val="20"/>
            <w:szCs w:val="20"/>
          </w:rPr>
          <w:t>https://doi.org/10.1080/10835547.2009.12091785</w:t>
        </w:r>
      </w:hyperlink>
    </w:p>
    <w:p w14:paraId="69FA2E32"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Cohen, R., Desai, K., Elias, J., &amp; Twinn, R. (2021). Net zero carbon: Energy performance targets for offices. Building Services Engineering Research and Technology, 42(3), 349-369.</w:t>
      </w:r>
      <w:hyperlink r:id="rId28" w:history="1">
        <w:r w:rsidRPr="001B5BC1">
          <w:rPr>
            <w:rStyle w:val="Hyperlink"/>
            <w:rFonts w:ascii="Arial" w:hAnsi="Arial" w:cs="Arial"/>
            <w:sz w:val="20"/>
            <w:szCs w:val="20"/>
          </w:rPr>
          <w:t xml:space="preserve"> https://doi.org/10.1177/0143624421991470</w:t>
        </w:r>
      </w:hyperlink>
    </w:p>
    <w:p w14:paraId="3DCB246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Cui, H., Wang, R., &amp; Wang, H. (2020). An evolutionary analysis of green finance sustainability based on multi-agent game. Journal of Cleaner Production, 269, 121799.</w:t>
      </w:r>
      <w:hyperlink r:id="rId29" w:history="1">
        <w:r w:rsidRPr="001B5BC1">
          <w:rPr>
            <w:rStyle w:val="Hyperlink"/>
            <w:rFonts w:ascii="Arial" w:hAnsi="Arial" w:cs="Arial"/>
            <w:sz w:val="20"/>
            <w:szCs w:val="20"/>
          </w:rPr>
          <w:t xml:space="preserve"> https://doi.org/10.1016/j.jclepro.2020.121799</w:t>
        </w:r>
      </w:hyperlink>
    </w:p>
    <w:p w14:paraId="3540875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Dankwah, R.A. (2024) </w:t>
      </w:r>
      <w:r w:rsidRPr="001B5BC1">
        <w:rPr>
          <w:rFonts w:ascii="Arial" w:hAnsi="Arial" w:cs="Arial"/>
          <w:i/>
          <w:iCs/>
          <w:sz w:val="20"/>
          <w:szCs w:val="20"/>
        </w:rPr>
        <w:t>Examining the risk factors of sustainable housing in Ghana: The case of Kumasi Metropolis</w:t>
      </w:r>
      <w:r w:rsidRPr="001B5BC1">
        <w:rPr>
          <w:rFonts w:ascii="Arial" w:hAnsi="Arial" w:cs="Arial"/>
          <w:sz w:val="20"/>
          <w:szCs w:val="20"/>
        </w:rPr>
        <w:t xml:space="preserve">. M.A. Thesis in Global Studies. Faculty of Sociology, Anthropology and Folkloristics, School of Social Sciences, University of Iceland. Available at: </w:t>
      </w:r>
      <w:hyperlink r:id="rId30" w:history="1">
        <w:r w:rsidRPr="001B5BC1">
          <w:rPr>
            <w:rStyle w:val="Hyperlink"/>
            <w:rFonts w:ascii="Arial" w:hAnsi="Arial" w:cs="Arial"/>
            <w:sz w:val="20"/>
            <w:szCs w:val="20"/>
          </w:rPr>
          <w:t>https://skemman.is/bitstream/1946/46679/1/ROBERT%20APPIAH%20DANKWAK%20M.%20A%20FINAL%20THESIS.pdf</w:t>
        </w:r>
      </w:hyperlink>
    </w:p>
    <w:p w14:paraId="0795F5F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Darko, A., Chan, A. P. C., Ameyaw, E. E., He, B. J., &amp; Olanipekun, A. O. (2017). Examining issues influencing green building technologies adoption: The United States and Ghana. Sustainable Development, 25(6), 577-590. </w:t>
      </w:r>
      <w:hyperlink r:id="rId31" w:history="1">
        <w:r w:rsidRPr="001B5BC1">
          <w:rPr>
            <w:rStyle w:val="Hyperlink"/>
            <w:rFonts w:ascii="Arial" w:hAnsi="Arial" w:cs="Arial"/>
            <w:sz w:val="20"/>
            <w:szCs w:val="20"/>
          </w:rPr>
          <w:t>https://doi.org/10.1016/j.enbuild.2017.03.060</w:t>
        </w:r>
      </w:hyperlink>
    </w:p>
    <w:p w14:paraId="1F09F64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Emmanuel, U.E., Danjuma, D. and Ukah, C. (2024) ‘Sustainable built environment features towards climate change mitigation: systematic review’, </w:t>
      </w:r>
      <w:r w:rsidRPr="001B5BC1">
        <w:rPr>
          <w:rFonts w:ascii="Arial" w:hAnsi="Arial" w:cs="Arial"/>
          <w:i/>
          <w:iCs/>
          <w:sz w:val="20"/>
          <w:szCs w:val="20"/>
        </w:rPr>
        <w:t>Environmental Review Journal: A Multidisciplinary Journal of Environmental Sciences</w:t>
      </w:r>
      <w:r w:rsidRPr="001B5BC1">
        <w:rPr>
          <w:rFonts w:ascii="Arial" w:hAnsi="Arial" w:cs="Arial"/>
          <w:sz w:val="20"/>
          <w:szCs w:val="20"/>
        </w:rPr>
        <w:t>, 10(1), pp. 94–117. Available at:</w:t>
      </w:r>
      <w:hyperlink r:id="rId32" w:history="1">
        <w:r w:rsidRPr="001B5BC1">
          <w:rPr>
            <w:rStyle w:val="Hyperlink"/>
            <w:rFonts w:ascii="Arial" w:hAnsi="Arial" w:cs="Arial"/>
            <w:sz w:val="20"/>
            <w:szCs w:val="20"/>
          </w:rPr>
          <w:t xml:space="preserve"> https://erjournal.net/index.php/erjournal/issue/view/16</w:t>
        </w:r>
      </w:hyperlink>
    </w:p>
    <w:p w14:paraId="5C38AFD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Ezeani, E. U., Danjuma, D., &amp; Ukah, C. (2025). </w:t>
      </w:r>
      <w:r w:rsidRPr="001B5BC1">
        <w:rPr>
          <w:rFonts w:ascii="Arial" w:hAnsi="Arial" w:cs="Arial"/>
          <w:i/>
          <w:iCs/>
          <w:sz w:val="20"/>
          <w:szCs w:val="20"/>
        </w:rPr>
        <w:t>Sustainable built environment features towards climate change mitigation: A systematic review</w:t>
      </w:r>
      <w:r w:rsidRPr="001B5BC1">
        <w:rPr>
          <w:rFonts w:ascii="Arial" w:hAnsi="Arial" w:cs="Arial"/>
          <w:sz w:val="20"/>
          <w:szCs w:val="20"/>
        </w:rPr>
        <w:t xml:space="preserve">. Environmental Review, </w:t>
      </w:r>
      <w:r w:rsidRPr="001B5BC1">
        <w:rPr>
          <w:rFonts w:ascii="Arial" w:hAnsi="Arial" w:cs="Arial"/>
          <w:i/>
          <w:iCs/>
          <w:sz w:val="20"/>
          <w:szCs w:val="20"/>
        </w:rPr>
        <w:t>10</w:t>
      </w:r>
      <w:r w:rsidRPr="001B5BC1">
        <w:rPr>
          <w:rFonts w:ascii="Arial" w:hAnsi="Arial" w:cs="Arial"/>
          <w:sz w:val="20"/>
          <w:szCs w:val="20"/>
        </w:rPr>
        <w:t xml:space="preserve">(1)  </w:t>
      </w:r>
      <w:hyperlink r:id="rId33" w:history="1">
        <w:r w:rsidRPr="001B5BC1">
          <w:rPr>
            <w:rStyle w:val="Hyperlink"/>
            <w:rFonts w:ascii="Arial" w:hAnsi="Arial" w:cs="Arial"/>
            <w:sz w:val="20"/>
            <w:szCs w:val="20"/>
          </w:rPr>
          <w:t>https://www.erjournal.net/index.php/erjournal/article/view/150</w:t>
        </w:r>
      </w:hyperlink>
    </w:p>
    <w:p w14:paraId="05BECCF6"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Formplus, B. (2020). Correlational Research Designs: Types, Examples &amp; Methods. </w:t>
      </w:r>
      <w:hyperlink r:id="rId34" w:history="1">
        <w:r w:rsidRPr="001B5BC1">
          <w:rPr>
            <w:rStyle w:val="Hyperlink"/>
            <w:rFonts w:ascii="Arial" w:hAnsi="Arial" w:cs="Arial"/>
            <w:sz w:val="20"/>
            <w:szCs w:val="20"/>
          </w:rPr>
          <w:t>Correlational Research Designs: Types, Examples &amp; Methods</w:t>
        </w:r>
      </w:hyperlink>
    </w:p>
    <w:p w14:paraId="03C9A48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Ghana Statistical Service. (2021). Ghana 2021 Population and Housing Census: General Report Volume 3M, Economic Activity. GSS. </w:t>
      </w:r>
      <w:hyperlink r:id="rId35" w:history="1">
        <w:r w:rsidRPr="001B5BC1">
          <w:rPr>
            <w:rStyle w:val="Hyperlink"/>
            <w:rFonts w:ascii="Arial" w:hAnsi="Arial" w:cs="Arial"/>
            <w:sz w:val="20"/>
            <w:szCs w:val="20"/>
          </w:rPr>
          <w:t>https://statsghana.gov.gh/gssmain/fileUpload/pressrelease/2021%20PHC%20General%20Report%20Vol%203A_Population%20of%20Regions%20and%20Districts_181121.pdf</w:t>
        </w:r>
      </w:hyperlink>
      <w:r w:rsidRPr="001B5BC1">
        <w:rPr>
          <w:rFonts w:ascii="Arial" w:hAnsi="Arial" w:cs="Arial"/>
          <w:sz w:val="20"/>
          <w:szCs w:val="20"/>
        </w:rPr>
        <w:t> </w:t>
      </w:r>
    </w:p>
    <w:p w14:paraId="69B99A7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Global Alliance for Buildings and Construction. (2021). 2021 Global Status Report for Buildings and Construction. United Nations Environment Programme. </w:t>
      </w:r>
      <w:hyperlink r:id="rId36" w:history="1">
        <w:r w:rsidRPr="001B5BC1">
          <w:rPr>
            <w:rStyle w:val="Hyperlink"/>
            <w:rFonts w:ascii="Arial" w:hAnsi="Arial" w:cs="Arial"/>
            <w:sz w:val="20"/>
            <w:szCs w:val="20"/>
          </w:rPr>
          <w:t>https://wedocs.unep.org/20.500.11822/47798</w:t>
        </w:r>
      </w:hyperlink>
    </w:p>
    <w:p w14:paraId="1068D09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Haddaway, N.R., Page, M.J., Pritchard, C.C. and McGuinness, L.A. (2022) ‘PRISMA2020: An R package and Shiny app for producing PRISMA2020-compliant flow diagrams, with interactivity for optimised digital transparency and Open Synthesis’, </w:t>
      </w:r>
      <w:r w:rsidRPr="001B5BC1">
        <w:rPr>
          <w:rFonts w:ascii="Arial" w:hAnsi="Arial" w:cs="Arial"/>
          <w:i/>
          <w:iCs/>
          <w:sz w:val="20"/>
          <w:szCs w:val="20"/>
        </w:rPr>
        <w:t>Campbell Systematic Reviews</w:t>
      </w:r>
      <w:r w:rsidRPr="001B5BC1">
        <w:rPr>
          <w:rFonts w:ascii="Arial" w:hAnsi="Arial" w:cs="Arial"/>
          <w:sz w:val="20"/>
          <w:szCs w:val="20"/>
        </w:rPr>
        <w:t>, 18, e1230. doi:10.1002/cl2.1230.</w:t>
      </w:r>
    </w:p>
    <w:p w14:paraId="2017955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Hennessy, E.A., Johnson, B.T. &amp; Keenan, C. (2019) ‘Best practice guidelines and essential methodological steps to conduct rigorous and systematic meta</w:t>
      </w:r>
      <w:r w:rsidRPr="001B5BC1">
        <w:rPr>
          <w:rFonts w:ascii="Arial" w:hAnsi="Arial" w:cs="Arial"/>
          <w:sz w:val="20"/>
          <w:szCs w:val="20"/>
        </w:rPr>
        <w:noBreakHyphen/>
        <w:t xml:space="preserve">reviews’, </w:t>
      </w:r>
      <w:r w:rsidRPr="001B5BC1">
        <w:rPr>
          <w:rFonts w:ascii="Arial" w:hAnsi="Arial" w:cs="Arial"/>
          <w:i/>
          <w:iCs/>
          <w:sz w:val="20"/>
          <w:szCs w:val="20"/>
        </w:rPr>
        <w:t>Applied Psychology: Health and Well</w:t>
      </w:r>
      <w:r w:rsidRPr="001B5BC1">
        <w:rPr>
          <w:rFonts w:ascii="Arial" w:hAnsi="Arial" w:cs="Arial"/>
          <w:i/>
          <w:iCs/>
          <w:sz w:val="20"/>
          <w:szCs w:val="20"/>
        </w:rPr>
        <w:noBreakHyphen/>
        <w:t>Being</w:t>
      </w:r>
      <w:r w:rsidRPr="001B5BC1">
        <w:rPr>
          <w:rFonts w:ascii="Arial" w:hAnsi="Arial" w:cs="Arial"/>
          <w:sz w:val="20"/>
          <w:szCs w:val="20"/>
        </w:rPr>
        <w:t xml:space="preserve">, 11(3), pp. 353–381. Available at: </w:t>
      </w:r>
      <w:hyperlink r:id="rId37" w:history="1">
        <w:r w:rsidRPr="001B5BC1">
          <w:rPr>
            <w:rStyle w:val="Hyperlink"/>
            <w:rFonts w:ascii="Arial" w:hAnsi="Arial" w:cs="Arial"/>
            <w:sz w:val="20"/>
            <w:szCs w:val="20"/>
          </w:rPr>
          <w:t>https://doi.org/10.1111/aphw.12169.</w:t>
        </w:r>
      </w:hyperlink>
      <w:r w:rsidRPr="001B5BC1">
        <w:rPr>
          <w:rFonts w:ascii="Arial" w:hAnsi="Arial" w:cs="Arial"/>
          <w:sz w:val="20"/>
          <w:szCs w:val="20"/>
        </w:rPr>
        <w:t> </w:t>
      </w:r>
    </w:p>
    <w:p w14:paraId="43C7F115"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Hoffman, A.J. and Henn, R. (2008) ‘Overcoming the social and psychological barriers to green building’, </w:t>
      </w:r>
      <w:r w:rsidRPr="001B5BC1">
        <w:rPr>
          <w:rFonts w:ascii="Arial" w:hAnsi="Arial" w:cs="Arial"/>
          <w:i/>
          <w:iCs/>
          <w:sz w:val="20"/>
          <w:szCs w:val="20"/>
        </w:rPr>
        <w:t>Organization &amp; Environment</w:t>
      </w:r>
      <w:r w:rsidRPr="001B5BC1">
        <w:rPr>
          <w:rFonts w:ascii="Arial" w:hAnsi="Arial" w:cs="Arial"/>
          <w:sz w:val="20"/>
          <w:szCs w:val="20"/>
        </w:rPr>
        <w:t xml:space="preserve">, 21(4), pp. 390–419. </w:t>
      </w:r>
      <w:hyperlink r:id="rId38" w:history="1">
        <w:r w:rsidRPr="001B5BC1">
          <w:rPr>
            <w:rStyle w:val="Hyperlink"/>
            <w:rFonts w:ascii="Arial" w:hAnsi="Arial" w:cs="Arial"/>
            <w:sz w:val="20"/>
            <w:szCs w:val="20"/>
          </w:rPr>
          <w:t>https://journals.sagepub.com/doi/pdf/10.1177/1086026608326129</w:t>
        </w:r>
      </w:hyperlink>
    </w:p>
    <w:p w14:paraId="6878965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Ikram, M., Ferasso, M., Sroufe, R., &amp; Zhang, Q. (2021). Assessing green technology indicators for cleaner production and sustainable investments in a developing country context. Journal of Cleaner Production, 322, 129090.</w:t>
      </w:r>
      <w:hyperlink r:id="rId39" w:history="1">
        <w:r w:rsidRPr="001B5BC1">
          <w:rPr>
            <w:rStyle w:val="Hyperlink"/>
            <w:rFonts w:ascii="Arial" w:hAnsi="Arial" w:cs="Arial"/>
            <w:sz w:val="20"/>
            <w:szCs w:val="20"/>
          </w:rPr>
          <w:t xml:space="preserve"> https://doi.org/10.1016/j.jclepro.2021.129090</w:t>
        </w:r>
      </w:hyperlink>
      <w:r w:rsidRPr="001B5BC1">
        <w:rPr>
          <w:rFonts w:ascii="Arial" w:hAnsi="Arial" w:cs="Arial"/>
          <w:sz w:val="20"/>
          <w:szCs w:val="20"/>
        </w:rPr>
        <w:t> </w:t>
      </w:r>
    </w:p>
    <w:p w14:paraId="752D1831"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Ingrao, C., Messineo, A., Beltramo, R., Yigitcanlar, T., &amp; Ioppolo, G. (2018). How can life cycle thinking support sustainability of buildings? Investigating life cycle assessment applications for energy efficiency and environmental performance. Journal of Cleaner Production, 201, 556-569.</w:t>
      </w:r>
      <w:hyperlink r:id="rId40" w:history="1">
        <w:r w:rsidRPr="001B5BC1">
          <w:rPr>
            <w:rStyle w:val="Hyperlink"/>
            <w:rFonts w:ascii="Arial" w:hAnsi="Arial" w:cs="Arial"/>
            <w:sz w:val="20"/>
            <w:szCs w:val="20"/>
          </w:rPr>
          <w:t xml:space="preserve"> https://doi.org/10.1016/j.jclepro.2018.08.080</w:t>
        </w:r>
      </w:hyperlink>
    </w:p>
    <w:p w14:paraId="5E0608A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Intergovernmental Panel on Climate Change (IPCC) (2022) In: Pörtner H-O, Roberts DC, Tignor M, Poloczanska ES, Mintenbeck K, Alegría A, Craig M, Langsdorf S, Löschke S, Möller V, Okem A, Rama B (eds) Climate change 2022: impacts, adaptation and vulnerability. Contribution of Working Group II to the sixth assessment report of the Intergovernmental Panel on Climate Change. Cambridge University Press, Cambridge/New York, 3056 pp.</w:t>
      </w:r>
      <w:hyperlink r:id="rId41" w:history="1">
        <w:r w:rsidRPr="001B5BC1">
          <w:rPr>
            <w:rStyle w:val="Hyperlink"/>
            <w:rFonts w:ascii="Arial" w:hAnsi="Arial" w:cs="Arial"/>
            <w:sz w:val="20"/>
            <w:szCs w:val="20"/>
          </w:rPr>
          <w:t xml:space="preserve"> https://doi.org/10.1017/9781009325844</w:t>
        </w:r>
      </w:hyperlink>
    </w:p>
    <w:p w14:paraId="288714C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lastRenderedPageBreak/>
        <w:t>Kofi Agyekum, Chris Goodier, James Anthony Oppon; Key drivers for green building project financing in Ghana. Engineering, Construction and Architectural Management 16 August 2022; 29 (8): 3023–3050.</w:t>
      </w:r>
      <w:hyperlink r:id="rId42" w:history="1">
        <w:r w:rsidRPr="001B5BC1">
          <w:rPr>
            <w:rStyle w:val="Hyperlink"/>
            <w:rFonts w:ascii="Arial" w:hAnsi="Arial" w:cs="Arial"/>
            <w:sz w:val="20"/>
            <w:szCs w:val="20"/>
          </w:rPr>
          <w:t xml:space="preserve"> https://doi.org/10.1108/ECAM-02-2021-0131</w:t>
        </w:r>
      </w:hyperlink>
    </w:p>
    <w:p w14:paraId="6135313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Kolaski, K., Logan, L.R. &amp; Ioannidis, J.P.A. (2023) ‘Guidance to best tools and practices for systematic reviews’, </w:t>
      </w:r>
      <w:r w:rsidRPr="001B5BC1">
        <w:rPr>
          <w:rFonts w:ascii="Arial" w:hAnsi="Arial" w:cs="Arial"/>
          <w:i/>
          <w:iCs/>
          <w:sz w:val="20"/>
          <w:szCs w:val="20"/>
        </w:rPr>
        <w:t>Physiotherapy Practice and Research</w:t>
      </w:r>
      <w:r w:rsidRPr="001B5BC1">
        <w:rPr>
          <w:rFonts w:ascii="Arial" w:hAnsi="Arial" w:cs="Arial"/>
          <w:sz w:val="20"/>
          <w:szCs w:val="20"/>
        </w:rPr>
        <w:t xml:space="preserve">, 44(3), pp. 119–132. Available at: </w:t>
      </w:r>
      <w:hyperlink r:id="rId43" w:history="1">
        <w:r w:rsidRPr="001B5BC1">
          <w:rPr>
            <w:rStyle w:val="Hyperlink"/>
            <w:rFonts w:ascii="Arial" w:hAnsi="Arial" w:cs="Arial"/>
            <w:sz w:val="20"/>
            <w:szCs w:val="20"/>
          </w:rPr>
          <w:t>https://doi.org/10.3233/PRM-230019</w:t>
        </w:r>
      </w:hyperlink>
      <w:r w:rsidRPr="001B5BC1">
        <w:rPr>
          <w:rFonts w:ascii="Arial" w:hAnsi="Arial" w:cs="Arial"/>
          <w:sz w:val="20"/>
          <w:szCs w:val="20"/>
        </w:rPr>
        <w:t>.</w:t>
      </w:r>
    </w:p>
    <w:p w14:paraId="50AF09A3"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Kom, Z., Nethengwe, N. S., Mpandeli, N. S., &amp; Chikoore, H. (2020). Determinants of smallscale farmers’ choice and adaptive strategies in response to climatic shocks in Vhembe District, South Africa. GeoJournal, 1-24.</w:t>
      </w:r>
      <w:hyperlink r:id="rId44" w:history="1">
        <w:r w:rsidRPr="001B5BC1">
          <w:rPr>
            <w:rStyle w:val="Hyperlink"/>
            <w:rFonts w:ascii="Arial" w:hAnsi="Arial" w:cs="Arial"/>
            <w:sz w:val="20"/>
            <w:szCs w:val="20"/>
          </w:rPr>
          <w:t xml:space="preserve"> https://doi.org/10.1007/s10708-020-10272-7</w:t>
        </w:r>
      </w:hyperlink>
      <w:r w:rsidRPr="001B5BC1">
        <w:rPr>
          <w:rFonts w:ascii="Arial" w:hAnsi="Arial" w:cs="Arial"/>
          <w:sz w:val="20"/>
          <w:szCs w:val="20"/>
        </w:rPr>
        <w:t> </w:t>
      </w:r>
    </w:p>
    <w:p w14:paraId="6611A48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Lau, F., &amp; Kuziemsky, C. (Eds.). (2017). </w:t>
      </w:r>
      <w:r w:rsidRPr="001B5BC1">
        <w:rPr>
          <w:rFonts w:ascii="Arial" w:hAnsi="Arial" w:cs="Arial"/>
          <w:i/>
          <w:iCs/>
          <w:sz w:val="20"/>
          <w:szCs w:val="20"/>
        </w:rPr>
        <w:t>Methods for correlational studies</w:t>
      </w:r>
      <w:r w:rsidRPr="001B5BC1">
        <w:rPr>
          <w:rFonts w:ascii="Arial" w:hAnsi="Arial" w:cs="Arial"/>
          <w:sz w:val="20"/>
          <w:szCs w:val="20"/>
        </w:rPr>
        <w:t xml:space="preserve"> (Chapter 12). In </w:t>
      </w:r>
      <w:r w:rsidRPr="001B5BC1">
        <w:rPr>
          <w:rFonts w:ascii="Arial" w:hAnsi="Arial" w:cs="Arial"/>
          <w:i/>
          <w:iCs/>
          <w:sz w:val="20"/>
          <w:szCs w:val="20"/>
        </w:rPr>
        <w:t>Handbook of eHealth Evaluation: An Evidence</w:t>
      </w:r>
      <w:r w:rsidRPr="001B5BC1">
        <w:rPr>
          <w:rFonts w:ascii="Arial" w:hAnsi="Arial" w:cs="Arial"/>
          <w:i/>
          <w:iCs/>
          <w:sz w:val="20"/>
          <w:szCs w:val="20"/>
        </w:rPr>
        <w:noBreakHyphen/>
        <w:t>based Approach</w:t>
      </w:r>
      <w:r w:rsidRPr="001B5BC1">
        <w:rPr>
          <w:rFonts w:ascii="Arial" w:hAnsi="Arial" w:cs="Arial"/>
          <w:sz w:val="20"/>
          <w:szCs w:val="20"/>
        </w:rPr>
        <w:t xml:space="preserve"> [Internet]. University of Victoria. </w:t>
      </w:r>
      <w:r w:rsidRPr="001B5BC1">
        <w:rPr>
          <w:rFonts w:ascii="Arial" w:hAnsi="Arial" w:cs="Arial"/>
          <w:i/>
          <w:iCs/>
          <w:sz w:val="20"/>
          <w:szCs w:val="20"/>
        </w:rPr>
        <w:t>National Center for Biotechnology Information</w:t>
      </w:r>
      <w:r w:rsidRPr="001B5BC1">
        <w:rPr>
          <w:rFonts w:ascii="Arial" w:hAnsi="Arial" w:cs="Arial"/>
          <w:sz w:val="20"/>
          <w:szCs w:val="20"/>
        </w:rPr>
        <w:t xml:space="preserve"> (US).</w:t>
      </w:r>
      <w:hyperlink r:id="rId45" w:history="1">
        <w:r w:rsidRPr="001B5BC1">
          <w:rPr>
            <w:rStyle w:val="Hyperlink"/>
            <w:rFonts w:ascii="Arial" w:hAnsi="Arial" w:cs="Arial"/>
            <w:sz w:val="20"/>
            <w:szCs w:val="20"/>
          </w:rPr>
          <w:t xml:space="preserve"> https://pubmed.ncbi.nlm.nih.gov/29431951/</w:t>
        </w:r>
      </w:hyperlink>
    </w:p>
    <w:p w14:paraId="4DE2BC7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Listokin, D. and Hattis, D.B. (2005) ‘Building codes and housing’, </w:t>
      </w:r>
      <w:r w:rsidRPr="001B5BC1">
        <w:rPr>
          <w:rFonts w:ascii="Arial" w:hAnsi="Arial" w:cs="Arial"/>
          <w:i/>
          <w:iCs/>
          <w:sz w:val="20"/>
          <w:szCs w:val="20"/>
        </w:rPr>
        <w:t>Cityscape</w:t>
      </w:r>
      <w:r w:rsidRPr="001B5BC1">
        <w:rPr>
          <w:rFonts w:ascii="Arial" w:hAnsi="Arial" w:cs="Arial"/>
          <w:sz w:val="20"/>
          <w:szCs w:val="20"/>
        </w:rPr>
        <w:t>, 8(1), pp. 21–67. Published by US Department of Housing and Urban Development. Available at:</w:t>
      </w:r>
      <w:hyperlink r:id="rId46" w:history="1">
        <w:r w:rsidRPr="001B5BC1">
          <w:rPr>
            <w:rStyle w:val="Hyperlink"/>
            <w:rFonts w:ascii="Arial" w:hAnsi="Arial" w:cs="Arial"/>
            <w:sz w:val="20"/>
            <w:szCs w:val="20"/>
          </w:rPr>
          <w:t xml:space="preserve"> https://www.jstor.org/stable/20868571</w:t>
        </w:r>
      </w:hyperlink>
    </w:p>
    <w:p w14:paraId="0E651C1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Michael Addy, Emmanuel Adinyira, James Cofie Danku, Florence Dadzoe; Impediments to the development of the green building market in sub-Saharan Africa: the case of Ghana. Smart and Sustainable Built Environment 17 June 2021; 10 (2): 193–207.</w:t>
      </w:r>
      <w:hyperlink r:id="rId47" w:history="1">
        <w:r w:rsidRPr="001B5BC1">
          <w:rPr>
            <w:rStyle w:val="Hyperlink"/>
            <w:rFonts w:ascii="Arial" w:hAnsi="Arial" w:cs="Arial"/>
            <w:sz w:val="20"/>
            <w:szCs w:val="20"/>
          </w:rPr>
          <w:t xml:space="preserve"> https://doi.org/10.1108/SASBE-12-2019-0170</w:t>
        </w:r>
      </w:hyperlink>
    </w:p>
    <w:p w14:paraId="57F45A2D"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Ministry of Foreign Affairs. (2026). About Ghana: Regions. </w:t>
      </w:r>
      <w:hyperlink r:id="rId48" w:history="1">
        <w:r w:rsidRPr="001B5BC1">
          <w:rPr>
            <w:rStyle w:val="Hyperlink"/>
            <w:rFonts w:ascii="Arial" w:hAnsi="Arial" w:cs="Arial"/>
            <w:sz w:val="20"/>
            <w:szCs w:val="20"/>
          </w:rPr>
          <w:t>https://mfa.gov.gh/index.php/about-ghana/regions/</w:t>
        </w:r>
      </w:hyperlink>
      <w:r w:rsidRPr="001B5BC1">
        <w:rPr>
          <w:rFonts w:ascii="Arial" w:hAnsi="Arial" w:cs="Arial"/>
          <w:sz w:val="20"/>
          <w:szCs w:val="20"/>
        </w:rPr>
        <w:t> </w:t>
      </w:r>
    </w:p>
    <w:p w14:paraId="543461C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Misra, A. K. (2014). Climate change and challenges of water and food security. International Journal of Sustainable Built Environment, 3(1), 153–165. </w:t>
      </w:r>
      <w:hyperlink r:id="rId49" w:history="1">
        <w:r w:rsidRPr="001B5BC1">
          <w:rPr>
            <w:rStyle w:val="Hyperlink"/>
            <w:rFonts w:ascii="Arial" w:hAnsi="Arial" w:cs="Arial"/>
            <w:sz w:val="20"/>
            <w:szCs w:val="20"/>
          </w:rPr>
          <w:t>https://doi.org/10.1016/j.ijsbe.2014.04.006</w:t>
        </w:r>
      </w:hyperlink>
    </w:p>
    <w:p w14:paraId="78985C5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Moher, D., Liberati, A., Tetzlaff, J., &amp; Altman, D. G. (2009). Preferred reporting items for systematic reviews and meta-analyses: The PRISMA statement. </w:t>
      </w:r>
      <w:r w:rsidRPr="001B5BC1">
        <w:rPr>
          <w:rFonts w:ascii="Arial" w:hAnsi="Arial" w:cs="Arial"/>
          <w:i/>
          <w:iCs/>
          <w:sz w:val="20"/>
          <w:szCs w:val="20"/>
        </w:rPr>
        <w:t>PLoS Medicine, 6</w:t>
      </w:r>
      <w:r w:rsidRPr="001B5BC1">
        <w:rPr>
          <w:rFonts w:ascii="Arial" w:hAnsi="Arial" w:cs="Arial"/>
          <w:sz w:val="20"/>
          <w:szCs w:val="20"/>
        </w:rPr>
        <w:t>(7), e1000097.</w:t>
      </w:r>
      <w:r w:rsidRPr="001B5BC1">
        <w:rPr>
          <w:rFonts w:ascii="Arial" w:hAnsi="Arial" w:cs="Arial"/>
          <w:sz w:val="20"/>
          <w:szCs w:val="20"/>
        </w:rPr>
        <w:br/>
      </w:r>
      <w:hyperlink r:id="rId50" w:history="1">
        <w:r w:rsidRPr="001B5BC1">
          <w:rPr>
            <w:rStyle w:val="Hyperlink"/>
            <w:rFonts w:ascii="Arial" w:hAnsi="Arial" w:cs="Arial"/>
            <w:sz w:val="20"/>
            <w:szCs w:val="20"/>
          </w:rPr>
          <w:t xml:space="preserve"> https://doi.org/10.1371/journal.pmed.1000097</w:t>
        </w:r>
      </w:hyperlink>
    </w:p>
    <w:p w14:paraId="081C882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Ofori-Boadu, A., Owusu-Manu, D., Edwards, D. J., &amp; Holt, G. D. (2018). Exploration of management practices for LEED projects: Lessons for green building projects in Ghana. Journal of Engineering, Design and Technology, 16(1), 121-141. </w:t>
      </w:r>
      <w:hyperlink r:id="rId51" w:history="1">
        <w:r w:rsidRPr="001B5BC1">
          <w:rPr>
            <w:rStyle w:val="Hyperlink"/>
            <w:rFonts w:ascii="Arial" w:hAnsi="Arial" w:cs="Arial"/>
            <w:sz w:val="20"/>
            <w:szCs w:val="20"/>
          </w:rPr>
          <w:t>https://doi.org/10.1108/02630801211228743</w:t>
        </w:r>
      </w:hyperlink>
    </w:p>
    <w:p w14:paraId="499EDE69"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Owusu, P. A., &amp; Asumadu-Sarkodie, S. (2016). A review of renewable energy sources, sustainability issues and climate change mitigation. Cogent Engineering, 3(1),</w:t>
      </w:r>
      <w:hyperlink r:id="rId52" w:history="1">
        <w:r w:rsidRPr="001B5BC1">
          <w:rPr>
            <w:rStyle w:val="Hyperlink"/>
            <w:rFonts w:ascii="Arial" w:hAnsi="Arial" w:cs="Arial"/>
            <w:sz w:val="20"/>
            <w:szCs w:val="20"/>
          </w:rPr>
          <w:t xml:space="preserve"> https://doi.org/10.1080/23311916.2016.1167990</w:t>
        </w:r>
      </w:hyperlink>
    </w:p>
    <w:p w14:paraId="6EC7311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Owusu-Ansah, K.K. (2024) </w:t>
      </w:r>
      <w:r w:rsidRPr="001B5BC1">
        <w:rPr>
          <w:rFonts w:ascii="Arial" w:hAnsi="Arial" w:cs="Arial"/>
          <w:i/>
          <w:iCs/>
          <w:sz w:val="20"/>
          <w:szCs w:val="20"/>
        </w:rPr>
        <w:t>Sustainable development: implications for urban employment in emerging global cities – a case study of Accra, Ghana</w:t>
      </w:r>
      <w:r w:rsidRPr="001B5BC1">
        <w:rPr>
          <w:rFonts w:ascii="Arial" w:hAnsi="Arial" w:cs="Arial"/>
          <w:sz w:val="20"/>
          <w:szCs w:val="20"/>
        </w:rPr>
        <w:t xml:space="preserve">. MA thesis, University of Wyoming, School of Politics, Public Affairs, and International Studies, Laramie, WY. </w:t>
      </w:r>
      <w:hyperlink r:id="rId53" w:history="1">
        <w:r w:rsidRPr="001B5BC1">
          <w:rPr>
            <w:rStyle w:val="Hyperlink"/>
            <w:rFonts w:ascii="Arial" w:hAnsi="Arial" w:cs="Arial"/>
            <w:sz w:val="20"/>
            <w:szCs w:val="20"/>
          </w:rPr>
          <w:t>https://www.proquest.com/openview/df07bb1593ac3bfff24405ab92189b25/1?cbl=18750&amp;diss=y&amp;pq-origsite=gscholar</w:t>
        </w:r>
      </w:hyperlink>
    </w:p>
    <w:p w14:paraId="6AB436F8"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Owusu-Manu, D. G., Babon-Ayeng, P., Kissi, E., Edwards, D. J., Okyere-Antwi, D., &amp; Elgohary, H. (2023). Green construction and environmental performance: anassessment framework. Smart and Sustainable Built Environment, 12(3), 565–583. </w:t>
      </w:r>
      <w:hyperlink r:id="rId54" w:history="1">
        <w:r w:rsidRPr="001B5BC1">
          <w:rPr>
            <w:rStyle w:val="Hyperlink"/>
            <w:rFonts w:ascii="Arial" w:hAnsi="Arial" w:cs="Arial"/>
            <w:sz w:val="20"/>
            <w:szCs w:val="20"/>
          </w:rPr>
          <w:t>https://doi.org/10.1108/SASBE-07-2021-0120</w:t>
        </w:r>
      </w:hyperlink>
    </w:p>
    <w:p w14:paraId="1EADB7AA"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Page, M. J., McKenzie, J. E., Bossuyt, P. M., et al. (2021). The PRISMA 2020 statement: An updated guideline for reporting systematic reviews. </w:t>
      </w:r>
      <w:r w:rsidRPr="001B5BC1">
        <w:rPr>
          <w:rFonts w:ascii="Arial" w:hAnsi="Arial" w:cs="Arial"/>
          <w:i/>
          <w:iCs/>
          <w:sz w:val="20"/>
          <w:szCs w:val="20"/>
        </w:rPr>
        <w:t>BMJ, 372</w:t>
      </w:r>
      <w:r w:rsidRPr="001B5BC1">
        <w:rPr>
          <w:rFonts w:ascii="Arial" w:hAnsi="Arial" w:cs="Arial"/>
          <w:sz w:val="20"/>
          <w:szCs w:val="20"/>
        </w:rPr>
        <w:t>, n71.</w:t>
      </w:r>
      <w:r w:rsidRPr="001B5BC1">
        <w:rPr>
          <w:rFonts w:ascii="Arial" w:hAnsi="Arial" w:cs="Arial"/>
          <w:sz w:val="20"/>
          <w:szCs w:val="20"/>
        </w:rPr>
        <w:br/>
      </w:r>
      <w:hyperlink r:id="rId55" w:history="1">
        <w:r w:rsidRPr="001B5BC1">
          <w:rPr>
            <w:rStyle w:val="Hyperlink"/>
            <w:rFonts w:ascii="Arial" w:hAnsi="Arial" w:cs="Arial"/>
            <w:sz w:val="20"/>
            <w:szCs w:val="20"/>
          </w:rPr>
          <w:t xml:space="preserve"> https://doi.org/10.1136/bmj.n71</w:t>
        </w:r>
      </w:hyperlink>
    </w:p>
    <w:p w14:paraId="096BB9FF"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lastRenderedPageBreak/>
        <w:t xml:space="preserve">Paré, G. &amp; Kitsiou, S. (2017) ‘Chapter 9 Methods for Literature Reviews’, in Lau, F. &amp; Kuziemsky, C. (eds.) </w:t>
      </w:r>
      <w:r w:rsidRPr="001B5BC1">
        <w:rPr>
          <w:rFonts w:ascii="Arial" w:hAnsi="Arial" w:cs="Arial"/>
          <w:i/>
          <w:iCs/>
          <w:sz w:val="20"/>
          <w:szCs w:val="20"/>
        </w:rPr>
        <w:t>Handbook of eHealth Evaluation: An Evidence-Based Approach</w:t>
      </w:r>
      <w:r w:rsidRPr="001B5BC1">
        <w:rPr>
          <w:rFonts w:ascii="Arial" w:hAnsi="Arial" w:cs="Arial"/>
          <w:sz w:val="20"/>
          <w:szCs w:val="20"/>
        </w:rPr>
        <w:t xml:space="preserve">. Victoria, BC: University of Victoria. Available at: </w:t>
      </w:r>
      <w:hyperlink r:id="rId56" w:history="1">
        <w:r w:rsidRPr="001B5BC1">
          <w:rPr>
            <w:rStyle w:val="Hyperlink"/>
            <w:rFonts w:ascii="Arial" w:hAnsi="Arial" w:cs="Arial"/>
            <w:sz w:val="20"/>
            <w:szCs w:val="20"/>
          </w:rPr>
          <w:t>https://www.ncbi.nlm.nih.gov/books/NBK481583/</w:t>
        </w:r>
      </w:hyperlink>
    </w:p>
    <w:p w14:paraId="04CB18D3"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Paré, G., Trudel, M</w:t>
      </w:r>
      <w:r w:rsidRPr="001B5BC1">
        <w:rPr>
          <w:rFonts w:ascii="Arial" w:hAnsi="Arial" w:cs="Arial"/>
          <w:sz w:val="20"/>
          <w:szCs w:val="20"/>
        </w:rPr>
        <w:noBreakHyphen/>
        <w:t xml:space="preserve">C., Jaana, M. &amp; Kitsiou, S. (2015) ‘Synthesizing information systems knowledge: A typology of literature reviews’, </w:t>
      </w:r>
      <w:r w:rsidRPr="001B5BC1">
        <w:rPr>
          <w:rFonts w:ascii="Arial" w:hAnsi="Arial" w:cs="Arial"/>
          <w:i/>
          <w:iCs/>
          <w:sz w:val="20"/>
          <w:szCs w:val="20"/>
        </w:rPr>
        <w:t>Information &amp; Management</w:t>
      </w:r>
      <w:r w:rsidRPr="001B5BC1">
        <w:rPr>
          <w:rFonts w:ascii="Arial" w:hAnsi="Arial" w:cs="Arial"/>
          <w:sz w:val="20"/>
          <w:szCs w:val="20"/>
        </w:rPr>
        <w:t>, 52(2), pp. 183–199. Available at:</w:t>
      </w:r>
      <w:hyperlink r:id="rId57" w:history="1">
        <w:r w:rsidRPr="001B5BC1">
          <w:rPr>
            <w:rStyle w:val="Hyperlink"/>
            <w:rFonts w:ascii="Arial" w:hAnsi="Arial" w:cs="Arial"/>
            <w:sz w:val="20"/>
            <w:szCs w:val="20"/>
          </w:rPr>
          <w:t xml:space="preserve"> https://doi.org/10.1016/j.im.2014.08.008.</w:t>
        </w:r>
      </w:hyperlink>
    </w:p>
    <w:p w14:paraId="7E83F811"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Popay, J., Roberts, H., Sowden, A. &amp; Petticrew, M. (2006) </w:t>
      </w:r>
      <w:r w:rsidRPr="001B5BC1">
        <w:rPr>
          <w:rFonts w:ascii="Arial" w:hAnsi="Arial" w:cs="Arial"/>
          <w:i/>
          <w:iCs/>
          <w:sz w:val="20"/>
          <w:szCs w:val="20"/>
        </w:rPr>
        <w:t>Guidance on the conduct of narrative synthesis in systematic reviews: A product from the ESRC Methods Programme</w:t>
      </w:r>
      <w:r w:rsidRPr="001B5BC1">
        <w:rPr>
          <w:rFonts w:ascii="Arial" w:hAnsi="Arial" w:cs="Arial"/>
          <w:sz w:val="20"/>
          <w:szCs w:val="20"/>
        </w:rPr>
        <w:t xml:space="preserve">. Lancaster: Lancaster University. Available at: </w:t>
      </w:r>
      <w:hyperlink r:id="rId58" w:history="1">
        <w:r w:rsidRPr="001B5BC1">
          <w:rPr>
            <w:rStyle w:val="Hyperlink"/>
            <w:rFonts w:ascii="Arial" w:hAnsi="Arial" w:cs="Arial"/>
            <w:sz w:val="20"/>
            <w:szCs w:val="20"/>
          </w:rPr>
          <w:t>https://doi.org/10.13140/2.1.1018.4643</w:t>
        </w:r>
      </w:hyperlink>
    </w:p>
    <w:p w14:paraId="27D0A4D4"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Saleh, A., Saleh, N., Ali, O., Hasan, R., Ahmed, O., Alias, A., &amp; Yassin, K. (2024). Green building techniques: Under the umbrella of the climate framework agreement. Babylonian Journal of Machine Learning, 2024, 1–14 </w:t>
      </w:r>
      <w:hyperlink r:id="rId59" w:history="1">
        <w:r w:rsidRPr="001B5BC1">
          <w:rPr>
            <w:rStyle w:val="Hyperlink"/>
            <w:rFonts w:ascii="Arial" w:hAnsi="Arial" w:cs="Arial"/>
            <w:sz w:val="20"/>
            <w:szCs w:val="20"/>
          </w:rPr>
          <w:t>https://doi.org/10.58496/BJML/2024/001</w:t>
        </w:r>
      </w:hyperlink>
    </w:p>
    <w:p w14:paraId="0A502E36"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Shaheen N, Shaheen A, Ramadan A, Hefnawy MT, Ramadan A, Ibrahim IA, Hassanein ME, Ashour ME and Flouty O (2023) Appraising systematic reviews: a comprehensive guide to ensuring validity and reliability. Front. Res. Metr. Anal. 8:1268045. Doi: </w:t>
      </w:r>
      <w:hyperlink r:id="rId60" w:history="1">
        <w:r w:rsidRPr="001B5BC1">
          <w:rPr>
            <w:rStyle w:val="Hyperlink"/>
            <w:rFonts w:ascii="Arial" w:hAnsi="Arial" w:cs="Arial"/>
            <w:sz w:val="20"/>
            <w:szCs w:val="20"/>
          </w:rPr>
          <w:t>https://doi.org/10.3389/frma.2023.1268045</w:t>
        </w:r>
      </w:hyperlink>
      <w:r w:rsidRPr="001B5BC1">
        <w:rPr>
          <w:rFonts w:ascii="Arial" w:hAnsi="Arial" w:cs="Arial"/>
          <w:sz w:val="20"/>
          <w:szCs w:val="20"/>
        </w:rPr>
        <w:t> </w:t>
      </w:r>
    </w:p>
    <w:p w14:paraId="41099540"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Tozer, L. (2020). Catalyzing political momentum for the effective implementation of decarbonization for urban buildings. </w:t>
      </w:r>
      <w:r w:rsidRPr="001B5BC1">
        <w:rPr>
          <w:rFonts w:ascii="Arial" w:hAnsi="Arial" w:cs="Arial"/>
          <w:i/>
          <w:iCs/>
          <w:sz w:val="20"/>
          <w:szCs w:val="20"/>
        </w:rPr>
        <w:t>Energy Policy</w:t>
      </w:r>
      <w:r w:rsidRPr="001B5BC1">
        <w:rPr>
          <w:rFonts w:ascii="Arial" w:hAnsi="Arial" w:cs="Arial"/>
          <w:sz w:val="20"/>
          <w:szCs w:val="20"/>
        </w:rPr>
        <w:t xml:space="preserve">, </w:t>
      </w:r>
      <w:r w:rsidRPr="001B5BC1">
        <w:rPr>
          <w:rFonts w:ascii="Arial" w:hAnsi="Arial" w:cs="Arial"/>
          <w:i/>
          <w:iCs/>
          <w:sz w:val="20"/>
          <w:szCs w:val="20"/>
        </w:rPr>
        <w:t>136</w:t>
      </w:r>
      <w:r w:rsidRPr="001B5BC1">
        <w:rPr>
          <w:rFonts w:ascii="Arial" w:hAnsi="Arial" w:cs="Arial"/>
          <w:sz w:val="20"/>
          <w:szCs w:val="20"/>
        </w:rPr>
        <w:t>, 111042.</w:t>
      </w:r>
      <w:hyperlink r:id="rId61" w:history="1">
        <w:r w:rsidRPr="001B5BC1">
          <w:rPr>
            <w:rStyle w:val="Hyperlink"/>
            <w:rFonts w:ascii="Arial" w:hAnsi="Arial" w:cs="Arial"/>
            <w:sz w:val="20"/>
            <w:szCs w:val="20"/>
          </w:rPr>
          <w:t xml:space="preserve"> https://doi.org/10.1016/j.enpol.2019.111042</w:t>
        </w:r>
      </w:hyperlink>
    </w:p>
    <w:p w14:paraId="27AF849B"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U.S. Environmental Protection Agency. (2023, May). Basic Information about Green Building. Retrieved from </w:t>
      </w:r>
      <w:hyperlink r:id="rId62" w:history="1">
        <w:r w:rsidRPr="001B5BC1">
          <w:rPr>
            <w:rStyle w:val="Hyperlink"/>
            <w:rFonts w:ascii="Arial" w:hAnsi="Arial" w:cs="Arial"/>
            <w:sz w:val="20"/>
            <w:szCs w:val="20"/>
          </w:rPr>
          <w:t>https://www.epa.gov/green-building/basic-information-about-green-building</w:t>
        </w:r>
      </w:hyperlink>
      <w:r w:rsidRPr="001B5BC1">
        <w:rPr>
          <w:rFonts w:ascii="Arial" w:hAnsi="Arial" w:cs="Arial"/>
          <w:sz w:val="20"/>
          <w:szCs w:val="20"/>
        </w:rPr>
        <w:t> </w:t>
      </w:r>
    </w:p>
    <w:p w14:paraId="137EE54F"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UN Environment Programme. (2021). Adaptation Gap Report 2021: The gathering storm. UNEP. </w:t>
      </w:r>
      <w:hyperlink r:id="rId63" w:history="1">
        <w:r w:rsidRPr="001B5BC1">
          <w:rPr>
            <w:rStyle w:val="Hyperlink"/>
            <w:rFonts w:ascii="Arial" w:hAnsi="Arial" w:cs="Arial"/>
            <w:sz w:val="20"/>
            <w:szCs w:val="20"/>
          </w:rPr>
          <w:t>https://www.unep.org/resources/adaptation-gap-report-2021</w:t>
        </w:r>
      </w:hyperlink>
      <w:r w:rsidRPr="001B5BC1">
        <w:rPr>
          <w:rFonts w:ascii="Arial" w:hAnsi="Arial" w:cs="Arial"/>
          <w:sz w:val="20"/>
          <w:szCs w:val="20"/>
        </w:rPr>
        <w:t> </w:t>
      </w:r>
    </w:p>
    <w:p w14:paraId="062FC79E"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World Bank. (2020). Enhancing the Climate Resilience of Africa’s Infrastructure: The Power and Water Sectors. The World Bank. </w:t>
      </w:r>
      <w:hyperlink r:id="rId64" w:history="1">
        <w:r w:rsidRPr="001B5BC1">
          <w:rPr>
            <w:rStyle w:val="Hyperlink"/>
            <w:rFonts w:ascii="Arial" w:hAnsi="Arial" w:cs="Arial"/>
            <w:sz w:val="20"/>
            <w:szCs w:val="20"/>
          </w:rPr>
          <w:t>https://documents.worldbank.org/en/publication/documents-reports/documentdetail/857671468179354431</w:t>
        </w:r>
      </w:hyperlink>
      <w:r w:rsidRPr="001B5BC1">
        <w:rPr>
          <w:rFonts w:ascii="Arial" w:hAnsi="Arial" w:cs="Arial"/>
          <w:sz w:val="20"/>
          <w:szCs w:val="20"/>
        </w:rPr>
        <w:t> </w:t>
      </w:r>
    </w:p>
    <w:p w14:paraId="7209A98C" w14:textId="77777777" w:rsidR="001B5BC1" w:rsidRPr="001B5BC1" w:rsidRDefault="001B5BC1" w:rsidP="001B5BC1">
      <w:pPr>
        <w:ind w:left="720" w:hanging="720"/>
        <w:jc w:val="both"/>
        <w:rPr>
          <w:rFonts w:ascii="Arial" w:hAnsi="Arial" w:cs="Arial"/>
          <w:sz w:val="20"/>
          <w:szCs w:val="20"/>
        </w:rPr>
      </w:pPr>
      <w:r w:rsidRPr="001B5BC1">
        <w:rPr>
          <w:rFonts w:ascii="Arial" w:hAnsi="Arial" w:cs="Arial"/>
          <w:sz w:val="20"/>
          <w:szCs w:val="20"/>
        </w:rPr>
        <w:t xml:space="preserve">Zuo, J., &amp; Zhao, Z. Y. (2014). Green building research–current status and future agenda: A review. Renewable and Sustainable Energy Reviews, 30, 271-281. </w:t>
      </w:r>
      <w:hyperlink r:id="rId65" w:history="1">
        <w:r w:rsidRPr="001B5BC1">
          <w:rPr>
            <w:rStyle w:val="Hyperlink"/>
            <w:rFonts w:ascii="Arial" w:hAnsi="Arial" w:cs="Arial"/>
            <w:sz w:val="20"/>
            <w:szCs w:val="20"/>
          </w:rPr>
          <w:t>https://doi.org/10.1016/j.rser.2013.10.021</w:t>
        </w:r>
      </w:hyperlink>
    </w:p>
    <w:p w14:paraId="77BA660E" w14:textId="77777777" w:rsidR="001B5BC1" w:rsidRPr="001B5BC1" w:rsidRDefault="001B5BC1" w:rsidP="001B5BC1">
      <w:pPr>
        <w:ind w:left="720" w:hanging="720"/>
        <w:jc w:val="both"/>
        <w:rPr>
          <w:rFonts w:ascii="Arial" w:hAnsi="Arial" w:cs="Arial"/>
          <w:sz w:val="20"/>
          <w:szCs w:val="20"/>
        </w:rPr>
      </w:pPr>
    </w:p>
    <w:p w14:paraId="46C26BBE" w14:textId="77777777" w:rsidR="0032160F" w:rsidRPr="00AD7332" w:rsidRDefault="0032160F" w:rsidP="001B5BC1">
      <w:pPr>
        <w:jc w:val="both"/>
        <w:rPr>
          <w:rFonts w:ascii="Arial" w:hAnsi="Arial" w:cs="Arial"/>
          <w:sz w:val="20"/>
          <w:szCs w:val="20"/>
        </w:rPr>
      </w:pPr>
    </w:p>
    <w:sectPr w:rsidR="0032160F" w:rsidRPr="00AD7332">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asnia Bahar Chowdhury/CCP/BRAC" w:date="2026-02-09T19:53:00Z" w:initials="TC">
    <w:p w14:paraId="2A57FAD9" w14:textId="77777777" w:rsidR="00B60E5B" w:rsidRDefault="00B60E5B">
      <w:pPr>
        <w:pStyle w:val="CommentText"/>
      </w:pPr>
      <w:r>
        <w:rPr>
          <w:rStyle w:val="CommentReference"/>
        </w:rPr>
        <w:annotationRef/>
      </w:r>
      <w:r>
        <w:t xml:space="preserve">This section requires a comprehensive </w:t>
      </w:r>
      <w:r w:rsidRPr="00B60E5B">
        <w:t>edit</w:t>
      </w:r>
      <w:r>
        <w:t xml:space="preserve"> to match the overall paper. </w:t>
      </w:r>
    </w:p>
    <w:p w14:paraId="2BA48478" w14:textId="61BBFF42" w:rsidR="00B60E5B" w:rsidRDefault="00B60E5B">
      <w:pPr>
        <w:pStyle w:val="CommentText"/>
      </w:pPr>
      <w:r>
        <w:t xml:space="preserve">Need to add more </w:t>
      </w:r>
      <w:r w:rsidRPr="00B60E5B">
        <w:t>findings</w:t>
      </w:r>
      <w:r>
        <w:t xml:space="preserve"> than the generic intro.</w:t>
      </w:r>
    </w:p>
  </w:comment>
  <w:comment w:id="2" w:author="Tasnia Bahar Chowdhury/CCP/BRAC" w:date="2026-02-09T19:46:00Z" w:initials="TC">
    <w:p w14:paraId="3505AA64" w14:textId="500F36FA" w:rsidR="003E2727" w:rsidRDefault="003E2727">
      <w:pPr>
        <w:pStyle w:val="CommentText"/>
      </w:pPr>
      <w:r>
        <w:rPr>
          <w:rStyle w:val="CommentReference"/>
        </w:rPr>
        <w:annotationRef/>
      </w:r>
      <w:r w:rsidRPr="003E2727">
        <w:t>The methodology</w:t>
      </w:r>
      <w:r>
        <w:t xml:space="preserve"> part is too broad. Need to be more precise and short.</w:t>
      </w:r>
    </w:p>
  </w:comment>
  <w:comment w:id="3" w:author="Tasnia Bahar Chowdhury/CCP/BRAC" w:date="2026-02-09T19:42:00Z" w:initials="TC">
    <w:p w14:paraId="1197660A" w14:textId="16E6939E" w:rsidR="003E2727" w:rsidRDefault="003E2727">
      <w:pPr>
        <w:pStyle w:val="CommentText"/>
      </w:pPr>
      <w:r>
        <w:rPr>
          <w:rStyle w:val="CommentReference"/>
        </w:rPr>
        <w:annotationRef/>
      </w:r>
      <w:r>
        <w:t>Please use more recent reference. Preferably, 2020 and above.</w:t>
      </w:r>
    </w:p>
  </w:comment>
  <w:comment w:id="4" w:author="Tasnia Bahar Chowdhury/CCP/BRAC" w:date="2026-02-09T19:43:00Z" w:initials="TC">
    <w:p w14:paraId="5312A1E8" w14:textId="6C41D7EE" w:rsidR="003E2727" w:rsidRDefault="003E2727">
      <w:pPr>
        <w:pStyle w:val="CommentText"/>
      </w:pPr>
      <w:r>
        <w:rPr>
          <w:rStyle w:val="CommentReference"/>
        </w:rPr>
        <w:annotationRef/>
      </w:r>
      <w:r>
        <w:t xml:space="preserve">Use recent papers as </w:t>
      </w:r>
      <w:r w:rsidRPr="003E2727">
        <w:t xml:space="preserve">a </w:t>
      </w:r>
      <w:r>
        <w:t>reference. Preferably 2020 and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48478" w15:done="0"/>
  <w15:commentEx w15:paraId="3505AA64" w15:done="0"/>
  <w15:commentEx w15:paraId="1197660A" w15:done="0"/>
  <w15:commentEx w15:paraId="5312A1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895CC" w16cex:dateUtc="2026-02-09T13:53:00Z"/>
  <w16cex:commentExtensible w16cex:durableId="1A13F8A8" w16cex:dateUtc="2026-02-09T13:46:00Z"/>
  <w16cex:commentExtensible w16cex:durableId="1B6FACA6" w16cex:dateUtc="2026-02-09T13:42:00Z"/>
  <w16cex:commentExtensible w16cex:durableId="0877C409" w16cex:dateUtc="2026-02-0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48478" w16cid:durableId="78B895CC"/>
  <w16cid:commentId w16cid:paraId="3505AA64" w16cid:durableId="1A13F8A8"/>
  <w16cid:commentId w16cid:paraId="1197660A" w16cid:durableId="1B6FACA6"/>
  <w16cid:commentId w16cid:paraId="5312A1E8" w16cid:durableId="0877C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E261" w14:textId="77777777" w:rsidR="00C53C7E" w:rsidRDefault="00C53C7E" w:rsidP="005E4F62">
      <w:pPr>
        <w:spacing w:after="0" w:line="240" w:lineRule="auto"/>
      </w:pPr>
      <w:r>
        <w:separator/>
      </w:r>
    </w:p>
  </w:endnote>
  <w:endnote w:type="continuationSeparator" w:id="0">
    <w:p w14:paraId="6719159C" w14:textId="77777777" w:rsidR="00C53C7E" w:rsidRDefault="00C53C7E" w:rsidP="005E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10F" w14:textId="77777777" w:rsidR="00D25BF4" w:rsidRDefault="00D2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4AD2" w14:textId="77777777" w:rsidR="00D25BF4" w:rsidRDefault="00D25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6F78" w14:textId="77777777" w:rsidR="00D25BF4" w:rsidRDefault="00D2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14BE" w14:textId="77777777" w:rsidR="00C53C7E" w:rsidRDefault="00C53C7E" w:rsidP="005E4F62">
      <w:pPr>
        <w:spacing w:after="0" w:line="240" w:lineRule="auto"/>
      </w:pPr>
      <w:r>
        <w:separator/>
      </w:r>
    </w:p>
  </w:footnote>
  <w:footnote w:type="continuationSeparator" w:id="0">
    <w:p w14:paraId="602FBBB8" w14:textId="77777777" w:rsidR="00C53C7E" w:rsidRDefault="00C53C7E" w:rsidP="005E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AAC7" w14:textId="0935FDAF" w:rsidR="00D25BF4" w:rsidRDefault="00000000">
    <w:pPr>
      <w:pStyle w:val="Header"/>
    </w:pPr>
    <w:r>
      <w:rPr>
        <w:noProof/>
      </w:rPr>
      <w:pict w14:anchorId="03059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0890" w14:textId="4E30EE21" w:rsidR="00D25BF4" w:rsidRDefault="00000000">
    <w:pPr>
      <w:pStyle w:val="Header"/>
    </w:pPr>
    <w:r>
      <w:rPr>
        <w:noProof/>
      </w:rPr>
      <w:pict w14:anchorId="534D0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645B" w14:textId="206F8336" w:rsidR="00D25BF4" w:rsidRDefault="00000000">
    <w:pPr>
      <w:pStyle w:val="Header"/>
    </w:pPr>
    <w:r>
      <w:rPr>
        <w:noProof/>
      </w:rPr>
      <w:pict w14:anchorId="0161C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snia Bahar Chowdhury/CCP/BRAC">
    <w15:presenceInfo w15:providerId="AD" w15:userId="S::280028@brac.net::3104117f-1778-4742-a999-22791da1f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tjSxsDQ3NTW1sLRQ0lEKTi0uzszPAykwrAUAiLL/xywAAAA="/>
  </w:docVars>
  <w:rsids>
    <w:rsidRoot w:val="00B72DE8"/>
    <w:rsid w:val="00067507"/>
    <w:rsid w:val="0007793C"/>
    <w:rsid w:val="00092F79"/>
    <w:rsid w:val="00141D4F"/>
    <w:rsid w:val="00154F45"/>
    <w:rsid w:val="0017412E"/>
    <w:rsid w:val="001B5BC1"/>
    <w:rsid w:val="001C5C32"/>
    <w:rsid w:val="00236BAF"/>
    <w:rsid w:val="00242087"/>
    <w:rsid w:val="002678A2"/>
    <w:rsid w:val="00271D6F"/>
    <w:rsid w:val="002B34B4"/>
    <w:rsid w:val="002C4F80"/>
    <w:rsid w:val="002C60D8"/>
    <w:rsid w:val="002D055C"/>
    <w:rsid w:val="002F7F5F"/>
    <w:rsid w:val="0032160F"/>
    <w:rsid w:val="003904BF"/>
    <w:rsid w:val="003D06A9"/>
    <w:rsid w:val="003E2727"/>
    <w:rsid w:val="00484B3A"/>
    <w:rsid w:val="00490692"/>
    <w:rsid w:val="005170D0"/>
    <w:rsid w:val="005333E2"/>
    <w:rsid w:val="00533F99"/>
    <w:rsid w:val="00571CD9"/>
    <w:rsid w:val="00592C96"/>
    <w:rsid w:val="005A020A"/>
    <w:rsid w:val="005A1DA6"/>
    <w:rsid w:val="005B0630"/>
    <w:rsid w:val="005C62EC"/>
    <w:rsid w:val="005D6270"/>
    <w:rsid w:val="005D687D"/>
    <w:rsid w:val="005E2179"/>
    <w:rsid w:val="005E4F62"/>
    <w:rsid w:val="005E6494"/>
    <w:rsid w:val="005F2FD5"/>
    <w:rsid w:val="006019FA"/>
    <w:rsid w:val="0062079B"/>
    <w:rsid w:val="00662D64"/>
    <w:rsid w:val="006762AF"/>
    <w:rsid w:val="006867A9"/>
    <w:rsid w:val="006D62EC"/>
    <w:rsid w:val="006E6B18"/>
    <w:rsid w:val="00715C31"/>
    <w:rsid w:val="00746DFE"/>
    <w:rsid w:val="00770E94"/>
    <w:rsid w:val="007758C4"/>
    <w:rsid w:val="007B52BA"/>
    <w:rsid w:val="007E022F"/>
    <w:rsid w:val="00822987"/>
    <w:rsid w:val="008351BA"/>
    <w:rsid w:val="00841C37"/>
    <w:rsid w:val="00877640"/>
    <w:rsid w:val="008B7B6D"/>
    <w:rsid w:val="009079D3"/>
    <w:rsid w:val="009A16F4"/>
    <w:rsid w:val="009A7401"/>
    <w:rsid w:val="009C40FB"/>
    <w:rsid w:val="009D1C9C"/>
    <w:rsid w:val="009E0EB8"/>
    <w:rsid w:val="00A15BA7"/>
    <w:rsid w:val="00AC48AF"/>
    <w:rsid w:val="00AD7332"/>
    <w:rsid w:val="00B160CF"/>
    <w:rsid w:val="00B33077"/>
    <w:rsid w:val="00B60E5B"/>
    <w:rsid w:val="00B639DD"/>
    <w:rsid w:val="00B72DE8"/>
    <w:rsid w:val="00B87C79"/>
    <w:rsid w:val="00B96D5C"/>
    <w:rsid w:val="00BB0393"/>
    <w:rsid w:val="00BF13AF"/>
    <w:rsid w:val="00BF3B06"/>
    <w:rsid w:val="00C07EF3"/>
    <w:rsid w:val="00C53C7E"/>
    <w:rsid w:val="00C665B5"/>
    <w:rsid w:val="00C84875"/>
    <w:rsid w:val="00C95BBD"/>
    <w:rsid w:val="00CB3313"/>
    <w:rsid w:val="00CB4878"/>
    <w:rsid w:val="00CC4746"/>
    <w:rsid w:val="00CC6DAD"/>
    <w:rsid w:val="00D24D68"/>
    <w:rsid w:val="00D25BF4"/>
    <w:rsid w:val="00DA145E"/>
    <w:rsid w:val="00DF3C14"/>
    <w:rsid w:val="00DF683C"/>
    <w:rsid w:val="00E42610"/>
    <w:rsid w:val="00E526D9"/>
    <w:rsid w:val="00E54C8B"/>
    <w:rsid w:val="00E74560"/>
    <w:rsid w:val="00E76B24"/>
    <w:rsid w:val="00E77F28"/>
    <w:rsid w:val="00EA7874"/>
    <w:rsid w:val="00EC269B"/>
    <w:rsid w:val="00F06E6C"/>
    <w:rsid w:val="00F1738D"/>
    <w:rsid w:val="00F23710"/>
    <w:rsid w:val="00F5150C"/>
    <w:rsid w:val="00F77399"/>
    <w:rsid w:val="00F861FF"/>
    <w:rsid w:val="00F90B85"/>
    <w:rsid w:val="00F9328A"/>
    <w:rsid w:val="00F96338"/>
    <w:rsid w:val="00FB7D84"/>
    <w:rsid w:val="00FC0A4D"/>
    <w:rsid w:val="00FE6277"/>
    <w:rsid w:val="00FF149E"/>
    <w:rsid w:val="00FF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854D"/>
  <w15:chartTrackingRefBased/>
  <w15:docId w15:val="{2555CBE0-55AD-4B71-8F80-E9AFA07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62"/>
  </w:style>
  <w:style w:type="paragraph" w:styleId="Footer">
    <w:name w:val="footer"/>
    <w:basedOn w:val="Normal"/>
    <w:link w:val="FooterChar"/>
    <w:uiPriority w:val="99"/>
    <w:unhideWhenUsed/>
    <w:rsid w:val="005E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62"/>
  </w:style>
  <w:style w:type="paragraph" w:styleId="NormalWeb">
    <w:name w:val="Normal (Web)"/>
    <w:basedOn w:val="Normal"/>
    <w:uiPriority w:val="99"/>
    <w:semiHidden/>
    <w:unhideWhenUsed/>
    <w:rsid w:val="009E0EB8"/>
    <w:rPr>
      <w:rFonts w:ascii="Times New Roman" w:hAnsi="Times New Roman" w:cs="Times New Roman"/>
      <w:sz w:val="24"/>
      <w:szCs w:val="24"/>
    </w:rPr>
  </w:style>
  <w:style w:type="character" w:styleId="Hyperlink">
    <w:name w:val="Hyperlink"/>
    <w:basedOn w:val="DefaultParagraphFont"/>
    <w:uiPriority w:val="99"/>
    <w:unhideWhenUsed/>
    <w:rsid w:val="003D06A9"/>
    <w:rPr>
      <w:color w:val="0563C1" w:themeColor="hyperlink"/>
      <w:u w:val="single"/>
    </w:rPr>
  </w:style>
  <w:style w:type="character" w:customStyle="1" w:styleId="UnresolvedMention1">
    <w:name w:val="Unresolved Mention1"/>
    <w:basedOn w:val="DefaultParagraphFont"/>
    <w:uiPriority w:val="99"/>
    <w:semiHidden/>
    <w:unhideWhenUsed/>
    <w:rsid w:val="003D06A9"/>
    <w:rPr>
      <w:color w:val="605E5C"/>
      <w:shd w:val="clear" w:color="auto" w:fill="E1DFDD"/>
    </w:rPr>
  </w:style>
  <w:style w:type="paragraph" w:styleId="ListParagraph">
    <w:name w:val="List Paragraph"/>
    <w:basedOn w:val="Normal"/>
    <w:uiPriority w:val="34"/>
    <w:qFormat/>
    <w:rsid w:val="00770E94"/>
    <w:pPr>
      <w:ind w:left="720"/>
      <w:contextualSpacing/>
    </w:pPr>
  </w:style>
  <w:style w:type="character" w:styleId="CommentReference">
    <w:name w:val="annotation reference"/>
    <w:basedOn w:val="DefaultParagraphFont"/>
    <w:uiPriority w:val="99"/>
    <w:semiHidden/>
    <w:unhideWhenUsed/>
    <w:rsid w:val="003E2727"/>
    <w:rPr>
      <w:sz w:val="16"/>
      <w:szCs w:val="16"/>
    </w:rPr>
  </w:style>
  <w:style w:type="paragraph" w:styleId="CommentText">
    <w:name w:val="annotation text"/>
    <w:basedOn w:val="Normal"/>
    <w:link w:val="CommentTextChar"/>
    <w:uiPriority w:val="99"/>
    <w:semiHidden/>
    <w:unhideWhenUsed/>
    <w:rsid w:val="003E2727"/>
    <w:pPr>
      <w:spacing w:line="240" w:lineRule="auto"/>
    </w:pPr>
    <w:rPr>
      <w:sz w:val="20"/>
      <w:szCs w:val="20"/>
    </w:rPr>
  </w:style>
  <w:style w:type="character" w:customStyle="1" w:styleId="CommentTextChar">
    <w:name w:val="Comment Text Char"/>
    <w:basedOn w:val="DefaultParagraphFont"/>
    <w:link w:val="CommentText"/>
    <w:uiPriority w:val="99"/>
    <w:semiHidden/>
    <w:rsid w:val="003E2727"/>
    <w:rPr>
      <w:sz w:val="20"/>
      <w:szCs w:val="20"/>
    </w:rPr>
  </w:style>
  <w:style w:type="paragraph" w:styleId="CommentSubject">
    <w:name w:val="annotation subject"/>
    <w:basedOn w:val="CommentText"/>
    <w:next w:val="CommentText"/>
    <w:link w:val="CommentSubjectChar"/>
    <w:uiPriority w:val="99"/>
    <w:semiHidden/>
    <w:unhideWhenUsed/>
    <w:rsid w:val="003E2727"/>
    <w:rPr>
      <w:b/>
      <w:bCs/>
    </w:rPr>
  </w:style>
  <w:style w:type="character" w:customStyle="1" w:styleId="CommentSubjectChar">
    <w:name w:val="Comment Subject Char"/>
    <w:basedOn w:val="CommentTextChar"/>
    <w:link w:val="CommentSubject"/>
    <w:uiPriority w:val="99"/>
    <w:semiHidden/>
    <w:rsid w:val="003E27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229">
      <w:bodyDiv w:val="1"/>
      <w:marLeft w:val="0"/>
      <w:marRight w:val="0"/>
      <w:marTop w:val="0"/>
      <w:marBottom w:val="0"/>
      <w:divBdr>
        <w:top w:val="none" w:sz="0" w:space="0" w:color="auto"/>
        <w:left w:val="none" w:sz="0" w:space="0" w:color="auto"/>
        <w:bottom w:val="none" w:sz="0" w:space="0" w:color="auto"/>
        <w:right w:val="none" w:sz="0" w:space="0" w:color="auto"/>
      </w:divBdr>
    </w:div>
    <w:div w:id="58091373">
      <w:bodyDiv w:val="1"/>
      <w:marLeft w:val="0"/>
      <w:marRight w:val="0"/>
      <w:marTop w:val="0"/>
      <w:marBottom w:val="0"/>
      <w:divBdr>
        <w:top w:val="none" w:sz="0" w:space="0" w:color="auto"/>
        <w:left w:val="none" w:sz="0" w:space="0" w:color="auto"/>
        <w:bottom w:val="none" w:sz="0" w:space="0" w:color="auto"/>
        <w:right w:val="none" w:sz="0" w:space="0" w:color="auto"/>
      </w:divBdr>
    </w:div>
    <w:div w:id="136269205">
      <w:bodyDiv w:val="1"/>
      <w:marLeft w:val="0"/>
      <w:marRight w:val="0"/>
      <w:marTop w:val="0"/>
      <w:marBottom w:val="0"/>
      <w:divBdr>
        <w:top w:val="none" w:sz="0" w:space="0" w:color="auto"/>
        <w:left w:val="none" w:sz="0" w:space="0" w:color="auto"/>
        <w:bottom w:val="none" w:sz="0" w:space="0" w:color="auto"/>
        <w:right w:val="none" w:sz="0" w:space="0" w:color="auto"/>
      </w:divBdr>
    </w:div>
    <w:div w:id="206457881">
      <w:bodyDiv w:val="1"/>
      <w:marLeft w:val="0"/>
      <w:marRight w:val="0"/>
      <w:marTop w:val="0"/>
      <w:marBottom w:val="0"/>
      <w:divBdr>
        <w:top w:val="none" w:sz="0" w:space="0" w:color="auto"/>
        <w:left w:val="none" w:sz="0" w:space="0" w:color="auto"/>
        <w:bottom w:val="none" w:sz="0" w:space="0" w:color="auto"/>
        <w:right w:val="none" w:sz="0" w:space="0" w:color="auto"/>
      </w:divBdr>
    </w:div>
    <w:div w:id="223638792">
      <w:bodyDiv w:val="1"/>
      <w:marLeft w:val="0"/>
      <w:marRight w:val="0"/>
      <w:marTop w:val="0"/>
      <w:marBottom w:val="0"/>
      <w:divBdr>
        <w:top w:val="none" w:sz="0" w:space="0" w:color="auto"/>
        <w:left w:val="none" w:sz="0" w:space="0" w:color="auto"/>
        <w:bottom w:val="none" w:sz="0" w:space="0" w:color="auto"/>
        <w:right w:val="none" w:sz="0" w:space="0" w:color="auto"/>
      </w:divBdr>
    </w:div>
    <w:div w:id="357127336">
      <w:bodyDiv w:val="1"/>
      <w:marLeft w:val="0"/>
      <w:marRight w:val="0"/>
      <w:marTop w:val="0"/>
      <w:marBottom w:val="0"/>
      <w:divBdr>
        <w:top w:val="none" w:sz="0" w:space="0" w:color="auto"/>
        <w:left w:val="none" w:sz="0" w:space="0" w:color="auto"/>
        <w:bottom w:val="none" w:sz="0" w:space="0" w:color="auto"/>
        <w:right w:val="none" w:sz="0" w:space="0" w:color="auto"/>
      </w:divBdr>
    </w:div>
    <w:div w:id="369261739">
      <w:bodyDiv w:val="1"/>
      <w:marLeft w:val="0"/>
      <w:marRight w:val="0"/>
      <w:marTop w:val="0"/>
      <w:marBottom w:val="0"/>
      <w:divBdr>
        <w:top w:val="none" w:sz="0" w:space="0" w:color="auto"/>
        <w:left w:val="none" w:sz="0" w:space="0" w:color="auto"/>
        <w:bottom w:val="none" w:sz="0" w:space="0" w:color="auto"/>
        <w:right w:val="none" w:sz="0" w:space="0" w:color="auto"/>
      </w:divBdr>
    </w:div>
    <w:div w:id="373190887">
      <w:bodyDiv w:val="1"/>
      <w:marLeft w:val="0"/>
      <w:marRight w:val="0"/>
      <w:marTop w:val="0"/>
      <w:marBottom w:val="0"/>
      <w:divBdr>
        <w:top w:val="none" w:sz="0" w:space="0" w:color="auto"/>
        <w:left w:val="none" w:sz="0" w:space="0" w:color="auto"/>
        <w:bottom w:val="none" w:sz="0" w:space="0" w:color="auto"/>
        <w:right w:val="none" w:sz="0" w:space="0" w:color="auto"/>
      </w:divBdr>
    </w:div>
    <w:div w:id="392385451">
      <w:bodyDiv w:val="1"/>
      <w:marLeft w:val="0"/>
      <w:marRight w:val="0"/>
      <w:marTop w:val="0"/>
      <w:marBottom w:val="0"/>
      <w:divBdr>
        <w:top w:val="none" w:sz="0" w:space="0" w:color="auto"/>
        <w:left w:val="none" w:sz="0" w:space="0" w:color="auto"/>
        <w:bottom w:val="none" w:sz="0" w:space="0" w:color="auto"/>
        <w:right w:val="none" w:sz="0" w:space="0" w:color="auto"/>
      </w:divBdr>
    </w:div>
    <w:div w:id="458766720">
      <w:bodyDiv w:val="1"/>
      <w:marLeft w:val="0"/>
      <w:marRight w:val="0"/>
      <w:marTop w:val="0"/>
      <w:marBottom w:val="0"/>
      <w:divBdr>
        <w:top w:val="none" w:sz="0" w:space="0" w:color="auto"/>
        <w:left w:val="none" w:sz="0" w:space="0" w:color="auto"/>
        <w:bottom w:val="none" w:sz="0" w:space="0" w:color="auto"/>
        <w:right w:val="none" w:sz="0" w:space="0" w:color="auto"/>
      </w:divBdr>
    </w:div>
    <w:div w:id="478882264">
      <w:bodyDiv w:val="1"/>
      <w:marLeft w:val="0"/>
      <w:marRight w:val="0"/>
      <w:marTop w:val="0"/>
      <w:marBottom w:val="0"/>
      <w:divBdr>
        <w:top w:val="none" w:sz="0" w:space="0" w:color="auto"/>
        <w:left w:val="none" w:sz="0" w:space="0" w:color="auto"/>
        <w:bottom w:val="none" w:sz="0" w:space="0" w:color="auto"/>
        <w:right w:val="none" w:sz="0" w:space="0" w:color="auto"/>
      </w:divBdr>
    </w:div>
    <w:div w:id="509763204">
      <w:bodyDiv w:val="1"/>
      <w:marLeft w:val="0"/>
      <w:marRight w:val="0"/>
      <w:marTop w:val="0"/>
      <w:marBottom w:val="0"/>
      <w:divBdr>
        <w:top w:val="none" w:sz="0" w:space="0" w:color="auto"/>
        <w:left w:val="none" w:sz="0" w:space="0" w:color="auto"/>
        <w:bottom w:val="none" w:sz="0" w:space="0" w:color="auto"/>
        <w:right w:val="none" w:sz="0" w:space="0" w:color="auto"/>
      </w:divBdr>
    </w:div>
    <w:div w:id="587154519">
      <w:bodyDiv w:val="1"/>
      <w:marLeft w:val="0"/>
      <w:marRight w:val="0"/>
      <w:marTop w:val="0"/>
      <w:marBottom w:val="0"/>
      <w:divBdr>
        <w:top w:val="none" w:sz="0" w:space="0" w:color="auto"/>
        <w:left w:val="none" w:sz="0" w:space="0" w:color="auto"/>
        <w:bottom w:val="none" w:sz="0" w:space="0" w:color="auto"/>
        <w:right w:val="none" w:sz="0" w:space="0" w:color="auto"/>
      </w:divBdr>
    </w:div>
    <w:div w:id="650838783">
      <w:bodyDiv w:val="1"/>
      <w:marLeft w:val="0"/>
      <w:marRight w:val="0"/>
      <w:marTop w:val="0"/>
      <w:marBottom w:val="0"/>
      <w:divBdr>
        <w:top w:val="none" w:sz="0" w:space="0" w:color="auto"/>
        <w:left w:val="none" w:sz="0" w:space="0" w:color="auto"/>
        <w:bottom w:val="none" w:sz="0" w:space="0" w:color="auto"/>
        <w:right w:val="none" w:sz="0" w:space="0" w:color="auto"/>
      </w:divBdr>
    </w:div>
    <w:div w:id="684358665">
      <w:bodyDiv w:val="1"/>
      <w:marLeft w:val="0"/>
      <w:marRight w:val="0"/>
      <w:marTop w:val="0"/>
      <w:marBottom w:val="0"/>
      <w:divBdr>
        <w:top w:val="none" w:sz="0" w:space="0" w:color="auto"/>
        <w:left w:val="none" w:sz="0" w:space="0" w:color="auto"/>
        <w:bottom w:val="none" w:sz="0" w:space="0" w:color="auto"/>
        <w:right w:val="none" w:sz="0" w:space="0" w:color="auto"/>
      </w:divBdr>
    </w:div>
    <w:div w:id="701980299">
      <w:bodyDiv w:val="1"/>
      <w:marLeft w:val="0"/>
      <w:marRight w:val="0"/>
      <w:marTop w:val="0"/>
      <w:marBottom w:val="0"/>
      <w:divBdr>
        <w:top w:val="none" w:sz="0" w:space="0" w:color="auto"/>
        <w:left w:val="none" w:sz="0" w:space="0" w:color="auto"/>
        <w:bottom w:val="none" w:sz="0" w:space="0" w:color="auto"/>
        <w:right w:val="none" w:sz="0" w:space="0" w:color="auto"/>
      </w:divBdr>
    </w:div>
    <w:div w:id="714815270">
      <w:bodyDiv w:val="1"/>
      <w:marLeft w:val="0"/>
      <w:marRight w:val="0"/>
      <w:marTop w:val="0"/>
      <w:marBottom w:val="0"/>
      <w:divBdr>
        <w:top w:val="none" w:sz="0" w:space="0" w:color="auto"/>
        <w:left w:val="none" w:sz="0" w:space="0" w:color="auto"/>
        <w:bottom w:val="none" w:sz="0" w:space="0" w:color="auto"/>
        <w:right w:val="none" w:sz="0" w:space="0" w:color="auto"/>
      </w:divBdr>
    </w:div>
    <w:div w:id="718167667">
      <w:bodyDiv w:val="1"/>
      <w:marLeft w:val="0"/>
      <w:marRight w:val="0"/>
      <w:marTop w:val="0"/>
      <w:marBottom w:val="0"/>
      <w:divBdr>
        <w:top w:val="none" w:sz="0" w:space="0" w:color="auto"/>
        <w:left w:val="none" w:sz="0" w:space="0" w:color="auto"/>
        <w:bottom w:val="none" w:sz="0" w:space="0" w:color="auto"/>
        <w:right w:val="none" w:sz="0" w:space="0" w:color="auto"/>
      </w:divBdr>
    </w:div>
    <w:div w:id="729696456">
      <w:bodyDiv w:val="1"/>
      <w:marLeft w:val="0"/>
      <w:marRight w:val="0"/>
      <w:marTop w:val="0"/>
      <w:marBottom w:val="0"/>
      <w:divBdr>
        <w:top w:val="none" w:sz="0" w:space="0" w:color="auto"/>
        <w:left w:val="none" w:sz="0" w:space="0" w:color="auto"/>
        <w:bottom w:val="none" w:sz="0" w:space="0" w:color="auto"/>
        <w:right w:val="none" w:sz="0" w:space="0" w:color="auto"/>
      </w:divBdr>
    </w:div>
    <w:div w:id="744104287">
      <w:bodyDiv w:val="1"/>
      <w:marLeft w:val="0"/>
      <w:marRight w:val="0"/>
      <w:marTop w:val="0"/>
      <w:marBottom w:val="0"/>
      <w:divBdr>
        <w:top w:val="none" w:sz="0" w:space="0" w:color="auto"/>
        <w:left w:val="none" w:sz="0" w:space="0" w:color="auto"/>
        <w:bottom w:val="none" w:sz="0" w:space="0" w:color="auto"/>
        <w:right w:val="none" w:sz="0" w:space="0" w:color="auto"/>
      </w:divBdr>
    </w:div>
    <w:div w:id="755829199">
      <w:bodyDiv w:val="1"/>
      <w:marLeft w:val="0"/>
      <w:marRight w:val="0"/>
      <w:marTop w:val="0"/>
      <w:marBottom w:val="0"/>
      <w:divBdr>
        <w:top w:val="none" w:sz="0" w:space="0" w:color="auto"/>
        <w:left w:val="none" w:sz="0" w:space="0" w:color="auto"/>
        <w:bottom w:val="none" w:sz="0" w:space="0" w:color="auto"/>
        <w:right w:val="none" w:sz="0" w:space="0" w:color="auto"/>
      </w:divBdr>
    </w:div>
    <w:div w:id="807433576">
      <w:bodyDiv w:val="1"/>
      <w:marLeft w:val="0"/>
      <w:marRight w:val="0"/>
      <w:marTop w:val="0"/>
      <w:marBottom w:val="0"/>
      <w:divBdr>
        <w:top w:val="none" w:sz="0" w:space="0" w:color="auto"/>
        <w:left w:val="none" w:sz="0" w:space="0" w:color="auto"/>
        <w:bottom w:val="none" w:sz="0" w:space="0" w:color="auto"/>
        <w:right w:val="none" w:sz="0" w:space="0" w:color="auto"/>
      </w:divBdr>
    </w:div>
    <w:div w:id="843282683">
      <w:bodyDiv w:val="1"/>
      <w:marLeft w:val="0"/>
      <w:marRight w:val="0"/>
      <w:marTop w:val="0"/>
      <w:marBottom w:val="0"/>
      <w:divBdr>
        <w:top w:val="none" w:sz="0" w:space="0" w:color="auto"/>
        <w:left w:val="none" w:sz="0" w:space="0" w:color="auto"/>
        <w:bottom w:val="none" w:sz="0" w:space="0" w:color="auto"/>
        <w:right w:val="none" w:sz="0" w:space="0" w:color="auto"/>
      </w:divBdr>
    </w:div>
    <w:div w:id="946737077">
      <w:bodyDiv w:val="1"/>
      <w:marLeft w:val="0"/>
      <w:marRight w:val="0"/>
      <w:marTop w:val="0"/>
      <w:marBottom w:val="0"/>
      <w:divBdr>
        <w:top w:val="none" w:sz="0" w:space="0" w:color="auto"/>
        <w:left w:val="none" w:sz="0" w:space="0" w:color="auto"/>
        <w:bottom w:val="none" w:sz="0" w:space="0" w:color="auto"/>
        <w:right w:val="none" w:sz="0" w:space="0" w:color="auto"/>
      </w:divBdr>
    </w:div>
    <w:div w:id="1014845541">
      <w:bodyDiv w:val="1"/>
      <w:marLeft w:val="0"/>
      <w:marRight w:val="0"/>
      <w:marTop w:val="0"/>
      <w:marBottom w:val="0"/>
      <w:divBdr>
        <w:top w:val="none" w:sz="0" w:space="0" w:color="auto"/>
        <w:left w:val="none" w:sz="0" w:space="0" w:color="auto"/>
        <w:bottom w:val="none" w:sz="0" w:space="0" w:color="auto"/>
        <w:right w:val="none" w:sz="0" w:space="0" w:color="auto"/>
      </w:divBdr>
    </w:div>
    <w:div w:id="1054428395">
      <w:bodyDiv w:val="1"/>
      <w:marLeft w:val="0"/>
      <w:marRight w:val="0"/>
      <w:marTop w:val="0"/>
      <w:marBottom w:val="0"/>
      <w:divBdr>
        <w:top w:val="none" w:sz="0" w:space="0" w:color="auto"/>
        <w:left w:val="none" w:sz="0" w:space="0" w:color="auto"/>
        <w:bottom w:val="none" w:sz="0" w:space="0" w:color="auto"/>
        <w:right w:val="none" w:sz="0" w:space="0" w:color="auto"/>
      </w:divBdr>
    </w:div>
    <w:div w:id="1078791848">
      <w:bodyDiv w:val="1"/>
      <w:marLeft w:val="0"/>
      <w:marRight w:val="0"/>
      <w:marTop w:val="0"/>
      <w:marBottom w:val="0"/>
      <w:divBdr>
        <w:top w:val="none" w:sz="0" w:space="0" w:color="auto"/>
        <w:left w:val="none" w:sz="0" w:space="0" w:color="auto"/>
        <w:bottom w:val="none" w:sz="0" w:space="0" w:color="auto"/>
        <w:right w:val="none" w:sz="0" w:space="0" w:color="auto"/>
      </w:divBdr>
    </w:div>
    <w:div w:id="1080130880">
      <w:bodyDiv w:val="1"/>
      <w:marLeft w:val="0"/>
      <w:marRight w:val="0"/>
      <w:marTop w:val="0"/>
      <w:marBottom w:val="0"/>
      <w:divBdr>
        <w:top w:val="none" w:sz="0" w:space="0" w:color="auto"/>
        <w:left w:val="none" w:sz="0" w:space="0" w:color="auto"/>
        <w:bottom w:val="none" w:sz="0" w:space="0" w:color="auto"/>
        <w:right w:val="none" w:sz="0" w:space="0" w:color="auto"/>
      </w:divBdr>
    </w:div>
    <w:div w:id="1227111631">
      <w:bodyDiv w:val="1"/>
      <w:marLeft w:val="0"/>
      <w:marRight w:val="0"/>
      <w:marTop w:val="0"/>
      <w:marBottom w:val="0"/>
      <w:divBdr>
        <w:top w:val="none" w:sz="0" w:space="0" w:color="auto"/>
        <w:left w:val="none" w:sz="0" w:space="0" w:color="auto"/>
        <w:bottom w:val="none" w:sz="0" w:space="0" w:color="auto"/>
        <w:right w:val="none" w:sz="0" w:space="0" w:color="auto"/>
      </w:divBdr>
    </w:div>
    <w:div w:id="1247232008">
      <w:bodyDiv w:val="1"/>
      <w:marLeft w:val="0"/>
      <w:marRight w:val="0"/>
      <w:marTop w:val="0"/>
      <w:marBottom w:val="0"/>
      <w:divBdr>
        <w:top w:val="none" w:sz="0" w:space="0" w:color="auto"/>
        <w:left w:val="none" w:sz="0" w:space="0" w:color="auto"/>
        <w:bottom w:val="none" w:sz="0" w:space="0" w:color="auto"/>
        <w:right w:val="none" w:sz="0" w:space="0" w:color="auto"/>
      </w:divBdr>
    </w:div>
    <w:div w:id="1278563969">
      <w:bodyDiv w:val="1"/>
      <w:marLeft w:val="0"/>
      <w:marRight w:val="0"/>
      <w:marTop w:val="0"/>
      <w:marBottom w:val="0"/>
      <w:divBdr>
        <w:top w:val="none" w:sz="0" w:space="0" w:color="auto"/>
        <w:left w:val="none" w:sz="0" w:space="0" w:color="auto"/>
        <w:bottom w:val="none" w:sz="0" w:space="0" w:color="auto"/>
        <w:right w:val="none" w:sz="0" w:space="0" w:color="auto"/>
      </w:divBdr>
    </w:div>
    <w:div w:id="1433821739">
      <w:bodyDiv w:val="1"/>
      <w:marLeft w:val="0"/>
      <w:marRight w:val="0"/>
      <w:marTop w:val="0"/>
      <w:marBottom w:val="0"/>
      <w:divBdr>
        <w:top w:val="none" w:sz="0" w:space="0" w:color="auto"/>
        <w:left w:val="none" w:sz="0" w:space="0" w:color="auto"/>
        <w:bottom w:val="none" w:sz="0" w:space="0" w:color="auto"/>
        <w:right w:val="none" w:sz="0" w:space="0" w:color="auto"/>
      </w:divBdr>
    </w:div>
    <w:div w:id="1578057546">
      <w:bodyDiv w:val="1"/>
      <w:marLeft w:val="0"/>
      <w:marRight w:val="0"/>
      <w:marTop w:val="0"/>
      <w:marBottom w:val="0"/>
      <w:divBdr>
        <w:top w:val="none" w:sz="0" w:space="0" w:color="auto"/>
        <w:left w:val="none" w:sz="0" w:space="0" w:color="auto"/>
        <w:bottom w:val="none" w:sz="0" w:space="0" w:color="auto"/>
        <w:right w:val="none" w:sz="0" w:space="0" w:color="auto"/>
      </w:divBdr>
    </w:div>
    <w:div w:id="1600330428">
      <w:bodyDiv w:val="1"/>
      <w:marLeft w:val="0"/>
      <w:marRight w:val="0"/>
      <w:marTop w:val="0"/>
      <w:marBottom w:val="0"/>
      <w:divBdr>
        <w:top w:val="none" w:sz="0" w:space="0" w:color="auto"/>
        <w:left w:val="none" w:sz="0" w:space="0" w:color="auto"/>
        <w:bottom w:val="none" w:sz="0" w:space="0" w:color="auto"/>
        <w:right w:val="none" w:sz="0" w:space="0" w:color="auto"/>
      </w:divBdr>
    </w:div>
    <w:div w:id="1607151412">
      <w:bodyDiv w:val="1"/>
      <w:marLeft w:val="0"/>
      <w:marRight w:val="0"/>
      <w:marTop w:val="0"/>
      <w:marBottom w:val="0"/>
      <w:divBdr>
        <w:top w:val="none" w:sz="0" w:space="0" w:color="auto"/>
        <w:left w:val="none" w:sz="0" w:space="0" w:color="auto"/>
        <w:bottom w:val="none" w:sz="0" w:space="0" w:color="auto"/>
        <w:right w:val="none" w:sz="0" w:space="0" w:color="auto"/>
      </w:divBdr>
    </w:div>
    <w:div w:id="1658074773">
      <w:bodyDiv w:val="1"/>
      <w:marLeft w:val="0"/>
      <w:marRight w:val="0"/>
      <w:marTop w:val="0"/>
      <w:marBottom w:val="0"/>
      <w:divBdr>
        <w:top w:val="none" w:sz="0" w:space="0" w:color="auto"/>
        <w:left w:val="none" w:sz="0" w:space="0" w:color="auto"/>
        <w:bottom w:val="none" w:sz="0" w:space="0" w:color="auto"/>
        <w:right w:val="none" w:sz="0" w:space="0" w:color="auto"/>
      </w:divBdr>
    </w:div>
    <w:div w:id="1702975542">
      <w:bodyDiv w:val="1"/>
      <w:marLeft w:val="0"/>
      <w:marRight w:val="0"/>
      <w:marTop w:val="0"/>
      <w:marBottom w:val="0"/>
      <w:divBdr>
        <w:top w:val="none" w:sz="0" w:space="0" w:color="auto"/>
        <w:left w:val="none" w:sz="0" w:space="0" w:color="auto"/>
        <w:bottom w:val="none" w:sz="0" w:space="0" w:color="auto"/>
        <w:right w:val="none" w:sz="0" w:space="0" w:color="auto"/>
      </w:divBdr>
    </w:div>
    <w:div w:id="1759255689">
      <w:bodyDiv w:val="1"/>
      <w:marLeft w:val="0"/>
      <w:marRight w:val="0"/>
      <w:marTop w:val="0"/>
      <w:marBottom w:val="0"/>
      <w:divBdr>
        <w:top w:val="none" w:sz="0" w:space="0" w:color="auto"/>
        <w:left w:val="none" w:sz="0" w:space="0" w:color="auto"/>
        <w:bottom w:val="none" w:sz="0" w:space="0" w:color="auto"/>
        <w:right w:val="none" w:sz="0" w:space="0" w:color="auto"/>
      </w:divBdr>
    </w:div>
    <w:div w:id="1797025108">
      <w:bodyDiv w:val="1"/>
      <w:marLeft w:val="0"/>
      <w:marRight w:val="0"/>
      <w:marTop w:val="0"/>
      <w:marBottom w:val="0"/>
      <w:divBdr>
        <w:top w:val="none" w:sz="0" w:space="0" w:color="auto"/>
        <w:left w:val="none" w:sz="0" w:space="0" w:color="auto"/>
        <w:bottom w:val="none" w:sz="0" w:space="0" w:color="auto"/>
        <w:right w:val="none" w:sz="0" w:space="0" w:color="auto"/>
      </w:divBdr>
    </w:div>
    <w:div w:id="1828747471">
      <w:bodyDiv w:val="1"/>
      <w:marLeft w:val="0"/>
      <w:marRight w:val="0"/>
      <w:marTop w:val="0"/>
      <w:marBottom w:val="0"/>
      <w:divBdr>
        <w:top w:val="none" w:sz="0" w:space="0" w:color="auto"/>
        <w:left w:val="none" w:sz="0" w:space="0" w:color="auto"/>
        <w:bottom w:val="none" w:sz="0" w:space="0" w:color="auto"/>
        <w:right w:val="none" w:sz="0" w:space="0" w:color="auto"/>
      </w:divBdr>
    </w:div>
    <w:div w:id="1908415024">
      <w:bodyDiv w:val="1"/>
      <w:marLeft w:val="0"/>
      <w:marRight w:val="0"/>
      <w:marTop w:val="0"/>
      <w:marBottom w:val="0"/>
      <w:divBdr>
        <w:top w:val="none" w:sz="0" w:space="0" w:color="auto"/>
        <w:left w:val="none" w:sz="0" w:space="0" w:color="auto"/>
        <w:bottom w:val="none" w:sz="0" w:space="0" w:color="auto"/>
        <w:right w:val="none" w:sz="0" w:space="0" w:color="auto"/>
      </w:divBdr>
    </w:div>
    <w:div w:id="1928609737">
      <w:bodyDiv w:val="1"/>
      <w:marLeft w:val="0"/>
      <w:marRight w:val="0"/>
      <w:marTop w:val="0"/>
      <w:marBottom w:val="0"/>
      <w:divBdr>
        <w:top w:val="none" w:sz="0" w:space="0" w:color="auto"/>
        <w:left w:val="none" w:sz="0" w:space="0" w:color="auto"/>
        <w:bottom w:val="none" w:sz="0" w:space="0" w:color="auto"/>
        <w:right w:val="none" w:sz="0" w:space="0" w:color="auto"/>
      </w:divBdr>
    </w:div>
    <w:div w:id="1959484450">
      <w:bodyDiv w:val="1"/>
      <w:marLeft w:val="0"/>
      <w:marRight w:val="0"/>
      <w:marTop w:val="0"/>
      <w:marBottom w:val="0"/>
      <w:divBdr>
        <w:top w:val="none" w:sz="0" w:space="0" w:color="auto"/>
        <w:left w:val="none" w:sz="0" w:space="0" w:color="auto"/>
        <w:bottom w:val="none" w:sz="0" w:space="0" w:color="auto"/>
        <w:right w:val="none" w:sz="0" w:space="0" w:color="auto"/>
      </w:divBdr>
    </w:div>
    <w:div w:id="2000037936">
      <w:bodyDiv w:val="1"/>
      <w:marLeft w:val="0"/>
      <w:marRight w:val="0"/>
      <w:marTop w:val="0"/>
      <w:marBottom w:val="0"/>
      <w:divBdr>
        <w:top w:val="none" w:sz="0" w:space="0" w:color="auto"/>
        <w:left w:val="none" w:sz="0" w:space="0" w:color="auto"/>
        <w:bottom w:val="none" w:sz="0" w:space="0" w:color="auto"/>
        <w:right w:val="none" w:sz="0" w:space="0" w:color="auto"/>
      </w:divBdr>
    </w:div>
    <w:div w:id="2001884518">
      <w:bodyDiv w:val="1"/>
      <w:marLeft w:val="0"/>
      <w:marRight w:val="0"/>
      <w:marTop w:val="0"/>
      <w:marBottom w:val="0"/>
      <w:divBdr>
        <w:top w:val="none" w:sz="0" w:space="0" w:color="auto"/>
        <w:left w:val="none" w:sz="0" w:space="0" w:color="auto"/>
        <w:bottom w:val="none" w:sz="0" w:space="0" w:color="auto"/>
        <w:right w:val="none" w:sz="0" w:space="0" w:color="auto"/>
      </w:divBdr>
    </w:div>
    <w:div w:id="2004160675">
      <w:bodyDiv w:val="1"/>
      <w:marLeft w:val="0"/>
      <w:marRight w:val="0"/>
      <w:marTop w:val="0"/>
      <w:marBottom w:val="0"/>
      <w:divBdr>
        <w:top w:val="none" w:sz="0" w:space="0" w:color="auto"/>
        <w:left w:val="none" w:sz="0" w:space="0" w:color="auto"/>
        <w:bottom w:val="none" w:sz="0" w:space="0" w:color="auto"/>
        <w:right w:val="none" w:sz="0" w:space="0" w:color="auto"/>
      </w:divBdr>
    </w:div>
    <w:div w:id="2050102363">
      <w:bodyDiv w:val="1"/>
      <w:marLeft w:val="0"/>
      <w:marRight w:val="0"/>
      <w:marTop w:val="0"/>
      <w:marBottom w:val="0"/>
      <w:divBdr>
        <w:top w:val="none" w:sz="0" w:space="0" w:color="auto"/>
        <w:left w:val="none" w:sz="0" w:space="0" w:color="auto"/>
        <w:bottom w:val="none" w:sz="0" w:space="0" w:color="auto"/>
        <w:right w:val="none" w:sz="0" w:space="0" w:color="auto"/>
      </w:divBdr>
    </w:div>
    <w:div w:id="21032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17.10.235" TargetMode="External"/><Relationship Id="rId21" Type="http://schemas.openxmlformats.org/officeDocument/2006/relationships/hyperlink" Target="https://doi.org/10.38140/as.v32i1.9122" TargetMode="External"/><Relationship Id="rId42" Type="http://schemas.openxmlformats.org/officeDocument/2006/relationships/hyperlink" Target="https://doi.org/10.1108/ECAM-02-2021-0131" TargetMode="External"/><Relationship Id="rId47" Type="http://schemas.openxmlformats.org/officeDocument/2006/relationships/hyperlink" Target="https://doi.org/10.1108/SASBE-12-2019-0170" TargetMode="External"/><Relationship Id="rId63" Type="http://schemas.openxmlformats.org/officeDocument/2006/relationships/hyperlink" Target="https://www.unep.org/resources/adaptation-gap-report-2021"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doi.org/10.1016/j.jclepro.2020.121799" TargetMode="External"/><Relationship Id="rId11" Type="http://schemas.openxmlformats.org/officeDocument/2006/relationships/diagramData" Target="diagrams/data1.xml"/><Relationship Id="rId24" Type="http://schemas.openxmlformats.org/officeDocument/2006/relationships/hyperlink" Target="https://onlinelibrary.wiley.com/doi/pdf/10.1111/rec.13170" TargetMode="External"/><Relationship Id="rId32" Type="http://schemas.openxmlformats.org/officeDocument/2006/relationships/hyperlink" Target="https://erjournal.net/index.php/erjournal/issue/view/16" TargetMode="External"/><Relationship Id="rId37" Type="http://schemas.openxmlformats.org/officeDocument/2006/relationships/hyperlink" Target="https://doi.org/10.1111/aphw.12169" TargetMode="External"/><Relationship Id="rId40" Type="http://schemas.openxmlformats.org/officeDocument/2006/relationships/hyperlink" Target="https://doi.org/10.1016/j.jclepro.2018.08.080" TargetMode="External"/><Relationship Id="rId45" Type="http://schemas.openxmlformats.org/officeDocument/2006/relationships/hyperlink" Target="https://pubmed.ncbi.nlm.nih.gov/29431951/?utm_source=chatgpt.com" TargetMode="External"/><Relationship Id="rId53" Type="http://schemas.openxmlformats.org/officeDocument/2006/relationships/hyperlink" Target="https://www.proquest.com/openview/df07bb1593ac3bfff24405ab92189b25/1?cbl=18750&amp;diss=y&amp;pq-origsite=gscholar" TargetMode="External"/><Relationship Id="rId58" Type="http://schemas.openxmlformats.org/officeDocument/2006/relationships/hyperlink" Target="https://doi.org/10.13140/2.1.1018.4643"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16/j.enpol.2019.111042" TargetMode="External"/><Relationship Id="rId19" Type="http://schemas.openxmlformats.org/officeDocument/2006/relationships/hyperlink" Target="https://doi.org/10.1201/9781003496656" TargetMode="External"/><Relationship Id="rId14" Type="http://schemas.openxmlformats.org/officeDocument/2006/relationships/diagramColors" Target="diagrams/colors1.xml"/><Relationship Id="rId22" Type="http://schemas.openxmlformats.org/officeDocument/2006/relationships/hyperlink" Target="https://doi.org/10.3390/app14010195" TargetMode="External"/><Relationship Id="rId27" Type="http://schemas.openxmlformats.org/officeDocument/2006/relationships/hyperlink" Target="https://doi.org/10.1080/10835547.2009.12091785" TargetMode="External"/><Relationship Id="rId30" Type="http://schemas.openxmlformats.org/officeDocument/2006/relationships/hyperlink" Target="https://skemman.is/bitstream/1946/46679/1/ROBERT%20APPIAH%20DANKWAK%20M.%20A%20FINAL%20THESIS.pdf" TargetMode="External"/><Relationship Id="rId35" Type="http://schemas.openxmlformats.org/officeDocument/2006/relationships/hyperlink" Target="https://statsghana.gov.gh/gssmain/fileUpload/pressrelease/2021%20PHC%20General%20Report%20Vol%203A_Population%20of%20Regions%20and%20Districts_181121.pdf" TargetMode="External"/><Relationship Id="rId43" Type="http://schemas.openxmlformats.org/officeDocument/2006/relationships/hyperlink" Target="https://doi.org/10.3233/PRM-230019" TargetMode="External"/><Relationship Id="rId48" Type="http://schemas.openxmlformats.org/officeDocument/2006/relationships/hyperlink" Target="https://mfa.gov.gh/index.php/about-ghana/regions/" TargetMode="External"/><Relationship Id="rId56" Type="http://schemas.openxmlformats.org/officeDocument/2006/relationships/hyperlink" Target="https://www.ncbi.nlm.nih.gov/books/NBK481583/" TargetMode="External"/><Relationship Id="rId64" Type="http://schemas.openxmlformats.org/officeDocument/2006/relationships/hyperlink" Target="https://documents.worldbank.org/en/publication/documents-reports/documentdetail/857671468179354431" TargetMode="External"/><Relationship Id="rId69"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doi.org/10.1108/0263080121122874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doi.org/10.1016/j.ecolecon.2017.06.004" TargetMode="External"/><Relationship Id="rId25" Type="http://schemas.openxmlformats.org/officeDocument/2006/relationships/hyperlink" Target="https://doi.org/10.1016/j.enpol.2015.05.009" TargetMode="External"/><Relationship Id="rId33" Type="http://schemas.openxmlformats.org/officeDocument/2006/relationships/hyperlink" Target="https://www.erjournal.net/index.php/erjournal/article/view/150" TargetMode="External"/><Relationship Id="rId38" Type="http://schemas.openxmlformats.org/officeDocument/2006/relationships/hyperlink" Target="https://journals.sagepub.com/doi/pdf/10.1177/1086026608326129" TargetMode="External"/><Relationship Id="rId46" Type="http://schemas.openxmlformats.org/officeDocument/2006/relationships/hyperlink" Target="https://www.jstor.org/stable/20868571" TargetMode="External"/><Relationship Id="rId59" Type="http://schemas.openxmlformats.org/officeDocument/2006/relationships/hyperlink" Target="https://doi.org/10.58496/BJML/2024/001" TargetMode="External"/><Relationship Id="rId67" Type="http://schemas.openxmlformats.org/officeDocument/2006/relationships/header" Target="header2.xml"/><Relationship Id="rId20" Type="http://schemas.openxmlformats.org/officeDocument/2006/relationships/hyperlink" Target="https://doi.org/10.1016/j.jclepro.2022.131869" TargetMode="External"/><Relationship Id="rId41" Type="http://schemas.openxmlformats.org/officeDocument/2006/relationships/hyperlink" Target="https://doi.org/10.1017/9781009325844" TargetMode="External"/><Relationship Id="rId54" Type="http://schemas.openxmlformats.org/officeDocument/2006/relationships/hyperlink" Target="https://doi.org/10.1108/SASBE-07-2021-0120" TargetMode="External"/><Relationship Id="rId62" Type="http://schemas.openxmlformats.org/officeDocument/2006/relationships/hyperlink" Target="https://www.epa.gov/green-building/basic-information-about-green-buildin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microsoft.com/office/2007/relationships/diagramDrawing" Target="diagrams/drawing1.xml"/><Relationship Id="rId23" Type="http://schemas.openxmlformats.org/officeDocument/2006/relationships/hyperlink" Target="https://doi.org/10.1016/j.sciaf.2021.e00756" TargetMode="External"/><Relationship Id="rId28" Type="http://schemas.openxmlformats.org/officeDocument/2006/relationships/hyperlink" Target="https://doi.org/10.1177/0143624421991470" TargetMode="External"/><Relationship Id="rId36" Type="http://schemas.openxmlformats.org/officeDocument/2006/relationships/hyperlink" Target="https://wedocs.unep.org/20.500.11822/47798" TargetMode="External"/><Relationship Id="rId49" Type="http://schemas.openxmlformats.org/officeDocument/2006/relationships/hyperlink" Target="https://doi.org/10.1016/j.ijsbe.2014.04.006" TargetMode="External"/><Relationship Id="rId57" Type="http://schemas.openxmlformats.org/officeDocument/2006/relationships/hyperlink" Target="https://doi.org/10.1016/j.im.2014.08.008" TargetMode="External"/><Relationship Id="rId10" Type="http://schemas.microsoft.com/office/2018/08/relationships/commentsExtensible" Target="commentsExtensible.xml"/><Relationship Id="rId31" Type="http://schemas.openxmlformats.org/officeDocument/2006/relationships/hyperlink" Target="https://doi.org/10.1016/j.enbuild.2017.03.060" TargetMode="External"/><Relationship Id="rId44" Type="http://schemas.openxmlformats.org/officeDocument/2006/relationships/hyperlink" Target="https://doi.org/10.1007/s10708-020-10272-7" TargetMode="External"/><Relationship Id="rId52" Type="http://schemas.openxmlformats.org/officeDocument/2006/relationships/hyperlink" Target="https://doi.org/10.1080/23311916.2016.1167990" TargetMode="External"/><Relationship Id="rId60" Type="http://schemas.openxmlformats.org/officeDocument/2006/relationships/hyperlink" Target="https://doi.org/10.3389/frma.2023.1268045" TargetMode="External"/><Relationship Id="rId65" Type="http://schemas.openxmlformats.org/officeDocument/2006/relationships/hyperlink" Target="https://doi.org/10.1016/j.rser.2013.10.021" TargetMode="External"/><Relationship Id="rId73"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diagramQuickStyle" Target="diagrams/quickStyle1.xml"/><Relationship Id="rId18" Type="http://schemas.openxmlformats.org/officeDocument/2006/relationships/hyperlink" Target="https://www.researchgate.net/profile/Kelechi-Agwu/publication/381458797_EXPLORING_THE_IMPACTS_OF_SUSTAINABLE_DESIGN_PRACTICES_ON_CONSTRUCTION_COST/links/666df5c485a4ee7261c5af7c/EXPLORING-THE-IMPACTS-OF-SUSTAINABLE-DESIGN-PRACTICES-ON-CONSTRUCTION-COST.pdf" TargetMode="External"/><Relationship Id="rId39" Type="http://schemas.openxmlformats.org/officeDocument/2006/relationships/hyperlink" Target="https://doi.org/10.1016/j.jclepro.2021.129090" TargetMode="External"/><Relationship Id="rId34" Type="http://schemas.openxmlformats.org/officeDocument/2006/relationships/hyperlink" Target="https://www.formpl.us/blog/correlational-research" TargetMode="External"/><Relationship Id="rId50" Type="http://schemas.openxmlformats.org/officeDocument/2006/relationships/hyperlink" Target="https://doi.org/10.1371/journal.pmed.1000097" TargetMode="External"/><Relationship Id="rId55" Type="http://schemas.openxmlformats.org/officeDocument/2006/relationships/hyperlink" Target="https://doi.org/10.1136/bmj.n71" TargetMode="External"/><Relationship Id="rId7" Type="http://schemas.openxmlformats.org/officeDocument/2006/relationships/comments" Target="comments.xml"/><Relationship Id="rId71"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solidFill>
          <a:srgbClr val="0070C0">
            <a:alpha val="52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 identified through other sources </a:t>
          </a:r>
        </a:p>
        <a:p>
          <a:pPr algn="ctr"/>
          <a:r>
            <a:rPr lang="en-US" sz="1200">
              <a:latin typeface="Times New Roman" panose="02020603050405020304" pitchFamily="18" charset="0"/>
              <a:cs typeface="Times New Roman" panose="02020603050405020304" pitchFamily="18" charset="0"/>
            </a:rPr>
            <a:t>(N=120)</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Duplicate records were removed (n=165)</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(n= 231)</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Full-test articles excluded with reasons for exclusion (n=179)</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excluded</a:t>
          </a:r>
        </a:p>
        <a:p>
          <a:pPr algn="ctr"/>
          <a:r>
            <a:rPr lang="en-US" sz="1200">
              <a:latin typeface="Times New Roman" panose="02020603050405020304" pitchFamily="18" charset="0"/>
              <a:cs typeface="Times New Roman" panose="02020603050405020304" pitchFamily="18" charset="0"/>
            </a:rPr>
            <a:t> (n=264)</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assessing Green Buildings and Climate Change Adaptation</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Total records identified </a:t>
          </a:r>
        </a:p>
        <a:p>
          <a:pPr algn="ctr"/>
          <a:r>
            <a:rPr lang="en-US" sz="1200">
              <a:latin typeface="Times New Roman" panose="02020603050405020304" pitchFamily="18" charset="0"/>
              <a:cs typeface="Times New Roman" panose="02020603050405020304" pitchFamily="18" charset="0"/>
            </a:rPr>
            <a:t> (N=660) </a:t>
          </a:r>
          <a:endParaRPr lang="en-US" sz="12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87DDAD38-EC40-4FB8-A882-AED61F9A8F16}">
      <dgm:prSet custT="1"/>
      <dgm:spPr>
        <a:solidFill>
          <a:srgbClr val="0070C0">
            <a:alpha val="49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included in the review (n= 52)</a:t>
          </a: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solidFill>
          <a:srgbClr val="0070C0">
            <a:alpha val="55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identification through database searching</a:t>
          </a:r>
        </a:p>
        <a:p>
          <a:pPr algn="ctr"/>
          <a:r>
            <a:rPr lang="en-US" sz="1200">
              <a:latin typeface="Times New Roman" panose="02020603050405020304" pitchFamily="18" charset="0"/>
              <a:cs typeface="Times New Roman" panose="02020603050405020304" pitchFamily="18" charset="0"/>
            </a:rPr>
            <a:t> (N= 540)  </a:t>
          </a: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218226" custScaleY="505968" custLinFactX="30263" custLinFactY="19296" custLinFactNeighborX="100000" custLinFactNeighborY="100000">
        <dgm:presLayoutVars>
          <dgm:bulletEnabled val="1"/>
        </dgm:presLayoutVars>
      </dgm:prSet>
      <dgm:spPr>
        <a:prstGeom prst="roundRect">
          <a:avLst/>
        </a:prstGeom>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199547" custScaleY="512095" custLinFactX="-26437" custLinFactY="-471221" custLinFactNeighborX="-100000" custLinFactNeighborY="-500000">
        <dgm:presLayoutVars>
          <dgm:bulletEnabled val="1"/>
        </dgm:presLayoutVars>
      </dgm:prSet>
      <dgm:spPr>
        <a:prstGeom prst="flowChartAlternateProcess">
          <a:avLst/>
        </a:prstGeom>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60677" custScaleY="412756" custLinFactY="-332019" custLinFactNeighborX="-30543" custLinFactNeighborY="-400000">
        <dgm:presLayoutVars>
          <dgm:bulletEnabled val="1"/>
        </dgm:presLayoutVars>
      </dgm:prSet>
      <dgm:spPr>
        <a:prstGeom prst="roundRect">
          <a:avLst/>
        </a:prstGeom>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7241" custScaleY="256930" custLinFactY="-191539" custLinFactNeighborX="-97524" custLinFactNeighborY="-200000">
        <dgm:presLayoutVars>
          <dgm:bulletEnabled val="1"/>
        </dgm:presLayoutVars>
      </dgm:prSet>
      <dgm:spPr>
        <a:prstGeom prst="roundRect">
          <a:avLst/>
        </a:prstGeom>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76183" custScaleY="399535" custLinFactX="100000" custLinFactY="-118151" custLinFactNeighborX="123336" custLinFactNeighborY="-200000">
        <dgm:presLayoutVars>
          <dgm:bulletEnabled val="1"/>
        </dgm:presLayoutVars>
      </dgm:prSet>
      <dgm:spPr>
        <a:prstGeom prst="roundRect">
          <a:avLst/>
        </a:prstGeom>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210457" custScaleY="259014" custLinFactX="-18978" custLinFactY="-415440" custLinFactNeighborX="-100000" custLinFactNeighborY="-500000">
        <dgm:presLayoutVars>
          <dgm:bulletEnabled val="1"/>
        </dgm:presLayoutVars>
      </dgm:prSet>
      <dgm:spPr>
        <a:prstGeom prst="roundRect">
          <a:avLst/>
        </a:prstGeom>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196296" custScaleY="359065" custLinFactX="-9639" custLinFactY="-227913" custLinFactNeighborX="-100000" custLinFactNeighborY="-300000">
        <dgm:presLayoutVars>
          <dgm:bulletEnabled val="1"/>
        </dgm:presLayoutVars>
      </dgm:prSet>
      <dgm:spPr>
        <a:prstGeom prst="roundRect">
          <a:avLst/>
        </a:prstGeom>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214883" custScaleY="395426" custLinFactX="30304" custLinFactY="-600000" custLinFactNeighborX="100000" custLinFactNeighborY="-646349">
        <dgm:presLayoutVars>
          <dgm:bulletEnabled val="1"/>
        </dgm:presLayoutVars>
      </dgm:prSet>
      <dgm:spPr>
        <a:prstGeom prst="roundRect">
          <a:avLst/>
        </a:prstGeom>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67599" custScaleY="315158" custLinFactY="-329731" custLinFactNeighborX="-94834" custLinFactNeighborY="-400000">
        <dgm:presLayoutVars>
          <dgm:bulletEnabled val="1"/>
        </dgm:presLayoutVars>
      </dgm:prSet>
      <dgm:spPr>
        <a:prstGeom prst="roundRect">
          <a:avLst/>
        </a:prstGeom>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208469" custScaleY="293396" custLinFactX="-15658" custLinFactY="-69492" custLinFactNeighborX="-100000" custLinFactNeighborY="-100000">
        <dgm:presLayoutVars>
          <dgm:bulletEnabled val="1"/>
        </dgm:presLayoutVars>
      </dgm:prSet>
      <dgm:spPr>
        <a:prstGeom prst="roundRect">
          <a:avLst/>
        </a:prstGeom>
      </dgm:spPr>
    </dgm:pt>
  </dgm:ptLst>
  <dgm:cxnLst>
    <dgm:cxn modelId="{AD253604-D77D-4F4B-AF52-7B07C168F4F8}" srcId="{0E9B5694-CA9B-499A-B790-B729590753DC}" destId="{55AA8031-BD92-4AC2-99A6-E789A2626654}" srcOrd="3" destOrd="0" parTransId="{4760464B-C54A-463D-9E5B-90A6819279A9}" sibTransId="{0AD11660-3874-4FAE-901B-2AE28C3CE80B}"/>
    <dgm:cxn modelId="{9CBF0814-CEA2-4E3F-A4F5-6609C59DA597}" type="presOf" srcId="{AE4DE35D-E653-4878-B48D-D4F7C0AA690A}" destId="{0142DAA0-2AD6-4DC7-9BFD-B2AC880CC821}"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DD68D41F-FCE8-4AF4-9CC7-B36152F4D05D}" type="presOf" srcId="{D2668D89-ECFD-470F-8616-82F71858CCA5}" destId="{C8F4948C-AE7A-4960-B582-13A050B29D1A}" srcOrd="0" destOrd="0" presId="urn:diagrams.loki3.com/VaryingWidthList"/>
    <dgm:cxn modelId="{3D61EF20-1D1B-4D4C-B867-900BB67824A4}" type="presOf" srcId="{EB712B6B-A419-4E76-867D-A056757F1E8A}" destId="{EE5DE3F0-B656-4C95-A92F-8A504B5534BC}" srcOrd="0" destOrd="0" presId="urn:diagrams.loki3.com/VaryingWidthList"/>
    <dgm:cxn modelId="{EBF83F27-F5C7-435A-B33F-8155EB5FB514}" type="presOf" srcId="{D5AC6525-B511-48D5-A126-87C7E2D04DA7}" destId="{B544FAA4-26B6-4A88-8572-FC8026E3C886}"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31F3532F-38E2-461B-87F2-ADA1B94E3E22}" srcId="{0E9B5694-CA9B-499A-B790-B729590753DC}" destId="{D2668D89-ECFD-470F-8616-82F71858CCA5}" srcOrd="4" destOrd="0" parTransId="{4B8A9087-09BD-417A-89C9-E7D34785A30E}" sibTransId="{86B9546E-4867-41AB-9473-C4B8E9206776}"/>
    <dgm:cxn modelId="{8C0B373C-DD98-4C42-B7EC-66133F33C63A}" type="presOf" srcId="{87DDAD38-EC40-4FB8-A882-AED61F9A8F16}" destId="{5E448E02-D973-4E70-BBE9-66064DA1320C}" srcOrd="0" destOrd="0" presId="urn:diagrams.loki3.com/VaryingWidthList"/>
    <dgm:cxn modelId="{76B7A13F-1607-440B-A3B4-3884AB4AD486}" type="presOf" srcId="{6B699020-9A4B-4C2C-9951-A4AFA6F2D3DE}" destId="{7EF51B88-569A-4BF2-BCD1-CC3173FFF86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41EA87A1-D1AE-412A-8D4E-06271B718DE0}" type="presOf" srcId="{75393825-0458-428A-B64C-D219739582D8}" destId="{49060E47-25C4-4480-97EC-E383248309D7}" srcOrd="0" destOrd="0" presId="urn:diagrams.loki3.com/VaryingWidthList"/>
    <dgm:cxn modelId="{9E9342AA-A529-498C-A163-204E8B8515ED}" type="presOf" srcId="{55AA8031-BD92-4AC2-99A6-E789A2626654}" destId="{A47BC91D-EA57-4EBB-919C-E56CAF4CAA81}" srcOrd="0" destOrd="0" presId="urn:diagrams.loki3.com/VaryingWidthList"/>
    <dgm:cxn modelId="{7EB876AA-934C-4666-A240-7F67982E0F65}" type="presOf" srcId="{0E9B5694-CA9B-499A-B790-B729590753DC}" destId="{0439156F-AA6A-4DDB-A3D9-F3CDF30489F9}"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FCDA28B9-A568-4CA5-A248-80A35C51C861}" type="presOf" srcId="{91D4C3EC-96B6-4BDB-8638-E86F651EC62D}" destId="{504780DB-6D46-4BAC-8419-D8433BCFABCE}" srcOrd="0" destOrd="0" presId="urn:diagrams.loki3.com/VaryingWidthList"/>
    <dgm:cxn modelId="{2AF89BD0-5B71-498A-ABB7-3FE7644F7733}" srcId="{0E9B5694-CA9B-499A-B790-B729590753DC}" destId="{D5AC6525-B511-48D5-A126-87C7E2D04DA7}" srcOrd="6" destOrd="0" parTransId="{FAE21F81-730A-4CB8-A436-EB703ECBDD79}" sibTransId="{7CB7EBEF-6B5F-495D-8227-5FEE919200BD}"/>
    <dgm:cxn modelId="{0BFC18DF-01B9-4DC0-A573-A0B3D4380189}" type="presOf" srcId="{7D72D198-A99B-4309-9C1B-7CAD815C6070}" destId="{6383A5E7-4A3C-4234-811D-BA2E9EFA2E95}"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7B6BA383-D3F6-4B06-9B62-6B9CAEBA1B32}" type="presParOf" srcId="{0439156F-AA6A-4DDB-A3D9-F3CDF30489F9}" destId="{49060E47-25C4-4480-97EC-E383248309D7}" srcOrd="0" destOrd="0" presId="urn:diagrams.loki3.com/VaryingWidthList"/>
    <dgm:cxn modelId="{69A78ACE-ABA1-4888-AD66-3247C75B87C1}" type="presParOf" srcId="{0439156F-AA6A-4DDB-A3D9-F3CDF30489F9}" destId="{5587268E-C6CC-4955-885A-8E90011BB344}" srcOrd="1" destOrd="0" presId="urn:diagrams.loki3.com/VaryingWidthList"/>
    <dgm:cxn modelId="{55DBB7E4-3667-4DBB-ADC1-0113DCF00FAC}" type="presParOf" srcId="{0439156F-AA6A-4DDB-A3D9-F3CDF30489F9}" destId="{0142DAA0-2AD6-4DC7-9BFD-B2AC880CC821}" srcOrd="2" destOrd="0" presId="urn:diagrams.loki3.com/VaryingWidthList"/>
    <dgm:cxn modelId="{F2591692-8432-4CD5-B56D-02E6C6957F61}" type="presParOf" srcId="{0439156F-AA6A-4DDB-A3D9-F3CDF30489F9}" destId="{EA959CB0-06C8-4032-BD06-E0BDEBF51594}" srcOrd="3" destOrd="0" presId="urn:diagrams.loki3.com/VaryingWidthList"/>
    <dgm:cxn modelId="{C0C93B32-8439-4101-8363-8648ECFEEB4B}" type="presParOf" srcId="{0439156F-AA6A-4DDB-A3D9-F3CDF30489F9}" destId="{7EF51B88-569A-4BF2-BCD1-CC3173FFF865}" srcOrd="4" destOrd="0" presId="urn:diagrams.loki3.com/VaryingWidthList"/>
    <dgm:cxn modelId="{1A016B64-2CB8-4CD3-A926-72C364BA34CE}" type="presParOf" srcId="{0439156F-AA6A-4DDB-A3D9-F3CDF30489F9}" destId="{F83BBE74-5860-4FCE-9A1F-16990429BFB2}" srcOrd="5" destOrd="0" presId="urn:diagrams.loki3.com/VaryingWidthList"/>
    <dgm:cxn modelId="{0E723CF6-4E62-4ECD-81FA-91A3BB9C52D5}" type="presParOf" srcId="{0439156F-AA6A-4DDB-A3D9-F3CDF30489F9}" destId="{A47BC91D-EA57-4EBB-919C-E56CAF4CAA81}" srcOrd="6" destOrd="0" presId="urn:diagrams.loki3.com/VaryingWidthList"/>
    <dgm:cxn modelId="{ACF86A2A-8567-4606-B53F-9768600C0572}" type="presParOf" srcId="{0439156F-AA6A-4DDB-A3D9-F3CDF30489F9}" destId="{B6E32C21-C444-40E3-BC1E-206F780F1EC9}" srcOrd="7" destOrd="0" presId="urn:diagrams.loki3.com/VaryingWidthList"/>
    <dgm:cxn modelId="{29C61002-28AD-42F9-9860-055F962EF1E8}" type="presParOf" srcId="{0439156F-AA6A-4DDB-A3D9-F3CDF30489F9}" destId="{C8F4948C-AE7A-4960-B582-13A050B29D1A}" srcOrd="8" destOrd="0" presId="urn:diagrams.loki3.com/VaryingWidthList"/>
    <dgm:cxn modelId="{D0BD6022-527A-4093-B93F-9B21B3F99724}" type="presParOf" srcId="{0439156F-AA6A-4DDB-A3D9-F3CDF30489F9}" destId="{3CD28FA8-7DD3-463B-B9A2-AEB36D2175EE}" srcOrd="9" destOrd="0" presId="urn:diagrams.loki3.com/VaryingWidthList"/>
    <dgm:cxn modelId="{2A0A6CE7-1F90-4E28-9FD0-5B2DD9317930}" type="presParOf" srcId="{0439156F-AA6A-4DDB-A3D9-F3CDF30489F9}" destId="{EE5DE3F0-B656-4C95-A92F-8A504B5534BC}" srcOrd="10" destOrd="0" presId="urn:diagrams.loki3.com/VaryingWidthList"/>
    <dgm:cxn modelId="{C3E47BE3-64DA-448F-B62F-814E2343F95C}" type="presParOf" srcId="{0439156F-AA6A-4DDB-A3D9-F3CDF30489F9}" destId="{3FAB145D-8DA8-417E-88EC-085BB27455B2}" srcOrd="11" destOrd="0" presId="urn:diagrams.loki3.com/VaryingWidthList"/>
    <dgm:cxn modelId="{0110048F-DC80-487F-9F16-22880951D3E0}" type="presParOf" srcId="{0439156F-AA6A-4DDB-A3D9-F3CDF30489F9}" destId="{B544FAA4-26B6-4A88-8572-FC8026E3C886}" srcOrd="12" destOrd="0" presId="urn:diagrams.loki3.com/VaryingWidthList"/>
    <dgm:cxn modelId="{1C28BCF4-FBDC-4095-A090-07C01CE5468E}" type="presParOf" srcId="{0439156F-AA6A-4DDB-A3D9-F3CDF30489F9}" destId="{27B0E429-2D78-49B8-B4AD-08BD3448AFB5}" srcOrd="13" destOrd="0" presId="urn:diagrams.loki3.com/VaryingWidthList"/>
    <dgm:cxn modelId="{F3A3F9A5-FE47-4BBC-A687-9613F2085B08}" type="presParOf" srcId="{0439156F-AA6A-4DDB-A3D9-F3CDF30489F9}" destId="{6383A5E7-4A3C-4234-811D-BA2E9EFA2E95}" srcOrd="14" destOrd="0" presId="urn:diagrams.loki3.com/VaryingWidthList"/>
    <dgm:cxn modelId="{15FB446C-3291-491C-A517-B2BD4BBF757D}" type="presParOf" srcId="{0439156F-AA6A-4DDB-A3D9-F3CDF30489F9}" destId="{6E45CE00-B3E9-4355-8906-C8A95D802C3F}" srcOrd="15" destOrd="0" presId="urn:diagrams.loki3.com/VaryingWidthList"/>
    <dgm:cxn modelId="{911CBB91-CEA4-4E90-9019-3B75136D16DE}" type="presParOf" srcId="{0439156F-AA6A-4DDB-A3D9-F3CDF30489F9}" destId="{504780DB-6D46-4BAC-8419-D8433BCFABCE}" srcOrd="16" destOrd="0" presId="urn:diagrams.loki3.com/VaryingWidthList"/>
    <dgm:cxn modelId="{92626BB1-B684-49F9-9BC2-C176888AFD3C}" type="presParOf" srcId="{0439156F-AA6A-4DDB-A3D9-F3CDF30489F9}" destId="{F0FA0D7D-1831-4BD9-835F-50130A6C4486}" srcOrd="17" destOrd="0" presId="urn:diagrams.loki3.com/VaryingWidthList"/>
    <dgm:cxn modelId="{690AFFEE-5ED1-41E5-814A-62AF1E0B9446}"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24003" y="51253"/>
          <a:ext cx="2700546" cy="996496"/>
        </a:xfrm>
        <a:prstGeom prst="roundRect">
          <a:avLst/>
        </a:prstGeom>
        <a:solidFill>
          <a:srgbClr val="0070C0">
            <a:alpha val="52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identified through other sources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(N=120)</a:t>
          </a:r>
        </a:p>
      </dsp:txBody>
      <dsp:txXfrm>
        <a:off x="3272648" y="99898"/>
        <a:ext cx="2603256" cy="899206"/>
      </dsp:txXfrm>
    </dsp:sp>
    <dsp:sp modelId="{0142DAA0-2AD6-4DC7-9BFD-B2AC880CC821}">
      <dsp:nvSpPr>
        <dsp:cNvPr id="0" name=""/>
        <dsp:cNvSpPr/>
      </dsp:nvSpPr>
      <dsp:spPr>
        <a:xfrm>
          <a:off x="0" y="32446"/>
          <a:ext cx="2963272" cy="1008563"/>
        </a:xfrm>
        <a:prstGeom prst="flowChartAlternateProcess">
          <a:avLst/>
        </a:prstGeom>
        <a:solidFill>
          <a:srgbClr val="0070C0">
            <a:alpha val="55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identification through database searching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 540)  </a:t>
          </a:r>
        </a:p>
      </dsp:txBody>
      <dsp:txXfrm>
        <a:off x="49233" y="81679"/>
        <a:ext cx="2864806" cy="910097"/>
      </dsp:txXfrm>
    </dsp:sp>
    <dsp:sp modelId="{7EF51B88-569A-4BF2-BCD1-CC3173FFF865}">
      <dsp:nvSpPr>
        <dsp:cNvPr id="0" name=""/>
        <dsp:cNvSpPr/>
      </dsp:nvSpPr>
      <dsp:spPr>
        <a:xfrm>
          <a:off x="969444" y="1334860"/>
          <a:ext cx="3408397" cy="812916"/>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Total records identified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(N=660) </a:t>
          </a:r>
          <a:endParaRPr lang="en-US" sz="1200" kern="1200"/>
        </a:p>
      </dsp:txBody>
      <dsp:txXfrm>
        <a:off x="1009127" y="1374543"/>
        <a:ext cx="3329031" cy="733550"/>
      </dsp:txXfrm>
    </dsp:sp>
    <dsp:sp modelId="{A47BC91D-EA57-4EBB-919C-E56CAF4CAA81}">
      <dsp:nvSpPr>
        <dsp:cNvPr id="0" name=""/>
        <dsp:cNvSpPr/>
      </dsp:nvSpPr>
      <dsp:spPr>
        <a:xfrm>
          <a:off x="114264" y="2453992"/>
          <a:ext cx="2711787" cy="506019"/>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were removed (n=165)</a:t>
          </a:r>
        </a:p>
      </dsp:txBody>
      <dsp:txXfrm>
        <a:off x="138966" y="2478694"/>
        <a:ext cx="2662383" cy="456615"/>
      </dsp:txXfrm>
    </dsp:sp>
    <dsp:sp modelId="{C8F4948C-AE7A-4960-B582-13A050B29D1A}">
      <dsp:nvSpPr>
        <dsp:cNvPr id="0" name=""/>
        <dsp:cNvSpPr/>
      </dsp:nvSpPr>
      <dsp:spPr>
        <a:xfrm>
          <a:off x="3216032" y="3114396"/>
          <a:ext cx="2708517" cy="786877"/>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(n=264)</a:t>
          </a:r>
        </a:p>
      </dsp:txBody>
      <dsp:txXfrm>
        <a:off x="3254444" y="3152808"/>
        <a:ext cx="2631693" cy="710053"/>
      </dsp:txXfrm>
    </dsp:sp>
    <dsp:sp modelId="{EE5DE3F0-B656-4C95-A92F-8A504B5534BC}">
      <dsp:nvSpPr>
        <dsp:cNvPr id="0" name=""/>
        <dsp:cNvSpPr/>
      </dsp:nvSpPr>
      <dsp:spPr>
        <a:xfrm>
          <a:off x="86826" y="3296073"/>
          <a:ext cx="2699111" cy="510124"/>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sp:txBody>
      <dsp:txXfrm>
        <a:off x="111728" y="3320975"/>
        <a:ext cx="2649307" cy="460320"/>
      </dsp:txXfrm>
    </dsp:sp>
    <dsp:sp modelId="{B544FAA4-26B6-4A88-8572-FC8026E3C886}">
      <dsp:nvSpPr>
        <dsp:cNvPr id="0" name=""/>
        <dsp:cNvSpPr/>
      </dsp:nvSpPr>
      <dsp:spPr>
        <a:xfrm>
          <a:off x="114411" y="4205071"/>
          <a:ext cx="2690371" cy="707172"/>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(n= 231)</a:t>
          </a:r>
        </a:p>
      </dsp:txBody>
      <dsp:txXfrm>
        <a:off x="148932" y="4239592"/>
        <a:ext cx="2621329" cy="638130"/>
      </dsp:txXfrm>
    </dsp:sp>
    <dsp:sp modelId="{6383A5E7-4A3C-4234-811D-BA2E9EFA2E95}">
      <dsp:nvSpPr>
        <dsp:cNvPr id="0" name=""/>
        <dsp:cNvSpPr/>
      </dsp:nvSpPr>
      <dsp:spPr>
        <a:xfrm>
          <a:off x="3217024" y="4155165"/>
          <a:ext cx="2707525" cy="778785"/>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Full-test articles excluded with reasons for exclusion (n=179)</a:t>
          </a:r>
        </a:p>
      </dsp:txBody>
      <dsp:txXfrm>
        <a:off x="3255041" y="4193182"/>
        <a:ext cx="2631491" cy="702751"/>
      </dsp:txXfrm>
    </dsp:sp>
    <dsp:sp modelId="{504780DB-6D46-4BAC-8419-D8433BCFABCE}">
      <dsp:nvSpPr>
        <dsp:cNvPr id="0" name=""/>
        <dsp:cNvSpPr/>
      </dsp:nvSpPr>
      <dsp:spPr>
        <a:xfrm>
          <a:off x="68412" y="5500347"/>
          <a:ext cx="2715103" cy="620698"/>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assessing Green Buildings and Climate Change Adaptation</a:t>
          </a:r>
        </a:p>
      </dsp:txBody>
      <dsp:txXfrm>
        <a:off x="98712" y="5530647"/>
        <a:ext cx="2654503" cy="560098"/>
      </dsp:txXfrm>
    </dsp:sp>
    <dsp:sp modelId="{5E448E02-D973-4E70-BBE9-66064DA1320C}">
      <dsp:nvSpPr>
        <dsp:cNvPr id="0" name=""/>
        <dsp:cNvSpPr/>
      </dsp:nvSpPr>
      <dsp:spPr>
        <a:xfrm>
          <a:off x="92677" y="6672972"/>
          <a:ext cx="2720520" cy="577838"/>
        </a:xfrm>
        <a:prstGeom prst="roundRect">
          <a:avLst/>
        </a:prstGeom>
        <a:solidFill>
          <a:srgbClr val="0070C0">
            <a:alpha val="49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 52)</a:t>
          </a:r>
        </a:p>
      </dsp:txBody>
      <dsp:txXfrm>
        <a:off x="120885" y="6701180"/>
        <a:ext cx="2664104" cy="521422"/>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DF8F4F-F5F5-475C-AF45-4F844E36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17</Pages>
  <Words>8451</Words>
  <Characters>48173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dc:description/>
  <cp:lastModifiedBy>Tasnia Bahar Chowdhury/CCP/BRAC</cp:lastModifiedBy>
  <cp:revision>457</cp:revision>
  <dcterms:created xsi:type="dcterms:W3CDTF">2025-12-21T22:10:00Z</dcterms:created>
  <dcterms:modified xsi:type="dcterms:W3CDTF">2026-02-09T13:54:00Z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b0f3f14d-4d0e-4e2f-bdab-d16e09eac05e</vt:lpwstr>
  </property>
</Properties>
</file>