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53" w:rsidRPr="0088101F" w:rsidRDefault="00663953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63953" w:rsidRPr="0088101F">
        <w:trPr>
          <w:trHeight w:val="290"/>
        </w:trPr>
        <w:tc>
          <w:tcPr>
            <w:tcW w:w="5168" w:type="dxa"/>
          </w:tcPr>
          <w:p w:rsidR="00663953" w:rsidRPr="0088101F" w:rsidRDefault="00D458B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Journal</w:t>
            </w:r>
            <w:r w:rsidRPr="0088101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63953" w:rsidRPr="0088101F" w:rsidRDefault="00D458BF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88101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88101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88101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8101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88101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8101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88101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88101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88101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Pr="0088101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88101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88101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88101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663953" w:rsidRPr="0088101F">
        <w:trPr>
          <w:trHeight w:val="290"/>
        </w:trPr>
        <w:tc>
          <w:tcPr>
            <w:tcW w:w="5168" w:type="dxa"/>
          </w:tcPr>
          <w:p w:rsidR="00663953" w:rsidRPr="0088101F" w:rsidRDefault="00D458B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Manuscript</w:t>
            </w:r>
            <w:r w:rsidRPr="008810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63953" w:rsidRPr="0088101F" w:rsidRDefault="00D458BF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Ms_AJEBA_154428</w:t>
            </w:r>
          </w:p>
        </w:tc>
      </w:tr>
      <w:tr w:rsidR="00663953" w:rsidRPr="0088101F">
        <w:trPr>
          <w:trHeight w:val="650"/>
        </w:trPr>
        <w:tc>
          <w:tcPr>
            <w:tcW w:w="5168" w:type="dxa"/>
          </w:tcPr>
          <w:p w:rsidR="00663953" w:rsidRPr="0088101F" w:rsidRDefault="00D458B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Title</w:t>
            </w:r>
            <w:r w:rsidRPr="008810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63953" w:rsidRPr="0088101F" w:rsidRDefault="00D458BF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10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810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Behavioral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Biases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10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Investment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Decision-making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Women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Entrepreneurs</w:t>
            </w:r>
          </w:p>
        </w:tc>
      </w:tr>
      <w:tr w:rsidR="00663953" w:rsidRPr="0088101F">
        <w:trPr>
          <w:trHeight w:val="333"/>
        </w:trPr>
        <w:tc>
          <w:tcPr>
            <w:tcW w:w="5168" w:type="dxa"/>
          </w:tcPr>
          <w:p w:rsidR="00663953" w:rsidRPr="0088101F" w:rsidRDefault="00D458B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Type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63953" w:rsidRPr="0088101F" w:rsidRDefault="00D458BF">
            <w:pPr>
              <w:pStyle w:val="TableParagraph"/>
              <w:spacing w:before="27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Review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Article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(Conceptual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Paper)</w:t>
            </w:r>
          </w:p>
        </w:tc>
      </w:tr>
    </w:tbl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63953" w:rsidRPr="0088101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63953" w:rsidRPr="0088101F" w:rsidRDefault="00D458B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8101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810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810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63953" w:rsidRPr="0088101F">
        <w:trPr>
          <w:trHeight w:val="964"/>
        </w:trPr>
        <w:tc>
          <w:tcPr>
            <w:tcW w:w="5352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810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63953" w:rsidRPr="0088101F" w:rsidRDefault="00663953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663953" w:rsidRPr="0088101F" w:rsidRDefault="00D458BF">
            <w:pPr>
              <w:pStyle w:val="TableParagraph"/>
              <w:spacing w:line="254" w:lineRule="auto"/>
              <w:ind w:right="740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(It</w:t>
            </w:r>
            <w:r w:rsidRPr="008810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mandatory</w:t>
            </w:r>
            <w:r w:rsidRPr="008810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that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authors</w:t>
            </w:r>
            <w:r w:rsidRPr="008810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should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write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63953" w:rsidRPr="0088101F">
        <w:trPr>
          <w:trHeight w:val="2390"/>
        </w:trPr>
        <w:tc>
          <w:tcPr>
            <w:tcW w:w="5352" w:type="dxa"/>
          </w:tcPr>
          <w:p w:rsidR="00663953" w:rsidRPr="0088101F" w:rsidRDefault="00D458B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spacing w:before="85" w:line="312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 xml:space="preserve">The manuscript talks about behavioral biases that affect the investment choices of women entrepreneurs. This topic matters because </w:t>
            </w:r>
            <w:r w:rsidRPr="0088101F">
              <w:rPr>
                <w:rFonts w:ascii="Arial" w:hAnsi="Arial" w:cs="Arial"/>
                <w:sz w:val="20"/>
                <w:szCs w:val="20"/>
              </w:rPr>
              <w:t>behavioral finance helps us understand real investment behavior. The study shows how psychological factors like risk aversion, loss aversion, anchoring, and herding impact financial decision-making. The paper adds to the existing research on women entrepre</w:t>
            </w:r>
            <w:r w:rsidRPr="0088101F">
              <w:rPr>
                <w:rFonts w:ascii="Arial" w:hAnsi="Arial" w:cs="Arial"/>
                <w:sz w:val="20"/>
                <w:szCs w:val="20"/>
              </w:rPr>
              <w:t>neurship and offers useful insights for researchers, financial advisors, and policymakers.</w:t>
            </w:r>
          </w:p>
        </w:tc>
        <w:tc>
          <w:tcPr>
            <w:tcW w:w="6445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53" w:rsidRPr="0088101F">
        <w:trPr>
          <w:trHeight w:val="1261"/>
        </w:trPr>
        <w:tc>
          <w:tcPr>
            <w:tcW w:w="5352" w:type="dxa"/>
          </w:tcPr>
          <w:p w:rsidR="00663953" w:rsidRPr="0088101F" w:rsidRDefault="00D458B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10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63953" w:rsidRPr="0088101F" w:rsidRDefault="00D458B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spacing w:before="1" w:line="360" w:lineRule="auto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Yes,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title</w:t>
            </w:r>
            <w:r w:rsidRPr="0088101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suitable</w:t>
            </w:r>
            <w:r w:rsidRPr="0088101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and</w:t>
            </w:r>
            <w:r w:rsidRPr="0088101F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clearly</w:t>
            </w:r>
            <w:r w:rsidRPr="0088101F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reflects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main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focus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study.</w:t>
            </w:r>
            <w:r w:rsidRPr="0088101F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It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explains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that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 research</w:t>
            </w:r>
            <w:r w:rsidRPr="0088101F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about</w:t>
            </w:r>
            <w:r w:rsidRPr="0088101F">
              <w:rPr>
                <w:rFonts w:ascii="Arial" w:hAnsi="Arial" w:cs="Arial"/>
                <w:spacing w:val="33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behavioral</w:t>
            </w:r>
            <w:r w:rsidRPr="0088101F">
              <w:rPr>
                <w:rFonts w:ascii="Arial" w:hAnsi="Arial" w:cs="Arial"/>
                <w:spacing w:val="33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biases</w:t>
            </w:r>
            <w:r w:rsidRPr="0088101F">
              <w:rPr>
                <w:rFonts w:ascii="Arial" w:hAnsi="Arial" w:cs="Arial"/>
                <w:spacing w:val="34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and</w:t>
            </w:r>
            <w:r w:rsidRPr="0088101F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investment</w:t>
            </w:r>
            <w:r w:rsidRPr="0088101F">
              <w:rPr>
                <w:rFonts w:ascii="Arial" w:hAnsi="Arial" w:cs="Arial"/>
                <w:spacing w:val="33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decision-making</w:t>
            </w:r>
            <w:r w:rsidRPr="0088101F">
              <w:rPr>
                <w:rFonts w:ascii="Arial" w:hAnsi="Arial" w:cs="Arial"/>
                <w:spacing w:val="33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among</w:t>
            </w:r>
            <w:r w:rsidRPr="0088101F">
              <w:rPr>
                <w:rFonts w:ascii="Arial" w:hAnsi="Arial" w:cs="Arial"/>
                <w:spacing w:val="33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women</w:t>
            </w:r>
          </w:p>
          <w:p w:rsidR="00663953" w:rsidRPr="0088101F" w:rsidRDefault="00D458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entrepreneurs.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However, the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title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could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be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slightly</w:t>
            </w:r>
            <w:r w:rsidRPr="008810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improved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for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clarity.</w:t>
            </w:r>
          </w:p>
        </w:tc>
        <w:tc>
          <w:tcPr>
            <w:tcW w:w="6445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53" w:rsidRPr="0088101F">
        <w:trPr>
          <w:trHeight w:val="2071"/>
        </w:trPr>
        <w:tc>
          <w:tcPr>
            <w:tcW w:w="5352" w:type="dxa"/>
          </w:tcPr>
          <w:p w:rsidR="00663953" w:rsidRPr="0088101F" w:rsidRDefault="00D458B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spacing w:before="1" w:line="360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The abstract explains the objective, concept, and key findings of the study.</w:t>
            </w:r>
            <w:r w:rsidRPr="008810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It also highlights the behavioral biases discussed in the paper and mentions the conceptual frame</w:t>
            </w:r>
            <w:r w:rsidRPr="0088101F">
              <w:rPr>
                <w:rFonts w:ascii="Arial" w:hAnsi="Arial" w:cs="Arial"/>
                <w:sz w:val="20"/>
                <w:szCs w:val="20"/>
              </w:rPr>
              <w:t>work used in the research.</w:t>
            </w:r>
            <w:r w:rsidRPr="0088101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However, a brief mention of the study's primary contribution and the</w:t>
            </w:r>
            <w:r w:rsidRPr="008810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88101F">
              <w:rPr>
                <w:rFonts w:ascii="Arial" w:hAnsi="Arial" w:cs="Arial"/>
                <w:spacing w:val="77"/>
                <w:w w:val="15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25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conceptual</w:t>
            </w:r>
            <w:r w:rsidRPr="0088101F">
              <w:rPr>
                <w:rFonts w:ascii="Arial" w:hAnsi="Arial" w:cs="Arial"/>
                <w:spacing w:val="25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framework</w:t>
            </w:r>
            <w:r w:rsidRPr="0088101F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can</w:t>
            </w:r>
            <w:r w:rsidRPr="0088101F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enhance</w:t>
            </w:r>
            <w:r w:rsidRPr="0088101F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25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abstract.</w:t>
            </w:r>
            <w:r w:rsidRPr="0088101F">
              <w:rPr>
                <w:rFonts w:ascii="Arial" w:hAnsi="Arial" w:cs="Arial"/>
                <w:spacing w:val="25"/>
                <w:sz w:val="20"/>
                <w:szCs w:val="20"/>
              </w:rPr>
              <w:t xml:space="preserve">  </w:t>
            </w:r>
            <w:r w:rsidRPr="0088101F">
              <w:rPr>
                <w:rFonts w:ascii="Arial" w:hAnsi="Arial" w:cs="Arial"/>
                <w:sz w:val="20"/>
                <w:szCs w:val="20"/>
              </w:rPr>
              <w:t>Minor</w:t>
            </w:r>
            <w:r w:rsidRPr="0088101F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language</w:t>
            </w:r>
          </w:p>
          <w:p w:rsidR="00663953" w:rsidRPr="0088101F" w:rsidRDefault="00D458BF">
            <w:pPr>
              <w:pStyle w:val="TableParagraph"/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corrections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can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also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improve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clarity.</w:t>
            </w:r>
          </w:p>
        </w:tc>
        <w:tc>
          <w:tcPr>
            <w:tcW w:w="6445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53" w:rsidRPr="0088101F">
        <w:trPr>
          <w:trHeight w:val="2483"/>
        </w:trPr>
        <w:tc>
          <w:tcPr>
            <w:tcW w:w="5352" w:type="dxa"/>
          </w:tcPr>
          <w:p w:rsidR="00663953" w:rsidRPr="0088101F" w:rsidRDefault="00D458B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810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spacing w:line="360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The topic is pertinent to research on entrepreneurship and behavioral finance, and the manuscript is generally sound from a scientific standpoint. Based on secondary data and a review of the literature, the study employs a conce</w:t>
            </w:r>
            <w:r w:rsidRPr="0088101F">
              <w:rPr>
                <w:rFonts w:ascii="Arial" w:hAnsi="Arial" w:cs="Arial"/>
                <w:sz w:val="20"/>
                <w:szCs w:val="20"/>
              </w:rPr>
              <w:t>ptual research design. The paper's framework aids in elucidating the connection between investment choices and behavioral biases.</w:t>
            </w:r>
            <w:r w:rsidRPr="0088101F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However,</w:t>
            </w:r>
            <w:r w:rsidRPr="0088101F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adding</w:t>
            </w:r>
            <w:r w:rsidRPr="0088101F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more</w:t>
            </w:r>
            <w:r w:rsidRPr="0088101F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recent</w:t>
            </w:r>
            <w:r w:rsidRPr="0088101F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research</w:t>
            </w:r>
            <w:r w:rsidRPr="0088101F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and</w:t>
            </w:r>
            <w:r w:rsidRPr="0088101F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</w:t>
            </w:r>
            <w:r w:rsidRPr="0088101F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more</w:t>
            </w:r>
            <w:r w:rsidRPr="0088101F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thorough</w:t>
            </w:r>
            <w:r w:rsidRPr="0088101F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explanation</w:t>
            </w:r>
            <w:r w:rsidRPr="0088101F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663953" w:rsidRPr="0088101F" w:rsidRDefault="00D458BF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conceptual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framework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would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strengthen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paper.</w:t>
            </w:r>
          </w:p>
        </w:tc>
        <w:tc>
          <w:tcPr>
            <w:tcW w:w="6445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53" w:rsidRPr="0088101F">
        <w:trPr>
          <w:trHeight w:val="2071"/>
        </w:trPr>
        <w:tc>
          <w:tcPr>
            <w:tcW w:w="5352" w:type="dxa"/>
          </w:tcPr>
          <w:p w:rsidR="00663953" w:rsidRPr="0088101F" w:rsidRDefault="00D458B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810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spacing w:line="360" w:lineRule="auto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In general, the references are pertinent to the subject of entrepreneurship and behavioral finance. To improve the literatu</w:t>
            </w:r>
            <w:r w:rsidRPr="0088101F">
              <w:rPr>
                <w:rFonts w:ascii="Arial" w:hAnsi="Arial" w:cs="Arial"/>
                <w:sz w:val="20"/>
                <w:szCs w:val="20"/>
              </w:rPr>
              <w:t>re review, the manuscript might incorporate a few more recent studies that were released within the last five years. The paper's academic strength will</w:t>
            </w:r>
            <w:r w:rsidRPr="008810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increase</w:t>
            </w:r>
            <w:r w:rsidRPr="0088101F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with</w:t>
            </w:r>
            <w:r w:rsidRPr="0088101F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addition</w:t>
            </w:r>
            <w:r w:rsidRPr="0088101F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current</w:t>
            </w:r>
            <w:r w:rsidRPr="0088101F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empirical</w:t>
            </w:r>
            <w:r w:rsidRPr="0088101F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research</w:t>
            </w:r>
            <w:r w:rsidRPr="0088101F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on</w:t>
            </w:r>
            <w:r w:rsidRPr="0088101F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behavioral</w:t>
            </w:r>
            <w:r w:rsidRPr="0088101F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biases</w:t>
            </w:r>
            <w:r w:rsidRPr="0088101F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and</w:t>
            </w:r>
            <w:r w:rsidRPr="0088101F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female</w:t>
            </w:r>
          </w:p>
          <w:p w:rsidR="00663953" w:rsidRPr="0088101F" w:rsidRDefault="00D458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entrepreneurs.</w:t>
            </w:r>
          </w:p>
        </w:tc>
        <w:tc>
          <w:tcPr>
            <w:tcW w:w="6445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953" w:rsidRPr="0088101F" w:rsidRDefault="00663953">
      <w:pPr>
        <w:pStyle w:val="TableParagraph"/>
        <w:rPr>
          <w:rFonts w:ascii="Arial" w:hAnsi="Arial" w:cs="Arial"/>
          <w:sz w:val="20"/>
          <w:szCs w:val="20"/>
        </w:rPr>
        <w:sectPr w:rsidR="00663953" w:rsidRPr="0088101F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63953" w:rsidRPr="0088101F">
        <w:trPr>
          <w:trHeight w:val="1655"/>
        </w:trPr>
        <w:tc>
          <w:tcPr>
            <w:tcW w:w="5352" w:type="dxa"/>
          </w:tcPr>
          <w:p w:rsidR="00663953" w:rsidRPr="0088101F" w:rsidRDefault="00D458B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810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 xml:space="preserve">suitable for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spacing w:line="360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The manuscript's language is comprehensible and generally appropriate for scholarly writing. However, a few sections have a few minor grammatical mistakes and problems with sentence structure.</w:t>
            </w:r>
            <w:r w:rsidRPr="0088101F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overall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readability</w:t>
            </w:r>
            <w:r w:rsidRPr="0088101F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will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be</w:t>
            </w:r>
            <w:r w:rsidRPr="0088101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enhan</w:t>
            </w:r>
            <w:r w:rsidRPr="0088101F">
              <w:rPr>
                <w:rFonts w:ascii="Arial" w:hAnsi="Arial" w:cs="Arial"/>
                <w:sz w:val="20"/>
                <w:szCs w:val="20"/>
              </w:rPr>
              <w:t>ced</w:t>
            </w:r>
            <w:r w:rsidRPr="0088101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by</w:t>
            </w:r>
            <w:r w:rsidRPr="0088101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editing</w:t>
            </w:r>
            <w:r w:rsidRPr="0088101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manuscript</w:t>
            </w:r>
            <w:r w:rsidRPr="0088101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for</w:t>
            </w:r>
            <w:r w:rsidRPr="0088101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consistency</w:t>
            </w:r>
          </w:p>
          <w:p w:rsidR="00663953" w:rsidRPr="0088101F" w:rsidRDefault="00D458BF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and clarity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language.</w:t>
            </w:r>
          </w:p>
        </w:tc>
        <w:tc>
          <w:tcPr>
            <w:tcW w:w="6445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53" w:rsidRPr="0088101F">
        <w:trPr>
          <w:trHeight w:val="2486"/>
        </w:trPr>
        <w:tc>
          <w:tcPr>
            <w:tcW w:w="5352" w:type="dxa"/>
          </w:tcPr>
          <w:p w:rsidR="00663953" w:rsidRPr="0088101F" w:rsidRDefault="00D458B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8101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63953" w:rsidRPr="0088101F" w:rsidRDefault="00D458BF">
            <w:pPr>
              <w:pStyle w:val="TableParagraph"/>
              <w:spacing w:before="1" w:line="360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 xml:space="preserve">For research in finance and entrepreneurship, the subject of behavioral biases in female entrepreneurs is pertinent and useful. The paper's conceptual </w:t>
            </w:r>
            <w:r w:rsidRPr="0088101F">
              <w:rPr>
                <w:rFonts w:ascii="Arial" w:hAnsi="Arial" w:cs="Arial"/>
                <w:sz w:val="20"/>
                <w:szCs w:val="20"/>
              </w:rPr>
              <w:t>framework offers a solid foundation for upcoming empirical research. A clearer explanation of the framework, the addition of recent literature, and a few minor language improvements will all help the paper. All</w:t>
            </w:r>
            <w:r w:rsidRPr="0088101F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things</w:t>
            </w:r>
            <w:r w:rsidRPr="0088101F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considered,</w:t>
            </w:r>
            <w:r w:rsidRPr="0088101F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paper</w:t>
            </w:r>
            <w:r w:rsidRPr="0088101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offers</w:t>
            </w:r>
            <w:r w:rsidRPr="0088101F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insightfu</w:t>
            </w:r>
            <w:r w:rsidRPr="0088101F">
              <w:rPr>
                <w:rFonts w:ascii="Arial" w:hAnsi="Arial" w:cs="Arial"/>
                <w:sz w:val="20"/>
                <w:szCs w:val="20"/>
              </w:rPr>
              <w:t>l</w:t>
            </w:r>
            <w:r w:rsidRPr="008810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information</w:t>
            </w:r>
            <w:r w:rsidRPr="008810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and</w:t>
            </w:r>
            <w:r w:rsidRPr="0088101F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can</w:t>
            </w:r>
            <w:r w:rsidRPr="0088101F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further</w:t>
            </w:r>
            <w:r w:rsidRPr="0088101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scholarly</w:t>
            </w:r>
          </w:p>
          <w:p w:rsidR="00663953" w:rsidRPr="0088101F" w:rsidRDefault="00D458BF">
            <w:pPr>
              <w:pStyle w:val="TableParagraph"/>
              <w:spacing w:line="276" w:lineRule="exac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conversation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about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behavioral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finance.</w:t>
            </w:r>
          </w:p>
          <w:p w:rsidR="00663953" w:rsidRPr="0088101F" w:rsidRDefault="00663953">
            <w:pPr>
              <w:pStyle w:val="TableParagraph"/>
              <w:spacing w:line="27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3953" w:rsidRPr="0088101F" w:rsidRDefault="00D458BF">
            <w:pPr>
              <w:pStyle w:val="TableParagraph"/>
              <w:spacing w:line="27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work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pertinent and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acceptable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from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scientific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standpoint,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but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before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it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published,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it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advised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to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make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few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small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changes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to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literature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review,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clarity</w:t>
            </w:r>
            <w:r w:rsidRPr="008810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language, and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the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conceptual framework explanation.</w:t>
            </w:r>
          </w:p>
        </w:tc>
        <w:tc>
          <w:tcPr>
            <w:tcW w:w="6445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8"/>
        <w:gridCol w:w="9768"/>
      </w:tblGrid>
      <w:tr w:rsidR="00663953" w:rsidRPr="0088101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953" w:rsidRPr="0088101F" w:rsidRDefault="00D458B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88101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3953" w:rsidRPr="0088101F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953" w:rsidRPr="0088101F" w:rsidRDefault="00D458B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101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63953" w:rsidRPr="0088101F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3953" w:rsidRPr="0088101F" w:rsidRDefault="00D458B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101F">
              <w:rPr>
                <w:rFonts w:ascii="Arial" w:hAnsi="Arial" w:cs="Arial"/>
                <w:sz w:val="20"/>
                <w:szCs w:val="20"/>
                <w:lang w:val="en-GB"/>
              </w:rPr>
              <w:t xml:space="preserve">You are hereby suggested to include following recent </w:t>
            </w:r>
            <w:r w:rsidRPr="0088101F">
              <w:rPr>
                <w:rFonts w:ascii="Arial" w:hAnsi="Arial" w:cs="Arial"/>
                <w:sz w:val="20"/>
                <w:szCs w:val="20"/>
                <w:lang w:val="en-GB"/>
              </w:rPr>
              <w:t>references to improve the quality of the manuscript.</w:t>
            </w:r>
          </w:p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3953" w:rsidRPr="0088101F" w:rsidRDefault="00D458BF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101F">
              <w:rPr>
                <w:rFonts w:ascii="Arial" w:hAnsi="Arial" w:cs="Arial"/>
                <w:sz w:val="20"/>
                <w:szCs w:val="20"/>
                <w:lang w:val="en-GB"/>
              </w:rPr>
              <w:t>Moosa, I. A., &amp; Ramiah, V. (2017). Financial consequences of behavioural biases. London, OH: Palgrave Macmillan.</w:t>
            </w:r>
          </w:p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953" w:rsidRPr="0088101F" w:rsidRDefault="0066395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663953" w:rsidRPr="0088101F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663953" w:rsidRPr="0088101F" w:rsidRDefault="00D458B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88101F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663953" w:rsidRPr="0088101F">
        <w:trPr>
          <w:trHeight w:val="935"/>
        </w:trPr>
        <w:tc>
          <w:tcPr>
            <w:tcW w:w="6831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663953" w:rsidRPr="0088101F" w:rsidRDefault="00D458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8101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663953" w:rsidRPr="0088101F" w:rsidRDefault="00D458BF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810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(It</w:t>
            </w:r>
            <w:r w:rsidRPr="008810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mandatory</w:t>
            </w:r>
            <w:r w:rsidRPr="008810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that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authors</w:t>
            </w:r>
            <w:r w:rsidRPr="008810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should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write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63953" w:rsidRPr="0088101F">
        <w:trPr>
          <w:trHeight w:val="1701"/>
        </w:trPr>
        <w:tc>
          <w:tcPr>
            <w:tcW w:w="6831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63953" w:rsidRPr="0088101F" w:rsidRDefault="00663953">
            <w:pPr>
              <w:pStyle w:val="TableParagraph"/>
              <w:spacing w:before="16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63953" w:rsidRPr="0088101F" w:rsidRDefault="00D458B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810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810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10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810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663953" w:rsidRPr="0088101F" w:rsidRDefault="00D458BF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8101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8101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88101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8101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8101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8101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8101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8101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8101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88101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88101F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88101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663953" w:rsidRPr="0088101F" w:rsidRDefault="00D458BF">
            <w:pPr>
              <w:pStyle w:val="TableParagraph"/>
              <w:spacing w:before="229" w:line="360" w:lineRule="auto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There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were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no significant ethical problems found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in the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manuscript. The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study</w:t>
            </w:r>
            <w:r w:rsidRPr="008810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does not use</w:t>
            </w:r>
            <w:r w:rsidRPr="0088101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private</w:t>
            </w:r>
            <w:r w:rsidRPr="0088101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information</w:t>
            </w:r>
            <w:r w:rsidRPr="0088101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or</w:t>
            </w:r>
            <w:r w:rsidRPr="0088101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human</w:t>
            </w:r>
            <w:r w:rsidRPr="0088101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subjects;</w:t>
            </w:r>
            <w:r w:rsidRPr="0088101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instead,</w:t>
            </w:r>
            <w:r w:rsidRPr="0088101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it</w:t>
            </w:r>
            <w:r w:rsidRPr="0088101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is</w:t>
            </w:r>
            <w:r w:rsidRPr="0088101F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based</w:t>
            </w:r>
            <w:r w:rsidRPr="0088101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on</w:t>
            </w:r>
            <w:r w:rsidRPr="0088101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secondary</w:t>
            </w:r>
            <w:r w:rsidRPr="0088101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data</w:t>
            </w:r>
            <w:r w:rsidRPr="0088101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and</w:t>
            </w:r>
            <w:r w:rsidRPr="0088101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  <w:p w:rsidR="00663953" w:rsidRPr="0088101F" w:rsidRDefault="00D458B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8101F">
              <w:rPr>
                <w:rFonts w:ascii="Arial" w:hAnsi="Arial" w:cs="Arial"/>
                <w:sz w:val="20"/>
                <w:szCs w:val="20"/>
              </w:rPr>
              <w:t>review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z w:val="20"/>
                <w:szCs w:val="20"/>
              </w:rPr>
              <w:t>of the</w:t>
            </w:r>
            <w:r w:rsidRPr="008810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101F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</w:tc>
        <w:tc>
          <w:tcPr>
            <w:tcW w:w="5678" w:type="dxa"/>
          </w:tcPr>
          <w:p w:rsidR="00663953" w:rsidRPr="0088101F" w:rsidRDefault="006639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953" w:rsidRPr="0088101F" w:rsidRDefault="00663953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sz w:val="20"/>
          <w:szCs w:val="20"/>
        </w:rPr>
      </w:pPr>
    </w:p>
    <w:p w:rsidR="0088101F" w:rsidRPr="0088101F" w:rsidRDefault="0088101F">
      <w:pPr>
        <w:rPr>
          <w:rFonts w:ascii="Arial" w:hAnsi="Arial" w:cs="Arial"/>
          <w:b/>
          <w:sz w:val="20"/>
          <w:szCs w:val="20"/>
          <w:u w:val="single"/>
        </w:rPr>
      </w:pPr>
      <w:r w:rsidRPr="0088101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8101F" w:rsidRPr="0088101F" w:rsidRDefault="0088101F">
      <w:pPr>
        <w:rPr>
          <w:rFonts w:ascii="Arial" w:hAnsi="Arial" w:cs="Arial"/>
          <w:b/>
          <w:sz w:val="20"/>
          <w:szCs w:val="20"/>
          <w:u w:val="single"/>
        </w:rPr>
      </w:pPr>
    </w:p>
    <w:p w:rsidR="0088101F" w:rsidRPr="0088101F" w:rsidRDefault="0088101F">
      <w:pPr>
        <w:rPr>
          <w:rFonts w:ascii="Arial" w:hAnsi="Arial" w:cs="Arial"/>
          <w:b/>
          <w:sz w:val="20"/>
          <w:szCs w:val="20"/>
        </w:rPr>
      </w:pPr>
      <w:r w:rsidRPr="0088101F">
        <w:rPr>
          <w:rFonts w:ascii="Arial" w:hAnsi="Arial" w:cs="Arial"/>
          <w:b/>
          <w:sz w:val="20"/>
          <w:szCs w:val="20"/>
        </w:rPr>
        <w:t>Naveen Kumar T S, Kalpataru Institute of Technology (VTU), India</w:t>
      </w:r>
      <w:bookmarkStart w:id="1" w:name="_GoBack"/>
      <w:bookmarkEnd w:id="1"/>
    </w:p>
    <w:sectPr w:rsidR="0088101F" w:rsidRPr="0088101F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BF" w:rsidRDefault="00D458BF">
      <w:r>
        <w:separator/>
      </w:r>
    </w:p>
  </w:endnote>
  <w:endnote w:type="continuationSeparator" w:id="0">
    <w:p w:rsidR="00D458BF" w:rsidRDefault="00D4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53" w:rsidRDefault="00D458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953" w:rsidRDefault="00D458B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" filled="f" stroked="f">
              <v:path arrowok="t"/>
              <v:textbox inset="0,0,0,0">
                <w:txbxContent>
                  <w:p w:rsidR="00663953" w:rsidRDefault="00D458B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953" w:rsidRDefault="00D458B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HtRxM+MAAAANAQAADwAAAAAAAAAAAAAAAAADBAAAZHJzL2Rvd25yZXYu&#10;eG1sUEsFBgAAAAAEAAQA8wAAABMFAAAAAA==&#10;" filled="f" stroked="f">
              <v:path arrowok="t"/>
              <v:textbox inset="0,0,0,0">
                <w:txbxContent>
                  <w:p w:rsidR="00663953" w:rsidRDefault="00D458B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953" w:rsidRDefault="00D458B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" filled="f" stroked="f">
              <v:path arrowok="t"/>
              <v:textbox inset="0,0,0,0">
                <w:txbxContent>
                  <w:p w:rsidR="00663953" w:rsidRDefault="00D458B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953" w:rsidRDefault="00D458B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CCJVgeIAAAAPAQAADwAAAAAAAAAAAAAAAAAEBAAAZHJzL2Rvd25yZXYu&#10;eG1sUEsFBgAAAAAEAAQA8wAAABMFAAAAAA==&#10;" filled="f" stroked="f">
              <v:path arrowok="t"/>
              <v:textbox inset="0,0,0,0">
                <w:txbxContent>
                  <w:p w:rsidR="00663953" w:rsidRDefault="00D458B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BF" w:rsidRDefault="00D458BF">
      <w:r>
        <w:separator/>
      </w:r>
    </w:p>
  </w:footnote>
  <w:footnote w:type="continuationSeparator" w:id="0">
    <w:p w:rsidR="00D458BF" w:rsidRDefault="00D4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53" w:rsidRDefault="00D458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953" w:rsidRDefault="00D458B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HzsHSbhAAAACwEAAA8AAAAAAAAAAAAAAAAAAAQAAGRycy9kb3ducmV2LnhtbFBL&#10;BQYAAAAABAAEAPMAAAAOBQAAAAA=&#10;" filled="f" stroked="f">
              <v:path arrowok="t"/>
              <v:textbox inset="0,0,0,0">
                <w:txbxContent>
                  <w:p w:rsidR="00663953" w:rsidRDefault="00D458B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3953"/>
    <w:rsid w:val="00663953"/>
    <w:rsid w:val="0088101F"/>
    <w:rsid w:val="00D4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D622"/>
  <w15:docId w15:val="{DB11186C-E603-4E21-BCEE-BBF7719A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11</cp:revision>
  <dcterms:created xsi:type="dcterms:W3CDTF">2026-03-12T07:32:00Z</dcterms:created>
  <dcterms:modified xsi:type="dcterms:W3CDTF">2026-03-26T12:01:00Z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