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71" w:rsidRPr="005E7382" w:rsidRDefault="00510D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510D71" w:rsidRPr="005E7382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510D71" w:rsidRPr="005E7382" w:rsidRDefault="00510D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D71" w:rsidRPr="005E7382">
        <w:trPr>
          <w:trHeight w:val="290"/>
        </w:trPr>
        <w:tc>
          <w:tcPr>
            <w:tcW w:w="3160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color w:val="0000CC"/>
                <w:sz w:val="20"/>
                <w:szCs w:val="20"/>
              </w:rPr>
            </w:pPr>
            <w:hyperlink r:id="rId6">
              <w:r w:rsidRPr="005E7382">
                <w:rPr>
                  <w:rFonts w:ascii="Arial" w:hAnsi="Arial" w:cs="Arial"/>
                  <w:b/>
                  <w:bCs/>
                  <w:color w:val="0000CC"/>
                  <w:sz w:val="20"/>
                  <w:szCs w:val="20"/>
                </w:rPr>
                <w:t xml:space="preserve">Asian Journal of Dental Sciences </w:t>
              </w:r>
            </w:hyperlink>
          </w:p>
        </w:tc>
      </w:tr>
      <w:tr w:rsidR="00510D71" w:rsidRPr="005E7382">
        <w:trPr>
          <w:trHeight w:val="290"/>
        </w:trPr>
        <w:tc>
          <w:tcPr>
            <w:tcW w:w="3160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Ms_AJDS_155541</w:t>
            </w:r>
          </w:p>
        </w:tc>
      </w:tr>
      <w:tr w:rsidR="00510D71" w:rsidRPr="005E7382">
        <w:trPr>
          <w:trHeight w:val="650"/>
        </w:trPr>
        <w:tc>
          <w:tcPr>
            <w:tcW w:w="3160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plvu82d8aarg" w:colFirst="0" w:colLast="0"/>
            <w:bookmarkEnd w:id="0"/>
            <w:r w:rsidRPr="005E73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 Comparative Evaluation of Initial Pain, Discomfort, and Oral Health– Related Quality of Life in Patients Treated with Clear Aligners and Fixed Orthodontic Appliances: A Questionnaire-Based Study  </w:t>
            </w:r>
          </w:p>
        </w:tc>
      </w:tr>
      <w:tr w:rsidR="00510D71" w:rsidRPr="005E7382">
        <w:trPr>
          <w:trHeight w:val="332"/>
        </w:trPr>
        <w:tc>
          <w:tcPr>
            <w:tcW w:w="3160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510D71" w:rsidRPr="005E7382" w:rsidRDefault="00510D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10D71" w:rsidRPr="005E7382" w:rsidRDefault="00510D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</w:pPr>
    </w:p>
    <w:p w:rsidR="00510D71" w:rsidRPr="005E7382" w:rsidRDefault="003C35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E7382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</w:t>
      </w:r>
    </w:p>
    <w:p w:rsidR="00510D71" w:rsidRPr="005E7382" w:rsidRDefault="00510D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10D71" w:rsidRPr="005E7382" w:rsidRDefault="00510D7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510D71" w:rsidRPr="005E7382">
        <w:tc>
          <w:tcPr>
            <w:tcW w:w="4818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510D71" w:rsidRPr="005E7382" w:rsidRDefault="003C3571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E738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4"/>
        </w:trPr>
        <w:tc>
          <w:tcPr>
            <w:tcW w:w="4818" w:type="dxa"/>
          </w:tcPr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</w:tc>
        <w:tc>
          <w:tcPr>
            <w:tcW w:w="4966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 xml:space="preserve">This manuscript addresses a clinically relevant </w:t>
            </w:r>
            <w:r w:rsidRPr="005E7382">
              <w:rPr>
                <w:rFonts w:ascii="Arial" w:hAnsi="Arial" w:cs="Arial"/>
                <w:sz w:val="20"/>
                <w:szCs w:val="20"/>
              </w:rPr>
              <w:t>and patient-</w:t>
            </w:r>
            <w:proofErr w:type="spellStart"/>
            <w:r w:rsidRPr="005E7382">
              <w:rPr>
                <w:rFonts w:ascii="Arial" w:hAnsi="Arial" w:cs="Arial"/>
                <w:sz w:val="20"/>
                <w:szCs w:val="20"/>
              </w:rPr>
              <w:t>centered</w:t>
            </w:r>
            <w:proofErr w:type="spellEnd"/>
            <w:r w:rsidRPr="005E7382">
              <w:rPr>
                <w:rFonts w:ascii="Arial" w:hAnsi="Arial" w:cs="Arial"/>
                <w:sz w:val="20"/>
                <w:szCs w:val="20"/>
              </w:rPr>
              <w:t xml:space="preserve"> aspect of orthodontic treatment—namely pain, discomfort, and oral health-related quality of life (</w:t>
            </w:r>
            <w:proofErr w:type="spellStart"/>
            <w:r w:rsidRPr="005E7382">
              <w:rPr>
                <w:rFonts w:ascii="Arial" w:hAnsi="Arial" w:cs="Arial"/>
                <w:sz w:val="20"/>
                <w:szCs w:val="20"/>
              </w:rPr>
              <w:t>OHRQoL</w:t>
            </w:r>
            <w:proofErr w:type="spellEnd"/>
            <w:r w:rsidRPr="005E7382">
              <w:rPr>
                <w:rFonts w:ascii="Arial" w:hAnsi="Arial" w:cs="Arial"/>
                <w:sz w:val="20"/>
                <w:szCs w:val="20"/>
              </w:rPr>
              <w:t>) during the initial phase of therapy. With the increasing popularity of clear aligner systems, especially among adult patients, co</w:t>
            </w:r>
            <w:r w:rsidRPr="005E7382">
              <w:rPr>
                <w:rFonts w:ascii="Arial" w:hAnsi="Arial" w:cs="Arial"/>
                <w:sz w:val="20"/>
                <w:szCs w:val="20"/>
              </w:rPr>
              <w:t>mparative evidence regarding patient experience is essential for informed clinical decision-making. The study contributes to the existing body of knowledge by providing real-world patient-reported outcomes, which can aid clinicians in better counselling pa</w:t>
            </w:r>
            <w:r w:rsidRPr="005E7382">
              <w:rPr>
                <w:rFonts w:ascii="Arial" w:hAnsi="Arial" w:cs="Arial"/>
                <w:sz w:val="20"/>
                <w:szCs w:val="20"/>
              </w:rPr>
              <w:t>tients and setting realistic expectations. This work reinforces current trends and adds value by focusing on early treatment experiences in a contemporary patient population.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510D71" w:rsidRPr="005E7382" w:rsidRDefault="00510D71">
      <w:pPr>
        <w:rPr>
          <w:rFonts w:ascii="Arial" w:hAnsi="Arial" w:cs="Arial"/>
          <w:sz w:val="20"/>
          <w:szCs w:val="20"/>
        </w:rPr>
      </w:pPr>
    </w:p>
    <w:p w:rsidR="00510D71" w:rsidRPr="005E7382" w:rsidRDefault="00510D71">
      <w:pPr>
        <w:rPr>
          <w:rFonts w:ascii="Arial" w:hAnsi="Arial" w:cs="Arial"/>
          <w:sz w:val="20"/>
          <w:szCs w:val="20"/>
        </w:rPr>
      </w:pPr>
    </w:p>
    <w:p w:rsidR="00510D71" w:rsidRPr="005E7382" w:rsidRDefault="00510D71">
      <w:pPr>
        <w:rPr>
          <w:rFonts w:ascii="Arial" w:hAnsi="Arial" w:cs="Arial"/>
          <w:sz w:val="20"/>
          <w:szCs w:val="20"/>
        </w:rPr>
      </w:pPr>
    </w:p>
    <w:p w:rsidR="00510D71" w:rsidRPr="005E7382" w:rsidRDefault="003C3571">
      <w:pPr>
        <w:pStyle w:val="Heading2"/>
        <w:jc w:val="left"/>
        <w:rPr>
          <w:rFonts w:ascii="Arial" w:eastAsia="Times New Roman" w:hAnsi="Arial" w:cs="Arial"/>
        </w:rPr>
      </w:pPr>
      <w:r w:rsidRPr="005E7382">
        <w:rPr>
          <w:rFonts w:ascii="Arial" w:eastAsia="Times New Roman" w:hAnsi="Arial" w:cs="Arial"/>
          <w:highlight w:val="yellow"/>
        </w:rPr>
        <w:t>PART  2</w:t>
      </w:r>
    </w:p>
    <w:p w:rsidR="00510D71" w:rsidRPr="005E7382" w:rsidRDefault="00510D71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510D71" w:rsidRPr="005E7382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510D71" w:rsidRPr="005E7382" w:rsidRDefault="00510D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D71" w:rsidRPr="005E7382">
        <w:tc>
          <w:tcPr>
            <w:tcW w:w="4820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510D71" w:rsidRPr="005E7382" w:rsidRDefault="003C3571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E738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</w:t>
            </w: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 xml:space="preserve">4. Is the background </w:t>
            </w:r>
            <w:r w:rsidRPr="005E7382">
              <w:rPr>
                <w:rFonts w:ascii="Arial" w:eastAsia="Times New Roman" w:hAnsi="Arial" w:cs="Arial"/>
              </w:rPr>
              <w:t>information of the paper sufficient and well organized?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</w:t>
            </w: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7. Is the re</w:t>
            </w:r>
            <w:r w:rsidRPr="005E7382">
              <w:rPr>
                <w:rFonts w:ascii="Arial" w:eastAsia="Times New Roman" w:hAnsi="Arial" w:cs="Arial"/>
              </w:rPr>
              <w:t>search methodology appropriate for the study?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1262"/>
        </w:trPr>
        <w:tc>
          <w:tcPr>
            <w:tcW w:w="4820" w:type="dxa"/>
          </w:tcPr>
          <w:p w:rsidR="00510D71" w:rsidRPr="005E7382" w:rsidRDefault="003C357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E7382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</w:t>
            </w: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Are tables and figures clear, </w:t>
            </w: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relevant, and necessary?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</w:t>
            </w: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</w:t>
            </w: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sed?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10D71" w:rsidRPr="005E7382">
        <w:trPr>
          <w:trHeight w:val="703"/>
        </w:trPr>
        <w:tc>
          <w:tcPr>
            <w:tcW w:w="4820" w:type="dxa"/>
          </w:tcPr>
          <w:p w:rsidR="00510D71" w:rsidRPr="005E7382" w:rsidRDefault="003C35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382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10D71" w:rsidRPr="005E7382" w:rsidRDefault="003C357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510D71" w:rsidRPr="005E7382" w:rsidRDefault="003C3571">
            <w:pPr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N/A </w:t>
            </w:r>
            <w:r w:rsidRPr="005E738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= Not Applicable</w:t>
            </w:r>
          </w:p>
        </w:tc>
        <w:tc>
          <w:tcPr>
            <w:tcW w:w="4964" w:type="dxa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510D71" w:rsidRPr="005E7382" w:rsidRDefault="00510D7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510D71" w:rsidRPr="005E7382" w:rsidRDefault="00510D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10D71" w:rsidRPr="005E7382" w:rsidRDefault="003C3571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  <w:r w:rsidRPr="005E7382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6</w:t>
      </w:r>
    </w:p>
    <w:p w:rsidR="00510D71" w:rsidRPr="005E7382" w:rsidRDefault="00510D71">
      <w:pPr>
        <w:rPr>
          <w:rFonts w:ascii="Arial" w:hAnsi="Arial" w:cs="Arial"/>
          <w:sz w:val="20"/>
          <w:szCs w:val="20"/>
        </w:rPr>
      </w:pPr>
    </w:p>
    <w:tbl>
      <w:tblPr>
        <w:tblStyle w:val="a6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5843"/>
      </w:tblGrid>
      <w:tr w:rsidR="00510D71" w:rsidRPr="005E7382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5E73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510D71" w:rsidRPr="005E7382" w:rsidRDefault="00510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510D71" w:rsidRPr="005E7382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510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3C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510D71" w:rsidRPr="005E7382">
        <w:trPr>
          <w:trHeight w:val="5937"/>
        </w:trPr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510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10D71" w:rsidRPr="005E7382" w:rsidRDefault="003C357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 xml:space="preserve">The manuscript addresses a relevant and increasingly important topic in contemporary </w:t>
            </w:r>
            <w:r w:rsidRPr="005E7382">
              <w:rPr>
                <w:rFonts w:ascii="Arial" w:hAnsi="Arial" w:cs="Arial"/>
                <w:sz w:val="20"/>
                <w:szCs w:val="20"/>
              </w:rPr>
              <w:t>orthodontics, particularly with the growing demand for clear aligner therapy and emphasis on patient-reported outcomes. The study attempts to compare early pain, discomfort, and oral health-related quality of life between aligners and fixed appliances, whi</w:t>
            </w:r>
            <w:r w:rsidRPr="005E7382">
              <w:rPr>
                <w:rFonts w:ascii="Arial" w:hAnsi="Arial" w:cs="Arial"/>
                <w:sz w:val="20"/>
                <w:szCs w:val="20"/>
              </w:rPr>
              <w:t>ch is clinically meaningful and useful for patient counselling.</w:t>
            </w:r>
          </w:p>
          <w:p w:rsidR="00510D71" w:rsidRPr="005E7382" w:rsidRDefault="003C357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However, while the overall concept is sound, there are several concerns that limit the current strength of the manuscript. The study design is appropriate in principle, but methodological clar</w:t>
            </w:r>
            <w:r w:rsidRPr="005E7382">
              <w:rPr>
                <w:rFonts w:ascii="Arial" w:hAnsi="Arial" w:cs="Arial"/>
                <w:sz w:val="20"/>
                <w:szCs w:val="20"/>
              </w:rPr>
              <w:t xml:space="preserve">ity is lacking—particularly regarding sampling strategy, imbalance between study groups, and absence of information on questionnaire validation. Additionally, the lack of an explicit limitations section is a notable omission. Some of the findings (such as </w:t>
            </w:r>
            <w:r w:rsidRPr="005E7382">
              <w:rPr>
                <w:rFonts w:ascii="Arial" w:hAnsi="Arial" w:cs="Arial"/>
                <w:sz w:val="20"/>
                <w:szCs w:val="20"/>
              </w:rPr>
              <w:t>the very high rate of emergency visits) require further clarification or justification.</w:t>
            </w:r>
          </w:p>
          <w:p w:rsidR="00510D71" w:rsidRPr="005E7382" w:rsidRDefault="003C3571">
            <w:pPr>
              <w:spacing w:before="240"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382">
              <w:rPr>
                <w:rFonts w:ascii="Arial" w:hAnsi="Arial" w:cs="Arial"/>
                <w:sz w:val="20"/>
                <w:szCs w:val="20"/>
              </w:rPr>
              <w:t>The manuscript is generally understandable, but language and formatting need refinement to meet publication standards. Despite these issues, the study has merit and can</w:t>
            </w:r>
            <w:r w:rsidRPr="005E7382">
              <w:rPr>
                <w:rFonts w:ascii="Arial" w:hAnsi="Arial" w:cs="Arial"/>
                <w:sz w:val="20"/>
                <w:szCs w:val="20"/>
              </w:rPr>
              <w:t xml:space="preserve"> contribute to the literature if revised carefully.</w:t>
            </w: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D71" w:rsidRPr="005E7382" w:rsidRDefault="00510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10D71" w:rsidRPr="005E7382" w:rsidRDefault="00510D71">
      <w:p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510D71" w:rsidRPr="005E7382" w:rsidRDefault="005E7382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5E7382">
        <w:rPr>
          <w:rFonts w:ascii="Arial" w:hAnsi="Arial" w:cs="Arial"/>
          <w:b/>
          <w:bCs/>
          <w:sz w:val="20"/>
          <w:szCs w:val="20"/>
          <w:u w:val="single"/>
        </w:rPr>
        <w:t>Reviewer details:</w:t>
      </w:r>
    </w:p>
    <w:p w:rsidR="005E7382" w:rsidRPr="005E7382" w:rsidRDefault="005E738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5E7382" w:rsidRPr="005E7382" w:rsidRDefault="005E7382" w:rsidP="005E7382">
      <w:pPr>
        <w:rPr>
          <w:rFonts w:ascii="Arial" w:hAnsi="Arial" w:cs="Arial"/>
          <w:b/>
          <w:bCs/>
          <w:sz w:val="20"/>
          <w:szCs w:val="20"/>
        </w:rPr>
      </w:pPr>
      <w:bookmarkStart w:id="1" w:name="_GoBack"/>
      <w:proofErr w:type="spellStart"/>
      <w:r w:rsidRPr="005E7382">
        <w:rPr>
          <w:rFonts w:ascii="Arial" w:hAnsi="Arial" w:cs="Arial"/>
          <w:b/>
          <w:bCs/>
          <w:sz w:val="20"/>
          <w:szCs w:val="20"/>
        </w:rPr>
        <w:t>Kanu</w:t>
      </w:r>
      <w:proofErr w:type="spellEnd"/>
      <w:r w:rsidRPr="005E7382">
        <w:rPr>
          <w:rFonts w:ascii="Arial" w:hAnsi="Arial" w:cs="Arial"/>
          <w:b/>
          <w:bCs/>
          <w:sz w:val="20"/>
          <w:szCs w:val="20"/>
        </w:rPr>
        <w:t xml:space="preserve"> Pandey</w:t>
      </w:r>
      <w:r w:rsidRPr="005E7382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5E7382">
        <w:rPr>
          <w:rFonts w:ascii="Arial" w:hAnsi="Arial" w:cs="Arial"/>
          <w:b/>
          <w:bCs/>
          <w:sz w:val="20"/>
          <w:szCs w:val="20"/>
        </w:rPr>
        <w:t>Rungta</w:t>
      </w:r>
      <w:proofErr w:type="spellEnd"/>
      <w:r w:rsidRPr="005E7382">
        <w:rPr>
          <w:rFonts w:ascii="Arial" w:hAnsi="Arial" w:cs="Arial"/>
          <w:b/>
          <w:bCs/>
          <w:sz w:val="20"/>
          <w:szCs w:val="20"/>
        </w:rPr>
        <w:t xml:space="preserve"> College of Dental Sciences and Research</w:t>
      </w:r>
      <w:r w:rsidRPr="005E7382">
        <w:rPr>
          <w:rFonts w:ascii="Arial" w:hAnsi="Arial" w:cs="Arial"/>
          <w:b/>
          <w:bCs/>
          <w:sz w:val="20"/>
          <w:szCs w:val="20"/>
        </w:rPr>
        <w:t xml:space="preserve">, </w:t>
      </w:r>
      <w:r w:rsidRPr="005E7382">
        <w:rPr>
          <w:rFonts w:ascii="Arial" w:hAnsi="Arial" w:cs="Arial"/>
          <w:b/>
          <w:bCs/>
          <w:sz w:val="20"/>
          <w:szCs w:val="20"/>
        </w:rPr>
        <w:t>India</w:t>
      </w:r>
      <w:bookmarkEnd w:id="1"/>
    </w:p>
    <w:sectPr w:rsidR="005E7382" w:rsidRPr="005E73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571" w:rsidRDefault="003C3571">
      <w:r>
        <w:separator/>
      </w:r>
    </w:p>
  </w:endnote>
  <w:endnote w:type="continuationSeparator" w:id="0">
    <w:p w:rsidR="003C3571" w:rsidRDefault="003C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6D7A8E8C-C15D-4E1A-8C31-8BB10FF0F47F}"/>
  </w:font>
  <w:font w:name="Arimo">
    <w:charset w:val="00"/>
    <w:family w:val="auto"/>
    <w:pitch w:val="default"/>
    <w:embedBold r:id="rId2" w:fontKey="{6C9D30FC-DF14-44FA-BBE5-7E2A4907F0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94463D5-4F43-4E05-8856-9ABD371F7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6E50DCD-0B3D-4853-89DF-E89AE60B9F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6C7291-B80F-4DBF-8A28-2A4C4AFCC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510D71" w:rsidRDefault="003C35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510D71" w:rsidRDefault="003C35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V180326</w:t>
    </w:r>
  </w:p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571" w:rsidRDefault="003C3571">
      <w:r>
        <w:separator/>
      </w:r>
    </w:p>
  </w:footnote>
  <w:footnote w:type="continuationSeparator" w:id="0">
    <w:p w:rsidR="003C3571" w:rsidRDefault="003C3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510D71" w:rsidRDefault="003C3571">
    <w:pPr>
      <w:spacing w:before="280"/>
      <w:jc w:val="center"/>
    </w:pPr>
    <w:r>
      <w:rPr>
        <w:rFonts w:ascii="Arial" w:eastAsia="Arial" w:hAnsi="Arial" w:cs="Arial"/>
        <w:b/>
        <w:bCs/>
        <w:color w:val="003399"/>
        <w:u w:val="single"/>
      </w:rPr>
      <w:t>Review Form-1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71" w:rsidRDefault="00510D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D71"/>
    <w:rsid w:val="003C3571"/>
    <w:rsid w:val="00510D71"/>
    <w:rsid w:val="005E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FBB6"/>
  <w15:docId w15:val="{8F73C951-A730-450F-A879-E2E386D9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ds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1179</cp:lastModifiedBy>
  <cp:revision>7</cp:revision>
  <dcterms:created xsi:type="dcterms:W3CDTF">2026-03-23T07:28:00Z</dcterms:created>
  <dcterms:modified xsi:type="dcterms:W3CDTF">2026-03-25T04:22:00Z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