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27A25" w:rsidRPr="001B1F0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27A25" w:rsidRPr="001B1F01" w:rsidRDefault="00627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7A25" w:rsidRPr="001B1F01">
        <w:trPr>
          <w:trHeight w:val="290"/>
        </w:trPr>
        <w:tc>
          <w:tcPr>
            <w:tcW w:w="1186" w:type="pct"/>
          </w:tcPr>
          <w:p w:rsidR="00627A25" w:rsidRPr="001B1F01" w:rsidRDefault="000C0B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0C0B9A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1B1F0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627A25" w:rsidRPr="001B1F01">
        <w:trPr>
          <w:trHeight w:val="290"/>
        </w:trPr>
        <w:tc>
          <w:tcPr>
            <w:tcW w:w="1186" w:type="pct"/>
          </w:tcPr>
          <w:p w:rsidR="00627A25" w:rsidRPr="001B1F01" w:rsidRDefault="000C0B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0C0B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Ms_AJDS_155489</w:t>
            </w:r>
          </w:p>
        </w:tc>
      </w:tr>
      <w:tr w:rsidR="00627A25" w:rsidRPr="001B1F01">
        <w:trPr>
          <w:trHeight w:val="650"/>
        </w:trPr>
        <w:tc>
          <w:tcPr>
            <w:tcW w:w="1186" w:type="pct"/>
          </w:tcPr>
          <w:p w:rsidR="00627A25" w:rsidRPr="001B1F01" w:rsidRDefault="000C0B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0C0B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</w:t>
            </w: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>diagnostic accuracy of Clinical Palpation vs Ultrasonography for Cervical Lymph Node assessment in OSCC: Histopathological Validation in 1,690 Nodes from Rural Karnataka</w:t>
            </w:r>
          </w:p>
        </w:tc>
      </w:tr>
      <w:tr w:rsidR="00627A25" w:rsidRPr="001B1F01">
        <w:trPr>
          <w:trHeight w:val="332"/>
        </w:trPr>
        <w:tc>
          <w:tcPr>
            <w:tcW w:w="1186" w:type="pct"/>
          </w:tcPr>
          <w:p w:rsidR="00627A25" w:rsidRPr="001B1F01" w:rsidRDefault="000C0B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0C0B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627A25" w:rsidRPr="001B1F01" w:rsidRDefault="00627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A25" w:rsidRPr="001B1F01" w:rsidRDefault="00627A25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627A25" w:rsidRPr="001B1F01" w:rsidRDefault="000C0B9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B1F0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627A25" w:rsidRPr="001B1F01" w:rsidRDefault="00627A2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627A25" w:rsidRPr="001B1F01" w:rsidRDefault="00627A2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27A25" w:rsidRPr="001B1F01">
        <w:tc>
          <w:tcPr>
            <w:tcW w:w="1789" w:type="pct"/>
            <w:noWrap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1F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27A25" w:rsidRPr="001B1F01" w:rsidRDefault="000C0B9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B1F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 w:rsidRPr="001B1F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Feedback</w:t>
            </w:r>
            <w:r w:rsidRPr="001B1F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1264"/>
        </w:trPr>
        <w:tc>
          <w:tcPr>
            <w:tcW w:w="1789" w:type="pct"/>
            <w:noWrap/>
          </w:tcPr>
          <w:p w:rsidR="00627A25" w:rsidRPr="001B1F01" w:rsidRDefault="000C0B9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B1F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27A25" w:rsidRPr="001B1F01" w:rsidRDefault="000C0B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speaks about accounting the lymph node metastasis using the ultrasonography guided technique to detect the occult cervical lymph node metastasis. The study has a good aim but the way its written is little confusing. 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7A25" w:rsidRPr="001B1F01" w:rsidRDefault="00627A25">
      <w:pPr>
        <w:rPr>
          <w:rFonts w:ascii="Arial" w:hAnsi="Arial" w:cs="Arial"/>
          <w:sz w:val="20"/>
          <w:szCs w:val="20"/>
          <w:lang w:val="en-GB"/>
        </w:rPr>
      </w:pPr>
    </w:p>
    <w:p w:rsidR="00627A25" w:rsidRPr="001B1F01" w:rsidRDefault="00627A25">
      <w:pPr>
        <w:rPr>
          <w:rFonts w:ascii="Arial" w:hAnsi="Arial" w:cs="Arial"/>
          <w:sz w:val="20"/>
          <w:szCs w:val="20"/>
          <w:lang w:val="en-GB"/>
        </w:rPr>
      </w:pPr>
    </w:p>
    <w:p w:rsidR="00627A25" w:rsidRPr="001B1F01" w:rsidRDefault="00627A25">
      <w:pPr>
        <w:rPr>
          <w:rFonts w:ascii="Arial" w:hAnsi="Arial" w:cs="Arial"/>
          <w:sz w:val="20"/>
          <w:szCs w:val="20"/>
          <w:lang w:val="en-GB"/>
        </w:rPr>
      </w:pPr>
    </w:p>
    <w:p w:rsidR="00627A25" w:rsidRPr="001B1F01" w:rsidRDefault="00627A25">
      <w:pPr>
        <w:rPr>
          <w:rFonts w:ascii="Arial" w:hAnsi="Arial" w:cs="Arial"/>
          <w:sz w:val="20"/>
          <w:szCs w:val="20"/>
          <w:lang w:val="en-GB"/>
        </w:rPr>
      </w:pPr>
    </w:p>
    <w:p w:rsidR="00627A25" w:rsidRPr="001B1F01" w:rsidRDefault="00627A25">
      <w:pPr>
        <w:rPr>
          <w:rFonts w:ascii="Arial" w:hAnsi="Arial" w:cs="Arial"/>
          <w:sz w:val="20"/>
          <w:szCs w:val="20"/>
          <w:lang w:val="en-GB"/>
        </w:rPr>
      </w:pPr>
    </w:p>
    <w:p w:rsidR="00627A25" w:rsidRPr="001B1F01" w:rsidRDefault="000C0B9A">
      <w:pPr>
        <w:pStyle w:val="Heading2"/>
        <w:jc w:val="left"/>
        <w:rPr>
          <w:rFonts w:ascii="Arial" w:hAnsi="Arial" w:cs="Arial"/>
          <w:lang w:val="en-GB" w:eastAsia="en-US"/>
        </w:rPr>
      </w:pPr>
      <w:r w:rsidRPr="001B1F01">
        <w:rPr>
          <w:rFonts w:ascii="Arial" w:hAnsi="Arial" w:cs="Arial"/>
          <w:highlight w:val="yellow"/>
          <w:lang w:val="en-GB" w:eastAsia="en-US"/>
        </w:rPr>
        <w:t>PART  2</w:t>
      </w:r>
    </w:p>
    <w:p w:rsidR="00627A25" w:rsidRPr="001B1F01" w:rsidRDefault="00627A2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27A25" w:rsidRPr="001B1F0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27A25" w:rsidRPr="001B1F01" w:rsidRDefault="00627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7A25" w:rsidRPr="001B1F01" w:rsidRDefault="00627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7A25" w:rsidRPr="001B1F01">
        <w:tc>
          <w:tcPr>
            <w:tcW w:w="1790" w:type="pct"/>
            <w:noWrap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1F01">
              <w:rPr>
                <w:rFonts w:ascii="Arial" w:hAnsi="Arial" w:cs="Arial"/>
                <w:lang w:val="en-GB" w:eastAsia="en-US"/>
              </w:rPr>
              <w:t xml:space="preserve">Rating </w:t>
            </w:r>
            <w:r w:rsidRPr="001B1F01">
              <w:rPr>
                <w:rFonts w:ascii="Arial" w:hAnsi="Arial" w:cs="Arial"/>
                <w:lang w:val="en-GB" w:eastAsia="en-US"/>
              </w:rPr>
              <w:t>of the Reviewers</w:t>
            </w:r>
          </w:p>
        </w:tc>
        <w:tc>
          <w:tcPr>
            <w:tcW w:w="1367" w:type="pct"/>
          </w:tcPr>
          <w:p w:rsidR="00627A25" w:rsidRPr="001B1F01" w:rsidRDefault="000C0B9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1F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7A25" w:rsidRPr="001B1F01">
        <w:trPr>
          <w:trHeight w:val="1262"/>
        </w:trPr>
        <w:tc>
          <w:tcPr>
            <w:tcW w:w="1790" w:type="pct"/>
            <w:noWrap/>
          </w:tcPr>
          <w:p w:rsidR="00627A25" w:rsidRPr="001B1F01" w:rsidRDefault="000C0B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1262"/>
        </w:trPr>
        <w:tc>
          <w:tcPr>
            <w:tcW w:w="1790" w:type="pct"/>
            <w:noWrap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1F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1262"/>
        </w:trPr>
        <w:tc>
          <w:tcPr>
            <w:tcW w:w="1790" w:type="pct"/>
            <w:noWrap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1F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</w:t>
            </w: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1262"/>
        </w:trPr>
        <w:tc>
          <w:tcPr>
            <w:tcW w:w="1790" w:type="pct"/>
            <w:noWrap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1F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1262"/>
        </w:trPr>
        <w:tc>
          <w:tcPr>
            <w:tcW w:w="1790" w:type="pct"/>
            <w:noWrap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1F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1262"/>
        </w:trPr>
        <w:tc>
          <w:tcPr>
            <w:tcW w:w="1790" w:type="pct"/>
            <w:noWrap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1F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</w:t>
            </w: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1262"/>
        </w:trPr>
        <w:tc>
          <w:tcPr>
            <w:tcW w:w="1790" w:type="pct"/>
            <w:noWrap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1F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1262"/>
        </w:trPr>
        <w:tc>
          <w:tcPr>
            <w:tcW w:w="1790" w:type="pct"/>
            <w:noWrap/>
          </w:tcPr>
          <w:p w:rsidR="00627A25" w:rsidRPr="001B1F01" w:rsidRDefault="000C0B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1F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703"/>
        </w:trPr>
        <w:tc>
          <w:tcPr>
            <w:tcW w:w="1790" w:type="pct"/>
            <w:noWrap/>
          </w:tcPr>
          <w:p w:rsidR="00627A25" w:rsidRPr="001B1F01" w:rsidRDefault="000C0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703"/>
        </w:trPr>
        <w:tc>
          <w:tcPr>
            <w:tcW w:w="1790" w:type="pct"/>
            <w:noWrap/>
          </w:tcPr>
          <w:p w:rsidR="00627A25" w:rsidRPr="001B1F01" w:rsidRDefault="000C0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703"/>
        </w:trPr>
        <w:tc>
          <w:tcPr>
            <w:tcW w:w="1790" w:type="pct"/>
            <w:noWrap/>
          </w:tcPr>
          <w:p w:rsidR="00627A25" w:rsidRPr="001B1F01" w:rsidRDefault="000C0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</w:t>
            </w: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703"/>
        </w:trPr>
        <w:tc>
          <w:tcPr>
            <w:tcW w:w="1790" w:type="pct"/>
            <w:noWrap/>
          </w:tcPr>
          <w:p w:rsidR="00627A25" w:rsidRPr="001B1F01" w:rsidRDefault="000C0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703"/>
        </w:trPr>
        <w:tc>
          <w:tcPr>
            <w:tcW w:w="1790" w:type="pct"/>
            <w:noWrap/>
          </w:tcPr>
          <w:p w:rsidR="00627A25" w:rsidRPr="001B1F01" w:rsidRDefault="000C0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</w:t>
            </w: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limitations of the study discussed?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703"/>
        </w:trPr>
        <w:tc>
          <w:tcPr>
            <w:tcW w:w="1790" w:type="pct"/>
            <w:noWrap/>
          </w:tcPr>
          <w:p w:rsidR="00627A25" w:rsidRPr="001B1F01" w:rsidRDefault="000C0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A25" w:rsidRPr="001B1F01">
        <w:trPr>
          <w:trHeight w:val="703"/>
        </w:trPr>
        <w:tc>
          <w:tcPr>
            <w:tcW w:w="1790" w:type="pct"/>
            <w:noWrap/>
          </w:tcPr>
          <w:p w:rsidR="00627A25" w:rsidRPr="001B1F01" w:rsidRDefault="000C0B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A25" w:rsidRPr="001B1F01" w:rsidRDefault="000C0B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27A25" w:rsidRPr="001B1F01" w:rsidRDefault="000C0B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A25" w:rsidRPr="001B1F01" w:rsidRDefault="00627A2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7A25" w:rsidRPr="001B1F01" w:rsidRDefault="00627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27A25" w:rsidRPr="001B1F0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0C0B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B1F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27A25" w:rsidRPr="001B1F01" w:rsidRDefault="00627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7A25" w:rsidRPr="001B1F0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627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0C0B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27A25" w:rsidRPr="001B1F0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627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7A25" w:rsidRPr="001B1F01" w:rsidRDefault="000C0B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F01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many grammatical mistakes in this article. The wordings in some sentences do not tell the exact nature of the matter the author wants to convey. </w:t>
            </w:r>
          </w:p>
          <w:p w:rsidR="00627A25" w:rsidRPr="001B1F01" w:rsidRDefault="00627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7A25" w:rsidRPr="001B1F01" w:rsidRDefault="00627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7A25" w:rsidRPr="001B1F01" w:rsidRDefault="00627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A25" w:rsidRPr="001B1F01" w:rsidRDefault="00627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27A25" w:rsidRPr="001B1F01" w:rsidRDefault="00627A2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D798D" w:rsidRPr="005D798D" w:rsidTr="00F318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98D" w:rsidRPr="005D798D" w:rsidRDefault="005D798D" w:rsidP="005D79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D798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D798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D798D" w:rsidRPr="005D798D" w:rsidRDefault="005D798D" w:rsidP="005D79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D798D" w:rsidRPr="005D798D" w:rsidTr="00F3187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98D" w:rsidRPr="005D798D" w:rsidRDefault="005D798D" w:rsidP="005D79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98D" w:rsidRPr="005D798D" w:rsidRDefault="005D798D" w:rsidP="005D79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79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D798D" w:rsidRPr="005D798D" w:rsidRDefault="005D798D" w:rsidP="005D798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79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79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D798D" w:rsidRPr="005D798D" w:rsidRDefault="005D798D" w:rsidP="005D79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98D" w:rsidRPr="005D798D" w:rsidTr="00F3187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98D" w:rsidRPr="005D798D" w:rsidRDefault="005D798D" w:rsidP="005D798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D798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D798D" w:rsidRPr="005D798D" w:rsidRDefault="005D798D" w:rsidP="005D79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98D" w:rsidRPr="005D798D" w:rsidRDefault="005D798D" w:rsidP="005D798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D79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D798D" w:rsidRPr="005D798D" w:rsidRDefault="005D798D" w:rsidP="005D79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D798D" w:rsidRPr="005D798D" w:rsidRDefault="005D798D" w:rsidP="005D79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798D" w:rsidRPr="005D798D" w:rsidRDefault="005D798D" w:rsidP="005D79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798D" w:rsidRPr="005D798D" w:rsidRDefault="005D798D" w:rsidP="005D79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D798D" w:rsidRPr="005D798D" w:rsidRDefault="005D798D" w:rsidP="005D798D">
      <w:pPr>
        <w:rPr>
          <w:rFonts w:ascii="Arial" w:hAnsi="Arial" w:cs="Arial"/>
          <w:sz w:val="20"/>
          <w:szCs w:val="20"/>
        </w:rPr>
      </w:pPr>
    </w:p>
    <w:p w:rsidR="005D798D" w:rsidRPr="005D798D" w:rsidRDefault="005D798D" w:rsidP="005D798D">
      <w:pPr>
        <w:rPr>
          <w:rFonts w:ascii="Arial" w:hAnsi="Arial" w:cs="Arial"/>
          <w:sz w:val="20"/>
          <w:szCs w:val="20"/>
        </w:rPr>
      </w:pPr>
    </w:p>
    <w:p w:rsidR="005D798D" w:rsidRPr="005D798D" w:rsidRDefault="005D798D" w:rsidP="005D798D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B1F01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5D798D" w:rsidRPr="005D798D" w:rsidRDefault="005D798D" w:rsidP="005D798D">
      <w:pPr>
        <w:rPr>
          <w:rFonts w:ascii="Arial" w:hAnsi="Arial" w:cs="Arial"/>
          <w:sz w:val="20"/>
          <w:szCs w:val="20"/>
        </w:rPr>
      </w:pPr>
    </w:p>
    <w:p w:rsidR="005D798D" w:rsidRPr="001B1F01" w:rsidRDefault="001B1F0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1B1F01">
        <w:rPr>
          <w:rFonts w:ascii="Arial" w:eastAsia="Arial Unicode MS" w:hAnsi="Arial" w:cs="Arial"/>
          <w:b/>
          <w:bCs/>
          <w:sz w:val="20"/>
          <w:szCs w:val="20"/>
          <w:lang w:val="en-GB"/>
        </w:rPr>
        <w:t>Manjeeta Mahesh Sinai Dhume, Goa University, India</w:t>
      </w:r>
      <w:bookmarkStart w:id="2" w:name="_GoBack"/>
      <w:bookmarkEnd w:id="2"/>
    </w:p>
    <w:sectPr w:rsidR="005D798D" w:rsidRPr="001B1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B9A" w:rsidRDefault="000C0B9A">
      <w:r>
        <w:separator/>
      </w:r>
    </w:p>
  </w:endnote>
  <w:endnote w:type="continuationSeparator" w:id="0">
    <w:p w:rsidR="000C0B9A" w:rsidRDefault="000C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25" w:rsidRDefault="00627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25" w:rsidRDefault="00627A25">
    <w:pPr>
      <w:pStyle w:val="Footer"/>
      <w:jc w:val="right"/>
    </w:pPr>
  </w:p>
  <w:p w:rsidR="00627A25" w:rsidRDefault="000C0B9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B1F0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B1F01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27A25" w:rsidRDefault="000C0B9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627A25" w:rsidRDefault="00627A25">
    <w:pPr>
      <w:pStyle w:val="Footer"/>
      <w:jc w:val="right"/>
    </w:pPr>
  </w:p>
  <w:p w:rsidR="00627A25" w:rsidRDefault="00627A2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25" w:rsidRDefault="00627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B9A" w:rsidRDefault="000C0B9A">
      <w:r>
        <w:separator/>
      </w:r>
    </w:p>
  </w:footnote>
  <w:footnote w:type="continuationSeparator" w:id="0">
    <w:p w:rsidR="000C0B9A" w:rsidRDefault="000C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25" w:rsidRDefault="00627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25" w:rsidRDefault="00627A2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7A25" w:rsidRDefault="000C0B9A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25" w:rsidRDefault="00627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A25"/>
    <w:rsid w:val="000C0B9A"/>
    <w:rsid w:val="001B1F01"/>
    <w:rsid w:val="005D798D"/>
    <w:rsid w:val="0062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B535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9</cp:revision>
  <dcterms:created xsi:type="dcterms:W3CDTF">2026-03-19T07:10:00Z</dcterms:created>
  <dcterms:modified xsi:type="dcterms:W3CDTF">2026-03-28T05:47:00Z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