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D3B88" w14:textId="77777777" w:rsidR="00754C9A" w:rsidRDefault="00754C9A" w:rsidP="00441B6F">
      <w:pPr>
        <w:pStyle w:val="Title"/>
        <w:spacing w:after="0"/>
        <w:jc w:val="both"/>
        <w:rPr>
          <w:rFonts w:ascii="Arial" w:hAnsi="Arial" w:cs="Arial"/>
        </w:rPr>
      </w:pPr>
    </w:p>
    <w:p w14:paraId="7E09C36D" w14:textId="77777777" w:rsidR="00852A2C" w:rsidRPr="00852A2C" w:rsidRDefault="00852A2C" w:rsidP="00852A2C">
      <w:pPr>
        <w:pStyle w:val="Author"/>
        <w:rPr>
          <w:rFonts w:ascii="Arial" w:hAnsi="Arial" w:cs="Arial"/>
          <w:bCs/>
          <w:i/>
          <w:iCs/>
          <w:sz w:val="28"/>
          <w:szCs w:val="28"/>
          <w:u w:val="single"/>
        </w:rPr>
      </w:pPr>
      <w:r w:rsidRPr="00852A2C">
        <w:rPr>
          <w:rFonts w:ascii="Arial" w:hAnsi="Arial" w:cs="Arial"/>
          <w:bCs/>
          <w:i/>
          <w:iCs/>
          <w:sz w:val="28"/>
          <w:szCs w:val="28"/>
          <w:u w:val="single"/>
        </w:rPr>
        <w:t>Original Research Article</w:t>
      </w:r>
    </w:p>
    <w:p w14:paraId="2FB18514" w14:textId="5E274729" w:rsidR="00A258C3" w:rsidRPr="006C5F41" w:rsidRDefault="009E4595" w:rsidP="009E4595">
      <w:pPr>
        <w:pStyle w:val="Author"/>
        <w:spacing w:line="240" w:lineRule="auto"/>
        <w:rPr>
          <w:rFonts w:ascii="Arial" w:hAnsi="Arial" w:cs="Arial"/>
          <w:bCs/>
          <w:sz w:val="28"/>
          <w:szCs w:val="28"/>
        </w:rPr>
      </w:pPr>
      <w:r w:rsidRPr="006C5F41">
        <w:rPr>
          <w:rFonts w:ascii="Arial" w:hAnsi="Arial" w:cs="Arial"/>
          <w:bCs/>
          <w:sz w:val="28"/>
          <w:szCs w:val="28"/>
        </w:rPr>
        <w:t>Comparative evaluation of Ofloxacin incorporated T-PRF vs metronidazole incorporated T-PRF as an adjunct to Non surgical periodontal therapy – A Randomized Controlled trial</w:t>
      </w:r>
    </w:p>
    <w:p w14:paraId="715967A7" w14:textId="77777777" w:rsidR="00316208" w:rsidRPr="006C5F41" w:rsidRDefault="00316208" w:rsidP="009E4595">
      <w:pPr>
        <w:pStyle w:val="Author"/>
        <w:spacing w:line="240" w:lineRule="auto"/>
        <w:rPr>
          <w:rFonts w:ascii="Arial" w:hAnsi="Arial" w:cs="Arial"/>
          <w:sz w:val="28"/>
          <w:szCs w:val="28"/>
        </w:rPr>
      </w:pPr>
    </w:p>
    <w:p w14:paraId="3CF54197" w14:textId="54EC64EE" w:rsidR="0020408D" w:rsidRPr="006C5F41" w:rsidRDefault="009E4595" w:rsidP="004109C4">
      <w:pPr>
        <w:pStyle w:val="Author"/>
        <w:spacing w:line="240" w:lineRule="auto"/>
        <w:rPr>
          <w:rFonts w:ascii="Arial" w:hAnsi="Arial" w:cs="Arial"/>
        </w:rPr>
      </w:pPr>
      <w:r w:rsidRPr="006C5F41">
        <w:rPr>
          <w:rFonts w:ascii="Arial" w:hAnsi="Arial" w:cs="Arial"/>
        </w:rPr>
        <w:t xml:space="preserve">   </w:t>
      </w:r>
    </w:p>
    <w:p w14:paraId="29B0634A" w14:textId="77777777" w:rsidR="002C57D2" w:rsidRPr="006C5F41" w:rsidRDefault="002C57D2" w:rsidP="00441B6F">
      <w:pPr>
        <w:pStyle w:val="Affiliation"/>
        <w:spacing w:after="0" w:line="240" w:lineRule="auto"/>
        <w:jc w:val="both"/>
        <w:rPr>
          <w:rFonts w:ascii="Arial" w:hAnsi="Arial" w:cs="Arial"/>
        </w:rPr>
      </w:pPr>
    </w:p>
    <w:p w14:paraId="6EDDD9C8" w14:textId="77777777" w:rsidR="00B01FCD" w:rsidRPr="006C5F41" w:rsidRDefault="00000000" w:rsidP="00441B6F">
      <w:pPr>
        <w:pStyle w:val="Copyright"/>
        <w:spacing w:after="0" w:line="240" w:lineRule="auto"/>
        <w:jc w:val="both"/>
        <w:rPr>
          <w:rFonts w:ascii="Arial" w:hAnsi="Arial" w:cs="Arial"/>
        </w:rPr>
        <w:sectPr w:rsidR="00B01FCD" w:rsidRPr="006C5F41" w:rsidSect="004109C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EEFAAAD">
          <v:shapetype id="_x0000_t32" coordsize="21600,21600" o:spt="32" o:oned="t" path="m,l21600,21600e" filled="f">
            <v:path arrowok="t" fillok="f" o:connecttype="none"/>
            <o:lock v:ext="edit" shapetype="t"/>
          </v:shapetype>
          <v:shape id="_x0000_s206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C5F41">
        <w:rPr>
          <w:rFonts w:ascii="Arial" w:hAnsi="Arial" w:cs="Arial"/>
        </w:rPr>
        <w:t>.</w:t>
      </w:r>
    </w:p>
    <w:p w14:paraId="4FF8CDEF" w14:textId="51284871" w:rsidR="00B01FCD" w:rsidRPr="006C5F41" w:rsidRDefault="00B01FCD" w:rsidP="00441B6F">
      <w:pPr>
        <w:pStyle w:val="AbstHead"/>
        <w:spacing w:after="0"/>
        <w:jc w:val="both"/>
        <w:rPr>
          <w:rFonts w:ascii="Arial" w:hAnsi="Arial" w:cs="Arial"/>
        </w:rPr>
      </w:pPr>
      <w:r w:rsidRPr="006C5F41">
        <w:rPr>
          <w:rFonts w:ascii="Arial" w:hAnsi="Arial" w:cs="Arial"/>
        </w:rPr>
        <w:t>ABSTRACT</w:t>
      </w:r>
      <w:r w:rsidR="0066510A" w:rsidRPr="006C5F41">
        <w:rPr>
          <w:rFonts w:ascii="Arial" w:hAnsi="Arial" w:cs="Arial"/>
        </w:rPr>
        <w:t xml:space="preserve"> </w:t>
      </w:r>
    </w:p>
    <w:p w14:paraId="17012278" w14:textId="77777777" w:rsidR="00790ADA" w:rsidRPr="006C5F4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C5F41" w14:paraId="3FEB56A3" w14:textId="77777777" w:rsidTr="001E44FE">
        <w:tc>
          <w:tcPr>
            <w:tcW w:w="9576" w:type="dxa"/>
            <w:shd w:val="clear" w:color="auto" w:fill="F2F2F2"/>
          </w:tcPr>
          <w:p w14:paraId="4E3E3681" w14:textId="77777777" w:rsidR="0013388C" w:rsidRPr="006C5F41" w:rsidRDefault="0013388C" w:rsidP="0013388C">
            <w:pPr>
              <w:rPr>
                <w:rFonts w:ascii="Arial" w:hAnsi="Arial" w:cs="Arial"/>
                <w:sz w:val="22"/>
                <w:szCs w:val="22"/>
              </w:rPr>
            </w:pPr>
            <w:r w:rsidRPr="006C5F41">
              <w:rPr>
                <w:rFonts w:ascii="Arial" w:hAnsi="Arial" w:cs="Arial"/>
                <w:b/>
                <w:bCs/>
                <w:sz w:val="22"/>
                <w:szCs w:val="22"/>
              </w:rPr>
              <w:t>Introduction:</w:t>
            </w:r>
            <w:r w:rsidRPr="006C5F41">
              <w:rPr>
                <w:rFonts w:ascii="Arial" w:hAnsi="Arial" w:cs="Arial"/>
                <w:sz w:val="22"/>
                <w:szCs w:val="22"/>
              </w:rPr>
              <w:br/>
              <w:t>Non-surgical periodontal therapy (NSPT) remains the cornerstone in the management of periodontitis; however, complete elimination of subgingival pathogens through mechanical debridement alone is often limited. Local drug delivery systems combined with biologically active scaffolds may enhance therapeutic outcomes. Titanium-prepared platelet-rich fibrin (T-PRF), owing to its dense fibrin architecture and sustained release of growth factors, has emerged as a promising autologous biomaterial. Incorporation of antimicrobial agents such as ofloxacin and metronidazole into T-PRF may provide combined antimicrobial and regenerative benefits.</w:t>
            </w:r>
          </w:p>
          <w:p w14:paraId="43BDCE5A" w14:textId="77777777" w:rsidR="0013388C" w:rsidRPr="006C5F41" w:rsidRDefault="0013388C" w:rsidP="0013388C">
            <w:pPr>
              <w:rPr>
                <w:rFonts w:ascii="Arial" w:hAnsi="Arial" w:cs="Arial"/>
                <w:sz w:val="22"/>
                <w:szCs w:val="22"/>
              </w:rPr>
            </w:pPr>
            <w:r w:rsidRPr="006C5F41">
              <w:rPr>
                <w:rFonts w:ascii="Arial" w:hAnsi="Arial" w:cs="Arial"/>
                <w:b/>
                <w:bCs/>
                <w:sz w:val="22"/>
                <w:szCs w:val="22"/>
              </w:rPr>
              <w:t>Aim:</w:t>
            </w:r>
            <w:r w:rsidRPr="006C5F41">
              <w:rPr>
                <w:rFonts w:ascii="Arial" w:hAnsi="Arial" w:cs="Arial"/>
                <w:sz w:val="22"/>
                <w:szCs w:val="22"/>
              </w:rPr>
              <w:br/>
              <w:t>To evaluate and compare the clinical efficacy of ofloxacin-incorporated T-PRF and metronidazole-incorporated T-PRF as adjuncts to scaling and root planing (SRP) in the treatment of periodontitis.</w:t>
            </w:r>
          </w:p>
          <w:p w14:paraId="63A22437" w14:textId="77777777" w:rsidR="0013388C" w:rsidRPr="006C5F41" w:rsidRDefault="0013388C" w:rsidP="0013388C">
            <w:pPr>
              <w:rPr>
                <w:rFonts w:ascii="Arial" w:hAnsi="Arial" w:cs="Arial"/>
                <w:sz w:val="22"/>
                <w:szCs w:val="22"/>
              </w:rPr>
            </w:pPr>
            <w:r w:rsidRPr="006C5F41">
              <w:rPr>
                <w:rFonts w:ascii="Arial" w:hAnsi="Arial" w:cs="Arial"/>
                <w:b/>
                <w:bCs/>
                <w:sz w:val="22"/>
                <w:szCs w:val="22"/>
              </w:rPr>
              <w:t>Methodology:</w:t>
            </w:r>
            <w:r w:rsidRPr="006C5F41">
              <w:rPr>
                <w:rFonts w:ascii="Arial" w:hAnsi="Arial" w:cs="Arial"/>
                <w:sz w:val="22"/>
                <w:szCs w:val="22"/>
              </w:rPr>
              <w:br/>
              <w:t>Thirty systemically healthy patients diagnosed with periodontitis were randomly allocated into three groups (n=10): Group I—SRP alone; Group II—SRP with ofloxacin-loaded T-PRF; and Group III—SRP with metronidazole-loaded T-PRF. Antimicrobial-loaded T-PRF membranes were placed subgingivally following SRP. Clinical parameters including plaque index, bleeding index, probing depth, and clinical attachment level were recorded at baseline, one month, and three months.</w:t>
            </w:r>
          </w:p>
          <w:p w14:paraId="5E5443CC" w14:textId="77777777" w:rsidR="0013388C" w:rsidRPr="006C5F41" w:rsidRDefault="0013388C" w:rsidP="0013388C">
            <w:pPr>
              <w:rPr>
                <w:rFonts w:ascii="Arial" w:hAnsi="Arial" w:cs="Arial"/>
                <w:sz w:val="22"/>
                <w:szCs w:val="22"/>
              </w:rPr>
            </w:pPr>
            <w:r w:rsidRPr="006C5F41">
              <w:rPr>
                <w:rFonts w:ascii="Arial" w:hAnsi="Arial" w:cs="Arial"/>
                <w:b/>
                <w:bCs/>
                <w:sz w:val="22"/>
                <w:szCs w:val="22"/>
              </w:rPr>
              <w:t>Results:</w:t>
            </w:r>
            <w:r w:rsidRPr="006C5F41">
              <w:rPr>
                <w:rFonts w:ascii="Arial" w:hAnsi="Arial" w:cs="Arial"/>
                <w:sz w:val="22"/>
                <w:szCs w:val="22"/>
              </w:rPr>
              <w:br/>
              <w:t>All groups demonstrated significant improvement in clinical parameters over time. Both antimicrobial-loaded T-PRF groups showed greater reductions in probing depth and gains in clinical attachment compared to SRP alone. Ofloxacin-incorporated T-PRF demonstrated marginally superior outcomes compared to metronidazole-incorporated T-PRF at three months.</w:t>
            </w:r>
          </w:p>
          <w:p w14:paraId="61B9BF93" w14:textId="77777777" w:rsidR="0013388C" w:rsidRPr="006C5F41" w:rsidRDefault="0013388C" w:rsidP="0013388C">
            <w:pPr>
              <w:rPr>
                <w:rFonts w:ascii="Arial" w:hAnsi="Arial" w:cs="Arial"/>
                <w:sz w:val="22"/>
                <w:szCs w:val="22"/>
              </w:rPr>
            </w:pPr>
            <w:r w:rsidRPr="006C5F41">
              <w:rPr>
                <w:rFonts w:ascii="Arial" w:hAnsi="Arial" w:cs="Arial"/>
                <w:b/>
                <w:bCs/>
                <w:sz w:val="22"/>
                <w:szCs w:val="22"/>
              </w:rPr>
              <w:t>Conclusion:</w:t>
            </w:r>
            <w:r w:rsidRPr="006C5F41">
              <w:rPr>
                <w:rFonts w:ascii="Arial" w:hAnsi="Arial" w:cs="Arial"/>
                <w:sz w:val="22"/>
                <w:szCs w:val="22"/>
              </w:rPr>
              <w:br/>
              <w:t>Antimicrobial-loaded T-PRF serves as an effective adjunct to NSPT, with ofloxacin-incorporated T-PRF showing enhanced clinical benefits in managing periodontitis.</w:t>
            </w:r>
          </w:p>
          <w:p w14:paraId="7305C88A" w14:textId="4EED9A4E" w:rsidR="00505F06" w:rsidRPr="006C5F41" w:rsidRDefault="00505F06" w:rsidP="0013388C">
            <w:pPr>
              <w:pStyle w:val="Body"/>
              <w:spacing w:after="0"/>
              <w:rPr>
                <w:rFonts w:ascii="Arial" w:eastAsia="Calibri" w:hAnsi="Arial" w:cs="Arial"/>
                <w:szCs w:val="22"/>
              </w:rPr>
            </w:pPr>
          </w:p>
        </w:tc>
      </w:tr>
    </w:tbl>
    <w:p w14:paraId="42677279" w14:textId="77777777" w:rsidR="00636EB2" w:rsidRPr="006C5F41" w:rsidRDefault="00636EB2" w:rsidP="00441B6F">
      <w:pPr>
        <w:pStyle w:val="Body"/>
        <w:spacing w:after="0"/>
        <w:rPr>
          <w:rFonts w:ascii="Arial" w:hAnsi="Arial" w:cs="Arial"/>
          <w:i/>
        </w:rPr>
      </w:pPr>
    </w:p>
    <w:p w14:paraId="15E153DE" w14:textId="77777777" w:rsidR="0013388C" w:rsidRPr="006C5F41" w:rsidRDefault="00A24E7E" w:rsidP="0013388C">
      <w:pPr>
        <w:rPr>
          <w:rFonts w:ascii="Times New Roman" w:hAnsi="Times New Roman"/>
        </w:rPr>
      </w:pPr>
      <w:r w:rsidRPr="006C5F41">
        <w:rPr>
          <w:rFonts w:ascii="Arial" w:hAnsi="Arial" w:cs="Arial"/>
          <w:i/>
        </w:rPr>
        <w:t>Keywords:</w:t>
      </w:r>
      <w:r w:rsidRPr="006C5F41">
        <w:rPr>
          <w:rFonts w:ascii="Arial" w:hAnsi="Arial" w:cs="Arial"/>
          <w:i/>
          <w:iCs/>
        </w:rPr>
        <w:t xml:space="preserve"> </w:t>
      </w:r>
      <w:r w:rsidR="0013388C" w:rsidRPr="006C5F41">
        <w:rPr>
          <w:rFonts w:ascii="Arial" w:hAnsi="Arial" w:cs="Arial"/>
          <w:i/>
          <w:iCs/>
        </w:rPr>
        <w:t>Periodontitis, T-PRF, Ofloxacin, Metronidazole, Local drug delivery, Non-surgical periodontal therapy</w:t>
      </w:r>
    </w:p>
    <w:p w14:paraId="5036404F" w14:textId="77777777" w:rsidR="0024282C" w:rsidRPr="006C5F41" w:rsidRDefault="0024282C" w:rsidP="00441B6F">
      <w:pPr>
        <w:pStyle w:val="Body"/>
        <w:spacing w:after="0"/>
        <w:rPr>
          <w:rFonts w:ascii="Arial" w:hAnsi="Arial" w:cs="Arial"/>
          <w:i/>
          <w:sz w:val="18"/>
        </w:rPr>
      </w:pPr>
    </w:p>
    <w:p w14:paraId="4C4DE4A0" w14:textId="77777777" w:rsidR="00505F06" w:rsidRPr="006C5F41" w:rsidRDefault="00505F06" w:rsidP="00441B6F">
      <w:pPr>
        <w:pStyle w:val="Body"/>
        <w:spacing w:after="0"/>
        <w:rPr>
          <w:rFonts w:ascii="Arial" w:hAnsi="Arial" w:cs="Arial"/>
          <w:i/>
        </w:rPr>
      </w:pPr>
    </w:p>
    <w:p w14:paraId="01150BFB" w14:textId="2D369343" w:rsidR="00884F39" w:rsidRPr="006C5F41" w:rsidRDefault="00884F39" w:rsidP="00884F39">
      <w:pPr>
        <w:pStyle w:val="AbstHead"/>
        <w:spacing w:after="0"/>
        <w:jc w:val="both"/>
        <w:rPr>
          <w:rFonts w:ascii="Arial" w:hAnsi="Arial" w:cs="Arial"/>
        </w:rPr>
      </w:pPr>
      <w:r w:rsidRPr="006C5F41">
        <w:rPr>
          <w:rFonts w:ascii="Arial" w:hAnsi="Arial" w:cs="Arial"/>
        </w:rPr>
        <w:t xml:space="preserve">1. </w:t>
      </w:r>
      <w:r w:rsidR="00B01FCD" w:rsidRPr="006C5F41">
        <w:rPr>
          <w:rFonts w:ascii="Arial" w:hAnsi="Arial" w:cs="Arial"/>
        </w:rPr>
        <w:t>INTRODUCTION</w:t>
      </w:r>
    </w:p>
    <w:p w14:paraId="30A757DB" w14:textId="77777777" w:rsidR="00884F39" w:rsidRPr="006C5F41" w:rsidRDefault="00884F39" w:rsidP="00884F39">
      <w:pPr>
        <w:jc w:val="both"/>
        <w:rPr>
          <w:rFonts w:ascii="Arial" w:hAnsi="Arial" w:cs="Arial"/>
        </w:rPr>
      </w:pPr>
      <w:r w:rsidRPr="006C5F41">
        <w:rPr>
          <w:rFonts w:ascii="Arial" w:hAnsi="Arial" w:cs="Arial"/>
          <w:b/>
          <w:bCs/>
        </w:rPr>
        <w:t>Periodontitis</w:t>
      </w:r>
      <w:r w:rsidRPr="006C5F41">
        <w:rPr>
          <w:rFonts w:ascii="Arial" w:hAnsi="Arial" w:cs="Arial"/>
        </w:rPr>
        <w:t xml:space="preserve"> is an inflammatory disease of supporting tissues of the teeth which is caused by specific pathogens or groups of specific microorganisms leading to progressive destruction of the periodontal ligament and alveolar bone with </w:t>
      </w:r>
      <w:r w:rsidRPr="006C5F41">
        <w:rPr>
          <w:rFonts w:ascii="Arial" w:hAnsi="Arial" w:cs="Arial"/>
        </w:rPr>
        <w:lastRenderedPageBreak/>
        <w:t>recession, pocket formation or both. Periodontal therapy should ideally reduce inflammation, stop the progression of periodontal disease, enhance appearance, and establish an environment that promotes health maintenance.</w:t>
      </w:r>
    </w:p>
    <w:p w14:paraId="1EE23B63" w14:textId="77777777" w:rsidR="00884F39" w:rsidRPr="006C5F41" w:rsidRDefault="00884F39" w:rsidP="00884F39">
      <w:pPr>
        <w:jc w:val="both"/>
        <w:rPr>
          <w:rFonts w:ascii="Arial" w:hAnsi="Arial" w:cs="Arial"/>
        </w:rPr>
      </w:pPr>
      <w:r w:rsidRPr="006C5F41">
        <w:rPr>
          <w:rFonts w:ascii="Arial" w:hAnsi="Arial" w:cs="Arial"/>
          <w:b/>
          <w:bCs/>
        </w:rPr>
        <w:t xml:space="preserve">Nonsurgical periodontal therapy (NSPT) </w:t>
      </w:r>
      <w:r w:rsidRPr="006C5F41">
        <w:rPr>
          <w:rFonts w:ascii="Arial" w:hAnsi="Arial" w:cs="Arial"/>
        </w:rPr>
        <w:t>serves as the fundamental basis for periodontal treatment and is the primary suggested method for managing periodontal infections. While NSPT has progressed over time, it remains regarded as the “gold standard” against which other treatment options are measured. Nevertheless, traditional mechanical debridement techniques do not eliminate all periodontopathic bacteria from the subgingival area, particularly those with difficult accessible areas like furcations, grooves, concavities, and deep pockets</w:t>
      </w:r>
      <w:r w:rsidRPr="006C5F41">
        <w:rPr>
          <w:rFonts w:ascii="Arial" w:hAnsi="Arial" w:cs="Arial"/>
          <w:b/>
          <w:bCs/>
        </w:rPr>
        <w:t>.</w:t>
      </w:r>
      <w:r w:rsidRPr="006C5F41">
        <w:rPr>
          <w:rFonts w:ascii="Arial" w:hAnsi="Arial" w:cs="Arial"/>
        </w:rPr>
        <w:t xml:space="preserve"> </w:t>
      </w:r>
    </w:p>
    <w:p w14:paraId="55225308" w14:textId="77777777" w:rsidR="00884F39" w:rsidRPr="006C5F41" w:rsidRDefault="00884F39" w:rsidP="00884F39">
      <w:pPr>
        <w:jc w:val="both"/>
        <w:rPr>
          <w:rFonts w:ascii="Arial" w:hAnsi="Arial" w:cs="Arial"/>
        </w:rPr>
      </w:pPr>
      <w:r w:rsidRPr="006C5F41">
        <w:rPr>
          <w:rFonts w:ascii="Arial" w:hAnsi="Arial" w:cs="Arial"/>
        </w:rPr>
        <w:t>Antibiotics, whether used systemically or locally, have been utilized for a long time as supplementary treatments in managing periodontal disease. However, frequent and prolonged use of systemic antibiotics can lead to adverse effects such as low patient adherence, the emergence of antibiotic-resistant infections, and secondary infections. Therefore, local therapy is now considered the preferred option since it mitigates issues associated with systemic administration. The success of periodontal treatment largely hinges on selecting the right antimicrobial agent and the delivery method used. Local drug delivery (LDD) offers several benefits over systemic therapy, including fewer side effects and improved patient compliance. Research indicates that when LDD is administered directly to the site, the periodontal tissues achieve higher therapeutic concentrations of antibiotics compared to systemic delivery.</w:t>
      </w:r>
    </w:p>
    <w:p w14:paraId="20D83DCA" w14:textId="77777777" w:rsidR="00884F39" w:rsidRPr="006C5F41" w:rsidRDefault="00884F39" w:rsidP="00884F39">
      <w:pPr>
        <w:jc w:val="both"/>
        <w:rPr>
          <w:rFonts w:ascii="Arial" w:hAnsi="Arial" w:cs="Arial"/>
        </w:rPr>
      </w:pPr>
      <w:r w:rsidRPr="006C5F41">
        <w:rPr>
          <w:rFonts w:ascii="Arial" w:hAnsi="Arial" w:cs="Arial"/>
          <w:b/>
          <w:bCs/>
        </w:rPr>
        <w:t>Endogenous regenerative technology</w:t>
      </w:r>
      <w:r w:rsidRPr="006C5F41">
        <w:rPr>
          <w:rFonts w:ascii="Arial" w:hAnsi="Arial" w:cs="Arial"/>
        </w:rPr>
        <w:t>, commonly referred to as ERT, has garnered attention in the realm of regeneration due to its capability to activate the body's dormant self-healing processes and enhance its innate regenerative abilities. Among the various types of endogenous regenerative technology (ERT), platelet-rich fibrin (PRF) is one of the most frequently utilized. The proposed mechanism for the regenerative effectiveness of platelet concentrates is attributed to the release of various growth factors from the platelets.</w:t>
      </w:r>
    </w:p>
    <w:p w14:paraId="22C726BB" w14:textId="77777777" w:rsidR="00884F39" w:rsidRPr="006C5F41" w:rsidRDefault="00884F39" w:rsidP="00884F39">
      <w:pPr>
        <w:jc w:val="both"/>
        <w:rPr>
          <w:rFonts w:ascii="Arial" w:hAnsi="Arial" w:cs="Arial"/>
        </w:rPr>
      </w:pPr>
      <w:r w:rsidRPr="006C5F41">
        <w:rPr>
          <w:rFonts w:ascii="Arial" w:hAnsi="Arial" w:cs="Arial"/>
          <w:b/>
          <w:bCs/>
        </w:rPr>
        <w:t xml:space="preserve">Titanium-Prepared Platelet-Rich Fibrin (T-PRF) </w:t>
      </w:r>
      <w:r w:rsidRPr="006C5F41">
        <w:rPr>
          <w:rFonts w:ascii="Arial" w:hAnsi="Arial" w:cs="Arial"/>
        </w:rPr>
        <w:t>created using titanium tubes, provides a thicker fibrin matrix and a gradual release of autologous growth factors that promote angiogenesis, fibroblast growth, and regeneration of soft tissues. T-PRF possesses a more compact fibrin composition compared to traditional PRF, with a prolonged resorption period, making it a promising option for sustained drug delivery and release</w:t>
      </w:r>
    </w:p>
    <w:p w14:paraId="4D259E30" w14:textId="77777777" w:rsidR="00884F39" w:rsidRPr="006C5F41" w:rsidRDefault="00884F39" w:rsidP="00884F39">
      <w:pPr>
        <w:jc w:val="both"/>
        <w:rPr>
          <w:rFonts w:ascii="Arial" w:hAnsi="Arial" w:cs="Arial"/>
        </w:rPr>
      </w:pPr>
      <w:r w:rsidRPr="006C5F41">
        <w:rPr>
          <w:rFonts w:ascii="Arial" w:hAnsi="Arial" w:cs="Arial"/>
          <w:b/>
          <w:bCs/>
        </w:rPr>
        <w:t>Ofloxacin</w:t>
      </w:r>
      <w:r w:rsidRPr="006C5F41">
        <w:rPr>
          <w:rFonts w:ascii="Arial" w:hAnsi="Arial" w:cs="Arial"/>
        </w:rPr>
        <w:t xml:space="preserve"> is a broad-spectrum antibiotic belonging to the second generation of fluoroquinolones, effective against both gram-positive and gram-negative organisms. It operates by blocking two type II topoisomerases in bacteria, namely DNA gyrase and topoisomerase IV. Ofloxacin is absorbed more effectively, reaches higher peak serum levels, and has a longer elimination half-life, typically ranging from 5 to 7 hours. Studies have indicated that OFLX exerts powerful antibacterial actions against various bacteria linked to periodontal disease by inhibiting DNA gyrase.</w:t>
      </w:r>
    </w:p>
    <w:p w14:paraId="37327181" w14:textId="1683E3D4" w:rsidR="00884F39" w:rsidRPr="006C5F41" w:rsidRDefault="00884F39" w:rsidP="00884F39">
      <w:pPr>
        <w:jc w:val="both"/>
        <w:rPr>
          <w:rFonts w:ascii="Arial" w:hAnsi="Arial" w:cs="Arial"/>
        </w:rPr>
      </w:pPr>
      <w:r w:rsidRPr="006C5F41">
        <w:rPr>
          <w:rFonts w:ascii="Arial" w:hAnsi="Arial" w:cs="Arial"/>
          <w:b/>
          <w:bCs/>
        </w:rPr>
        <w:t>Metronidazole</w:t>
      </w:r>
      <w:r w:rsidRPr="006C5F41">
        <w:rPr>
          <w:rFonts w:ascii="Arial" w:hAnsi="Arial" w:cs="Arial"/>
        </w:rPr>
        <w:t xml:space="preserve"> is a commonly used antimicrobial agent , which belongs to the </w:t>
      </w:r>
      <w:hyperlink r:id="rId14" w:history="1">
        <w:r w:rsidRPr="006C5F41">
          <w:rPr>
            <w:rStyle w:val="Hyperlink"/>
            <w:rFonts w:ascii="Arial" w:hAnsi="Arial" w:cs="Arial"/>
            <w:color w:val="000000" w:themeColor="text1"/>
          </w:rPr>
          <w:t>nitroimidazole</w:t>
        </w:r>
      </w:hyperlink>
      <w:r w:rsidRPr="006C5F41">
        <w:rPr>
          <w:rFonts w:ascii="Arial" w:hAnsi="Arial" w:cs="Arial"/>
          <w:color w:val="000000" w:themeColor="text1"/>
        </w:rPr>
        <w:t> </w:t>
      </w:r>
      <w:r w:rsidRPr="006C5F41">
        <w:rPr>
          <w:rFonts w:ascii="Arial" w:hAnsi="Arial" w:cs="Arial"/>
        </w:rPr>
        <w:t xml:space="preserve">class of antibiotics. It is highly </w:t>
      </w:r>
      <w:commentRangeStart w:id="0"/>
      <w:r w:rsidRPr="0062222E">
        <w:rPr>
          <w:rFonts w:ascii="Arial" w:hAnsi="Arial" w:cs="Arial"/>
          <w:highlight w:val="yellow"/>
          <w:rPrChange w:id="1" w:author="Sneha H" w:date="2026-02-23T20:20:00Z" w16du:dateUtc="2026-02-23T14:50:00Z">
            <w:rPr>
              <w:rFonts w:ascii="Arial" w:hAnsi="Arial" w:cs="Arial"/>
            </w:rPr>
          </w:rPrChange>
        </w:rPr>
        <w:t>activite</w:t>
      </w:r>
      <w:commentRangeEnd w:id="0"/>
      <w:r w:rsidR="0062222E" w:rsidRPr="006C5F41">
        <w:rPr>
          <w:rStyle w:val="CommentReference"/>
          <w:rFonts w:ascii="Arial" w:hAnsi="Arial" w:cs="Arial"/>
          <w:sz w:val="20"/>
          <w:szCs w:val="20"/>
        </w:rPr>
        <w:commentReference w:id="0"/>
      </w:r>
      <w:r w:rsidRPr="006C5F41">
        <w:rPr>
          <w:rFonts w:ascii="Arial" w:hAnsi="Arial" w:cs="Arial"/>
        </w:rPr>
        <w:t xml:space="preserve"> against anaerobic bacteria and protozoa. It interacts with DNA leading to inhibition of DNA synthesis and DNA degradation leading to death of the bacteria. It is well absorbed, with reaching peak plasma concentrations between one and two hours after administration.</w:t>
      </w:r>
      <w:r w:rsidRPr="006C5F41">
        <w:rPr>
          <w:rFonts w:ascii="Arial" w:hAnsi="Arial" w:cs="Arial"/>
          <w:color w:val="000000"/>
        </w:rPr>
        <w:t xml:space="preserve"> </w:t>
      </w:r>
      <w:r w:rsidRPr="006C5F41">
        <w:rPr>
          <w:rFonts w:ascii="Arial" w:hAnsi="Arial" w:cs="Arial"/>
        </w:rPr>
        <w:t>The average elimination half-life of metronidazole in healthy subjects is eight hours.</w:t>
      </w:r>
    </w:p>
    <w:p w14:paraId="25392214" w14:textId="77777777" w:rsidR="00884F39" w:rsidRPr="006C5F41" w:rsidRDefault="00884F39" w:rsidP="00884F39">
      <w:pPr>
        <w:jc w:val="both"/>
        <w:rPr>
          <w:rFonts w:ascii="Arial" w:hAnsi="Arial" w:cs="Arial"/>
        </w:rPr>
      </w:pPr>
      <w:r w:rsidRPr="006C5F41">
        <w:rPr>
          <w:rFonts w:ascii="Arial" w:hAnsi="Arial" w:cs="Arial"/>
        </w:rPr>
        <w:t>Various research have shown promising results in improving clinical attachment gain and pocket depth reduction when PRF and antimicrobial agents used in non surgical periodontal therapy.The purpose of this specific study is to assess the impact of using the T-PRF with ofloxacin and metronidazole as an antibiotic local delivery adjunctive to SRP in non-surgical periodontal therapy for the management of moderate periodontitis.</w:t>
      </w:r>
    </w:p>
    <w:p w14:paraId="3B21FEB3" w14:textId="77777777" w:rsidR="00884F39" w:rsidRPr="006C5F41" w:rsidRDefault="00884F39" w:rsidP="00884F39">
      <w:pPr>
        <w:pStyle w:val="AbstHead"/>
        <w:spacing w:after="0"/>
        <w:jc w:val="both"/>
        <w:rPr>
          <w:rFonts w:ascii="Arial" w:hAnsi="Arial" w:cs="Arial"/>
          <w:sz w:val="20"/>
        </w:rPr>
      </w:pPr>
    </w:p>
    <w:p w14:paraId="68EB98BA" w14:textId="333E41B9" w:rsidR="00790ADA" w:rsidRPr="006C5F41" w:rsidRDefault="00902823" w:rsidP="00441B6F">
      <w:pPr>
        <w:pStyle w:val="AbstHead"/>
        <w:spacing w:after="0"/>
        <w:jc w:val="both"/>
        <w:rPr>
          <w:rFonts w:ascii="Arial" w:hAnsi="Arial" w:cs="Arial"/>
          <w:szCs w:val="22"/>
        </w:rPr>
      </w:pPr>
      <w:r w:rsidRPr="006C5F41">
        <w:rPr>
          <w:rFonts w:ascii="Arial" w:hAnsi="Arial" w:cs="Arial"/>
          <w:szCs w:val="22"/>
        </w:rPr>
        <w:t>2. material and method</w:t>
      </w:r>
      <w:r w:rsidR="00000F8F" w:rsidRPr="006C5F41">
        <w:rPr>
          <w:rFonts w:ascii="Arial" w:hAnsi="Arial" w:cs="Arial"/>
          <w:szCs w:val="22"/>
        </w:rPr>
        <w:t xml:space="preserve">s </w:t>
      </w:r>
    </w:p>
    <w:p w14:paraId="55922E3A" w14:textId="77777777" w:rsidR="00C21D54" w:rsidRPr="006C5F41" w:rsidRDefault="00C21D54" w:rsidP="00C21D54">
      <w:pPr>
        <w:rPr>
          <w:rFonts w:ascii="Arial" w:hAnsi="Arial" w:cs="Arial"/>
        </w:rPr>
      </w:pPr>
      <w:r w:rsidRPr="006C5F41">
        <w:rPr>
          <w:rFonts w:ascii="Arial" w:hAnsi="Arial" w:cs="Arial"/>
          <w:b/>
          <w:bCs/>
        </w:rPr>
        <w:t>Study design</w:t>
      </w:r>
      <w:r w:rsidRPr="006C5F41">
        <w:rPr>
          <w:rFonts w:ascii="Arial" w:hAnsi="Arial" w:cs="Arial"/>
        </w:rPr>
        <w:t>:</w:t>
      </w:r>
    </w:p>
    <w:p w14:paraId="64044388" w14:textId="10514BE4" w:rsidR="00C21D54" w:rsidRPr="006C5F41" w:rsidRDefault="00C21D54" w:rsidP="00C21D54">
      <w:pPr>
        <w:rPr>
          <w:rFonts w:ascii="Arial" w:hAnsi="Arial" w:cs="Arial"/>
        </w:rPr>
      </w:pPr>
      <w:r w:rsidRPr="006C5F41">
        <w:rPr>
          <w:rFonts w:ascii="Arial" w:hAnsi="Arial" w:cs="Arial"/>
        </w:rPr>
        <w:t xml:space="preserve">This randomized controlled clinical trial has been carried out, </w:t>
      </w:r>
      <w:r w:rsidR="00D02EAD" w:rsidRPr="006C5F41">
        <w:rPr>
          <w:rFonts w:ascii="Arial" w:hAnsi="Arial" w:cs="Arial"/>
        </w:rPr>
        <w:t>f</w:t>
      </w:r>
      <w:r w:rsidRPr="006C5F41">
        <w:rPr>
          <w:rFonts w:ascii="Arial" w:hAnsi="Arial" w:cs="Arial"/>
        </w:rPr>
        <w:t>rom December 2025 to January 2026, the study was conducted at the Department of Periodontology, K.V.G Dental College and Hospital, Sullia.</w:t>
      </w:r>
    </w:p>
    <w:p w14:paraId="129F97CB" w14:textId="77777777" w:rsidR="00C21D54" w:rsidRPr="006C5F41" w:rsidRDefault="00C21D54" w:rsidP="00C21D54">
      <w:pPr>
        <w:rPr>
          <w:rFonts w:ascii="Arial" w:hAnsi="Arial" w:cs="Arial"/>
          <w:b/>
          <w:bCs/>
        </w:rPr>
      </w:pPr>
    </w:p>
    <w:p w14:paraId="0F8F02FE" w14:textId="77777777" w:rsidR="00C21D54" w:rsidRPr="006C5F41" w:rsidRDefault="00C21D54" w:rsidP="00C21D54">
      <w:pPr>
        <w:rPr>
          <w:rFonts w:ascii="Arial" w:hAnsi="Arial" w:cs="Arial"/>
          <w:b/>
          <w:bCs/>
        </w:rPr>
      </w:pPr>
      <w:r w:rsidRPr="006C5F41">
        <w:rPr>
          <w:rFonts w:ascii="Arial" w:hAnsi="Arial" w:cs="Arial"/>
          <w:b/>
          <w:bCs/>
        </w:rPr>
        <w:t>Selection Criteria:</w:t>
      </w:r>
    </w:p>
    <w:p w14:paraId="7C727F3F" w14:textId="77777777" w:rsidR="00C21D54" w:rsidRPr="006C5F41" w:rsidRDefault="00C21D54" w:rsidP="00C21D54">
      <w:pPr>
        <w:spacing w:line="259" w:lineRule="auto"/>
        <w:contextualSpacing/>
        <w:rPr>
          <w:rFonts w:ascii="Arial" w:eastAsia="Calibri" w:hAnsi="Arial" w:cs="Arial"/>
          <w:lang w:val="en-IN"/>
        </w:rPr>
      </w:pPr>
      <w:r w:rsidRPr="006C5F41">
        <w:rPr>
          <w:rFonts w:ascii="Arial" w:eastAsia="Calibri" w:hAnsi="Arial" w:cs="Arial"/>
          <w:lang w:val="en-IN"/>
        </w:rPr>
        <w:t>Inclusion criteria</w:t>
      </w:r>
    </w:p>
    <w:p w14:paraId="4F887DD6" w14:textId="04DA0F66"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Moderate periodontitis with attachment loss of 3–4 mm, probing depth ≤ 6, and bleeding on probing. </w:t>
      </w:r>
    </w:p>
    <w:p w14:paraId="42504E96"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Systemically healthy patients</w:t>
      </w:r>
    </w:p>
    <w:p w14:paraId="1DE3B426"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Patients age from twenty-five to fifty. </w:t>
      </w:r>
    </w:p>
    <w:p w14:paraId="4382DF9C"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rPr>
        <w:t xml:space="preserve">No history of periodontal therapy, either surgical or non-surgical, in the previous six months. </w:t>
      </w:r>
    </w:p>
    <w:p w14:paraId="0EC93A4B" w14:textId="77777777" w:rsidR="00C21D54" w:rsidRPr="006C5F41" w:rsidRDefault="00C21D54" w:rsidP="00C21D54">
      <w:pPr>
        <w:pStyle w:val="ListParagraph"/>
        <w:numPr>
          <w:ilvl w:val="0"/>
          <w:numId w:val="33"/>
        </w:numPr>
        <w:spacing w:line="259" w:lineRule="auto"/>
        <w:rPr>
          <w:rFonts w:ascii="Arial" w:eastAsia="Calibri" w:hAnsi="Arial" w:cs="Arial"/>
          <w:sz w:val="20"/>
          <w:szCs w:val="20"/>
          <w:lang w:val="en-IN"/>
        </w:rPr>
      </w:pPr>
      <w:r w:rsidRPr="006C5F41">
        <w:rPr>
          <w:rFonts w:ascii="Arial" w:eastAsia="Calibri" w:hAnsi="Arial" w:cs="Arial"/>
          <w:sz w:val="20"/>
          <w:szCs w:val="20"/>
          <w:lang w:val="en-IN"/>
        </w:rPr>
        <w:t>Patient who have agreed to participate in the study</w:t>
      </w:r>
    </w:p>
    <w:p w14:paraId="58CE01D2" w14:textId="77777777" w:rsidR="00C21D54" w:rsidRPr="006C5F41" w:rsidRDefault="00C21D54" w:rsidP="00C21D54">
      <w:pPr>
        <w:spacing w:line="259" w:lineRule="auto"/>
        <w:ind w:left="1860"/>
        <w:contextualSpacing/>
        <w:rPr>
          <w:rFonts w:ascii="Arial" w:eastAsia="Calibri" w:hAnsi="Arial" w:cs="Arial"/>
          <w:lang w:val="en-IN"/>
        </w:rPr>
      </w:pPr>
    </w:p>
    <w:p w14:paraId="7228C66E" w14:textId="77777777" w:rsidR="00C21D54" w:rsidRPr="006C5F41" w:rsidRDefault="00C21D54" w:rsidP="00C21D54">
      <w:pPr>
        <w:spacing w:line="259" w:lineRule="auto"/>
        <w:rPr>
          <w:rFonts w:ascii="Arial" w:eastAsia="Calibri" w:hAnsi="Arial" w:cs="Arial"/>
          <w:lang w:val="en-IN"/>
        </w:rPr>
      </w:pPr>
      <w:r w:rsidRPr="006C5F41">
        <w:rPr>
          <w:rFonts w:ascii="Arial" w:eastAsia="Calibri" w:hAnsi="Arial" w:cs="Arial"/>
          <w:lang w:val="en-IN"/>
        </w:rPr>
        <w:t xml:space="preserve"> Exclusion criteria</w:t>
      </w:r>
    </w:p>
    <w:p w14:paraId="21514E71"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Smokers</w:t>
      </w:r>
    </w:p>
    <w:p w14:paraId="473B0EDB"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Pregnancy and lactating women </w:t>
      </w:r>
    </w:p>
    <w:p w14:paraId="3FB5BE2D"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Systemic and debilitating diseases </w:t>
      </w:r>
    </w:p>
    <w:p w14:paraId="3A4D9D4A"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Use of antibiotics during the last six months. </w:t>
      </w:r>
    </w:p>
    <w:p w14:paraId="4E97EAA9"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A previous unfavorable response to the study’s products. </w:t>
      </w:r>
    </w:p>
    <w:p w14:paraId="351239E0" w14:textId="77777777" w:rsidR="00C21D54" w:rsidRPr="006C5F41" w:rsidRDefault="00C21D54" w:rsidP="00C21D54">
      <w:pPr>
        <w:pStyle w:val="ListParagraph"/>
        <w:numPr>
          <w:ilvl w:val="0"/>
          <w:numId w:val="32"/>
        </w:numPr>
        <w:spacing w:after="0" w:line="259" w:lineRule="auto"/>
        <w:jc w:val="both"/>
        <w:rPr>
          <w:rFonts w:ascii="Arial" w:hAnsi="Arial" w:cs="Arial"/>
          <w:color w:val="000000"/>
          <w:sz w:val="20"/>
          <w:szCs w:val="20"/>
          <w:lang w:eastAsia="en-IN" w:bidi="en-IN"/>
        </w:rPr>
      </w:pPr>
      <w:r w:rsidRPr="006C5F41">
        <w:rPr>
          <w:rFonts w:ascii="Arial" w:hAnsi="Arial" w:cs="Arial"/>
          <w:color w:val="000000"/>
          <w:sz w:val="20"/>
          <w:szCs w:val="20"/>
          <w:lang w:eastAsia="en-IN" w:bidi="en-IN"/>
        </w:rPr>
        <w:lastRenderedPageBreak/>
        <w:t>Patients with bleeding disorders</w:t>
      </w:r>
    </w:p>
    <w:p w14:paraId="1743101B"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 xml:space="preserve">Patients taking antiplatelet therapy and anticoagulant therapy </w:t>
      </w:r>
    </w:p>
    <w:p w14:paraId="02CDAB76"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color w:val="000000"/>
          <w:sz w:val="20"/>
          <w:szCs w:val="20"/>
          <w:lang w:eastAsia="en-IN" w:bidi="en-IN"/>
        </w:rPr>
        <w:t>Patients with severe hepatic impairment or renal disease</w:t>
      </w:r>
      <w:r w:rsidRPr="006C5F41">
        <w:rPr>
          <w:rFonts w:ascii="Arial" w:hAnsi="Arial" w:cs="Arial"/>
          <w:sz w:val="20"/>
          <w:szCs w:val="20"/>
        </w:rPr>
        <w:t xml:space="preserve"> </w:t>
      </w:r>
    </w:p>
    <w:p w14:paraId="27378491" w14:textId="77777777" w:rsidR="00C21D54" w:rsidRPr="006C5F41" w:rsidRDefault="00C21D54" w:rsidP="00C21D54">
      <w:pPr>
        <w:pStyle w:val="ListParagraph"/>
        <w:numPr>
          <w:ilvl w:val="0"/>
          <w:numId w:val="32"/>
        </w:numPr>
        <w:spacing w:after="0" w:line="259" w:lineRule="auto"/>
        <w:rPr>
          <w:rFonts w:ascii="Arial" w:hAnsi="Arial" w:cs="Arial"/>
          <w:color w:val="000000"/>
          <w:sz w:val="20"/>
          <w:szCs w:val="20"/>
          <w:lang w:eastAsia="en-IN" w:bidi="en-IN"/>
        </w:rPr>
      </w:pPr>
      <w:r w:rsidRPr="006C5F41">
        <w:rPr>
          <w:rFonts w:ascii="Arial" w:hAnsi="Arial" w:cs="Arial"/>
          <w:sz w:val="20"/>
          <w:szCs w:val="20"/>
        </w:rPr>
        <w:t>Subjects having a total platelet count lower than 150,000/mm3.</w:t>
      </w:r>
    </w:p>
    <w:p w14:paraId="17E57916" w14:textId="77777777" w:rsidR="00C21D54" w:rsidRPr="006C5F41" w:rsidRDefault="00C21D54" w:rsidP="00C21D54">
      <w:pPr>
        <w:pStyle w:val="ListParagraph"/>
        <w:numPr>
          <w:ilvl w:val="0"/>
          <w:numId w:val="32"/>
        </w:numPr>
        <w:spacing w:after="0" w:line="259" w:lineRule="auto"/>
        <w:rPr>
          <w:rFonts w:ascii="Arial" w:eastAsia="Calibri" w:hAnsi="Arial" w:cs="Arial"/>
          <w:b/>
          <w:bCs/>
          <w:sz w:val="20"/>
          <w:szCs w:val="20"/>
          <w:lang w:val="en-IN"/>
        </w:rPr>
      </w:pPr>
      <w:r w:rsidRPr="006C5F41">
        <w:rPr>
          <w:rFonts w:ascii="Arial" w:hAnsi="Arial" w:cs="Arial"/>
          <w:sz w:val="20"/>
          <w:szCs w:val="20"/>
        </w:rPr>
        <w:t>Subjects having medical conditions that compromised tissue healing (osteoporosis, anemia, etc.)</w:t>
      </w:r>
    </w:p>
    <w:p w14:paraId="5962F345" w14:textId="77777777" w:rsidR="00C21D54" w:rsidRPr="006C5F41" w:rsidRDefault="00C21D54" w:rsidP="00C21D54">
      <w:pPr>
        <w:spacing w:line="259" w:lineRule="auto"/>
        <w:ind w:left="360"/>
        <w:rPr>
          <w:rFonts w:ascii="Times New Roman" w:eastAsia="Calibri" w:hAnsi="Times New Roman"/>
          <w:b/>
          <w:bCs/>
          <w:lang w:val="en-IN"/>
        </w:rPr>
      </w:pPr>
    </w:p>
    <w:p w14:paraId="441B7356" w14:textId="77777777" w:rsidR="00C21D54" w:rsidRPr="006C5F41" w:rsidRDefault="00C21D54" w:rsidP="00C21D54">
      <w:pPr>
        <w:spacing w:line="259" w:lineRule="auto"/>
        <w:ind w:left="360"/>
        <w:rPr>
          <w:rFonts w:ascii="Arial" w:eastAsia="Calibri" w:hAnsi="Arial" w:cs="Arial"/>
          <w:b/>
          <w:bCs/>
          <w:lang w:val="en-IN"/>
        </w:rPr>
      </w:pPr>
      <w:r w:rsidRPr="006C5F41">
        <w:rPr>
          <w:rFonts w:ascii="Arial" w:eastAsia="Calibri" w:hAnsi="Arial" w:cs="Arial"/>
          <w:b/>
          <w:bCs/>
        </w:rPr>
        <w:t>Randomization</w:t>
      </w:r>
      <w:r w:rsidRPr="006C5F41">
        <w:rPr>
          <w:rFonts w:ascii="Arial" w:eastAsia="Calibri" w:hAnsi="Arial" w:cs="Arial"/>
          <w:b/>
          <w:bCs/>
          <w:lang w:val="en-IN"/>
        </w:rPr>
        <w:t>:</w:t>
      </w:r>
    </w:p>
    <w:p w14:paraId="6C2478D7" w14:textId="77777777" w:rsidR="00C21D54" w:rsidRPr="006C5F41" w:rsidRDefault="00C21D54" w:rsidP="00C21D54">
      <w:pPr>
        <w:spacing w:line="259" w:lineRule="auto"/>
        <w:ind w:left="360"/>
        <w:jc w:val="both"/>
        <w:rPr>
          <w:rFonts w:ascii="Arial" w:eastAsia="Calibri" w:hAnsi="Arial" w:cs="Arial"/>
          <w:lang w:val="en-IN"/>
        </w:rPr>
      </w:pPr>
      <w:r w:rsidRPr="006C5F41">
        <w:rPr>
          <w:rFonts w:ascii="Arial" w:eastAsia="Calibri" w:hAnsi="Arial" w:cs="Arial"/>
        </w:rPr>
        <w:t xml:space="preserve">The participants were divided into three groups, Group1, Group 2 and Group 3 through randomization. The randomization was carried out by chit method. </w:t>
      </w:r>
    </w:p>
    <w:p w14:paraId="4E3CBEB3" w14:textId="77777777" w:rsidR="00C21D54" w:rsidRPr="006C5F41" w:rsidRDefault="00C21D54" w:rsidP="00C21D54">
      <w:pPr>
        <w:tabs>
          <w:tab w:val="left" w:pos="1174"/>
        </w:tabs>
        <w:jc w:val="both"/>
        <w:rPr>
          <w:rFonts w:ascii="Arial" w:eastAsia="Calibri" w:hAnsi="Arial" w:cs="Arial"/>
          <w:lang w:val="en-IN"/>
        </w:rPr>
      </w:pPr>
      <w:r w:rsidRPr="006C5F41">
        <w:rPr>
          <w:rFonts w:ascii="Arial" w:eastAsia="Calibri" w:hAnsi="Arial" w:cs="Arial"/>
          <w:lang w:val="en-IN"/>
        </w:rPr>
        <w:t xml:space="preserve">      Group 1 – </w:t>
      </w:r>
      <w:r w:rsidRPr="006C5F41">
        <w:rPr>
          <w:rFonts w:ascii="Arial" w:hAnsi="Arial" w:cs="Arial"/>
        </w:rPr>
        <w:t>SRP Alone</w:t>
      </w:r>
    </w:p>
    <w:p w14:paraId="0B6CB6C4" w14:textId="77777777" w:rsidR="00C21D54" w:rsidRPr="006C5F41" w:rsidRDefault="00C21D54" w:rsidP="00C21D54">
      <w:pPr>
        <w:tabs>
          <w:tab w:val="left" w:pos="1174"/>
        </w:tabs>
        <w:jc w:val="both"/>
        <w:rPr>
          <w:rFonts w:ascii="Arial" w:eastAsia="Calibri" w:hAnsi="Arial" w:cs="Arial"/>
          <w:lang w:val="en-IN"/>
        </w:rPr>
      </w:pPr>
      <w:r w:rsidRPr="006C5F41">
        <w:rPr>
          <w:rFonts w:ascii="Arial" w:eastAsia="Calibri" w:hAnsi="Arial" w:cs="Arial"/>
          <w:lang w:val="en-IN"/>
        </w:rPr>
        <w:t xml:space="preserve">      Group 2 – SRP+ </w:t>
      </w:r>
      <w:r w:rsidRPr="006C5F41">
        <w:rPr>
          <w:rFonts w:ascii="Arial" w:hAnsi="Arial" w:cs="Arial"/>
        </w:rPr>
        <w:t xml:space="preserve">Ofloxacin incorporated T-PRF membrane </w:t>
      </w:r>
    </w:p>
    <w:p w14:paraId="64AC3998" w14:textId="77777777" w:rsidR="00C21D54" w:rsidRPr="006C5F41" w:rsidRDefault="00C21D54" w:rsidP="00C21D54">
      <w:pPr>
        <w:tabs>
          <w:tab w:val="left" w:pos="1174"/>
        </w:tabs>
        <w:jc w:val="both"/>
        <w:rPr>
          <w:rFonts w:ascii="Arial" w:hAnsi="Arial" w:cs="Arial"/>
        </w:rPr>
      </w:pPr>
      <w:r w:rsidRPr="006C5F41">
        <w:rPr>
          <w:rFonts w:ascii="Arial" w:eastAsia="Calibri" w:hAnsi="Arial" w:cs="Arial"/>
          <w:lang w:val="en-IN"/>
        </w:rPr>
        <w:t xml:space="preserve">      </w:t>
      </w:r>
      <w:r w:rsidRPr="006C5F41">
        <w:rPr>
          <w:rFonts w:ascii="Arial" w:hAnsi="Arial" w:cs="Arial"/>
        </w:rPr>
        <w:t xml:space="preserve">Group 3 </w:t>
      </w:r>
      <w:r w:rsidRPr="006C5F41">
        <w:rPr>
          <w:rFonts w:ascii="Arial" w:eastAsia="Calibri" w:hAnsi="Arial" w:cs="Arial"/>
          <w:lang w:val="en-IN"/>
        </w:rPr>
        <w:t xml:space="preserve">–SRP + </w:t>
      </w:r>
      <w:r w:rsidRPr="006C5F41">
        <w:rPr>
          <w:rFonts w:ascii="Arial" w:hAnsi="Arial" w:cs="Arial"/>
        </w:rPr>
        <w:t xml:space="preserve">Metronidazole incorporated T-PRF membrane </w:t>
      </w:r>
    </w:p>
    <w:p w14:paraId="6600EF6A" w14:textId="77777777" w:rsidR="00C21D54" w:rsidRPr="006C5F41" w:rsidRDefault="00C21D54" w:rsidP="00C21D54">
      <w:pPr>
        <w:tabs>
          <w:tab w:val="left" w:pos="1174"/>
        </w:tabs>
        <w:rPr>
          <w:rFonts w:ascii="Times New Roman" w:hAnsi="Times New Roman"/>
        </w:rPr>
      </w:pPr>
      <w:r w:rsidRPr="006C5F41">
        <w:rPr>
          <w:rFonts w:ascii="Times New Roman" w:hAnsi="Times New Roman"/>
        </w:rPr>
        <w:t xml:space="preserve">     </w:t>
      </w:r>
    </w:p>
    <w:p w14:paraId="3E2A657E" w14:textId="07DB36CE" w:rsidR="00C21D54" w:rsidRPr="006C5F41" w:rsidRDefault="00C21D54" w:rsidP="00C21D54">
      <w:pPr>
        <w:tabs>
          <w:tab w:val="left" w:pos="1174"/>
        </w:tabs>
        <w:rPr>
          <w:rFonts w:ascii="Times New Roman" w:hAnsi="Times New Roman"/>
          <w:b/>
          <w:bCs/>
        </w:rPr>
      </w:pPr>
      <w:r w:rsidRPr="006C5F41">
        <w:rPr>
          <w:rFonts w:ascii="Times New Roman" w:hAnsi="Times New Roman"/>
        </w:rPr>
        <w:t xml:space="preserve">     </w:t>
      </w:r>
      <w:r w:rsidR="00C10A55" w:rsidRPr="006C5F41">
        <w:rPr>
          <w:rFonts w:ascii="Times New Roman" w:hAnsi="Times New Roman"/>
        </w:rPr>
        <w:t xml:space="preserve"> </w:t>
      </w:r>
      <w:r w:rsidRPr="006C5F41">
        <w:rPr>
          <w:rFonts w:ascii="Arial" w:hAnsi="Arial" w:cs="Arial"/>
          <w:b/>
          <w:bCs/>
        </w:rPr>
        <w:t>PRF preparation method</w:t>
      </w:r>
      <w:r w:rsidRPr="006C5F41">
        <w:rPr>
          <w:rFonts w:ascii="Times New Roman" w:hAnsi="Times New Roman"/>
          <w:b/>
          <w:bCs/>
        </w:rPr>
        <w:t>:</w:t>
      </w:r>
    </w:p>
    <w:p w14:paraId="461ABC9F" w14:textId="1DD8F753" w:rsidR="002820C2" w:rsidRPr="006C5F41" w:rsidRDefault="00C21D54" w:rsidP="00AF5BE3">
      <w:r w:rsidRPr="006C5F41">
        <w:rPr>
          <w:rFonts w:ascii="Times New Roman" w:hAnsi="Times New Roman"/>
        </w:rPr>
        <w:t xml:space="preserve">    </w:t>
      </w:r>
      <w:r w:rsidR="00C10A55" w:rsidRPr="006C5F41">
        <w:rPr>
          <w:rFonts w:ascii="Times New Roman" w:hAnsi="Times New Roman"/>
        </w:rPr>
        <w:t xml:space="preserve"> </w:t>
      </w:r>
      <w:r w:rsidRPr="006C5F41">
        <w:rPr>
          <w:rFonts w:ascii="Times New Roman" w:hAnsi="Times New Roman"/>
        </w:rPr>
        <w:t xml:space="preserve"> </w:t>
      </w:r>
      <w:r w:rsidRPr="006C5F41">
        <w:t>Before starting the procedure, 10ml of blood was drawn from the antecubital vein and</w:t>
      </w:r>
      <w:r w:rsidR="002820C2" w:rsidRPr="006C5F41">
        <w:t xml:space="preserve"> </w:t>
      </w:r>
      <w:r w:rsidRPr="006C5F41">
        <w:t xml:space="preserve">5ml of blood was transfered to </w:t>
      </w:r>
      <w:r w:rsidR="002820C2" w:rsidRPr="006C5F41">
        <w:t xml:space="preserve"> </w:t>
      </w:r>
    </w:p>
    <w:p w14:paraId="6A022BBC" w14:textId="364DBB04" w:rsidR="00C21D54" w:rsidRPr="006C5F41" w:rsidRDefault="002820C2" w:rsidP="00AF5BE3">
      <w:r w:rsidRPr="006C5F41">
        <w:t xml:space="preserve">     </w:t>
      </w:r>
      <w:r w:rsidR="00C21D54" w:rsidRPr="006C5F41">
        <w:t>two medical</w:t>
      </w:r>
      <w:r w:rsidR="00C21D54" w:rsidRPr="006C5F41">
        <w:noBreakHyphen/>
        <w:t>grade titanium tubes (5ml in 1</w:t>
      </w:r>
      <w:r w:rsidR="00C21D54" w:rsidRPr="006C5F41">
        <w:rPr>
          <w:vertAlign w:val="superscript"/>
        </w:rPr>
        <w:t>st</w:t>
      </w:r>
      <w:r w:rsidR="00C21D54" w:rsidRPr="006C5F41">
        <w:t xml:space="preserve"> tube and 5ml in the 2</w:t>
      </w:r>
      <w:r w:rsidR="00C21D54" w:rsidRPr="006C5F41">
        <w:rPr>
          <w:vertAlign w:val="superscript"/>
        </w:rPr>
        <w:t xml:space="preserve">nd </w:t>
      </w:r>
      <w:r w:rsidR="00C21D54" w:rsidRPr="006C5F41">
        <w:t xml:space="preserve">tube) and before the tubes </w:t>
      </w:r>
      <w:r w:rsidR="00D961DA" w:rsidRPr="006C5F41">
        <w:t xml:space="preserve">was </w:t>
      </w:r>
      <w:r w:rsidR="00C21D54" w:rsidRPr="006C5F41">
        <w:t>centrifuged</w:t>
      </w:r>
      <w:commentRangeStart w:id="2"/>
      <w:r w:rsidR="00CA3AA7" w:rsidRPr="006C5F41">
        <w:t>(Fig 4)</w:t>
      </w:r>
      <w:commentRangeEnd w:id="2"/>
      <w:r w:rsidR="0062222E" w:rsidRPr="006C5F41">
        <w:rPr>
          <w:rStyle w:val="CommentReference"/>
          <w:sz w:val="20"/>
          <w:szCs w:val="20"/>
        </w:rPr>
        <w:commentReference w:id="2"/>
      </w:r>
    </w:p>
    <w:p w14:paraId="02F46AAB" w14:textId="77777777" w:rsidR="00D961DA" w:rsidRPr="006C5F41" w:rsidRDefault="00D961DA" w:rsidP="00AF5BE3">
      <w:pPr>
        <w:rPr>
          <w:rFonts w:ascii="Times New Roman" w:hAnsi="Times New Roman"/>
        </w:rPr>
      </w:pPr>
    </w:p>
    <w:p w14:paraId="20B139AA" w14:textId="77777777" w:rsidR="00D961DA" w:rsidRPr="006C5F41" w:rsidRDefault="00C21D54" w:rsidP="00AF5BE3">
      <w:r w:rsidRPr="006C5F41">
        <w:t xml:space="preserve">     </w:t>
      </w:r>
      <w:r w:rsidR="00D961DA" w:rsidRPr="006C5F41">
        <w:t>1</w:t>
      </w:r>
      <w:r w:rsidR="00D961DA" w:rsidRPr="006C5F41">
        <w:rPr>
          <w:vertAlign w:val="superscript"/>
        </w:rPr>
        <w:t>st</w:t>
      </w:r>
      <w:r w:rsidR="00D961DA" w:rsidRPr="006C5F41">
        <w:t xml:space="preserve"> tube- T-PRF preparation loaded with Ofloxacin incorporation</w:t>
      </w:r>
    </w:p>
    <w:p w14:paraId="08EFDF99" w14:textId="46B965A8" w:rsidR="002820C2" w:rsidRPr="006C5F41" w:rsidRDefault="00D961DA" w:rsidP="00AF5BE3">
      <w:r w:rsidRPr="006C5F41">
        <w:t xml:space="preserve">     A sterile syringe was then used to add 0.5ml of Ofloxacin infusion to 5ml of blood sample and then subjected to </w:t>
      </w:r>
      <w:r w:rsidR="002820C2" w:rsidRPr="006C5F41">
        <w:t xml:space="preserve"> </w:t>
      </w:r>
    </w:p>
    <w:p w14:paraId="186D43E0" w14:textId="2DC37633" w:rsidR="00D02EAD" w:rsidRPr="006C5F41" w:rsidRDefault="002820C2" w:rsidP="00AF5BE3">
      <w:r w:rsidRPr="006C5F41">
        <w:t xml:space="preserve">     </w:t>
      </w:r>
      <w:r w:rsidR="00D961DA" w:rsidRPr="006C5F41">
        <w:t>centrifugation at 3500rpm for 15min</w:t>
      </w:r>
      <w:r w:rsidR="00CA3AA7" w:rsidRPr="006C5F41">
        <w:t>(Fig 3)</w:t>
      </w:r>
      <w:r w:rsidR="00D961DA" w:rsidRPr="006C5F41">
        <w:t>.</w:t>
      </w:r>
      <w:r w:rsidR="00CA3AA7" w:rsidRPr="006C5F41">
        <w:t xml:space="preserve"> </w:t>
      </w:r>
      <w:r w:rsidR="00D961DA" w:rsidRPr="006C5F41">
        <w:t>Then, the T</w:t>
      </w:r>
      <w:r w:rsidR="00D961DA" w:rsidRPr="006C5F41">
        <w:noBreakHyphen/>
        <w:t xml:space="preserve">PRF clot was retrieved using sterile tweezers and compressed </w:t>
      </w:r>
    </w:p>
    <w:p w14:paraId="1F6A2771" w14:textId="3D0B9E0B" w:rsidR="00D961DA" w:rsidRPr="006C5F41" w:rsidRDefault="00D02EAD" w:rsidP="00AF5BE3">
      <w:r w:rsidRPr="006C5F41">
        <w:t xml:space="preserve">     </w:t>
      </w:r>
      <w:r w:rsidR="00D961DA" w:rsidRPr="006C5F41">
        <w:t>between 2 sterile glass slabs for the preparation of the T</w:t>
      </w:r>
      <w:r w:rsidR="00D961DA" w:rsidRPr="006C5F41">
        <w:noBreakHyphen/>
        <w:t>PRF membrane</w:t>
      </w:r>
      <w:r w:rsidR="00CA3AA7" w:rsidRPr="006C5F41">
        <w:t>(Fig 5)</w:t>
      </w:r>
      <w:r w:rsidR="00D961DA" w:rsidRPr="006C5F41">
        <w:t>.</w:t>
      </w:r>
    </w:p>
    <w:p w14:paraId="68EBC527" w14:textId="77777777" w:rsidR="00D961DA" w:rsidRPr="006C5F41" w:rsidRDefault="00D961DA" w:rsidP="00D961DA"/>
    <w:p w14:paraId="4677DF96" w14:textId="77777777" w:rsidR="00D961DA" w:rsidRPr="006C5F41" w:rsidRDefault="00D961DA" w:rsidP="00D961DA">
      <w:r w:rsidRPr="006C5F41">
        <w:t xml:space="preserve">    2</w:t>
      </w:r>
      <w:r w:rsidRPr="006C5F41">
        <w:rPr>
          <w:vertAlign w:val="superscript"/>
        </w:rPr>
        <w:t>nd</w:t>
      </w:r>
      <w:r w:rsidRPr="006C5F41">
        <w:t xml:space="preserve"> tube-T-PRF preparation loaded with Metronidazole incorporation</w:t>
      </w:r>
    </w:p>
    <w:p w14:paraId="522E7ABB" w14:textId="751252B3" w:rsidR="00D02EAD" w:rsidRPr="006C5F41" w:rsidRDefault="00D961DA" w:rsidP="00D961DA">
      <w:r w:rsidRPr="006C5F41">
        <w:t xml:space="preserve">    A sterile syringe was then used to add 0.5ml of Metronidazole to 5ml of blood</w:t>
      </w:r>
      <w:r w:rsidR="00D02EAD" w:rsidRPr="006C5F41">
        <w:t xml:space="preserve"> </w:t>
      </w:r>
      <w:r w:rsidRPr="006C5F41">
        <w:t xml:space="preserve">sample and then subjected to </w:t>
      </w:r>
    </w:p>
    <w:p w14:paraId="24E9A57F" w14:textId="283FE064" w:rsidR="00D961DA" w:rsidRPr="006C5F41" w:rsidRDefault="00D02EAD" w:rsidP="00D961DA">
      <w:r w:rsidRPr="006C5F41">
        <w:t xml:space="preserve">    </w:t>
      </w:r>
      <w:r w:rsidR="00D961DA" w:rsidRPr="006C5F41">
        <w:t>centrifugation at 3500rpm for 15min</w:t>
      </w:r>
      <w:r w:rsidR="00CA3AA7" w:rsidRPr="006C5F41">
        <w:t>(Fig 3)</w:t>
      </w:r>
      <w:r w:rsidR="00D961DA" w:rsidRPr="006C5F41">
        <w:t>. Then, the T</w:t>
      </w:r>
      <w:r w:rsidR="00D961DA" w:rsidRPr="006C5F41">
        <w:noBreakHyphen/>
        <w:t>PRF clot was retrieved using sterile tweezers and compressed</w:t>
      </w:r>
    </w:p>
    <w:p w14:paraId="24C85010" w14:textId="3BD7C571" w:rsidR="00D961DA" w:rsidRPr="006C5F41" w:rsidRDefault="00D961DA" w:rsidP="00D961DA">
      <w:r w:rsidRPr="006C5F41">
        <w:t xml:space="preserve">    between 2 sterile glass slabs for the preparation of the T</w:t>
      </w:r>
      <w:r w:rsidRPr="006C5F41">
        <w:noBreakHyphen/>
        <w:t>PRF membrane</w:t>
      </w:r>
      <w:r w:rsidR="00CA3AA7" w:rsidRPr="006C5F41">
        <w:t>(Fig 5)</w:t>
      </w:r>
      <w:r w:rsidRPr="006C5F41">
        <w:t>.</w:t>
      </w:r>
    </w:p>
    <w:p w14:paraId="6CB85FF2" w14:textId="3C06DD1B" w:rsidR="00C21D54" w:rsidRPr="006C5F41" w:rsidRDefault="00D961DA" w:rsidP="00D961DA">
      <w:r w:rsidRPr="006C5F41">
        <w:t xml:space="preserve"> </w:t>
      </w:r>
    </w:p>
    <w:p w14:paraId="01139935" w14:textId="516C6BAF" w:rsidR="00C21D54" w:rsidRPr="006C5F41" w:rsidRDefault="00C21D54" w:rsidP="00D961DA">
      <w:pPr>
        <w:rPr>
          <w:sz w:val="28"/>
          <w:szCs w:val="28"/>
        </w:rPr>
      </w:pPr>
      <w:r w:rsidRPr="006C5F41">
        <w:rPr>
          <w:rFonts w:ascii="Times New Roman" w:hAnsi="Times New Roman"/>
          <w:b/>
          <w:bCs/>
        </w:rPr>
        <w:t xml:space="preserve">    </w:t>
      </w:r>
      <w:r w:rsidRPr="006C5F41">
        <w:rPr>
          <w:rFonts w:eastAsia="Calibri"/>
          <w:b/>
          <w:bCs/>
          <w:lang w:val="en-IN"/>
        </w:rPr>
        <w:t>Clinical procedure</w:t>
      </w:r>
      <w:r w:rsidRPr="006C5F41">
        <w:rPr>
          <w:rFonts w:eastAsia="Calibri"/>
          <w:lang w:val="en-IN"/>
        </w:rPr>
        <w:t>:</w:t>
      </w:r>
    </w:p>
    <w:p w14:paraId="15226805" w14:textId="77777777" w:rsidR="00D02EAD" w:rsidRPr="006C5F41" w:rsidRDefault="00C21D54" w:rsidP="00D961DA">
      <w:pPr>
        <w:rPr>
          <w:rFonts w:eastAsia="Calibri"/>
          <w:lang w:val="en-IN"/>
        </w:rPr>
      </w:pPr>
      <w:bookmarkStart w:id="3" w:name="_Hlk162066976"/>
      <w:r w:rsidRPr="006C5F41">
        <w:t xml:space="preserve">    It is an in-vivo study containing 10 patients in each group</w:t>
      </w:r>
      <w:bookmarkEnd w:id="3"/>
      <w:r w:rsidRPr="006C5F41">
        <w:rPr>
          <w:rFonts w:eastAsia="Calibri"/>
          <w:lang w:val="en-IN"/>
        </w:rPr>
        <w:t xml:space="preserve">. All the procedures was performed by the same clinician. Full </w:t>
      </w:r>
    </w:p>
    <w:p w14:paraId="2E9D8444" w14:textId="77777777" w:rsidR="00D02EAD"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 xml:space="preserve">mouth Scaling was performed followed by root planning under Local anaesthesia using lidocaine 2% epinephrine </w:t>
      </w:r>
    </w:p>
    <w:p w14:paraId="539289ED" w14:textId="77777777" w:rsidR="00D02EAD"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 xml:space="preserve">1:800000 </w:t>
      </w:r>
      <w:r w:rsidR="00D961DA" w:rsidRPr="006C5F41">
        <w:rPr>
          <w:rFonts w:eastAsia="Calibri"/>
          <w:lang w:val="en-IN"/>
        </w:rPr>
        <w:t>was</w:t>
      </w:r>
      <w:r w:rsidRPr="006C5F41">
        <w:rPr>
          <w:rFonts w:eastAsia="Calibri"/>
          <w:lang w:val="en-IN"/>
        </w:rPr>
        <w:t xml:space="preserve"> </w:t>
      </w:r>
      <w:r w:rsidR="00C21D54" w:rsidRPr="006C5F41">
        <w:rPr>
          <w:rFonts w:eastAsia="Calibri"/>
          <w:lang w:val="en-IN"/>
        </w:rPr>
        <w:t xml:space="preserve">performed. </w:t>
      </w:r>
    </w:p>
    <w:p w14:paraId="092E7E22" w14:textId="4C9E71DF" w:rsidR="00C21D54" w:rsidRPr="006C5F41" w:rsidRDefault="00D02EAD" w:rsidP="00D961DA">
      <w:pPr>
        <w:rPr>
          <w:rFonts w:eastAsia="Calibri"/>
          <w:lang w:val="en-IN"/>
        </w:rPr>
      </w:pPr>
      <w:r w:rsidRPr="006C5F41">
        <w:rPr>
          <w:rFonts w:eastAsia="Calibri"/>
          <w:lang w:val="en-IN"/>
        </w:rPr>
        <w:t xml:space="preserve">    </w:t>
      </w:r>
      <w:r w:rsidR="00C21D54" w:rsidRPr="006C5F41">
        <w:rPr>
          <w:rFonts w:eastAsia="Calibri"/>
          <w:lang w:val="en-IN"/>
        </w:rPr>
        <w:t>Based on the randomization, Subjects will be divided into Group1, Group 2 and Group 3</w:t>
      </w:r>
    </w:p>
    <w:p w14:paraId="57A992BA" w14:textId="69FDF160" w:rsidR="00C21D54" w:rsidRPr="006C5F41" w:rsidRDefault="00C21D54" w:rsidP="00D961DA">
      <w:pPr>
        <w:rPr>
          <w:rFonts w:eastAsia="Calibri"/>
          <w:lang w:val="en-IN"/>
        </w:rPr>
      </w:pPr>
      <w:r w:rsidRPr="006C5F41">
        <w:rPr>
          <w:rFonts w:eastAsia="Calibri"/>
          <w:lang w:val="en-IN"/>
        </w:rPr>
        <w:t xml:space="preserve">   </w:t>
      </w:r>
      <w:r w:rsidR="00D02EAD" w:rsidRPr="006C5F41">
        <w:rPr>
          <w:rFonts w:eastAsia="Calibri"/>
          <w:lang w:val="en-IN"/>
        </w:rPr>
        <w:t xml:space="preserve"> </w:t>
      </w:r>
      <w:r w:rsidRPr="006C5F41">
        <w:rPr>
          <w:rFonts w:eastAsia="Calibri"/>
          <w:lang w:val="en-IN"/>
        </w:rPr>
        <w:t>Group 1 –</w:t>
      </w:r>
      <w:r w:rsidRPr="006C5F41">
        <w:rPr>
          <w:sz w:val="22"/>
          <w:szCs w:val="22"/>
        </w:rPr>
        <w:t xml:space="preserve"> </w:t>
      </w:r>
      <w:r w:rsidRPr="006C5F41">
        <w:rPr>
          <w:rFonts w:eastAsia="Calibri"/>
        </w:rPr>
        <w:t>Scaling and root planing alone was performed.</w:t>
      </w:r>
    </w:p>
    <w:p w14:paraId="55734590" w14:textId="77777777" w:rsidR="00D02EAD" w:rsidRPr="006C5F41" w:rsidRDefault="00C21D54" w:rsidP="00D961DA">
      <w:pPr>
        <w:rPr>
          <w:rFonts w:eastAsia="Calibri"/>
        </w:rPr>
      </w:pPr>
      <w:r w:rsidRPr="006C5F41">
        <w:rPr>
          <w:rFonts w:eastAsia="Calibri"/>
          <w:lang w:val="en-IN"/>
        </w:rPr>
        <w:t xml:space="preserve">   </w:t>
      </w:r>
      <w:r w:rsidR="00D02EAD" w:rsidRPr="006C5F41">
        <w:rPr>
          <w:rFonts w:eastAsia="Calibri"/>
          <w:lang w:val="en-IN"/>
        </w:rPr>
        <w:t xml:space="preserve"> </w:t>
      </w:r>
      <w:r w:rsidRPr="006C5F41">
        <w:rPr>
          <w:rFonts w:eastAsia="Calibri"/>
          <w:lang w:val="en-IN"/>
        </w:rPr>
        <w:t>Group 2–</w:t>
      </w:r>
      <w:r w:rsidRPr="006C5F41">
        <w:rPr>
          <w:sz w:val="22"/>
          <w:szCs w:val="22"/>
        </w:rPr>
        <w:t xml:space="preserve"> </w:t>
      </w:r>
      <w:r w:rsidRPr="006C5F41">
        <w:t>After Scaling and root planing</w:t>
      </w:r>
      <w:r w:rsidRPr="006C5F41">
        <w:rPr>
          <w:rFonts w:eastAsia="Calibri"/>
        </w:rPr>
        <w:t>, T-PRF-loaded Ofloxacin membrane was</w:t>
      </w:r>
      <w:r w:rsidR="00D02EAD" w:rsidRPr="006C5F41">
        <w:rPr>
          <w:rFonts w:eastAsia="Calibri"/>
        </w:rPr>
        <w:t xml:space="preserve"> </w:t>
      </w:r>
      <w:r w:rsidRPr="006C5F41">
        <w:rPr>
          <w:rFonts w:eastAsia="Calibri"/>
        </w:rPr>
        <w:t xml:space="preserve">placed sub-gingivally into the pockets </w:t>
      </w:r>
    </w:p>
    <w:p w14:paraId="08687D35" w14:textId="77777777" w:rsidR="00CA3AA7" w:rsidRPr="006C5F41" w:rsidRDefault="00D02EAD" w:rsidP="00D961DA">
      <w:pPr>
        <w:rPr>
          <w:rFonts w:eastAsia="Calibri"/>
        </w:rPr>
      </w:pPr>
      <w:r w:rsidRPr="006C5F41">
        <w:rPr>
          <w:rFonts w:eastAsia="Calibri"/>
        </w:rPr>
        <w:t xml:space="preserve">    </w:t>
      </w:r>
      <w:r w:rsidR="00C21D54" w:rsidRPr="006C5F41">
        <w:rPr>
          <w:rFonts w:eastAsia="Calibri"/>
        </w:rPr>
        <w:t xml:space="preserve">using tissue forceps and periodontal probe and then perio-pack was placed to stabilize the membrane in the pocket </w:t>
      </w:r>
    </w:p>
    <w:p w14:paraId="4FBA772C" w14:textId="5124BBB0" w:rsidR="00C21D54" w:rsidRPr="006C5F41" w:rsidRDefault="00CA3AA7" w:rsidP="00D961DA">
      <w:pPr>
        <w:rPr>
          <w:rFonts w:eastAsia="Calibri"/>
        </w:rPr>
      </w:pPr>
      <w:r w:rsidRPr="006C5F41">
        <w:rPr>
          <w:rFonts w:eastAsia="Calibri"/>
        </w:rPr>
        <w:t xml:space="preserve">    </w:t>
      </w:r>
      <w:r w:rsidR="00C21D54" w:rsidRPr="006C5F41">
        <w:rPr>
          <w:rFonts w:eastAsia="Calibri"/>
        </w:rPr>
        <w:t>site</w:t>
      </w:r>
      <w:r w:rsidRPr="006C5F41">
        <w:rPr>
          <w:rFonts w:eastAsia="Calibri"/>
        </w:rPr>
        <w:t>(Fig 6).</w:t>
      </w:r>
    </w:p>
    <w:p w14:paraId="1ACEC1A7" w14:textId="77777777" w:rsidR="00D02EAD" w:rsidRPr="006C5F41" w:rsidRDefault="00C21D54" w:rsidP="00D961DA">
      <w:pPr>
        <w:rPr>
          <w:rFonts w:eastAsia="Calibri"/>
        </w:rPr>
      </w:pPr>
      <w:r w:rsidRPr="006C5F41">
        <w:rPr>
          <w:rFonts w:eastAsia="Calibri"/>
        </w:rPr>
        <w:t xml:space="preserve">   </w:t>
      </w:r>
      <w:r w:rsidR="00D02EAD" w:rsidRPr="006C5F41">
        <w:rPr>
          <w:rFonts w:eastAsia="Calibri"/>
        </w:rPr>
        <w:t xml:space="preserve"> </w:t>
      </w:r>
      <w:r w:rsidRPr="006C5F41">
        <w:rPr>
          <w:rFonts w:eastAsia="Calibri"/>
        </w:rPr>
        <w:t xml:space="preserve">Group 3- </w:t>
      </w:r>
      <w:r w:rsidRPr="006C5F41">
        <w:t xml:space="preserve">After Scaling and root planing, </w:t>
      </w:r>
      <w:r w:rsidRPr="006C5F41">
        <w:rPr>
          <w:rFonts w:eastAsia="Calibri"/>
        </w:rPr>
        <w:t xml:space="preserve">T-PRF-loaded metronidazole membrane was placed sub-gingivally into the </w:t>
      </w:r>
    </w:p>
    <w:p w14:paraId="6230E2E6" w14:textId="77777777" w:rsidR="00D02EAD" w:rsidRPr="006C5F41" w:rsidRDefault="00D02EAD" w:rsidP="00D961DA">
      <w:pPr>
        <w:rPr>
          <w:rFonts w:eastAsia="Calibri"/>
        </w:rPr>
      </w:pPr>
      <w:r w:rsidRPr="006C5F41">
        <w:rPr>
          <w:rFonts w:eastAsia="Calibri"/>
        </w:rPr>
        <w:t xml:space="preserve">    </w:t>
      </w:r>
      <w:r w:rsidR="00C21D54" w:rsidRPr="006C5F41">
        <w:rPr>
          <w:rFonts w:eastAsia="Calibri"/>
        </w:rPr>
        <w:t xml:space="preserve">pockets using tissue forceps and periodontal probe and then perio-pack was placed to stabilize the membrane in the </w:t>
      </w:r>
    </w:p>
    <w:p w14:paraId="4195AAE0" w14:textId="48987A5F" w:rsidR="00C21D54" w:rsidRDefault="00D02EAD" w:rsidP="00D961DA">
      <w:pPr>
        <w:rPr>
          <w:rFonts w:eastAsia="Calibri"/>
          <w:lang w:val="en-IN"/>
        </w:rPr>
      </w:pPr>
      <w:r w:rsidRPr="006C5F41">
        <w:rPr>
          <w:rFonts w:eastAsia="Calibri"/>
        </w:rPr>
        <w:t xml:space="preserve">    </w:t>
      </w:r>
      <w:r w:rsidR="00C21D54" w:rsidRPr="006C5F41">
        <w:rPr>
          <w:rFonts w:eastAsia="Calibri"/>
        </w:rPr>
        <w:t>pocket site</w:t>
      </w:r>
      <w:r w:rsidR="00CA3AA7" w:rsidRPr="006C5F41">
        <w:rPr>
          <w:rFonts w:eastAsia="Calibri"/>
        </w:rPr>
        <w:t xml:space="preserve">( Fig 6). </w:t>
      </w:r>
      <w:r w:rsidR="00C21D54" w:rsidRPr="006C5F41">
        <w:rPr>
          <w:rFonts w:eastAsia="Calibri"/>
          <w:lang w:val="en-IN"/>
        </w:rPr>
        <w:t>Postoperative instructions will be explained and given in written format to the subjects</w:t>
      </w:r>
      <w:r w:rsidR="005E09BA" w:rsidRPr="006C5F41">
        <w:rPr>
          <w:rFonts w:eastAsia="Calibri"/>
          <w:lang w:val="en-IN"/>
        </w:rPr>
        <w:t>.</w:t>
      </w:r>
    </w:p>
    <w:p w14:paraId="12567535" w14:textId="77777777" w:rsidR="006C5F41" w:rsidRDefault="006C5F41" w:rsidP="00D961DA">
      <w:pPr>
        <w:rPr>
          <w:rFonts w:eastAsia="Calibri"/>
          <w:lang w:val="en-IN"/>
        </w:rPr>
      </w:pPr>
    </w:p>
    <w:p w14:paraId="44CC3FD1" w14:textId="77777777" w:rsidR="0049238F" w:rsidRDefault="0049238F" w:rsidP="00D961DA">
      <w:pPr>
        <w:rPr>
          <w:rFonts w:eastAsia="Calibri"/>
          <w:lang w:val="en-IN"/>
        </w:rPr>
      </w:pPr>
    </w:p>
    <w:p w14:paraId="5B2E3498" w14:textId="77777777" w:rsidR="0049238F" w:rsidRDefault="0049238F" w:rsidP="00D961DA">
      <w:pPr>
        <w:rPr>
          <w:rFonts w:eastAsia="Calibri"/>
          <w:lang w:val="en-IN"/>
        </w:rPr>
      </w:pPr>
    </w:p>
    <w:p w14:paraId="6A39EACF" w14:textId="77777777" w:rsidR="0049238F" w:rsidRDefault="0049238F" w:rsidP="00D961DA">
      <w:pPr>
        <w:rPr>
          <w:rFonts w:eastAsia="Calibri"/>
          <w:lang w:val="en-IN"/>
        </w:rPr>
      </w:pPr>
    </w:p>
    <w:p w14:paraId="445830D8" w14:textId="77777777" w:rsidR="0049238F" w:rsidRDefault="0049238F" w:rsidP="00D961DA">
      <w:pPr>
        <w:rPr>
          <w:rFonts w:eastAsia="Calibri"/>
          <w:lang w:val="en-IN"/>
        </w:rPr>
      </w:pPr>
    </w:p>
    <w:p w14:paraId="2ECF59CC" w14:textId="77777777" w:rsidR="0049238F" w:rsidRDefault="0049238F" w:rsidP="00D961DA">
      <w:pPr>
        <w:rPr>
          <w:rFonts w:eastAsia="Calibri"/>
          <w:lang w:val="en-IN"/>
        </w:rPr>
      </w:pPr>
    </w:p>
    <w:p w14:paraId="362871C4" w14:textId="77777777" w:rsidR="0049238F" w:rsidRDefault="0049238F" w:rsidP="00D961DA">
      <w:pPr>
        <w:rPr>
          <w:rFonts w:eastAsia="Calibri"/>
          <w:lang w:val="en-IN"/>
        </w:rPr>
      </w:pPr>
    </w:p>
    <w:p w14:paraId="62598AD2" w14:textId="77777777" w:rsidR="0049238F" w:rsidRDefault="0049238F" w:rsidP="00D961DA">
      <w:pPr>
        <w:rPr>
          <w:rFonts w:eastAsia="Calibri"/>
          <w:lang w:val="en-IN"/>
        </w:rPr>
      </w:pPr>
    </w:p>
    <w:p w14:paraId="7B4F17FA" w14:textId="77777777" w:rsidR="0049238F" w:rsidRDefault="0049238F" w:rsidP="00D961DA">
      <w:pPr>
        <w:rPr>
          <w:rFonts w:eastAsia="Calibri"/>
          <w:lang w:val="en-IN"/>
        </w:rPr>
      </w:pPr>
    </w:p>
    <w:p w14:paraId="3D3955F9" w14:textId="77777777" w:rsidR="0049238F" w:rsidRDefault="0049238F" w:rsidP="00D961DA">
      <w:pPr>
        <w:rPr>
          <w:rFonts w:eastAsia="Calibri"/>
          <w:lang w:val="en-IN"/>
        </w:rPr>
      </w:pPr>
    </w:p>
    <w:p w14:paraId="42906630" w14:textId="77777777" w:rsidR="0049238F" w:rsidRDefault="0049238F" w:rsidP="00D961DA">
      <w:pPr>
        <w:rPr>
          <w:rFonts w:eastAsia="Calibri"/>
          <w:lang w:val="en-IN"/>
        </w:rPr>
      </w:pPr>
    </w:p>
    <w:p w14:paraId="63772D2F" w14:textId="52562313" w:rsidR="0049238F" w:rsidRDefault="0049238F" w:rsidP="00D961DA">
      <w:pPr>
        <w:rPr>
          <w:rFonts w:eastAsia="Calibri"/>
          <w:lang w:val="en-IN"/>
        </w:rPr>
      </w:pPr>
      <w:r w:rsidRPr="006C5F41">
        <w:rPr>
          <w:rFonts w:ascii="Arial" w:hAnsi="Arial" w:cs="Arial"/>
          <w:b/>
          <w:bCs/>
          <w:noProof/>
          <w:sz w:val="22"/>
          <w:szCs w:val="22"/>
        </w:rPr>
        <w:drawing>
          <wp:anchor distT="0" distB="0" distL="114300" distR="114300" simplePos="0" relativeHeight="251656192" behindDoc="0" locked="0" layoutInCell="1" allowOverlap="1" wp14:anchorId="4D8C810B" wp14:editId="223F677A">
            <wp:simplePos x="0" y="0"/>
            <wp:positionH relativeFrom="column">
              <wp:posOffset>0</wp:posOffset>
            </wp:positionH>
            <wp:positionV relativeFrom="paragraph">
              <wp:posOffset>-635</wp:posOffset>
            </wp:positionV>
            <wp:extent cx="4978656" cy="1924149"/>
            <wp:effectExtent l="0" t="0" r="0" b="0"/>
            <wp:wrapNone/>
            <wp:docPr id="117200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00670" name=""/>
                    <pic:cNvPicPr/>
                  </pic:nvPicPr>
                  <pic:blipFill>
                    <a:blip r:embed="rId19">
                      <a:extLst>
                        <a:ext uri="{28A0092B-C50C-407E-A947-70E740481C1C}">
                          <a14:useLocalDpi xmlns:a14="http://schemas.microsoft.com/office/drawing/2010/main" val="0"/>
                        </a:ext>
                      </a:extLst>
                    </a:blip>
                    <a:stretch>
                      <a:fillRect/>
                    </a:stretch>
                  </pic:blipFill>
                  <pic:spPr>
                    <a:xfrm>
                      <a:off x="0" y="0"/>
                      <a:ext cx="4978656" cy="1924149"/>
                    </a:xfrm>
                    <a:prstGeom prst="rect">
                      <a:avLst/>
                    </a:prstGeom>
                  </pic:spPr>
                </pic:pic>
              </a:graphicData>
            </a:graphic>
          </wp:anchor>
        </w:drawing>
      </w:r>
    </w:p>
    <w:p w14:paraId="723005E2" w14:textId="77777777" w:rsidR="0049238F" w:rsidRDefault="0049238F" w:rsidP="00D961DA">
      <w:pPr>
        <w:rPr>
          <w:rFonts w:eastAsia="Calibri"/>
          <w:lang w:val="en-IN"/>
        </w:rPr>
      </w:pPr>
    </w:p>
    <w:p w14:paraId="7F464C15" w14:textId="77777777" w:rsidR="0049238F" w:rsidRDefault="0049238F" w:rsidP="00D961DA">
      <w:pPr>
        <w:rPr>
          <w:rFonts w:eastAsia="Calibri"/>
          <w:lang w:val="en-IN"/>
        </w:rPr>
      </w:pPr>
    </w:p>
    <w:p w14:paraId="4494652E" w14:textId="77777777" w:rsidR="0049238F" w:rsidRDefault="0049238F" w:rsidP="00D961DA">
      <w:pPr>
        <w:rPr>
          <w:rFonts w:eastAsia="Calibri"/>
          <w:lang w:val="en-IN"/>
        </w:rPr>
      </w:pPr>
    </w:p>
    <w:p w14:paraId="3DE5B9DC" w14:textId="77777777" w:rsidR="0049238F" w:rsidRDefault="0049238F" w:rsidP="00D961DA">
      <w:pPr>
        <w:rPr>
          <w:rFonts w:eastAsia="Calibri"/>
          <w:lang w:val="en-IN"/>
        </w:rPr>
      </w:pPr>
    </w:p>
    <w:p w14:paraId="500936F1" w14:textId="77777777" w:rsidR="0049238F" w:rsidRDefault="0049238F" w:rsidP="00D961DA">
      <w:pPr>
        <w:rPr>
          <w:rFonts w:eastAsia="Calibri"/>
          <w:lang w:val="en-IN"/>
        </w:rPr>
      </w:pPr>
    </w:p>
    <w:p w14:paraId="5269CBBF" w14:textId="77777777" w:rsidR="0049238F" w:rsidRDefault="0049238F" w:rsidP="00D961DA">
      <w:pPr>
        <w:rPr>
          <w:rFonts w:eastAsia="Calibri"/>
          <w:lang w:val="en-IN"/>
        </w:rPr>
      </w:pPr>
    </w:p>
    <w:p w14:paraId="35BDCAE9" w14:textId="77777777" w:rsidR="0049238F" w:rsidRDefault="0049238F" w:rsidP="00D961DA">
      <w:pPr>
        <w:rPr>
          <w:rFonts w:eastAsia="Calibri"/>
          <w:lang w:val="en-IN"/>
        </w:rPr>
      </w:pPr>
    </w:p>
    <w:p w14:paraId="0CBCFF20" w14:textId="77777777" w:rsidR="0049238F" w:rsidRDefault="0049238F" w:rsidP="00D961DA">
      <w:pPr>
        <w:rPr>
          <w:rFonts w:eastAsia="Calibri"/>
          <w:lang w:val="en-IN"/>
        </w:rPr>
      </w:pPr>
    </w:p>
    <w:p w14:paraId="5AAB3949" w14:textId="77777777" w:rsidR="0049238F" w:rsidRDefault="0049238F" w:rsidP="00D961DA">
      <w:pPr>
        <w:rPr>
          <w:rFonts w:eastAsia="Calibri"/>
          <w:lang w:val="en-IN"/>
        </w:rPr>
      </w:pPr>
    </w:p>
    <w:p w14:paraId="66516C31" w14:textId="77777777" w:rsidR="0049238F" w:rsidRDefault="0049238F" w:rsidP="00D961DA">
      <w:pPr>
        <w:rPr>
          <w:rFonts w:eastAsia="Calibri"/>
          <w:lang w:val="en-IN"/>
        </w:rPr>
      </w:pPr>
    </w:p>
    <w:p w14:paraId="2F4D79A6" w14:textId="77777777" w:rsidR="0049238F" w:rsidRDefault="0049238F" w:rsidP="00D961DA">
      <w:pPr>
        <w:rPr>
          <w:rFonts w:eastAsia="Calibri"/>
          <w:lang w:val="en-IN"/>
        </w:rPr>
      </w:pPr>
    </w:p>
    <w:p w14:paraId="4DF3C1D4" w14:textId="77777777" w:rsidR="0049238F" w:rsidRDefault="0049238F" w:rsidP="00D961DA">
      <w:pPr>
        <w:rPr>
          <w:rFonts w:eastAsia="Calibri"/>
          <w:lang w:val="en-IN"/>
        </w:rPr>
      </w:pPr>
    </w:p>
    <w:p w14:paraId="2E46F1FB" w14:textId="77777777" w:rsidR="0049238F" w:rsidRDefault="0049238F" w:rsidP="00D961DA">
      <w:pPr>
        <w:rPr>
          <w:rFonts w:eastAsia="Calibri"/>
          <w:lang w:val="en-IN"/>
        </w:rPr>
      </w:pPr>
    </w:p>
    <w:p w14:paraId="008DFD85" w14:textId="77777777" w:rsidR="0049238F" w:rsidRDefault="0049238F" w:rsidP="00D961DA">
      <w:pPr>
        <w:rPr>
          <w:rFonts w:eastAsia="Calibri"/>
          <w:lang w:val="en-IN"/>
        </w:rPr>
      </w:pPr>
    </w:p>
    <w:p w14:paraId="78A2C44A" w14:textId="77777777" w:rsidR="0049238F" w:rsidRDefault="0049238F" w:rsidP="00D961DA">
      <w:pPr>
        <w:rPr>
          <w:rFonts w:eastAsia="Calibri"/>
          <w:lang w:val="en-IN"/>
        </w:rPr>
      </w:pPr>
    </w:p>
    <w:p w14:paraId="6D91B6F3" w14:textId="77777777" w:rsidR="0049238F" w:rsidRDefault="0049238F" w:rsidP="00D961DA">
      <w:pPr>
        <w:rPr>
          <w:rFonts w:eastAsia="Calibri"/>
          <w:lang w:val="en-IN"/>
        </w:rPr>
      </w:pPr>
    </w:p>
    <w:p w14:paraId="2B83C51D" w14:textId="7B373174" w:rsidR="0049238F" w:rsidRDefault="0049238F" w:rsidP="00D961DA">
      <w:pPr>
        <w:rPr>
          <w:rFonts w:eastAsia="Calibri"/>
          <w:lang w:val="en-IN"/>
        </w:rPr>
      </w:pPr>
      <w:r w:rsidRPr="006C5F41">
        <w:rPr>
          <w:rFonts w:ascii="Arial" w:hAnsi="Arial" w:cs="Arial"/>
          <w:b/>
          <w:bCs/>
          <w:noProof/>
          <w:sz w:val="22"/>
          <w:szCs w:val="22"/>
        </w:rPr>
        <w:drawing>
          <wp:anchor distT="0" distB="0" distL="114300" distR="114300" simplePos="0" relativeHeight="251657216" behindDoc="0" locked="0" layoutInCell="1" allowOverlap="1" wp14:anchorId="0F712A1A" wp14:editId="0368DDC6">
            <wp:simplePos x="0" y="0"/>
            <wp:positionH relativeFrom="column">
              <wp:posOffset>0</wp:posOffset>
            </wp:positionH>
            <wp:positionV relativeFrom="paragraph">
              <wp:posOffset>-635</wp:posOffset>
            </wp:positionV>
            <wp:extent cx="5073911" cy="2019404"/>
            <wp:effectExtent l="0" t="0" r="0" b="0"/>
            <wp:wrapNone/>
            <wp:docPr id="147478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81653" name=""/>
                    <pic:cNvPicPr/>
                  </pic:nvPicPr>
                  <pic:blipFill>
                    <a:blip r:embed="rId20">
                      <a:extLst>
                        <a:ext uri="{28A0092B-C50C-407E-A947-70E740481C1C}">
                          <a14:useLocalDpi xmlns:a14="http://schemas.microsoft.com/office/drawing/2010/main" val="0"/>
                        </a:ext>
                      </a:extLst>
                    </a:blip>
                    <a:stretch>
                      <a:fillRect/>
                    </a:stretch>
                  </pic:blipFill>
                  <pic:spPr>
                    <a:xfrm>
                      <a:off x="0" y="0"/>
                      <a:ext cx="5073911" cy="2019404"/>
                    </a:xfrm>
                    <a:prstGeom prst="rect">
                      <a:avLst/>
                    </a:prstGeom>
                  </pic:spPr>
                </pic:pic>
              </a:graphicData>
            </a:graphic>
          </wp:anchor>
        </w:drawing>
      </w:r>
    </w:p>
    <w:p w14:paraId="36536E26" w14:textId="77777777" w:rsidR="0049238F" w:rsidRDefault="0049238F" w:rsidP="00D961DA">
      <w:pPr>
        <w:rPr>
          <w:rFonts w:eastAsia="Calibri"/>
          <w:lang w:val="en-IN"/>
        </w:rPr>
      </w:pPr>
    </w:p>
    <w:p w14:paraId="5D9494A4" w14:textId="77777777" w:rsidR="0049238F" w:rsidRDefault="0049238F" w:rsidP="00D961DA">
      <w:pPr>
        <w:rPr>
          <w:rFonts w:eastAsia="Calibri"/>
          <w:lang w:val="en-IN"/>
        </w:rPr>
      </w:pPr>
    </w:p>
    <w:p w14:paraId="5DE19DA6" w14:textId="77777777" w:rsidR="0049238F" w:rsidRDefault="0049238F" w:rsidP="00D961DA">
      <w:pPr>
        <w:rPr>
          <w:rFonts w:eastAsia="Calibri"/>
          <w:lang w:val="en-IN"/>
        </w:rPr>
      </w:pPr>
    </w:p>
    <w:p w14:paraId="00610D61" w14:textId="77777777" w:rsidR="0049238F" w:rsidRDefault="0049238F" w:rsidP="00D961DA">
      <w:pPr>
        <w:rPr>
          <w:rFonts w:eastAsia="Calibri"/>
          <w:lang w:val="en-IN"/>
        </w:rPr>
      </w:pPr>
    </w:p>
    <w:p w14:paraId="66858E33" w14:textId="77777777" w:rsidR="0049238F" w:rsidRDefault="0049238F" w:rsidP="00D961DA">
      <w:pPr>
        <w:rPr>
          <w:rFonts w:eastAsia="Calibri"/>
          <w:lang w:val="en-IN"/>
        </w:rPr>
      </w:pPr>
    </w:p>
    <w:p w14:paraId="4D4B8E17" w14:textId="77777777" w:rsidR="0049238F" w:rsidRDefault="0049238F" w:rsidP="00D961DA">
      <w:pPr>
        <w:rPr>
          <w:rFonts w:eastAsia="Calibri"/>
          <w:lang w:val="en-IN"/>
        </w:rPr>
      </w:pPr>
    </w:p>
    <w:p w14:paraId="020DD2A4" w14:textId="77777777" w:rsidR="0049238F" w:rsidRDefault="0049238F" w:rsidP="00D961DA">
      <w:pPr>
        <w:rPr>
          <w:rFonts w:eastAsia="Calibri"/>
          <w:lang w:val="en-IN"/>
        </w:rPr>
      </w:pPr>
    </w:p>
    <w:p w14:paraId="04D771A3" w14:textId="77777777" w:rsidR="0049238F" w:rsidRDefault="0049238F" w:rsidP="00D961DA">
      <w:pPr>
        <w:rPr>
          <w:rFonts w:eastAsia="Calibri"/>
          <w:lang w:val="en-IN"/>
        </w:rPr>
      </w:pPr>
    </w:p>
    <w:p w14:paraId="4E436595" w14:textId="77777777" w:rsidR="0049238F" w:rsidRDefault="0049238F" w:rsidP="00D961DA">
      <w:pPr>
        <w:rPr>
          <w:rFonts w:eastAsia="Calibri"/>
          <w:lang w:val="en-IN"/>
        </w:rPr>
      </w:pPr>
    </w:p>
    <w:p w14:paraId="7B5C046A" w14:textId="77777777" w:rsidR="0049238F" w:rsidRDefault="0049238F" w:rsidP="00D961DA">
      <w:pPr>
        <w:rPr>
          <w:rFonts w:eastAsia="Calibri"/>
          <w:lang w:val="en-IN"/>
        </w:rPr>
      </w:pPr>
    </w:p>
    <w:p w14:paraId="7604FBA7" w14:textId="77777777" w:rsidR="0049238F" w:rsidRDefault="0049238F" w:rsidP="00D961DA">
      <w:pPr>
        <w:rPr>
          <w:rFonts w:eastAsia="Calibri"/>
          <w:lang w:val="en-IN"/>
        </w:rPr>
      </w:pPr>
    </w:p>
    <w:p w14:paraId="6EE83B0A" w14:textId="77777777" w:rsidR="0049238F" w:rsidRDefault="0049238F" w:rsidP="00D961DA">
      <w:pPr>
        <w:rPr>
          <w:rFonts w:eastAsia="Calibri"/>
          <w:lang w:val="en-IN"/>
        </w:rPr>
      </w:pPr>
    </w:p>
    <w:p w14:paraId="421304C7" w14:textId="77777777" w:rsidR="0049238F" w:rsidRDefault="0049238F" w:rsidP="00D961DA">
      <w:pPr>
        <w:rPr>
          <w:rFonts w:eastAsia="Calibri"/>
          <w:lang w:val="en-IN"/>
        </w:rPr>
      </w:pPr>
    </w:p>
    <w:p w14:paraId="76385FC0" w14:textId="77777777" w:rsidR="0049238F" w:rsidRDefault="0049238F" w:rsidP="00D961DA">
      <w:pPr>
        <w:rPr>
          <w:rFonts w:eastAsia="Calibri"/>
          <w:lang w:val="en-IN"/>
        </w:rPr>
      </w:pPr>
    </w:p>
    <w:p w14:paraId="2F9648F1" w14:textId="77777777" w:rsidR="0049238F" w:rsidRDefault="0049238F" w:rsidP="00D961DA">
      <w:pPr>
        <w:rPr>
          <w:rFonts w:eastAsia="Calibri"/>
          <w:lang w:val="en-IN"/>
        </w:rPr>
      </w:pPr>
    </w:p>
    <w:p w14:paraId="7325A71B" w14:textId="77777777" w:rsidR="0049238F" w:rsidRDefault="0049238F" w:rsidP="00D961DA">
      <w:pPr>
        <w:rPr>
          <w:rFonts w:eastAsia="Calibri"/>
          <w:lang w:val="en-IN"/>
        </w:rPr>
      </w:pPr>
    </w:p>
    <w:p w14:paraId="1941E34D" w14:textId="77777777" w:rsidR="0049238F" w:rsidRDefault="0049238F" w:rsidP="00D961DA">
      <w:pPr>
        <w:rPr>
          <w:rFonts w:eastAsia="Calibri"/>
          <w:lang w:val="en-IN"/>
        </w:rPr>
      </w:pPr>
    </w:p>
    <w:p w14:paraId="4E146DCF" w14:textId="77777777" w:rsidR="0049238F" w:rsidRDefault="0049238F" w:rsidP="00D961DA">
      <w:pPr>
        <w:rPr>
          <w:rFonts w:eastAsia="Calibri"/>
          <w:lang w:val="en-IN"/>
        </w:rPr>
      </w:pPr>
    </w:p>
    <w:p w14:paraId="04D76EE2" w14:textId="77777777" w:rsidR="0049238F" w:rsidRDefault="0049238F" w:rsidP="00D961DA">
      <w:pPr>
        <w:rPr>
          <w:rFonts w:eastAsia="Calibri"/>
          <w:lang w:val="en-IN"/>
        </w:rPr>
      </w:pPr>
    </w:p>
    <w:p w14:paraId="6CF84C74" w14:textId="77777777" w:rsidR="003407EB" w:rsidRPr="00CF122B" w:rsidRDefault="003407EB" w:rsidP="003407EB">
      <w:pPr>
        <w:rPr>
          <w:rFonts w:ascii="Arial" w:hAnsi="Arial" w:cs="Arial"/>
        </w:rPr>
      </w:pPr>
      <w:r w:rsidRPr="00CF122B">
        <w:rPr>
          <w:rFonts w:ascii="Arial" w:hAnsi="Arial" w:cs="Arial"/>
        </w:rPr>
        <w:t xml:space="preserve">Fig 3: 0.5ml of Ofloxacin and metronidazole </w:t>
      </w:r>
      <w:r>
        <w:rPr>
          <w:rFonts w:ascii="Arial" w:hAnsi="Arial" w:cs="Arial"/>
        </w:rPr>
        <w:t>withdrawn using insulin syringes</w:t>
      </w:r>
    </w:p>
    <w:p w14:paraId="64683FBE" w14:textId="77777777" w:rsidR="006C5F41" w:rsidRDefault="006C5F41" w:rsidP="00D961DA">
      <w:pPr>
        <w:rPr>
          <w:rFonts w:eastAsia="Calibri"/>
          <w:lang w:val="en-IN"/>
        </w:rPr>
      </w:pPr>
    </w:p>
    <w:p w14:paraId="26A0111C" w14:textId="77777777" w:rsidR="006C5F41" w:rsidRDefault="006C5F41" w:rsidP="00D961DA">
      <w:pPr>
        <w:rPr>
          <w:rFonts w:eastAsia="Calibri"/>
          <w:lang w:val="en-IN"/>
        </w:rPr>
      </w:pPr>
    </w:p>
    <w:p w14:paraId="636A3382" w14:textId="77777777" w:rsidR="006C5F41" w:rsidRDefault="006C5F41" w:rsidP="00D961DA">
      <w:pPr>
        <w:rPr>
          <w:rFonts w:eastAsia="Calibri"/>
          <w:lang w:val="en-IN"/>
        </w:rPr>
      </w:pPr>
    </w:p>
    <w:p w14:paraId="67A0683E" w14:textId="77777777" w:rsidR="006C5F41" w:rsidRDefault="006C5F41" w:rsidP="00D961DA">
      <w:pPr>
        <w:rPr>
          <w:rFonts w:eastAsia="Calibri"/>
          <w:lang w:val="en-IN"/>
        </w:rPr>
      </w:pPr>
    </w:p>
    <w:p w14:paraId="7D2CC85D" w14:textId="77777777" w:rsidR="006C5F41" w:rsidRDefault="006C5F41" w:rsidP="00D961DA">
      <w:pPr>
        <w:rPr>
          <w:rFonts w:eastAsia="Calibri"/>
          <w:lang w:val="en-IN"/>
        </w:rPr>
      </w:pPr>
    </w:p>
    <w:p w14:paraId="2624CF67" w14:textId="77777777" w:rsidR="006C5F41" w:rsidRPr="006C5F41" w:rsidRDefault="006C5F41" w:rsidP="00D961DA">
      <w:pPr>
        <w:rPr>
          <w:rFonts w:eastAsia="Calibri"/>
        </w:rPr>
      </w:pPr>
    </w:p>
    <w:p w14:paraId="51C311AE" w14:textId="53E75377" w:rsidR="005E09BA" w:rsidRPr="006C5F41" w:rsidRDefault="006C5F41" w:rsidP="00D961DA">
      <w:pPr>
        <w:rPr>
          <w:rFonts w:eastAsia="Calibri"/>
          <w:lang w:val="en-IN"/>
        </w:rPr>
      </w:pPr>
      <w:r w:rsidRPr="006C5F41">
        <w:rPr>
          <w:rFonts w:ascii="Times New Roman" w:hAnsi="Times New Roman"/>
          <w:b/>
          <w:bCs/>
          <w:noProof/>
        </w:rPr>
        <w:drawing>
          <wp:anchor distT="0" distB="0" distL="114300" distR="114300" simplePos="0" relativeHeight="251651072" behindDoc="0" locked="0" layoutInCell="1" allowOverlap="1" wp14:anchorId="1C24FF6B" wp14:editId="64AA0491">
            <wp:simplePos x="0" y="0"/>
            <wp:positionH relativeFrom="column">
              <wp:posOffset>1606550</wp:posOffset>
            </wp:positionH>
            <wp:positionV relativeFrom="paragraph">
              <wp:posOffset>-86360</wp:posOffset>
            </wp:positionV>
            <wp:extent cx="3606800" cy="1857375"/>
            <wp:effectExtent l="19050" t="19050" r="0" b="9525"/>
            <wp:wrapNone/>
            <wp:docPr id="98865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58510" name=""/>
                    <pic:cNvPicPr/>
                  </pic:nvPicPr>
                  <pic:blipFill>
                    <a:blip r:embed="rId21">
                      <a:extLst>
                        <a:ext uri="{28A0092B-C50C-407E-A947-70E740481C1C}">
                          <a14:useLocalDpi xmlns:a14="http://schemas.microsoft.com/office/drawing/2010/main" val="0"/>
                        </a:ext>
                      </a:extLst>
                    </a:blip>
                    <a:stretch>
                      <a:fillRect/>
                    </a:stretch>
                  </pic:blipFill>
                  <pic:spPr>
                    <a:xfrm>
                      <a:off x="0" y="0"/>
                      <a:ext cx="3606800" cy="1857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742C22" w14:textId="19B51B5C" w:rsidR="005E09BA" w:rsidRPr="006C5F41" w:rsidRDefault="005E09BA" w:rsidP="00D961DA">
      <w:pPr>
        <w:rPr>
          <w:rFonts w:eastAsia="Calibri"/>
          <w:lang w:val="en-IN"/>
        </w:rPr>
      </w:pPr>
    </w:p>
    <w:p w14:paraId="3116C4D1" w14:textId="4C67010E" w:rsidR="005E09BA" w:rsidRPr="006C5F41" w:rsidRDefault="005E09BA" w:rsidP="00D961DA">
      <w:pPr>
        <w:rPr>
          <w:rFonts w:eastAsia="Calibri"/>
          <w:lang w:val="en-IN"/>
        </w:rPr>
      </w:pPr>
    </w:p>
    <w:p w14:paraId="11197C60" w14:textId="77777777" w:rsidR="005E09BA" w:rsidRPr="006C5F41" w:rsidRDefault="005E09BA" w:rsidP="00D961DA">
      <w:pPr>
        <w:rPr>
          <w:rFonts w:eastAsia="Calibri"/>
          <w:lang w:val="en-IN"/>
        </w:rPr>
      </w:pPr>
    </w:p>
    <w:p w14:paraId="3BDCB883" w14:textId="0ED2B369" w:rsidR="005E09BA" w:rsidRPr="006C5F41" w:rsidRDefault="005E09BA" w:rsidP="00D961DA">
      <w:pPr>
        <w:rPr>
          <w:rFonts w:eastAsia="Calibri"/>
          <w:lang w:val="en-IN"/>
        </w:rPr>
      </w:pPr>
    </w:p>
    <w:p w14:paraId="467D8DD4" w14:textId="77777777" w:rsidR="005E09BA" w:rsidRPr="006C5F41" w:rsidRDefault="005E09BA" w:rsidP="00D961DA">
      <w:pPr>
        <w:rPr>
          <w:rFonts w:eastAsia="Calibri"/>
        </w:rPr>
      </w:pPr>
    </w:p>
    <w:p w14:paraId="25C92054" w14:textId="77777777" w:rsidR="00C21D54" w:rsidRPr="006C5F41" w:rsidRDefault="00C21D54" w:rsidP="00D961DA">
      <w:pPr>
        <w:rPr>
          <w:rFonts w:eastAsia="Calibri"/>
          <w:lang w:val="en-IN"/>
        </w:rPr>
      </w:pPr>
    </w:p>
    <w:p w14:paraId="2D5EC088" w14:textId="77777777" w:rsidR="00FD5970" w:rsidRPr="006C5F41" w:rsidRDefault="00C21D54" w:rsidP="00D961DA">
      <w:pPr>
        <w:rPr>
          <w:rFonts w:eastAsia="Calibri"/>
          <w:lang w:val="en-IN"/>
        </w:rPr>
      </w:pPr>
      <w:r w:rsidRPr="006C5F41">
        <w:rPr>
          <w:rFonts w:eastAsia="Calibri"/>
          <w:lang w:val="en-IN"/>
        </w:rPr>
        <w:t xml:space="preserve">   </w:t>
      </w:r>
    </w:p>
    <w:p w14:paraId="313EFDEF" w14:textId="77777777" w:rsidR="00FD5970" w:rsidRPr="006C5F41" w:rsidRDefault="00FD5970" w:rsidP="00D961DA">
      <w:pPr>
        <w:rPr>
          <w:rFonts w:eastAsia="Calibri"/>
          <w:lang w:val="en-IN"/>
        </w:rPr>
      </w:pPr>
    </w:p>
    <w:p w14:paraId="1F133C8D" w14:textId="77777777" w:rsidR="00FD5970" w:rsidRPr="006C5F41" w:rsidRDefault="00FD5970" w:rsidP="00D961DA">
      <w:pPr>
        <w:rPr>
          <w:rFonts w:eastAsia="Calibri"/>
          <w:lang w:val="en-IN"/>
        </w:rPr>
      </w:pPr>
    </w:p>
    <w:p w14:paraId="3EC74984" w14:textId="77777777" w:rsidR="00FD5970" w:rsidRPr="006C5F41" w:rsidRDefault="00FD5970" w:rsidP="00D961DA">
      <w:pPr>
        <w:rPr>
          <w:rFonts w:eastAsia="Calibri"/>
          <w:lang w:val="en-IN"/>
        </w:rPr>
      </w:pPr>
    </w:p>
    <w:p w14:paraId="4A90B02D" w14:textId="77777777" w:rsidR="00FD5970" w:rsidRPr="006C5F41" w:rsidRDefault="00FD5970" w:rsidP="00D961DA">
      <w:pPr>
        <w:rPr>
          <w:rFonts w:eastAsia="Calibri"/>
          <w:lang w:val="en-IN"/>
        </w:rPr>
      </w:pPr>
    </w:p>
    <w:p w14:paraId="45740424" w14:textId="77777777" w:rsidR="00FD5970" w:rsidRPr="006C5F41" w:rsidRDefault="00FD5970" w:rsidP="00D961DA">
      <w:pPr>
        <w:rPr>
          <w:rFonts w:eastAsia="Calibri"/>
          <w:lang w:val="en-IN"/>
        </w:rPr>
      </w:pPr>
    </w:p>
    <w:p w14:paraId="6325B653" w14:textId="32FAA360" w:rsidR="00FD5970" w:rsidRPr="006C5F41" w:rsidRDefault="00FD5970" w:rsidP="00D961DA">
      <w:pPr>
        <w:rPr>
          <w:rFonts w:eastAsia="Calibri"/>
          <w:lang w:val="en-IN"/>
        </w:rPr>
      </w:pPr>
    </w:p>
    <w:p w14:paraId="358593C2" w14:textId="4260464F" w:rsidR="00FD5970" w:rsidRPr="006C5F41" w:rsidRDefault="00FD5970" w:rsidP="00D961DA">
      <w:pPr>
        <w:rPr>
          <w:rFonts w:eastAsia="Calibri"/>
          <w:lang w:val="en-IN"/>
        </w:rPr>
      </w:pPr>
      <w:r w:rsidRPr="006C5F41">
        <w:rPr>
          <w:rFonts w:ascii="Times New Roman" w:hAnsi="Times New Roman"/>
          <w:b/>
          <w:bCs/>
          <w:noProof/>
        </w:rPr>
        <w:drawing>
          <wp:anchor distT="0" distB="0" distL="114300" distR="114300" simplePos="0" relativeHeight="251652096" behindDoc="0" locked="0" layoutInCell="1" allowOverlap="1" wp14:anchorId="02762A88" wp14:editId="697E0E48">
            <wp:simplePos x="0" y="0"/>
            <wp:positionH relativeFrom="margin">
              <wp:posOffset>1612900</wp:posOffset>
            </wp:positionH>
            <wp:positionV relativeFrom="paragraph">
              <wp:posOffset>-178435</wp:posOffset>
            </wp:positionV>
            <wp:extent cx="3919993" cy="1694704"/>
            <wp:effectExtent l="19050" t="19050" r="23495" b="20320"/>
            <wp:wrapNone/>
            <wp:docPr id="944847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9993" cy="169470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F3322B9" w14:textId="77777777" w:rsidR="00FD5970" w:rsidRPr="006C5F41" w:rsidRDefault="00FD5970" w:rsidP="00D961DA">
      <w:pPr>
        <w:rPr>
          <w:rFonts w:eastAsia="Calibri"/>
          <w:lang w:val="en-IN"/>
        </w:rPr>
      </w:pPr>
    </w:p>
    <w:p w14:paraId="0DBE2F50" w14:textId="77777777" w:rsidR="00FD5970" w:rsidRPr="006C5F41" w:rsidRDefault="00FD5970" w:rsidP="00D961DA">
      <w:pPr>
        <w:rPr>
          <w:rFonts w:eastAsia="Calibri"/>
          <w:lang w:val="en-IN"/>
        </w:rPr>
      </w:pPr>
    </w:p>
    <w:p w14:paraId="6036E2B3" w14:textId="77777777" w:rsidR="00FD5970" w:rsidRPr="006C5F41" w:rsidRDefault="00FD5970" w:rsidP="00D961DA">
      <w:pPr>
        <w:rPr>
          <w:rFonts w:eastAsia="Calibri"/>
          <w:lang w:val="en-IN"/>
        </w:rPr>
      </w:pPr>
    </w:p>
    <w:p w14:paraId="7ADC867F" w14:textId="77777777" w:rsidR="00FD5970" w:rsidRPr="006C5F41" w:rsidRDefault="00FD5970" w:rsidP="00D961DA">
      <w:pPr>
        <w:rPr>
          <w:rFonts w:eastAsia="Calibri"/>
          <w:lang w:val="en-IN"/>
        </w:rPr>
      </w:pPr>
    </w:p>
    <w:p w14:paraId="040E34D3" w14:textId="77777777" w:rsidR="00FD5970" w:rsidRPr="006C5F41" w:rsidRDefault="00FD5970" w:rsidP="00D961DA">
      <w:pPr>
        <w:rPr>
          <w:rFonts w:eastAsia="Calibri"/>
          <w:lang w:val="en-IN"/>
        </w:rPr>
      </w:pPr>
    </w:p>
    <w:p w14:paraId="4F3CC363" w14:textId="77777777" w:rsidR="00FD5970" w:rsidRPr="006C5F41" w:rsidRDefault="00FD5970" w:rsidP="00D961DA">
      <w:pPr>
        <w:rPr>
          <w:rFonts w:eastAsia="Calibri"/>
          <w:lang w:val="en-IN"/>
        </w:rPr>
      </w:pPr>
    </w:p>
    <w:p w14:paraId="7F4AAF6B" w14:textId="7E4D05EE" w:rsidR="00FD5970" w:rsidRPr="006C5F41" w:rsidRDefault="00FD5970" w:rsidP="00D961DA">
      <w:pPr>
        <w:rPr>
          <w:rFonts w:eastAsia="Calibri"/>
          <w:lang w:val="en-IN"/>
        </w:rPr>
      </w:pPr>
    </w:p>
    <w:p w14:paraId="1FC821AB" w14:textId="77777777" w:rsidR="00FD5970" w:rsidRPr="006C5F41" w:rsidRDefault="00FD5970" w:rsidP="00D961DA">
      <w:pPr>
        <w:rPr>
          <w:rFonts w:eastAsia="Calibri"/>
          <w:lang w:val="en-IN"/>
        </w:rPr>
      </w:pPr>
    </w:p>
    <w:p w14:paraId="2C7C3CA6" w14:textId="0138FC6A" w:rsidR="00FD5970" w:rsidRPr="006C5F41" w:rsidRDefault="00FD5970" w:rsidP="00D961DA">
      <w:pPr>
        <w:rPr>
          <w:rFonts w:eastAsia="Calibri"/>
          <w:lang w:val="en-IN"/>
        </w:rPr>
      </w:pPr>
    </w:p>
    <w:p w14:paraId="5228FCE9" w14:textId="56087A74" w:rsidR="00FD5970" w:rsidRPr="006C5F41" w:rsidRDefault="00000000" w:rsidP="00D961DA">
      <w:pPr>
        <w:rPr>
          <w:rFonts w:eastAsia="Calibri"/>
          <w:lang w:val="en-IN"/>
        </w:rPr>
      </w:pPr>
      <w:r>
        <w:rPr>
          <w:noProof/>
        </w:rPr>
        <w:pict w14:anchorId="1DAF39C4">
          <v:shapetype id="_x0000_t202" coordsize="21600,21600" o:spt="202" path="m,l,21600r21600,l21600,xe">
            <v:stroke joinstyle="miter"/>
            <v:path gradientshapeok="t" o:connecttype="rect"/>
          </v:shapetype>
          <v:shape id="_x0000_s2053" type="#_x0000_t202" style="position:absolute;margin-left:126.5pt;margin-top:4pt;width:311pt;height:35pt;z-index:251659264;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">
            <v:textbox style="mso-next-textbox:#_x0000_s2053">
              <w:txbxContent>
                <w:p w14:paraId="4AB43360" w14:textId="5754B0F0" w:rsidR="00FD5970" w:rsidRDefault="00FD5970" w:rsidP="00FD5970">
                  <w:r>
                    <w:t xml:space="preserve">Fig 4: </w:t>
                  </w:r>
                  <w:r w:rsidR="00C10A55">
                    <w:t>5</w:t>
                  </w:r>
                  <w:r>
                    <w:t xml:space="preserve">ml of blood </w:t>
                  </w:r>
                  <w:r w:rsidRPr="00C21D54">
                    <w:t>transf</w:t>
                  </w:r>
                  <w:r>
                    <w:t>ered</w:t>
                  </w:r>
                  <w:r w:rsidRPr="00C21D54">
                    <w:t xml:space="preserve"> to</w:t>
                  </w:r>
                  <w:r w:rsidR="00C10A55">
                    <w:t xml:space="preserve"> each</w:t>
                  </w:r>
                  <w:r w:rsidRPr="00C21D54">
                    <w:t xml:space="preserve"> titanium tube</w:t>
                  </w:r>
                  <w:r>
                    <w:t xml:space="preserve"> follow</w:t>
                  </w:r>
                  <w:r w:rsidR="00C10A55">
                    <w:t>ed by</w:t>
                  </w:r>
                  <w:r>
                    <w:t xml:space="preserve"> infusion</w:t>
                  </w:r>
                  <w:r w:rsidR="00C10A55">
                    <w:t xml:space="preserve"> of 0.5ml of</w:t>
                  </w:r>
                  <w:r w:rsidRPr="00D60829">
                    <w:t xml:space="preserve"> </w:t>
                  </w:r>
                  <w:r w:rsidR="00C10A55">
                    <w:t>ofloxacin and metronidazole</w:t>
                  </w:r>
                </w:p>
              </w:txbxContent>
            </v:textbox>
            <w10:wrap type="square"/>
          </v:shape>
        </w:pict>
      </w:r>
    </w:p>
    <w:p w14:paraId="0E5BEE2E" w14:textId="77777777" w:rsidR="00FD5970" w:rsidRPr="006C5F41" w:rsidRDefault="00FD5970" w:rsidP="00D961DA">
      <w:pPr>
        <w:rPr>
          <w:rFonts w:eastAsia="Calibri"/>
          <w:lang w:val="en-IN"/>
        </w:rPr>
      </w:pPr>
    </w:p>
    <w:p w14:paraId="32293946" w14:textId="50DA95BE" w:rsidR="00FD5970" w:rsidRPr="006C5F41" w:rsidRDefault="00FD5970" w:rsidP="00D961DA">
      <w:pPr>
        <w:rPr>
          <w:rFonts w:eastAsia="Calibri"/>
          <w:lang w:val="en-IN"/>
        </w:rPr>
      </w:pPr>
    </w:p>
    <w:p w14:paraId="43F1AC52" w14:textId="77777777" w:rsidR="00FD5970" w:rsidRPr="006C5F41" w:rsidRDefault="00FD5970" w:rsidP="00D961DA">
      <w:pPr>
        <w:rPr>
          <w:rFonts w:eastAsia="Calibri"/>
          <w:lang w:val="en-IN"/>
        </w:rPr>
      </w:pPr>
    </w:p>
    <w:p w14:paraId="16A75A2B" w14:textId="77777777" w:rsidR="00FD5970" w:rsidRPr="006C5F41" w:rsidRDefault="00FD5970" w:rsidP="00D961DA">
      <w:pPr>
        <w:rPr>
          <w:rFonts w:eastAsia="Calibri"/>
          <w:lang w:val="en-IN"/>
        </w:rPr>
      </w:pPr>
    </w:p>
    <w:p w14:paraId="5A909B0C" w14:textId="0CD9B614" w:rsidR="00FD5970" w:rsidRPr="006C5F41" w:rsidRDefault="00FD5970" w:rsidP="00D961DA">
      <w:pPr>
        <w:rPr>
          <w:rFonts w:eastAsia="Calibri"/>
          <w:lang w:val="en-IN"/>
        </w:rPr>
      </w:pPr>
      <w:r w:rsidRPr="006C5F41">
        <w:rPr>
          <w:rFonts w:ascii="Times New Roman" w:hAnsi="Times New Roman"/>
          <w:b/>
          <w:bCs/>
          <w:noProof/>
        </w:rPr>
        <w:drawing>
          <wp:anchor distT="0" distB="0" distL="114300" distR="114300" simplePos="0" relativeHeight="251650048" behindDoc="0" locked="0" layoutInCell="1" allowOverlap="1" wp14:anchorId="47C40558" wp14:editId="4A011427">
            <wp:simplePos x="0" y="0"/>
            <wp:positionH relativeFrom="margin">
              <wp:posOffset>1499811</wp:posOffset>
            </wp:positionH>
            <wp:positionV relativeFrom="paragraph">
              <wp:posOffset>25401</wp:posOffset>
            </wp:positionV>
            <wp:extent cx="4244154" cy="1676400"/>
            <wp:effectExtent l="19050" t="19050" r="4445" b="0"/>
            <wp:wrapNone/>
            <wp:docPr id="78979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2822" name=""/>
                    <pic:cNvPicPr/>
                  </pic:nvPicPr>
                  <pic:blipFill>
                    <a:blip r:embed="rId23">
                      <a:extLst>
                        <a:ext uri="{28A0092B-C50C-407E-A947-70E740481C1C}">
                          <a14:useLocalDpi xmlns:a14="http://schemas.microsoft.com/office/drawing/2010/main" val="0"/>
                        </a:ext>
                      </a:extLst>
                    </a:blip>
                    <a:stretch>
                      <a:fillRect/>
                    </a:stretch>
                  </pic:blipFill>
                  <pic:spPr>
                    <a:xfrm>
                      <a:off x="0" y="0"/>
                      <a:ext cx="4248315" cy="16780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078EC5" w14:textId="679EA5A1" w:rsidR="00FD5970" w:rsidRPr="006C5F41" w:rsidRDefault="00FD5970" w:rsidP="00D961DA">
      <w:pPr>
        <w:rPr>
          <w:rFonts w:eastAsia="Calibri"/>
          <w:lang w:val="en-IN"/>
        </w:rPr>
      </w:pPr>
    </w:p>
    <w:p w14:paraId="726EC1AC" w14:textId="4CFC3370" w:rsidR="00FD5970" w:rsidRPr="006C5F41" w:rsidRDefault="00FD5970" w:rsidP="00D961DA">
      <w:pPr>
        <w:rPr>
          <w:rFonts w:eastAsia="Calibri"/>
          <w:lang w:val="en-IN"/>
        </w:rPr>
      </w:pPr>
    </w:p>
    <w:p w14:paraId="641D1103" w14:textId="3C6DC905" w:rsidR="00FD5970" w:rsidRPr="006C5F41" w:rsidRDefault="00FD5970" w:rsidP="00D961DA">
      <w:pPr>
        <w:rPr>
          <w:rFonts w:eastAsia="Calibri"/>
          <w:lang w:val="en-IN"/>
        </w:rPr>
      </w:pPr>
    </w:p>
    <w:p w14:paraId="319150D4" w14:textId="7381DDD0" w:rsidR="00FD5970" w:rsidRPr="006C5F41" w:rsidRDefault="00FD5970" w:rsidP="00D961DA">
      <w:pPr>
        <w:rPr>
          <w:rFonts w:eastAsia="Calibri"/>
          <w:lang w:val="en-IN"/>
        </w:rPr>
      </w:pPr>
    </w:p>
    <w:p w14:paraId="525E771D" w14:textId="3E50C604" w:rsidR="00FD5970" w:rsidRPr="006C5F41" w:rsidRDefault="00FD5970" w:rsidP="00D961DA">
      <w:pPr>
        <w:rPr>
          <w:rFonts w:eastAsia="Calibri"/>
          <w:lang w:val="en-IN"/>
        </w:rPr>
      </w:pPr>
    </w:p>
    <w:p w14:paraId="0D848F34" w14:textId="77777777" w:rsidR="00FD5970" w:rsidRPr="006C5F41" w:rsidRDefault="00FD5970" w:rsidP="00D961DA">
      <w:pPr>
        <w:rPr>
          <w:rFonts w:eastAsia="Calibri"/>
          <w:lang w:val="en-IN"/>
        </w:rPr>
      </w:pPr>
    </w:p>
    <w:p w14:paraId="5941F018" w14:textId="24F6CDE0" w:rsidR="00FD5970" w:rsidRPr="006C5F41" w:rsidRDefault="00FD5970" w:rsidP="00D961DA">
      <w:pPr>
        <w:rPr>
          <w:rFonts w:eastAsia="Calibri"/>
          <w:lang w:val="en-IN"/>
        </w:rPr>
      </w:pPr>
    </w:p>
    <w:p w14:paraId="7B69A6C5" w14:textId="05976DB1" w:rsidR="00FD5970" w:rsidRPr="006C5F41" w:rsidRDefault="00FD5970" w:rsidP="00D961DA">
      <w:pPr>
        <w:rPr>
          <w:rFonts w:eastAsia="Calibri"/>
          <w:lang w:val="en-IN"/>
        </w:rPr>
      </w:pPr>
    </w:p>
    <w:p w14:paraId="53D8CCA6" w14:textId="5EE6538D" w:rsidR="00FD5970" w:rsidRPr="006C5F41" w:rsidRDefault="00000000" w:rsidP="00D961DA">
      <w:pPr>
        <w:rPr>
          <w:rFonts w:eastAsia="Calibri"/>
          <w:lang w:val="en-IN"/>
        </w:rPr>
      </w:pPr>
      <w:r>
        <w:rPr>
          <w:rFonts w:ascii="Times New Roman" w:hAnsi="Times New Roman"/>
          <w:b/>
          <w:bCs/>
          <w:noProof/>
        </w:rPr>
        <w:pict w14:anchorId="78B67A3B">
          <v:shape id="_x0000_s2064" type="#_x0000_t202" style="position:absolute;margin-left:120.5pt;margin-top:5pt;width:18.5pt;height:18pt;z-index:251664384" filled="f">
            <v:textbox style="mso-next-textbox:#_x0000_s2064">
              <w:txbxContent>
                <w:p w14:paraId="03D6D053" w14:textId="7D868CF1" w:rsidR="00C10A55" w:rsidRDefault="00C10A55" w:rsidP="00C10A55">
                  <w:r>
                    <w:t>A</w:t>
                  </w:r>
                </w:p>
              </w:txbxContent>
            </v:textbox>
          </v:shape>
        </w:pict>
      </w:r>
      <w:r>
        <w:rPr>
          <w:rFonts w:ascii="Times New Roman" w:hAnsi="Times New Roman"/>
          <w:b/>
          <w:bCs/>
          <w:noProof/>
        </w:rPr>
        <w:pict w14:anchorId="78B67A3B">
          <v:shape id="_x0000_s2068" type="#_x0000_t202" style="position:absolute;margin-left:292pt;margin-top:8pt;width:18.5pt;height:18pt;z-index:251665408" filled="f">
            <v:textbox style="mso-next-textbox:#_x0000_s2068">
              <w:txbxContent>
                <w:p w14:paraId="5E8E921A" w14:textId="2CA7A3E3" w:rsidR="00F25EC4" w:rsidRDefault="00F25EC4" w:rsidP="00F25EC4">
                  <w:r>
                    <w:t>B</w:t>
                  </w:r>
                </w:p>
              </w:txbxContent>
            </v:textbox>
          </v:shape>
        </w:pict>
      </w:r>
    </w:p>
    <w:p w14:paraId="222D2600" w14:textId="23FF051D" w:rsidR="00FD5970" w:rsidRPr="006C5F41" w:rsidRDefault="00FD5970" w:rsidP="00D961DA">
      <w:pPr>
        <w:rPr>
          <w:rFonts w:eastAsia="Calibri"/>
          <w:lang w:val="en-IN"/>
        </w:rPr>
      </w:pPr>
    </w:p>
    <w:p w14:paraId="2D450BEC" w14:textId="0E6F3BA9" w:rsidR="00FD5970" w:rsidRPr="006C5F41" w:rsidRDefault="00000000" w:rsidP="00D961DA">
      <w:pPr>
        <w:rPr>
          <w:rFonts w:eastAsia="Calibri"/>
          <w:lang w:val="en-IN"/>
        </w:rPr>
      </w:pPr>
      <w:r>
        <w:rPr>
          <w:noProof/>
        </w:rPr>
        <w:pict w14:anchorId="393DBC9A">
          <v:shape id="_x0000_s2054" type="#_x0000_t202" style="position:absolute;margin-left:118pt;margin-top:9.05pt;width:335pt;height:20.5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">
            <v:textbox style="mso-next-textbox:#_x0000_s2054">
              <w:txbxContent>
                <w:p w14:paraId="3ABB79E7" w14:textId="2B39D445" w:rsidR="00CF122B" w:rsidRDefault="00CF122B" w:rsidP="00CF122B">
                  <w:r>
                    <w:t>Fig 5: Ofloxacin</w:t>
                  </w:r>
                  <w:r w:rsidR="00F25EC4">
                    <w:t>(A)</w:t>
                  </w:r>
                  <w:r>
                    <w:t xml:space="preserve"> and </w:t>
                  </w:r>
                  <w:r w:rsidR="00C10A55">
                    <w:t>M</w:t>
                  </w:r>
                  <w:r>
                    <w:t>etronidazole</w:t>
                  </w:r>
                  <w:r w:rsidR="00F25EC4">
                    <w:t>(B)</w:t>
                  </w:r>
                  <w:r>
                    <w:t xml:space="preserve"> incorporated T-PRF membranes</w:t>
                  </w:r>
                </w:p>
              </w:txbxContent>
            </v:textbox>
            <w10:wrap type="square"/>
          </v:shape>
        </w:pict>
      </w:r>
    </w:p>
    <w:p w14:paraId="537DBABD" w14:textId="77777777" w:rsidR="00FD5970" w:rsidRPr="006C5F41" w:rsidRDefault="00FD5970" w:rsidP="00D961DA">
      <w:pPr>
        <w:rPr>
          <w:rFonts w:eastAsia="Calibri"/>
          <w:lang w:val="en-IN"/>
        </w:rPr>
      </w:pPr>
    </w:p>
    <w:p w14:paraId="73635652" w14:textId="77777777" w:rsidR="00FD5970" w:rsidRPr="006C5F41" w:rsidRDefault="00FD5970" w:rsidP="00D961DA">
      <w:pPr>
        <w:rPr>
          <w:rFonts w:eastAsia="Calibri"/>
          <w:lang w:val="en-IN"/>
        </w:rPr>
      </w:pPr>
    </w:p>
    <w:p w14:paraId="1E555315" w14:textId="77777777" w:rsidR="00FD5970" w:rsidRPr="006C5F41" w:rsidRDefault="00FD5970" w:rsidP="00D961DA">
      <w:pPr>
        <w:rPr>
          <w:rFonts w:eastAsia="Calibri"/>
          <w:lang w:val="en-IN"/>
        </w:rPr>
      </w:pPr>
    </w:p>
    <w:p w14:paraId="5DA213C7" w14:textId="77777777" w:rsidR="00FD5970" w:rsidRPr="006C5F41" w:rsidRDefault="00FD5970" w:rsidP="00D961DA">
      <w:pPr>
        <w:rPr>
          <w:rFonts w:eastAsia="Calibri"/>
          <w:lang w:val="en-IN"/>
        </w:rPr>
      </w:pPr>
    </w:p>
    <w:p w14:paraId="6F166735" w14:textId="121FB022" w:rsidR="00FD5970" w:rsidRPr="006C5F41" w:rsidRDefault="00CF122B" w:rsidP="00D961DA">
      <w:pPr>
        <w:rPr>
          <w:rFonts w:eastAsia="Calibri"/>
          <w:lang w:val="en-IN"/>
        </w:rPr>
      </w:pPr>
      <w:r w:rsidRPr="006C5F41">
        <w:rPr>
          <w:rFonts w:ascii="Times New Roman" w:hAnsi="Times New Roman"/>
          <w:b/>
          <w:bCs/>
          <w:noProof/>
        </w:rPr>
        <w:drawing>
          <wp:anchor distT="0" distB="0" distL="114300" distR="114300" simplePos="0" relativeHeight="251653120" behindDoc="0" locked="0" layoutInCell="1" allowOverlap="1" wp14:anchorId="70028C2D" wp14:editId="23F6D7AB">
            <wp:simplePos x="0" y="0"/>
            <wp:positionH relativeFrom="margin">
              <wp:posOffset>1498600</wp:posOffset>
            </wp:positionH>
            <wp:positionV relativeFrom="paragraph">
              <wp:posOffset>6350</wp:posOffset>
            </wp:positionV>
            <wp:extent cx="4136776" cy="1693628"/>
            <wp:effectExtent l="0" t="0" r="0" b="1905"/>
            <wp:wrapNone/>
            <wp:docPr id="1936367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67065" name=""/>
                    <pic:cNvPicPr/>
                  </pic:nvPicPr>
                  <pic:blipFill>
                    <a:blip r:embed="rId24">
                      <a:extLst>
                        <a:ext uri="{28A0092B-C50C-407E-A947-70E740481C1C}">
                          <a14:useLocalDpi xmlns:a14="http://schemas.microsoft.com/office/drawing/2010/main" val="0"/>
                        </a:ext>
                      </a:extLst>
                    </a:blip>
                    <a:stretch>
                      <a:fillRect/>
                    </a:stretch>
                  </pic:blipFill>
                  <pic:spPr>
                    <a:xfrm>
                      <a:off x="0" y="0"/>
                      <a:ext cx="4136776" cy="1693628"/>
                    </a:xfrm>
                    <a:prstGeom prst="rect">
                      <a:avLst/>
                    </a:prstGeom>
                  </pic:spPr>
                </pic:pic>
              </a:graphicData>
            </a:graphic>
            <wp14:sizeRelH relativeFrom="margin">
              <wp14:pctWidth>0</wp14:pctWidth>
            </wp14:sizeRelH>
            <wp14:sizeRelV relativeFrom="margin">
              <wp14:pctHeight>0</wp14:pctHeight>
            </wp14:sizeRelV>
          </wp:anchor>
        </w:drawing>
      </w:r>
    </w:p>
    <w:p w14:paraId="52A698FB" w14:textId="306ADB63" w:rsidR="00FD5970" w:rsidRPr="006C5F41" w:rsidRDefault="00FD5970" w:rsidP="00D961DA">
      <w:pPr>
        <w:rPr>
          <w:rFonts w:eastAsia="Calibri"/>
          <w:lang w:val="en-IN"/>
        </w:rPr>
      </w:pPr>
    </w:p>
    <w:p w14:paraId="3D29D5B6" w14:textId="569A315D" w:rsidR="00FD5970" w:rsidRPr="006C5F41" w:rsidRDefault="00FD5970" w:rsidP="00D961DA">
      <w:pPr>
        <w:rPr>
          <w:rFonts w:eastAsia="Calibri"/>
          <w:lang w:val="en-IN"/>
        </w:rPr>
      </w:pPr>
    </w:p>
    <w:p w14:paraId="3F0F8355" w14:textId="47513DDB" w:rsidR="00FD5970" w:rsidRPr="006C5F41" w:rsidRDefault="00FD5970" w:rsidP="00D961DA">
      <w:pPr>
        <w:rPr>
          <w:rFonts w:eastAsia="Calibri"/>
          <w:lang w:val="en-IN"/>
        </w:rPr>
      </w:pPr>
    </w:p>
    <w:p w14:paraId="75EEA345" w14:textId="6A7834FA" w:rsidR="00FD5970" w:rsidRPr="006C5F41" w:rsidRDefault="00FD5970" w:rsidP="00D961DA">
      <w:pPr>
        <w:rPr>
          <w:rFonts w:eastAsia="Calibri"/>
          <w:lang w:val="en-IN"/>
        </w:rPr>
      </w:pPr>
    </w:p>
    <w:p w14:paraId="7546342A" w14:textId="66BA3F6A" w:rsidR="00FD5970" w:rsidRPr="006C5F41" w:rsidRDefault="00FD5970" w:rsidP="00D961DA">
      <w:pPr>
        <w:rPr>
          <w:rFonts w:eastAsia="Calibri"/>
          <w:lang w:val="en-IN"/>
        </w:rPr>
      </w:pPr>
    </w:p>
    <w:p w14:paraId="44D47C41" w14:textId="77777777" w:rsidR="00FD5970" w:rsidRPr="006C5F41" w:rsidRDefault="00FD5970" w:rsidP="00D961DA">
      <w:pPr>
        <w:rPr>
          <w:rFonts w:eastAsia="Calibri"/>
          <w:lang w:val="en-IN"/>
        </w:rPr>
      </w:pPr>
    </w:p>
    <w:p w14:paraId="1932BF45" w14:textId="77777777" w:rsidR="00FD5970" w:rsidRPr="006C5F41" w:rsidRDefault="00FD5970" w:rsidP="00D961DA">
      <w:pPr>
        <w:rPr>
          <w:rFonts w:eastAsia="Calibri"/>
          <w:lang w:val="en-IN"/>
        </w:rPr>
      </w:pPr>
    </w:p>
    <w:p w14:paraId="4EAED752" w14:textId="77777777" w:rsidR="00FD5970" w:rsidRPr="006C5F41" w:rsidRDefault="00FD5970" w:rsidP="00D961DA">
      <w:pPr>
        <w:rPr>
          <w:rFonts w:eastAsia="Calibri"/>
          <w:lang w:val="en-IN"/>
        </w:rPr>
      </w:pPr>
    </w:p>
    <w:p w14:paraId="5C96718B" w14:textId="77777777" w:rsidR="00FD5970" w:rsidRPr="006C5F41" w:rsidRDefault="00FD5970" w:rsidP="00D961DA">
      <w:pPr>
        <w:rPr>
          <w:rFonts w:eastAsia="Calibri"/>
          <w:lang w:val="en-IN"/>
        </w:rPr>
      </w:pPr>
    </w:p>
    <w:p w14:paraId="0DA729C2" w14:textId="77777777" w:rsidR="00FD5970" w:rsidRPr="006C5F41" w:rsidRDefault="00FD5970" w:rsidP="00D961DA">
      <w:pPr>
        <w:rPr>
          <w:rFonts w:eastAsia="Calibri"/>
          <w:lang w:val="en-IN"/>
        </w:rPr>
      </w:pPr>
    </w:p>
    <w:p w14:paraId="57B76A4F" w14:textId="31BDC0BD" w:rsidR="00FD5970" w:rsidRPr="006C5F41" w:rsidRDefault="00000000" w:rsidP="00D961DA">
      <w:pPr>
        <w:rPr>
          <w:rFonts w:eastAsia="Calibri"/>
          <w:lang w:val="en-IN"/>
        </w:rPr>
      </w:pPr>
      <w:r>
        <w:rPr>
          <w:noProof/>
        </w:rPr>
        <w:pict w14:anchorId="6277D188">
          <v:shape id="_x0000_s2055" type="#_x0000_t202" style="position:absolute;margin-left:119.5pt;margin-top:4.05pt;width:322pt;height:32pt;z-index:251661312;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">
            <v:textbox style="mso-next-textbox:#_x0000_s2055">
              <w:txbxContent>
                <w:p w14:paraId="2476280F" w14:textId="33E30152" w:rsidR="00CF122B" w:rsidRDefault="00CF122B" w:rsidP="00CF122B">
                  <w:r>
                    <w:t>Fig 6: Placement of ofloxacin and metronidazole incorporated T-PRF membranes</w:t>
                  </w:r>
                </w:p>
              </w:txbxContent>
            </v:textbox>
            <w10:wrap type="square" anchorx="margin"/>
          </v:shape>
        </w:pict>
      </w:r>
    </w:p>
    <w:p w14:paraId="69A06D8B" w14:textId="375A2FD7" w:rsidR="00FD5970" w:rsidRPr="006C5F41" w:rsidRDefault="00FD5970" w:rsidP="00D961DA">
      <w:pPr>
        <w:rPr>
          <w:rFonts w:eastAsia="Calibri"/>
          <w:lang w:val="en-IN"/>
        </w:rPr>
      </w:pPr>
    </w:p>
    <w:p w14:paraId="5D646BF8" w14:textId="506DE224" w:rsidR="00FD5970" w:rsidRPr="006C5F41" w:rsidRDefault="00FD5970" w:rsidP="00D961DA">
      <w:pPr>
        <w:rPr>
          <w:rFonts w:eastAsia="Calibri"/>
          <w:lang w:val="en-IN"/>
        </w:rPr>
      </w:pPr>
    </w:p>
    <w:p w14:paraId="3D08E848" w14:textId="77777777" w:rsidR="00FD5970" w:rsidRDefault="00FD5970" w:rsidP="00D961DA">
      <w:pPr>
        <w:rPr>
          <w:rFonts w:eastAsia="Calibri"/>
          <w:lang w:val="en-IN"/>
        </w:rPr>
      </w:pPr>
    </w:p>
    <w:p w14:paraId="2D0A00E2" w14:textId="77777777" w:rsidR="006C5F41" w:rsidRPr="006C5F41" w:rsidRDefault="006C5F41" w:rsidP="00D961DA">
      <w:pPr>
        <w:rPr>
          <w:rFonts w:eastAsia="Calibri"/>
          <w:lang w:val="en-IN"/>
        </w:rPr>
      </w:pPr>
    </w:p>
    <w:p w14:paraId="7F4DE793" w14:textId="7AD25869" w:rsidR="00FD5970" w:rsidRPr="006C5F41" w:rsidRDefault="00CF122B" w:rsidP="00D961DA">
      <w:pPr>
        <w:rPr>
          <w:rFonts w:eastAsia="Calibri"/>
          <w:lang w:val="en-IN"/>
        </w:rPr>
      </w:pPr>
      <w:r w:rsidRPr="006C5F41">
        <w:rPr>
          <w:rFonts w:ascii="Times New Roman" w:hAnsi="Times New Roman"/>
          <w:b/>
          <w:bCs/>
          <w:noProof/>
        </w:rPr>
        <w:drawing>
          <wp:anchor distT="0" distB="0" distL="114300" distR="114300" simplePos="0" relativeHeight="251654144" behindDoc="0" locked="0" layoutInCell="1" allowOverlap="1" wp14:anchorId="7FFDE063" wp14:editId="4FBC8A18">
            <wp:simplePos x="0" y="0"/>
            <wp:positionH relativeFrom="margin">
              <wp:posOffset>1479550</wp:posOffset>
            </wp:positionH>
            <wp:positionV relativeFrom="paragraph">
              <wp:posOffset>102236</wp:posOffset>
            </wp:positionV>
            <wp:extent cx="4307205" cy="1740048"/>
            <wp:effectExtent l="19050" t="19050" r="0" b="0"/>
            <wp:wrapNone/>
            <wp:docPr id="1368428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28948" name=""/>
                    <pic:cNvPicPr/>
                  </pic:nvPicPr>
                  <pic:blipFill>
                    <a:blip r:embed="rId25">
                      <a:extLst>
                        <a:ext uri="{28A0092B-C50C-407E-A947-70E740481C1C}">
                          <a14:useLocalDpi xmlns:a14="http://schemas.microsoft.com/office/drawing/2010/main" val="0"/>
                        </a:ext>
                      </a:extLst>
                    </a:blip>
                    <a:stretch>
                      <a:fillRect/>
                    </a:stretch>
                  </pic:blipFill>
                  <pic:spPr>
                    <a:xfrm>
                      <a:off x="0" y="0"/>
                      <a:ext cx="4315461" cy="17433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FB6C3F" w14:textId="26605419" w:rsidR="00FD5970" w:rsidRPr="006C5F41" w:rsidRDefault="00FD5970" w:rsidP="00D961DA">
      <w:pPr>
        <w:rPr>
          <w:rFonts w:eastAsia="Calibri"/>
          <w:lang w:val="en-IN"/>
        </w:rPr>
      </w:pPr>
    </w:p>
    <w:p w14:paraId="550CE430" w14:textId="29CBC41A" w:rsidR="00FD5970" w:rsidRPr="006C5F41" w:rsidRDefault="00FD5970" w:rsidP="00D961DA">
      <w:pPr>
        <w:rPr>
          <w:rFonts w:eastAsia="Calibri"/>
          <w:lang w:val="en-IN"/>
        </w:rPr>
      </w:pPr>
    </w:p>
    <w:p w14:paraId="5B2B6486" w14:textId="6FBE83C7" w:rsidR="00FD5970" w:rsidRPr="006C5F41" w:rsidRDefault="00FD5970" w:rsidP="00D961DA">
      <w:pPr>
        <w:rPr>
          <w:rFonts w:eastAsia="Calibri"/>
          <w:lang w:val="en-IN"/>
        </w:rPr>
      </w:pPr>
    </w:p>
    <w:p w14:paraId="05C12E6F" w14:textId="77777777" w:rsidR="00FD5970" w:rsidRPr="006C5F41" w:rsidRDefault="00FD5970" w:rsidP="00D961DA">
      <w:pPr>
        <w:rPr>
          <w:rFonts w:eastAsia="Calibri"/>
          <w:lang w:val="en-IN"/>
        </w:rPr>
      </w:pPr>
    </w:p>
    <w:p w14:paraId="504ACF2B" w14:textId="77777777" w:rsidR="00FD5970" w:rsidRPr="006C5F41" w:rsidRDefault="00FD5970" w:rsidP="00D961DA">
      <w:pPr>
        <w:rPr>
          <w:rFonts w:eastAsia="Calibri"/>
          <w:lang w:val="en-IN"/>
        </w:rPr>
      </w:pPr>
    </w:p>
    <w:p w14:paraId="4DC3B78C" w14:textId="77777777" w:rsidR="00FD5970" w:rsidRPr="006C5F41" w:rsidRDefault="00FD5970" w:rsidP="00D961DA">
      <w:pPr>
        <w:rPr>
          <w:rFonts w:eastAsia="Calibri"/>
          <w:lang w:val="en-IN"/>
        </w:rPr>
      </w:pPr>
    </w:p>
    <w:p w14:paraId="255D86DB" w14:textId="19889261" w:rsidR="00FD5970" w:rsidRPr="006C5F41" w:rsidRDefault="00FD5970" w:rsidP="00D961DA">
      <w:pPr>
        <w:rPr>
          <w:rFonts w:eastAsia="Calibri"/>
          <w:lang w:val="en-IN"/>
        </w:rPr>
      </w:pPr>
    </w:p>
    <w:p w14:paraId="65E9716E" w14:textId="5FF76A81" w:rsidR="00FD5970" w:rsidRPr="006C5F41" w:rsidRDefault="00FD5970" w:rsidP="00D961DA">
      <w:pPr>
        <w:rPr>
          <w:rFonts w:eastAsia="Calibri"/>
          <w:lang w:val="en-IN"/>
        </w:rPr>
      </w:pPr>
    </w:p>
    <w:p w14:paraId="0B7341D8" w14:textId="77777777" w:rsidR="00FD5970" w:rsidRPr="006C5F41" w:rsidRDefault="00FD5970" w:rsidP="00D961DA">
      <w:pPr>
        <w:rPr>
          <w:rFonts w:eastAsia="Calibri"/>
          <w:lang w:val="en-IN"/>
        </w:rPr>
      </w:pPr>
    </w:p>
    <w:p w14:paraId="234DA05E" w14:textId="77777777" w:rsidR="00FD5970" w:rsidRPr="006C5F41" w:rsidRDefault="00FD5970" w:rsidP="00D961DA">
      <w:pPr>
        <w:rPr>
          <w:rFonts w:eastAsia="Calibri"/>
          <w:lang w:val="en-IN"/>
        </w:rPr>
      </w:pPr>
    </w:p>
    <w:p w14:paraId="38C2A4C7" w14:textId="77777777" w:rsidR="00FD5970" w:rsidRPr="006C5F41" w:rsidRDefault="00FD5970" w:rsidP="00D961DA">
      <w:pPr>
        <w:rPr>
          <w:rFonts w:eastAsia="Calibri"/>
          <w:lang w:val="en-IN"/>
        </w:rPr>
      </w:pPr>
    </w:p>
    <w:p w14:paraId="1ADF34AE" w14:textId="5E1099AE" w:rsidR="00FD5970" w:rsidRPr="006C5F41" w:rsidRDefault="00000000" w:rsidP="00D961DA">
      <w:pPr>
        <w:rPr>
          <w:rFonts w:eastAsia="Calibri"/>
          <w:lang w:val="en-IN"/>
        </w:rPr>
      </w:pPr>
      <w:r>
        <w:rPr>
          <w:noProof/>
        </w:rPr>
        <w:pict w14:anchorId="799859BE">
          <v:shape id="_x0000_s2056" type="#_x0000_t202" style="position:absolute;margin-left:116pt;margin-top:8.05pt;width:343.15pt;height:32.5pt;z-index:2516623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">
            <v:textbox style="mso-next-textbox:#_x0000_s2056">
              <w:txbxContent>
                <w:p w14:paraId="5DB40571" w14:textId="4A6DCEAC" w:rsidR="00CF122B" w:rsidRDefault="00CF122B" w:rsidP="00CF122B">
                  <w:r>
                    <w:t>Fig 7: Pre-operative and post-operative of Ofloxacin group</w:t>
                  </w:r>
                  <w:r w:rsidR="00CA3AA7">
                    <w:t xml:space="preserve"> at baseline and 6weeks</w:t>
                  </w:r>
                </w:p>
              </w:txbxContent>
            </v:textbox>
            <w10:wrap type="square"/>
          </v:shape>
        </w:pict>
      </w:r>
    </w:p>
    <w:p w14:paraId="43D0F03B" w14:textId="0736D832" w:rsidR="00FD5970" w:rsidRPr="006C5F41" w:rsidRDefault="00FD5970" w:rsidP="00D961DA">
      <w:pPr>
        <w:rPr>
          <w:rFonts w:eastAsia="Calibri"/>
          <w:lang w:val="en-IN"/>
        </w:rPr>
      </w:pPr>
    </w:p>
    <w:p w14:paraId="6F75F3A5" w14:textId="77777777" w:rsidR="00FD5970" w:rsidRPr="006C5F41" w:rsidRDefault="00FD5970" w:rsidP="00D961DA">
      <w:pPr>
        <w:rPr>
          <w:rFonts w:eastAsia="Calibri"/>
          <w:lang w:val="en-IN"/>
        </w:rPr>
      </w:pPr>
    </w:p>
    <w:p w14:paraId="16A84837" w14:textId="5560DC37" w:rsidR="00CF122B" w:rsidRPr="006C5F41" w:rsidRDefault="00CF122B" w:rsidP="00D961DA">
      <w:pPr>
        <w:rPr>
          <w:rFonts w:eastAsia="Calibri"/>
          <w:b/>
          <w:bCs/>
          <w:lang w:val="en-IN"/>
        </w:rPr>
      </w:pPr>
      <w:r w:rsidRPr="006C5F41">
        <w:rPr>
          <w:rFonts w:ascii="Times New Roman" w:hAnsi="Times New Roman"/>
          <w:b/>
          <w:bCs/>
          <w:noProof/>
        </w:rPr>
        <w:drawing>
          <wp:anchor distT="0" distB="0" distL="114300" distR="114300" simplePos="0" relativeHeight="251655168" behindDoc="0" locked="0" layoutInCell="1" allowOverlap="1" wp14:anchorId="32A4150A" wp14:editId="0F0AA5CB">
            <wp:simplePos x="0" y="0"/>
            <wp:positionH relativeFrom="margin">
              <wp:posOffset>1314450</wp:posOffset>
            </wp:positionH>
            <wp:positionV relativeFrom="paragraph">
              <wp:posOffset>50165</wp:posOffset>
            </wp:positionV>
            <wp:extent cx="4322330" cy="1574359"/>
            <wp:effectExtent l="19050" t="19050" r="21590" b="26035"/>
            <wp:wrapNone/>
            <wp:docPr id="91212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23726" name=""/>
                    <pic:cNvPicPr/>
                  </pic:nvPicPr>
                  <pic:blipFill>
                    <a:blip r:embed="rId26">
                      <a:extLst>
                        <a:ext uri="{28A0092B-C50C-407E-A947-70E740481C1C}">
                          <a14:useLocalDpi xmlns:a14="http://schemas.microsoft.com/office/drawing/2010/main" val="0"/>
                        </a:ext>
                      </a:extLst>
                    </a:blip>
                    <a:stretch>
                      <a:fillRect/>
                    </a:stretch>
                  </pic:blipFill>
                  <pic:spPr>
                    <a:xfrm>
                      <a:off x="0" y="0"/>
                      <a:ext cx="4322330" cy="15743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68CDB0B" w14:textId="04E1615D" w:rsidR="00CF122B" w:rsidRPr="006C5F41" w:rsidRDefault="00CF122B" w:rsidP="00D961DA">
      <w:pPr>
        <w:rPr>
          <w:rFonts w:eastAsia="Calibri"/>
          <w:b/>
          <w:bCs/>
          <w:lang w:val="en-IN"/>
        </w:rPr>
      </w:pPr>
    </w:p>
    <w:p w14:paraId="6086CB69" w14:textId="77777777" w:rsidR="00CF122B" w:rsidRPr="006C5F41" w:rsidRDefault="00CF122B" w:rsidP="00D961DA">
      <w:pPr>
        <w:rPr>
          <w:rFonts w:eastAsia="Calibri"/>
          <w:b/>
          <w:bCs/>
          <w:lang w:val="en-IN"/>
        </w:rPr>
      </w:pPr>
    </w:p>
    <w:p w14:paraId="6F9730B6" w14:textId="77777777" w:rsidR="00CF122B" w:rsidRPr="006C5F41" w:rsidRDefault="00CF122B" w:rsidP="00D961DA">
      <w:pPr>
        <w:rPr>
          <w:rFonts w:eastAsia="Calibri"/>
          <w:b/>
          <w:bCs/>
          <w:lang w:val="en-IN"/>
        </w:rPr>
      </w:pPr>
    </w:p>
    <w:p w14:paraId="688AE481" w14:textId="77777777" w:rsidR="00CF122B" w:rsidRPr="006C5F41" w:rsidRDefault="00CF122B" w:rsidP="00D961DA">
      <w:pPr>
        <w:rPr>
          <w:rFonts w:eastAsia="Calibri"/>
          <w:b/>
          <w:bCs/>
          <w:lang w:val="en-IN"/>
        </w:rPr>
      </w:pPr>
    </w:p>
    <w:p w14:paraId="6F1179CF" w14:textId="77777777" w:rsidR="00CF122B" w:rsidRPr="006C5F41" w:rsidRDefault="00CF122B" w:rsidP="00D961DA">
      <w:pPr>
        <w:rPr>
          <w:rFonts w:eastAsia="Calibri"/>
          <w:b/>
          <w:bCs/>
          <w:lang w:val="en-IN"/>
        </w:rPr>
      </w:pPr>
    </w:p>
    <w:p w14:paraId="177EBFDB" w14:textId="77777777" w:rsidR="00CF122B" w:rsidRPr="006C5F41" w:rsidRDefault="00CF122B" w:rsidP="00D961DA">
      <w:pPr>
        <w:rPr>
          <w:rFonts w:eastAsia="Calibri"/>
          <w:b/>
          <w:bCs/>
          <w:lang w:val="en-IN"/>
        </w:rPr>
      </w:pPr>
    </w:p>
    <w:p w14:paraId="1E177327" w14:textId="77777777" w:rsidR="00CF122B" w:rsidRPr="006C5F41" w:rsidRDefault="00CF122B" w:rsidP="00D961DA">
      <w:pPr>
        <w:rPr>
          <w:rFonts w:eastAsia="Calibri"/>
          <w:b/>
          <w:bCs/>
          <w:lang w:val="en-IN"/>
        </w:rPr>
      </w:pPr>
    </w:p>
    <w:p w14:paraId="01398506" w14:textId="77777777" w:rsidR="00CF122B" w:rsidRPr="006C5F41" w:rsidRDefault="00CF122B" w:rsidP="00D961DA">
      <w:pPr>
        <w:rPr>
          <w:rFonts w:eastAsia="Calibri"/>
          <w:b/>
          <w:bCs/>
          <w:lang w:val="en-IN"/>
        </w:rPr>
      </w:pPr>
    </w:p>
    <w:p w14:paraId="64292C3E" w14:textId="77777777" w:rsidR="00CF122B" w:rsidRPr="006C5F41" w:rsidRDefault="00CF122B" w:rsidP="00D961DA">
      <w:pPr>
        <w:rPr>
          <w:rFonts w:eastAsia="Calibri"/>
          <w:b/>
          <w:bCs/>
          <w:lang w:val="en-IN"/>
        </w:rPr>
      </w:pPr>
    </w:p>
    <w:p w14:paraId="34C9FE07" w14:textId="77777777" w:rsidR="00CF122B" w:rsidRPr="006C5F41" w:rsidRDefault="00CF122B" w:rsidP="00D961DA">
      <w:pPr>
        <w:rPr>
          <w:rFonts w:eastAsia="Calibri"/>
          <w:b/>
          <w:bCs/>
          <w:lang w:val="en-IN"/>
        </w:rPr>
      </w:pPr>
    </w:p>
    <w:p w14:paraId="503A8571" w14:textId="6B2ABECE" w:rsidR="00CF122B" w:rsidRPr="006C5F41" w:rsidRDefault="00000000" w:rsidP="00D961DA">
      <w:pPr>
        <w:rPr>
          <w:rFonts w:eastAsia="Calibri"/>
          <w:b/>
          <w:bCs/>
          <w:lang w:val="en-IN"/>
        </w:rPr>
      </w:pPr>
      <w:r>
        <w:rPr>
          <w:noProof/>
        </w:rPr>
        <w:pict w14:anchorId="6EDC4200">
          <v:shape id="_x0000_s2057" type="#_x0000_t202" style="position:absolute;margin-left:103pt;margin-top:3pt;width:346pt;height:32.5pt;z-index:2516633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">
            <v:textbox style="mso-next-textbox:#_x0000_s2057">
              <w:txbxContent>
                <w:p w14:paraId="234315FF" w14:textId="4CF5D01E" w:rsidR="00CF122B" w:rsidRDefault="00CF122B" w:rsidP="00CF122B">
                  <w:r>
                    <w:t>Fig 8: Pre-operative and post-operative of Metronidazole group</w:t>
                  </w:r>
                  <w:r w:rsidR="00CA3AA7">
                    <w:t xml:space="preserve"> at baseline and 6 weeks</w:t>
                  </w:r>
                </w:p>
              </w:txbxContent>
            </v:textbox>
            <w10:wrap type="square"/>
          </v:shape>
        </w:pict>
      </w:r>
    </w:p>
    <w:p w14:paraId="32D1FB5B" w14:textId="77777777" w:rsidR="00CF122B" w:rsidRPr="006C5F41" w:rsidRDefault="00CF122B" w:rsidP="00D961DA">
      <w:pPr>
        <w:rPr>
          <w:rFonts w:eastAsia="Calibri"/>
          <w:b/>
          <w:bCs/>
          <w:lang w:val="en-IN"/>
        </w:rPr>
      </w:pPr>
    </w:p>
    <w:p w14:paraId="7E75BF56" w14:textId="77777777" w:rsidR="00CF122B" w:rsidRPr="006C5F41" w:rsidRDefault="00CF122B" w:rsidP="00D961DA">
      <w:pPr>
        <w:rPr>
          <w:rFonts w:eastAsia="Calibri"/>
          <w:b/>
          <w:bCs/>
          <w:lang w:val="en-IN"/>
        </w:rPr>
      </w:pPr>
    </w:p>
    <w:p w14:paraId="270F6234" w14:textId="6B2156E5" w:rsidR="00CF122B" w:rsidRPr="006C5F41" w:rsidRDefault="00CF122B" w:rsidP="00D961DA">
      <w:pPr>
        <w:rPr>
          <w:rFonts w:eastAsia="Calibri"/>
          <w:b/>
          <w:bCs/>
          <w:lang w:val="en-IN"/>
        </w:rPr>
      </w:pPr>
    </w:p>
    <w:p w14:paraId="479A14B3" w14:textId="77777777" w:rsidR="00CF122B" w:rsidRPr="006C5F41" w:rsidRDefault="00CF122B" w:rsidP="00D961DA">
      <w:pPr>
        <w:rPr>
          <w:rFonts w:eastAsia="Calibri"/>
          <w:b/>
          <w:bCs/>
          <w:lang w:val="en-IN"/>
        </w:rPr>
      </w:pPr>
    </w:p>
    <w:p w14:paraId="7B45C2B1" w14:textId="77777777" w:rsidR="00CF122B" w:rsidRPr="006C5F41" w:rsidRDefault="00CF122B" w:rsidP="00D961DA">
      <w:pPr>
        <w:rPr>
          <w:rFonts w:eastAsia="Calibri"/>
          <w:b/>
          <w:bCs/>
          <w:lang w:val="en-IN"/>
        </w:rPr>
      </w:pPr>
    </w:p>
    <w:p w14:paraId="1E94447D" w14:textId="275DFEC6" w:rsidR="00CF122B" w:rsidRPr="006C5F41" w:rsidRDefault="00D2673F" w:rsidP="00D961DA">
      <w:pPr>
        <w:rPr>
          <w:rFonts w:eastAsia="Calibri"/>
          <w:lang w:val="en-IN"/>
        </w:rPr>
      </w:pPr>
      <w:r w:rsidRPr="006C5F41">
        <w:rPr>
          <w:rFonts w:eastAsia="Calibri"/>
          <w:b/>
          <w:bCs/>
          <w:lang w:val="en-IN"/>
        </w:rPr>
        <w:t xml:space="preserve">  </w:t>
      </w:r>
      <w:r w:rsidR="00C21D54" w:rsidRPr="006C5F41">
        <w:rPr>
          <w:rFonts w:eastAsia="Calibri"/>
          <w:b/>
          <w:bCs/>
          <w:lang w:val="en-IN"/>
        </w:rPr>
        <w:t>Outcome measurements</w:t>
      </w:r>
      <w:r w:rsidR="00D02EAD" w:rsidRPr="006C5F41">
        <w:rPr>
          <w:rFonts w:eastAsia="Calibri"/>
          <w:lang w:val="en-IN"/>
        </w:rPr>
        <w:t>:</w:t>
      </w:r>
      <w:r w:rsidR="00C21D54" w:rsidRPr="006C5F41">
        <w:rPr>
          <w:rFonts w:eastAsia="Calibri"/>
          <w:lang w:val="en-IN"/>
        </w:rPr>
        <w:t xml:space="preserve"> </w:t>
      </w:r>
    </w:p>
    <w:p w14:paraId="364B34AA" w14:textId="52E72144" w:rsidR="00D2673F" w:rsidRPr="006C5F41" w:rsidRDefault="00D2673F" w:rsidP="00D961DA">
      <w:pPr>
        <w:rPr>
          <w:w w:val="105"/>
        </w:rPr>
      </w:pPr>
      <w:r w:rsidRPr="006C5F41">
        <w:rPr>
          <w:rFonts w:eastAsia="Calibri"/>
        </w:rPr>
        <w:t xml:space="preserve">  </w:t>
      </w:r>
      <w:r w:rsidR="00C21D54" w:rsidRPr="006C5F41">
        <w:rPr>
          <w:rFonts w:eastAsia="Calibri"/>
        </w:rPr>
        <w:t xml:space="preserve">Probing depth </w:t>
      </w:r>
      <w:r w:rsidR="00C21D54" w:rsidRPr="006C5F41">
        <w:rPr>
          <w:w w:val="105"/>
        </w:rPr>
        <w:t>(PD), Bleeding index (BI) -Ainamo &amp; Bay, 1975</w:t>
      </w:r>
      <w:r w:rsidR="00C21D54" w:rsidRPr="006C5F41">
        <w:rPr>
          <w:rFonts w:eastAsia="Calibri"/>
          <w:lang w:val="en-IN"/>
        </w:rPr>
        <w:t xml:space="preserve">, </w:t>
      </w:r>
      <w:r w:rsidR="00C21D54" w:rsidRPr="006C5F41">
        <w:rPr>
          <w:w w:val="105"/>
        </w:rPr>
        <w:t>Plaque index (PI) by</w:t>
      </w:r>
      <w:r w:rsidR="00D02EAD" w:rsidRPr="006C5F41">
        <w:rPr>
          <w:w w:val="105"/>
        </w:rPr>
        <w:t xml:space="preserve"> </w:t>
      </w:r>
      <w:r w:rsidR="00C21D54" w:rsidRPr="006C5F41">
        <w:rPr>
          <w:w w:val="105"/>
        </w:rPr>
        <w:t xml:space="preserve">Silness and Loe, 1964, </w:t>
      </w:r>
      <w:r w:rsidRPr="006C5F41">
        <w:rPr>
          <w:w w:val="105"/>
        </w:rPr>
        <w:t xml:space="preserve"> </w:t>
      </w:r>
    </w:p>
    <w:p w14:paraId="30A2EA64" w14:textId="12635E9C" w:rsidR="00CA3AA7" w:rsidRPr="006C5F41" w:rsidRDefault="00D2673F" w:rsidP="00D961DA">
      <w:pPr>
        <w:rPr>
          <w:rFonts w:eastAsia="Calibri"/>
        </w:rPr>
      </w:pPr>
      <w:r w:rsidRPr="006C5F41">
        <w:rPr>
          <w:w w:val="105"/>
        </w:rPr>
        <w:t xml:space="preserve">  </w:t>
      </w:r>
      <w:r w:rsidR="00C21D54" w:rsidRPr="006C5F41">
        <w:rPr>
          <w:w w:val="105"/>
        </w:rPr>
        <w:t>Modified gingival index (MGI) by </w:t>
      </w:r>
      <w:hyperlink r:id="rId27" w:tgtFrame="_blank" w:history="1">
        <w:r w:rsidR="00C21D54" w:rsidRPr="006C5F41">
          <w:rPr>
            <w:rStyle w:val="Hyperlink"/>
            <w:rFonts w:ascii="Arial" w:hAnsi="Arial" w:cs="Arial"/>
            <w:color w:val="0D0D0D" w:themeColor="text1" w:themeTint="F2"/>
            <w:w w:val="105"/>
          </w:rPr>
          <w:t>Lobene et al.</w:t>
        </w:r>
      </w:hyperlink>
      <w:hyperlink r:id="rId28" w:tgtFrame="_blank" w:history="1">
        <w:r w:rsidR="00C21D54" w:rsidRPr="006C5F41">
          <w:rPr>
            <w:rStyle w:val="Hyperlink"/>
            <w:rFonts w:ascii="Arial" w:hAnsi="Arial" w:cs="Arial"/>
            <w:color w:val="0D0D0D" w:themeColor="text1" w:themeTint="F2"/>
            <w:w w:val="105"/>
          </w:rPr>
          <w:t>1986</w:t>
        </w:r>
      </w:hyperlink>
      <w:r w:rsidR="00C21D54" w:rsidRPr="006C5F41">
        <w:t xml:space="preserve"> </w:t>
      </w:r>
      <w:r w:rsidR="00C21D54" w:rsidRPr="006C5F41">
        <w:rPr>
          <w:rFonts w:eastAsia="Calibri"/>
        </w:rPr>
        <w:t>was</w:t>
      </w:r>
      <w:r w:rsidR="00D02EAD" w:rsidRPr="006C5F41">
        <w:rPr>
          <w:w w:val="105"/>
        </w:rPr>
        <w:t xml:space="preserve"> </w:t>
      </w:r>
      <w:r w:rsidR="00C21D54" w:rsidRPr="006C5F41">
        <w:rPr>
          <w:rFonts w:eastAsia="Calibri"/>
        </w:rPr>
        <w:t>measured in all patients at baseline and at 6 weeks</w:t>
      </w:r>
      <w:r w:rsidR="00CA3AA7" w:rsidRPr="006C5F41">
        <w:rPr>
          <w:rFonts w:eastAsia="Calibri"/>
        </w:rPr>
        <w:t xml:space="preserve">  </w:t>
      </w:r>
    </w:p>
    <w:p w14:paraId="6112A622" w14:textId="0CC324BB" w:rsidR="00C21D54" w:rsidRPr="006C5F41" w:rsidRDefault="00CA3AA7" w:rsidP="00D961DA">
      <w:pPr>
        <w:rPr>
          <w:w w:val="105"/>
        </w:rPr>
      </w:pPr>
      <w:r w:rsidRPr="006C5F41">
        <w:rPr>
          <w:rFonts w:eastAsia="Calibri"/>
        </w:rPr>
        <w:t xml:space="preserve">  (Fig 7 and 8).</w:t>
      </w:r>
    </w:p>
    <w:p w14:paraId="237C4104" w14:textId="77777777" w:rsidR="00C21D54" w:rsidRPr="006C5F41" w:rsidRDefault="00C21D54" w:rsidP="00D961DA">
      <w:pPr>
        <w:rPr>
          <w:rFonts w:eastAsia="Calibri"/>
        </w:rPr>
      </w:pPr>
      <w:r w:rsidRPr="006C5F41">
        <w:rPr>
          <w:rFonts w:eastAsia="Calibri"/>
        </w:rPr>
        <w:t xml:space="preserve">   </w:t>
      </w:r>
    </w:p>
    <w:p w14:paraId="70D7080C" w14:textId="77777777" w:rsidR="00C21D54" w:rsidRPr="006C5F41" w:rsidRDefault="00C21D54" w:rsidP="00C21D54">
      <w:pPr>
        <w:spacing w:line="259" w:lineRule="auto"/>
        <w:ind w:right="610"/>
        <w:contextualSpacing/>
        <w:jc w:val="both"/>
        <w:rPr>
          <w:rFonts w:ascii="Arial" w:eastAsia="Calibri" w:hAnsi="Arial" w:cs="Arial"/>
          <w:b/>
          <w:bCs/>
          <w:lang w:val="en-IN"/>
        </w:rPr>
      </w:pPr>
      <w:r w:rsidRPr="006C5F41">
        <w:rPr>
          <w:rFonts w:ascii="Arial" w:eastAsia="Calibri" w:hAnsi="Arial" w:cs="Arial"/>
        </w:rPr>
        <w:t xml:space="preserve">   </w:t>
      </w:r>
      <w:r w:rsidRPr="006C5F41">
        <w:rPr>
          <w:rFonts w:ascii="Arial" w:eastAsia="Calibri" w:hAnsi="Arial" w:cs="Arial"/>
          <w:b/>
          <w:bCs/>
          <w:lang w:val="en-IN"/>
        </w:rPr>
        <w:t>Statistical analysis:</w:t>
      </w:r>
    </w:p>
    <w:p w14:paraId="045CAD26"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All Statistical Analysis was performed using the SPSS version 27software.</w:t>
      </w:r>
    </w:p>
    <w:p w14:paraId="726B36C9"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Analysis of the data carried out by various tests of significance.</w:t>
      </w:r>
    </w:p>
    <w:p w14:paraId="1621AEC3"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Descriptives was expressed in terms of mean and standard deviation.</w:t>
      </w:r>
    </w:p>
    <w:p w14:paraId="253A3E7E" w14:textId="77777777" w:rsidR="00C21D54" w:rsidRPr="006C5F41" w:rsidRDefault="00C21D54" w:rsidP="00C21D54">
      <w:pPr>
        <w:spacing w:line="256" w:lineRule="auto"/>
        <w:ind w:right="610"/>
        <w:contextualSpacing/>
        <w:jc w:val="both"/>
        <w:rPr>
          <w:rFonts w:ascii="Arial" w:eastAsiaTheme="minorEastAsia" w:hAnsi="Arial" w:cs="Arial"/>
          <w:lang w:val="en-IN" w:eastAsia="en-GB"/>
        </w:rPr>
      </w:pPr>
      <w:r w:rsidRPr="006C5F41">
        <w:rPr>
          <w:rFonts w:ascii="Arial" w:eastAsiaTheme="minorEastAsia" w:hAnsi="Arial" w:cs="Arial"/>
          <w:lang w:val="en-IN" w:eastAsia="en-GB"/>
        </w:rPr>
        <w:t xml:space="preserve">   An ANOVA test with Post hoc was used to compare the mean between the groups.</w:t>
      </w:r>
    </w:p>
    <w:p w14:paraId="467C1E79" w14:textId="77777777" w:rsidR="00C21D54" w:rsidRPr="006C5F41" w:rsidRDefault="00C21D54" w:rsidP="00C21D54">
      <w:pPr>
        <w:spacing w:line="259" w:lineRule="auto"/>
        <w:ind w:right="610"/>
        <w:contextualSpacing/>
        <w:rPr>
          <w:rFonts w:ascii="Arial" w:eastAsiaTheme="minorEastAsia" w:hAnsi="Arial" w:cs="Arial"/>
          <w:lang w:val="en-IN" w:eastAsia="en-GB"/>
        </w:rPr>
      </w:pPr>
      <w:r w:rsidRPr="006C5F41">
        <w:rPr>
          <w:rFonts w:ascii="Arial" w:eastAsiaTheme="minorEastAsia" w:hAnsi="Arial" w:cs="Arial"/>
          <w:lang w:val="en-IN" w:eastAsia="en-GB"/>
        </w:rPr>
        <w:t xml:space="preserve">   P value &lt;0.05 was considered statistically significant for all comparison.</w:t>
      </w:r>
    </w:p>
    <w:p w14:paraId="42703233" w14:textId="77777777" w:rsidR="00884F39" w:rsidRPr="006C5F41" w:rsidRDefault="00884F39" w:rsidP="00441B6F">
      <w:pPr>
        <w:pStyle w:val="AbstHead"/>
        <w:spacing w:after="0"/>
        <w:jc w:val="both"/>
        <w:rPr>
          <w:rFonts w:ascii="Arial" w:hAnsi="Arial" w:cs="Arial"/>
        </w:rPr>
      </w:pPr>
    </w:p>
    <w:p w14:paraId="352C041B" w14:textId="77777777" w:rsidR="007F5844" w:rsidRPr="006C5F41" w:rsidRDefault="00000F8F" w:rsidP="00441B6F">
      <w:pPr>
        <w:pStyle w:val="Head1"/>
        <w:spacing w:after="0"/>
        <w:jc w:val="both"/>
        <w:rPr>
          <w:rFonts w:ascii="Arial" w:hAnsi="Arial" w:cs="Arial"/>
        </w:rPr>
      </w:pPr>
      <w:r w:rsidRPr="006C5F41">
        <w:rPr>
          <w:rFonts w:ascii="Arial" w:hAnsi="Arial" w:cs="Arial"/>
        </w:rPr>
        <w:t>3</w:t>
      </w:r>
      <w:r w:rsidR="00902823" w:rsidRPr="006C5F41">
        <w:rPr>
          <w:rFonts w:ascii="Arial" w:hAnsi="Arial" w:cs="Arial"/>
        </w:rPr>
        <w:t xml:space="preserve">. </w:t>
      </w:r>
      <w:r w:rsidRPr="006C5F41">
        <w:rPr>
          <w:rFonts w:ascii="Arial" w:hAnsi="Arial" w:cs="Arial"/>
        </w:rPr>
        <w:t>results and discussion</w:t>
      </w:r>
    </w:p>
    <w:p w14:paraId="59540C37" w14:textId="77777777" w:rsidR="007F5844" w:rsidRPr="006C5F41" w:rsidRDefault="007F5844" w:rsidP="00441B6F">
      <w:pPr>
        <w:pStyle w:val="Head1"/>
        <w:spacing w:after="0"/>
        <w:jc w:val="both"/>
        <w:rPr>
          <w:rFonts w:ascii="Arial" w:hAnsi="Arial" w:cs="Arial"/>
        </w:rPr>
      </w:pPr>
    </w:p>
    <w:p w14:paraId="7AB396B0" w14:textId="35B8E663" w:rsidR="007F5844" w:rsidRPr="006C5F41" w:rsidRDefault="00AF5BE3" w:rsidP="00441B6F">
      <w:pPr>
        <w:pStyle w:val="Head1"/>
        <w:spacing w:after="0"/>
        <w:jc w:val="both"/>
        <w:rPr>
          <w:rFonts w:ascii="Arial" w:hAnsi="Arial" w:cs="Arial"/>
        </w:rPr>
      </w:pPr>
      <w:r w:rsidRPr="006C5F41">
        <w:rPr>
          <w:rFonts w:ascii="Arial" w:hAnsi="Arial" w:cs="Arial"/>
        </w:rPr>
        <w:t xml:space="preserve">  </w:t>
      </w:r>
      <w:r w:rsidR="007F5844" w:rsidRPr="006C5F41">
        <w:rPr>
          <w:rFonts w:ascii="Arial" w:hAnsi="Arial" w:cs="Arial"/>
        </w:rPr>
        <w:t xml:space="preserve"> RESULTS</w:t>
      </w:r>
    </w:p>
    <w:p w14:paraId="1B01A04E" w14:textId="77777777" w:rsidR="00D02EAD" w:rsidRPr="006C5F41" w:rsidRDefault="00AF5BE3" w:rsidP="00833954">
      <w:pPr>
        <w:rPr>
          <w:rFonts w:ascii="Arial" w:eastAsiaTheme="minorEastAsia" w:hAnsi="Arial" w:cs="Arial"/>
          <w:lang w:eastAsia="en-GB"/>
        </w:rPr>
      </w:pPr>
      <w:r w:rsidRPr="006C5F41">
        <w:rPr>
          <w:rFonts w:eastAsiaTheme="minorEastAsia"/>
          <w:lang w:eastAsia="en-GB"/>
        </w:rPr>
        <w:t xml:space="preserve">   </w:t>
      </w:r>
      <w:r w:rsidR="00833954" w:rsidRPr="006C5F41">
        <w:rPr>
          <w:rFonts w:ascii="Arial" w:eastAsiaTheme="minorEastAsia" w:hAnsi="Arial" w:cs="Arial"/>
          <w:lang w:eastAsia="en-GB"/>
        </w:rPr>
        <w:t>Thirty patients with moderate periodontitis were randomly allocated into three groups:</w:t>
      </w:r>
      <w:r w:rsidR="00D02EAD" w:rsidRPr="006C5F41">
        <w:rPr>
          <w:rFonts w:ascii="Arial" w:eastAsiaTheme="minorEastAsia" w:hAnsi="Arial" w:cs="Arial"/>
          <w:lang w:eastAsia="en-GB"/>
        </w:rPr>
        <w:t xml:space="preserve"> </w:t>
      </w:r>
      <w:r w:rsidR="00833954" w:rsidRPr="006C5F41">
        <w:rPr>
          <w:rFonts w:ascii="Arial" w:eastAsiaTheme="minorEastAsia" w:hAnsi="Arial" w:cs="Arial"/>
          <w:lang w:eastAsia="en-GB"/>
        </w:rPr>
        <w:t>Group 1 (SRP alone), Group 2</w:t>
      </w:r>
    </w:p>
    <w:p w14:paraId="399EB28E" w14:textId="77777777" w:rsidR="00D02EAD"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 (SRP + ofloxacin-incorporated T-PRF), and Group 3 (SRP + metronidazole-incorporated T-PRF) (n=10 each). Clinical </w:t>
      </w:r>
    </w:p>
    <w:p w14:paraId="545D50F2" w14:textId="77777777" w:rsidR="00D02EAD"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parameters (PD, MGI,BI, and PI) were recorded at baseline and 6 weeks. All participants completed the study with no </w:t>
      </w:r>
    </w:p>
    <w:p w14:paraId="7B2493E0" w14:textId="77777777" w:rsidR="00643B90" w:rsidRPr="006C5F41" w:rsidRDefault="00D02EAD"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adverse events.</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Baseline comparisons showed no statistically significant differences among the three</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groups for any </w:t>
      </w:r>
    </w:p>
    <w:p w14:paraId="6912D56B" w14:textId="0F0BA256"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parameter (p&gt;0.05), confirming group comparability.(Table 1)</w:t>
      </w:r>
      <w:r w:rsidR="00D2673F" w:rsidRPr="006C5F41">
        <w:rPr>
          <w:rFonts w:ascii="Arial" w:eastAsiaTheme="minorEastAsia" w:hAnsi="Arial" w:cs="Arial"/>
          <w:lang w:eastAsia="en-GB"/>
        </w:rPr>
        <w:t>.</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At 6 weeks, significant intergroup differences were </w:t>
      </w:r>
    </w:p>
    <w:p w14:paraId="074AAEFC" w14:textId="48219FE2" w:rsidR="00833954"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observed for all clinical parameters (p&lt;0.001). Mean probing depth was 4.70 ± 0.48 mm in Group 1, 3.40 ± 0.52 mm in </w:t>
      </w:r>
    </w:p>
    <w:p w14:paraId="3BF9AACE" w14:textId="77777777" w:rsidR="00643B90" w:rsidRPr="006C5F41" w:rsidRDefault="00833954" w:rsidP="00833954">
      <w:pPr>
        <w:rPr>
          <w:rFonts w:ascii="Arial" w:eastAsiaTheme="minorEastAsia" w:hAnsi="Arial" w:cs="Arial"/>
          <w:lang w:eastAsia="en-GB"/>
        </w:rPr>
      </w:pPr>
      <w:r w:rsidRPr="006C5F41">
        <w:rPr>
          <w:rFonts w:ascii="Arial" w:eastAsiaTheme="minorEastAsia" w:hAnsi="Arial" w:cs="Arial"/>
          <w:lang w:eastAsia="en-GB"/>
        </w:rPr>
        <w:t xml:space="preserve">   Group 2, and 3.90 ± 0.57 mm in Group 3 (p&lt;0.001). The mean PD reduction was</w:t>
      </w:r>
      <w:r w:rsidR="00643B90" w:rsidRPr="006C5F41">
        <w:rPr>
          <w:rFonts w:ascii="Arial" w:eastAsiaTheme="minorEastAsia" w:hAnsi="Arial" w:cs="Arial"/>
          <w:lang w:eastAsia="en-GB"/>
        </w:rPr>
        <w:t xml:space="preserve"> </w:t>
      </w:r>
      <w:r w:rsidRPr="006C5F41">
        <w:rPr>
          <w:rFonts w:ascii="Arial" w:eastAsiaTheme="minorEastAsia" w:hAnsi="Arial" w:cs="Arial"/>
          <w:lang w:eastAsia="en-GB"/>
        </w:rPr>
        <w:t xml:space="preserve">significantly greater in Groups 2 (2.40 </w:t>
      </w:r>
    </w:p>
    <w:p w14:paraId="60B5E7A3"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0.70 mm) and 3 (1.80 ± 0.63 mm) compared to</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 1 (1.00 ± 0.00 mm) (p&lt;0.001). Post-hoc analysis showed </w:t>
      </w:r>
    </w:p>
    <w:p w14:paraId="252682AE"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significant differences between Groups 1 and 2 (p&lt;0.001) and Groups 1 and 3 (p=0.010), with no significant difference </w:t>
      </w:r>
    </w:p>
    <w:p w14:paraId="0EA839DB"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between Groups 2 and 3 (p=0.118).</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MGI scores at 6 weeks were 1.65 ± 0.39 (Group 1), 1.05 ± 0.26 (Group 2), and </w:t>
      </w:r>
    </w:p>
    <w:p w14:paraId="56E336F3"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1.25</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 0.29 (Group 3) (p&lt;0.001). Both antibiotic-incorporated T-PRF groups showed significantly greater reductions </w:t>
      </w:r>
    </w:p>
    <w:p w14:paraId="74ADA643" w14:textId="662D2745"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compared to SRP alone (p&lt;0.01), while no significant difference was found between Groups 2 and 3.</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Bleeding index </w:t>
      </w:r>
    </w:p>
    <w:p w14:paraId="41D25760" w14:textId="77777777" w:rsidR="00643B90"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showed marked improvement in Groups 2 and 3 (12.50 ± 13.18% and 17.50 ± 16.87%, respectively) compared to </w:t>
      </w:r>
    </w:p>
    <w:p w14:paraId="0C81936A" w14:textId="77777777" w:rsidR="00D2673F" w:rsidRPr="006C5F41" w:rsidRDefault="00643B90"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Group 1 (50.00 ± 23.57%) at 6 weeks (p&lt;0.001). </w:t>
      </w:r>
    </w:p>
    <w:p w14:paraId="3149B658" w14:textId="77777777" w:rsidR="00D2673F"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Plaque index also demonstrated significantly greater reduction in Groups 2 and 3</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compared to Group 1 (p&lt;0.001), with </w:t>
      </w:r>
    </w:p>
    <w:p w14:paraId="5DB7FA52" w14:textId="77777777" w:rsidR="00D2673F"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no significant intergroup difference between the two</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antibiotic</w:t>
      </w: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groups.</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 xml:space="preserve">Within-group analysis revealed statistically </w:t>
      </w:r>
    </w:p>
    <w:p w14:paraId="20430BBA" w14:textId="77777777" w:rsidR="00C10A55" w:rsidRPr="006C5F41" w:rsidRDefault="00D2673F"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833954" w:rsidRPr="006C5F41">
        <w:rPr>
          <w:rFonts w:ascii="Arial" w:eastAsiaTheme="minorEastAsia" w:hAnsi="Arial" w:cs="Arial"/>
          <w:lang w:eastAsia="en-GB"/>
        </w:rPr>
        <w:t>significant improvement in all parameters from</w:t>
      </w:r>
      <w:r w:rsidR="00643B90" w:rsidRPr="006C5F41">
        <w:rPr>
          <w:rFonts w:ascii="Arial" w:eastAsiaTheme="minorEastAsia" w:hAnsi="Arial" w:cs="Arial"/>
          <w:lang w:eastAsia="en-GB"/>
        </w:rPr>
        <w:t xml:space="preserve"> </w:t>
      </w:r>
      <w:r w:rsidR="00833954" w:rsidRPr="006C5F41">
        <w:rPr>
          <w:rFonts w:ascii="Arial" w:eastAsiaTheme="minorEastAsia" w:hAnsi="Arial" w:cs="Arial"/>
          <w:lang w:eastAsia="en-GB"/>
        </w:rPr>
        <w:t>baseline to 6 weeks in all three groups (p&lt;0.05).</w:t>
      </w:r>
      <w:r w:rsidR="00643B90" w:rsidRPr="006C5F41">
        <w:rPr>
          <w:rFonts w:ascii="Arial" w:eastAsiaTheme="minorEastAsia" w:hAnsi="Arial" w:cs="Arial"/>
          <w:lang w:eastAsia="en-GB"/>
        </w:rPr>
        <w:t xml:space="preserve"> </w:t>
      </w:r>
      <w:r w:rsidRPr="006C5F41">
        <w:rPr>
          <w:rFonts w:ascii="Arial" w:eastAsiaTheme="minorEastAsia" w:hAnsi="Arial" w:cs="Arial"/>
          <w:lang w:eastAsia="en-GB"/>
        </w:rPr>
        <w:t xml:space="preserve">The parameters </w:t>
      </w:r>
    </w:p>
    <w:p w14:paraId="5EC68FB0" w14:textId="77777777" w:rsidR="00C10A55" w:rsidRPr="006C5F41" w:rsidRDefault="00C10A55"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D2673F" w:rsidRPr="006C5F41">
        <w:rPr>
          <w:rFonts w:ascii="Arial" w:eastAsiaTheme="minorEastAsia" w:hAnsi="Arial" w:cs="Arial"/>
          <w:lang w:eastAsia="en-GB"/>
        </w:rPr>
        <w:t>described in table 1 are further illustrated using double bar charts and line diagrams to enhance vi</w:t>
      </w:r>
      <w:r w:rsidRPr="006C5F41">
        <w:rPr>
          <w:rFonts w:ascii="Arial" w:eastAsiaTheme="minorEastAsia" w:hAnsi="Arial" w:cs="Arial"/>
          <w:lang w:eastAsia="en-GB"/>
        </w:rPr>
        <w:t>s</w:t>
      </w:r>
      <w:r w:rsidR="00D2673F" w:rsidRPr="006C5F41">
        <w:rPr>
          <w:rFonts w:ascii="Arial" w:eastAsiaTheme="minorEastAsia" w:hAnsi="Arial" w:cs="Arial"/>
          <w:lang w:eastAsia="en-GB"/>
        </w:rPr>
        <w:t>ual comparison and</w:t>
      </w:r>
    </w:p>
    <w:p w14:paraId="0BB82383" w14:textId="617D8066" w:rsidR="00D2673F" w:rsidRPr="006C5F41" w:rsidRDefault="00C10A55" w:rsidP="00833954">
      <w:pPr>
        <w:rPr>
          <w:rFonts w:ascii="Arial" w:eastAsiaTheme="minorEastAsia" w:hAnsi="Arial" w:cs="Arial"/>
          <w:lang w:eastAsia="en-GB"/>
        </w:rPr>
      </w:pPr>
      <w:r w:rsidRPr="006C5F41">
        <w:rPr>
          <w:rFonts w:ascii="Arial" w:eastAsiaTheme="minorEastAsia" w:hAnsi="Arial" w:cs="Arial"/>
          <w:lang w:eastAsia="en-GB"/>
        </w:rPr>
        <w:t xml:space="preserve">  </w:t>
      </w:r>
      <w:r w:rsidR="00D2673F" w:rsidRPr="006C5F41">
        <w:rPr>
          <w:rFonts w:ascii="Arial" w:eastAsiaTheme="minorEastAsia" w:hAnsi="Arial" w:cs="Arial"/>
          <w:lang w:eastAsia="en-GB"/>
        </w:rPr>
        <w:t xml:space="preserve"> intergroup differences in (Fig 1 and 2)</w:t>
      </w:r>
    </w:p>
    <w:p w14:paraId="18C15162" w14:textId="77777777" w:rsidR="00D2673F" w:rsidRPr="006C5F41" w:rsidRDefault="00D2673F" w:rsidP="00833954">
      <w:pPr>
        <w:rPr>
          <w:rFonts w:ascii="Arial" w:hAnsi="Arial" w:cs="Arial"/>
        </w:rPr>
      </w:pPr>
      <w:r w:rsidRPr="006C5F41">
        <w:rPr>
          <w:rFonts w:ascii="Arial" w:eastAsiaTheme="minorEastAsia" w:hAnsi="Arial" w:cs="Arial"/>
          <w:lang w:eastAsia="en-GB"/>
        </w:rPr>
        <w:t xml:space="preserve">   </w:t>
      </w:r>
      <w:r w:rsidR="00833954" w:rsidRPr="006C5F41">
        <w:rPr>
          <w:rFonts w:ascii="Arial" w:hAnsi="Arial" w:cs="Arial"/>
        </w:rPr>
        <w:t>The overall treatment efficacy analysis revealed that adjunctive use of antibiotic-</w:t>
      </w:r>
      <w:r w:rsidR="00643B90" w:rsidRPr="006C5F41">
        <w:rPr>
          <w:rFonts w:ascii="Arial" w:hAnsi="Arial" w:cs="Arial"/>
        </w:rPr>
        <w:t xml:space="preserve"> </w:t>
      </w:r>
      <w:r w:rsidR="00833954" w:rsidRPr="006C5F41">
        <w:rPr>
          <w:rFonts w:ascii="Arial" w:hAnsi="Arial" w:cs="Arial"/>
        </w:rPr>
        <w:t xml:space="preserve">incorporated T-PRF membranes </w:t>
      </w:r>
    </w:p>
    <w:p w14:paraId="4F9A21F1" w14:textId="04B24886" w:rsidR="00643B90" w:rsidRPr="006C5F41" w:rsidRDefault="00D2673F" w:rsidP="00833954">
      <w:pPr>
        <w:rPr>
          <w:rFonts w:ascii="Arial" w:hAnsi="Arial" w:cs="Arial"/>
        </w:rPr>
      </w:pPr>
      <w:r w:rsidRPr="006C5F41">
        <w:rPr>
          <w:rFonts w:ascii="Arial" w:hAnsi="Arial" w:cs="Arial"/>
        </w:rPr>
        <w:t xml:space="preserve">   </w:t>
      </w:r>
      <w:r w:rsidR="00833954" w:rsidRPr="006C5F41">
        <w:rPr>
          <w:rFonts w:ascii="Arial" w:hAnsi="Arial" w:cs="Arial"/>
        </w:rPr>
        <w:t>significantly enhanced clinical outcomes compared to SRP alone. Group 2 (ofloxacin-</w:t>
      </w:r>
    </w:p>
    <w:p w14:paraId="26B4AC1C"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incorporated T-PRF) demonstrated the highest mean</w:t>
      </w:r>
      <w:r w:rsidRPr="006C5F41">
        <w:rPr>
          <w:rFonts w:ascii="Arial" w:hAnsi="Arial" w:cs="Arial"/>
        </w:rPr>
        <w:t xml:space="preserve"> </w:t>
      </w:r>
      <w:r w:rsidR="00833954" w:rsidRPr="006C5F41">
        <w:rPr>
          <w:rFonts w:ascii="Arial" w:hAnsi="Arial" w:cs="Arial"/>
        </w:rPr>
        <w:t xml:space="preserve">reductions across all parameters. Statistical comparison between </w:t>
      </w:r>
    </w:p>
    <w:p w14:paraId="606FF446"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the two antibiotic formulations revealed no significant differences for any parameter, suggesting both ofloxacin and </w:t>
      </w:r>
    </w:p>
    <w:p w14:paraId="045F657B" w14:textId="2DCC7813" w:rsidR="00833954"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metronidazole are equally effective when incorporated into T-PRF matrices</w:t>
      </w:r>
      <w:r w:rsidRPr="006C5F41">
        <w:rPr>
          <w:rFonts w:ascii="Arial" w:hAnsi="Arial" w:cs="Arial"/>
        </w:rPr>
        <w:t xml:space="preserve"> </w:t>
      </w:r>
      <w:r w:rsidR="00833954" w:rsidRPr="006C5F41">
        <w:rPr>
          <w:rFonts w:ascii="Arial" w:hAnsi="Arial" w:cs="Arial"/>
        </w:rPr>
        <w:t>for adjunctive periodontal therapy.</w:t>
      </w:r>
    </w:p>
    <w:p w14:paraId="6847D1C4" w14:textId="77777777" w:rsidR="00643B90" w:rsidRPr="006C5F41" w:rsidRDefault="00833954" w:rsidP="00833954">
      <w:pPr>
        <w:rPr>
          <w:rFonts w:ascii="Arial" w:hAnsi="Arial" w:cs="Arial"/>
        </w:rPr>
      </w:pPr>
      <w:r w:rsidRPr="006C5F41">
        <w:rPr>
          <w:rFonts w:ascii="Arial" w:hAnsi="Arial" w:cs="Arial"/>
        </w:rPr>
        <w:t xml:space="preserve">   In summary, all three treatment modalities resulted in significant improvements in periodontal clinical parameters from</w:t>
      </w:r>
    </w:p>
    <w:p w14:paraId="6705D726"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 baseline to 6 weeks. However, the magnitude of improvement was substantially greater in groups receiving antibiotic-</w:t>
      </w:r>
    </w:p>
    <w:p w14:paraId="3E8AEC74"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incorporated T-PRF membranes as adjuncts to mechanical debridement. The comparable efficacy of ofloxacin and </w:t>
      </w:r>
    </w:p>
    <w:p w14:paraId="24BB84A2" w14:textId="77777777" w:rsidR="00643B90" w:rsidRPr="006C5F41"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 xml:space="preserve">metronidazole formulations suggests that clinicians may select either antibiotic based on availability, patient-specific </w:t>
      </w:r>
    </w:p>
    <w:p w14:paraId="70D6E211" w14:textId="063A757E" w:rsidR="00833954" w:rsidRDefault="00643B90" w:rsidP="00833954">
      <w:pPr>
        <w:rPr>
          <w:rFonts w:ascii="Arial" w:hAnsi="Arial" w:cs="Arial"/>
        </w:rPr>
      </w:pPr>
      <w:r w:rsidRPr="006C5F41">
        <w:rPr>
          <w:rFonts w:ascii="Arial" w:hAnsi="Arial" w:cs="Arial"/>
        </w:rPr>
        <w:t xml:space="preserve">   </w:t>
      </w:r>
      <w:r w:rsidR="00833954" w:rsidRPr="006C5F41">
        <w:rPr>
          <w:rFonts w:ascii="Arial" w:hAnsi="Arial" w:cs="Arial"/>
        </w:rPr>
        <w:t>factors, or bacterial susceptibility patterns without compromising treatment outcomes.</w:t>
      </w:r>
    </w:p>
    <w:p w14:paraId="2B40CEE8" w14:textId="77777777" w:rsidR="0049238F" w:rsidRDefault="0049238F" w:rsidP="00833954">
      <w:pPr>
        <w:rPr>
          <w:rFonts w:ascii="Arial" w:hAnsi="Arial" w:cs="Arial"/>
        </w:rPr>
      </w:pPr>
    </w:p>
    <w:p w14:paraId="1311368A" w14:textId="77777777" w:rsidR="0049238F" w:rsidRDefault="0049238F" w:rsidP="00833954">
      <w:pPr>
        <w:rPr>
          <w:rFonts w:ascii="Arial" w:hAnsi="Arial" w:cs="Arial"/>
        </w:rPr>
      </w:pPr>
    </w:p>
    <w:p w14:paraId="046A4D77" w14:textId="77777777" w:rsidR="0049238F" w:rsidRDefault="0049238F" w:rsidP="00833954">
      <w:pPr>
        <w:rPr>
          <w:rFonts w:ascii="Arial" w:hAnsi="Arial" w:cs="Arial"/>
        </w:rPr>
      </w:pPr>
    </w:p>
    <w:p w14:paraId="2B118D1A" w14:textId="77777777" w:rsidR="0049238F" w:rsidRDefault="0049238F" w:rsidP="00833954">
      <w:pPr>
        <w:rPr>
          <w:rFonts w:ascii="Arial" w:hAnsi="Arial" w:cs="Arial"/>
        </w:rPr>
      </w:pPr>
    </w:p>
    <w:p w14:paraId="21D875EA" w14:textId="77777777" w:rsidR="0049238F" w:rsidRDefault="0049238F" w:rsidP="00833954">
      <w:pPr>
        <w:rPr>
          <w:rFonts w:ascii="Arial" w:hAnsi="Arial" w:cs="Arial"/>
        </w:rPr>
      </w:pPr>
    </w:p>
    <w:p w14:paraId="4645489D" w14:textId="77777777" w:rsidR="0049238F" w:rsidRDefault="0049238F" w:rsidP="00833954">
      <w:pPr>
        <w:rPr>
          <w:rFonts w:ascii="Arial" w:hAnsi="Arial" w:cs="Arial"/>
        </w:rPr>
      </w:pPr>
    </w:p>
    <w:p w14:paraId="1D0319E1" w14:textId="77777777" w:rsidR="0049238F" w:rsidRDefault="0049238F" w:rsidP="00833954">
      <w:pPr>
        <w:rPr>
          <w:rFonts w:ascii="Arial" w:hAnsi="Arial" w:cs="Arial"/>
        </w:rPr>
      </w:pPr>
    </w:p>
    <w:p w14:paraId="3FA292C9" w14:textId="77777777" w:rsidR="0049238F" w:rsidRDefault="0049238F" w:rsidP="00833954">
      <w:pPr>
        <w:rPr>
          <w:rFonts w:ascii="Arial" w:hAnsi="Arial" w:cs="Arial"/>
        </w:rPr>
      </w:pPr>
    </w:p>
    <w:p w14:paraId="4D489032" w14:textId="77777777" w:rsidR="0049238F" w:rsidRDefault="0049238F" w:rsidP="00833954">
      <w:pPr>
        <w:rPr>
          <w:rFonts w:ascii="Arial" w:hAnsi="Arial" w:cs="Arial"/>
        </w:rPr>
      </w:pPr>
    </w:p>
    <w:p w14:paraId="785EF5FA" w14:textId="77777777" w:rsidR="0049238F" w:rsidRDefault="0049238F" w:rsidP="00833954">
      <w:pPr>
        <w:rPr>
          <w:rFonts w:ascii="Arial" w:hAnsi="Arial" w:cs="Arial"/>
        </w:rPr>
      </w:pPr>
    </w:p>
    <w:p w14:paraId="34A8538F" w14:textId="77777777" w:rsidR="0049238F" w:rsidRDefault="0049238F" w:rsidP="00833954">
      <w:pPr>
        <w:rPr>
          <w:rFonts w:ascii="Arial" w:hAnsi="Arial" w:cs="Arial"/>
        </w:rPr>
      </w:pPr>
    </w:p>
    <w:p w14:paraId="6F1CCE3C" w14:textId="77777777" w:rsidR="0049238F" w:rsidRDefault="0049238F" w:rsidP="00833954">
      <w:pPr>
        <w:rPr>
          <w:rFonts w:ascii="Arial" w:hAnsi="Arial" w:cs="Arial"/>
        </w:rPr>
      </w:pPr>
    </w:p>
    <w:p w14:paraId="0149DF70" w14:textId="77777777" w:rsidR="0049238F" w:rsidRDefault="0049238F" w:rsidP="00833954">
      <w:pPr>
        <w:rPr>
          <w:rFonts w:ascii="Arial" w:hAnsi="Arial" w:cs="Arial"/>
        </w:rPr>
      </w:pPr>
    </w:p>
    <w:p w14:paraId="0DFC2E91" w14:textId="77777777" w:rsidR="0049238F" w:rsidRDefault="0049238F" w:rsidP="00833954">
      <w:pPr>
        <w:rPr>
          <w:rFonts w:ascii="Arial" w:hAnsi="Arial" w:cs="Arial"/>
        </w:rPr>
      </w:pPr>
    </w:p>
    <w:p w14:paraId="58A6B106" w14:textId="77777777" w:rsidR="0049238F" w:rsidRDefault="0049238F" w:rsidP="00833954">
      <w:pPr>
        <w:rPr>
          <w:rFonts w:ascii="Arial" w:hAnsi="Arial" w:cs="Arial"/>
        </w:rPr>
      </w:pPr>
    </w:p>
    <w:p w14:paraId="6F350C70" w14:textId="77777777" w:rsidR="0049238F" w:rsidRDefault="0049238F" w:rsidP="00833954">
      <w:pPr>
        <w:rPr>
          <w:rFonts w:ascii="Arial" w:hAnsi="Arial" w:cs="Arial"/>
        </w:rPr>
      </w:pPr>
    </w:p>
    <w:p w14:paraId="4D65C412" w14:textId="77777777" w:rsidR="0049238F" w:rsidRDefault="0049238F" w:rsidP="00833954">
      <w:pPr>
        <w:rPr>
          <w:rFonts w:ascii="Arial" w:hAnsi="Arial" w:cs="Arial"/>
        </w:rPr>
      </w:pPr>
    </w:p>
    <w:p w14:paraId="1206B09B" w14:textId="77777777" w:rsidR="0049238F" w:rsidRPr="006C5F41" w:rsidRDefault="0049238F" w:rsidP="00833954">
      <w:pPr>
        <w:rPr>
          <w:rFonts w:ascii="Arial" w:hAnsi="Arial" w:cs="Arial"/>
        </w:rPr>
      </w:pPr>
    </w:p>
    <w:p w14:paraId="63FDB74C" w14:textId="77777777" w:rsidR="005E09BA" w:rsidRPr="006C5F41" w:rsidRDefault="005E09BA" w:rsidP="00833954">
      <w:pPr>
        <w:rPr>
          <w:rFonts w:ascii="Arial" w:hAnsi="Arial" w:cs="Arial"/>
        </w:rPr>
      </w:pPr>
    </w:p>
    <w:p w14:paraId="2251851E" w14:textId="3C4A9C1A" w:rsidR="005E09BA" w:rsidRPr="006C5F41" w:rsidRDefault="005E09BA" w:rsidP="00833954">
      <w:pPr>
        <w:rPr>
          <w:rFonts w:ascii="Arial" w:hAnsi="Arial" w:cs="Arial"/>
        </w:rPr>
      </w:pPr>
    </w:p>
    <w:p w14:paraId="462F02AC" w14:textId="15535F26" w:rsidR="00643B90" w:rsidRPr="006C5F41" w:rsidRDefault="005E09BA" w:rsidP="00833954">
      <w:pPr>
        <w:rPr>
          <w:rFonts w:ascii="Arial" w:hAnsi="Arial" w:cs="Arial"/>
        </w:rPr>
      </w:pPr>
      <w:r w:rsidRPr="006C5F41">
        <w:rPr>
          <w:rFonts w:ascii="Times New Roman" w:hAnsi="Times New Roman"/>
          <w:noProof/>
        </w:rPr>
        <w:drawing>
          <wp:anchor distT="0" distB="0" distL="114300" distR="114300" simplePos="0" relativeHeight="251649024" behindDoc="0" locked="0" layoutInCell="1" allowOverlap="1" wp14:anchorId="6DAC2F26" wp14:editId="52771948">
            <wp:simplePos x="0" y="0"/>
            <wp:positionH relativeFrom="margin">
              <wp:posOffset>692150</wp:posOffset>
            </wp:positionH>
            <wp:positionV relativeFrom="paragraph">
              <wp:posOffset>24765</wp:posOffset>
            </wp:positionV>
            <wp:extent cx="5086350" cy="3085874"/>
            <wp:effectExtent l="19050" t="19050" r="0" b="635"/>
            <wp:wrapNone/>
            <wp:docPr id="4" name="Picture 3">
              <a:extLst xmlns:a="http://schemas.openxmlformats.org/drawingml/2006/main">
                <a:ext uri="{FF2B5EF4-FFF2-40B4-BE49-F238E27FC236}">
                  <a16:creationId xmlns:a16="http://schemas.microsoft.com/office/drawing/2014/main" id="{CF93F72A-C65B-699B-4728-A45A6E3DC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F93F72A-C65B-699B-4728-A45A6E3DC4F6}"/>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086350" cy="308587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6FA6DDB" w14:textId="470C560B" w:rsidR="00643B90" w:rsidRPr="006C5F41" w:rsidRDefault="00643B90" w:rsidP="00833954">
      <w:pPr>
        <w:rPr>
          <w:rFonts w:ascii="Arial" w:hAnsi="Arial" w:cs="Arial"/>
        </w:rPr>
      </w:pPr>
    </w:p>
    <w:p w14:paraId="1BFDC783" w14:textId="77777777" w:rsidR="00643B90" w:rsidRPr="006C5F41" w:rsidRDefault="00643B90" w:rsidP="00833954">
      <w:pPr>
        <w:rPr>
          <w:rFonts w:ascii="Arial" w:hAnsi="Arial" w:cs="Arial"/>
        </w:rPr>
      </w:pPr>
    </w:p>
    <w:p w14:paraId="02B145FB" w14:textId="76D19767" w:rsidR="00643B90" w:rsidRPr="006C5F41" w:rsidRDefault="00643B90" w:rsidP="00833954">
      <w:pPr>
        <w:rPr>
          <w:rFonts w:ascii="Arial" w:hAnsi="Arial" w:cs="Arial"/>
        </w:rPr>
      </w:pPr>
    </w:p>
    <w:p w14:paraId="339FCAA1" w14:textId="77777777" w:rsidR="00643B90" w:rsidRPr="006C5F41" w:rsidRDefault="00643B90" w:rsidP="00833954">
      <w:pPr>
        <w:rPr>
          <w:rFonts w:ascii="Arial" w:hAnsi="Arial" w:cs="Arial"/>
        </w:rPr>
      </w:pPr>
    </w:p>
    <w:p w14:paraId="0AB60C36" w14:textId="77777777" w:rsidR="00643B90" w:rsidRPr="006C5F41" w:rsidRDefault="00643B90" w:rsidP="00833954">
      <w:pPr>
        <w:rPr>
          <w:rFonts w:ascii="Arial" w:hAnsi="Arial" w:cs="Arial"/>
        </w:rPr>
      </w:pPr>
    </w:p>
    <w:p w14:paraId="4F3F4C0F" w14:textId="52DD50B8" w:rsidR="00643B90" w:rsidRPr="006C5F41" w:rsidRDefault="00643B90" w:rsidP="00833954">
      <w:pPr>
        <w:rPr>
          <w:rFonts w:ascii="Arial" w:hAnsi="Arial" w:cs="Arial"/>
        </w:rPr>
      </w:pPr>
    </w:p>
    <w:p w14:paraId="6B5CBFBA" w14:textId="77777777" w:rsidR="00643B90" w:rsidRPr="006C5F41" w:rsidRDefault="00643B90" w:rsidP="00833954">
      <w:pPr>
        <w:rPr>
          <w:rFonts w:ascii="Arial" w:hAnsi="Arial" w:cs="Arial"/>
        </w:rPr>
      </w:pPr>
    </w:p>
    <w:p w14:paraId="624AD3EA" w14:textId="77777777" w:rsidR="00643B90" w:rsidRPr="006C5F41" w:rsidRDefault="00643B90" w:rsidP="00833954">
      <w:pPr>
        <w:rPr>
          <w:rFonts w:ascii="Arial" w:hAnsi="Arial" w:cs="Arial"/>
        </w:rPr>
      </w:pPr>
    </w:p>
    <w:p w14:paraId="4C9164D7" w14:textId="77777777" w:rsidR="00643B90" w:rsidRPr="006C5F41" w:rsidRDefault="00643B90" w:rsidP="00833954">
      <w:pPr>
        <w:rPr>
          <w:rFonts w:ascii="Arial" w:hAnsi="Arial" w:cs="Arial"/>
        </w:rPr>
      </w:pPr>
    </w:p>
    <w:p w14:paraId="4E1FB437" w14:textId="6525EB9A" w:rsidR="00643B90" w:rsidRPr="006C5F41" w:rsidRDefault="00643B90" w:rsidP="00833954">
      <w:pPr>
        <w:rPr>
          <w:rFonts w:ascii="Arial" w:hAnsi="Arial" w:cs="Arial"/>
        </w:rPr>
      </w:pPr>
    </w:p>
    <w:p w14:paraId="633248F0" w14:textId="77777777" w:rsidR="00643B90" w:rsidRPr="006C5F41" w:rsidRDefault="00643B90" w:rsidP="00833954">
      <w:pPr>
        <w:rPr>
          <w:rFonts w:ascii="Arial" w:hAnsi="Arial" w:cs="Arial"/>
        </w:rPr>
      </w:pPr>
    </w:p>
    <w:p w14:paraId="22C472AE" w14:textId="77777777" w:rsidR="00643B90" w:rsidRPr="006C5F41" w:rsidRDefault="00643B90" w:rsidP="00833954">
      <w:pPr>
        <w:rPr>
          <w:rFonts w:ascii="Arial" w:hAnsi="Arial" w:cs="Arial"/>
        </w:rPr>
      </w:pPr>
    </w:p>
    <w:p w14:paraId="74B1F57A" w14:textId="77777777" w:rsidR="00643B90" w:rsidRPr="006C5F41" w:rsidRDefault="00643B90" w:rsidP="00833954">
      <w:pPr>
        <w:rPr>
          <w:rFonts w:ascii="Arial" w:hAnsi="Arial" w:cs="Arial"/>
        </w:rPr>
      </w:pPr>
    </w:p>
    <w:p w14:paraId="447673CE" w14:textId="6EA0AA55" w:rsidR="00643B90" w:rsidRPr="006C5F41" w:rsidRDefault="00643B90" w:rsidP="00833954">
      <w:pPr>
        <w:rPr>
          <w:rFonts w:ascii="Arial" w:hAnsi="Arial" w:cs="Arial"/>
        </w:rPr>
      </w:pPr>
    </w:p>
    <w:p w14:paraId="55F5D56A" w14:textId="77777777" w:rsidR="00643B90" w:rsidRPr="006C5F41" w:rsidRDefault="00643B90" w:rsidP="00833954">
      <w:pPr>
        <w:rPr>
          <w:rFonts w:ascii="Arial" w:hAnsi="Arial" w:cs="Arial"/>
        </w:rPr>
      </w:pPr>
    </w:p>
    <w:p w14:paraId="47834E62" w14:textId="77777777" w:rsidR="002820C2" w:rsidRPr="006C5F41" w:rsidRDefault="002820C2" w:rsidP="00833954">
      <w:pPr>
        <w:rPr>
          <w:rFonts w:ascii="Arial" w:hAnsi="Arial" w:cs="Arial"/>
        </w:rPr>
      </w:pPr>
    </w:p>
    <w:p w14:paraId="7D78E820" w14:textId="77777777" w:rsidR="00643B90" w:rsidRPr="006C5F41" w:rsidRDefault="002820C2" w:rsidP="00833954">
      <w:pPr>
        <w:rPr>
          <w:rFonts w:ascii="Arial" w:hAnsi="Arial" w:cs="Arial"/>
          <w:b/>
          <w:bCs/>
          <w:sz w:val="22"/>
          <w:szCs w:val="22"/>
        </w:rPr>
      </w:pPr>
      <w:r w:rsidRPr="006C5F41">
        <w:rPr>
          <w:rFonts w:ascii="Arial" w:hAnsi="Arial" w:cs="Arial"/>
          <w:b/>
          <w:bCs/>
          <w:sz w:val="22"/>
          <w:szCs w:val="22"/>
        </w:rPr>
        <w:t xml:space="preserve"> </w:t>
      </w:r>
    </w:p>
    <w:p w14:paraId="2A1ACE84" w14:textId="08732A82" w:rsidR="00643B90" w:rsidRPr="006C5F41" w:rsidRDefault="00643B90" w:rsidP="00833954">
      <w:pPr>
        <w:rPr>
          <w:rFonts w:ascii="Arial" w:hAnsi="Arial" w:cs="Arial"/>
          <w:b/>
          <w:bCs/>
          <w:sz w:val="22"/>
          <w:szCs w:val="22"/>
        </w:rPr>
      </w:pPr>
    </w:p>
    <w:p w14:paraId="0B60FFB1" w14:textId="349EC7A8" w:rsidR="00643B90" w:rsidRPr="006C5F41" w:rsidRDefault="00643B90" w:rsidP="00833954">
      <w:pPr>
        <w:rPr>
          <w:rFonts w:ascii="Arial" w:hAnsi="Arial" w:cs="Arial"/>
          <w:b/>
          <w:bCs/>
          <w:sz w:val="22"/>
          <w:szCs w:val="22"/>
        </w:rPr>
      </w:pPr>
    </w:p>
    <w:p w14:paraId="578F42DD" w14:textId="55AD07DA" w:rsidR="00643B90" w:rsidRPr="006C5F41" w:rsidRDefault="00000000" w:rsidP="00833954">
      <w:pPr>
        <w:rPr>
          <w:rFonts w:ascii="Arial" w:hAnsi="Arial" w:cs="Arial"/>
          <w:b/>
          <w:bCs/>
          <w:sz w:val="22"/>
          <w:szCs w:val="22"/>
        </w:rPr>
      </w:pPr>
      <w:r>
        <w:rPr>
          <w:noProof/>
        </w:rPr>
        <w:pict w14:anchorId="61FA525F">
          <v:shape id="Text Box 2" o:spid="_x0000_s2051" type="#_x0000_t202" style="position:absolute;margin-left:52.5pt;margin-top:12.05pt;width:403.5pt;height:22.5pt;z-index:2516582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">
            <v:textbox style="mso-next-textbox:#Text Box 2">
              <w:txbxContent>
                <w:p w14:paraId="012062BD" w14:textId="77777777" w:rsidR="00643B90" w:rsidRPr="005E09BA" w:rsidRDefault="00643B90" w:rsidP="00643B90">
                  <w:r w:rsidRPr="005E09BA">
                    <w:t xml:space="preserve">Table 1: Comparison of clinical parameters in all three groups at baseline and 6 weeks </w:t>
                  </w:r>
                </w:p>
              </w:txbxContent>
            </v:textbox>
            <w10:wrap type="square"/>
          </v:shape>
        </w:pict>
      </w:r>
    </w:p>
    <w:p w14:paraId="2850A5BD" w14:textId="346D06DC" w:rsidR="00643B90" w:rsidRPr="006C5F41" w:rsidRDefault="00643B90" w:rsidP="00833954">
      <w:pPr>
        <w:rPr>
          <w:rFonts w:ascii="Arial" w:hAnsi="Arial" w:cs="Arial"/>
          <w:b/>
          <w:bCs/>
          <w:sz w:val="22"/>
          <w:szCs w:val="22"/>
        </w:rPr>
      </w:pPr>
    </w:p>
    <w:p w14:paraId="0EDD7395" w14:textId="1F58D90B" w:rsidR="00643B90" w:rsidRPr="006C5F41" w:rsidRDefault="00643B90" w:rsidP="00833954">
      <w:pPr>
        <w:rPr>
          <w:rFonts w:ascii="Arial" w:hAnsi="Arial" w:cs="Arial"/>
          <w:b/>
          <w:bCs/>
          <w:sz w:val="22"/>
          <w:szCs w:val="22"/>
        </w:rPr>
      </w:pPr>
    </w:p>
    <w:p w14:paraId="29D4C9E5" w14:textId="77777777" w:rsidR="00643B90" w:rsidRDefault="00643B90" w:rsidP="00833954">
      <w:pPr>
        <w:rPr>
          <w:rFonts w:ascii="Arial" w:hAnsi="Arial" w:cs="Arial"/>
          <w:b/>
          <w:bCs/>
          <w:sz w:val="22"/>
          <w:szCs w:val="22"/>
        </w:rPr>
      </w:pPr>
    </w:p>
    <w:p w14:paraId="2889923C" w14:textId="77777777" w:rsidR="0049238F" w:rsidRDefault="0049238F" w:rsidP="00833954">
      <w:pPr>
        <w:rPr>
          <w:rFonts w:ascii="Arial" w:hAnsi="Arial" w:cs="Arial"/>
          <w:b/>
          <w:bCs/>
          <w:sz w:val="22"/>
          <w:szCs w:val="22"/>
        </w:rPr>
      </w:pPr>
    </w:p>
    <w:p w14:paraId="0339C093" w14:textId="77777777" w:rsidR="0049238F" w:rsidRDefault="0049238F" w:rsidP="00833954">
      <w:pPr>
        <w:rPr>
          <w:rFonts w:ascii="Arial" w:hAnsi="Arial" w:cs="Arial"/>
          <w:b/>
          <w:bCs/>
          <w:sz w:val="22"/>
          <w:szCs w:val="22"/>
        </w:rPr>
      </w:pPr>
    </w:p>
    <w:p w14:paraId="406F08A7" w14:textId="77777777" w:rsidR="0049238F" w:rsidRDefault="0049238F" w:rsidP="00833954">
      <w:pPr>
        <w:rPr>
          <w:rFonts w:ascii="Arial" w:hAnsi="Arial" w:cs="Arial"/>
          <w:b/>
          <w:bCs/>
          <w:sz w:val="22"/>
          <w:szCs w:val="22"/>
        </w:rPr>
      </w:pPr>
    </w:p>
    <w:p w14:paraId="34D2E326" w14:textId="77777777" w:rsidR="0049238F" w:rsidRDefault="0049238F" w:rsidP="00833954">
      <w:pPr>
        <w:rPr>
          <w:rFonts w:ascii="Arial" w:hAnsi="Arial" w:cs="Arial"/>
          <w:b/>
          <w:bCs/>
          <w:sz w:val="22"/>
          <w:szCs w:val="22"/>
        </w:rPr>
      </w:pPr>
    </w:p>
    <w:p w14:paraId="3F4F9143" w14:textId="77777777" w:rsidR="0049238F" w:rsidRDefault="0049238F" w:rsidP="00833954">
      <w:pPr>
        <w:rPr>
          <w:rFonts w:ascii="Arial" w:hAnsi="Arial" w:cs="Arial"/>
          <w:b/>
          <w:bCs/>
          <w:sz w:val="22"/>
          <w:szCs w:val="22"/>
        </w:rPr>
      </w:pPr>
    </w:p>
    <w:p w14:paraId="3CD9B9EB" w14:textId="77777777" w:rsidR="0049238F" w:rsidRDefault="0049238F" w:rsidP="00833954">
      <w:pPr>
        <w:rPr>
          <w:rFonts w:ascii="Arial" w:hAnsi="Arial" w:cs="Arial"/>
          <w:b/>
          <w:bCs/>
          <w:sz w:val="22"/>
          <w:szCs w:val="22"/>
        </w:rPr>
      </w:pPr>
    </w:p>
    <w:p w14:paraId="4D71E6FF" w14:textId="77777777" w:rsidR="0049238F" w:rsidRDefault="0049238F" w:rsidP="00833954">
      <w:pPr>
        <w:rPr>
          <w:rFonts w:ascii="Arial" w:hAnsi="Arial" w:cs="Arial"/>
          <w:b/>
          <w:bCs/>
          <w:sz w:val="22"/>
          <w:szCs w:val="22"/>
        </w:rPr>
      </w:pPr>
    </w:p>
    <w:p w14:paraId="64B54595" w14:textId="77777777" w:rsidR="0049238F" w:rsidRDefault="0049238F" w:rsidP="00833954">
      <w:pPr>
        <w:rPr>
          <w:rFonts w:ascii="Arial" w:hAnsi="Arial" w:cs="Arial"/>
          <w:b/>
          <w:bCs/>
          <w:sz w:val="22"/>
          <w:szCs w:val="22"/>
        </w:rPr>
      </w:pPr>
    </w:p>
    <w:p w14:paraId="6171DFDD" w14:textId="77777777" w:rsidR="0049238F" w:rsidRDefault="0049238F" w:rsidP="00833954">
      <w:pPr>
        <w:rPr>
          <w:rFonts w:ascii="Arial" w:hAnsi="Arial" w:cs="Arial"/>
          <w:b/>
          <w:bCs/>
          <w:sz w:val="22"/>
          <w:szCs w:val="22"/>
        </w:rPr>
      </w:pPr>
    </w:p>
    <w:p w14:paraId="2DFE36C9" w14:textId="77777777" w:rsidR="0049238F" w:rsidRDefault="0049238F" w:rsidP="00833954">
      <w:pPr>
        <w:rPr>
          <w:rFonts w:ascii="Arial" w:hAnsi="Arial" w:cs="Arial"/>
          <w:b/>
          <w:bCs/>
          <w:sz w:val="22"/>
          <w:szCs w:val="22"/>
        </w:rPr>
      </w:pPr>
    </w:p>
    <w:p w14:paraId="3FD4E932" w14:textId="77777777" w:rsidR="0049238F" w:rsidRDefault="0049238F" w:rsidP="00833954">
      <w:pPr>
        <w:rPr>
          <w:rFonts w:ascii="Arial" w:hAnsi="Arial" w:cs="Arial"/>
          <w:b/>
          <w:bCs/>
          <w:sz w:val="22"/>
          <w:szCs w:val="22"/>
        </w:rPr>
      </w:pPr>
    </w:p>
    <w:p w14:paraId="14E638C7" w14:textId="77777777" w:rsidR="0049238F" w:rsidRDefault="0049238F" w:rsidP="00833954">
      <w:pPr>
        <w:rPr>
          <w:rFonts w:ascii="Arial" w:hAnsi="Arial" w:cs="Arial"/>
          <w:b/>
          <w:bCs/>
          <w:sz w:val="22"/>
          <w:szCs w:val="22"/>
        </w:rPr>
      </w:pPr>
    </w:p>
    <w:p w14:paraId="6E0CD487" w14:textId="77777777" w:rsidR="0049238F" w:rsidRDefault="0049238F" w:rsidP="00833954">
      <w:pPr>
        <w:rPr>
          <w:rFonts w:ascii="Arial" w:hAnsi="Arial" w:cs="Arial"/>
          <w:b/>
          <w:bCs/>
          <w:sz w:val="22"/>
          <w:szCs w:val="22"/>
        </w:rPr>
      </w:pPr>
    </w:p>
    <w:p w14:paraId="2B48FD52" w14:textId="77777777" w:rsidR="0049238F" w:rsidRDefault="0049238F" w:rsidP="00833954">
      <w:pPr>
        <w:rPr>
          <w:rFonts w:ascii="Arial" w:hAnsi="Arial" w:cs="Arial"/>
          <w:b/>
          <w:bCs/>
          <w:sz w:val="22"/>
          <w:szCs w:val="22"/>
        </w:rPr>
      </w:pPr>
    </w:p>
    <w:p w14:paraId="3D887E6B" w14:textId="77777777" w:rsidR="0049238F" w:rsidRDefault="0049238F" w:rsidP="00833954">
      <w:pPr>
        <w:rPr>
          <w:rFonts w:ascii="Arial" w:hAnsi="Arial" w:cs="Arial"/>
          <w:b/>
          <w:bCs/>
          <w:sz w:val="22"/>
          <w:szCs w:val="22"/>
        </w:rPr>
      </w:pPr>
    </w:p>
    <w:p w14:paraId="55166682" w14:textId="77777777" w:rsidR="0049238F" w:rsidRPr="006C5F41" w:rsidRDefault="0049238F" w:rsidP="00833954">
      <w:pPr>
        <w:rPr>
          <w:rFonts w:ascii="Arial" w:hAnsi="Arial" w:cs="Arial"/>
          <w:b/>
          <w:bCs/>
          <w:sz w:val="22"/>
          <w:szCs w:val="22"/>
        </w:rPr>
      </w:pPr>
    </w:p>
    <w:p w14:paraId="6CB1790F" w14:textId="77777777" w:rsidR="00643B90" w:rsidRPr="006C5F41" w:rsidRDefault="00643B90" w:rsidP="00833954">
      <w:pPr>
        <w:rPr>
          <w:rFonts w:ascii="Arial" w:hAnsi="Arial" w:cs="Arial"/>
          <w:b/>
          <w:bCs/>
          <w:sz w:val="22"/>
          <w:szCs w:val="22"/>
        </w:rPr>
      </w:pPr>
    </w:p>
    <w:p w14:paraId="799C91AB" w14:textId="16F173A2" w:rsidR="00643B90" w:rsidRPr="006C5F41" w:rsidRDefault="00643B90" w:rsidP="00833954">
      <w:pPr>
        <w:rPr>
          <w:rFonts w:ascii="Arial" w:hAnsi="Arial" w:cs="Arial"/>
          <w:b/>
          <w:bCs/>
          <w:sz w:val="22"/>
          <w:szCs w:val="22"/>
        </w:rPr>
      </w:pPr>
    </w:p>
    <w:p w14:paraId="33DAE294" w14:textId="64A3B60F" w:rsidR="00643B90" w:rsidRPr="006C5F41" w:rsidRDefault="00643B90" w:rsidP="00833954">
      <w:pPr>
        <w:rPr>
          <w:rFonts w:ascii="Arial" w:hAnsi="Arial" w:cs="Arial"/>
          <w:b/>
          <w:bCs/>
          <w:sz w:val="22"/>
          <w:szCs w:val="22"/>
        </w:rPr>
      </w:pPr>
    </w:p>
    <w:p w14:paraId="31BE594C" w14:textId="0E3D5082" w:rsidR="00643B90" w:rsidRPr="006C5F41" w:rsidRDefault="00643B90" w:rsidP="00833954">
      <w:pPr>
        <w:rPr>
          <w:rFonts w:ascii="Arial" w:hAnsi="Arial" w:cs="Arial"/>
          <w:b/>
          <w:bCs/>
          <w:sz w:val="22"/>
          <w:szCs w:val="22"/>
        </w:rPr>
      </w:pPr>
    </w:p>
    <w:p w14:paraId="77522120" w14:textId="73AE4F20" w:rsidR="00643B90" w:rsidRPr="006C5F41" w:rsidRDefault="00643B90" w:rsidP="00833954">
      <w:pPr>
        <w:rPr>
          <w:rFonts w:ascii="Arial" w:hAnsi="Arial" w:cs="Arial"/>
          <w:b/>
          <w:bCs/>
          <w:sz w:val="22"/>
          <w:szCs w:val="22"/>
        </w:rPr>
      </w:pPr>
    </w:p>
    <w:p w14:paraId="098A9FD9" w14:textId="7F0978FC" w:rsidR="00643B90" w:rsidRPr="006C5F41" w:rsidRDefault="00643B90" w:rsidP="00833954">
      <w:pPr>
        <w:rPr>
          <w:rFonts w:ascii="Arial" w:hAnsi="Arial" w:cs="Arial"/>
          <w:b/>
          <w:bCs/>
          <w:sz w:val="22"/>
          <w:szCs w:val="22"/>
        </w:rPr>
      </w:pPr>
    </w:p>
    <w:p w14:paraId="2A167E7D" w14:textId="77777777" w:rsidR="00643B90" w:rsidRPr="006C5F41" w:rsidRDefault="00643B90" w:rsidP="00833954">
      <w:pPr>
        <w:rPr>
          <w:rFonts w:ascii="Arial" w:hAnsi="Arial" w:cs="Arial"/>
          <w:b/>
          <w:bCs/>
          <w:sz w:val="22"/>
          <w:szCs w:val="22"/>
        </w:rPr>
      </w:pPr>
    </w:p>
    <w:p w14:paraId="630672A3" w14:textId="028F9EDD" w:rsidR="00643B90" w:rsidRPr="006C5F41" w:rsidRDefault="00643B90" w:rsidP="00833954">
      <w:pPr>
        <w:rPr>
          <w:rFonts w:ascii="Arial" w:hAnsi="Arial" w:cs="Arial"/>
          <w:b/>
          <w:bCs/>
          <w:sz w:val="22"/>
          <w:szCs w:val="22"/>
        </w:rPr>
      </w:pPr>
    </w:p>
    <w:p w14:paraId="5438EE95" w14:textId="21E399A7" w:rsidR="00643B90" w:rsidRPr="006C5F41" w:rsidRDefault="00643B90" w:rsidP="00833954">
      <w:pPr>
        <w:rPr>
          <w:rFonts w:ascii="Arial" w:hAnsi="Arial" w:cs="Arial"/>
          <w:b/>
          <w:bCs/>
          <w:sz w:val="22"/>
          <w:szCs w:val="22"/>
        </w:rPr>
      </w:pPr>
    </w:p>
    <w:p w14:paraId="7DF6C641" w14:textId="3D689600" w:rsidR="00643B90" w:rsidRPr="006C5F41" w:rsidRDefault="00643B90" w:rsidP="00833954">
      <w:pPr>
        <w:rPr>
          <w:rFonts w:ascii="Arial" w:hAnsi="Arial" w:cs="Arial"/>
          <w:b/>
          <w:bCs/>
          <w:sz w:val="22"/>
          <w:szCs w:val="22"/>
        </w:rPr>
      </w:pPr>
    </w:p>
    <w:p w14:paraId="1A0F47C4" w14:textId="0E97DB1D" w:rsidR="00643B90" w:rsidRPr="006C5F41" w:rsidRDefault="00643B90" w:rsidP="00833954">
      <w:pPr>
        <w:rPr>
          <w:rFonts w:ascii="Arial" w:hAnsi="Arial" w:cs="Arial"/>
          <w:b/>
          <w:bCs/>
          <w:sz w:val="22"/>
          <w:szCs w:val="22"/>
        </w:rPr>
      </w:pPr>
    </w:p>
    <w:p w14:paraId="647FE096" w14:textId="72851440" w:rsidR="00643B90" w:rsidRPr="006C5F41" w:rsidRDefault="00643B90" w:rsidP="00833954">
      <w:pPr>
        <w:rPr>
          <w:rFonts w:ascii="Arial" w:hAnsi="Arial" w:cs="Arial"/>
          <w:b/>
          <w:bCs/>
          <w:sz w:val="22"/>
          <w:szCs w:val="22"/>
        </w:rPr>
      </w:pPr>
    </w:p>
    <w:p w14:paraId="2624631C" w14:textId="77777777" w:rsidR="00643B90" w:rsidRPr="006C5F41" w:rsidRDefault="00643B90" w:rsidP="00833954">
      <w:pPr>
        <w:rPr>
          <w:rFonts w:ascii="Arial" w:hAnsi="Arial" w:cs="Arial"/>
          <w:b/>
          <w:bCs/>
          <w:sz w:val="22"/>
          <w:szCs w:val="22"/>
        </w:rPr>
      </w:pPr>
    </w:p>
    <w:p w14:paraId="73C3C6D9" w14:textId="2330B02D" w:rsidR="00643B90" w:rsidRPr="006C5F41" w:rsidRDefault="00643B90" w:rsidP="00833954">
      <w:pPr>
        <w:rPr>
          <w:rFonts w:ascii="Arial" w:hAnsi="Arial" w:cs="Arial"/>
          <w:b/>
          <w:bCs/>
          <w:sz w:val="22"/>
          <w:szCs w:val="22"/>
        </w:rPr>
      </w:pPr>
    </w:p>
    <w:p w14:paraId="54BD0A3B" w14:textId="075EEDF6" w:rsidR="00643B90" w:rsidRPr="006C5F41" w:rsidRDefault="00643B90" w:rsidP="00833954">
      <w:pPr>
        <w:rPr>
          <w:rFonts w:ascii="Arial" w:hAnsi="Arial" w:cs="Arial"/>
          <w:b/>
          <w:bCs/>
          <w:sz w:val="22"/>
          <w:szCs w:val="22"/>
        </w:rPr>
      </w:pPr>
    </w:p>
    <w:p w14:paraId="6BD5969E" w14:textId="6FDDDCC7" w:rsidR="00643B90" w:rsidRPr="006C5F41" w:rsidRDefault="00643B90" w:rsidP="00833954">
      <w:pPr>
        <w:rPr>
          <w:rFonts w:ascii="Arial" w:hAnsi="Arial" w:cs="Arial"/>
          <w:b/>
          <w:bCs/>
          <w:sz w:val="22"/>
          <w:szCs w:val="22"/>
        </w:rPr>
      </w:pPr>
    </w:p>
    <w:p w14:paraId="6049A5CD" w14:textId="77777777" w:rsidR="00643B90" w:rsidRPr="006C5F41" w:rsidRDefault="00643B90" w:rsidP="00833954">
      <w:pPr>
        <w:rPr>
          <w:rFonts w:ascii="Arial" w:hAnsi="Arial" w:cs="Arial"/>
          <w:b/>
          <w:bCs/>
          <w:sz w:val="22"/>
          <w:szCs w:val="22"/>
        </w:rPr>
      </w:pPr>
    </w:p>
    <w:p w14:paraId="5EC84D7B" w14:textId="0EDA88A3" w:rsidR="00643B90" w:rsidRPr="006C5F41" w:rsidRDefault="00643B90" w:rsidP="00833954">
      <w:pPr>
        <w:rPr>
          <w:rFonts w:ascii="Arial" w:hAnsi="Arial" w:cs="Arial"/>
          <w:b/>
          <w:bCs/>
          <w:sz w:val="22"/>
          <w:szCs w:val="22"/>
        </w:rPr>
      </w:pPr>
    </w:p>
    <w:p w14:paraId="01FB6946" w14:textId="10C5BE83" w:rsidR="00643B90" w:rsidRPr="006C5F41" w:rsidRDefault="00643B90" w:rsidP="00833954">
      <w:pPr>
        <w:rPr>
          <w:rFonts w:ascii="Arial" w:hAnsi="Arial" w:cs="Arial"/>
          <w:b/>
          <w:bCs/>
          <w:sz w:val="22"/>
          <w:szCs w:val="22"/>
        </w:rPr>
      </w:pPr>
    </w:p>
    <w:p w14:paraId="3C207E5A" w14:textId="77777777" w:rsidR="00643B90" w:rsidRPr="006C5F41" w:rsidRDefault="00643B90" w:rsidP="00833954">
      <w:pPr>
        <w:rPr>
          <w:rFonts w:ascii="Arial" w:hAnsi="Arial" w:cs="Arial"/>
          <w:b/>
          <w:bCs/>
          <w:sz w:val="22"/>
          <w:szCs w:val="22"/>
        </w:rPr>
      </w:pPr>
    </w:p>
    <w:p w14:paraId="368111B9" w14:textId="77777777" w:rsidR="00643B90" w:rsidRPr="006C5F41" w:rsidRDefault="00643B90" w:rsidP="00833954">
      <w:pPr>
        <w:rPr>
          <w:rFonts w:ascii="Arial" w:hAnsi="Arial" w:cs="Arial"/>
          <w:b/>
          <w:bCs/>
          <w:sz w:val="22"/>
          <w:szCs w:val="22"/>
        </w:rPr>
      </w:pPr>
    </w:p>
    <w:p w14:paraId="58744FB5" w14:textId="77777777" w:rsidR="00643B90" w:rsidRPr="006C5F41" w:rsidRDefault="00643B90" w:rsidP="00833954">
      <w:pPr>
        <w:rPr>
          <w:rFonts w:ascii="Arial" w:hAnsi="Arial" w:cs="Arial"/>
          <w:b/>
          <w:bCs/>
          <w:sz w:val="22"/>
          <w:szCs w:val="22"/>
        </w:rPr>
      </w:pPr>
    </w:p>
    <w:p w14:paraId="64804ED5" w14:textId="77777777" w:rsidR="00643B90" w:rsidRPr="006C5F41" w:rsidRDefault="00643B90" w:rsidP="00833954">
      <w:pPr>
        <w:rPr>
          <w:rFonts w:ascii="Arial" w:hAnsi="Arial" w:cs="Arial"/>
          <w:b/>
          <w:bCs/>
          <w:sz w:val="22"/>
          <w:szCs w:val="22"/>
        </w:rPr>
      </w:pPr>
    </w:p>
    <w:p w14:paraId="740C497D" w14:textId="77777777" w:rsidR="00643B90" w:rsidRPr="006C5F41" w:rsidRDefault="00643B90" w:rsidP="00833954">
      <w:pPr>
        <w:rPr>
          <w:rFonts w:ascii="Arial" w:hAnsi="Arial" w:cs="Arial"/>
          <w:b/>
          <w:bCs/>
          <w:sz w:val="22"/>
          <w:szCs w:val="22"/>
        </w:rPr>
      </w:pPr>
    </w:p>
    <w:p w14:paraId="18007EB1" w14:textId="77777777" w:rsidR="00643B90" w:rsidRPr="006C5F41" w:rsidRDefault="00643B90" w:rsidP="00833954">
      <w:pPr>
        <w:rPr>
          <w:rFonts w:ascii="Arial" w:hAnsi="Arial" w:cs="Arial"/>
          <w:b/>
          <w:bCs/>
          <w:sz w:val="22"/>
          <w:szCs w:val="22"/>
        </w:rPr>
      </w:pPr>
    </w:p>
    <w:p w14:paraId="62EF6AD1" w14:textId="77777777" w:rsidR="00643B90" w:rsidRPr="006C5F41" w:rsidRDefault="00643B90" w:rsidP="00833954">
      <w:pPr>
        <w:rPr>
          <w:rFonts w:ascii="Arial" w:hAnsi="Arial" w:cs="Arial"/>
          <w:b/>
          <w:bCs/>
          <w:sz w:val="22"/>
          <w:szCs w:val="22"/>
        </w:rPr>
      </w:pPr>
    </w:p>
    <w:p w14:paraId="1BDE6351" w14:textId="77777777" w:rsidR="00643B90" w:rsidRPr="006C5F41" w:rsidRDefault="00643B90" w:rsidP="00833954">
      <w:pPr>
        <w:rPr>
          <w:rFonts w:ascii="Arial" w:hAnsi="Arial" w:cs="Arial"/>
          <w:b/>
          <w:bCs/>
          <w:sz w:val="22"/>
          <w:szCs w:val="22"/>
        </w:rPr>
      </w:pPr>
    </w:p>
    <w:p w14:paraId="6E55F46D" w14:textId="77777777" w:rsidR="00643B90" w:rsidRPr="006C5F41" w:rsidRDefault="00643B90" w:rsidP="00833954">
      <w:pPr>
        <w:rPr>
          <w:rFonts w:ascii="Arial" w:hAnsi="Arial" w:cs="Arial"/>
          <w:b/>
          <w:bCs/>
          <w:sz w:val="22"/>
          <w:szCs w:val="22"/>
        </w:rPr>
      </w:pPr>
    </w:p>
    <w:p w14:paraId="2B3AFBE7" w14:textId="77777777" w:rsidR="00643B90" w:rsidRPr="006C5F41" w:rsidRDefault="00643B90" w:rsidP="00833954">
      <w:pPr>
        <w:rPr>
          <w:rFonts w:ascii="Arial" w:hAnsi="Arial" w:cs="Arial"/>
          <w:b/>
          <w:bCs/>
          <w:sz w:val="22"/>
          <w:szCs w:val="22"/>
        </w:rPr>
      </w:pPr>
    </w:p>
    <w:p w14:paraId="55A8F62E" w14:textId="77777777" w:rsidR="00643B90" w:rsidRPr="006C5F41" w:rsidRDefault="00643B90" w:rsidP="00833954">
      <w:pPr>
        <w:rPr>
          <w:rFonts w:ascii="Arial" w:hAnsi="Arial" w:cs="Arial"/>
          <w:b/>
          <w:bCs/>
          <w:sz w:val="22"/>
          <w:szCs w:val="22"/>
        </w:rPr>
      </w:pPr>
    </w:p>
    <w:p w14:paraId="2F0A1636" w14:textId="77777777" w:rsidR="00643B90" w:rsidRPr="006C5F41" w:rsidRDefault="00643B90" w:rsidP="00833954">
      <w:pPr>
        <w:rPr>
          <w:rFonts w:ascii="Arial" w:hAnsi="Arial" w:cs="Arial"/>
          <w:b/>
          <w:bCs/>
          <w:sz w:val="22"/>
          <w:szCs w:val="22"/>
        </w:rPr>
      </w:pPr>
    </w:p>
    <w:p w14:paraId="012268A8" w14:textId="77777777" w:rsidR="00643B90" w:rsidRPr="006C5F41" w:rsidRDefault="00643B90" w:rsidP="00833954">
      <w:pPr>
        <w:rPr>
          <w:rFonts w:ascii="Arial" w:hAnsi="Arial" w:cs="Arial"/>
          <w:b/>
          <w:bCs/>
          <w:sz w:val="22"/>
          <w:szCs w:val="22"/>
        </w:rPr>
      </w:pPr>
    </w:p>
    <w:p w14:paraId="17B5B3A2" w14:textId="4984A7B3" w:rsidR="002820C2" w:rsidRPr="006C5F41" w:rsidRDefault="002820C2" w:rsidP="00833954">
      <w:pPr>
        <w:rPr>
          <w:rFonts w:ascii="Arial" w:hAnsi="Arial" w:cs="Arial"/>
          <w:b/>
          <w:bCs/>
          <w:sz w:val="22"/>
          <w:szCs w:val="22"/>
        </w:rPr>
      </w:pPr>
      <w:r w:rsidRPr="006C5F41">
        <w:rPr>
          <w:rFonts w:ascii="Arial" w:hAnsi="Arial" w:cs="Arial"/>
          <w:b/>
          <w:bCs/>
          <w:sz w:val="22"/>
          <w:szCs w:val="22"/>
        </w:rPr>
        <w:t>DISCUSSION</w:t>
      </w:r>
    </w:p>
    <w:p w14:paraId="5B52CB0B" w14:textId="77777777" w:rsidR="002820C2" w:rsidRPr="006C5F41" w:rsidRDefault="002820C2" w:rsidP="00833954">
      <w:pPr>
        <w:rPr>
          <w:rFonts w:ascii="Arial" w:hAnsi="Arial" w:cs="Arial"/>
          <w:b/>
          <w:bCs/>
          <w:sz w:val="22"/>
          <w:szCs w:val="22"/>
        </w:rPr>
      </w:pPr>
    </w:p>
    <w:p w14:paraId="040C2A34" w14:textId="014B1E2C" w:rsidR="002820C2" w:rsidRPr="006C5F41" w:rsidRDefault="002820C2" w:rsidP="002820C2">
      <w:pPr>
        <w:jc w:val="both"/>
        <w:rPr>
          <w:rFonts w:ascii="Arial" w:hAnsi="Arial" w:cs="Arial"/>
        </w:rPr>
      </w:pPr>
      <w:r w:rsidRPr="006C5F41">
        <w:rPr>
          <w:rFonts w:ascii="Arial" w:hAnsi="Arial" w:cs="Arial"/>
        </w:rPr>
        <w:t>The present randomized controlled clinical trial evaluated the adjunctive efficacy of ofloxacin- and metronidazole-incorporated titanium-prepared platelet-rich fibrin (T-PRF) in non-surgical periodontal therapy. The results demonstrated that although all three groups showed significant clinical improvement from baseline to 6 weeks, the groups treated with antibiotic-incorporated T-PRF exhibited significantly greater reductions in probing depth, gingival inflammation, bleeding, and plaque accumulation compared to SRP alone. These findings support the role of local drug delivery systems combined with biologically active platelet concentrates in enhancing periodontal healing.</w:t>
      </w:r>
    </w:p>
    <w:p w14:paraId="61BBD1F9" w14:textId="4C3F541E" w:rsidR="002820C2" w:rsidRPr="006C5F41" w:rsidRDefault="002820C2" w:rsidP="002820C2">
      <w:pPr>
        <w:jc w:val="both"/>
        <w:rPr>
          <w:rFonts w:ascii="Arial" w:hAnsi="Arial" w:cs="Arial"/>
        </w:rPr>
      </w:pPr>
      <w:r w:rsidRPr="006C5F41">
        <w:rPr>
          <w:rFonts w:ascii="Arial" w:hAnsi="Arial" w:cs="Arial"/>
        </w:rPr>
        <w:t>Scaling and root planing remains the gold standard for initial periodontal therapy; however, it has been well documented that mechanical debridement alone cannot completely eliminate periodontopathic bacteria from deep periodontal pockets and tissue-invading microorganisms (Slots &amp; Rams, 1990). Local drug delivery systems provide higher concentrations of antimicrobial agents at the target site with minimal systemic side effects and improved patient compliance (Goodson et al., 1979).</w:t>
      </w:r>
    </w:p>
    <w:p w14:paraId="7D73296D" w14:textId="77777777" w:rsidR="002820C2" w:rsidRPr="006C5F41" w:rsidRDefault="002820C2" w:rsidP="002820C2">
      <w:pPr>
        <w:jc w:val="both"/>
        <w:rPr>
          <w:rFonts w:ascii="Arial" w:hAnsi="Arial" w:cs="Arial"/>
        </w:rPr>
      </w:pPr>
      <w:r w:rsidRPr="006C5F41">
        <w:rPr>
          <w:rFonts w:ascii="Arial" w:hAnsi="Arial" w:cs="Arial"/>
        </w:rPr>
        <w:t>Titanium-prepared PRF (T-PRF), introduced by Tunali et al. (2013), differs from conventional PRF by forming a denser fibrin network and providing sustained release of growth factors that promote angiogenesis, fibroblast proliferation, and tissue regeneration. Gummaluri et al. (2023) reported that T-PRF exhibits superior biocompatibility and regenerative potential compared to conventional platelet concentrates. The enhanced clinical outcomes observed in Groups 2 and 3 in the present study can be attributed to the combined antimicrobial and regenerative effects of antibiotic-loaded T-PRF membranes.</w:t>
      </w:r>
    </w:p>
    <w:p w14:paraId="460930FC" w14:textId="77777777" w:rsidR="002820C2" w:rsidRPr="006C5F41" w:rsidRDefault="002820C2" w:rsidP="002820C2">
      <w:pPr>
        <w:jc w:val="both"/>
        <w:rPr>
          <w:rFonts w:ascii="Arial" w:hAnsi="Arial" w:cs="Arial"/>
        </w:rPr>
      </w:pPr>
      <w:r w:rsidRPr="006C5F41">
        <w:rPr>
          <w:rFonts w:ascii="Arial" w:hAnsi="Arial" w:cs="Arial"/>
        </w:rPr>
        <w:t>Ercan et al. (2022) demonstrated that T-PRF can act as a high-capacity drug delivery system for doxycycline, providing controlled and sustained antibiotic release. Similarly, Indurkar and Purohit (2024) reported that T-PRF effectively serves as a carrier for doxycycline with significant antibacterial activity. These findings support the concept that T-PRF can function as a biological scaffold as well as a slow-release antimicrobial system, which explains the superior reductions in bleeding index and plaque index observed in the present study.</w:t>
      </w:r>
    </w:p>
    <w:p w14:paraId="69A90D15" w14:textId="28669B73" w:rsidR="002820C2" w:rsidRPr="006C5F41" w:rsidRDefault="002820C2" w:rsidP="002820C2">
      <w:pPr>
        <w:jc w:val="both"/>
        <w:rPr>
          <w:rFonts w:ascii="Arial" w:hAnsi="Arial" w:cs="Arial"/>
        </w:rPr>
      </w:pPr>
      <w:r w:rsidRPr="006C5F41">
        <w:rPr>
          <w:rFonts w:ascii="Arial" w:hAnsi="Arial" w:cs="Arial"/>
        </w:rPr>
        <w:t xml:space="preserve">Ofloxacin, a second-generation fluoroquinolone, exhibits potent bactericidal activity against gram-negative anaerobes commonly implicated in periodontitis by inhibiting DNA gyrase (Higashi et al., 1989). Chermmal et al. (2021) reported that adjunctive use of ofloxacin with SRP resulted in significant improvements in probing depth and gingival inflammation compared to SRP alone. The present study similarly showed that the ofloxacin-incorporated T-PRF group achieved the </w:t>
      </w:r>
      <w:r w:rsidRPr="006C5F41">
        <w:rPr>
          <w:rFonts w:ascii="Arial" w:hAnsi="Arial" w:cs="Arial"/>
        </w:rPr>
        <w:lastRenderedPageBreak/>
        <w:t>greatest mean reductions across all clinical parameters, indicating its strong antimicrobial efficacy when delivered locally through a fibrin matrix.</w:t>
      </w:r>
    </w:p>
    <w:p w14:paraId="1567E128" w14:textId="10D29567" w:rsidR="002820C2" w:rsidRPr="006C5F41" w:rsidRDefault="002820C2" w:rsidP="002820C2">
      <w:pPr>
        <w:jc w:val="both"/>
        <w:rPr>
          <w:rFonts w:ascii="Arial" w:hAnsi="Arial" w:cs="Arial"/>
        </w:rPr>
      </w:pPr>
      <w:r w:rsidRPr="006C5F41">
        <w:rPr>
          <w:rFonts w:ascii="Arial" w:hAnsi="Arial" w:cs="Arial"/>
        </w:rPr>
        <w:t xml:space="preserve">Utsav et al (2025) reviewed the effectiveness of Metronidazole as a LDD in the treatment of Periodontal diseases. It remains one of the most widely used antimicrobials in periodontal therapy due to its selective action against obligate anaerobic bacteria such as </w:t>
      </w:r>
      <w:r w:rsidRPr="006C5F41">
        <w:rPr>
          <w:rFonts w:ascii="Arial" w:hAnsi="Arial" w:cs="Arial"/>
          <w:i/>
          <w:iCs/>
        </w:rPr>
        <w:t>Porphyromonas gingivalis</w:t>
      </w:r>
      <w:r w:rsidRPr="006C5F41">
        <w:rPr>
          <w:rFonts w:ascii="Arial" w:hAnsi="Arial" w:cs="Arial"/>
        </w:rPr>
        <w:t xml:space="preserve"> and </w:t>
      </w:r>
      <w:r w:rsidRPr="006C5F41">
        <w:rPr>
          <w:rFonts w:ascii="Arial" w:hAnsi="Arial" w:cs="Arial"/>
          <w:i/>
          <w:iCs/>
        </w:rPr>
        <w:t>Prevotella intermedia</w:t>
      </w:r>
      <w:r w:rsidRPr="006C5F41">
        <w:rPr>
          <w:rFonts w:ascii="Arial" w:hAnsi="Arial" w:cs="Arial"/>
        </w:rPr>
        <w:t xml:space="preserve"> (Leitsch, 2019). Omar et al. (2024) demonstrated that leukocyte-PRF loaded with antibiotics significantly improved clinical outcomes in moderate periodontitis, supporting the present findings where metronidazole-incorporated T-PRF produced marked reductions in bleeding and gingival inflammation.</w:t>
      </w:r>
    </w:p>
    <w:p w14:paraId="4D357F0B" w14:textId="1F613716" w:rsidR="002820C2" w:rsidRPr="006C5F41" w:rsidRDefault="002820C2" w:rsidP="002820C2">
      <w:pPr>
        <w:jc w:val="both"/>
        <w:rPr>
          <w:rFonts w:ascii="Arial" w:hAnsi="Arial" w:cs="Arial"/>
        </w:rPr>
      </w:pPr>
      <w:r w:rsidRPr="006C5F41">
        <w:rPr>
          <w:rFonts w:ascii="Arial" w:hAnsi="Arial" w:cs="Arial"/>
        </w:rPr>
        <w:t>The absence of statistically significant differences between ofloxacin- and metronidazole-incorporated T-PRF groups suggests that both antibiotics are equally effective when incorporated into a T-PRF matrix. This may be attributed to the sustained local release of the drugs combined with the biologic activity of platelet-derived growth factors, which together enhance wound healing and microbial control. Similar conclusions were drawn by Omar et al. (2024), who reported comparable efficacy of antibiotic-loaded PRF membranes in periodontal therapy.</w:t>
      </w:r>
    </w:p>
    <w:p w14:paraId="185795BA" w14:textId="0584574A" w:rsidR="002820C2" w:rsidRPr="006C5F41" w:rsidRDefault="002820C2" w:rsidP="002820C2">
      <w:pPr>
        <w:jc w:val="both"/>
        <w:rPr>
          <w:rFonts w:ascii="Arial" w:hAnsi="Arial" w:cs="Arial"/>
        </w:rPr>
      </w:pPr>
      <w:r w:rsidRPr="006C5F41">
        <w:rPr>
          <w:rFonts w:ascii="Arial" w:hAnsi="Arial" w:cs="Arial"/>
        </w:rPr>
        <w:t>The pronounced reduction in bleeding index observed in the antibiotic-incorporated groups highlights the strong anti-inflammatory and antibacterial effect of this approach. This finding is consistent with studies by Ercan et al. (2022) and Chermmal et al. (2021), who reported significant reductions in gingival bleeding and pocket depth with local antibiotic delivery systems.</w:t>
      </w:r>
    </w:p>
    <w:p w14:paraId="7317B40B" w14:textId="77777777" w:rsidR="002820C2" w:rsidRPr="006C5F41" w:rsidRDefault="002820C2" w:rsidP="002820C2">
      <w:pPr>
        <w:jc w:val="both"/>
        <w:rPr>
          <w:rFonts w:ascii="Arial" w:hAnsi="Arial" w:cs="Arial"/>
        </w:rPr>
      </w:pPr>
      <w:r w:rsidRPr="006C5F41">
        <w:rPr>
          <w:rFonts w:ascii="Arial" w:hAnsi="Arial" w:cs="Arial"/>
        </w:rPr>
        <w:t>Overall, the present study confirms that adjunctive placement of antibiotic-incorporated T-PRF membranes provides synergistic benefits by combining mechanical debridement, antimicrobial action, and biologic regeneration. The comparable effectiveness of ofloxacin and metronidazole suggests that clinicians may choose either agent based on bacterial profile, availability, and patient-specific considerations without compromising clinical outcomes.</w:t>
      </w:r>
    </w:p>
    <w:p w14:paraId="6F630207" w14:textId="77777777" w:rsidR="002820C2" w:rsidRPr="006C5F41" w:rsidRDefault="002820C2" w:rsidP="002820C2">
      <w:pPr>
        <w:jc w:val="both"/>
        <w:rPr>
          <w:rFonts w:ascii="Arial" w:hAnsi="Arial" w:cs="Arial"/>
          <w:sz w:val="22"/>
          <w:szCs w:val="22"/>
        </w:rPr>
      </w:pPr>
    </w:p>
    <w:p w14:paraId="4451C672" w14:textId="422EB6CF" w:rsidR="002820C2" w:rsidRPr="006C5F41" w:rsidRDefault="002820C2" w:rsidP="002820C2">
      <w:pPr>
        <w:jc w:val="both"/>
        <w:rPr>
          <w:rFonts w:ascii="Arial" w:hAnsi="Arial" w:cs="Arial"/>
          <w:b/>
          <w:bCs/>
          <w:sz w:val="22"/>
          <w:szCs w:val="22"/>
        </w:rPr>
      </w:pPr>
      <w:r w:rsidRPr="006C5F41">
        <w:rPr>
          <w:rFonts w:ascii="Arial" w:hAnsi="Arial" w:cs="Arial"/>
          <w:b/>
          <w:bCs/>
          <w:sz w:val="22"/>
          <w:szCs w:val="22"/>
        </w:rPr>
        <w:t>Limitations of the study:</w:t>
      </w:r>
    </w:p>
    <w:p w14:paraId="56375C5B" w14:textId="65698AF1" w:rsidR="002820C2" w:rsidRPr="006C5F41" w:rsidRDefault="002820C2" w:rsidP="002820C2">
      <w:pPr>
        <w:rPr>
          <w:rFonts w:ascii="Arial" w:hAnsi="Arial" w:cs="Arial"/>
        </w:rPr>
      </w:pPr>
      <w:r w:rsidRPr="006C5F41">
        <w:rPr>
          <w:rFonts w:ascii="Arial" w:hAnsi="Arial" w:cs="Arial"/>
        </w:rPr>
        <w:t>Despite promising results, the present study has certain limitations. The sample size was relatively small, which may limit the statistical power and generalizability of the findings. The follow-up period of 6 weeks was short and does not provide information regarding the long-term stability of clinical outcomes. Microbiological analysis was not performed, preventing</w:t>
      </w:r>
    </w:p>
    <w:p w14:paraId="59E670A9" w14:textId="783F183C" w:rsidR="002820C2" w:rsidRPr="006C5F41" w:rsidRDefault="002820C2" w:rsidP="00833954">
      <w:pPr>
        <w:rPr>
          <w:rFonts w:ascii="Arial" w:hAnsi="Arial" w:cs="Arial"/>
        </w:rPr>
      </w:pPr>
      <w:r w:rsidRPr="006C5F41">
        <w:rPr>
          <w:rFonts w:ascii="Arial" w:hAnsi="Arial" w:cs="Arial"/>
        </w:rPr>
        <w:t>direct assessment of bacterial reduction and changes in periodontal pathogens. Radiographic evaluation was also not included, limiting the ability to determine true periodontal regeneration or bone fill. Additionally, the study was conducted at a single center, which may introduce selection bias. Further multicenter studies with larger sample sizes, longer follow-up periods, and inclusion of microbiological and radiographic parameters are necessary to validate these findings and establish standardized clinical protocols.</w:t>
      </w:r>
    </w:p>
    <w:p w14:paraId="35358797" w14:textId="77777777" w:rsidR="002820C2" w:rsidRPr="006C5F41" w:rsidRDefault="002820C2" w:rsidP="00833954">
      <w:pPr>
        <w:rPr>
          <w:rFonts w:ascii="Arial" w:hAnsi="Arial" w:cs="Arial"/>
          <w:b/>
          <w:bCs/>
          <w:sz w:val="22"/>
          <w:szCs w:val="22"/>
        </w:rPr>
      </w:pPr>
    </w:p>
    <w:p w14:paraId="64974AB1" w14:textId="4C32F36B" w:rsidR="002820C2" w:rsidRPr="006C5F41" w:rsidRDefault="002820C2" w:rsidP="00833954">
      <w:pPr>
        <w:rPr>
          <w:rFonts w:ascii="Arial" w:hAnsi="Arial" w:cs="Arial"/>
          <w:b/>
          <w:bCs/>
          <w:sz w:val="22"/>
          <w:szCs w:val="22"/>
        </w:rPr>
      </w:pPr>
    </w:p>
    <w:p w14:paraId="4D0BECF8" w14:textId="37BE1339" w:rsidR="00B01FCD" w:rsidRPr="006C5F41" w:rsidRDefault="00AF5BE3" w:rsidP="00AF5BE3">
      <w:pPr>
        <w:rPr>
          <w:rFonts w:ascii="Arial" w:hAnsi="Arial" w:cs="Arial"/>
          <w:b/>
          <w:bCs/>
          <w:sz w:val="22"/>
          <w:szCs w:val="22"/>
        </w:rPr>
      </w:pPr>
      <w:r w:rsidRPr="006C5F41">
        <w:rPr>
          <w:rFonts w:ascii="Arial" w:hAnsi="Arial" w:cs="Arial"/>
          <w:b/>
          <w:bCs/>
          <w:sz w:val="22"/>
          <w:szCs w:val="22"/>
        </w:rPr>
        <w:t>4. CONCLUSION</w:t>
      </w:r>
    </w:p>
    <w:p w14:paraId="3C3E628F" w14:textId="77777777" w:rsidR="002820C2" w:rsidRPr="006C5F41" w:rsidRDefault="002820C2" w:rsidP="002820C2">
      <w:pPr>
        <w:jc w:val="both"/>
        <w:rPr>
          <w:rFonts w:ascii="Arial" w:hAnsi="Arial" w:cs="Arial"/>
        </w:rPr>
      </w:pPr>
      <w:r w:rsidRPr="006C5F41">
        <w:rPr>
          <w:rFonts w:ascii="Arial" w:hAnsi="Arial" w:cs="Arial"/>
        </w:rPr>
        <w:t xml:space="preserve">Within the limitations of this RCT, all treatment modalities produced significant improvements from baseline to 6 weeks. The adjunctive use of antibiotic-incorporated T-PRF membranes resulted in significantly greater reductions in clinical parameters compared to SRP alone. </w:t>
      </w:r>
    </w:p>
    <w:p w14:paraId="4057E60F" w14:textId="77777777" w:rsidR="002820C2" w:rsidRPr="006C5F41" w:rsidRDefault="002820C2" w:rsidP="002820C2">
      <w:pPr>
        <w:jc w:val="both"/>
        <w:rPr>
          <w:rFonts w:ascii="Arial" w:hAnsi="Arial" w:cs="Arial"/>
        </w:rPr>
      </w:pPr>
      <w:r w:rsidRPr="006C5F41">
        <w:rPr>
          <w:rFonts w:ascii="Arial" w:hAnsi="Arial" w:cs="Arial"/>
        </w:rPr>
        <w:t>Both ofloxacin and metronidazole incorporated T-PRF demonstrated superior clinical efficacy, Ofloxacin being slightly superior with no much significant difference between the two formulations, indicating comparable therapeutic potential. This approach combines sustained local antimicrobial delivery with the regenerative properties of platelet concentrates, thereby enhancing periodontal healing.</w:t>
      </w:r>
    </w:p>
    <w:p w14:paraId="5D8EB524" w14:textId="77777777" w:rsidR="00790ADA" w:rsidRPr="006C5F41" w:rsidRDefault="00790ADA" w:rsidP="00441B6F">
      <w:pPr>
        <w:pStyle w:val="ConcHead"/>
        <w:spacing w:after="0"/>
        <w:jc w:val="both"/>
        <w:rPr>
          <w:rFonts w:ascii="Arial" w:hAnsi="Arial" w:cs="Arial"/>
        </w:rPr>
      </w:pPr>
    </w:p>
    <w:p w14:paraId="05522246" w14:textId="77777777" w:rsidR="00790ADA" w:rsidRPr="006C5F41" w:rsidRDefault="00790ADA" w:rsidP="00441B6F">
      <w:pPr>
        <w:pStyle w:val="Body"/>
        <w:spacing w:after="0"/>
        <w:rPr>
          <w:rFonts w:ascii="Arial" w:hAnsi="Arial" w:cs="Arial"/>
        </w:rPr>
      </w:pPr>
    </w:p>
    <w:p w14:paraId="4991944F" w14:textId="4B5FDA42" w:rsidR="005C784C" w:rsidRPr="006C5F41" w:rsidRDefault="005C784C" w:rsidP="00441B6F">
      <w:pPr>
        <w:pStyle w:val="ReferHead"/>
        <w:spacing w:after="0"/>
        <w:jc w:val="both"/>
        <w:rPr>
          <w:rFonts w:ascii="Arial" w:hAnsi="Arial" w:cs="Arial"/>
          <w:bCs/>
        </w:rPr>
      </w:pPr>
      <w:r w:rsidRPr="006C5F41">
        <w:rPr>
          <w:rFonts w:ascii="Arial" w:hAnsi="Arial" w:cs="Arial"/>
          <w:bCs/>
        </w:rPr>
        <w:t xml:space="preserve">Ethical approval </w:t>
      </w:r>
    </w:p>
    <w:p w14:paraId="70F371C3" w14:textId="77777777" w:rsidR="005C784C" w:rsidRPr="006C5F41" w:rsidRDefault="005C784C" w:rsidP="00441B6F">
      <w:pPr>
        <w:pStyle w:val="ReferHead"/>
        <w:spacing w:after="0"/>
        <w:jc w:val="both"/>
        <w:rPr>
          <w:rFonts w:ascii="Arial" w:hAnsi="Arial" w:cs="Arial"/>
          <w:bCs/>
        </w:rPr>
      </w:pPr>
    </w:p>
    <w:p w14:paraId="46EB7512" w14:textId="77777777" w:rsidR="00E43392" w:rsidRDefault="00E43392" w:rsidP="00E43392">
      <w:pPr>
        <w:rPr>
          <w:rFonts w:ascii="Arial" w:hAnsi="Arial" w:cs="Arial"/>
          <w:b/>
          <w:bCs/>
          <w:color w:val="000000"/>
          <w:shd w:val="clear" w:color="auto" w:fill="F0F8FF"/>
        </w:rPr>
      </w:pPr>
      <w:r w:rsidRPr="006C5F41">
        <w:rPr>
          <w:rFonts w:ascii="Arial" w:hAnsi="Arial" w:cs="Arial"/>
        </w:rPr>
        <w:t>The study was reviewed and approved by the Institutional Ethics committee (IECKVGDCH/PGSS23/2025-26) and registered under Clinical Trials Registry India (CTRI)-</w:t>
      </w:r>
      <w:r w:rsidRPr="006C5F41">
        <w:rPr>
          <w:rFonts w:ascii="Arial" w:hAnsi="Arial" w:cs="Arial"/>
          <w:b/>
          <w:bCs/>
        </w:rPr>
        <w:t xml:space="preserve"> </w:t>
      </w:r>
      <w:r w:rsidRPr="006C5F41">
        <w:rPr>
          <w:rFonts w:ascii="Arial" w:hAnsi="Arial" w:cs="Arial"/>
        </w:rPr>
        <w:t>CTRI/2025/11/098023. Before any interventions, the nature and purpose of the study were explained to the participants, who then provided their written, informed consent</w:t>
      </w:r>
      <w:r w:rsidRPr="006C5F41">
        <w:rPr>
          <w:rFonts w:ascii="Arial" w:hAnsi="Arial" w:cs="Arial"/>
          <w:b/>
          <w:bCs/>
        </w:rPr>
        <w:t>.</w:t>
      </w:r>
      <w:r w:rsidRPr="006C5F41">
        <w:rPr>
          <w:rFonts w:ascii="Arial" w:hAnsi="Arial" w:cs="Arial"/>
          <w:b/>
          <w:bCs/>
          <w:color w:val="000000"/>
          <w:shd w:val="clear" w:color="auto" w:fill="F0F8FF"/>
        </w:rPr>
        <w:t xml:space="preserve"> </w:t>
      </w:r>
    </w:p>
    <w:p w14:paraId="2FF5D680" w14:textId="77777777" w:rsidR="003C4FA1" w:rsidRDefault="003C4FA1" w:rsidP="00E43392">
      <w:pPr>
        <w:rPr>
          <w:rFonts w:ascii="Arial" w:hAnsi="Arial" w:cs="Arial"/>
          <w:b/>
          <w:bCs/>
          <w:color w:val="000000"/>
          <w:shd w:val="clear" w:color="auto" w:fill="F0F8FF"/>
        </w:rPr>
      </w:pPr>
    </w:p>
    <w:p w14:paraId="123101CA" w14:textId="77777777" w:rsidR="003C4FA1" w:rsidRPr="003A29C6" w:rsidRDefault="003C4FA1" w:rsidP="003C4FA1">
      <w:pPr>
        <w:jc w:val="both"/>
        <w:outlineLvl w:val="0"/>
        <w:rPr>
          <w:rFonts w:ascii="Arial" w:hAnsi="Arial" w:cs="Arial"/>
        </w:rPr>
      </w:pPr>
      <w:r w:rsidRPr="003A29C6">
        <w:rPr>
          <w:rFonts w:ascii="Arial" w:hAnsi="Arial" w:cs="Arial"/>
          <w:b/>
          <w:bCs/>
        </w:rPr>
        <w:t>COMPETING INTERESTS DISCLAIMER:</w:t>
      </w:r>
    </w:p>
    <w:p w14:paraId="7D1E61C5" w14:textId="77777777" w:rsidR="003C4FA1" w:rsidRDefault="003C4FA1" w:rsidP="003C4FA1">
      <w:r w:rsidRPr="00A10EDE">
        <w:t>Authors have declared that they have no known competing financial interests OR non-financial interests OR personal relationships that could have appeared to influence the work reported in this paper.</w:t>
      </w:r>
    </w:p>
    <w:p w14:paraId="1F22A8E0" w14:textId="77777777" w:rsidR="003C4FA1" w:rsidRPr="006C5F41" w:rsidRDefault="003C4FA1" w:rsidP="00E43392">
      <w:pPr>
        <w:rPr>
          <w:rFonts w:ascii="Arial" w:hAnsi="Arial" w:cs="Arial"/>
          <w:b/>
          <w:bCs/>
          <w:color w:val="000000"/>
          <w:shd w:val="clear" w:color="auto" w:fill="F0F8FF"/>
        </w:rPr>
      </w:pPr>
    </w:p>
    <w:p w14:paraId="2CA0623C" w14:textId="77777777" w:rsidR="00E43392" w:rsidRPr="006C5F41" w:rsidRDefault="00E43392" w:rsidP="00E43392">
      <w:pPr>
        <w:rPr>
          <w:rFonts w:ascii="Arial" w:hAnsi="Arial" w:cs="Arial"/>
          <w:b/>
          <w:bCs/>
          <w:color w:val="000000"/>
          <w:shd w:val="clear" w:color="auto" w:fill="F0F8FF"/>
        </w:rPr>
      </w:pPr>
    </w:p>
    <w:p w14:paraId="68D21508" w14:textId="77777777" w:rsidR="00B01FCD" w:rsidRPr="006C5F41" w:rsidRDefault="00B01FCD" w:rsidP="00441B6F">
      <w:pPr>
        <w:pStyle w:val="ReferHead"/>
        <w:spacing w:after="0"/>
        <w:jc w:val="both"/>
        <w:rPr>
          <w:rFonts w:ascii="Arial" w:hAnsi="Arial" w:cs="Arial"/>
        </w:rPr>
      </w:pPr>
      <w:commentRangeStart w:id="4"/>
      <w:r w:rsidRPr="006C5F41">
        <w:rPr>
          <w:rFonts w:ascii="Arial" w:hAnsi="Arial" w:cs="Arial"/>
        </w:rPr>
        <w:t>References</w:t>
      </w:r>
      <w:commentRangeEnd w:id="4"/>
      <w:r w:rsidR="0062222E" w:rsidRPr="006C5F41">
        <w:rPr>
          <w:rStyle w:val="CommentReference"/>
          <w:rFonts w:ascii="Arial" w:hAnsi="Arial" w:cs="Arial"/>
          <w:sz w:val="22"/>
          <w:szCs w:val="20"/>
        </w:rPr>
        <w:commentReference w:id="4"/>
      </w:r>
    </w:p>
    <w:p w14:paraId="7CC445B5" w14:textId="77777777" w:rsidR="005E09BA" w:rsidRPr="006C5F41" w:rsidRDefault="005E09BA" w:rsidP="005E09BA">
      <w:pPr>
        <w:jc w:val="both"/>
        <w:rPr>
          <w:rFonts w:ascii="Times New Roman" w:hAnsi="Times New Roman"/>
          <w:b/>
          <w:bCs/>
        </w:rPr>
      </w:pPr>
    </w:p>
    <w:p w14:paraId="10B319BB"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Slots J, Rams TE. Antibiotics in periodontal therapy: advantages and disadvantages. </w:t>
      </w:r>
      <w:r w:rsidRPr="006C5F41">
        <w:rPr>
          <w:rFonts w:ascii="Arial" w:hAnsi="Arial" w:cs="Arial"/>
          <w:i/>
          <w:iCs/>
          <w:sz w:val="20"/>
          <w:szCs w:val="20"/>
        </w:rPr>
        <w:t>J Clin Periodontol</w:t>
      </w:r>
      <w:r w:rsidRPr="006C5F41">
        <w:rPr>
          <w:rFonts w:ascii="Arial" w:hAnsi="Arial" w:cs="Arial"/>
          <w:sz w:val="20"/>
          <w:szCs w:val="20"/>
        </w:rPr>
        <w:t>. 1990;17(7):479–493.</w:t>
      </w:r>
    </w:p>
    <w:p w14:paraId="41EEE0D8"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lastRenderedPageBreak/>
        <w:t xml:space="preserve">Goodson JM, Haffajee AD, Socransky SS. Periodontal therapy by local delivery of tetracycline. </w:t>
      </w:r>
      <w:r w:rsidRPr="006C5F41">
        <w:rPr>
          <w:rFonts w:ascii="Arial" w:hAnsi="Arial" w:cs="Arial"/>
          <w:i/>
          <w:iCs/>
          <w:sz w:val="20"/>
          <w:szCs w:val="20"/>
        </w:rPr>
        <w:t>J Clin Periodontol</w:t>
      </w:r>
      <w:r w:rsidRPr="006C5F41">
        <w:rPr>
          <w:rFonts w:ascii="Arial" w:hAnsi="Arial" w:cs="Arial"/>
          <w:sz w:val="20"/>
          <w:szCs w:val="20"/>
        </w:rPr>
        <w:t>. 1979;6(2):83–92.</w:t>
      </w:r>
    </w:p>
    <w:p w14:paraId="04348402"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Addy M, Mostafa P, Newcombe RG. A clinical study of locally delivered metronidazole gel in the treatment of periodontal pockets. </w:t>
      </w:r>
      <w:r w:rsidRPr="006C5F41">
        <w:rPr>
          <w:rFonts w:ascii="Arial" w:hAnsi="Arial" w:cs="Arial"/>
          <w:i/>
          <w:iCs/>
          <w:sz w:val="20"/>
          <w:szCs w:val="20"/>
        </w:rPr>
        <w:t>J Clin Periodontol</w:t>
      </w:r>
      <w:r w:rsidRPr="006C5F41">
        <w:rPr>
          <w:rFonts w:ascii="Arial" w:hAnsi="Arial" w:cs="Arial"/>
          <w:sz w:val="20"/>
          <w:szCs w:val="20"/>
        </w:rPr>
        <w:t>. 1982;9(5):392–398.</w:t>
      </w:r>
    </w:p>
    <w:p w14:paraId="6DB8E36A"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Caffesse RG, Smith BA, Brägger U, Wennström JL. Clinical effects of locally delivered controlled-release metronidazole in periodontal pockets. </w:t>
      </w:r>
      <w:r w:rsidRPr="006C5F41">
        <w:rPr>
          <w:rFonts w:ascii="Arial" w:hAnsi="Arial" w:cs="Arial"/>
          <w:i/>
          <w:iCs/>
          <w:sz w:val="20"/>
          <w:szCs w:val="20"/>
        </w:rPr>
        <w:t>J Periodontol</w:t>
      </w:r>
      <w:r w:rsidRPr="006C5F41">
        <w:rPr>
          <w:rFonts w:ascii="Arial" w:hAnsi="Arial" w:cs="Arial"/>
          <w:sz w:val="20"/>
          <w:szCs w:val="20"/>
        </w:rPr>
        <w:t>. 1995;66(9):834–840.</w:t>
      </w:r>
    </w:p>
    <w:p w14:paraId="68F95D88"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van Winkelhoff AJ, Rodenburg JP, Goené RJ, Abbas F, Winkel EG, de Graaff J. Metronidazole plus amoxicillin in the treatment of Actinobacillus actinomycetemcomitans–associated periodontitis. </w:t>
      </w:r>
      <w:r w:rsidRPr="006C5F41">
        <w:rPr>
          <w:rFonts w:ascii="Arial" w:hAnsi="Arial" w:cs="Arial"/>
          <w:i/>
          <w:iCs/>
          <w:sz w:val="20"/>
          <w:szCs w:val="20"/>
        </w:rPr>
        <w:t>J Clin Periodontol</w:t>
      </w:r>
      <w:r w:rsidRPr="006C5F41">
        <w:rPr>
          <w:rFonts w:ascii="Arial" w:hAnsi="Arial" w:cs="Arial"/>
          <w:sz w:val="20"/>
          <w:szCs w:val="20"/>
        </w:rPr>
        <w:t>. 1989;16(2):128–131.</w:t>
      </w:r>
    </w:p>
    <w:p w14:paraId="41860658"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Bosshardt DD, Chappuis V. Local antibiotic therapy for periodontitis: clinical and microbiological effects. </w:t>
      </w:r>
      <w:r w:rsidRPr="006C5F41">
        <w:rPr>
          <w:rFonts w:ascii="Arial" w:hAnsi="Arial" w:cs="Arial"/>
          <w:i/>
          <w:iCs/>
          <w:sz w:val="20"/>
          <w:szCs w:val="20"/>
        </w:rPr>
        <w:t>Periodontol 2000</w:t>
      </w:r>
      <w:r w:rsidRPr="006C5F41">
        <w:rPr>
          <w:rFonts w:ascii="Arial" w:hAnsi="Arial" w:cs="Arial"/>
          <w:sz w:val="20"/>
          <w:szCs w:val="20"/>
        </w:rPr>
        <w:t>. 2010;53:216–243.</w:t>
      </w:r>
    </w:p>
    <w:p w14:paraId="4DAE32F0"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Goodson JM, Gunsolley JC. Local drug delivery in periodontal therapy. </w:t>
      </w:r>
      <w:r w:rsidRPr="006C5F41">
        <w:rPr>
          <w:rFonts w:ascii="Arial" w:hAnsi="Arial" w:cs="Arial"/>
          <w:i/>
          <w:iCs/>
          <w:sz w:val="20"/>
          <w:szCs w:val="20"/>
        </w:rPr>
        <w:t>Compend Contin Educ Dent</w:t>
      </w:r>
      <w:r w:rsidRPr="006C5F41">
        <w:rPr>
          <w:rFonts w:ascii="Arial" w:hAnsi="Arial" w:cs="Arial"/>
          <w:sz w:val="20"/>
          <w:szCs w:val="20"/>
        </w:rPr>
        <w:t>. 2002;23(9 Suppl):23–29.</w:t>
      </w:r>
    </w:p>
    <w:p w14:paraId="2EE4FA47"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Tunali M, Ozdemir H, Arabaci T, Gurbuzer B, Pikdoken L, Firatli E. Clinical evaluation of autologous titanium-prepared platelet-rich fibrin (T-PRF) in the treatment of multiple adjacent gingival recession defects: a 12-month study. </w:t>
      </w:r>
      <w:r w:rsidRPr="006C5F41">
        <w:rPr>
          <w:rFonts w:ascii="Arial" w:hAnsi="Arial" w:cs="Arial"/>
          <w:i/>
          <w:iCs/>
          <w:sz w:val="20"/>
          <w:szCs w:val="20"/>
        </w:rPr>
        <w:t>J Periodontol</w:t>
      </w:r>
      <w:r w:rsidRPr="006C5F41">
        <w:rPr>
          <w:rFonts w:ascii="Arial" w:hAnsi="Arial" w:cs="Arial"/>
          <w:sz w:val="20"/>
          <w:szCs w:val="20"/>
        </w:rPr>
        <w:t>. 2013;84(3):315–323.</w:t>
      </w:r>
    </w:p>
    <w:p w14:paraId="21624E83"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Gummaluri SS, Gurumoorthy K, Kancharla AK, Boyapati R. Evaluating the predictability and regenerative capacity of titanium platelet-rich fibrin (T-PRF) in dentistry: a narrative review. </w:t>
      </w:r>
      <w:r w:rsidRPr="006C5F41">
        <w:rPr>
          <w:rFonts w:ascii="Arial" w:hAnsi="Arial" w:cs="Arial"/>
          <w:i/>
          <w:iCs/>
          <w:sz w:val="20"/>
          <w:szCs w:val="20"/>
        </w:rPr>
        <w:t>Cumhuriyet Dent J</w:t>
      </w:r>
      <w:r w:rsidRPr="006C5F41">
        <w:rPr>
          <w:rFonts w:ascii="Arial" w:hAnsi="Arial" w:cs="Arial"/>
          <w:sz w:val="20"/>
          <w:szCs w:val="20"/>
        </w:rPr>
        <w:t>. 2023;26(3):332–339.</w:t>
      </w:r>
    </w:p>
    <w:p w14:paraId="536AAD76"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Ercan E, Suner SS, Silan C, Yilmaz S, Siddikoglu D, Sahiner N, et al. Titanium platelet-rich fibrin (T-PRF) as high-capacity doxycycline delivery system. </w:t>
      </w:r>
      <w:r w:rsidRPr="006C5F41">
        <w:rPr>
          <w:rFonts w:ascii="Arial" w:hAnsi="Arial" w:cs="Arial"/>
          <w:i/>
          <w:iCs/>
          <w:sz w:val="20"/>
          <w:szCs w:val="20"/>
        </w:rPr>
        <w:t>Clin Oral Investig</w:t>
      </w:r>
      <w:r w:rsidRPr="006C5F41">
        <w:rPr>
          <w:rFonts w:ascii="Arial" w:hAnsi="Arial" w:cs="Arial"/>
          <w:sz w:val="20"/>
          <w:szCs w:val="20"/>
        </w:rPr>
        <w:t>. 2022;26(8):5429–5438.</w:t>
      </w:r>
    </w:p>
    <w:p w14:paraId="3E8D78B6"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Indurkar MS, Purohit JN. Titanium platelet-rich fibrin as doxycycline delivery system: an in vitro study. </w:t>
      </w:r>
      <w:r w:rsidRPr="006C5F41">
        <w:rPr>
          <w:rFonts w:ascii="Arial" w:hAnsi="Arial" w:cs="Arial"/>
          <w:i/>
          <w:iCs/>
          <w:sz w:val="20"/>
          <w:szCs w:val="20"/>
        </w:rPr>
        <w:t>Int J Oral Health Sci</w:t>
      </w:r>
      <w:r w:rsidRPr="006C5F41">
        <w:rPr>
          <w:rFonts w:ascii="Arial" w:hAnsi="Arial" w:cs="Arial"/>
          <w:sz w:val="20"/>
          <w:szCs w:val="20"/>
        </w:rPr>
        <w:t>. 2024;14(2):67–71.</w:t>
      </w:r>
    </w:p>
    <w:p w14:paraId="545CA6B9"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Omar YK, Rashidy MA, Ahmed GB, Aboulela AG. Evaluation of leukocyte-platelet rich fibrin as an antibiotic slow-release biological device in the treatment of moderate periodontitis: a randomized controlled clinical trial. </w:t>
      </w:r>
      <w:r w:rsidRPr="006C5F41">
        <w:rPr>
          <w:rFonts w:ascii="Arial" w:hAnsi="Arial" w:cs="Arial"/>
          <w:i/>
          <w:iCs/>
          <w:sz w:val="20"/>
          <w:szCs w:val="20"/>
        </w:rPr>
        <w:t>BMC Oral Health</w:t>
      </w:r>
      <w:r w:rsidRPr="006C5F41">
        <w:rPr>
          <w:rFonts w:ascii="Arial" w:hAnsi="Arial" w:cs="Arial"/>
          <w:sz w:val="20"/>
          <w:szCs w:val="20"/>
        </w:rPr>
        <w:t>. 2024;24(1):1530.</w:t>
      </w:r>
    </w:p>
    <w:p w14:paraId="0174E16D"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Chermmal AK, Babu HM, Vivekananda MR. Evaluation of ofloxacin and ornidazole as an adjunct to scaling and root planing in the treatment of generalized chronic periodontitis: a randomized clinical study. </w:t>
      </w:r>
      <w:r w:rsidRPr="006C5F41">
        <w:rPr>
          <w:rFonts w:ascii="Arial" w:hAnsi="Arial" w:cs="Arial"/>
          <w:i/>
          <w:iCs/>
          <w:sz w:val="20"/>
          <w:szCs w:val="20"/>
        </w:rPr>
        <w:t>World J Dent</w:t>
      </w:r>
      <w:r w:rsidRPr="006C5F41">
        <w:rPr>
          <w:rFonts w:ascii="Arial" w:hAnsi="Arial" w:cs="Arial"/>
          <w:sz w:val="20"/>
          <w:szCs w:val="20"/>
        </w:rPr>
        <w:t>. 2021;12(6):485–491.</w:t>
      </w:r>
    </w:p>
    <w:p w14:paraId="7BF8BA62"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Higashi K, Seike M, Mitani Y, Morisaki K, Hayashi SI, Kitamura M, et al. Concentration of ofloxacin in human gingival crevicular fluid after oral administration of Tarivid®. </w:t>
      </w:r>
      <w:r w:rsidRPr="006C5F41">
        <w:rPr>
          <w:rFonts w:ascii="Arial" w:hAnsi="Arial" w:cs="Arial"/>
          <w:i/>
          <w:iCs/>
          <w:sz w:val="20"/>
          <w:szCs w:val="20"/>
        </w:rPr>
        <w:t>J Periodontal Res</w:t>
      </w:r>
      <w:r w:rsidRPr="006C5F41">
        <w:rPr>
          <w:rFonts w:ascii="Arial" w:hAnsi="Arial" w:cs="Arial"/>
          <w:sz w:val="20"/>
          <w:szCs w:val="20"/>
        </w:rPr>
        <w:t>. 1989;24(6):393–397.</w:t>
      </w:r>
    </w:p>
    <w:p w14:paraId="10132CC1"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Leitsch D. A review on metronidazole: an old warhorse in antimicrobial chemotherapy. </w:t>
      </w:r>
      <w:r w:rsidRPr="006C5F41">
        <w:rPr>
          <w:rFonts w:ascii="Arial" w:hAnsi="Arial" w:cs="Arial"/>
          <w:i/>
          <w:iCs/>
          <w:sz w:val="20"/>
          <w:szCs w:val="20"/>
        </w:rPr>
        <w:t>Parasitology</w:t>
      </w:r>
      <w:r w:rsidRPr="006C5F41">
        <w:rPr>
          <w:rFonts w:ascii="Arial" w:hAnsi="Arial" w:cs="Arial"/>
          <w:sz w:val="20"/>
          <w:szCs w:val="20"/>
        </w:rPr>
        <w:t>. 2019;146(9):1167–1182.</w:t>
      </w:r>
    </w:p>
    <w:p w14:paraId="4AA89D63"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Polak D, Clemer-Shamai N, Shapira L. Comparative evaluation of L-PRF and ofloxacin-incorporated L-PRF as an adjunct to scaling and root planing: a randomized clinical trial. </w:t>
      </w:r>
      <w:r w:rsidRPr="006C5F41">
        <w:rPr>
          <w:rFonts w:ascii="Arial" w:hAnsi="Arial" w:cs="Arial"/>
          <w:i/>
          <w:iCs/>
          <w:sz w:val="20"/>
          <w:szCs w:val="20"/>
        </w:rPr>
        <w:t>J Periodontal Res</w:t>
      </w:r>
      <w:r w:rsidRPr="006C5F41">
        <w:rPr>
          <w:rFonts w:ascii="Arial" w:hAnsi="Arial" w:cs="Arial"/>
          <w:sz w:val="20"/>
          <w:szCs w:val="20"/>
        </w:rPr>
        <w:t>. 2024;59(2):345–353.</w:t>
      </w:r>
    </w:p>
    <w:p w14:paraId="41AABE6C"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Bosshardt DD, Lang NP. The junctional epithelium: from health to disease. </w:t>
      </w:r>
      <w:r w:rsidRPr="006C5F41">
        <w:rPr>
          <w:rFonts w:ascii="Arial" w:hAnsi="Arial" w:cs="Arial"/>
          <w:i/>
          <w:iCs/>
          <w:sz w:val="20"/>
          <w:szCs w:val="20"/>
        </w:rPr>
        <w:t>J Dent Res</w:t>
      </w:r>
      <w:r w:rsidRPr="006C5F41">
        <w:rPr>
          <w:rFonts w:ascii="Arial" w:hAnsi="Arial" w:cs="Arial"/>
          <w:sz w:val="20"/>
          <w:szCs w:val="20"/>
        </w:rPr>
        <w:t>. 2005;84(1):9–20.</w:t>
      </w:r>
    </w:p>
    <w:p w14:paraId="4E581ECF"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Harks I, Koch R, Eickholz P, Hoffmann T, Kim TS, Kocher T, et al. Adjunctive antimicrobial therapy in nonsurgical periodontal treatment: a systematic review and meta-analysis. </w:t>
      </w:r>
      <w:r w:rsidRPr="006C5F41">
        <w:rPr>
          <w:rFonts w:ascii="Arial" w:hAnsi="Arial" w:cs="Arial"/>
          <w:i/>
          <w:iCs/>
          <w:sz w:val="20"/>
          <w:szCs w:val="20"/>
        </w:rPr>
        <w:t>J Clin Periodontol</w:t>
      </w:r>
      <w:r w:rsidRPr="006C5F41">
        <w:rPr>
          <w:rFonts w:ascii="Arial" w:hAnsi="Arial" w:cs="Arial"/>
          <w:sz w:val="20"/>
          <w:szCs w:val="20"/>
        </w:rPr>
        <w:t>. 2015;42(2):161–176.</w:t>
      </w:r>
    </w:p>
    <w:p w14:paraId="25A2C26B" w14:textId="77777777" w:rsidR="005E09BA" w:rsidRPr="006C5F41" w:rsidRDefault="005E09BA" w:rsidP="005E09BA">
      <w:pPr>
        <w:pStyle w:val="ListParagraph"/>
        <w:numPr>
          <w:ilvl w:val="0"/>
          <w:numId w:val="34"/>
        </w:numPr>
        <w:rPr>
          <w:rFonts w:ascii="Arial" w:hAnsi="Arial" w:cs="Arial"/>
          <w:sz w:val="20"/>
          <w:szCs w:val="20"/>
        </w:rPr>
      </w:pPr>
      <w:r w:rsidRPr="006C5F41">
        <w:rPr>
          <w:rFonts w:ascii="Arial" w:hAnsi="Arial" w:cs="Arial"/>
          <w:sz w:val="20"/>
          <w:szCs w:val="20"/>
        </w:rPr>
        <w:t xml:space="preserve">Jain N, Jain GK, Javed S, Iqbal Z, Talegaonkar S, Ahmad FJ, et al. Recent approaches for the treatment of periodontitis. </w:t>
      </w:r>
      <w:r w:rsidRPr="006C5F41">
        <w:rPr>
          <w:rFonts w:ascii="Arial" w:hAnsi="Arial" w:cs="Arial"/>
          <w:i/>
          <w:iCs/>
          <w:sz w:val="20"/>
          <w:szCs w:val="20"/>
        </w:rPr>
        <w:t>Drug Discov Today</w:t>
      </w:r>
      <w:r w:rsidRPr="006C5F41">
        <w:rPr>
          <w:rFonts w:ascii="Arial" w:hAnsi="Arial" w:cs="Arial"/>
          <w:sz w:val="20"/>
          <w:szCs w:val="20"/>
        </w:rPr>
        <w:t>. 2008;13(21-22):932–943.</w:t>
      </w:r>
    </w:p>
    <w:p w14:paraId="700946D4" w14:textId="77777777" w:rsidR="005E09BA" w:rsidRPr="006C5F41" w:rsidRDefault="005E09BA" w:rsidP="005E09BA">
      <w:pPr>
        <w:pStyle w:val="ListParagraph"/>
        <w:numPr>
          <w:ilvl w:val="0"/>
          <w:numId w:val="34"/>
        </w:numPr>
      </w:pPr>
      <w:r w:rsidRPr="006C5F41">
        <w:rPr>
          <w:rFonts w:ascii="Arial" w:hAnsi="Arial" w:cs="Arial"/>
          <w:sz w:val="20"/>
          <w:szCs w:val="20"/>
        </w:rPr>
        <w:t xml:space="preserve">Slots J. Selection of antimicrobial agents in periodontal therapy. </w:t>
      </w:r>
      <w:r w:rsidRPr="006C5F41">
        <w:rPr>
          <w:rFonts w:ascii="Arial" w:hAnsi="Arial" w:cs="Arial"/>
          <w:i/>
          <w:iCs/>
          <w:sz w:val="20"/>
          <w:szCs w:val="20"/>
        </w:rPr>
        <w:t>J Periodontal Res</w:t>
      </w:r>
      <w:r w:rsidRPr="006C5F41">
        <w:rPr>
          <w:rFonts w:ascii="Arial" w:hAnsi="Arial" w:cs="Arial"/>
          <w:sz w:val="20"/>
          <w:szCs w:val="20"/>
        </w:rPr>
        <w:t>. 2002;37(5):389–398</w:t>
      </w:r>
      <w:r w:rsidRPr="006C5F41">
        <w:rPr>
          <w:rFonts w:ascii="Times New Roman" w:hAnsi="Times New Roman" w:cs="Times New Roman"/>
        </w:rPr>
        <w:t>.</w:t>
      </w:r>
    </w:p>
    <w:p w14:paraId="4C7DDA71" w14:textId="77777777" w:rsidR="00AF5BE3" w:rsidRPr="00FB3A86" w:rsidRDefault="00AF5BE3" w:rsidP="00441B6F">
      <w:pPr>
        <w:pStyle w:val="ReferHead"/>
        <w:spacing w:after="0"/>
        <w:jc w:val="both"/>
        <w:rPr>
          <w:rFonts w:ascii="Arial" w:hAnsi="Arial" w:cs="Arial"/>
        </w:rPr>
      </w:pPr>
    </w:p>
    <w:p w14:paraId="616C0CFA" w14:textId="77777777" w:rsidR="00B01FCD" w:rsidRPr="00FB3A86" w:rsidRDefault="00B01FCD" w:rsidP="00441B6F">
      <w:pPr>
        <w:pStyle w:val="Appendix"/>
        <w:spacing w:after="0"/>
        <w:jc w:val="both"/>
        <w:rPr>
          <w:rFonts w:ascii="Arial" w:hAnsi="Arial" w:cs="Arial"/>
          <w:b w:val="0"/>
        </w:rPr>
      </w:pPr>
    </w:p>
    <w:sectPr w:rsidR="00B01FCD" w:rsidRPr="00FB3A86" w:rsidSect="004109C4">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neha H" w:date="2026-02-23T20:20:00Z" w:initials="SH">
    <w:p w14:paraId="1BE68144" w14:textId="77777777" w:rsidR="0062222E" w:rsidRDefault="0062222E" w:rsidP="0062222E">
      <w:pPr>
        <w:pStyle w:val="CommentText"/>
      </w:pPr>
      <w:r>
        <w:rPr>
          <w:rStyle w:val="CommentReference"/>
        </w:rPr>
        <w:annotationRef/>
      </w:r>
      <w:r>
        <w:rPr>
          <w:lang w:val="en-IN"/>
        </w:rPr>
        <w:t>spelling</w:t>
      </w:r>
    </w:p>
  </w:comment>
  <w:comment w:id="2" w:author="Sneha H" w:date="2026-02-23T20:23:00Z" w:initials="SH">
    <w:p w14:paraId="6505FEF4" w14:textId="77777777" w:rsidR="0062222E" w:rsidRDefault="0062222E" w:rsidP="0062222E">
      <w:pPr>
        <w:pStyle w:val="CommentText"/>
      </w:pPr>
      <w:r>
        <w:rPr>
          <w:rStyle w:val="CommentReference"/>
        </w:rPr>
        <w:annotationRef/>
      </w:r>
      <w:r>
        <w:rPr>
          <w:lang w:val="en-IN"/>
        </w:rPr>
        <w:t>Figure numbering has to be in order</w:t>
      </w:r>
    </w:p>
  </w:comment>
  <w:comment w:id="4" w:author="Sneha H" w:date="2026-02-23T20:26:00Z" w:initials="SH">
    <w:p w14:paraId="7E64832E" w14:textId="77777777" w:rsidR="00E91015" w:rsidRDefault="0062222E" w:rsidP="00E91015">
      <w:pPr>
        <w:pStyle w:val="CommentText"/>
      </w:pPr>
      <w:r>
        <w:rPr>
          <w:rStyle w:val="CommentReference"/>
        </w:rPr>
        <w:annotationRef/>
      </w:r>
      <w:r w:rsidR="00E91015">
        <w:rPr>
          <w:lang w:val="en-IN"/>
        </w:rPr>
        <w:t>Follow Vancouver style of referencing. Reference numbers are not mentioned in the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E68144" w15:done="0"/>
  <w15:commentEx w15:paraId="6505FEF4" w15:done="0"/>
  <w15:commentEx w15:paraId="7E6483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9F9FBD" w16cex:dateUtc="2026-02-23T14:50:00Z"/>
  <w16cex:commentExtensible w16cex:durableId="023F174A" w16cex:dateUtc="2026-02-23T14:53:00Z"/>
  <w16cex:commentExtensible w16cex:durableId="0FBD98BC" w16cex:dateUtc="2026-02-23T14: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E68144" w16cid:durableId="3B9F9FBD"/>
  <w16cid:commentId w16cid:paraId="6505FEF4" w16cid:durableId="023F174A"/>
  <w16cid:commentId w16cid:paraId="7E64832E" w16cid:durableId="0FBD98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93CB6" w14:textId="77777777" w:rsidR="00EE7433" w:rsidRDefault="00EE7433" w:rsidP="00C37E61">
      <w:r>
        <w:separator/>
      </w:r>
    </w:p>
  </w:endnote>
  <w:endnote w:type="continuationSeparator" w:id="0">
    <w:p w14:paraId="1A6D97CA" w14:textId="77777777" w:rsidR="00EE7433" w:rsidRDefault="00EE743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EBDB4" w14:textId="77777777" w:rsidR="004109C4" w:rsidRDefault="00410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78A85" w14:textId="77777777" w:rsidR="004109C4" w:rsidRDefault="00410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16A98" w14:textId="77777777" w:rsidR="009E048A" w:rsidRDefault="009E048A">
    <w:pPr>
      <w:pStyle w:val="Footer"/>
      <w:rPr>
        <w:rFonts w:ascii="Arial" w:hAnsi="Arial" w:cs="Arial"/>
        <w:sz w:val="16"/>
      </w:rPr>
    </w:pPr>
  </w:p>
  <w:p w14:paraId="1733226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FBAE94A" w14:textId="77777777" w:rsidR="009E048A" w:rsidRDefault="009E048A">
    <w:pPr>
      <w:pStyle w:val="Footer"/>
      <w:rPr>
        <w:rFonts w:ascii="Arial" w:hAnsi="Arial" w:cs="Arial"/>
        <w:sz w:val="16"/>
      </w:rPr>
    </w:pPr>
  </w:p>
  <w:p w14:paraId="60946DA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764A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ACB6C" w14:textId="77777777" w:rsidR="00EE7433" w:rsidRDefault="00EE7433" w:rsidP="00C37E61">
      <w:r>
        <w:separator/>
      </w:r>
    </w:p>
  </w:footnote>
  <w:footnote w:type="continuationSeparator" w:id="0">
    <w:p w14:paraId="34097AED" w14:textId="77777777" w:rsidR="00EE7433" w:rsidRDefault="00EE743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713F" w14:textId="67383F33" w:rsidR="004109C4" w:rsidRDefault="00000000">
    <w:pPr>
      <w:pStyle w:val="Header"/>
    </w:pPr>
    <w:r>
      <w:rPr>
        <w:noProof/>
      </w:rPr>
      <w:pict w14:anchorId="0ED6F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F30B" w14:textId="20694382" w:rsidR="004109C4" w:rsidRDefault="00000000">
    <w:pPr>
      <w:pStyle w:val="Header"/>
    </w:pPr>
    <w:r>
      <w:rPr>
        <w:noProof/>
      </w:rPr>
      <w:pict w14:anchorId="325C7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F05B5" w14:textId="4F9FD3E1" w:rsidR="00296529" w:rsidRPr="00296529" w:rsidRDefault="00000000" w:rsidP="00296529">
    <w:pPr>
      <w:ind w:left="2160"/>
      <w:jc w:val="center"/>
      <w:rPr>
        <w:rFonts w:ascii="Times New Roman" w:eastAsia="Calibri" w:hAnsi="Times New Roman"/>
        <w:i/>
        <w:sz w:val="18"/>
        <w:szCs w:val="22"/>
      </w:rPr>
    </w:pPr>
    <w:r>
      <w:rPr>
        <w:noProof/>
      </w:rPr>
      <w:pict w14:anchorId="5AB79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4A950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F43B75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DE166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0DEFB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3B317B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A1196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9CEE" w14:textId="67C3DCAC" w:rsidR="004109C4" w:rsidRDefault="00000000">
    <w:pPr>
      <w:pStyle w:val="Header"/>
    </w:pPr>
    <w:r>
      <w:rPr>
        <w:noProof/>
      </w:rPr>
      <w:pict w14:anchorId="6D90D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91ED" w14:textId="4FC53107" w:rsidR="004109C4" w:rsidRDefault="00000000">
    <w:pPr>
      <w:pStyle w:val="Header"/>
    </w:pPr>
    <w:r>
      <w:rPr>
        <w:noProof/>
      </w:rPr>
      <w:pict w14:anchorId="5587A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76075" w14:textId="6F4A0CE7" w:rsidR="004109C4" w:rsidRDefault="00000000">
    <w:pPr>
      <w:pStyle w:val="Header"/>
    </w:pPr>
    <w:r>
      <w:rPr>
        <w:noProof/>
      </w:rPr>
      <w:pict w14:anchorId="2A393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4704F"/>
    <w:multiLevelType w:val="hybridMultilevel"/>
    <w:tmpl w:val="AF3C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C851F5"/>
    <w:multiLevelType w:val="hybridMultilevel"/>
    <w:tmpl w:val="E5325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F1F5702"/>
    <w:multiLevelType w:val="hybridMultilevel"/>
    <w:tmpl w:val="866C4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3207C6"/>
    <w:multiLevelType w:val="hybridMultilevel"/>
    <w:tmpl w:val="D738189C"/>
    <w:lvl w:ilvl="0" w:tplc="57B87F0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715883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78330841">
    <w:abstractNumId w:val="17"/>
  </w:num>
  <w:num w:numId="3" w16cid:durableId="1138231895">
    <w:abstractNumId w:val="26"/>
  </w:num>
  <w:num w:numId="4" w16cid:durableId="108430563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41973610">
    <w:abstractNumId w:val="8"/>
  </w:num>
  <w:num w:numId="6" w16cid:durableId="1872301020">
    <w:abstractNumId w:val="7"/>
  </w:num>
  <w:num w:numId="7" w16cid:durableId="1148673613">
    <w:abstractNumId w:val="2"/>
  </w:num>
  <w:num w:numId="8" w16cid:durableId="212499725">
    <w:abstractNumId w:val="14"/>
  </w:num>
  <w:num w:numId="9" w16cid:durableId="1526939246">
    <w:abstractNumId w:val="28"/>
  </w:num>
  <w:num w:numId="10" w16cid:durableId="1499346463">
    <w:abstractNumId w:val="3"/>
  </w:num>
  <w:num w:numId="11" w16cid:durableId="1912042278">
    <w:abstractNumId w:val="20"/>
  </w:num>
  <w:num w:numId="12" w16cid:durableId="2007703251">
    <w:abstractNumId w:val="4"/>
  </w:num>
  <w:num w:numId="13" w16cid:durableId="833763341">
    <w:abstractNumId w:val="19"/>
  </w:num>
  <w:num w:numId="14" w16cid:durableId="1711296392">
    <w:abstractNumId w:val="9"/>
  </w:num>
  <w:num w:numId="15" w16cid:durableId="133956264">
    <w:abstractNumId w:val="24"/>
  </w:num>
  <w:num w:numId="16" w16cid:durableId="2118131350">
    <w:abstractNumId w:val="6"/>
  </w:num>
  <w:num w:numId="17" w16cid:durableId="1678387319">
    <w:abstractNumId w:val="25"/>
  </w:num>
  <w:num w:numId="18" w16cid:durableId="549269554">
    <w:abstractNumId w:val="16"/>
  </w:num>
  <w:num w:numId="19" w16cid:durableId="1680228315">
    <w:abstractNumId w:val="32"/>
  </w:num>
  <w:num w:numId="20" w16cid:durableId="1286931826">
    <w:abstractNumId w:val="12"/>
  </w:num>
  <w:num w:numId="21" w16cid:durableId="1465806619">
    <w:abstractNumId w:val="10"/>
  </w:num>
  <w:num w:numId="22" w16cid:durableId="1569152164">
    <w:abstractNumId w:val="15"/>
  </w:num>
  <w:num w:numId="23" w16cid:durableId="1431781468">
    <w:abstractNumId w:val="22"/>
  </w:num>
  <w:num w:numId="24" w16cid:durableId="1842887083">
    <w:abstractNumId w:val="29"/>
  </w:num>
  <w:num w:numId="25" w16cid:durableId="508371944">
    <w:abstractNumId w:val="5"/>
  </w:num>
  <w:num w:numId="26" w16cid:durableId="106506301">
    <w:abstractNumId w:val="18"/>
  </w:num>
  <w:num w:numId="27" w16cid:durableId="2097823064">
    <w:abstractNumId w:val="23"/>
  </w:num>
  <w:num w:numId="28" w16cid:durableId="1504274001">
    <w:abstractNumId w:val="31"/>
  </w:num>
  <w:num w:numId="29" w16cid:durableId="580917212">
    <w:abstractNumId w:val="27"/>
  </w:num>
  <w:num w:numId="30" w16cid:durableId="818502862">
    <w:abstractNumId w:val="11"/>
  </w:num>
  <w:num w:numId="31" w16cid:durableId="162551974">
    <w:abstractNumId w:val="1"/>
  </w:num>
  <w:num w:numId="32" w16cid:durableId="630867234">
    <w:abstractNumId w:val="30"/>
  </w:num>
  <w:num w:numId="33" w16cid:durableId="2075004875">
    <w:abstractNumId w:val="21"/>
  </w:num>
  <w:num w:numId="34" w16cid:durableId="123234952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neha H">
    <w15:presenceInfo w15:providerId="Windows Live" w15:userId="637309dd16b8ad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35E1"/>
    <w:rsid w:val="000A47FA"/>
    <w:rsid w:val="000A65D3"/>
    <w:rsid w:val="000B1E33"/>
    <w:rsid w:val="000D689F"/>
    <w:rsid w:val="000E7B7B"/>
    <w:rsid w:val="000E7D62"/>
    <w:rsid w:val="00103357"/>
    <w:rsid w:val="00123C9F"/>
    <w:rsid w:val="00126190"/>
    <w:rsid w:val="00130F17"/>
    <w:rsid w:val="001320BF"/>
    <w:rsid w:val="0013388C"/>
    <w:rsid w:val="00163BC4"/>
    <w:rsid w:val="00191062"/>
    <w:rsid w:val="00192B72"/>
    <w:rsid w:val="001A29D8"/>
    <w:rsid w:val="001A5CAA"/>
    <w:rsid w:val="001B0427"/>
    <w:rsid w:val="001D3A51"/>
    <w:rsid w:val="001E10D2"/>
    <w:rsid w:val="001E25B4"/>
    <w:rsid w:val="001E44FE"/>
    <w:rsid w:val="00200595"/>
    <w:rsid w:val="0020408D"/>
    <w:rsid w:val="00204835"/>
    <w:rsid w:val="00231920"/>
    <w:rsid w:val="0023195C"/>
    <w:rsid w:val="0024282C"/>
    <w:rsid w:val="002460DC"/>
    <w:rsid w:val="00250985"/>
    <w:rsid w:val="002556F6"/>
    <w:rsid w:val="002820C2"/>
    <w:rsid w:val="00283105"/>
    <w:rsid w:val="00284C4C"/>
    <w:rsid w:val="00287E68"/>
    <w:rsid w:val="00296529"/>
    <w:rsid w:val="002B27FB"/>
    <w:rsid w:val="002B685A"/>
    <w:rsid w:val="002C57D2"/>
    <w:rsid w:val="002E0D56"/>
    <w:rsid w:val="002F715B"/>
    <w:rsid w:val="00305C25"/>
    <w:rsid w:val="00315186"/>
    <w:rsid w:val="00315D6F"/>
    <w:rsid w:val="00316208"/>
    <w:rsid w:val="0033343E"/>
    <w:rsid w:val="003407EB"/>
    <w:rsid w:val="003512C2"/>
    <w:rsid w:val="00371FB6"/>
    <w:rsid w:val="00372F02"/>
    <w:rsid w:val="003763C1"/>
    <w:rsid w:val="00376BBE"/>
    <w:rsid w:val="0039224F"/>
    <w:rsid w:val="003A43A4"/>
    <w:rsid w:val="003A7E18"/>
    <w:rsid w:val="003C4C86"/>
    <w:rsid w:val="003C4FA1"/>
    <w:rsid w:val="003C6258"/>
    <w:rsid w:val="003E2904"/>
    <w:rsid w:val="00401927"/>
    <w:rsid w:val="0041027F"/>
    <w:rsid w:val="004109C4"/>
    <w:rsid w:val="00412475"/>
    <w:rsid w:val="00423789"/>
    <w:rsid w:val="00440F43"/>
    <w:rsid w:val="00441B6F"/>
    <w:rsid w:val="00446221"/>
    <w:rsid w:val="00450E62"/>
    <w:rsid w:val="00453496"/>
    <w:rsid w:val="004539DB"/>
    <w:rsid w:val="00471A80"/>
    <w:rsid w:val="0049238F"/>
    <w:rsid w:val="004D305E"/>
    <w:rsid w:val="004D4277"/>
    <w:rsid w:val="00502516"/>
    <w:rsid w:val="00502987"/>
    <w:rsid w:val="00505F06"/>
    <w:rsid w:val="00506828"/>
    <w:rsid w:val="0053056E"/>
    <w:rsid w:val="00554FDA"/>
    <w:rsid w:val="005C784C"/>
    <w:rsid w:val="005D17F6"/>
    <w:rsid w:val="005E09BA"/>
    <w:rsid w:val="005E5539"/>
    <w:rsid w:val="00602BF5"/>
    <w:rsid w:val="00617FDD"/>
    <w:rsid w:val="0062222E"/>
    <w:rsid w:val="00633614"/>
    <w:rsid w:val="00633F68"/>
    <w:rsid w:val="00636EB2"/>
    <w:rsid w:val="006375B8"/>
    <w:rsid w:val="00643B90"/>
    <w:rsid w:val="00660700"/>
    <w:rsid w:val="0066510A"/>
    <w:rsid w:val="00673F9F"/>
    <w:rsid w:val="00686953"/>
    <w:rsid w:val="00687DEA"/>
    <w:rsid w:val="00687E67"/>
    <w:rsid w:val="006950D0"/>
    <w:rsid w:val="006967F7"/>
    <w:rsid w:val="006A250C"/>
    <w:rsid w:val="006B21D3"/>
    <w:rsid w:val="006B57D0"/>
    <w:rsid w:val="006C5F41"/>
    <w:rsid w:val="006D30FF"/>
    <w:rsid w:val="006D6940"/>
    <w:rsid w:val="006F11EC"/>
    <w:rsid w:val="0070082C"/>
    <w:rsid w:val="007369E6"/>
    <w:rsid w:val="00746E59"/>
    <w:rsid w:val="00754C9A"/>
    <w:rsid w:val="0075599A"/>
    <w:rsid w:val="00761D52"/>
    <w:rsid w:val="0077749E"/>
    <w:rsid w:val="00790ADA"/>
    <w:rsid w:val="007D2288"/>
    <w:rsid w:val="007E088F"/>
    <w:rsid w:val="007F5844"/>
    <w:rsid w:val="007F7B32"/>
    <w:rsid w:val="00804BC2"/>
    <w:rsid w:val="0081431A"/>
    <w:rsid w:val="00830248"/>
    <w:rsid w:val="0083216F"/>
    <w:rsid w:val="00833954"/>
    <w:rsid w:val="00852A2C"/>
    <w:rsid w:val="00860000"/>
    <w:rsid w:val="00863BD3"/>
    <w:rsid w:val="008641ED"/>
    <w:rsid w:val="00866D66"/>
    <w:rsid w:val="008671C6"/>
    <w:rsid w:val="00875803"/>
    <w:rsid w:val="00884F39"/>
    <w:rsid w:val="008B459E"/>
    <w:rsid w:val="008E13AE"/>
    <w:rsid w:val="008E1506"/>
    <w:rsid w:val="008E710C"/>
    <w:rsid w:val="008F69D6"/>
    <w:rsid w:val="00902823"/>
    <w:rsid w:val="00915CA6"/>
    <w:rsid w:val="00927834"/>
    <w:rsid w:val="009500A6"/>
    <w:rsid w:val="00957C18"/>
    <w:rsid w:val="00964254"/>
    <w:rsid w:val="009659BA"/>
    <w:rsid w:val="00983040"/>
    <w:rsid w:val="009A4737"/>
    <w:rsid w:val="009B3FB9"/>
    <w:rsid w:val="009C2465"/>
    <w:rsid w:val="009D35A0"/>
    <w:rsid w:val="009D7EB7"/>
    <w:rsid w:val="009E048A"/>
    <w:rsid w:val="009E08E9"/>
    <w:rsid w:val="009E3DB9"/>
    <w:rsid w:val="009E4595"/>
    <w:rsid w:val="009E6E35"/>
    <w:rsid w:val="009E7CA1"/>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5BE3"/>
    <w:rsid w:val="00B01FCD"/>
    <w:rsid w:val="00B14D45"/>
    <w:rsid w:val="00B1776C"/>
    <w:rsid w:val="00B27F06"/>
    <w:rsid w:val="00B52583"/>
    <w:rsid w:val="00B52896"/>
    <w:rsid w:val="00B95236"/>
    <w:rsid w:val="00B96BD9"/>
    <w:rsid w:val="00BA1B01"/>
    <w:rsid w:val="00BA2641"/>
    <w:rsid w:val="00BB37AA"/>
    <w:rsid w:val="00BC53A0"/>
    <w:rsid w:val="00BE62AD"/>
    <w:rsid w:val="00BF121F"/>
    <w:rsid w:val="00BF1F80"/>
    <w:rsid w:val="00C10A55"/>
    <w:rsid w:val="00C166EF"/>
    <w:rsid w:val="00C17EB0"/>
    <w:rsid w:val="00C21D54"/>
    <w:rsid w:val="00C27F5F"/>
    <w:rsid w:val="00C30A0F"/>
    <w:rsid w:val="00C37E61"/>
    <w:rsid w:val="00C70F1B"/>
    <w:rsid w:val="00C71A47"/>
    <w:rsid w:val="00C7464C"/>
    <w:rsid w:val="00C85588"/>
    <w:rsid w:val="00CA3AA7"/>
    <w:rsid w:val="00CD6755"/>
    <w:rsid w:val="00CD6856"/>
    <w:rsid w:val="00CE0089"/>
    <w:rsid w:val="00CE793C"/>
    <w:rsid w:val="00CF122B"/>
    <w:rsid w:val="00CF193C"/>
    <w:rsid w:val="00D02EAD"/>
    <w:rsid w:val="00D173F1"/>
    <w:rsid w:val="00D2673F"/>
    <w:rsid w:val="00D514E5"/>
    <w:rsid w:val="00D52BC9"/>
    <w:rsid w:val="00D74CB0"/>
    <w:rsid w:val="00D75079"/>
    <w:rsid w:val="00D8295D"/>
    <w:rsid w:val="00D961DA"/>
    <w:rsid w:val="00DA1364"/>
    <w:rsid w:val="00DC2A65"/>
    <w:rsid w:val="00DE15F0"/>
    <w:rsid w:val="00DE5663"/>
    <w:rsid w:val="00DE78AA"/>
    <w:rsid w:val="00DF4DE8"/>
    <w:rsid w:val="00E053D0"/>
    <w:rsid w:val="00E15994"/>
    <w:rsid w:val="00E3114E"/>
    <w:rsid w:val="00E31A70"/>
    <w:rsid w:val="00E35B02"/>
    <w:rsid w:val="00E43392"/>
    <w:rsid w:val="00E66496"/>
    <w:rsid w:val="00E66B35"/>
    <w:rsid w:val="00E66E10"/>
    <w:rsid w:val="00E769F6"/>
    <w:rsid w:val="00E8407C"/>
    <w:rsid w:val="00E84F3C"/>
    <w:rsid w:val="00E91015"/>
    <w:rsid w:val="00EA012C"/>
    <w:rsid w:val="00EC6A55"/>
    <w:rsid w:val="00ED0288"/>
    <w:rsid w:val="00EE52CB"/>
    <w:rsid w:val="00EE7433"/>
    <w:rsid w:val="00EF581D"/>
    <w:rsid w:val="00EF7FD8"/>
    <w:rsid w:val="00F06F59"/>
    <w:rsid w:val="00F152CE"/>
    <w:rsid w:val="00F17988"/>
    <w:rsid w:val="00F25EC4"/>
    <w:rsid w:val="00F469F0"/>
    <w:rsid w:val="00F53273"/>
    <w:rsid w:val="00F755E4"/>
    <w:rsid w:val="00F77D02"/>
    <w:rsid w:val="00FB3A86"/>
    <w:rsid w:val="00FD36C8"/>
    <w:rsid w:val="00FD5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rules v:ext="edit">
        <o:r id="V:Rule1" type="connector" idref="#_x0000_s2069"/>
      </o:rules>
    </o:shapelayout>
  </w:shapeDefaults>
  <w:decimalSymbol w:val="."/>
  <w:listSeparator w:val=","/>
  <w14:docId w14:val="50BB64A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3388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13388C"/>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nhideWhenUsed/>
    <w:rsid w:val="00C21D54"/>
    <w:pPr>
      <w:spacing w:after="120"/>
    </w:pPr>
  </w:style>
  <w:style w:type="character" w:customStyle="1" w:styleId="BodyTextChar">
    <w:name w:val="Body Text Char"/>
    <w:basedOn w:val="DefaultParagraphFont"/>
    <w:link w:val="BodyText"/>
    <w:rsid w:val="00C21D54"/>
    <w:rPr>
      <w:rFonts w:ascii="Helvetica" w:hAnsi="Helvetica"/>
    </w:rPr>
  </w:style>
  <w:style w:type="paragraph" w:styleId="ListParagraph">
    <w:name w:val="List Paragraph"/>
    <w:basedOn w:val="Normal"/>
    <w:uiPriority w:val="34"/>
    <w:qFormat/>
    <w:rsid w:val="00C21D54"/>
    <w:pPr>
      <w:spacing w:after="160" w:line="278" w:lineRule="auto"/>
      <w:ind w:left="720"/>
      <w:contextualSpacing/>
    </w:pPr>
    <w:rPr>
      <w:rFonts w:asciiTheme="minorHAnsi" w:eastAsiaTheme="minorHAnsi" w:hAnsiTheme="minorHAnsi" w:cstheme="minorBidi"/>
      <w:kern w:val="2"/>
      <w:sz w:val="24"/>
      <w:szCs w:val="24"/>
    </w:rPr>
  </w:style>
  <w:style w:type="paragraph" w:styleId="Revision">
    <w:name w:val="Revision"/>
    <w:hidden/>
    <w:uiPriority w:val="99"/>
    <w:semiHidden/>
    <w:rsid w:val="0062222E"/>
    <w:rPr>
      <w:rFonts w:ascii="Helvetica" w:hAnsi="Helvetica"/>
    </w:rPr>
  </w:style>
  <w:style w:type="paragraph" w:styleId="CommentSubject">
    <w:name w:val="annotation subject"/>
    <w:basedOn w:val="CommentText"/>
    <w:next w:val="CommentText"/>
    <w:link w:val="CommentSubjectChar"/>
    <w:semiHidden/>
    <w:unhideWhenUsed/>
    <w:rsid w:val="0062222E"/>
    <w:rPr>
      <w:rFonts w:ascii="Helvetica" w:hAnsi="Helvetica"/>
      <w:b/>
      <w:bCs/>
      <w:lang w:val="en-US" w:eastAsia="en-US"/>
    </w:rPr>
  </w:style>
  <w:style w:type="character" w:customStyle="1" w:styleId="CommentSubjectChar">
    <w:name w:val="Comment Subject Char"/>
    <w:basedOn w:val="CommentTextChar"/>
    <w:link w:val="CommentSubject"/>
    <w:semiHidden/>
    <w:rsid w:val="0062222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18/08/relationships/commentsExtensible" Target="commentsExtensible.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microsoft.com/office/2016/09/relationships/commentsIds" Target="commentsIds.xml"/><Relationship Id="rId25" Type="http://schemas.openxmlformats.org/officeDocument/2006/relationships/image" Target="media/image7.png"/><Relationship Id="rId33" Type="http://schemas.openxmlformats.org/officeDocument/2006/relationships/header" Target="header6.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hyperlink" Target="https://www.google.com/search?q=+in+1986&amp;sca_esv=a6493d853efe4d30&amp;ei=UjjNaJr1KLiWg8UPmaifiQY&amp;oq=modified++index+given+by&amp;gs_lp=Egxnd3Mtd2l6LXNlcnAiGG1vZGlmaWVkICBpbmRleCBnaXZlbiBieSoCCAAyBhAAGAcYHjIGEAAYBxgeMgYQABgHGB4yBhAAGAcYHjIGEAAYBxgeMgsQABiABBiGAxiKBTILEAAYgAQYhgMYigUyCxAAGIAEGIYDGIoFMggQABiABBiiBDIIEAAYgAQYogRIkC9Q0QRYriFwAXgBkAEAmAH1AaABjxSqAQYwLjEzLjK4AQHIAQD4AQGYAgmgAtwKwgIKEAAYsAMY1gQYR8ICBxAAGIAEGA3CAggQABgFGAcYHsICCBAAGAcYCBgewgIFEAAY7wXCAggQABiiBBiJBZgDAIgGAZAGCJIHBTEuNy4xoAekarIHBTAuNy4xuAfZCsIHBTAuMS44yAcj&amp;sclient=gws-wiz-serp&amp;mstk=AUtExfBcNo9SO3T5biFcIsVqYjVSKB7qwWLlP8u7Vn2HE0q-dpNdp4n1zB9WvNdCp89EFjvFy9QeaQRpQLGAb5G9OzV7vKpfJ3qE2NPQatYoJU7qWjnxTU-MNzpJ-nZkBaKmyjI&amp;csui=3&amp;ved=2ahUKEwie3MHb1uSPAxUZ-jgGHXePEIwQgK4QegQIARAD"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ubchem.ncbi.nlm.nih.gov/compound/nitroimidazole" TargetMode="External"/><Relationship Id="rId22" Type="http://schemas.openxmlformats.org/officeDocument/2006/relationships/image" Target="media/image4.png"/><Relationship Id="rId27" Type="http://schemas.openxmlformats.org/officeDocument/2006/relationships/hyperlink" Target="https://www.google.com/search?q=Lobene+et+al.&amp;sca_esv=a6493d853efe4d30&amp;ei=UjjNaJr1KLiWg8UPmaifiQY&amp;oq=modified++index+given+by&amp;gs_lp=Egxnd3Mtd2l6LXNlcnAiGG1vZGlmaWVkICBpbmRleCBnaXZlbiBieSoCCAAyBhAAGAcYHjIGEAAYBxgeMgYQABgHGB4yBhAAGAcYHjIGEAAYBxgeMgsQABiABBiGAxiKBTILEAAYgAQYhgMYigUyCxAAGIAEGIYDGIoFMggQABiABBiiBDIIEAAYgAQYogRIkC9Q0QRYriFwAXgBkAEAmAH1AaABjxSqAQYwLjEzLjK4AQHIAQD4AQGYAgmgAtwKwgIKEAAYsAMY1gQYR8ICBxAAGIAEGA3CAggQABgFGAcYHsICCBAAGAcYCBgewgIFEAAY7wXCAggQABiiBBiJBZgDAIgGAZAGCJIHBTEuNy4xoAekarIHBTAuNy4xuAfZCsIHBTAuMS44yAcj&amp;sclient=gws-wiz-serp&amp;mstk=AUtExfBcNo9SO3T5biFcIsVqYjVSKB7qwWLlP8u7Vn2HE0q-dpNdp4n1zB9WvNdCp89EFjvFy9QeaQRpQLGAb5G9OzV7vKpfJ3qE2NPQatYoJU7qWjnxTU-MNzpJ-nZkBaKmyjI&amp;csui=3&amp;ved=2ahUKEwie3MHb1uSPAxUZ-jgGHXePEIwQgK4QegQIARAC" TargetMode="External"/><Relationship Id="rId30" Type="http://schemas.openxmlformats.org/officeDocument/2006/relationships/header" Target="header4.xml"/><Relationship Id="rId35" Type="http://schemas.microsoft.com/office/2011/relationships/people" Target="peop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A7398-97AC-4C5F-AB64-CE502435E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TotalTime>
  <Pages>10</Pages>
  <Words>4000</Words>
  <Characters>22805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26752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Sneha H</cp:lastModifiedBy>
  <cp:revision>18</cp:revision>
  <cp:lastPrinted>1999-07-06T11:00:00Z</cp:lastPrinted>
  <dcterms:created xsi:type="dcterms:W3CDTF">2026-02-19T07:21:00Z</dcterms:created>
  <dcterms:modified xsi:type="dcterms:W3CDTF">2026-02-23T15:09:00Z</dcterms:modified>
</cp:coreProperties>
</file>