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24B05A16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8140FD6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026FB059" w14:textId="77777777" w:rsidTr="002643B3">
        <w:trPr>
          <w:trHeight w:val="290"/>
        </w:trPr>
        <w:tc>
          <w:tcPr>
            <w:tcW w:w="1234" w:type="pct"/>
          </w:tcPr>
          <w:p w14:paraId="1C7CD390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FF6B" w14:textId="77777777" w:rsidR="0000007A" w:rsidRPr="00E65EB7" w:rsidRDefault="00012C3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11E45" w:rsidRPr="008F586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Surgery</w:t>
              </w:r>
            </w:hyperlink>
          </w:p>
        </w:tc>
      </w:tr>
      <w:tr w:rsidR="0000007A" w:rsidRPr="00F245A7" w14:paraId="14716289" w14:textId="77777777" w:rsidTr="002643B3">
        <w:trPr>
          <w:trHeight w:val="290"/>
        </w:trPr>
        <w:tc>
          <w:tcPr>
            <w:tcW w:w="1234" w:type="pct"/>
          </w:tcPr>
          <w:p w14:paraId="11CCFF3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4291" w14:textId="77777777" w:rsidR="0000007A" w:rsidRPr="00F245A7" w:rsidRDefault="002F475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2F4757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Ms_AJCRS_155358</w:t>
            </w:r>
          </w:p>
        </w:tc>
      </w:tr>
      <w:tr w:rsidR="0000007A" w:rsidRPr="00F245A7" w14:paraId="0CB36C61" w14:textId="77777777" w:rsidTr="002643B3">
        <w:trPr>
          <w:trHeight w:val="650"/>
        </w:trPr>
        <w:tc>
          <w:tcPr>
            <w:tcW w:w="1234" w:type="pct"/>
          </w:tcPr>
          <w:p w14:paraId="5CDDDB8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2710" w14:textId="77777777" w:rsidR="0000007A" w:rsidRPr="00F245A7" w:rsidRDefault="002F475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2F4757">
              <w:rPr>
                <w:rFonts w:ascii="Arial" w:hAnsi="Arial" w:cs="Arial"/>
                <w:b/>
                <w:sz w:val="20"/>
                <w:szCs w:val="28"/>
                <w:lang w:val="en-GB"/>
              </w:rPr>
              <w:t>BEYOND CHILDHOOD: ADULT ADENOID HYPERTROPHY PRESENTING AS A NASOPHARYNGEAL MASS</w:t>
            </w:r>
          </w:p>
        </w:tc>
      </w:tr>
      <w:tr w:rsidR="00CF0BBB" w:rsidRPr="00F245A7" w14:paraId="4880FD86" w14:textId="77777777" w:rsidTr="002643B3">
        <w:trPr>
          <w:trHeight w:val="332"/>
        </w:trPr>
        <w:tc>
          <w:tcPr>
            <w:tcW w:w="1234" w:type="pct"/>
          </w:tcPr>
          <w:p w14:paraId="5A51775D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187C" w14:textId="77777777" w:rsidR="00CF0BBB" w:rsidRPr="00F245A7" w:rsidRDefault="002F475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2F4757"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14:paraId="178AEB88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7A6F76" w14:textId="77777777"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60E073" w14:textId="3FF6BFD2" w:rsidR="002D23C3" w:rsidRPr="00900E9B" w:rsidRDefault="002D23C3" w:rsidP="002D23C3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D23C3" w:rsidRPr="00900E9B" w14:paraId="55D2C04F" w14:textId="77777777" w:rsidTr="0089077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48F8739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414381AE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</w:tr>
      <w:tr w:rsidR="002D23C3" w:rsidRPr="00900E9B" w14:paraId="6E1EF38B" w14:textId="77777777" w:rsidTr="0089077F">
        <w:tc>
          <w:tcPr>
            <w:tcW w:w="1265" w:type="pct"/>
            <w:noWrap/>
          </w:tcPr>
          <w:p w14:paraId="11287736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872044B" w14:textId="77777777" w:rsidR="002D23C3" w:rsidRDefault="002D2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23292058" w14:textId="77777777" w:rsidR="00957205" w:rsidRPr="00957205" w:rsidRDefault="00957205" w:rsidP="00A625A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BCA9533" w14:textId="77777777" w:rsidR="00E1735E" w:rsidRPr="00E1735E" w:rsidRDefault="00E1735E" w:rsidP="00E1735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1735E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735E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CABF70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41067D71" w14:textId="77777777" w:rsidTr="0089077F">
        <w:trPr>
          <w:trHeight w:val="1264"/>
        </w:trPr>
        <w:tc>
          <w:tcPr>
            <w:tcW w:w="1265" w:type="pct"/>
            <w:noWrap/>
          </w:tcPr>
          <w:p w14:paraId="3471FCC1" w14:textId="77777777" w:rsidR="002D23C3" w:rsidRPr="00900E9B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13FA491D" w14:textId="77777777" w:rsidR="002D23C3" w:rsidRPr="00900E9B" w:rsidRDefault="002D23C3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3D39E94" w14:textId="77DCE161" w:rsidR="002D23C3" w:rsidRPr="00900E9B" w:rsidRDefault="002B138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2B1387">
              <w:rPr>
                <w:b/>
                <w:bCs/>
                <w:sz w:val="20"/>
                <w:szCs w:val="20"/>
                <w:lang w:val="en-GB"/>
              </w:rPr>
              <w:t>This manuscript presents a rare case of adenoid hypertrophy in an adult patient</w:t>
            </w:r>
            <w:r w:rsidR="00C6066F">
              <w:rPr>
                <w:b/>
                <w:bCs/>
                <w:sz w:val="20"/>
                <w:szCs w:val="20"/>
                <w:lang w:val="en-GB"/>
              </w:rPr>
              <w:t>,</w:t>
            </w:r>
            <w:r w:rsidR="00B118B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26953">
              <w:rPr>
                <w:b/>
                <w:bCs/>
                <w:sz w:val="20"/>
                <w:szCs w:val="20"/>
                <w:lang w:val="en-GB"/>
              </w:rPr>
              <w:t xml:space="preserve">because adenoid hypertrophy is usually seen in children, but here it was found in an adult </w:t>
            </w:r>
            <w:proofErr w:type="spellStart"/>
            <w:r w:rsidR="00226953">
              <w:rPr>
                <w:b/>
                <w:bCs/>
                <w:sz w:val="20"/>
                <w:szCs w:val="20"/>
                <w:lang w:val="en-GB"/>
              </w:rPr>
              <w:t>patient.</w:t>
            </w:r>
            <w:r w:rsidR="00075B70">
              <w:rPr>
                <w:b/>
                <w:bCs/>
                <w:sz w:val="20"/>
                <w:szCs w:val="20"/>
                <w:lang w:val="en-GB"/>
              </w:rPr>
              <w:t>In</w:t>
            </w:r>
            <w:proofErr w:type="spellEnd"/>
            <w:r w:rsidR="00075B70">
              <w:rPr>
                <w:b/>
                <w:bCs/>
                <w:sz w:val="20"/>
                <w:szCs w:val="20"/>
                <w:lang w:val="en-GB"/>
              </w:rPr>
              <w:t xml:space="preserve"> this case, it presented as a nasopharyngeal mass, which created confusion</w:t>
            </w:r>
            <w:r w:rsidR="003E7F6F">
              <w:rPr>
                <w:b/>
                <w:bCs/>
                <w:sz w:val="20"/>
                <w:szCs w:val="20"/>
                <w:lang w:val="en-GB"/>
              </w:rPr>
              <w:t xml:space="preserve"> during clinical examination, with suspicion of malignancy. </w:t>
            </w:r>
            <w:r w:rsidR="00675224">
              <w:rPr>
                <w:b/>
                <w:bCs/>
                <w:sz w:val="20"/>
                <w:szCs w:val="20"/>
                <w:lang w:val="en-GB"/>
              </w:rPr>
              <w:t>This case</w:t>
            </w:r>
            <w:r w:rsidR="00BA7C83">
              <w:rPr>
                <w:b/>
                <w:bCs/>
                <w:sz w:val="20"/>
                <w:szCs w:val="20"/>
                <w:lang w:val="en-GB"/>
              </w:rPr>
              <w:t xml:space="preserve"> highlights the importance of histopathological examination in confirming the final diagnosis</w:t>
            </w:r>
            <w:r w:rsidR="00301927">
              <w:rPr>
                <w:b/>
                <w:bCs/>
                <w:sz w:val="20"/>
                <w:szCs w:val="20"/>
                <w:lang w:val="en-GB"/>
              </w:rPr>
              <w:t>. This may be helpful for clinicians in similar situations.</w:t>
            </w:r>
          </w:p>
        </w:tc>
        <w:tc>
          <w:tcPr>
            <w:tcW w:w="1523" w:type="pct"/>
          </w:tcPr>
          <w:p w14:paraId="68773A5A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4773629C" w14:textId="77777777" w:rsidTr="0089077F">
        <w:trPr>
          <w:trHeight w:val="1262"/>
        </w:trPr>
        <w:tc>
          <w:tcPr>
            <w:tcW w:w="1265" w:type="pct"/>
            <w:noWrap/>
          </w:tcPr>
          <w:p w14:paraId="31071D5C" w14:textId="77777777" w:rsidR="002D23C3" w:rsidRPr="00900E9B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8FE2CEF" w14:textId="77777777" w:rsidR="002D23C3" w:rsidRPr="00900E9B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A0EB6D9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1897D92" w14:textId="575CB94C" w:rsidR="002D23C3" w:rsidRPr="00900E9B" w:rsidRDefault="00261C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is appropriate and matches well with the content of the manuscript</w:t>
            </w:r>
            <w:r w:rsidR="002B5DEB"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02A3229C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32F0C4D8" w14:textId="77777777" w:rsidTr="0089077F">
        <w:trPr>
          <w:trHeight w:val="1262"/>
        </w:trPr>
        <w:tc>
          <w:tcPr>
            <w:tcW w:w="1265" w:type="pct"/>
            <w:noWrap/>
          </w:tcPr>
          <w:p w14:paraId="309ACD65" w14:textId="77777777" w:rsidR="002D23C3" w:rsidRPr="00900E9B" w:rsidRDefault="002D23C3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DC67A8D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2584B6B" w14:textId="5056B897" w:rsidR="002D23C3" w:rsidRPr="00900E9B" w:rsidRDefault="00041E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1EA1">
              <w:rPr>
                <w:b/>
                <w:bCs/>
                <w:sz w:val="20"/>
                <w:szCs w:val="20"/>
                <w:lang w:val="en-GB"/>
              </w:rPr>
              <w:t>The abstract is satisfactory and includes the important points.</w:t>
            </w:r>
          </w:p>
        </w:tc>
        <w:tc>
          <w:tcPr>
            <w:tcW w:w="1523" w:type="pct"/>
          </w:tcPr>
          <w:p w14:paraId="1051F355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4F1B39A9" w14:textId="77777777" w:rsidTr="0089077F">
        <w:trPr>
          <w:trHeight w:val="704"/>
        </w:trPr>
        <w:tc>
          <w:tcPr>
            <w:tcW w:w="1265" w:type="pct"/>
            <w:noWrap/>
          </w:tcPr>
          <w:p w14:paraId="59BC6F74" w14:textId="77777777" w:rsidR="002D23C3" w:rsidRPr="00900E9B" w:rsidRDefault="002D23C3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2D0C9EF1" w14:textId="2025D3E2" w:rsidR="002D23C3" w:rsidRPr="00C115E9" w:rsidRDefault="00E8601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Overall, the manuscript is scientifically correct. The findings on clinical examination, endoscopy, and histopathology are explained well and match with each other.</w:t>
            </w:r>
          </w:p>
        </w:tc>
        <w:tc>
          <w:tcPr>
            <w:tcW w:w="1523" w:type="pct"/>
          </w:tcPr>
          <w:p w14:paraId="583A494F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7AE3CFA7" w14:textId="77777777" w:rsidTr="0089077F">
        <w:trPr>
          <w:trHeight w:val="703"/>
        </w:trPr>
        <w:tc>
          <w:tcPr>
            <w:tcW w:w="1265" w:type="pct"/>
            <w:noWrap/>
          </w:tcPr>
          <w:p w14:paraId="627FD9B1" w14:textId="77777777" w:rsidR="002D23C3" w:rsidRPr="00E10705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5DCF3836" w14:textId="3E1B20E2" w:rsidR="002D23C3" w:rsidRPr="006F5EBE" w:rsidRDefault="0045331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references are suitable for the topic. A few more recent references can be adde</w:t>
            </w:r>
            <w:r w:rsidR="00A32CDD">
              <w:rPr>
                <w:bCs/>
                <w:sz w:val="20"/>
                <w:szCs w:val="20"/>
                <w:lang w:val="en-GB"/>
              </w:rPr>
              <w:t xml:space="preserve">d for better discussion. </w:t>
            </w:r>
          </w:p>
        </w:tc>
        <w:tc>
          <w:tcPr>
            <w:tcW w:w="1523" w:type="pct"/>
          </w:tcPr>
          <w:p w14:paraId="71AC5272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5C24A768" w14:textId="77777777" w:rsidTr="0089077F">
        <w:trPr>
          <w:trHeight w:val="386"/>
        </w:trPr>
        <w:tc>
          <w:tcPr>
            <w:tcW w:w="1265" w:type="pct"/>
            <w:noWrap/>
          </w:tcPr>
          <w:p w14:paraId="10A23D9F" w14:textId="77777777" w:rsidR="002D23C3" w:rsidRPr="00900E9B" w:rsidRDefault="002D23C3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3B22AB4B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C122E5E" w14:textId="2D15A0FD" w:rsidR="002D23C3" w:rsidRPr="00900E9B" w:rsidRDefault="0089077F">
            <w:pPr>
              <w:rPr>
                <w:sz w:val="20"/>
                <w:szCs w:val="20"/>
                <w:lang w:val="en-GB"/>
              </w:rPr>
            </w:pPr>
            <w:r w:rsidRPr="0089077F">
              <w:rPr>
                <w:sz w:val="20"/>
                <w:szCs w:val="20"/>
                <w:lang w:val="en-GB"/>
              </w:rPr>
              <w:t>The language is easy to understand.</w:t>
            </w:r>
          </w:p>
        </w:tc>
        <w:tc>
          <w:tcPr>
            <w:tcW w:w="1523" w:type="pct"/>
          </w:tcPr>
          <w:p w14:paraId="2089A8FD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</w:tr>
      <w:tr w:rsidR="002D23C3" w:rsidRPr="00900E9B" w14:paraId="43D0D422" w14:textId="77777777" w:rsidTr="0089077F">
        <w:trPr>
          <w:trHeight w:val="1178"/>
        </w:trPr>
        <w:tc>
          <w:tcPr>
            <w:tcW w:w="1265" w:type="pct"/>
            <w:noWrap/>
          </w:tcPr>
          <w:p w14:paraId="05373526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31FEA9A7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1BF4403" w14:textId="31CDC8DA" w:rsidR="002D23C3" w:rsidRPr="000D0955" w:rsidRDefault="00CA25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71A0E07B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D66E329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F256853" w14:textId="3C9E923D" w:rsidR="002D23C3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A5D114B" w14:textId="4F6D29A3" w:rsidR="00EB3C86" w:rsidRDefault="00EB3C86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9E31F51" w14:textId="09353CBF" w:rsidR="00EB3C86" w:rsidRDefault="00EB3C86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682874" w14:textId="68E4C567" w:rsidR="00EB3C86" w:rsidRDefault="00EB3C86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B75E366" w14:textId="64A197DE" w:rsidR="00EB3C86" w:rsidRDefault="00EB3C86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4C1B5B" w14:textId="50C247A0" w:rsidR="00EB3C86" w:rsidRDefault="00EB3C86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842AF99" w14:textId="41575EB1" w:rsidR="00EB3C86" w:rsidRDefault="00EB3C86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FD88B89" w14:textId="416DDB70" w:rsidR="00EB3C86" w:rsidRDefault="00EB3C86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883B45" w14:textId="77777777" w:rsidR="00EB3C86" w:rsidRPr="00900E9B" w:rsidRDefault="00EB3C86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91FF61E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EB3C86" w:rsidRPr="00EB3C86" w14:paraId="00A43660" w14:textId="77777777" w:rsidTr="00EB3C8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CDFA" w14:textId="77777777" w:rsidR="00EB3C86" w:rsidRPr="00EB3C86" w:rsidRDefault="00EB3C86" w:rsidP="00EB3C8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EB3C8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B3C8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80B9D74" w14:textId="77777777" w:rsidR="00EB3C86" w:rsidRPr="00EB3C86" w:rsidRDefault="00EB3C86" w:rsidP="00EB3C8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B3C86" w:rsidRPr="00EB3C86" w14:paraId="6AC79E0B" w14:textId="77777777" w:rsidTr="00EB3C8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B314" w14:textId="77777777" w:rsidR="00EB3C86" w:rsidRPr="00EB3C86" w:rsidRDefault="00EB3C86" w:rsidP="00EB3C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D490" w14:textId="77777777" w:rsidR="00EB3C86" w:rsidRPr="00EB3C86" w:rsidRDefault="00EB3C86" w:rsidP="00EB3C8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B3C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9CDD" w14:textId="77777777" w:rsidR="00EB3C86" w:rsidRPr="00EB3C86" w:rsidRDefault="00EB3C86" w:rsidP="00EB3C8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3C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3C8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C98A33" w14:textId="77777777" w:rsidR="00EB3C86" w:rsidRPr="00EB3C86" w:rsidRDefault="00EB3C86" w:rsidP="00EB3C8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3C86" w:rsidRPr="00EB3C86" w14:paraId="2F6BBBD6" w14:textId="77777777" w:rsidTr="00EB3C8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EBD5" w14:textId="77777777" w:rsidR="00EB3C86" w:rsidRPr="00EB3C86" w:rsidRDefault="00EB3C86" w:rsidP="00EB3C8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B3C8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F920A25" w14:textId="77777777" w:rsidR="00EB3C86" w:rsidRPr="00EB3C86" w:rsidRDefault="00EB3C86" w:rsidP="00EB3C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F706" w14:textId="77777777" w:rsidR="00EB3C86" w:rsidRPr="00EB3C86" w:rsidRDefault="00EB3C86" w:rsidP="00EB3C8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B3C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B3C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B3C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A6062E4" w14:textId="77777777" w:rsidR="00EB3C86" w:rsidRPr="00EB3C86" w:rsidRDefault="00EB3C86" w:rsidP="00EB3C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AA21" w14:textId="77777777" w:rsidR="00EB3C86" w:rsidRPr="00EB3C86" w:rsidRDefault="00EB3C86" w:rsidP="00EB3C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91A402" w14:textId="77777777" w:rsidR="00EB3C86" w:rsidRPr="00EB3C86" w:rsidRDefault="00EB3C86" w:rsidP="00EB3C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4DA97C" w14:textId="77777777" w:rsidR="00EB3C86" w:rsidRPr="00EB3C86" w:rsidRDefault="00EB3C86" w:rsidP="00EB3C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311C6A6" w14:textId="77777777" w:rsidR="00EB3C86" w:rsidRPr="00EB3C86" w:rsidRDefault="00EB3C86" w:rsidP="00EB3C86"/>
    <w:p w14:paraId="6BFEBA33" w14:textId="77777777" w:rsidR="00EB3C86" w:rsidRPr="00EB3C86" w:rsidRDefault="00EB3C86" w:rsidP="00EB3C86"/>
    <w:bookmarkEnd w:id="0"/>
    <w:bookmarkEnd w:id="1"/>
    <w:bookmarkEnd w:id="3"/>
    <w:p w14:paraId="3D0AAC0A" w14:textId="77777777" w:rsidR="001E3997" w:rsidRDefault="001E3997" w:rsidP="001E399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D76D4CC" w14:textId="77777777" w:rsidR="001E3997" w:rsidRDefault="001E3997" w:rsidP="001E399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2CE75CB" w14:textId="77777777" w:rsidR="001E3997" w:rsidRDefault="001E3997" w:rsidP="001E3997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Sayali</w:t>
      </w:r>
      <w:proofErr w:type="spellEnd"/>
      <w:r>
        <w:rPr>
          <w:rFonts w:ascii="Calibri" w:hAnsi="Calibri" w:cs="Calibri"/>
          <w:color w:val="000000"/>
        </w:rPr>
        <w:t xml:space="preserve"> Madhukar </w:t>
      </w:r>
      <w:proofErr w:type="spellStart"/>
      <w:r>
        <w:rPr>
          <w:rFonts w:ascii="Calibri" w:hAnsi="Calibri" w:cs="Calibri"/>
          <w:color w:val="000000"/>
        </w:rPr>
        <w:t>Kewat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Src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Ayurved</w:t>
      </w:r>
      <w:proofErr w:type="spellEnd"/>
      <w:r>
        <w:rPr>
          <w:rFonts w:ascii="Calibri" w:hAnsi="Calibri" w:cs="Calibri"/>
          <w:color w:val="000000"/>
        </w:rPr>
        <w:t xml:space="preserve"> College </w:t>
      </w:r>
      <w:proofErr w:type="spellStart"/>
      <w:r>
        <w:rPr>
          <w:rFonts w:ascii="Calibri" w:hAnsi="Calibri" w:cs="Calibri"/>
          <w:color w:val="000000"/>
        </w:rPr>
        <w:t>Chikhli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Buldana</w:t>
      </w:r>
      <w:proofErr w:type="spellEnd"/>
      <w:r>
        <w:rPr>
          <w:rFonts w:ascii="Calibri" w:hAnsi="Calibri" w:cs="Calibri"/>
          <w:color w:val="000000"/>
        </w:rPr>
        <w:t xml:space="preserve"> ,</w:t>
      </w:r>
      <w:proofErr w:type="gramEnd"/>
      <w:r>
        <w:rPr>
          <w:rFonts w:ascii="Calibri" w:hAnsi="Calibri" w:cs="Calibri"/>
          <w:color w:val="000000"/>
        </w:rPr>
        <w:t xml:space="preserve"> India</w:t>
      </w:r>
      <w:r>
        <w:rPr>
          <w:rFonts w:ascii="Calibri" w:hAnsi="Calibri" w:cs="Calibri"/>
          <w:color w:val="000000"/>
        </w:rPr>
        <w:br/>
      </w:r>
    </w:p>
    <w:p w14:paraId="5957C1D9" w14:textId="77777777" w:rsidR="002D23C3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4" w:name="_GoBack"/>
      <w:bookmarkEnd w:id="4"/>
    </w:p>
    <w:sectPr w:rsidR="002D23C3" w:rsidSect="007B07F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63BC3" w14:textId="77777777" w:rsidR="00012C3A" w:rsidRPr="0000007A" w:rsidRDefault="00012C3A" w:rsidP="0099583E">
      <w:r>
        <w:separator/>
      </w:r>
    </w:p>
  </w:endnote>
  <w:endnote w:type="continuationSeparator" w:id="0">
    <w:p w14:paraId="629B1083" w14:textId="77777777" w:rsidR="00012C3A" w:rsidRPr="0000007A" w:rsidRDefault="00012C3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EBA4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C6834" w:rsidRPr="004C6834">
      <w:rPr>
        <w:sz w:val="16"/>
      </w:rPr>
      <w:t xml:space="preserve">Version: </w:t>
    </w:r>
    <w:r w:rsidR="00520D22">
      <w:rPr>
        <w:sz w:val="16"/>
      </w:rPr>
      <w:t>3</w:t>
    </w:r>
    <w:r w:rsidR="004C6834" w:rsidRPr="004C6834">
      <w:rPr>
        <w:sz w:val="16"/>
      </w:rPr>
      <w:t xml:space="preserve"> (0</w:t>
    </w:r>
    <w:r w:rsidR="00520D22">
      <w:rPr>
        <w:sz w:val="16"/>
      </w:rPr>
      <w:t>7</w:t>
    </w:r>
    <w:r w:rsidR="004C6834" w:rsidRPr="004C683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A327B" w14:textId="77777777" w:rsidR="00012C3A" w:rsidRPr="0000007A" w:rsidRDefault="00012C3A" w:rsidP="0099583E">
      <w:r>
        <w:separator/>
      </w:r>
    </w:p>
  </w:footnote>
  <w:footnote w:type="continuationSeparator" w:id="0">
    <w:p w14:paraId="56799B11" w14:textId="77777777" w:rsidR="00012C3A" w:rsidRPr="0000007A" w:rsidRDefault="00012C3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C918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878895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20D2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3A"/>
    <w:rsid w:val="00012C8B"/>
    <w:rsid w:val="00021981"/>
    <w:rsid w:val="000234E1"/>
    <w:rsid w:val="0002598E"/>
    <w:rsid w:val="00037D52"/>
    <w:rsid w:val="00041EA1"/>
    <w:rsid w:val="000450FC"/>
    <w:rsid w:val="00056CB0"/>
    <w:rsid w:val="000577C2"/>
    <w:rsid w:val="0006257C"/>
    <w:rsid w:val="00075B70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1499F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3997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6953"/>
    <w:rsid w:val="002320EB"/>
    <w:rsid w:val="0023696A"/>
    <w:rsid w:val="002422CB"/>
    <w:rsid w:val="00243759"/>
    <w:rsid w:val="00245E23"/>
    <w:rsid w:val="0025366D"/>
    <w:rsid w:val="00254F80"/>
    <w:rsid w:val="00256AEA"/>
    <w:rsid w:val="00261C43"/>
    <w:rsid w:val="00262634"/>
    <w:rsid w:val="002643B3"/>
    <w:rsid w:val="00275984"/>
    <w:rsid w:val="00280EC9"/>
    <w:rsid w:val="0028106C"/>
    <w:rsid w:val="00291D08"/>
    <w:rsid w:val="00293482"/>
    <w:rsid w:val="002B1387"/>
    <w:rsid w:val="002B1F97"/>
    <w:rsid w:val="002B5DEB"/>
    <w:rsid w:val="002C247B"/>
    <w:rsid w:val="002D23C3"/>
    <w:rsid w:val="002D7EA9"/>
    <w:rsid w:val="002E1211"/>
    <w:rsid w:val="002E2339"/>
    <w:rsid w:val="002E6D86"/>
    <w:rsid w:val="002F4757"/>
    <w:rsid w:val="002F6935"/>
    <w:rsid w:val="00301927"/>
    <w:rsid w:val="00312559"/>
    <w:rsid w:val="003204B8"/>
    <w:rsid w:val="00326BA7"/>
    <w:rsid w:val="00327728"/>
    <w:rsid w:val="0033692F"/>
    <w:rsid w:val="00346223"/>
    <w:rsid w:val="003A04E7"/>
    <w:rsid w:val="003A4991"/>
    <w:rsid w:val="003A6E1A"/>
    <w:rsid w:val="003A7CF3"/>
    <w:rsid w:val="003B2172"/>
    <w:rsid w:val="003E746A"/>
    <w:rsid w:val="003E7F6F"/>
    <w:rsid w:val="0042465A"/>
    <w:rsid w:val="004356CC"/>
    <w:rsid w:val="00435B36"/>
    <w:rsid w:val="00442B24"/>
    <w:rsid w:val="0044444D"/>
    <w:rsid w:val="0044519B"/>
    <w:rsid w:val="00445B35"/>
    <w:rsid w:val="00446659"/>
    <w:rsid w:val="0045331A"/>
    <w:rsid w:val="00457AB1"/>
    <w:rsid w:val="00457BC0"/>
    <w:rsid w:val="00462996"/>
    <w:rsid w:val="004674B4"/>
    <w:rsid w:val="004A171E"/>
    <w:rsid w:val="004B44FB"/>
    <w:rsid w:val="004B4CAD"/>
    <w:rsid w:val="004B4FDC"/>
    <w:rsid w:val="004C3DF1"/>
    <w:rsid w:val="004C6834"/>
    <w:rsid w:val="004D2E36"/>
    <w:rsid w:val="00503AB6"/>
    <w:rsid w:val="005047C5"/>
    <w:rsid w:val="00510920"/>
    <w:rsid w:val="00520D22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7615C"/>
    <w:rsid w:val="005A5BE0"/>
    <w:rsid w:val="005B12E0"/>
    <w:rsid w:val="005C25A0"/>
    <w:rsid w:val="005D230D"/>
    <w:rsid w:val="005E1329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1F30"/>
    <w:rsid w:val="00675224"/>
    <w:rsid w:val="00676845"/>
    <w:rsid w:val="00680547"/>
    <w:rsid w:val="0068446F"/>
    <w:rsid w:val="0069428E"/>
    <w:rsid w:val="00696CAD"/>
    <w:rsid w:val="006A5E0B"/>
    <w:rsid w:val="006C3797"/>
    <w:rsid w:val="006E1F14"/>
    <w:rsid w:val="006E7D6E"/>
    <w:rsid w:val="006F6F2F"/>
    <w:rsid w:val="00701186"/>
    <w:rsid w:val="00707BE1"/>
    <w:rsid w:val="00711D5C"/>
    <w:rsid w:val="007238EB"/>
    <w:rsid w:val="0072789A"/>
    <w:rsid w:val="007317C3"/>
    <w:rsid w:val="00734756"/>
    <w:rsid w:val="0073538B"/>
    <w:rsid w:val="00741BD0"/>
    <w:rsid w:val="007426E6"/>
    <w:rsid w:val="00746370"/>
    <w:rsid w:val="00747F1F"/>
    <w:rsid w:val="00766889"/>
    <w:rsid w:val="00766A0D"/>
    <w:rsid w:val="00767F8C"/>
    <w:rsid w:val="00780B67"/>
    <w:rsid w:val="007B07FA"/>
    <w:rsid w:val="007B1099"/>
    <w:rsid w:val="007B6E18"/>
    <w:rsid w:val="007D0246"/>
    <w:rsid w:val="007F1B5A"/>
    <w:rsid w:val="007F5873"/>
    <w:rsid w:val="0080327C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077F"/>
    <w:rsid w:val="008913D5"/>
    <w:rsid w:val="00893E75"/>
    <w:rsid w:val="008C2778"/>
    <w:rsid w:val="008C2F62"/>
    <w:rsid w:val="008D020E"/>
    <w:rsid w:val="008D1117"/>
    <w:rsid w:val="008D15A4"/>
    <w:rsid w:val="008D2E45"/>
    <w:rsid w:val="008F36E4"/>
    <w:rsid w:val="008F586B"/>
    <w:rsid w:val="00911E45"/>
    <w:rsid w:val="00923C54"/>
    <w:rsid w:val="00933C8B"/>
    <w:rsid w:val="009553EC"/>
    <w:rsid w:val="00957205"/>
    <w:rsid w:val="00970A34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3953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2CDD"/>
    <w:rsid w:val="00A36C95"/>
    <w:rsid w:val="00A37DE3"/>
    <w:rsid w:val="00A519D1"/>
    <w:rsid w:val="00A625A6"/>
    <w:rsid w:val="00A6343B"/>
    <w:rsid w:val="00A65C50"/>
    <w:rsid w:val="00A66DD2"/>
    <w:rsid w:val="00AA41B3"/>
    <w:rsid w:val="00AA6670"/>
    <w:rsid w:val="00AB1ED6"/>
    <w:rsid w:val="00AB397D"/>
    <w:rsid w:val="00AB638A"/>
    <w:rsid w:val="00AB641C"/>
    <w:rsid w:val="00AB6E43"/>
    <w:rsid w:val="00AC1349"/>
    <w:rsid w:val="00AD6C51"/>
    <w:rsid w:val="00AF3016"/>
    <w:rsid w:val="00B03A45"/>
    <w:rsid w:val="00B118B0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A7C83"/>
    <w:rsid w:val="00BB34E6"/>
    <w:rsid w:val="00BB4FEC"/>
    <w:rsid w:val="00BC402F"/>
    <w:rsid w:val="00BD2123"/>
    <w:rsid w:val="00BD27BA"/>
    <w:rsid w:val="00BE13EF"/>
    <w:rsid w:val="00BE40A5"/>
    <w:rsid w:val="00BE6454"/>
    <w:rsid w:val="00BF39A4"/>
    <w:rsid w:val="00BF7AFE"/>
    <w:rsid w:val="00C02797"/>
    <w:rsid w:val="00C03E6E"/>
    <w:rsid w:val="00C10283"/>
    <w:rsid w:val="00C110CC"/>
    <w:rsid w:val="00C22886"/>
    <w:rsid w:val="00C25C8F"/>
    <w:rsid w:val="00C263C6"/>
    <w:rsid w:val="00C6066F"/>
    <w:rsid w:val="00C635B6"/>
    <w:rsid w:val="00C70DFC"/>
    <w:rsid w:val="00C72D1D"/>
    <w:rsid w:val="00C82466"/>
    <w:rsid w:val="00C84097"/>
    <w:rsid w:val="00C86CB0"/>
    <w:rsid w:val="00CA25C9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C5C3C"/>
    <w:rsid w:val="00E1735E"/>
    <w:rsid w:val="00E30032"/>
    <w:rsid w:val="00E44010"/>
    <w:rsid w:val="00E451EA"/>
    <w:rsid w:val="00E53E52"/>
    <w:rsid w:val="00E57F4B"/>
    <w:rsid w:val="00E63889"/>
    <w:rsid w:val="00E65EB7"/>
    <w:rsid w:val="00E71C8D"/>
    <w:rsid w:val="00E71F63"/>
    <w:rsid w:val="00E72360"/>
    <w:rsid w:val="00E86017"/>
    <w:rsid w:val="00E972A7"/>
    <w:rsid w:val="00EA2839"/>
    <w:rsid w:val="00EB3C86"/>
    <w:rsid w:val="00EB3E91"/>
    <w:rsid w:val="00EC6894"/>
    <w:rsid w:val="00ED6B12"/>
    <w:rsid w:val="00EE0D3E"/>
    <w:rsid w:val="00EE339E"/>
    <w:rsid w:val="00EF326D"/>
    <w:rsid w:val="00EF53FE"/>
    <w:rsid w:val="00F1127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B46"/>
    <w:rsid w:val="00F573EA"/>
    <w:rsid w:val="00F57E9D"/>
    <w:rsid w:val="00F76351"/>
    <w:rsid w:val="00F91E7F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736A7"/>
  <w15:chartTrackingRefBased/>
  <w15:docId w15:val="{826F1FBE-9613-214D-AB76-83959AD9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mr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8F586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E399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s.com/index.php/AJC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17A81-9426-49D7-89E7-839D55A8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https://journalajcrs.com/index.php/AJCRS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39</cp:revision>
  <dcterms:created xsi:type="dcterms:W3CDTF">2026-03-18T06:06:00Z</dcterms:created>
  <dcterms:modified xsi:type="dcterms:W3CDTF">2026-03-21T09:16:00Z</dcterms:modified>
</cp:coreProperties>
</file>